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06911" w14:textId="77777777" w:rsidR="00755B91" w:rsidRPr="003C7C9F" w:rsidRDefault="00755B91" w:rsidP="00755B91">
      <w:pPr>
        <w:spacing w:line="240" w:lineRule="auto"/>
        <w:jc w:val="left"/>
        <w:rPr>
          <w:rFonts w:asciiTheme="minorHAnsi" w:hAnsiTheme="minorHAnsi"/>
        </w:rPr>
      </w:pPr>
    </w:p>
    <w:p w14:paraId="37DB7FA0" w14:textId="77777777" w:rsidR="00755B91" w:rsidRPr="006D631C" w:rsidRDefault="00755B91" w:rsidP="00755B91">
      <w:pPr>
        <w:spacing w:before="120" w:after="120" w:line="240" w:lineRule="auto"/>
        <w:contextualSpacing/>
        <w:jc w:val="center"/>
      </w:pPr>
      <w:r w:rsidRPr="006D631C">
        <w:t>UNIVERSITY OF OKLAHOMA</w:t>
      </w:r>
    </w:p>
    <w:p w14:paraId="7ABBFDC7" w14:textId="77777777" w:rsidR="00755B91" w:rsidRPr="006D631C" w:rsidRDefault="00755B91" w:rsidP="00755B91">
      <w:pPr>
        <w:spacing w:before="120" w:after="120" w:line="240" w:lineRule="auto"/>
        <w:contextualSpacing/>
        <w:jc w:val="left"/>
      </w:pPr>
      <w:r w:rsidRPr="006D631C">
        <w:t xml:space="preserve"> </w:t>
      </w:r>
    </w:p>
    <w:p w14:paraId="1903C7A3" w14:textId="77777777" w:rsidR="00755B91" w:rsidRPr="006D631C" w:rsidRDefault="00755B91" w:rsidP="00755B91">
      <w:pPr>
        <w:spacing w:before="120" w:after="120" w:line="240" w:lineRule="auto"/>
        <w:contextualSpacing/>
        <w:jc w:val="center"/>
      </w:pPr>
      <w:r w:rsidRPr="006D631C">
        <w:t>GRADUATE COLLEGE</w:t>
      </w:r>
    </w:p>
    <w:p w14:paraId="410E73EF" w14:textId="77777777" w:rsidR="00755B91" w:rsidRPr="006D631C" w:rsidRDefault="00755B91" w:rsidP="00755B91">
      <w:pPr>
        <w:spacing w:before="120" w:after="120" w:line="240" w:lineRule="auto"/>
        <w:contextualSpacing/>
        <w:jc w:val="left"/>
      </w:pPr>
    </w:p>
    <w:p w14:paraId="628268BF" w14:textId="77777777" w:rsidR="00755B91" w:rsidRPr="006D631C" w:rsidRDefault="00755B91" w:rsidP="00755B91">
      <w:pPr>
        <w:spacing w:before="120" w:after="120" w:line="240" w:lineRule="auto"/>
        <w:contextualSpacing/>
        <w:jc w:val="left"/>
      </w:pPr>
    </w:p>
    <w:p w14:paraId="3FF947D2" w14:textId="77777777" w:rsidR="00755B91" w:rsidRPr="006D631C" w:rsidRDefault="00755B91" w:rsidP="00755B91">
      <w:pPr>
        <w:spacing w:before="120" w:after="120" w:line="240" w:lineRule="auto"/>
        <w:contextualSpacing/>
        <w:jc w:val="left"/>
      </w:pPr>
    </w:p>
    <w:p w14:paraId="5945145C" w14:textId="77777777" w:rsidR="00755B91" w:rsidRPr="006D631C" w:rsidRDefault="00755B91" w:rsidP="00755B91">
      <w:pPr>
        <w:spacing w:before="120" w:after="120" w:line="240" w:lineRule="auto"/>
        <w:contextualSpacing/>
        <w:jc w:val="center"/>
      </w:pPr>
    </w:p>
    <w:p w14:paraId="4A2AFBCA" w14:textId="77777777" w:rsidR="00755B91" w:rsidRPr="006D631C" w:rsidRDefault="00755B91" w:rsidP="00755B91">
      <w:pPr>
        <w:spacing w:before="120" w:after="120"/>
        <w:contextualSpacing/>
        <w:jc w:val="center"/>
      </w:pPr>
    </w:p>
    <w:p w14:paraId="6E0A6393" w14:textId="1AF75DB4" w:rsidR="00755B91" w:rsidRPr="006D631C" w:rsidRDefault="000D75AC" w:rsidP="000D75AC">
      <w:pPr>
        <w:spacing w:before="120" w:after="120"/>
        <w:contextualSpacing/>
        <w:jc w:val="center"/>
      </w:pPr>
      <w:r w:rsidRPr="006D631C">
        <w:t>STIMULI-RESPONSIVE POROUS MEMBRANES FROM LYOTROPIC LIQUID CRYSTAL TEMPLATING</w:t>
      </w:r>
    </w:p>
    <w:p w14:paraId="1F9AED86" w14:textId="77777777" w:rsidR="00755B91" w:rsidRPr="006D631C" w:rsidRDefault="00755B91" w:rsidP="00755B91">
      <w:pPr>
        <w:spacing w:before="120" w:after="120" w:line="240" w:lineRule="auto"/>
        <w:contextualSpacing/>
        <w:jc w:val="left"/>
      </w:pPr>
    </w:p>
    <w:p w14:paraId="1596EF8B" w14:textId="77777777" w:rsidR="00755B91" w:rsidRPr="006D631C" w:rsidRDefault="00755B91" w:rsidP="00755B91">
      <w:pPr>
        <w:spacing w:before="120" w:after="120" w:line="240" w:lineRule="auto"/>
        <w:contextualSpacing/>
        <w:jc w:val="left"/>
      </w:pPr>
    </w:p>
    <w:p w14:paraId="5A70745F" w14:textId="77777777" w:rsidR="00755B91" w:rsidRPr="006D631C" w:rsidRDefault="00755B91" w:rsidP="00755B91">
      <w:pPr>
        <w:spacing w:before="120" w:after="120" w:line="240" w:lineRule="auto"/>
        <w:contextualSpacing/>
        <w:jc w:val="left"/>
      </w:pPr>
    </w:p>
    <w:p w14:paraId="272D484A" w14:textId="77777777" w:rsidR="00755B91" w:rsidRPr="006D631C" w:rsidRDefault="00755B91" w:rsidP="00755B91">
      <w:pPr>
        <w:spacing w:before="120" w:after="120" w:line="240" w:lineRule="auto"/>
        <w:contextualSpacing/>
        <w:jc w:val="left"/>
      </w:pPr>
    </w:p>
    <w:p w14:paraId="0F3B0851" w14:textId="77777777" w:rsidR="00755B91" w:rsidRPr="006D631C" w:rsidRDefault="00755B91" w:rsidP="00755B91">
      <w:pPr>
        <w:spacing w:before="120" w:after="120" w:line="240" w:lineRule="auto"/>
        <w:contextualSpacing/>
        <w:jc w:val="left"/>
      </w:pPr>
    </w:p>
    <w:p w14:paraId="66BABF33" w14:textId="77777777" w:rsidR="00755B91" w:rsidRPr="006D631C" w:rsidRDefault="00755B91" w:rsidP="00755B91">
      <w:pPr>
        <w:spacing w:before="120" w:after="120" w:line="240" w:lineRule="auto"/>
        <w:contextualSpacing/>
        <w:jc w:val="left"/>
      </w:pPr>
    </w:p>
    <w:p w14:paraId="2545F513" w14:textId="77777777" w:rsidR="00755B91" w:rsidRPr="006D631C" w:rsidRDefault="00755B91" w:rsidP="00755B91">
      <w:pPr>
        <w:spacing w:before="120" w:after="120" w:line="240" w:lineRule="auto"/>
        <w:contextualSpacing/>
        <w:jc w:val="left"/>
      </w:pPr>
    </w:p>
    <w:p w14:paraId="07D7A2D0" w14:textId="77777777" w:rsidR="00755B91" w:rsidRPr="006D631C" w:rsidRDefault="00755B91" w:rsidP="00755B91">
      <w:pPr>
        <w:spacing w:before="120" w:after="120" w:line="240" w:lineRule="auto"/>
        <w:contextualSpacing/>
        <w:jc w:val="left"/>
      </w:pPr>
    </w:p>
    <w:p w14:paraId="768DAEEB" w14:textId="77777777" w:rsidR="00755B91" w:rsidRPr="006D631C" w:rsidRDefault="00755B91" w:rsidP="00755B91">
      <w:pPr>
        <w:spacing w:before="120" w:after="120"/>
        <w:contextualSpacing/>
        <w:jc w:val="center"/>
      </w:pPr>
      <w:r w:rsidRPr="006D631C">
        <w:t>A DISSERTATION</w:t>
      </w:r>
    </w:p>
    <w:p w14:paraId="347C77C4" w14:textId="77777777" w:rsidR="00755B91" w:rsidRPr="006D631C" w:rsidRDefault="00755B91" w:rsidP="00755B91">
      <w:pPr>
        <w:spacing w:before="120" w:after="120"/>
        <w:contextualSpacing/>
        <w:jc w:val="center"/>
      </w:pPr>
      <w:r w:rsidRPr="006D631C">
        <w:t>SUBMITTED TO THE GRADUATE FACULTY</w:t>
      </w:r>
    </w:p>
    <w:p w14:paraId="260B6090" w14:textId="77777777" w:rsidR="00755B91" w:rsidRPr="006D631C" w:rsidRDefault="00755B91" w:rsidP="00755B91">
      <w:pPr>
        <w:spacing w:before="120" w:after="120"/>
        <w:contextualSpacing/>
        <w:jc w:val="center"/>
      </w:pPr>
      <w:proofErr w:type="gramStart"/>
      <w:r w:rsidRPr="006D631C">
        <w:t>in</w:t>
      </w:r>
      <w:proofErr w:type="gramEnd"/>
      <w:r w:rsidRPr="006D631C">
        <w:t xml:space="preserve"> partial fulfillment of the requirements for the</w:t>
      </w:r>
    </w:p>
    <w:p w14:paraId="1D843D4C" w14:textId="77777777" w:rsidR="00755B91" w:rsidRPr="006D631C" w:rsidRDefault="00755B91" w:rsidP="00755B91">
      <w:pPr>
        <w:spacing w:before="120" w:after="120"/>
        <w:contextualSpacing/>
        <w:jc w:val="center"/>
      </w:pPr>
      <w:r w:rsidRPr="006D631C">
        <w:t>Degree of</w:t>
      </w:r>
    </w:p>
    <w:p w14:paraId="75303CEF" w14:textId="77777777" w:rsidR="00755B91" w:rsidRPr="006D631C" w:rsidRDefault="00755B91" w:rsidP="00755B91">
      <w:pPr>
        <w:spacing w:before="120" w:after="120" w:line="240" w:lineRule="auto"/>
        <w:contextualSpacing/>
        <w:jc w:val="center"/>
      </w:pPr>
      <w:r w:rsidRPr="006D631C">
        <w:t>DOCTOR OF PHILOSOPHY</w:t>
      </w:r>
    </w:p>
    <w:p w14:paraId="569EA318" w14:textId="77777777" w:rsidR="00755B91" w:rsidRPr="006D631C" w:rsidRDefault="00755B91" w:rsidP="00755B91">
      <w:pPr>
        <w:spacing w:before="120" w:after="120" w:line="240" w:lineRule="auto"/>
        <w:contextualSpacing/>
        <w:jc w:val="left"/>
      </w:pPr>
    </w:p>
    <w:p w14:paraId="1EE3BCBE" w14:textId="77777777" w:rsidR="00755B91" w:rsidRPr="006D631C" w:rsidRDefault="00755B91" w:rsidP="00755B91">
      <w:pPr>
        <w:spacing w:before="120" w:after="120" w:line="240" w:lineRule="auto"/>
        <w:contextualSpacing/>
        <w:jc w:val="left"/>
      </w:pPr>
    </w:p>
    <w:p w14:paraId="21CC8384" w14:textId="77777777" w:rsidR="00755B91" w:rsidRPr="006D631C" w:rsidRDefault="00755B91" w:rsidP="00755B91">
      <w:pPr>
        <w:spacing w:before="120" w:after="120" w:line="240" w:lineRule="auto"/>
        <w:contextualSpacing/>
        <w:jc w:val="left"/>
      </w:pPr>
    </w:p>
    <w:p w14:paraId="3DDE2529" w14:textId="77777777" w:rsidR="00755B91" w:rsidRPr="006D631C" w:rsidRDefault="00755B91" w:rsidP="00755B91">
      <w:pPr>
        <w:spacing w:before="120" w:after="120" w:line="240" w:lineRule="auto"/>
        <w:contextualSpacing/>
        <w:jc w:val="left"/>
      </w:pPr>
    </w:p>
    <w:p w14:paraId="0E44774E" w14:textId="77777777" w:rsidR="00755B91" w:rsidRPr="006D631C" w:rsidRDefault="00755B91" w:rsidP="00755B91">
      <w:pPr>
        <w:spacing w:before="120" w:after="120" w:line="240" w:lineRule="auto"/>
        <w:contextualSpacing/>
        <w:jc w:val="left"/>
      </w:pPr>
    </w:p>
    <w:p w14:paraId="73A1A3E7" w14:textId="77777777" w:rsidR="00755B91" w:rsidRPr="006D631C" w:rsidRDefault="00755B91" w:rsidP="00755B91">
      <w:pPr>
        <w:spacing w:before="120" w:after="120" w:line="240" w:lineRule="auto"/>
        <w:contextualSpacing/>
        <w:jc w:val="center"/>
      </w:pPr>
      <w:r w:rsidRPr="006D631C">
        <w:t>By</w:t>
      </w:r>
    </w:p>
    <w:p w14:paraId="1B19DA71" w14:textId="77777777" w:rsidR="00755B91" w:rsidRPr="006D631C" w:rsidRDefault="00755B91" w:rsidP="00755B91">
      <w:pPr>
        <w:spacing w:before="120" w:after="120" w:line="240" w:lineRule="auto"/>
        <w:contextualSpacing/>
        <w:jc w:val="center"/>
      </w:pPr>
    </w:p>
    <w:p w14:paraId="49DDEEE7" w14:textId="77777777" w:rsidR="00755B91" w:rsidRPr="006D631C" w:rsidRDefault="00755B91" w:rsidP="00755B91">
      <w:pPr>
        <w:spacing w:before="120" w:after="120"/>
        <w:contextualSpacing/>
        <w:jc w:val="center"/>
      </w:pPr>
    </w:p>
    <w:p w14:paraId="6222E331" w14:textId="5EC66464" w:rsidR="00755B91" w:rsidRPr="006D631C" w:rsidRDefault="00315DC4" w:rsidP="00755B91">
      <w:pPr>
        <w:spacing w:before="120" w:after="120" w:line="240" w:lineRule="auto"/>
        <w:contextualSpacing/>
        <w:jc w:val="center"/>
      </w:pPr>
      <w:r w:rsidRPr="006D631C">
        <w:t>YOUNES SAADATGHAREHBAGH</w:t>
      </w:r>
    </w:p>
    <w:p w14:paraId="6F72AF61" w14:textId="77777777" w:rsidR="00755B91" w:rsidRPr="006D631C" w:rsidRDefault="00755B91" w:rsidP="00755B91">
      <w:pPr>
        <w:spacing w:before="120" w:after="120" w:line="240" w:lineRule="auto"/>
        <w:contextualSpacing/>
        <w:jc w:val="center"/>
      </w:pPr>
      <w:r w:rsidRPr="006D631C">
        <w:t>Norman, Oklahoma</w:t>
      </w:r>
    </w:p>
    <w:p w14:paraId="1FC95175" w14:textId="39464C23" w:rsidR="00B87B2C" w:rsidRPr="006D631C" w:rsidRDefault="00F878A6" w:rsidP="00B87B2C">
      <w:pPr>
        <w:spacing w:before="120" w:after="120"/>
        <w:contextualSpacing/>
        <w:jc w:val="center"/>
        <w:sectPr w:rsidR="00B87B2C" w:rsidRPr="006D631C" w:rsidSect="00D127AC">
          <w:footerReference w:type="default" r:id="rId8"/>
          <w:pgSz w:w="12240" w:h="15840"/>
          <w:pgMar w:top="1440" w:right="1440" w:bottom="1440" w:left="1440" w:header="720" w:footer="720" w:gutter="0"/>
          <w:pgNumType w:fmt="lowerRoman" w:start="1"/>
          <w:cols w:space="720"/>
          <w:titlePg/>
          <w:docGrid w:linePitch="360"/>
        </w:sectPr>
      </w:pPr>
      <w:r w:rsidRPr="006D631C">
        <w:t>2023</w:t>
      </w:r>
    </w:p>
    <w:p w14:paraId="3C77CDDD" w14:textId="2188FFC8" w:rsidR="00B87B2C" w:rsidRPr="006D631C" w:rsidRDefault="00B87B2C" w:rsidP="00861405">
      <w:pPr>
        <w:pStyle w:val="TOC1"/>
      </w:pPr>
    </w:p>
    <w:p w14:paraId="487943CD" w14:textId="5F055F72" w:rsidR="00755B91" w:rsidRPr="006D631C" w:rsidRDefault="00727013" w:rsidP="00755B91">
      <w:pPr>
        <w:spacing w:before="120" w:after="120"/>
        <w:contextualSpacing/>
        <w:jc w:val="center"/>
      </w:pPr>
      <w:r w:rsidRPr="006D631C">
        <w:t>STIMULI-RESPONSIVE POROUS MEMBRANES FROM LYOTROPIC LIQUID CRYSTAL TEMPLATING</w:t>
      </w:r>
    </w:p>
    <w:p w14:paraId="6F2AD90D" w14:textId="77777777" w:rsidR="00755B91" w:rsidRPr="006D631C" w:rsidRDefault="00755B91" w:rsidP="00755B91">
      <w:pPr>
        <w:spacing w:before="120" w:after="120" w:line="240" w:lineRule="auto"/>
        <w:contextualSpacing/>
        <w:jc w:val="left"/>
      </w:pPr>
    </w:p>
    <w:p w14:paraId="59D5AFCC" w14:textId="77777777" w:rsidR="00755B91" w:rsidRPr="006D631C" w:rsidRDefault="00755B91" w:rsidP="00755B91">
      <w:pPr>
        <w:spacing w:before="120" w:after="120" w:line="240" w:lineRule="auto"/>
        <w:contextualSpacing/>
        <w:jc w:val="left"/>
      </w:pPr>
    </w:p>
    <w:p w14:paraId="75C60A7C" w14:textId="77777777" w:rsidR="00755B91" w:rsidRPr="006D631C" w:rsidRDefault="00755B91" w:rsidP="00755B91">
      <w:pPr>
        <w:spacing w:before="120" w:after="120" w:line="240" w:lineRule="auto"/>
        <w:contextualSpacing/>
        <w:jc w:val="left"/>
      </w:pPr>
      <w:r w:rsidRPr="006D631C">
        <w:t xml:space="preserve"> </w:t>
      </w:r>
    </w:p>
    <w:p w14:paraId="498D2E08" w14:textId="6087201E" w:rsidR="00755B91" w:rsidRPr="006D631C" w:rsidRDefault="00755B91" w:rsidP="00727013">
      <w:pPr>
        <w:spacing w:before="120" w:after="120" w:line="276" w:lineRule="auto"/>
        <w:contextualSpacing/>
        <w:jc w:val="center"/>
      </w:pPr>
      <w:r w:rsidRPr="006D631C">
        <w:t xml:space="preserve">A DISSERTATION APPROVED FOR THE </w:t>
      </w:r>
      <w:r w:rsidR="00727013" w:rsidRPr="006D631C">
        <w:t xml:space="preserve">SCHOOL OF </w:t>
      </w:r>
      <w:r w:rsidR="00A37C6F" w:rsidRPr="00A37C6F">
        <w:t xml:space="preserve">SUSTAINABLE </w:t>
      </w:r>
      <w:r w:rsidR="00727013" w:rsidRPr="006D631C">
        <w:t>CHEMICAL, BIOLOGICAL AND MATERIALS ENGINEERING</w:t>
      </w:r>
    </w:p>
    <w:p w14:paraId="482BD3D4" w14:textId="77777777" w:rsidR="00755B91" w:rsidRPr="006D631C" w:rsidRDefault="00755B91" w:rsidP="00755B91">
      <w:pPr>
        <w:spacing w:before="120" w:after="120" w:line="240" w:lineRule="auto"/>
        <w:contextualSpacing/>
        <w:jc w:val="left"/>
      </w:pPr>
    </w:p>
    <w:p w14:paraId="546A4D92" w14:textId="77777777" w:rsidR="00755B91" w:rsidRPr="006D631C" w:rsidRDefault="00755B91" w:rsidP="00755B91">
      <w:pPr>
        <w:spacing w:before="120" w:after="120" w:line="240" w:lineRule="auto"/>
        <w:contextualSpacing/>
        <w:jc w:val="left"/>
      </w:pPr>
    </w:p>
    <w:p w14:paraId="0D2EC6EA" w14:textId="77777777" w:rsidR="00755B91" w:rsidRPr="006D631C" w:rsidRDefault="00755B91" w:rsidP="00755B91">
      <w:pPr>
        <w:spacing w:before="120" w:after="120" w:line="240" w:lineRule="auto"/>
        <w:contextualSpacing/>
        <w:jc w:val="left"/>
      </w:pPr>
    </w:p>
    <w:p w14:paraId="5691AF8F" w14:textId="77777777" w:rsidR="00755B91" w:rsidRPr="006D631C" w:rsidRDefault="00755B91" w:rsidP="00755B91">
      <w:pPr>
        <w:spacing w:before="120" w:after="120" w:line="240" w:lineRule="auto"/>
        <w:contextualSpacing/>
        <w:jc w:val="left"/>
      </w:pPr>
    </w:p>
    <w:p w14:paraId="2E08F5C4" w14:textId="77777777" w:rsidR="00755B91" w:rsidRPr="006D631C" w:rsidRDefault="00755B91" w:rsidP="00755B91">
      <w:pPr>
        <w:spacing w:before="120" w:after="120" w:line="240" w:lineRule="auto"/>
        <w:contextualSpacing/>
        <w:jc w:val="left"/>
      </w:pPr>
    </w:p>
    <w:p w14:paraId="28C91A80" w14:textId="77777777" w:rsidR="00755B91" w:rsidRPr="006D631C" w:rsidRDefault="00755B91" w:rsidP="00755B91">
      <w:pPr>
        <w:spacing w:before="120" w:after="120" w:line="240" w:lineRule="auto"/>
        <w:contextualSpacing/>
        <w:jc w:val="left"/>
      </w:pPr>
    </w:p>
    <w:p w14:paraId="460A601D" w14:textId="77777777" w:rsidR="00755B91" w:rsidRPr="006D631C" w:rsidRDefault="00755B91" w:rsidP="00755B91">
      <w:pPr>
        <w:spacing w:before="120" w:after="120" w:line="240" w:lineRule="auto"/>
        <w:contextualSpacing/>
        <w:jc w:val="center"/>
      </w:pPr>
    </w:p>
    <w:p w14:paraId="17161A8B" w14:textId="77777777" w:rsidR="00755B91" w:rsidRPr="006D631C" w:rsidRDefault="00755B91" w:rsidP="00755B91">
      <w:pPr>
        <w:spacing w:before="120" w:after="120" w:line="240" w:lineRule="auto"/>
        <w:contextualSpacing/>
        <w:jc w:val="center"/>
      </w:pPr>
      <w:r w:rsidRPr="006D631C">
        <w:t>BY THE COMMITTEE CONSISTING OF</w:t>
      </w:r>
    </w:p>
    <w:p w14:paraId="46051073" w14:textId="77777777" w:rsidR="00755B91" w:rsidRPr="006D631C" w:rsidRDefault="00755B91" w:rsidP="00755B91">
      <w:pPr>
        <w:spacing w:before="120" w:after="120" w:line="240" w:lineRule="auto"/>
        <w:contextualSpacing/>
        <w:jc w:val="left"/>
      </w:pPr>
    </w:p>
    <w:p w14:paraId="4B54F055" w14:textId="77777777" w:rsidR="00755B91" w:rsidRPr="006D631C" w:rsidRDefault="00755B91" w:rsidP="00755B91">
      <w:pPr>
        <w:spacing w:before="120" w:after="120" w:line="240" w:lineRule="auto"/>
        <w:contextualSpacing/>
        <w:jc w:val="left"/>
      </w:pPr>
    </w:p>
    <w:p w14:paraId="1494BD94" w14:textId="77777777" w:rsidR="00755B91" w:rsidRPr="006D631C" w:rsidRDefault="00755B91" w:rsidP="00755B91"/>
    <w:p w14:paraId="2939A24C" w14:textId="77777777" w:rsidR="00755B91" w:rsidRPr="006D631C" w:rsidRDefault="00755B91" w:rsidP="00755B91">
      <w:pPr>
        <w:spacing w:before="120" w:after="120" w:line="276" w:lineRule="auto"/>
        <w:contextualSpacing/>
        <w:jc w:val="center"/>
      </w:pPr>
    </w:p>
    <w:p w14:paraId="2313F4AF" w14:textId="07694A51" w:rsidR="00755B91" w:rsidRPr="006D631C" w:rsidRDefault="00755B91" w:rsidP="00FB7EA6">
      <w:pPr>
        <w:spacing w:before="120" w:after="120" w:line="276" w:lineRule="auto"/>
        <w:contextualSpacing/>
        <w:jc w:val="right"/>
      </w:pPr>
      <w:r w:rsidRPr="006D631C">
        <w:t xml:space="preserve">Dr. </w:t>
      </w:r>
      <w:r w:rsidR="00FB7EA6" w:rsidRPr="006D631C">
        <w:t>Reza Foudazi</w:t>
      </w:r>
      <w:r w:rsidRPr="006D631C">
        <w:t>, Chair</w:t>
      </w:r>
    </w:p>
    <w:p w14:paraId="4F9EA475" w14:textId="77777777" w:rsidR="00755B91" w:rsidRPr="006D631C" w:rsidRDefault="00755B91" w:rsidP="00755B91">
      <w:pPr>
        <w:spacing w:before="120" w:after="120" w:line="276" w:lineRule="auto"/>
        <w:contextualSpacing/>
        <w:jc w:val="right"/>
      </w:pPr>
    </w:p>
    <w:p w14:paraId="1417EFE7" w14:textId="77777777" w:rsidR="00755B91" w:rsidRPr="006D631C" w:rsidRDefault="00755B91" w:rsidP="00755B91">
      <w:pPr>
        <w:spacing w:before="120" w:after="120" w:line="276" w:lineRule="auto"/>
        <w:contextualSpacing/>
        <w:jc w:val="right"/>
      </w:pPr>
    </w:p>
    <w:p w14:paraId="755B2AC2" w14:textId="0A42C3AE" w:rsidR="00755B91" w:rsidRPr="006D631C" w:rsidRDefault="00755B91" w:rsidP="00FB7EA6">
      <w:pPr>
        <w:spacing w:before="120" w:after="120" w:line="276" w:lineRule="auto"/>
        <w:contextualSpacing/>
        <w:jc w:val="right"/>
      </w:pPr>
      <w:bookmarkStart w:id="0" w:name="OLE_LINK5"/>
      <w:r w:rsidRPr="006D631C">
        <w:t xml:space="preserve">Dr. </w:t>
      </w:r>
      <w:r w:rsidR="00FB7EA6" w:rsidRPr="006D631C">
        <w:t>Brian P. Grady</w:t>
      </w:r>
    </w:p>
    <w:bookmarkEnd w:id="0"/>
    <w:p w14:paraId="45845D5F" w14:textId="77777777" w:rsidR="00755B91" w:rsidRPr="006D631C" w:rsidRDefault="00755B91" w:rsidP="00755B91">
      <w:pPr>
        <w:spacing w:before="120" w:after="120" w:line="276" w:lineRule="auto"/>
        <w:contextualSpacing/>
        <w:jc w:val="center"/>
      </w:pPr>
    </w:p>
    <w:p w14:paraId="01FED9F6" w14:textId="77777777" w:rsidR="00755B91" w:rsidRPr="006D631C" w:rsidRDefault="00755B91" w:rsidP="00755B91">
      <w:pPr>
        <w:spacing w:before="120" w:after="120" w:line="276" w:lineRule="auto"/>
        <w:contextualSpacing/>
      </w:pPr>
    </w:p>
    <w:p w14:paraId="28FC5AAE" w14:textId="2A2C080A" w:rsidR="00755B91" w:rsidRPr="006D631C" w:rsidRDefault="00755B91" w:rsidP="00F53DBB">
      <w:pPr>
        <w:spacing w:before="120" w:after="120" w:line="276" w:lineRule="auto"/>
        <w:contextualSpacing/>
        <w:jc w:val="right"/>
      </w:pPr>
      <w:r w:rsidRPr="006D631C">
        <w:t xml:space="preserve">Dr. </w:t>
      </w:r>
      <w:r w:rsidR="00F53DBB" w:rsidRPr="006D631C">
        <w:t>Michele Galizia</w:t>
      </w:r>
    </w:p>
    <w:p w14:paraId="742F9469" w14:textId="77777777" w:rsidR="00755B91" w:rsidRPr="006D631C" w:rsidRDefault="00755B91" w:rsidP="00755B91">
      <w:pPr>
        <w:spacing w:before="120" w:after="120" w:line="276" w:lineRule="auto"/>
        <w:contextualSpacing/>
        <w:jc w:val="right"/>
      </w:pPr>
    </w:p>
    <w:p w14:paraId="605D70C3" w14:textId="77777777" w:rsidR="00755B91" w:rsidRPr="006D631C" w:rsidRDefault="00755B91" w:rsidP="00755B91">
      <w:pPr>
        <w:spacing w:before="120" w:after="120" w:line="276" w:lineRule="auto"/>
        <w:contextualSpacing/>
      </w:pPr>
    </w:p>
    <w:p w14:paraId="7BBBC2FA" w14:textId="77777777" w:rsidR="00755B91" w:rsidRPr="006D631C" w:rsidRDefault="00755B91" w:rsidP="00755B91">
      <w:pPr>
        <w:spacing w:before="120" w:after="120" w:line="276" w:lineRule="auto"/>
        <w:contextualSpacing/>
        <w:jc w:val="right"/>
      </w:pPr>
      <w:r w:rsidRPr="006D631C">
        <w:t>Dr. Hamidreza Shabgard</w:t>
      </w:r>
    </w:p>
    <w:p w14:paraId="6D33DE5D" w14:textId="77777777" w:rsidR="00755B91" w:rsidRPr="006D631C" w:rsidRDefault="00755B91" w:rsidP="00755B91">
      <w:pPr>
        <w:spacing w:before="120" w:after="120" w:line="276" w:lineRule="auto"/>
        <w:contextualSpacing/>
        <w:jc w:val="right"/>
      </w:pPr>
    </w:p>
    <w:p w14:paraId="79E68533" w14:textId="77777777" w:rsidR="00755B91" w:rsidRPr="006D631C" w:rsidRDefault="00755B91" w:rsidP="00755B91">
      <w:pPr>
        <w:spacing w:before="120" w:after="120" w:line="276" w:lineRule="auto"/>
        <w:contextualSpacing/>
        <w:jc w:val="right"/>
      </w:pPr>
    </w:p>
    <w:p w14:paraId="6D6338C1" w14:textId="77777777" w:rsidR="00755B91" w:rsidRPr="006D631C" w:rsidRDefault="00755B91" w:rsidP="00755B91">
      <w:pPr>
        <w:spacing w:before="120" w:after="120"/>
        <w:contextualSpacing/>
        <w:jc w:val="right"/>
      </w:pPr>
    </w:p>
    <w:p w14:paraId="128535A2" w14:textId="77777777" w:rsidR="00755B91" w:rsidRPr="006D631C" w:rsidRDefault="00755B91" w:rsidP="00755B91">
      <w:pPr>
        <w:spacing w:before="120" w:after="120"/>
        <w:contextualSpacing/>
        <w:jc w:val="right"/>
      </w:pPr>
    </w:p>
    <w:p w14:paraId="1DDB4C39" w14:textId="77777777" w:rsidR="00B87B2C" w:rsidRPr="006D631C" w:rsidRDefault="00B87B2C" w:rsidP="00755B91">
      <w:pPr>
        <w:spacing w:before="120" w:after="120"/>
        <w:contextualSpacing/>
        <w:sectPr w:rsidR="00B87B2C" w:rsidRPr="006D631C" w:rsidSect="00D127AC">
          <w:pgSz w:w="12240" w:h="15840"/>
          <w:pgMar w:top="1440" w:right="1440" w:bottom="1440" w:left="1440" w:header="720" w:footer="720" w:gutter="0"/>
          <w:pgNumType w:fmt="lowerRoman" w:start="1"/>
          <w:cols w:space="720"/>
          <w:titlePg/>
          <w:docGrid w:linePitch="360"/>
        </w:sectPr>
      </w:pPr>
    </w:p>
    <w:p w14:paraId="1B674286" w14:textId="3ACB21C5" w:rsidR="00755B91" w:rsidRPr="006D631C" w:rsidRDefault="00755B91" w:rsidP="00755B91">
      <w:pPr>
        <w:spacing w:before="120" w:after="120"/>
        <w:contextualSpacing/>
      </w:pPr>
    </w:p>
    <w:p w14:paraId="636FCAC5" w14:textId="77777777" w:rsidR="00755B91" w:rsidRPr="006D631C" w:rsidRDefault="00755B91" w:rsidP="00755B91"/>
    <w:p w14:paraId="52C2DB54" w14:textId="77777777" w:rsidR="00755B91" w:rsidRPr="006D631C" w:rsidRDefault="00755B91" w:rsidP="00755B91">
      <w:pPr>
        <w:spacing w:before="120" w:after="120"/>
        <w:contextualSpacing/>
      </w:pPr>
    </w:p>
    <w:p w14:paraId="186517B6" w14:textId="77777777" w:rsidR="00755B91" w:rsidRPr="006D631C" w:rsidRDefault="00755B91" w:rsidP="00755B91">
      <w:pPr>
        <w:spacing w:before="120" w:after="120"/>
        <w:contextualSpacing/>
      </w:pPr>
    </w:p>
    <w:p w14:paraId="794B4DB2" w14:textId="77777777" w:rsidR="00755B91" w:rsidRPr="006D631C" w:rsidRDefault="00755B91" w:rsidP="00755B91">
      <w:pPr>
        <w:spacing w:before="120" w:after="120"/>
        <w:contextualSpacing/>
      </w:pPr>
    </w:p>
    <w:p w14:paraId="58F0A8CA" w14:textId="77777777" w:rsidR="00755B91" w:rsidRPr="006D631C" w:rsidRDefault="00755B91" w:rsidP="00755B91">
      <w:pPr>
        <w:spacing w:before="120" w:after="120"/>
        <w:contextualSpacing/>
      </w:pPr>
    </w:p>
    <w:p w14:paraId="2388226E" w14:textId="77777777" w:rsidR="00755B91" w:rsidRPr="006D631C" w:rsidRDefault="00755B91" w:rsidP="00755B91">
      <w:pPr>
        <w:spacing w:before="120" w:after="120"/>
        <w:contextualSpacing/>
      </w:pPr>
    </w:p>
    <w:p w14:paraId="389D8FA8" w14:textId="77777777" w:rsidR="00755B91" w:rsidRPr="006D631C" w:rsidRDefault="00755B91" w:rsidP="00755B91">
      <w:pPr>
        <w:spacing w:before="120" w:after="120"/>
        <w:contextualSpacing/>
      </w:pPr>
    </w:p>
    <w:p w14:paraId="0F9CF4A1" w14:textId="77777777" w:rsidR="00755B91" w:rsidRPr="006D631C" w:rsidRDefault="00755B91" w:rsidP="00755B91">
      <w:pPr>
        <w:spacing w:before="120" w:after="120"/>
        <w:contextualSpacing/>
      </w:pPr>
    </w:p>
    <w:p w14:paraId="13617ABD" w14:textId="77777777" w:rsidR="00755B91" w:rsidRPr="006D631C" w:rsidRDefault="00755B91" w:rsidP="00755B91">
      <w:pPr>
        <w:spacing w:before="120" w:after="120"/>
        <w:contextualSpacing/>
      </w:pPr>
    </w:p>
    <w:p w14:paraId="1DAE6B9F" w14:textId="77777777" w:rsidR="00755B91" w:rsidRPr="006D631C" w:rsidRDefault="00755B91" w:rsidP="00755B91">
      <w:pPr>
        <w:spacing w:before="120" w:after="120"/>
        <w:contextualSpacing/>
      </w:pPr>
    </w:p>
    <w:p w14:paraId="476366C3" w14:textId="77777777" w:rsidR="00755B91" w:rsidRPr="006D631C" w:rsidRDefault="00755B91" w:rsidP="00755B91">
      <w:pPr>
        <w:autoSpaceDE w:val="0"/>
        <w:autoSpaceDN w:val="0"/>
        <w:adjustRightInd w:val="0"/>
        <w:spacing w:line="276" w:lineRule="auto"/>
        <w:jc w:val="center"/>
        <w:rPr>
          <w:color w:val="000000"/>
        </w:rPr>
      </w:pPr>
    </w:p>
    <w:p w14:paraId="4B6A22ED" w14:textId="77777777" w:rsidR="00755B91" w:rsidRPr="006D631C" w:rsidRDefault="00755B91" w:rsidP="00755B91">
      <w:pPr>
        <w:autoSpaceDE w:val="0"/>
        <w:autoSpaceDN w:val="0"/>
        <w:adjustRightInd w:val="0"/>
        <w:spacing w:line="276" w:lineRule="auto"/>
        <w:jc w:val="center"/>
        <w:rPr>
          <w:color w:val="000000"/>
        </w:rPr>
      </w:pPr>
    </w:p>
    <w:p w14:paraId="41CAC101" w14:textId="77777777" w:rsidR="00755B91" w:rsidRPr="006D631C" w:rsidRDefault="00755B91" w:rsidP="00755B91">
      <w:pPr>
        <w:autoSpaceDE w:val="0"/>
        <w:autoSpaceDN w:val="0"/>
        <w:adjustRightInd w:val="0"/>
        <w:spacing w:line="276" w:lineRule="auto"/>
        <w:jc w:val="center"/>
        <w:rPr>
          <w:color w:val="000000"/>
        </w:rPr>
      </w:pPr>
    </w:p>
    <w:p w14:paraId="1A5B1437" w14:textId="77777777" w:rsidR="00755B91" w:rsidRPr="006D631C" w:rsidRDefault="00755B91" w:rsidP="00755B91">
      <w:pPr>
        <w:autoSpaceDE w:val="0"/>
        <w:autoSpaceDN w:val="0"/>
        <w:adjustRightInd w:val="0"/>
        <w:spacing w:line="276" w:lineRule="auto"/>
        <w:jc w:val="center"/>
        <w:rPr>
          <w:color w:val="000000"/>
        </w:rPr>
      </w:pPr>
    </w:p>
    <w:p w14:paraId="33233515" w14:textId="77777777" w:rsidR="00755B91" w:rsidRPr="006D631C" w:rsidRDefault="00755B91" w:rsidP="00755B91">
      <w:pPr>
        <w:autoSpaceDE w:val="0"/>
        <w:autoSpaceDN w:val="0"/>
        <w:adjustRightInd w:val="0"/>
        <w:spacing w:line="276" w:lineRule="auto"/>
        <w:jc w:val="center"/>
        <w:rPr>
          <w:color w:val="000000"/>
        </w:rPr>
      </w:pPr>
    </w:p>
    <w:p w14:paraId="68B83BD2" w14:textId="77777777" w:rsidR="00755B91" w:rsidRPr="006D631C" w:rsidRDefault="00755B91" w:rsidP="00755B91">
      <w:pPr>
        <w:autoSpaceDE w:val="0"/>
        <w:autoSpaceDN w:val="0"/>
        <w:adjustRightInd w:val="0"/>
        <w:spacing w:line="276" w:lineRule="auto"/>
        <w:jc w:val="center"/>
        <w:rPr>
          <w:color w:val="000000"/>
        </w:rPr>
      </w:pPr>
    </w:p>
    <w:p w14:paraId="7EDBD548" w14:textId="77777777" w:rsidR="00755B91" w:rsidRPr="006D631C" w:rsidRDefault="00755B91" w:rsidP="00755B91">
      <w:pPr>
        <w:autoSpaceDE w:val="0"/>
        <w:autoSpaceDN w:val="0"/>
        <w:adjustRightInd w:val="0"/>
        <w:spacing w:line="276" w:lineRule="auto"/>
        <w:jc w:val="center"/>
        <w:rPr>
          <w:color w:val="000000"/>
        </w:rPr>
      </w:pPr>
    </w:p>
    <w:p w14:paraId="52921DDF" w14:textId="77777777" w:rsidR="00755B91" w:rsidRPr="006D631C" w:rsidRDefault="00755B91" w:rsidP="00755B91">
      <w:pPr>
        <w:autoSpaceDE w:val="0"/>
        <w:autoSpaceDN w:val="0"/>
        <w:adjustRightInd w:val="0"/>
        <w:spacing w:line="276" w:lineRule="auto"/>
        <w:jc w:val="center"/>
        <w:rPr>
          <w:color w:val="000000"/>
        </w:rPr>
      </w:pPr>
    </w:p>
    <w:p w14:paraId="4A90D172" w14:textId="77777777" w:rsidR="00755B91" w:rsidRPr="006D631C" w:rsidRDefault="00755B91" w:rsidP="00755B91">
      <w:pPr>
        <w:autoSpaceDE w:val="0"/>
        <w:autoSpaceDN w:val="0"/>
        <w:adjustRightInd w:val="0"/>
        <w:spacing w:line="276" w:lineRule="auto"/>
        <w:jc w:val="center"/>
        <w:rPr>
          <w:color w:val="000000"/>
        </w:rPr>
      </w:pPr>
    </w:p>
    <w:p w14:paraId="30BFEFA9" w14:textId="77777777" w:rsidR="00755B91" w:rsidRPr="006D631C" w:rsidRDefault="00755B91" w:rsidP="00755B91">
      <w:pPr>
        <w:autoSpaceDE w:val="0"/>
        <w:autoSpaceDN w:val="0"/>
        <w:adjustRightInd w:val="0"/>
        <w:spacing w:line="276" w:lineRule="auto"/>
        <w:jc w:val="center"/>
        <w:rPr>
          <w:color w:val="000000"/>
        </w:rPr>
      </w:pPr>
    </w:p>
    <w:p w14:paraId="4E59F9CA" w14:textId="77777777" w:rsidR="00755B91" w:rsidRPr="006D631C" w:rsidRDefault="00755B91" w:rsidP="00755B91">
      <w:pPr>
        <w:autoSpaceDE w:val="0"/>
        <w:autoSpaceDN w:val="0"/>
        <w:adjustRightInd w:val="0"/>
        <w:spacing w:line="276" w:lineRule="auto"/>
        <w:jc w:val="center"/>
        <w:rPr>
          <w:color w:val="000000"/>
        </w:rPr>
      </w:pPr>
    </w:p>
    <w:p w14:paraId="6CD09A97" w14:textId="77777777" w:rsidR="00755B91" w:rsidRPr="006D631C" w:rsidRDefault="00755B91" w:rsidP="00755B91">
      <w:pPr>
        <w:autoSpaceDE w:val="0"/>
        <w:autoSpaceDN w:val="0"/>
        <w:adjustRightInd w:val="0"/>
        <w:spacing w:line="276" w:lineRule="auto"/>
        <w:jc w:val="center"/>
        <w:rPr>
          <w:color w:val="000000"/>
        </w:rPr>
      </w:pPr>
    </w:p>
    <w:p w14:paraId="19C77564" w14:textId="77777777" w:rsidR="00755B91" w:rsidRPr="006D631C" w:rsidRDefault="00755B91" w:rsidP="00755B91">
      <w:pPr>
        <w:autoSpaceDE w:val="0"/>
        <w:autoSpaceDN w:val="0"/>
        <w:adjustRightInd w:val="0"/>
        <w:spacing w:line="276" w:lineRule="auto"/>
        <w:jc w:val="center"/>
        <w:rPr>
          <w:color w:val="000000"/>
        </w:rPr>
      </w:pPr>
    </w:p>
    <w:p w14:paraId="13EF2B69" w14:textId="77777777" w:rsidR="00755B91" w:rsidRPr="006D631C" w:rsidRDefault="00755B91" w:rsidP="00755B91">
      <w:pPr>
        <w:autoSpaceDE w:val="0"/>
        <w:autoSpaceDN w:val="0"/>
        <w:adjustRightInd w:val="0"/>
        <w:spacing w:line="276" w:lineRule="auto"/>
        <w:jc w:val="center"/>
        <w:rPr>
          <w:color w:val="000000"/>
        </w:rPr>
      </w:pPr>
    </w:p>
    <w:p w14:paraId="596129D1" w14:textId="77777777" w:rsidR="00755B91" w:rsidRPr="006D631C" w:rsidRDefault="00755B91" w:rsidP="00755B91">
      <w:pPr>
        <w:autoSpaceDE w:val="0"/>
        <w:autoSpaceDN w:val="0"/>
        <w:adjustRightInd w:val="0"/>
        <w:spacing w:line="276" w:lineRule="auto"/>
        <w:jc w:val="center"/>
        <w:rPr>
          <w:color w:val="000000"/>
        </w:rPr>
      </w:pPr>
    </w:p>
    <w:p w14:paraId="7F8E2C7C" w14:textId="77777777" w:rsidR="00755B91" w:rsidRPr="006D631C" w:rsidRDefault="00755B91" w:rsidP="00755B91">
      <w:pPr>
        <w:autoSpaceDE w:val="0"/>
        <w:autoSpaceDN w:val="0"/>
        <w:adjustRightInd w:val="0"/>
        <w:spacing w:line="276" w:lineRule="auto"/>
        <w:jc w:val="center"/>
        <w:rPr>
          <w:color w:val="000000"/>
        </w:rPr>
      </w:pPr>
    </w:p>
    <w:p w14:paraId="0C4D9107" w14:textId="77777777" w:rsidR="00755B91" w:rsidRPr="006D631C" w:rsidRDefault="00755B91" w:rsidP="00755B91">
      <w:pPr>
        <w:autoSpaceDE w:val="0"/>
        <w:autoSpaceDN w:val="0"/>
        <w:adjustRightInd w:val="0"/>
        <w:spacing w:line="276" w:lineRule="auto"/>
        <w:jc w:val="center"/>
        <w:rPr>
          <w:color w:val="000000"/>
        </w:rPr>
      </w:pPr>
    </w:p>
    <w:p w14:paraId="5B06213E" w14:textId="45BCB660" w:rsidR="00755B91" w:rsidRPr="006D631C" w:rsidRDefault="00755B91" w:rsidP="00B9696B">
      <w:pPr>
        <w:autoSpaceDE w:val="0"/>
        <w:autoSpaceDN w:val="0"/>
        <w:adjustRightInd w:val="0"/>
        <w:spacing w:line="276" w:lineRule="auto"/>
        <w:jc w:val="center"/>
        <w:rPr>
          <w:color w:val="000000"/>
        </w:rPr>
      </w:pPr>
      <w:r w:rsidRPr="006D631C">
        <w:rPr>
          <w:color w:val="000000"/>
        </w:rPr>
        <w:t xml:space="preserve">© Copyright </w:t>
      </w:r>
      <w:r w:rsidR="00646627" w:rsidRPr="006D631C">
        <w:rPr>
          <w:color w:val="000000"/>
        </w:rPr>
        <w:t xml:space="preserve">by </w:t>
      </w:r>
      <w:r w:rsidR="00B9696B" w:rsidRPr="006D631C">
        <w:rPr>
          <w:color w:val="000000"/>
        </w:rPr>
        <w:t>YOUNES SAADATGHAREHBAGH</w:t>
      </w:r>
      <w:r w:rsidRPr="006D631C">
        <w:rPr>
          <w:color w:val="000000"/>
        </w:rPr>
        <w:t xml:space="preserve"> 202</w:t>
      </w:r>
      <w:r w:rsidR="00B9696B" w:rsidRPr="006D631C">
        <w:rPr>
          <w:color w:val="000000"/>
        </w:rPr>
        <w:t>3</w:t>
      </w:r>
    </w:p>
    <w:p w14:paraId="3EED9A18" w14:textId="185AF957" w:rsidR="00056045" w:rsidRPr="006D631C" w:rsidRDefault="00755B91" w:rsidP="0087250C">
      <w:pPr>
        <w:spacing w:before="120" w:after="120" w:line="276" w:lineRule="auto"/>
        <w:contextualSpacing/>
        <w:jc w:val="center"/>
        <w:rPr>
          <w:color w:val="000000"/>
        </w:rPr>
      </w:pPr>
      <w:r w:rsidRPr="006D631C">
        <w:rPr>
          <w:color w:val="000000"/>
        </w:rPr>
        <w:t>All Rights Reserved.</w:t>
      </w:r>
      <w:bookmarkStart w:id="1" w:name="_Toc131082852"/>
      <w:bookmarkStart w:id="2" w:name="_Toc135920476"/>
    </w:p>
    <w:p w14:paraId="46F5F59C" w14:textId="77777777" w:rsidR="00056045" w:rsidRPr="006D631C" w:rsidRDefault="00056045" w:rsidP="00056045"/>
    <w:p w14:paraId="751C32D4" w14:textId="28323AD1" w:rsidR="00056045" w:rsidRPr="006D631C" w:rsidRDefault="00056045" w:rsidP="00056045"/>
    <w:p w14:paraId="387670E2" w14:textId="2C899999" w:rsidR="008E2736" w:rsidRPr="006D631C" w:rsidRDefault="008E2736" w:rsidP="00056045">
      <w:pPr>
        <w:tabs>
          <w:tab w:val="center" w:pos="4680"/>
        </w:tabs>
        <w:sectPr w:rsidR="008E2736" w:rsidRPr="006D631C" w:rsidSect="00D127AC">
          <w:pgSz w:w="12240" w:h="15840"/>
          <w:pgMar w:top="1440" w:right="1440" w:bottom="1440" w:left="1440" w:header="720" w:footer="720" w:gutter="0"/>
          <w:pgNumType w:fmt="lowerRoman" w:start="1"/>
          <w:cols w:space="720"/>
          <w:titlePg/>
          <w:docGrid w:linePitch="360"/>
        </w:sectPr>
      </w:pPr>
    </w:p>
    <w:p w14:paraId="718D4836" w14:textId="1F04D05C" w:rsidR="00646627" w:rsidRPr="006D631C" w:rsidRDefault="00C83905" w:rsidP="00F05179">
      <w:pPr>
        <w:jc w:val="center"/>
        <w:rPr>
          <w:b/>
          <w:bCs/>
          <w:sz w:val="32"/>
          <w:szCs w:val="32"/>
        </w:rPr>
      </w:pPr>
      <w:r w:rsidRPr="006D631C">
        <w:rPr>
          <w:b/>
          <w:bCs/>
          <w:sz w:val="32"/>
          <w:szCs w:val="32"/>
        </w:rPr>
        <w:lastRenderedPageBreak/>
        <w:t>Acknowledgmen</w:t>
      </w:r>
      <w:r w:rsidR="003730BD" w:rsidRPr="006D631C">
        <w:rPr>
          <w:b/>
          <w:bCs/>
          <w:sz w:val="32"/>
          <w:szCs w:val="32"/>
        </w:rPr>
        <w:t>t</w:t>
      </w:r>
      <w:bookmarkEnd w:id="1"/>
      <w:bookmarkEnd w:id="2"/>
    </w:p>
    <w:p w14:paraId="486DCEAB" w14:textId="77777777" w:rsidR="007C047A" w:rsidRPr="006D631C" w:rsidRDefault="00B036D4" w:rsidP="00520BE5">
      <w:pPr>
        <w:ind w:firstLine="357"/>
      </w:pPr>
      <w:r w:rsidRPr="006D631C">
        <w:t xml:space="preserve">I would </w:t>
      </w:r>
      <w:r w:rsidR="00DC010F" w:rsidRPr="006D631C">
        <w:t>like to</w:t>
      </w:r>
      <w:r w:rsidRPr="006D631C">
        <w:t xml:space="preserve"> </w:t>
      </w:r>
      <w:r w:rsidR="00DC010F" w:rsidRPr="006D631C">
        <w:t>express</w:t>
      </w:r>
      <w:r w:rsidRPr="006D631C">
        <w:t xml:space="preserve"> my thanks to all the individuals who assisted me in successfully completing my Ph.D. </w:t>
      </w:r>
      <w:r w:rsidR="007C047A" w:rsidRPr="006D631C">
        <w:t>thesis</w:t>
      </w:r>
      <w:r w:rsidRPr="006D631C">
        <w:t>.</w:t>
      </w:r>
    </w:p>
    <w:p w14:paraId="229C52AE" w14:textId="53C5EDD7" w:rsidR="00821CE3" w:rsidRPr="006D631C" w:rsidRDefault="007C047A" w:rsidP="00520BE5">
      <w:pPr>
        <w:ind w:firstLine="357"/>
      </w:pPr>
      <w:r w:rsidRPr="006D631C">
        <w:t>First</w:t>
      </w:r>
      <w:r w:rsidR="00B036D4" w:rsidRPr="006D631C">
        <w:t>, I am</w:t>
      </w:r>
      <w:r w:rsidR="00475BDD" w:rsidRPr="006D631C">
        <w:t xml:space="preserve"> highly</w:t>
      </w:r>
      <w:r w:rsidR="00B036D4" w:rsidRPr="006D631C">
        <w:t xml:space="preserve"> grateful for the continuous guidance and support I received from my advisor, Dr. Reza Foudazi. Not only he </w:t>
      </w:r>
      <w:r w:rsidRPr="006D631C">
        <w:t>provided me</w:t>
      </w:r>
      <w:r w:rsidR="00B036D4" w:rsidRPr="006D631C">
        <w:t xml:space="preserve"> technical assistance, but he also created a conducive and peaceful environment that enabled me to </w:t>
      </w:r>
      <w:r w:rsidR="00253BB4" w:rsidRPr="006D631C">
        <w:t>fulfill</w:t>
      </w:r>
      <w:r w:rsidR="00B036D4" w:rsidRPr="006D631C">
        <w:t xml:space="preserve"> my research </w:t>
      </w:r>
      <w:r w:rsidR="00253BB4" w:rsidRPr="006D631C">
        <w:t>goals</w:t>
      </w:r>
      <w:r w:rsidR="00B036D4" w:rsidRPr="006D631C">
        <w:t>.</w:t>
      </w:r>
      <w:r w:rsidR="00475BDD" w:rsidRPr="006D631C">
        <w:t xml:space="preserve"> I am also indebted to him for his invaluable support </w:t>
      </w:r>
      <w:r w:rsidR="00E002BB" w:rsidRPr="006D631C">
        <w:t xml:space="preserve">to secure my </w:t>
      </w:r>
      <w:r w:rsidR="003C7C9F" w:rsidRPr="006D631C">
        <w:t>current</w:t>
      </w:r>
      <w:r w:rsidR="00E002BB" w:rsidRPr="006D631C">
        <w:t xml:space="preserve"> job opportunity. </w:t>
      </w:r>
    </w:p>
    <w:p w14:paraId="235AD04E" w14:textId="2A1FC7F9" w:rsidR="006120F6" w:rsidRPr="006D631C" w:rsidRDefault="00821CE3" w:rsidP="00C92EB7">
      <w:pPr>
        <w:ind w:firstLine="357"/>
      </w:pPr>
      <w:r w:rsidRPr="006D631C">
        <w:t>I extend my heartfelt thanks to my dissertation committee- Dr. Brian P. Grady, Dr. Michele Galizia</w:t>
      </w:r>
      <w:r w:rsidR="003C7C9F" w:rsidRPr="006D631C">
        <w:t>,</w:t>
      </w:r>
      <w:r w:rsidRPr="006D631C">
        <w:t xml:space="preserve"> and Dr. Hamidreza Shabgard. I sincerely appreciate the time you invested and the support you provided. </w:t>
      </w:r>
      <w:r w:rsidR="00C92EB7" w:rsidRPr="006D631C">
        <w:t>In particular, I would like to extend my gratitude to Dr. Grady and Dr. Galizia for generously allowing me access to their laboratory equipment whenever it was needed.</w:t>
      </w:r>
      <w:r w:rsidR="00D7471E" w:rsidRPr="006D631C">
        <w:t xml:space="preserve"> </w:t>
      </w:r>
      <w:r w:rsidR="00C92EB7" w:rsidRPr="006D631C">
        <w:t xml:space="preserve"> </w:t>
      </w:r>
      <w:r w:rsidRPr="006D631C">
        <w:t xml:space="preserve">   </w:t>
      </w:r>
      <w:r w:rsidR="00E002BB" w:rsidRPr="006D631C">
        <w:t xml:space="preserve"> </w:t>
      </w:r>
      <w:r w:rsidR="00475BDD" w:rsidRPr="006D631C">
        <w:t xml:space="preserve"> </w:t>
      </w:r>
      <w:r w:rsidR="00253BB4" w:rsidRPr="006D631C">
        <w:t xml:space="preserve"> </w:t>
      </w:r>
      <w:r w:rsidR="00042F47" w:rsidRPr="006D631C">
        <w:t xml:space="preserve"> </w:t>
      </w:r>
    </w:p>
    <w:p w14:paraId="2713FC38" w14:textId="00AC3197" w:rsidR="007B022C" w:rsidRPr="006D631C" w:rsidRDefault="007B022C" w:rsidP="00520BE5">
      <w:pPr>
        <w:ind w:firstLine="357"/>
      </w:pPr>
      <w:r w:rsidRPr="006D631C">
        <w:t xml:space="preserve">I am truly </w:t>
      </w:r>
      <w:r w:rsidR="003C7C9F" w:rsidRPr="006D631C">
        <w:t>thankful</w:t>
      </w:r>
      <w:r w:rsidRPr="006D631C">
        <w:t xml:space="preserve"> of all the group membranes in </w:t>
      </w:r>
      <w:proofErr w:type="spellStart"/>
      <w:r w:rsidRPr="006D631C">
        <w:t>SMaRT</w:t>
      </w:r>
      <w:proofErr w:type="spellEnd"/>
      <w:r w:rsidRPr="006D631C">
        <w:t xml:space="preserve"> lab at both </w:t>
      </w:r>
      <w:r w:rsidR="003C7C9F" w:rsidRPr="006D631C">
        <w:t>New Mexico State University (</w:t>
      </w:r>
      <w:r w:rsidRPr="006D631C">
        <w:t>NMSU</w:t>
      </w:r>
      <w:r w:rsidR="003C7C9F" w:rsidRPr="006D631C">
        <w:t>)</w:t>
      </w:r>
      <w:r w:rsidRPr="006D631C">
        <w:t xml:space="preserve"> and OU who played an important role in enhancing my technical and personal experiences. </w:t>
      </w:r>
    </w:p>
    <w:p w14:paraId="78B16E2B" w14:textId="32B23E67" w:rsidR="007B022C" w:rsidRPr="006D631C" w:rsidRDefault="009914E0" w:rsidP="003719BF">
      <w:pPr>
        <w:ind w:firstLine="357"/>
      </w:pPr>
      <w:r w:rsidRPr="006D631C">
        <w:t xml:space="preserve">I would also like to extend my humble regards to the School of </w:t>
      </w:r>
      <w:r w:rsidR="003C7C9F" w:rsidRPr="006D631C">
        <w:t xml:space="preserve">Sustainable </w:t>
      </w:r>
      <w:r w:rsidRPr="006D631C">
        <w:t>Chemical, Biological and Materials Engineering (</w:t>
      </w:r>
      <w:r w:rsidR="003C7C9F" w:rsidRPr="006D631C">
        <w:t>S</w:t>
      </w:r>
      <w:r w:rsidRPr="006D631C">
        <w:t xml:space="preserve">CBME) </w:t>
      </w:r>
      <w:r w:rsidR="002E524D" w:rsidRPr="006D631C">
        <w:t>f</w:t>
      </w:r>
      <w:r w:rsidRPr="006D631C">
        <w:t xml:space="preserve">or their unwavering financial support, which enabled me to concentrate on my research without any financial concerns. </w:t>
      </w:r>
      <w:r w:rsidR="003719BF">
        <w:t xml:space="preserve">In addition, </w:t>
      </w:r>
      <w:r w:rsidR="00F93694">
        <w:t xml:space="preserve">I </w:t>
      </w:r>
      <w:r w:rsidR="00F93694" w:rsidRPr="00F93694">
        <w:t xml:space="preserve">would like to thank the support by the National Science Foundation (NSF) under grant no. </w:t>
      </w:r>
      <w:r w:rsidR="00F93694">
        <w:t>2212894</w:t>
      </w:r>
      <w:r w:rsidR="001A0507">
        <w:t xml:space="preserve"> (</w:t>
      </w:r>
      <w:r w:rsidR="001A0507" w:rsidRPr="001A0507">
        <w:t>1840871</w:t>
      </w:r>
      <w:r w:rsidR="001A0507">
        <w:t>)</w:t>
      </w:r>
      <w:r w:rsidR="00F93694" w:rsidRPr="00F93694">
        <w:t>.</w:t>
      </w:r>
    </w:p>
    <w:p w14:paraId="47C7960A" w14:textId="1F65F471" w:rsidR="00FC13B0" w:rsidRPr="006D631C" w:rsidRDefault="007B022C" w:rsidP="00BA0F5B">
      <w:pPr>
        <w:ind w:firstLine="357"/>
      </w:pPr>
      <w:r w:rsidRPr="006D631C">
        <w:t xml:space="preserve">  </w:t>
      </w:r>
      <w:r w:rsidR="00AC2FCB" w:rsidRPr="006D631C">
        <w:t>Last but not least, t</w:t>
      </w:r>
      <w:r w:rsidR="00F56EA1" w:rsidRPr="006D631C">
        <w:t xml:space="preserve">here are no words to show my gratitude towards my wife, Samira, for her patience, understanding, selfless sacrifices, and mental support throughout </w:t>
      </w:r>
      <w:r w:rsidR="00AC2FCB" w:rsidRPr="006D631C">
        <w:t>these years</w:t>
      </w:r>
      <w:r w:rsidR="00F56EA1" w:rsidRPr="006D631C">
        <w:t xml:space="preserve">. </w:t>
      </w:r>
      <w:r w:rsidR="00D6009D" w:rsidRPr="006D631C">
        <w:t>Thank you very much for everything.</w:t>
      </w:r>
    </w:p>
    <w:p w14:paraId="5D484F3E" w14:textId="68800271" w:rsidR="00FC13B0" w:rsidRPr="006D631C" w:rsidRDefault="00FC13B0" w:rsidP="00861405">
      <w:pPr>
        <w:pStyle w:val="TOC1"/>
      </w:pPr>
    </w:p>
    <w:p w14:paraId="1B43EE21" w14:textId="3C2AD10E" w:rsidR="006120F6" w:rsidRPr="006D631C" w:rsidRDefault="006120F6" w:rsidP="00C22E07">
      <w:pPr>
        <w:pStyle w:val="Heading1"/>
        <w:numPr>
          <w:ilvl w:val="0"/>
          <w:numId w:val="0"/>
        </w:numPr>
        <w:ind w:left="710"/>
        <w:jc w:val="center"/>
      </w:pPr>
      <w:bookmarkStart w:id="3" w:name="_Toc107603387"/>
      <w:bookmarkStart w:id="4" w:name="_Toc107854809"/>
      <w:bookmarkStart w:id="5" w:name="_Toc131082853"/>
      <w:bookmarkStart w:id="6" w:name="_Toc148175772"/>
      <w:bookmarkStart w:id="7" w:name="_GoBack"/>
      <w:bookmarkEnd w:id="7"/>
      <w:r w:rsidRPr="006D631C">
        <w:lastRenderedPageBreak/>
        <w:t>Abstract</w:t>
      </w:r>
      <w:bookmarkEnd w:id="3"/>
      <w:bookmarkEnd w:id="4"/>
      <w:bookmarkEnd w:id="5"/>
      <w:bookmarkEnd w:id="6"/>
    </w:p>
    <w:p w14:paraId="3FA94E85" w14:textId="27F41390" w:rsidR="007E3531" w:rsidRPr="006D631C" w:rsidRDefault="007E3531" w:rsidP="007E3531">
      <w:pPr>
        <w:ind w:firstLine="360"/>
      </w:pPr>
      <w:r w:rsidRPr="006D631C">
        <w:t xml:space="preserve">Lyotropic liquid crystal (LLC) templating is an efficient approach to synthesize nanostructured polymers with a wide range of applications, particularly in molecular separation. LLCs offer diverse nanostructures, but we focus on the lamellar and normal hexagonal phases due to their ability to facilitate continuous transport paths in two and three dimensions, respectively. This feature is particularly advantageous for membrane applications. The normal hexagonal phase is especially desirable as it eliminates the need for structural alignment. This dissertation presents a comprehensive investigation of transcriptive and </w:t>
      </w:r>
      <w:r w:rsidR="003C7C9F" w:rsidRPr="006D631C">
        <w:t>synergistic</w:t>
      </w:r>
      <w:r w:rsidRPr="006D631C">
        <w:t xml:space="preserve"> LLC templating approaches for synthesizing stimuli-responsive membranes. These membranes can alter their separation performance in response to external stimuli such as temperature and pH. </w:t>
      </w:r>
    </w:p>
    <w:p w14:paraId="687917FD" w14:textId="12DD5A5E" w:rsidR="007944F8" w:rsidRPr="006D631C" w:rsidRDefault="007944F8" w:rsidP="0081007D">
      <w:pPr>
        <w:ind w:firstLine="360"/>
      </w:pPr>
      <w:r w:rsidRPr="006D631C">
        <w:t>When it comes to transcriptive LLC templating, the preservation of the LLC structure after polymerization is highly dependent on polymerization kinetics.</w:t>
      </w:r>
      <w:r w:rsidR="00234FE5" w:rsidRPr="006D631C">
        <w:t xml:space="preserve"> </w:t>
      </w:r>
      <w:r w:rsidR="00033F82" w:rsidRPr="006D631C">
        <w:t xml:space="preserve">Therefore, this </w:t>
      </w:r>
      <w:r w:rsidR="00D236C0" w:rsidRPr="006D631C">
        <w:t xml:space="preserve">dissertation </w:t>
      </w:r>
      <w:r w:rsidR="00033F82" w:rsidRPr="006D631C">
        <w:t>examines the initiator-dependent thermal polymerization kinetics in LLC templates. The results indicate that both water-soluble and oil-soluble initiators effectively preserve the structure after the reaction. However, the use of a water-soluble initiator not only results in higher polymerization rates but also enhances the mechanical properties of the synthesized polymer.</w:t>
      </w:r>
      <w:r w:rsidR="006550AC" w:rsidRPr="006D631C">
        <w:t xml:space="preserve"> </w:t>
      </w:r>
      <w:r w:rsidR="00833115" w:rsidRPr="006D631C">
        <w:t xml:space="preserve">Transcriptive templating enables the production of two-step thermoresponsive </w:t>
      </w:r>
      <w:r w:rsidR="00116DB0" w:rsidRPr="006D631C">
        <w:t>ultrafiltration (</w:t>
      </w:r>
      <w:r w:rsidR="00833115" w:rsidRPr="006D631C">
        <w:t>UF</w:t>
      </w:r>
      <w:r w:rsidR="00116DB0" w:rsidRPr="006D631C">
        <w:t>)</w:t>
      </w:r>
      <w:r w:rsidR="00833115" w:rsidRPr="006D631C">
        <w:t xml:space="preserve"> membranes by employing the water-soluble initiator.</w:t>
      </w:r>
      <w:r w:rsidR="00423384" w:rsidRPr="006D631C">
        <w:t xml:space="preserve"> </w:t>
      </w:r>
      <w:r w:rsidR="00833115" w:rsidRPr="006D631C">
        <w:t xml:space="preserve"> </w:t>
      </w:r>
      <w:r w:rsidR="00A17C22" w:rsidRPr="006D631C">
        <w:t>T</w:t>
      </w:r>
      <w:r w:rsidR="00423384" w:rsidRPr="006D631C">
        <w:t xml:space="preserve">hermoresponsive Pluronic F127 (F127) block copolymer is utilized to initiate the thermal response in this study. The formation of an LLC with lamellar structure is achieved by combining the F127 block copolymer with water and hydrophobic monomers. Subsequently, polymerization leads to the creation of a cross-linked network that effectively immobilizes the F127 molecules. </w:t>
      </w:r>
      <w:r w:rsidR="00962F64" w:rsidRPr="006D631C">
        <w:t>The</w:t>
      </w:r>
      <w:r w:rsidR="00423384" w:rsidRPr="006D631C">
        <w:t xml:space="preserve"> resulting membrane exhibits adjustable pore sizes, ranging from 34.6 nm to 45.7 nm and 59.6 nm, as the temperature is increased</w:t>
      </w:r>
      <w:r w:rsidR="00962F64" w:rsidRPr="006D631C">
        <w:t xml:space="preserve"> from 25 °C</w:t>
      </w:r>
      <w:r w:rsidR="00423384" w:rsidRPr="006D631C">
        <w:t xml:space="preserve"> </w:t>
      </w:r>
      <w:r w:rsidR="00423384" w:rsidRPr="006D631C">
        <w:lastRenderedPageBreak/>
        <w:t>to 35</w:t>
      </w:r>
      <w:r w:rsidR="00962F64" w:rsidRPr="006D631C">
        <w:t xml:space="preserve"> </w:t>
      </w:r>
      <w:r w:rsidR="00423384" w:rsidRPr="006D631C">
        <w:t>°C and 50</w:t>
      </w:r>
      <w:r w:rsidR="00962F64" w:rsidRPr="006D631C">
        <w:t xml:space="preserve"> </w:t>
      </w:r>
      <w:r w:rsidR="00423384" w:rsidRPr="006D631C">
        <w:t xml:space="preserve">°C, respectively. Consequently, </w:t>
      </w:r>
      <w:r w:rsidR="00D236C0" w:rsidRPr="006D631C">
        <w:t xml:space="preserve">the </w:t>
      </w:r>
      <w:r w:rsidR="00423384" w:rsidRPr="006D631C">
        <w:t>membrane permeability</w:t>
      </w:r>
      <w:r w:rsidR="00D236C0" w:rsidRPr="006D631C">
        <w:t xml:space="preserve"> is enhanced</w:t>
      </w:r>
      <w:r w:rsidR="00423384" w:rsidRPr="006D631C">
        <w:t xml:space="preserve"> and molecular weight cutoff</w:t>
      </w:r>
      <w:r w:rsidR="00D236C0" w:rsidRPr="006D631C">
        <w:t xml:space="preserve"> (MWCO</w:t>
      </w:r>
      <w:r w:rsidR="00423384" w:rsidRPr="006D631C">
        <w:t>)</w:t>
      </w:r>
      <w:r w:rsidR="00D236C0" w:rsidRPr="006D631C">
        <w:t xml:space="preserve"> can be controlled</w:t>
      </w:r>
      <w:r w:rsidR="00423384" w:rsidRPr="006D631C">
        <w:t>. The observed two-step thermal response is attributed to the lower critical solution temperature (LCST) of F127 at 35</w:t>
      </w:r>
      <w:r w:rsidR="00F548BF" w:rsidRPr="006D631C">
        <w:t xml:space="preserve"> </w:t>
      </w:r>
      <w:r w:rsidR="00423384" w:rsidRPr="006D631C">
        <w:t xml:space="preserve">°C and the melting of the crystalline structure of </w:t>
      </w:r>
      <w:r w:rsidR="00F548BF" w:rsidRPr="006D631C">
        <w:t xml:space="preserve">its </w:t>
      </w:r>
      <w:r w:rsidR="00423384" w:rsidRPr="006D631C">
        <w:t>PEO</w:t>
      </w:r>
      <w:r w:rsidR="00F548BF" w:rsidRPr="006D631C">
        <w:t xml:space="preserve"> bock</w:t>
      </w:r>
      <w:r w:rsidR="00423384" w:rsidRPr="006D631C">
        <w:t xml:space="preserve"> at 50</w:t>
      </w:r>
      <w:r w:rsidR="00F548BF" w:rsidRPr="006D631C">
        <w:t xml:space="preserve"> </w:t>
      </w:r>
      <w:r w:rsidR="00423384" w:rsidRPr="006D631C">
        <w:t xml:space="preserve">°C. </w:t>
      </w:r>
      <w:r w:rsidR="00B41C49" w:rsidRPr="006D631C">
        <w:t>The results show</w:t>
      </w:r>
      <w:r w:rsidR="0081007D" w:rsidRPr="006D631C">
        <w:t xml:space="preserve"> that conducting membrane cleaning procedures at higher temperatures can enhance cleaning efficiency and prolong the lifespan of the membrane. This approach takes advantage of the temperature-dependent changes in porosity.</w:t>
      </w:r>
      <w:r w:rsidR="00833115" w:rsidRPr="006D631C">
        <w:t xml:space="preserve"> </w:t>
      </w:r>
      <w:r w:rsidR="00033F82" w:rsidRPr="006D631C">
        <w:t xml:space="preserve">  </w:t>
      </w:r>
      <w:r w:rsidR="00234FE5" w:rsidRPr="006D631C">
        <w:t xml:space="preserve"> </w:t>
      </w:r>
      <w:r w:rsidRPr="006D631C">
        <w:t xml:space="preserve"> </w:t>
      </w:r>
    </w:p>
    <w:p w14:paraId="0A454DC1" w14:textId="4C6775E2" w:rsidR="00135A9D" w:rsidRPr="006D631C" w:rsidRDefault="00116DB0" w:rsidP="001B38D1">
      <w:pPr>
        <w:ind w:firstLine="360"/>
      </w:pPr>
      <w:r w:rsidRPr="006D631C">
        <w:t>Synergistic LLC templating is employed using in-lab-synthesized polymerizable Pluronic P84</w:t>
      </w:r>
      <w:r w:rsidR="00944D52" w:rsidRPr="006D631C">
        <w:t xml:space="preserve"> surfactant</w:t>
      </w:r>
      <w:r w:rsidRPr="006D631C">
        <w:t xml:space="preserve"> to </w:t>
      </w:r>
      <w:r w:rsidR="00B41C49" w:rsidRPr="006D631C">
        <w:t xml:space="preserve">produce </w:t>
      </w:r>
      <w:r w:rsidRPr="006D631C">
        <w:t>H</w:t>
      </w:r>
      <w:r w:rsidRPr="006D631C">
        <w:rPr>
          <w:vertAlign w:val="subscript"/>
        </w:rPr>
        <w:t>1</w:t>
      </w:r>
      <w:r w:rsidRPr="006D631C">
        <w:t xml:space="preserve">-structured thermoresponsive </w:t>
      </w:r>
      <w:r w:rsidR="00B41C49" w:rsidRPr="006D631C">
        <w:t>ultrafiltration (</w:t>
      </w:r>
      <w:r w:rsidRPr="006D631C">
        <w:t>UF</w:t>
      </w:r>
      <w:r w:rsidR="00B41C49" w:rsidRPr="006D631C">
        <w:t>)</w:t>
      </w:r>
      <w:r w:rsidR="00E60829" w:rsidRPr="006D631C">
        <w:t xml:space="preserve"> and nanofiltration (NF)</w:t>
      </w:r>
      <w:r w:rsidRPr="006D631C">
        <w:t xml:space="preserve"> membranes. </w:t>
      </w:r>
      <w:r w:rsidR="00C80688" w:rsidRPr="006D631C">
        <w:t>Our research findings reveal that the synthesized membrane exhibits remarkable adaptability, as evidenced by its ability to modulate thickness-normalized flux from 28 to 68 liters m</w:t>
      </w:r>
      <w:r w:rsidR="00C80688" w:rsidRPr="006D631C">
        <w:rPr>
          <w:vertAlign w:val="superscript"/>
        </w:rPr>
        <w:t>−2</w:t>
      </w:r>
      <w:r w:rsidR="00C80688" w:rsidRPr="006D631C">
        <w:t xml:space="preserve"> hour</w:t>
      </w:r>
      <w:r w:rsidR="00C80688" w:rsidRPr="006D631C">
        <w:rPr>
          <w:vertAlign w:val="superscript"/>
        </w:rPr>
        <w:t>−1</w:t>
      </w:r>
      <w:r w:rsidR="00C80688" w:rsidRPr="006D631C">
        <w:t xml:space="preserve"> µm and pore size from 2.5 to 3.2 nm when the temperature is raised from 25 to 45 °C, respectively. Moreover, the membrane demonstrates exceptional resistance to fouling, as its permeability remains largely unaffected even after 60 </w:t>
      </w:r>
      <w:r w:rsidR="00B41C49" w:rsidRPr="006D631C">
        <w:t xml:space="preserve">h </w:t>
      </w:r>
      <w:r w:rsidR="00C80688" w:rsidRPr="006D631C">
        <w:t xml:space="preserve">of </w:t>
      </w:r>
      <w:r w:rsidR="00B41C49" w:rsidRPr="006D631C">
        <w:t>filtering</w:t>
      </w:r>
      <w:r w:rsidR="00C80688" w:rsidRPr="006D631C">
        <w:t xml:space="preserve"> charged and uncharged solutes. This outstanding antifouling behavior is attributed to the highly hydrophilic surface of the membrane.</w:t>
      </w:r>
      <w:r w:rsidR="0015139C" w:rsidRPr="006D631C">
        <w:t xml:space="preserve"> The addition of acrylic acid (</w:t>
      </w:r>
      <w:proofErr w:type="spellStart"/>
      <w:r w:rsidR="0015139C" w:rsidRPr="006D631C">
        <w:t>AAc</w:t>
      </w:r>
      <w:proofErr w:type="spellEnd"/>
      <w:r w:rsidR="0015139C" w:rsidRPr="006D631C">
        <w:t xml:space="preserve">) to the LLC formulation allows for the incorporation of additional functionality into this membrane. The resulting membrane exhibits the capability to effectively separate dissolved </w:t>
      </w:r>
      <w:r w:rsidR="001B38D1" w:rsidRPr="006D631C">
        <w:t xml:space="preserve">salts containing </w:t>
      </w:r>
      <w:r w:rsidR="0015139C" w:rsidRPr="006D631C">
        <w:t xml:space="preserve">trivalent and divalent </w:t>
      </w:r>
      <w:r w:rsidR="001B38D1" w:rsidRPr="006D631C">
        <w:t>anion</w:t>
      </w:r>
      <w:r w:rsidR="0015139C" w:rsidRPr="006D631C">
        <w:t xml:space="preserve"> from water. Furthermore, it demonstrates both pH-responsive and thermoresponsive behavior</w:t>
      </w:r>
      <w:r w:rsidR="00F13D8C" w:rsidRPr="006D631C">
        <w:t>s</w:t>
      </w:r>
      <w:r w:rsidR="0015139C" w:rsidRPr="006D631C">
        <w:t xml:space="preserve">. </w:t>
      </w:r>
      <w:r w:rsidR="000679C5" w:rsidRPr="006D631C">
        <w:t>By increasing the temperature from 25 to 45 °C, the membrane has the capability to alter its pore size from 2.2 to 2.6 nm, along with adjusting its thickness-normalized flux from 16 to 31 liters m</w:t>
      </w:r>
      <w:r w:rsidR="000679C5" w:rsidRPr="006D631C">
        <w:rPr>
          <w:vertAlign w:val="superscript"/>
        </w:rPr>
        <w:t>−2</w:t>
      </w:r>
      <w:r w:rsidR="000679C5" w:rsidRPr="006D631C">
        <w:t xml:space="preserve"> hour</w:t>
      </w:r>
      <w:r w:rsidR="000679C5" w:rsidRPr="006D631C">
        <w:rPr>
          <w:vertAlign w:val="superscript"/>
        </w:rPr>
        <w:t>−1</w:t>
      </w:r>
      <w:r w:rsidR="000679C5" w:rsidRPr="006D631C">
        <w:t xml:space="preserve"> µm</w:t>
      </w:r>
      <w:r w:rsidR="00786782" w:rsidRPr="006D631C">
        <w:t>, respectively</w:t>
      </w:r>
      <w:r w:rsidR="000679C5" w:rsidRPr="006D631C">
        <w:t xml:space="preserve">. </w:t>
      </w:r>
      <w:r w:rsidR="000C56B7" w:rsidRPr="006D631C">
        <w:t xml:space="preserve">The membrane effectively removes </w:t>
      </w:r>
      <w:r w:rsidR="001B38D1" w:rsidRPr="006D631C">
        <w:t xml:space="preserve">salts containing trivalent and divalent anion </w:t>
      </w:r>
      <w:r w:rsidR="000C56B7" w:rsidRPr="006D631C">
        <w:t xml:space="preserve">under neutral and alkaline pH conditions, with the option to </w:t>
      </w:r>
      <w:r w:rsidR="00F13D8C" w:rsidRPr="006D631C">
        <w:t xml:space="preserve">turn off </w:t>
      </w:r>
      <w:r w:rsidR="000C56B7" w:rsidRPr="006D631C">
        <w:t xml:space="preserve">its ion rejection capability by </w:t>
      </w:r>
      <w:r w:rsidR="000C56B7" w:rsidRPr="006D631C">
        <w:lastRenderedPageBreak/>
        <w:t>reducing the feed pH to 4.</w:t>
      </w:r>
      <w:r w:rsidR="000679C5" w:rsidRPr="006D631C">
        <w:t xml:space="preserve"> </w:t>
      </w:r>
      <w:r w:rsidR="00DF1EF2" w:rsidRPr="006D631C">
        <w:t>Additionally, the membrane displays remarkable selectivity for sulfate ions over chloride ions, making it an ideal choice for salt fractionation applications.</w:t>
      </w:r>
      <w:r w:rsidR="00C52295" w:rsidRPr="006D631C">
        <w:t xml:space="preserve"> </w:t>
      </w:r>
      <w:r w:rsidR="005014F7" w:rsidRPr="006D631C">
        <w:t xml:space="preserve">Our work on synergistic LLC templating has not only expanded the range of </w:t>
      </w:r>
      <w:r w:rsidR="00F13D8C" w:rsidRPr="006D631C">
        <w:t>achievable</w:t>
      </w:r>
      <w:r w:rsidR="00124FC6" w:rsidRPr="006D631C">
        <w:t xml:space="preserve"> </w:t>
      </w:r>
      <w:r w:rsidR="005014F7" w:rsidRPr="006D631C">
        <w:t>membrane pore sizes through this approach but also successfully produced stimuli-responsive H</w:t>
      </w:r>
      <w:r w:rsidR="005014F7" w:rsidRPr="006D631C">
        <w:rPr>
          <w:vertAlign w:val="subscript"/>
        </w:rPr>
        <w:t>1</w:t>
      </w:r>
      <w:r w:rsidR="005014F7" w:rsidRPr="006D631C">
        <w:t>-structured polyLLC membranes, which is a unique accomplishment.</w:t>
      </w:r>
    </w:p>
    <w:p w14:paraId="723D24CA" w14:textId="2EB94535" w:rsidR="003C095A" w:rsidRPr="006D631C" w:rsidRDefault="003C095A" w:rsidP="00D239A4"/>
    <w:p w14:paraId="30864C0E" w14:textId="22AE6B96" w:rsidR="000A5291" w:rsidRPr="006D631C" w:rsidRDefault="006120F6" w:rsidP="002C3F4D">
      <w:r w:rsidRPr="006D631C">
        <w:rPr>
          <w:b/>
          <w:bCs/>
        </w:rPr>
        <w:t>Keywords:</w:t>
      </w:r>
      <w:r w:rsidRPr="006D631C">
        <w:t xml:space="preserve"> </w:t>
      </w:r>
      <w:r w:rsidR="00D20B0D" w:rsidRPr="006D631C">
        <w:t xml:space="preserve">Stimuli-responsive membranes, Self-assembly, Lyotropic liquid crystals, </w:t>
      </w:r>
      <w:r w:rsidR="002C3F4D" w:rsidRPr="006D631C">
        <w:t>Mesophase templating,</w:t>
      </w:r>
      <w:r w:rsidR="00D20B0D" w:rsidRPr="006D631C">
        <w:t xml:space="preserve"> Fouling resistant, Nanofiltration, Ultrafiltration</w:t>
      </w:r>
      <w:r w:rsidR="002C3F4D" w:rsidRPr="006D631C">
        <w:t xml:space="preserve">, Polymerization kinetics </w:t>
      </w:r>
    </w:p>
    <w:p w14:paraId="3777B2DA" w14:textId="77777777" w:rsidR="00C838FE" w:rsidRPr="006D631C" w:rsidRDefault="00C838FE" w:rsidP="00D239A4">
      <w:pPr>
        <w:jc w:val="center"/>
        <w:rPr>
          <w:rFonts w:eastAsiaTheme="minorHAnsi"/>
          <w:b/>
          <w:bCs/>
        </w:rPr>
      </w:pPr>
    </w:p>
    <w:p w14:paraId="4D017B45" w14:textId="77777777" w:rsidR="00F32B82" w:rsidRPr="006D631C" w:rsidRDefault="00F32B82" w:rsidP="00D239A4">
      <w:pPr>
        <w:rPr>
          <w:rFonts w:eastAsiaTheme="minorHAnsi"/>
        </w:rPr>
      </w:pPr>
    </w:p>
    <w:p w14:paraId="08C9D847" w14:textId="77777777" w:rsidR="00C83905" w:rsidRPr="006D631C" w:rsidRDefault="00C83905" w:rsidP="00C83905">
      <w:pPr>
        <w:jc w:val="center"/>
        <w:rPr>
          <w:b/>
          <w:bCs/>
        </w:rPr>
      </w:pPr>
    </w:p>
    <w:p w14:paraId="7E7C6411" w14:textId="77777777" w:rsidR="00C83905" w:rsidRPr="006D631C" w:rsidRDefault="00C83905" w:rsidP="00C83905">
      <w:pPr>
        <w:jc w:val="center"/>
        <w:rPr>
          <w:b/>
          <w:bCs/>
        </w:rPr>
      </w:pPr>
    </w:p>
    <w:p w14:paraId="01ED850F" w14:textId="77777777" w:rsidR="00C83905" w:rsidRPr="006D631C" w:rsidRDefault="00C83905" w:rsidP="00C83905">
      <w:pPr>
        <w:jc w:val="center"/>
        <w:rPr>
          <w:b/>
          <w:bCs/>
        </w:rPr>
      </w:pPr>
    </w:p>
    <w:p w14:paraId="404457C4" w14:textId="77777777" w:rsidR="00C83905" w:rsidRPr="006D631C" w:rsidRDefault="00C83905" w:rsidP="00C83905">
      <w:pPr>
        <w:jc w:val="center"/>
        <w:rPr>
          <w:b/>
          <w:bCs/>
        </w:rPr>
      </w:pPr>
    </w:p>
    <w:p w14:paraId="4D6E7025" w14:textId="7DBA905C" w:rsidR="00A07D35" w:rsidRPr="006D631C" w:rsidRDefault="00A07D35" w:rsidP="00F35516">
      <w:pPr>
        <w:pStyle w:val="TOCHeading"/>
        <w:numPr>
          <w:ilvl w:val="0"/>
          <w:numId w:val="0"/>
        </w:numPr>
        <w:spacing w:after="240"/>
        <w:ind w:left="710"/>
        <w:rPr>
          <w:rFonts w:asciiTheme="minorHAnsi" w:hAnsiTheme="minorHAnsi" w:cstheme="minorHAnsi"/>
          <w:i/>
          <w:iCs/>
          <w:sz w:val="20"/>
          <w:szCs w:val="20"/>
        </w:rPr>
      </w:pPr>
    </w:p>
    <w:p w14:paraId="46FFA9E4" w14:textId="46108B81" w:rsidR="00A07D35" w:rsidRPr="006D631C" w:rsidRDefault="00A07D35" w:rsidP="00A07D35">
      <w:pPr>
        <w:pStyle w:val="Caption"/>
      </w:pPr>
    </w:p>
    <w:p w14:paraId="03C4AC35" w14:textId="27993C00" w:rsidR="003807CC" w:rsidRPr="006D631C" w:rsidRDefault="003807CC" w:rsidP="003807CC"/>
    <w:p w14:paraId="3C9FA34B" w14:textId="2B246645" w:rsidR="003807CC" w:rsidRPr="006D631C" w:rsidRDefault="003807CC" w:rsidP="00861405">
      <w:pPr>
        <w:pStyle w:val="TOC1"/>
      </w:pPr>
    </w:p>
    <w:p w14:paraId="2E743757" w14:textId="15111DC5" w:rsidR="003807CC" w:rsidRPr="006D631C" w:rsidRDefault="003807CC" w:rsidP="003807CC"/>
    <w:p w14:paraId="4CAFC424" w14:textId="77777777" w:rsidR="00E774E6" w:rsidRPr="006D631C" w:rsidRDefault="00E774E6" w:rsidP="00861405">
      <w:pPr>
        <w:pStyle w:val="TOC1"/>
      </w:pPr>
    </w:p>
    <w:p w14:paraId="54036AC1" w14:textId="64D26EE4" w:rsidR="003807CC" w:rsidRPr="006D631C" w:rsidRDefault="003807CC" w:rsidP="00861405">
      <w:pPr>
        <w:pStyle w:val="TOC1"/>
      </w:pPr>
    </w:p>
    <w:p w14:paraId="6D3A6F88" w14:textId="0B792A1B" w:rsidR="00094E56" w:rsidRPr="006D631C" w:rsidRDefault="00541150" w:rsidP="00F53354">
      <w:pPr>
        <w:pStyle w:val="Heading1"/>
        <w:numPr>
          <w:ilvl w:val="0"/>
          <w:numId w:val="0"/>
        </w:numPr>
        <w:tabs>
          <w:tab w:val="left" w:pos="6804"/>
        </w:tabs>
        <w:ind w:left="710"/>
        <w:jc w:val="center"/>
      </w:pPr>
      <w:bookmarkStart w:id="8" w:name="_Toc107603388"/>
      <w:bookmarkStart w:id="9" w:name="_Toc131082854"/>
      <w:bookmarkStart w:id="10" w:name="_Toc148175773"/>
      <w:r w:rsidRPr="006D631C">
        <w:lastRenderedPageBreak/>
        <w:t xml:space="preserve">Table of </w:t>
      </w:r>
      <w:r w:rsidR="00D849EF" w:rsidRPr="006D631C">
        <w:t>C</w:t>
      </w:r>
      <w:r w:rsidRPr="006D631C">
        <w:t>ontents</w:t>
      </w:r>
      <w:bookmarkStart w:id="11" w:name="_Toc105696841"/>
      <w:bookmarkStart w:id="12" w:name="_Toc107854810"/>
      <w:bookmarkEnd w:id="8"/>
      <w:bookmarkEnd w:id="9"/>
      <w:bookmarkEnd w:id="10"/>
    </w:p>
    <w:bookmarkStart w:id="13" w:name="_Toc131082855" w:displacedByCustomXml="next"/>
    <w:sdt>
      <w:sdtPr>
        <w:rPr>
          <w:rFonts w:ascii="Times New Roman" w:eastAsia="Times New Roman" w:hAnsi="Times New Roman" w:cs="Times New Roman"/>
          <w:b w:val="0"/>
          <w:color w:val="auto"/>
          <w:sz w:val="24"/>
          <w:szCs w:val="24"/>
        </w:rPr>
        <w:id w:val="-2071951772"/>
        <w:docPartObj>
          <w:docPartGallery w:val="Table of Contents"/>
          <w:docPartUnique/>
        </w:docPartObj>
      </w:sdtPr>
      <w:sdtEndPr>
        <w:rPr>
          <w:bCs/>
        </w:rPr>
      </w:sdtEndPr>
      <w:sdtContent>
        <w:p w14:paraId="40B1609F" w14:textId="0E1AC3D2" w:rsidR="004B642B" w:rsidRPr="006D631C" w:rsidRDefault="004B642B" w:rsidP="008F72AB">
          <w:pPr>
            <w:pStyle w:val="TOCHeading"/>
            <w:numPr>
              <w:ilvl w:val="0"/>
              <w:numId w:val="0"/>
            </w:numPr>
            <w:rPr>
              <w:sz w:val="2"/>
              <w:szCs w:val="2"/>
            </w:rPr>
          </w:pPr>
        </w:p>
        <w:p w14:paraId="640861E5" w14:textId="6981AF96" w:rsidR="0042745D" w:rsidRPr="006D631C" w:rsidRDefault="004B642B">
          <w:pPr>
            <w:pStyle w:val="TOC1"/>
            <w:rPr>
              <w:rFonts w:asciiTheme="minorHAnsi" w:eastAsiaTheme="minorEastAsia" w:hAnsiTheme="minorHAnsi" w:cstheme="minorBidi"/>
            </w:rPr>
          </w:pPr>
          <w:r w:rsidRPr="006D631C">
            <w:fldChar w:fldCharType="begin"/>
          </w:r>
          <w:r w:rsidRPr="006D631C">
            <w:instrText xml:space="preserve"> TOC \o "1-</w:instrText>
          </w:r>
          <w:r w:rsidR="00AE2F58" w:rsidRPr="006D631C">
            <w:instrText>6</w:instrText>
          </w:r>
          <w:r w:rsidRPr="006D631C">
            <w:instrText xml:space="preserve">" \h \z \u </w:instrText>
          </w:r>
          <w:r w:rsidRPr="006D631C">
            <w:fldChar w:fldCharType="separate"/>
          </w:r>
          <w:hyperlink w:anchor="_Toc148175772" w:history="1">
            <w:r w:rsidR="0042745D" w:rsidRPr="006D631C">
              <w:rPr>
                <w:rStyle w:val="Hyperlink"/>
              </w:rPr>
              <w:t>Abstract</w:t>
            </w:r>
            <w:r w:rsidR="0042745D" w:rsidRPr="006D631C">
              <w:rPr>
                <w:webHidden/>
              </w:rPr>
              <w:tab/>
            </w:r>
            <w:r w:rsidR="0042745D" w:rsidRPr="006D631C">
              <w:rPr>
                <w:webHidden/>
              </w:rPr>
              <w:fldChar w:fldCharType="begin"/>
            </w:r>
            <w:r w:rsidR="0042745D" w:rsidRPr="006D631C">
              <w:rPr>
                <w:webHidden/>
              </w:rPr>
              <w:instrText xml:space="preserve"> PAGEREF _Toc148175772 \h </w:instrText>
            </w:r>
            <w:r w:rsidR="0042745D" w:rsidRPr="006D631C">
              <w:rPr>
                <w:webHidden/>
              </w:rPr>
            </w:r>
            <w:r w:rsidR="0042745D" w:rsidRPr="006D631C">
              <w:rPr>
                <w:webHidden/>
              </w:rPr>
              <w:fldChar w:fldCharType="separate"/>
            </w:r>
            <w:r w:rsidR="0042745D" w:rsidRPr="006D631C">
              <w:rPr>
                <w:webHidden/>
              </w:rPr>
              <w:t>v</w:t>
            </w:r>
            <w:r w:rsidR="0042745D" w:rsidRPr="006D631C">
              <w:rPr>
                <w:webHidden/>
              </w:rPr>
              <w:fldChar w:fldCharType="end"/>
            </w:r>
          </w:hyperlink>
        </w:p>
        <w:p w14:paraId="30A06915" w14:textId="609D1260" w:rsidR="0042745D" w:rsidRPr="006D631C" w:rsidRDefault="001A0507">
          <w:pPr>
            <w:pStyle w:val="TOC1"/>
            <w:rPr>
              <w:rFonts w:asciiTheme="minorHAnsi" w:eastAsiaTheme="minorEastAsia" w:hAnsiTheme="minorHAnsi" w:cstheme="minorBidi"/>
            </w:rPr>
          </w:pPr>
          <w:hyperlink w:anchor="_Toc148175773" w:history="1">
            <w:r w:rsidR="0042745D" w:rsidRPr="006D631C">
              <w:rPr>
                <w:rStyle w:val="Hyperlink"/>
              </w:rPr>
              <w:t>Table of Contents</w:t>
            </w:r>
            <w:r w:rsidR="0042745D" w:rsidRPr="006D631C">
              <w:rPr>
                <w:webHidden/>
              </w:rPr>
              <w:tab/>
            </w:r>
            <w:r w:rsidR="0042745D" w:rsidRPr="006D631C">
              <w:rPr>
                <w:webHidden/>
              </w:rPr>
              <w:fldChar w:fldCharType="begin"/>
            </w:r>
            <w:r w:rsidR="0042745D" w:rsidRPr="006D631C">
              <w:rPr>
                <w:webHidden/>
              </w:rPr>
              <w:instrText xml:space="preserve"> PAGEREF _Toc148175773 \h </w:instrText>
            </w:r>
            <w:r w:rsidR="0042745D" w:rsidRPr="006D631C">
              <w:rPr>
                <w:webHidden/>
              </w:rPr>
            </w:r>
            <w:r w:rsidR="0042745D" w:rsidRPr="006D631C">
              <w:rPr>
                <w:webHidden/>
              </w:rPr>
              <w:fldChar w:fldCharType="separate"/>
            </w:r>
            <w:r w:rsidR="0042745D" w:rsidRPr="006D631C">
              <w:rPr>
                <w:webHidden/>
              </w:rPr>
              <w:t>viii</w:t>
            </w:r>
            <w:r w:rsidR="0042745D" w:rsidRPr="006D631C">
              <w:rPr>
                <w:webHidden/>
              </w:rPr>
              <w:fldChar w:fldCharType="end"/>
            </w:r>
          </w:hyperlink>
        </w:p>
        <w:p w14:paraId="14EC163C" w14:textId="557F5BB5" w:rsidR="0042745D" w:rsidRPr="006D631C" w:rsidRDefault="001A0507">
          <w:pPr>
            <w:pStyle w:val="TOC1"/>
            <w:rPr>
              <w:rFonts w:asciiTheme="minorHAnsi" w:eastAsiaTheme="minorEastAsia" w:hAnsiTheme="minorHAnsi" w:cstheme="minorBidi"/>
            </w:rPr>
          </w:pPr>
          <w:hyperlink w:anchor="_Toc148175774" w:history="1">
            <w:r w:rsidR="0042745D" w:rsidRPr="006D631C">
              <w:rPr>
                <w:rStyle w:val="Hyperlink"/>
              </w:rPr>
              <w:t>List of Figures</w:t>
            </w:r>
            <w:r w:rsidR="0042745D" w:rsidRPr="006D631C">
              <w:rPr>
                <w:webHidden/>
              </w:rPr>
              <w:tab/>
            </w:r>
            <w:r w:rsidR="0042745D" w:rsidRPr="006D631C">
              <w:rPr>
                <w:webHidden/>
              </w:rPr>
              <w:fldChar w:fldCharType="begin"/>
            </w:r>
            <w:r w:rsidR="0042745D" w:rsidRPr="006D631C">
              <w:rPr>
                <w:webHidden/>
              </w:rPr>
              <w:instrText xml:space="preserve"> PAGEREF _Toc148175774 \h </w:instrText>
            </w:r>
            <w:r w:rsidR="0042745D" w:rsidRPr="006D631C">
              <w:rPr>
                <w:webHidden/>
              </w:rPr>
            </w:r>
            <w:r w:rsidR="0042745D" w:rsidRPr="006D631C">
              <w:rPr>
                <w:webHidden/>
              </w:rPr>
              <w:fldChar w:fldCharType="separate"/>
            </w:r>
            <w:r w:rsidR="0042745D" w:rsidRPr="006D631C">
              <w:rPr>
                <w:webHidden/>
              </w:rPr>
              <w:t>xiv</w:t>
            </w:r>
            <w:r w:rsidR="0042745D" w:rsidRPr="006D631C">
              <w:rPr>
                <w:webHidden/>
              </w:rPr>
              <w:fldChar w:fldCharType="end"/>
            </w:r>
          </w:hyperlink>
        </w:p>
        <w:p w14:paraId="401DB9D6" w14:textId="6C9DBD5C" w:rsidR="0042745D" w:rsidRPr="006D631C" w:rsidRDefault="001A0507">
          <w:pPr>
            <w:pStyle w:val="TOC1"/>
            <w:rPr>
              <w:rFonts w:asciiTheme="minorHAnsi" w:eastAsiaTheme="minorEastAsia" w:hAnsiTheme="minorHAnsi" w:cstheme="minorBidi"/>
            </w:rPr>
          </w:pPr>
          <w:hyperlink w:anchor="_Toc148175775" w:history="1">
            <w:r w:rsidR="0042745D" w:rsidRPr="006D631C">
              <w:rPr>
                <w:rStyle w:val="Hyperlink"/>
              </w:rPr>
              <w:t>List of Tables</w:t>
            </w:r>
            <w:r w:rsidR="0042745D" w:rsidRPr="006D631C">
              <w:rPr>
                <w:webHidden/>
              </w:rPr>
              <w:tab/>
            </w:r>
            <w:r w:rsidR="0042745D" w:rsidRPr="006D631C">
              <w:rPr>
                <w:webHidden/>
              </w:rPr>
              <w:fldChar w:fldCharType="begin"/>
            </w:r>
            <w:r w:rsidR="0042745D" w:rsidRPr="006D631C">
              <w:rPr>
                <w:webHidden/>
              </w:rPr>
              <w:instrText xml:space="preserve"> PAGEREF _Toc148175775 \h </w:instrText>
            </w:r>
            <w:r w:rsidR="0042745D" w:rsidRPr="006D631C">
              <w:rPr>
                <w:webHidden/>
              </w:rPr>
            </w:r>
            <w:r w:rsidR="0042745D" w:rsidRPr="006D631C">
              <w:rPr>
                <w:webHidden/>
              </w:rPr>
              <w:fldChar w:fldCharType="separate"/>
            </w:r>
            <w:r w:rsidR="0042745D" w:rsidRPr="006D631C">
              <w:rPr>
                <w:webHidden/>
              </w:rPr>
              <w:t>xxi</w:t>
            </w:r>
            <w:r w:rsidR="0042745D" w:rsidRPr="006D631C">
              <w:rPr>
                <w:webHidden/>
              </w:rPr>
              <w:fldChar w:fldCharType="end"/>
            </w:r>
          </w:hyperlink>
        </w:p>
        <w:p w14:paraId="4F6F2FDE" w14:textId="5F35DFC4" w:rsidR="0042745D" w:rsidRPr="006D631C" w:rsidRDefault="001A0507">
          <w:pPr>
            <w:pStyle w:val="TOC1"/>
            <w:rPr>
              <w:rFonts w:asciiTheme="minorHAnsi" w:eastAsiaTheme="minorEastAsia" w:hAnsiTheme="minorHAnsi" w:cstheme="minorBidi"/>
            </w:rPr>
          </w:pPr>
          <w:hyperlink w:anchor="_Toc148175776" w:history="1">
            <w:r w:rsidR="0042745D" w:rsidRPr="006D631C">
              <w:rPr>
                <w:rStyle w:val="Hyperlink"/>
                <w:bCs/>
                <w14:scene3d>
                  <w14:camera w14:prst="orthographicFront"/>
                  <w14:lightRig w14:rig="threePt" w14:dir="t">
                    <w14:rot w14:lat="0" w14:lon="0" w14:rev="0"/>
                  </w14:lightRig>
                </w14:scene3d>
              </w:rPr>
              <w:t>CHAPTER 1:</w:t>
            </w:r>
            <w:r w:rsidR="0042745D" w:rsidRPr="006D631C">
              <w:rPr>
                <w:rStyle w:val="Hyperlink"/>
              </w:rPr>
              <w:t xml:space="preserve"> INTRODUCTION</w:t>
            </w:r>
            <w:r w:rsidR="0042745D" w:rsidRPr="006D631C">
              <w:rPr>
                <w:webHidden/>
              </w:rPr>
              <w:tab/>
            </w:r>
            <w:r w:rsidR="0042745D" w:rsidRPr="006D631C">
              <w:rPr>
                <w:webHidden/>
              </w:rPr>
              <w:fldChar w:fldCharType="begin"/>
            </w:r>
            <w:r w:rsidR="0042745D" w:rsidRPr="006D631C">
              <w:rPr>
                <w:webHidden/>
              </w:rPr>
              <w:instrText xml:space="preserve"> PAGEREF _Toc148175776 \h </w:instrText>
            </w:r>
            <w:r w:rsidR="0042745D" w:rsidRPr="006D631C">
              <w:rPr>
                <w:webHidden/>
              </w:rPr>
            </w:r>
            <w:r w:rsidR="0042745D" w:rsidRPr="006D631C">
              <w:rPr>
                <w:webHidden/>
              </w:rPr>
              <w:fldChar w:fldCharType="separate"/>
            </w:r>
            <w:r w:rsidR="0042745D" w:rsidRPr="006D631C">
              <w:rPr>
                <w:webHidden/>
              </w:rPr>
              <w:t>1</w:t>
            </w:r>
            <w:r w:rsidR="0042745D" w:rsidRPr="006D631C">
              <w:rPr>
                <w:webHidden/>
              </w:rPr>
              <w:fldChar w:fldCharType="end"/>
            </w:r>
          </w:hyperlink>
        </w:p>
        <w:p w14:paraId="778C2B6A" w14:textId="11DDDD19" w:rsidR="0042745D" w:rsidRPr="006D631C" w:rsidRDefault="001A0507">
          <w:pPr>
            <w:pStyle w:val="TOC2"/>
            <w:rPr>
              <w:rFonts w:asciiTheme="minorHAnsi" w:eastAsiaTheme="minorEastAsia" w:hAnsiTheme="minorHAnsi" w:cstheme="minorBidi"/>
              <w:iCs w:val="0"/>
              <w:szCs w:val="22"/>
            </w:rPr>
          </w:pPr>
          <w:hyperlink w:anchor="_Toc148175777" w:history="1">
            <w:r w:rsidR="0042745D" w:rsidRPr="006D631C">
              <w:rPr>
                <w:rStyle w:val="Hyperlink"/>
              </w:rPr>
              <w:t>1.1 Self-assembled surfactant phases</w:t>
            </w:r>
            <w:r w:rsidR="0042745D" w:rsidRPr="006D631C">
              <w:rPr>
                <w:webHidden/>
              </w:rPr>
              <w:tab/>
            </w:r>
            <w:r w:rsidR="0042745D" w:rsidRPr="006D631C">
              <w:rPr>
                <w:webHidden/>
              </w:rPr>
              <w:fldChar w:fldCharType="begin"/>
            </w:r>
            <w:r w:rsidR="0042745D" w:rsidRPr="006D631C">
              <w:rPr>
                <w:webHidden/>
              </w:rPr>
              <w:instrText xml:space="preserve"> PAGEREF _Toc148175777 \h </w:instrText>
            </w:r>
            <w:r w:rsidR="0042745D" w:rsidRPr="006D631C">
              <w:rPr>
                <w:webHidden/>
              </w:rPr>
            </w:r>
            <w:r w:rsidR="0042745D" w:rsidRPr="006D631C">
              <w:rPr>
                <w:webHidden/>
              </w:rPr>
              <w:fldChar w:fldCharType="separate"/>
            </w:r>
            <w:r w:rsidR="0042745D" w:rsidRPr="006D631C">
              <w:rPr>
                <w:webHidden/>
              </w:rPr>
              <w:t>1</w:t>
            </w:r>
            <w:r w:rsidR="0042745D" w:rsidRPr="006D631C">
              <w:rPr>
                <w:webHidden/>
              </w:rPr>
              <w:fldChar w:fldCharType="end"/>
            </w:r>
          </w:hyperlink>
        </w:p>
        <w:p w14:paraId="576A848E" w14:textId="4F1696B8" w:rsidR="0042745D" w:rsidRPr="006D631C" w:rsidRDefault="001A0507">
          <w:pPr>
            <w:pStyle w:val="TOC2"/>
            <w:rPr>
              <w:rFonts w:asciiTheme="minorHAnsi" w:eastAsiaTheme="minorEastAsia" w:hAnsiTheme="minorHAnsi" w:cstheme="minorBidi"/>
              <w:iCs w:val="0"/>
              <w:szCs w:val="22"/>
            </w:rPr>
          </w:pPr>
          <w:hyperlink w:anchor="_Toc148175778" w:history="1">
            <w:r w:rsidR="0042745D" w:rsidRPr="006D631C">
              <w:rPr>
                <w:rStyle w:val="Hyperlink"/>
              </w:rPr>
              <w:t>1.2 Characteristics of LLC structures</w:t>
            </w:r>
            <w:r w:rsidR="0042745D" w:rsidRPr="006D631C">
              <w:rPr>
                <w:webHidden/>
              </w:rPr>
              <w:tab/>
            </w:r>
            <w:r w:rsidR="0042745D" w:rsidRPr="006D631C">
              <w:rPr>
                <w:webHidden/>
              </w:rPr>
              <w:fldChar w:fldCharType="begin"/>
            </w:r>
            <w:r w:rsidR="0042745D" w:rsidRPr="006D631C">
              <w:rPr>
                <w:webHidden/>
              </w:rPr>
              <w:instrText xml:space="preserve"> PAGEREF _Toc148175778 \h </w:instrText>
            </w:r>
            <w:r w:rsidR="0042745D" w:rsidRPr="006D631C">
              <w:rPr>
                <w:webHidden/>
              </w:rPr>
            </w:r>
            <w:r w:rsidR="0042745D" w:rsidRPr="006D631C">
              <w:rPr>
                <w:webHidden/>
              </w:rPr>
              <w:fldChar w:fldCharType="separate"/>
            </w:r>
            <w:r w:rsidR="0042745D" w:rsidRPr="006D631C">
              <w:rPr>
                <w:webHidden/>
              </w:rPr>
              <w:t>16</w:t>
            </w:r>
            <w:r w:rsidR="0042745D" w:rsidRPr="006D631C">
              <w:rPr>
                <w:webHidden/>
              </w:rPr>
              <w:fldChar w:fldCharType="end"/>
            </w:r>
          </w:hyperlink>
        </w:p>
        <w:p w14:paraId="2C6C2FF3" w14:textId="161E99DB"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79" w:history="1">
            <w:r w:rsidR="0042745D" w:rsidRPr="006D631C">
              <w:rPr>
                <w:rStyle w:val="Hyperlink"/>
                <w:noProof/>
              </w:rPr>
              <w:t>1.2.1 Hexagonal (H</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_Toc148175779 \h </w:instrText>
            </w:r>
            <w:r w:rsidR="0042745D" w:rsidRPr="006D631C">
              <w:rPr>
                <w:noProof/>
                <w:webHidden/>
              </w:rPr>
            </w:r>
            <w:r w:rsidR="0042745D" w:rsidRPr="006D631C">
              <w:rPr>
                <w:noProof/>
                <w:webHidden/>
              </w:rPr>
              <w:fldChar w:fldCharType="separate"/>
            </w:r>
            <w:r w:rsidR="0042745D" w:rsidRPr="006D631C">
              <w:rPr>
                <w:noProof/>
                <w:webHidden/>
              </w:rPr>
              <w:t>16</w:t>
            </w:r>
            <w:r w:rsidR="0042745D" w:rsidRPr="006D631C">
              <w:rPr>
                <w:noProof/>
                <w:webHidden/>
              </w:rPr>
              <w:fldChar w:fldCharType="end"/>
            </w:r>
          </w:hyperlink>
        </w:p>
        <w:p w14:paraId="4D785A7D" w14:textId="12B69551"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80" w:history="1">
            <w:r w:rsidR="0042745D" w:rsidRPr="006D631C">
              <w:rPr>
                <w:rStyle w:val="Hyperlink"/>
                <w:noProof/>
              </w:rPr>
              <w:t>1.2.2 Lamellar (L</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_Toc148175780 \h </w:instrText>
            </w:r>
            <w:r w:rsidR="0042745D" w:rsidRPr="006D631C">
              <w:rPr>
                <w:noProof/>
                <w:webHidden/>
              </w:rPr>
            </w:r>
            <w:r w:rsidR="0042745D" w:rsidRPr="006D631C">
              <w:rPr>
                <w:noProof/>
                <w:webHidden/>
              </w:rPr>
              <w:fldChar w:fldCharType="separate"/>
            </w:r>
            <w:r w:rsidR="0042745D" w:rsidRPr="006D631C">
              <w:rPr>
                <w:noProof/>
                <w:webHidden/>
              </w:rPr>
              <w:t>19</w:t>
            </w:r>
            <w:r w:rsidR="0042745D" w:rsidRPr="006D631C">
              <w:rPr>
                <w:noProof/>
                <w:webHidden/>
              </w:rPr>
              <w:fldChar w:fldCharType="end"/>
            </w:r>
          </w:hyperlink>
        </w:p>
        <w:p w14:paraId="1D3445C1" w14:textId="7614173F"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81" w:history="1">
            <w:r w:rsidR="0042745D" w:rsidRPr="006D631C">
              <w:rPr>
                <w:rStyle w:val="Hyperlink"/>
                <w:noProof/>
              </w:rPr>
              <w:t>1.2.3 Bicontinuous cubic (Q</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_Toc148175781 \h </w:instrText>
            </w:r>
            <w:r w:rsidR="0042745D" w:rsidRPr="006D631C">
              <w:rPr>
                <w:noProof/>
                <w:webHidden/>
              </w:rPr>
            </w:r>
            <w:r w:rsidR="0042745D" w:rsidRPr="006D631C">
              <w:rPr>
                <w:noProof/>
                <w:webHidden/>
              </w:rPr>
              <w:fldChar w:fldCharType="separate"/>
            </w:r>
            <w:r w:rsidR="0042745D" w:rsidRPr="006D631C">
              <w:rPr>
                <w:noProof/>
                <w:webHidden/>
              </w:rPr>
              <w:t>21</w:t>
            </w:r>
            <w:r w:rsidR="0042745D" w:rsidRPr="006D631C">
              <w:rPr>
                <w:noProof/>
                <w:webHidden/>
              </w:rPr>
              <w:fldChar w:fldCharType="end"/>
            </w:r>
          </w:hyperlink>
        </w:p>
        <w:p w14:paraId="7964B681" w14:textId="5D0934E2"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82" w:history="1">
            <w:r w:rsidR="0042745D" w:rsidRPr="006D631C">
              <w:rPr>
                <w:rStyle w:val="Hyperlink"/>
                <w:noProof/>
              </w:rPr>
              <w:t>1.2.4 Discontinuous cubic (I</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_Toc148175782 \h </w:instrText>
            </w:r>
            <w:r w:rsidR="0042745D" w:rsidRPr="006D631C">
              <w:rPr>
                <w:noProof/>
                <w:webHidden/>
              </w:rPr>
            </w:r>
            <w:r w:rsidR="0042745D" w:rsidRPr="006D631C">
              <w:rPr>
                <w:noProof/>
                <w:webHidden/>
              </w:rPr>
              <w:fldChar w:fldCharType="separate"/>
            </w:r>
            <w:r w:rsidR="0042745D" w:rsidRPr="006D631C">
              <w:rPr>
                <w:noProof/>
                <w:webHidden/>
              </w:rPr>
              <w:t>22</w:t>
            </w:r>
            <w:r w:rsidR="0042745D" w:rsidRPr="006D631C">
              <w:rPr>
                <w:noProof/>
                <w:webHidden/>
              </w:rPr>
              <w:fldChar w:fldCharType="end"/>
            </w:r>
          </w:hyperlink>
        </w:p>
        <w:p w14:paraId="27BA7850" w14:textId="2BDB2CC0"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83" w:history="1">
            <w:r w:rsidR="0042745D" w:rsidRPr="006D631C">
              <w:rPr>
                <w:rStyle w:val="Hyperlink"/>
                <w:noProof/>
              </w:rPr>
              <w:t>1.2.5 Other LLC structures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_Toc148175783 \h </w:instrText>
            </w:r>
            <w:r w:rsidR="0042745D" w:rsidRPr="006D631C">
              <w:rPr>
                <w:noProof/>
                <w:webHidden/>
              </w:rPr>
            </w:r>
            <w:r w:rsidR="0042745D" w:rsidRPr="006D631C">
              <w:rPr>
                <w:noProof/>
                <w:webHidden/>
              </w:rPr>
              <w:fldChar w:fldCharType="separate"/>
            </w:r>
            <w:r w:rsidR="0042745D" w:rsidRPr="006D631C">
              <w:rPr>
                <w:noProof/>
                <w:webHidden/>
              </w:rPr>
              <w:t>23</w:t>
            </w:r>
            <w:r w:rsidR="0042745D" w:rsidRPr="006D631C">
              <w:rPr>
                <w:noProof/>
                <w:webHidden/>
              </w:rPr>
              <w:fldChar w:fldCharType="end"/>
            </w:r>
          </w:hyperlink>
        </w:p>
        <w:p w14:paraId="37A65BDF" w14:textId="6129DC66" w:rsidR="0042745D" w:rsidRPr="006D631C" w:rsidRDefault="001A0507">
          <w:pPr>
            <w:pStyle w:val="TOC2"/>
            <w:rPr>
              <w:rFonts w:asciiTheme="minorHAnsi" w:eastAsiaTheme="minorEastAsia" w:hAnsiTheme="minorHAnsi" w:cstheme="minorBidi"/>
              <w:iCs w:val="0"/>
              <w:szCs w:val="22"/>
            </w:rPr>
          </w:pPr>
          <w:hyperlink w:anchor="_Toc148175784" w:history="1">
            <w:r w:rsidR="0042745D" w:rsidRPr="006D631C">
              <w:rPr>
                <w:rStyle w:val="Hyperlink"/>
              </w:rPr>
              <w:t>1.3 Synergistic LLC templating</w:t>
            </w:r>
            <w:r w:rsidR="0042745D" w:rsidRPr="006D631C">
              <w:rPr>
                <w:webHidden/>
              </w:rPr>
              <w:tab/>
            </w:r>
            <w:r w:rsidR="0042745D" w:rsidRPr="006D631C">
              <w:rPr>
                <w:webHidden/>
              </w:rPr>
              <w:fldChar w:fldCharType="begin"/>
            </w:r>
            <w:r w:rsidR="0042745D" w:rsidRPr="006D631C">
              <w:rPr>
                <w:webHidden/>
              </w:rPr>
              <w:instrText xml:space="preserve"> PAGEREF _Toc148175784 \h </w:instrText>
            </w:r>
            <w:r w:rsidR="0042745D" w:rsidRPr="006D631C">
              <w:rPr>
                <w:webHidden/>
              </w:rPr>
            </w:r>
            <w:r w:rsidR="0042745D" w:rsidRPr="006D631C">
              <w:rPr>
                <w:webHidden/>
              </w:rPr>
              <w:fldChar w:fldCharType="separate"/>
            </w:r>
            <w:r w:rsidR="0042745D" w:rsidRPr="006D631C">
              <w:rPr>
                <w:webHidden/>
              </w:rPr>
              <w:t>26</w:t>
            </w:r>
            <w:r w:rsidR="0042745D" w:rsidRPr="006D631C">
              <w:rPr>
                <w:webHidden/>
              </w:rPr>
              <w:fldChar w:fldCharType="end"/>
            </w:r>
          </w:hyperlink>
        </w:p>
        <w:p w14:paraId="041F4671" w14:textId="785B0E14"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85" w:history="1">
            <w:r w:rsidR="0042745D" w:rsidRPr="006D631C">
              <w:rPr>
                <w:rStyle w:val="Hyperlink"/>
                <w:noProof/>
              </w:rPr>
              <w:t>1.3.1 Hexagonal (H</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_Toc148175785 \h </w:instrText>
            </w:r>
            <w:r w:rsidR="0042745D" w:rsidRPr="006D631C">
              <w:rPr>
                <w:noProof/>
                <w:webHidden/>
              </w:rPr>
            </w:r>
            <w:r w:rsidR="0042745D" w:rsidRPr="006D631C">
              <w:rPr>
                <w:noProof/>
                <w:webHidden/>
              </w:rPr>
              <w:fldChar w:fldCharType="separate"/>
            </w:r>
            <w:r w:rsidR="0042745D" w:rsidRPr="006D631C">
              <w:rPr>
                <w:noProof/>
                <w:webHidden/>
              </w:rPr>
              <w:t>27</w:t>
            </w:r>
            <w:r w:rsidR="0042745D" w:rsidRPr="006D631C">
              <w:rPr>
                <w:noProof/>
                <w:webHidden/>
              </w:rPr>
              <w:fldChar w:fldCharType="end"/>
            </w:r>
          </w:hyperlink>
        </w:p>
        <w:p w14:paraId="3EDE1B04" w14:textId="5EBF2C9F"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86" w:history="1">
            <w:r w:rsidR="0042745D" w:rsidRPr="006D631C">
              <w:rPr>
                <w:rStyle w:val="Hyperlink"/>
                <w:noProof/>
              </w:rPr>
              <w:t>1.3.2 Lamellar (L</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_Toc148175786 \h </w:instrText>
            </w:r>
            <w:r w:rsidR="0042745D" w:rsidRPr="006D631C">
              <w:rPr>
                <w:noProof/>
                <w:webHidden/>
              </w:rPr>
            </w:r>
            <w:r w:rsidR="0042745D" w:rsidRPr="006D631C">
              <w:rPr>
                <w:noProof/>
                <w:webHidden/>
              </w:rPr>
              <w:fldChar w:fldCharType="separate"/>
            </w:r>
            <w:r w:rsidR="0042745D" w:rsidRPr="006D631C">
              <w:rPr>
                <w:noProof/>
                <w:webHidden/>
              </w:rPr>
              <w:t>28</w:t>
            </w:r>
            <w:r w:rsidR="0042745D" w:rsidRPr="006D631C">
              <w:rPr>
                <w:noProof/>
                <w:webHidden/>
              </w:rPr>
              <w:fldChar w:fldCharType="end"/>
            </w:r>
          </w:hyperlink>
        </w:p>
        <w:p w14:paraId="69BF4A9B" w14:textId="0E912EBA"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87" w:history="1">
            <w:r w:rsidR="0042745D" w:rsidRPr="006D631C">
              <w:rPr>
                <w:rStyle w:val="Hyperlink"/>
                <w:noProof/>
              </w:rPr>
              <w:t>1.3.3 Bicontinuous cubic (Q</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_Toc148175787 \h </w:instrText>
            </w:r>
            <w:r w:rsidR="0042745D" w:rsidRPr="006D631C">
              <w:rPr>
                <w:noProof/>
                <w:webHidden/>
              </w:rPr>
            </w:r>
            <w:r w:rsidR="0042745D" w:rsidRPr="006D631C">
              <w:rPr>
                <w:noProof/>
                <w:webHidden/>
              </w:rPr>
              <w:fldChar w:fldCharType="separate"/>
            </w:r>
            <w:r w:rsidR="0042745D" w:rsidRPr="006D631C">
              <w:rPr>
                <w:noProof/>
                <w:webHidden/>
              </w:rPr>
              <w:t>29</w:t>
            </w:r>
            <w:r w:rsidR="0042745D" w:rsidRPr="006D631C">
              <w:rPr>
                <w:noProof/>
                <w:webHidden/>
              </w:rPr>
              <w:fldChar w:fldCharType="end"/>
            </w:r>
          </w:hyperlink>
        </w:p>
        <w:p w14:paraId="6A9E1A8F" w14:textId="21FCF2D7"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88" w:history="1">
            <w:r w:rsidR="0042745D" w:rsidRPr="006D631C">
              <w:rPr>
                <w:rStyle w:val="Hyperlink"/>
                <w:noProof/>
              </w:rPr>
              <w:t>1.3.4 Discontinuous cubic (I</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_Toc148175788 \h </w:instrText>
            </w:r>
            <w:r w:rsidR="0042745D" w:rsidRPr="006D631C">
              <w:rPr>
                <w:noProof/>
                <w:webHidden/>
              </w:rPr>
            </w:r>
            <w:r w:rsidR="0042745D" w:rsidRPr="006D631C">
              <w:rPr>
                <w:noProof/>
                <w:webHidden/>
              </w:rPr>
              <w:fldChar w:fldCharType="separate"/>
            </w:r>
            <w:r w:rsidR="0042745D" w:rsidRPr="006D631C">
              <w:rPr>
                <w:noProof/>
                <w:webHidden/>
              </w:rPr>
              <w:t>31</w:t>
            </w:r>
            <w:r w:rsidR="0042745D" w:rsidRPr="006D631C">
              <w:rPr>
                <w:noProof/>
                <w:webHidden/>
              </w:rPr>
              <w:fldChar w:fldCharType="end"/>
            </w:r>
          </w:hyperlink>
        </w:p>
        <w:p w14:paraId="4E6DE2A0" w14:textId="04AAF7BA" w:rsidR="0042745D" w:rsidRPr="006D631C" w:rsidRDefault="001A0507">
          <w:pPr>
            <w:pStyle w:val="TOC2"/>
            <w:rPr>
              <w:rFonts w:asciiTheme="minorHAnsi" w:eastAsiaTheme="minorEastAsia" w:hAnsiTheme="minorHAnsi" w:cstheme="minorBidi"/>
              <w:iCs w:val="0"/>
              <w:szCs w:val="22"/>
            </w:rPr>
          </w:pPr>
          <w:hyperlink w:anchor="_Toc148175789" w:history="1">
            <w:r w:rsidR="0042745D" w:rsidRPr="006D631C">
              <w:rPr>
                <w:rStyle w:val="Hyperlink"/>
              </w:rPr>
              <w:t>1.4 Transcriptive LLC templating</w:t>
            </w:r>
            <w:r w:rsidR="0042745D" w:rsidRPr="006D631C">
              <w:rPr>
                <w:webHidden/>
              </w:rPr>
              <w:tab/>
            </w:r>
            <w:r w:rsidR="0042745D" w:rsidRPr="006D631C">
              <w:rPr>
                <w:webHidden/>
              </w:rPr>
              <w:fldChar w:fldCharType="begin"/>
            </w:r>
            <w:r w:rsidR="0042745D" w:rsidRPr="006D631C">
              <w:rPr>
                <w:webHidden/>
              </w:rPr>
              <w:instrText xml:space="preserve"> PAGEREF _Toc148175789 \h </w:instrText>
            </w:r>
            <w:r w:rsidR="0042745D" w:rsidRPr="006D631C">
              <w:rPr>
                <w:webHidden/>
              </w:rPr>
            </w:r>
            <w:r w:rsidR="0042745D" w:rsidRPr="006D631C">
              <w:rPr>
                <w:webHidden/>
              </w:rPr>
              <w:fldChar w:fldCharType="separate"/>
            </w:r>
            <w:r w:rsidR="0042745D" w:rsidRPr="006D631C">
              <w:rPr>
                <w:webHidden/>
              </w:rPr>
              <w:t>37</w:t>
            </w:r>
            <w:r w:rsidR="0042745D" w:rsidRPr="006D631C">
              <w:rPr>
                <w:webHidden/>
              </w:rPr>
              <w:fldChar w:fldCharType="end"/>
            </w:r>
          </w:hyperlink>
        </w:p>
        <w:p w14:paraId="689BE592" w14:textId="7318EE70"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90" w:history="1">
            <w:r w:rsidR="0042745D" w:rsidRPr="006D631C">
              <w:rPr>
                <w:rStyle w:val="Hyperlink"/>
                <w:noProof/>
              </w:rPr>
              <w:t>1.4.1 Hexagonal (H</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_Toc148175790 \h </w:instrText>
            </w:r>
            <w:r w:rsidR="0042745D" w:rsidRPr="006D631C">
              <w:rPr>
                <w:noProof/>
                <w:webHidden/>
              </w:rPr>
            </w:r>
            <w:r w:rsidR="0042745D" w:rsidRPr="006D631C">
              <w:rPr>
                <w:noProof/>
                <w:webHidden/>
              </w:rPr>
              <w:fldChar w:fldCharType="separate"/>
            </w:r>
            <w:r w:rsidR="0042745D" w:rsidRPr="006D631C">
              <w:rPr>
                <w:noProof/>
                <w:webHidden/>
              </w:rPr>
              <w:t>38</w:t>
            </w:r>
            <w:r w:rsidR="0042745D" w:rsidRPr="006D631C">
              <w:rPr>
                <w:noProof/>
                <w:webHidden/>
              </w:rPr>
              <w:fldChar w:fldCharType="end"/>
            </w:r>
          </w:hyperlink>
        </w:p>
        <w:p w14:paraId="3FC2FCE3" w14:textId="5E10FF93"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91" w:history="1">
            <w:r w:rsidR="0042745D" w:rsidRPr="006D631C">
              <w:rPr>
                <w:rStyle w:val="Hyperlink"/>
                <w:noProof/>
              </w:rPr>
              <w:t>1.4.2 Lamellar (</w:t>
            </w:r>
            <w:r w:rsidR="0042745D" w:rsidRPr="006D631C">
              <w:rPr>
                <w:rStyle w:val="Hyperlink"/>
                <w:rFonts w:eastAsia="Calibri" w:cs="Times New Roman"/>
                <w:bCs/>
                <w:noProof/>
              </w:rPr>
              <w:t>L</w:t>
            </w:r>
            <w:r w:rsidR="0042745D" w:rsidRPr="006D631C">
              <w:rPr>
                <w:rStyle w:val="Hyperlink"/>
                <w:rFonts w:eastAsia="Calibri" w:cs="Times New Roman"/>
                <w:bCs/>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_Toc148175791 \h </w:instrText>
            </w:r>
            <w:r w:rsidR="0042745D" w:rsidRPr="006D631C">
              <w:rPr>
                <w:noProof/>
                <w:webHidden/>
              </w:rPr>
            </w:r>
            <w:r w:rsidR="0042745D" w:rsidRPr="006D631C">
              <w:rPr>
                <w:noProof/>
                <w:webHidden/>
              </w:rPr>
              <w:fldChar w:fldCharType="separate"/>
            </w:r>
            <w:r w:rsidR="0042745D" w:rsidRPr="006D631C">
              <w:rPr>
                <w:noProof/>
                <w:webHidden/>
              </w:rPr>
              <w:t>40</w:t>
            </w:r>
            <w:r w:rsidR="0042745D" w:rsidRPr="006D631C">
              <w:rPr>
                <w:noProof/>
                <w:webHidden/>
              </w:rPr>
              <w:fldChar w:fldCharType="end"/>
            </w:r>
          </w:hyperlink>
        </w:p>
        <w:p w14:paraId="366C6B0E" w14:textId="5B8FEE08"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92" w:history="1">
            <w:r w:rsidR="0042745D" w:rsidRPr="006D631C">
              <w:rPr>
                <w:rStyle w:val="Hyperlink"/>
                <w:noProof/>
              </w:rPr>
              <w:t>1.4.3 Bicontinuous cubic (Q</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_Toc148175792 \h </w:instrText>
            </w:r>
            <w:r w:rsidR="0042745D" w:rsidRPr="006D631C">
              <w:rPr>
                <w:noProof/>
                <w:webHidden/>
              </w:rPr>
            </w:r>
            <w:r w:rsidR="0042745D" w:rsidRPr="006D631C">
              <w:rPr>
                <w:noProof/>
                <w:webHidden/>
              </w:rPr>
              <w:fldChar w:fldCharType="separate"/>
            </w:r>
            <w:r w:rsidR="0042745D" w:rsidRPr="006D631C">
              <w:rPr>
                <w:noProof/>
                <w:webHidden/>
              </w:rPr>
              <w:t>41</w:t>
            </w:r>
            <w:r w:rsidR="0042745D" w:rsidRPr="006D631C">
              <w:rPr>
                <w:noProof/>
                <w:webHidden/>
              </w:rPr>
              <w:fldChar w:fldCharType="end"/>
            </w:r>
          </w:hyperlink>
        </w:p>
        <w:p w14:paraId="7853C2B6" w14:textId="2229F5E9"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93" w:history="1">
            <w:r w:rsidR="0042745D" w:rsidRPr="006D631C">
              <w:rPr>
                <w:rStyle w:val="Hyperlink"/>
                <w:noProof/>
              </w:rPr>
              <w:t>1.4.4 Discontinuous cubic (I</w:t>
            </w:r>
            <w:r w:rsidR="0042745D" w:rsidRPr="006D631C">
              <w:rPr>
                <w:rStyle w:val="Hyperlink"/>
                <w:noProof/>
                <w:vertAlign w:val="subscript"/>
              </w:rPr>
              <w:t>α</w:t>
            </w:r>
            <w:r w:rsidR="0042745D" w:rsidRPr="006D631C">
              <w:rPr>
                <w:rStyle w:val="Hyperlink"/>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_Toc148175793 \h </w:instrText>
            </w:r>
            <w:r w:rsidR="0042745D" w:rsidRPr="006D631C">
              <w:rPr>
                <w:noProof/>
                <w:webHidden/>
              </w:rPr>
            </w:r>
            <w:r w:rsidR="0042745D" w:rsidRPr="006D631C">
              <w:rPr>
                <w:noProof/>
                <w:webHidden/>
              </w:rPr>
              <w:fldChar w:fldCharType="separate"/>
            </w:r>
            <w:r w:rsidR="0042745D" w:rsidRPr="006D631C">
              <w:rPr>
                <w:noProof/>
                <w:webHidden/>
              </w:rPr>
              <w:t>41</w:t>
            </w:r>
            <w:r w:rsidR="0042745D" w:rsidRPr="006D631C">
              <w:rPr>
                <w:noProof/>
                <w:webHidden/>
              </w:rPr>
              <w:fldChar w:fldCharType="end"/>
            </w:r>
          </w:hyperlink>
        </w:p>
        <w:p w14:paraId="4061BD06" w14:textId="513074AA" w:rsidR="0042745D" w:rsidRPr="006D631C" w:rsidRDefault="001A0507">
          <w:pPr>
            <w:pStyle w:val="TOC2"/>
            <w:rPr>
              <w:rFonts w:asciiTheme="minorHAnsi" w:eastAsiaTheme="minorEastAsia" w:hAnsiTheme="minorHAnsi" w:cstheme="minorBidi"/>
              <w:iCs w:val="0"/>
              <w:szCs w:val="22"/>
            </w:rPr>
          </w:pPr>
          <w:hyperlink w:anchor="_Toc148175794" w:history="1">
            <w:r w:rsidR="0042745D" w:rsidRPr="006D631C">
              <w:rPr>
                <w:rStyle w:val="Hyperlink"/>
              </w:rPr>
              <w:t>1.5 Kinetics of polymerization in LLC templates</w:t>
            </w:r>
            <w:r w:rsidR="0042745D" w:rsidRPr="006D631C">
              <w:rPr>
                <w:webHidden/>
              </w:rPr>
              <w:tab/>
            </w:r>
            <w:r w:rsidR="0042745D" w:rsidRPr="006D631C">
              <w:rPr>
                <w:webHidden/>
              </w:rPr>
              <w:fldChar w:fldCharType="begin"/>
            </w:r>
            <w:r w:rsidR="0042745D" w:rsidRPr="006D631C">
              <w:rPr>
                <w:webHidden/>
              </w:rPr>
              <w:instrText xml:space="preserve"> PAGEREF _Toc148175794 \h </w:instrText>
            </w:r>
            <w:r w:rsidR="0042745D" w:rsidRPr="006D631C">
              <w:rPr>
                <w:webHidden/>
              </w:rPr>
            </w:r>
            <w:r w:rsidR="0042745D" w:rsidRPr="006D631C">
              <w:rPr>
                <w:webHidden/>
              </w:rPr>
              <w:fldChar w:fldCharType="separate"/>
            </w:r>
            <w:r w:rsidR="0042745D" w:rsidRPr="006D631C">
              <w:rPr>
                <w:webHidden/>
              </w:rPr>
              <w:t>48</w:t>
            </w:r>
            <w:r w:rsidR="0042745D" w:rsidRPr="006D631C">
              <w:rPr>
                <w:webHidden/>
              </w:rPr>
              <w:fldChar w:fldCharType="end"/>
            </w:r>
          </w:hyperlink>
        </w:p>
        <w:p w14:paraId="009D613B" w14:textId="647BB634"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95" w:history="1">
            <w:r w:rsidR="0042745D" w:rsidRPr="006D631C">
              <w:rPr>
                <w:rStyle w:val="Hyperlink"/>
                <w:noProof/>
              </w:rPr>
              <w:t>1.5.1 Synergistic LLC templating</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_Toc148175795 \h </w:instrText>
            </w:r>
            <w:r w:rsidR="0042745D" w:rsidRPr="006D631C">
              <w:rPr>
                <w:noProof/>
                <w:webHidden/>
              </w:rPr>
            </w:r>
            <w:r w:rsidR="0042745D" w:rsidRPr="006D631C">
              <w:rPr>
                <w:noProof/>
                <w:webHidden/>
              </w:rPr>
              <w:fldChar w:fldCharType="separate"/>
            </w:r>
            <w:r w:rsidR="0042745D" w:rsidRPr="006D631C">
              <w:rPr>
                <w:noProof/>
                <w:webHidden/>
              </w:rPr>
              <w:t>48</w:t>
            </w:r>
            <w:r w:rsidR="0042745D" w:rsidRPr="006D631C">
              <w:rPr>
                <w:noProof/>
                <w:webHidden/>
              </w:rPr>
              <w:fldChar w:fldCharType="end"/>
            </w:r>
          </w:hyperlink>
        </w:p>
        <w:p w14:paraId="30A7C3F0" w14:textId="0640A8DA"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796" w:history="1">
            <w:r w:rsidR="0042745D" w:rsidRPr="006D631C">
              <w:rPr>
                <w:rStyle w:val="Hyperlink"/>
                <w:noProof/>
              </w:rPr>
              <w:t>1.5.2 Transcriptive LLC templating</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_Toc148175796 \h </w:instrText>
            </w:r>
            <w:r w:rsidR="0042745D" w:rsidRPr="006D631C">
              <w:rPr>
                <w:noProof/>
                <w:webHidden/>
              </w:rPr>
            </w:r>
            <w:r w:rsidR="0042745D" w:rsidRPr="006D631C">
              <w:rPr>
                <w:noProof/>
                <w:webHidden/>
              </w:rPr>
              <w:fldChar w:fldCharType="separate"/>
            </w:r>
            <w:r w:rsidR="0042745D" w:rsidRPr="006D631C">
              <w:rPr>
                <w:noProof/>
                <w:webHidden/>
              </w:rPr>
              <w:t>49</w:t>
            </w:r>
            <w:r w:rsidR="0042745D" w:rsidRPr="006D631C">
              <w:rPr>
                <w:noProof/>
                <w:webHidden/>
              </w:rPr>
              <w:fldChar w:fldCharType="end"/>
            </w:r>
          </w:hyperlink>
        </w:p>
        <w:p w14:paraId="2F14AE2C" w14:textId="25A78B27" w:rsidR="0042745D" w:rsidRPr="006D631C" w:rsidRDefault="001A0507">
          <w:pPr>
            <w:pStyle w:val="TOC2"/>
            <w:rPr>
              <w:rFonts w:asciiTheme="minorHAnsi" w:eastAsiaTheme="minorEastAsia" w:hAnsiTheme="minorHAnsi" w:cstheme="minorBidi"/>
              <w:iCs w:val="0"/>
              <w:szCs w:val="22"/>
            </w:rPr>
          </w:pPr>
          <w:hyperlink w:anchor="_Toc148175797" w:history="1">
            <w:r w:rsidR="0042745D" w:rsidRPr="006D631C">
              <w:rPr>
                <w:rStyle w:val="Hyperlink"/>
              </w:rPr>
              <w:t>1.6 Synergistic versus transcriptive LLC templating: a summary</w:t>
            </w:r>
            <w:r w:rsidR="0042745D" w:rsidRPr="006D631C">
              <w:rPr>
                <w:webHidden/>
              </w:rPr>
              <w:tab/>
            </w:r>
            <w:r w:rsidR="0042745D" w:rsidRPr="006D631C">
              <w:rPr>
                <w:webHidden/>
              </w:rPr>
              <w:fldChar w:fldCharType="begin"/>
            </w:r>
            <w:r w:rsidR="0042745D" w:rsidRPr="006D631C">
              <w:rPr>
                <w:webHidden/>
              </w:rPr>
              <w:instrText xml:space="preserve"> PAGEREF _Toc148175797 \h </w:instrText>
            </w:r>
            <w:r w:rsidR="0042745D" w:rsidRPr="006D631C">
              <w:rPr>
                <w:webHidden/>
              </w:rPr>
            </w:r>
            <w:r w:rsidR="0042745D" w:rsidRPr="006D631C">
              <w:rPr>
                <w:webHidden/>
              </w:rPr>
              <w:fldChar w:fldCharType="separate"/>
            </w:r>
            <w:r w:rsidR="0042745D" w:rsidRPr="006D631C">
              <w:rPr>
                <w:webHidden/>
              </w:rPr>
              <w:t>52</w:t>
            </w:r>
            <w:r w:rsidR="0042745D" w:rsidRPr="006D631C">
              <w:rPr>
                <w:webHidden/>
              </w:rPr>
              <w:fldChar w:fldCharType="end"/>
            </w:r>
          </w:hyperlink>
        </w:p>
        <w:p w14:paraId="476AA71D" w14:textId="55FE8D02" w:rsidR="0042745D" w:rsidRPr="006D631C" w:rsidRDefault="001A0507">
          <w:pPr>
            <w:pStyle w:val="TOC2"/>
            <w:rPr>
              <w:rFonts w:asciiTheme="minorHAnsi" w:eastAsiaTheme="minorEastAsia" w:hAnsiTheme="minorHAnsi" w:cstheme="minorBidi"/>
              <w:iCs w:val="0"/>
              <w:szCs w:val="22"/>
            </w:rPr>
          </w:pPr>
          <w:hyperlink w:anchor="_Toc148175798" w:history="1">
            <w:r w:rsidR="0042745D" w:rsidRPr="006D631C">
              <w:rPr>
                <w:rStyle w:val="Hyperlink"/>
              </w:rPr>
              <w:t>1.7 Advanced functional materials: opportunities, challenges, and outlook</w:t>
            </w:r>
            <w:r w:rsidR="0042745D" w:rsidRPr="006D631C">
              <w:rPr>
                <w:webHidden/>
              </w:rPr>
              <w:tab/>
            </w:r>
            <w:r w:rsidR="0042745D" w:rsidRPr="006D631C">
              <w:rPr>
                <w:webHidden/>
              </w:rPr>
              <w:fldChar w:fldCharType="begin"/>
            </w:r>
            <w:r w:rsidR="0042745D" w:rsidRPr="006D631C">
              <w:rPr>
                <w:webHidden/>
              </w:rPr>
              <w:instrText xml:space="preserve"> PAGEREF _Toc148175798 \h </w:instrText>
            </w:r>
            <w:r w:rsidR="0042745D" w:rsidRPr="006D631C">
              <w:rPr>
                <w:webHidden/>
              </w:rPr>
            </w:r>
            <w:r w:rsidR="0042745D" w:rsidRPr="006D631C">
              <w:rPr>
                <w:webHidden/>
              </w:rPr>
              <w:fldChar w:fldCharType="separate"/>
            </w:r>
            <w:r w:rsidR="0042745D" w:rsidRPr="006D631C">
              <w:rPr>
                <w:webHidden/>
              </w:rPr>
              <w:t>53</w:t>
            </w:r>
            <w:r w:rsidR="0042745D" w:rsidRPr="006D631C">
              <w:rPr>
                <w:webHidden/>
              </w:rPr>
              <w:fldChar w:fldCharType="end"/>
            </w:r>
          </w:hyperlink>
        </w:p>
        <w:p w14:paraId="6199CC8D" w14:textId="5975425F" w:rsidR="0042745D" w:rsidRPr="006D631C" w:rsidRDefault="001A0507">
          <w:pPr>
            <w:pStyle w:val="TOC2"/>
            <w:rPr>
              <w:rFonts w:asciiTheme="minorHAnsi" w:eastAsiaTheme="minorEastAsia" w:hAnsiTheme="minorHAnsi" w:cstheme="minorBidi"/>
              <w:iCs w:val="0"/>
              <w:szCs w:val="22"/>
            </w:rPr>
          </w:pPr>
          <w:hyperlink w:anchor="_Toc148175799" w:history="1">
            <w:r w:rsidR="0042745D" w:rsidRPr="006D631C">
              <w:rPr>
                <w:rStyle w:val="Hyperlink"/>
              </w:rPr>
              <w:t>1.8 Overview of thesis research: goal and objectives</w:t>
            </w:r>
            <w:r w:rsidR="0042745D" w:rsidRPr="006D631C">
              <w:rPr>
                <w:webHidden/>
              </w:rPr>
              <w:tab/>
            </w:r>
            <w:r w:rsidR="0042745D" w:rsidRPr="006D631C">
              <w:rPr>
                <w:webHidden/>
              </w:rPr>
              <w:fldChar w:fldCharType="begin"/>
            </w:r>
            <w:r w:rsidR="0042745D" w:rsidRPr="006D631C">
              <w:rPr>
                <w:webHidden/>
              </w:rPr>
              <w:instrText xml:space="preserve"> PAGEREF _Toc148175799 \h </w:instrText>
            </w:r>
            <w:r w:rsidR="0042745D" w:rsidRPr="006D631C">
              <w:rPr>
                <w:webHidden/>
              </w:rPr>
            </w:r>
            <w:r w:rsidR="0042745D" w:rsidRPr="006D631C">
              <w:rPr>
                <w:webHidden/>
              </w:rPr>
              <w:fldChar w:fldCharType="separate"/>
            </w:r>
            <w:r w:rsidR="0042745D" w:rsidRPr="006D631C">
              <w:rPr>
                <w:webHidden/>
              </w:rPr>
              <w:t>64</w:t>
            </w:r>
            <w:r w:rsidR="0042745D" w:rsidRPr="006D631C">
              <w:rPr>
                <w:webHidden/>
              </w:rPr>
              <w:fldChar w:fldCharType="end"/>
            </w:r>
          </w:hyperlink>
        </w:p>
        <w:p w14:paraId="64492A9E" w14:textId="16E37DF7" w:rsidR="0042745D" w:rsidRPr="006D631C" w:rsidRDefault="001A0507">
          <w:pPr>
            <w:pStyle w:val="TOC1"/>
            <w:rPr>
              <w:rFonts w:asciiTheme="minorHAnsi" w:eastAsiaTheme="minorEastAsia" w:hAnsiTheme="minorHAnsi" w:cstheme="minorBidi"/>
            </w:rPr>
          </w:pPr>
          <w:hyperlink w:anchor="_Toc148175800" w:history="1">
            <w:r w:rsidR="0042745D" w:rsidRPr="006D631C">
              <w:rPr>
                <w:rStyle w:val="Hyperlink"/>
                <w:bCs/>
                <w14:scene3d>
                  <w14:camera w14:prst="orthographicFront"/>
                  <w14:lightRig w14:rig="threePt" w14:dir="t">
                    <w14:rot w14:lat="0" w14:lon="0" w14:rev="0"/>
                  </w14:lightRig>
                </w14:scene3d>
              </w:rPr>
              <w:t>CHAPTER 2:</w:t>
            </w:r>
            <w:r w:rsidR="0042745D" w:rsidRPr="006D631C">
              <w:rPr>
                <w:rStyle w:val="Hyperlink"/>
              </w:rPr>
              <w:t xml:space="preserve"> INITIATOR-DEPENDENT KINETICS OF LYOTROPIC LIQUID CRYSTAL-TEMPLATED THERMAL POLYMERIZATION</w:t>
            </w:r>
            <w:r w:rsidR="0042745D" w:rsidRPr="006D631C">
              <w:rPr>
                <w:webHidden/>
              </w:rPr>
              <w:tab/>
            </w:r>
            <w:r w:rsidR="0042745D" w:rsidRPr="006D631C">
              <w:rPr>
                <w:webHidden/>
              </w:rPr>
              <w:fldChar w:fldCharType="begin"/>
            </w:r>
            <w:r w:rsidR="0042745D" w:rsidRPr="006D631C">
              <w:rPr>
                <w:webHidden/>
              </w:rPr>
              <w:instrText xml:space="preserve"> PAGEREF _Toc148175800 \h </w:instrText>
            </w:r>
            <w:r w:rsidR="0042745D" w:rsidRPr="006D631C">
              <w:rPr>
                <w:webHidden/>
              </w:rPr>
            </w:r>
            <w:r w:rsidR="0042745D" w:rsidRPr="006D631C">
              <w:rPr>
                <w:webHidden/>
              </w:rPr>
              <w:fldChar w:fldCharType="separate"/>
            </w:r>
            <w:r w:rsidR="0042745D" w:rsidRPr="006D631C">
              <w:rPr>
                <w:webHidden/>
              </w:rPr>
              <w:t>69</w:t>
            </w:r>
            <w:r w:rsidR="0042745D" w:rsidRPr="006D631C">
              <w:rPr>
                <w:webHidden/>
              </w:rPr>
              <w:fldChar w:fldCharType="end"/>
            </w:r>
          </w:hyperlink>
        </w:p>
        <w:p w14:paraId="65F4D0BA" w14:textId="0CD8C854" w:rsidR="0042745D" w:rsidRPr="006D631C" w:rsidRDefault="001A0507">
          <w:pPr>
            <w:pStyle w:val="TOC2"/>
            <w:rPr>
              <w:rFonts w:asciiTheme="minorHAnsi" w:eastAsiaTheme="minorEastAsia" w:hAnsiTheme="minorHAnsi" w:cstheme="minorBidi"/>
              <w:iCs w:val="0"/>
              <w:szCs w:val="22"/>
            </w:rPr>
          </w:pPr>
          <w:hyperlink w:anchor="_Toc148175801" w:history="1">
            <w:r w:rsidR="0042745D" w:rsidRPr="006D631C">
              <w:rPr>
                <w:rStyle w:val="Hyperlink"/>
              </w:rPr>
              <w:t>2.1 Introduction</w:t>
            </w:r>
            <w:r w:rsidR="0042745D" w:rsidRPr="006D631C">
              <w:rPr>
                <w:webHidden/>
              </w:rPr>
              <w:tab/>
            </w:r>
            <w:r w:rsidR="0042745D" w:rsidRPr="006D631C">
              <w:rPr>
                <w:webHidden/>
              </w:rPr>
              <w:fldChar w:fldCharType="begin"/>
            </w:r>
            <w:r w:rsidR="0042745D" w:rsidRPr="006D631C">
              <w:rPr>
                <w:webHidden/>
              </w:rPr>
              <w:instrText xml:space="preserve"> PAGEREF _Toc148175801 \h </w:instrText>
            </w:r>
            <w:r w:rsidR="0042745D" w:rsidRPr="006D631C">
              <w:rPr>
                <w:webHidden/>
              </w:rPr>
            </w:r>
            <w:r w:rsidR="0042745D" w:rsidRPr="006D631C">
              <w:rPr>
                <w:webHidden/>
              </w:rPr>
              <w:fldChar w:fldCharType="separate"/>
            </w:r>
            <w:r w:rsidR="0042745D" w:rsidRPr="006D631C">
              <w:rPr>
                <w:webHidden/>
              </w:rPr>
              <w:t>69</w:t>
            </w:r>
            <w:r w:rsidR="0042745D" w:rsidRPr="006D631C">
              <w:rPr>
                <w:webHidden/>
              </w:rPr>
              <w:fldChar w:fldCharType="end"/>
            </w:r>
          </w:hyperlink>
        </w:p>
        <w:p w14:paraId="7BF86DE5" w14:textId="01FA8FE4" w:rsidR="0042745D" w:rsidRPr="006D631C" w:rsidRDefault="001A0507">
          <w:pPr>
            <w:pStyle w:val="TOC2"/>
            <w:rPr>
              <w:rFonts w:asciiTheme="minorHAnsi" w:eastAsiaTheme="minorEastAsia" w:hAnsiTheme="minorHAnsi" w:cstheme="minorBidi"/>
              <w:iCs w:val="0"/>
              <w:szCs w:val="22"/>
            </w:rPr>
          </w:pPr>
          <w:hyperlink w:anchor="_Toc148175802" w:history="1">
            <w:r w:rsidR="0042745D" w:rsidRPr="006D631C">
              <w:rPr>
                <w:rStyle w:val="Hyperlink"/>
              </w:rPr>
              <w:t>2.2 Experimental</w:t>
            </w:r>
            <w:r w:rsidR="0042745D" w:rsidRPr="006D631C">
              <w:rPr>
                <w:webHidden/>
              </w:rPr>
              <w:tab/>
            </w:r>
            <w:r w:rsidR="0042745D" w:rsidRPr="006D631C">
              <w:rPr>
                <w:webHidden/>
              </w:rPr>
              <w:fldChar w:fldCharType="begin"/>
            </w:r>
            <w:r w:rsidR="0042745D" w:rsidRPr="006D631C">
              <w:rPr>
                <w:webHidden/>
              </w:rPr>
              <w:instrText xml:space="preserve"> PAGEREF _Toc148175802 \h </w:instrText>
            </w:r>
            <w:r w:rsidR="0042745D" w:rsidRPr="006D631C">
              <w:rPr>
                <w:webHidden/>
              </w:rPr>
            </w:r>
            <w:r w:rsidR="0042745D" w:rsidRPr="006D631C">
              <w:rPr>
                <w:webHidden/>
              </w:rPr>
              <w:fldChar w:fldCharType="separate"/>
            </w:r>
            <w:r w:rsidR="0042745D" w:rsidRPr="006D631C">
              <w:rPr>
                <w:webHidden/>
              </w:rPr>
              <w:t>71</w:t>
            </w:r>
            <w:r w:rsidR="0042745D" w:rsidRPr="006D631C">
              <w:rPr>
                <w:webHidden/>
              </w:rPr>
              <w:fldChar w:fldCharType="end"/>
            </w:r>
          </w:hyperlink>
        </w:p>
        <w:p w14:paraId="049CF3D7" w14:textId="6C16EC7A"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03" w:history="1">
            <w:r w:rsidR="0042745D" w:rsidRPr="006D631C">
              <w:rPr>
                <w:rStyle w:val="Hyperlink"/>
                <w:noProof/>
              </w:rPr>
              <w:t>2.2.1 Materials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_Toc148175803 \h </w:instrText>
            </w:r>
            <w:r w:rsidR="0042745D" w:rsidRPr="006D631C">
              <w:rPr>
                <w:noProof/>
                <w:webHidden/>
              </w:rPr>
            </w:r>
            <w:r w:rsidR="0042745D" w:rsidRPr="006D631C">
              <w:rPr>
                <w:noProof/>
                <w:webHidden/>
              </w:rPr>
              <w:fldChar w:fldCharType="separate"/>
            </w:r>
            <w:r w:rsidR="0042745D" w:rsidRPr="006D631C">
              <w:rPr>
                <w:noProof/>
                <w:webHidden/>
              </w:rPr>
              <w:t>71</w:t>
            </w:r>
            <w:r w:rsidR="0042745D" w:rsidRPr="006D631C">
              <w:rPr>
                <w:noProof/>
                <w:webHidden/>
              </w:rPr>
              <w:fldChar w:fldCharType="end"/>
            </w:r>
          </w:hyperlink>
        </w:p>
        <w:p w14:paraId="14432625" w14:textId="195215A9"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04" w:history="1">
            <w:r w:rsidR="0042745D" w:rsidRPr="006D631C">
              <w:rPr>
                <w:rStyle w:val="Hyperlink"/>
                <w:noProof/>
              </w:rPr>
              <w:t>2.2.2 Preparation of mesophase samples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_Toc148175804 \h </w:instrText>
            </w:r>
            <w:r w:rsidR="0042745D" w:rsidRPr="006D631C">
              <w:rPr>
                <w:noProof/>
                <w:webHidden/>
              </w:rPr>
            </w:r>
            <w:r w:rsidR="0042745D" w:rsidRPr="006D631C">
              <w:rPr>
                <w:noProof/>
                <w:webHidden/>
              </w:rPr>
              <w:fldChar w:fldCharType="separate"/>
            </w:r>
            <w:r w:rsidR="0042745D" w:rsidRPr="006D631C">
              <w:rPr>
                <w:noProof/>
                <w:webHidden/>
              </w:rPr>
              <w:t>71</w:t>
            </w:r>
            <w:r w:rsidR="0042745D" w:rsidRPr="006D631C">
              <w:rPr>
                <w:noProof/>
                <w:webHidden/>
              </w:rPr>
              <w:fldChar w:fldCharType="end"/>
            </w:r>
          </w:hyperlink>
        </w:p>
        <w:p w14:paraId="6F1B2544" w14:textId="22099F59"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05" w:history="1">
            <w:r w:rsidR="0042745D" w:rsidRPr="006D631C">
              <w:rPr>
                <w:rStyle w:val="Hyperlink"/>
                <w:noProof/>
              </w:rPr>
              <w:t>2.2.3 Structural characterization</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_Toc148175805 \h </w:instrText>
            </w:r>
            <w:r w:rsidR="0042745D" w:rsidRPr="006D631C">
              <w:rPr>
                <w:noProof/>
                <w:webHidden/>
              </w:rPr>
            </w:r>
            <w:r w:rsidR="0042745D" w:rsidRPr="006D631C">
              <w:rPr>
                <w:noProof/>
                <w:webHidden/>
              </w:rPr>
              <w:fldChar w:fldCharType="separate"/>
            </w:r>
            <w:r w:rsidR="0042745D" w:rsidRPr="006D631C">
              <w:rPr>
                <w:noProof/>
                <w:webHidden/>
              </w:rPr>
              <w:t>71</w:t>
            </w:r>
            <w:r w:rsidR="0042745D" w:rsidRPr="006D631C">
              <w:rPr>
                <w:noProof/>
                <w:webHidden/>
              </w:rPr>
              <w:fldChar w:fldCharType="end"/>
            </w:r>
          </w:hyperlink>
        </w:p>
        <w:p w14:paraId="7F719B02" w14:textId="5145683A"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06" w:history="1">
            <w:r w:rsidR="0042745D" w:rsidRPr="006D631C">
              <w:rPr>
                <w:rStyle w:val="Hyperlink"/>
                <w:noProof/>
              </w:rPr>
              <w:t>2.2.4 Polymerization kinetics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_Toc148175806 \h </w:instrText>
            </w:r>
            <w:r w:rsidR="0042745D" w:rsidRPr="006D631C">
              <w:rPr>
                <w:noProof/>
                <w:webHidden/>
              </w:rPr>
            </w:r>
            <w:r w:rsidR="0042745D" w:rsidRPr="006D631C">
              <w:rPr>
                <w:noProof/>
                <w:webHidden/>
              </w:rPr>
              <w:fldChar w:fldCharType="separate"/>
            </w:r>
            <w:r w:rsidR="0042745D" w:rsidRPr="006D631C">
              <w:rPr>
                <w:noProof/>
                <w:webHidden/>
              </w:rPr>
              <w:t>72</w:t>
            </w:r>
            <w:r w:rsidR="0042745D" w:rsidRPr="006D631C">
              <w:rPr>
                <w:noProof/>
                <w:webHidden/>
              </w:rPr>
              <w:fldChar w:fldCharType="end"/>
            </w:r>
          </w:hyperlink>
        </w:p>
        <w:p w14:paraId="44549EED" w14:textId="3B81179C"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07" w:history="1">
            <w:r w:rsidR="0042745D" w:rsidRPr="006D631C">
              <w:rPr>
                <w:rStyle w:val="Hyperlink"/>
                <w:noProof/>
              </w:rPr>
              <w:t>2.2.5 Chemorheology and mechanical properties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_Toc148175807 \h </w:instrText>
            </w:r>
            <w:r w:rsidR="0042745D" w:rsidRPr="006D631C">
              <w:rPr>
                <w:noProof/>
                <w:webHidden/>
              </w:rPr>
            </w:r>
            <w:r w:rsidR="0042745D" w:rsidRPr="006D631C">
              <w:rPr>
                <w:noProof/>
                <w:webHidden/>
              </w:rPr>
              <w:fldChar w:fldCharType="separate"/>
            </w:r>
            <w:r w:rsidR="0042745D" w:rsidRPr="006D631C">
              <w:rPr>
                <w:noProof/>
                <w:webHidden/>
              </w:rPr>
              <w:t>73</w:t>
            </w:r>
            <w:r w:rsidR="0042745D" w:rsidRPr="006D631C">
              <w:rPr>
                <w:noProof/>
                <w:webHidden/>
              </w:rPr>
              <w:fldChar w:fldCharType="end"/>
            </w:r>
          </w:hyperlink>
        </w:p>
        <w:p w14:paraId="7D61C608" w14:textId="4E49378C" w:rsidR="0042745D" w:rsidRPr="006D631C" w:rsidRDefault="001A0507">
          <w:pPr>
            <w:pStyle w:val="TOC2"/>
            <w:rPr>
              <w:rFonts w:asciiTheme="minorHAnsi" w:eastAsiaTheme="minorEastAsia" w:hAnsiTheme="minorHAnsi" w:cstheme="minorBidi"/>
              <w:iCs w:val="0"/>
              <w:szCs w:val="22"/>
            </w:rPr>
          </w:pPr>
          <w:hyperlink w:anchor="_Toc148175808" w:history="1">
            <w:r w:rsidR="0042745D" w:rsidRPr="006D631C">
              <w:rPr>
                <w:rStyle w:val="Hyperlink"/>
              </w:rPr>
              <w:t>2.3 Results and discussion</w:t>
            </w:r>
            <w:r w:rsidR="0042745D" w:rsidRPr="006D631C">
              <w:rPr>
                <w:webHidden/>
              </w:rPr>
              <w:tab/>
            </w:r>
            <w:r w:rsidR="0042745D" w:rsidRPr="006D631C">
              <w:rPr>
                <w:webHidden/>
              </w:rPr>
              <w:fldChar w:fldCharType="begin"/>
            </w:r>
            <w:r w:rsidR="0042745D" w:rsidRPr="006D631C">
              <w:rPr>
                <w:webHidden/>
              </w:rPr>
              <w:instrText xml:space="preserve"> PAGEREF _Toc148175808 \h </w:instrText>
            </w:r>
            <w:r w:rsidR="0042745D" w:rsidRPr="006D631C">
              <w:rPr>
                <w:webHidden/>
              </w:rPr>
            </w:r>
            <w:r w:rsidR="0042745D" w:rsidRPr="006D631C">
              <w:rPr>
                <w:webHidden/>
              </w:rPr>
              <w:fldChar w:fldCharType="separate"/>
            </w:r>
            <w:r w:rsidR="0042745D" w:rsidRPr="006D631C">
              <w:rPr>
                <w:webHidden/>
              </w:rPr>
              <w:t>75</w:t>
            </w:r>
            <w:r w:rsidR="0042745D" w:rsidRPr="006D631C">
              <w:rPr>
                <w:webHidden/>
              </w:rPr>
              <w:fldChar w:fldCharType="end"/>
            </w:r>
          </w:hyperlink>
        </w:p>
        <w:p w14:paraId="2AF71C3D" w14:textId="27638859"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09" w:history="1">
            <w:r w:rsidR="0042745D" w:rsidRPr="006D631C">
              <w:rPr>
                <w:rStyle w:val="Hyperlink"/>
                <w:noProof/>
              </w:rPr>
              <w:t>2.3.1 Cross-polarized light microscopy (CPLM)</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_Toc148175809 \h </w:instrText>
            </w:r>
            <w:r w:rsidR="0042745D" w:rsidRPr="006D631C">
              <w:rPr>
                <w:noProof/>
                <w:webHidden/>
              </w:rPr>
            </w:r>
            <w:r w:rsidR="0042745D" w:rsidRPr="006D631C">
              <w:rPr>
                <w:noProof/>
                <w:webHidden/>
              </w:rPr>
              <w:fldChar w:fldCharType="separate"/>
            </w:r>
            <w:r w:rsidR="0042745D" w:rsidRPr="006D631C">
              <w:rPr>
                <w:noProof/>
                <w:webHidden/>
              </w:rPr>
              <w:t>75</w:t>
            </w:r>
            <w:r w:rsidR="0042745D" w:rsidRPr="006D631C">
              <w:rPr>
                <w:noProof/>
                <w:webHidden/>
              </w:rPr>
              <w:fldChar w:fldCharType="end"/>
            </w:r>
          </w:hyperlink>
        </w:p>
        <w:p w14:paraId="65032966" w14:textId="0FA9F45A"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10" w:history="1">
            <w:r w:rsidR="0042745D" w:rsidRPr="006D631C">
              <w:rPr>
                <w:rStyle w:val="Hyperlink"/>
                <w:noProof/>
              </w:rPr>
              <w:t>2.3.2 Small angle X-ray scattering (SAXS)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_Toc148175810 \h </w:instrText>
            </w:r>
            <w:r w:rsidR="0042745D" w:rsidRPr="006D631C">
              <w:rPr>
                <w:noProof/>
                <w:webHidden/>
              </w:rPr>
            </w:r>
            <w:r w:rsidR="0042745D" w:rsidRPr="006D631C">
              <w:rPr>
                <w:noProof/>
                <w:webHidden/>
              </w:rPr>
              <w:fldChar w:fldCharType="separate"/>
            </w:r>
            <w:r w:rsidR="0042745D" w:rsidRPr="006D631C">
              <w:rPr>
                <w:noProof/>
                <w:webHidden/>
              </w:rPr>
              <w:t>75</w:t>
            </w:r>
            <w:r w:rsidR="0042745D" w:rsidRPr="006D631C">
              <w:rPr>
                <w:noProof/>
                <w:webHidden/>
              </w:rPr>
              <w:fldChar w:fldCharType="end"/>
            </w:r>
          </w:hyperlink>
        </w:p>
        <w:p w14:paraId="455814B5" w14:textId="000AB93F"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11" w:history="1">
            <w:r w:rsidR="0042745D" w:rsidRPr="006D631C">
              <w:rPr>
                <w:rStyle w:val="Hyperlink"/>
                <w:noProof/>
              </w:rPr>
              <w:t>2.3.3 Thermal polymerization kinetics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_Toc148175811 \h </w:instrText>
            </w:r>
            <w:r w:rsidR="0042745D" w:rsidRPr="006D631C">
              <w:rPr>
                <w:noProof/>
                <w:webHidden/>
              </w:rPr>
            </w:r>
            <w:r w:rsidR="0042745D" w:rsidRPr="006D631C">
              <w:rPr>
                <w:noProof/>
                <w:webHidden/>
              </w:rPr>
              <w:fldChar w:fldCharType="separate"/>
            </w:r>
            <w:r w:rsidR="0042745D" w:rsidRPr="006D631C">
              <w:rPr>
                <w:noProof/>
                <w:webHidden/>
              </w:rPr>
              <w:t>79</w:t>
            </w:r>
            <w:r w:rsidR="0042745D" w:rsidRPr="006D631C">
              <w:rPr>
                <w:noProof/>
                <w:webHidden/>
              </w:rPr>
              <w:fldChar w:fldCharType="end"/>
            </w:r>
          </w:hyperlink>
        </w:p>
        <w:p w14:paraId="5F1F37BF" w14:textId="5F28B9A7"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12" w:history="1">
            <w:r w:rsidR="0042745D" w:rsidRPr="006D631C">
              <w:rPr>
                <w:rStyle w:val="Hyperlink"/>
                <w:noProof/>
              </w:rPr>
              <w:t>2.3.4 Chemorheology and mechanical properties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_Toc148175812 \h </w:instrText>
            </w:r>
            <w:r w:rsidR="0042745D" w:rsidRPr="006D631C">
              <w:rPr>
                <w:noProof/>
                <w:webHidden/>
              </w:rPr>
            </w:r>
            <w:r w:rsidR="0042745D" w:rsidRPr="006D631C">
              <w:rPr>
                <w:noProof/>
                <w:webHidden/>
              </w:rPr>
              <w:fldChar w:fldCharType="separate"/>
            </w:r>
            <w:r w:rsidR="0042745D" w:rsidRPr="006D631C">
              <w:rPr>
                <w:noProof/>
                <w:webHidden/>
              </w:rPr>
              <w:t>94</w:t>
            </w:r>
            <w:r w:rsidR="0042745D" w:rsidRPr="006D631C">
              <w:rPr>
                <w:noProof/>
                <w:webHidden/>
              </w:rPr>
              <w:fldChar w:fldCharType="end"/>
            </w:r>
          </w:hyperlink>
        </w:p>
        <w:p w14:paraId="4BAA8BFA" w14:textId="4BA828D4" w:rsidR="0042745D" w:rsidRPr="006D631C" w:rsidRDefault="001A0507">
          <w:pPr>
            <w:pStyle w:val="TOC2"/>
            <w:rPr>
              <w:rFonts w:asciiTheme="minorHAnsi" w:eastAsiaTheme="minorEastAsia" w:hAnsiTheme="minorHAnsi" w:cstheme="minorBidi"/>
              <w:iCs w:val="0"/>
              <w:szCs w:val="22"/>
            </w:rPr>
          </w:pPr>
          <w:hyperlink w:anchor="_Toc148175813" w:history="1">
            <w:r w:rsidR="0042745D" w:rsidRPr="006D631C">
              <w:rPr>
                <w:rStyle w:val="Hyperlink"/>
              </w:rPr>
              <w:t>2.4 Conclusion</w:t>
            </w:r>
            <w:r w:rsidR="0042745D" w:rsidRPr="006D631C">
              <w:rPr>
                <w:webHidden/>
              </w:rPr>
              <w:tab/>
            </w:r>
            <w:r w:rsidR="0042745D" w:rsidRPr="006D631C">
              <w:rPr>
                <w:webHidden/>
              </w:rPr>
              <w:fldChar w:fldCharType="begin"/>
            </w:r>
            <w:r w:rsidR="0042745D" w:rsidRPr="006D631C">
              <w:rPr>
                <w:webHidden/>
              </w:rPr>
              <w:instrText xml:space="preserve"> PAGEREF _Toc148175813 \h </w:instrText>
            </w:r>
            <w:r w:rsidR="0042745D" w:rsidRPr="006D631C">
              <w:rPr>
                <w:webHidden/>
              </w:rPr>
            </w:r>
            <w:r w:rsidR="0042745D" w:rsidRPr="006D631C">
              <w:rPr>
                <w:webHidden/>
              </w:rPr>
              <w:fldChar w:fldCharType="separate"/>
            </w:r>
            <w:r w:rsidR="0042745D" w:rsidRPr="006D631C">
              <w:rPr>
                <w:webHidden/>
              </w:rPr>
              <w:t>100</w:t>
            </w:r>
            <w:r w:rsidR="0042745D" w:rsidRPr="006D631C">
              <w:rPr>
                <w:webHidden/>
              </w:rPr>
              <w:fldChar w:fldCharType="end"/>
            </w:r>
          </w:hyperlink>
        </w:p>
        <w:p w14:paraId="68C8DDBE" w14:textId="62FF59DC" w:rsidR="0042745D" w:rsidRPr="006D631C" w:rsidRDefault="001A0507">
          <w:pPr>
            <w:pStyle w:val="TOC1"/>
            <w:rPr>
              <w:rFonts w:asciiTheme="minorHAnsi" w:eastAsiaTheme="minorEastAsia" w:hAnsiTheme="minorHAnsi" w:cstheme="minorBidi"/>
            </w:rPr>
          </w:pPr>
          <w:hyperlink w:anchor="_Toc148175814" w:history="1">
            <w:r w:rsidR="0042745D" w:rsidRPr="006D631C">
              <w:rPr>
                <w:rStyle w:val="Hyperlink"/>
                <w:bCs/>
                <w14:scene3d>
                  <w14:camera w14:prst="orthographicFront"/>
                  <w14:lightRig w14:rig="threePt" w14:dir="t">
                    <w14:rot w14:lat="0" w14:lon="0" w14:rev="0"/>
                  </w14:lightRig>
                </w14:scene3d>
              </w:rPr>
              <w:t>CHAPTER 3:</w:t>
            </w:r>
            <w:r w:rsidR="0042745D" w:rsidRPr="006D631C">
              <w:rPr>
                <w:rStyle w:val="Hyperlink"/>
                <w:bCs/>
              </w:rPr>
              <w:t xml:space="preserve"> TWO-STEP THERMORESPONSIVE ULTRAFILTRATION MEMBRANE FROM POLYMERIZATION OF LYOTROPIC LIQUID CRYSTALS</w:t>
            </w:r>
            <w:r w:rsidR="0042745D" w:rsidRPr="006D631C">
              <w:rPr>
                <w:webHidden/>
              </w:rPr>
              <w:tab/>
            </w:r>
            <w:r w:rsidR="0042745D" w:rsidRPr="006D631C">
              <w:rPr>
                <w:webHidden/>
              </w:rPr>
              <w:fldChar w:fldCharType="begin"/>
            </w:r>
            <w:r w:rsidR="0042745D" w:rsidRPr="006D631C">
              <w:rPr>
                <w:webHidden/>
              </w:rPr>
              <w:instrText xml:space="preserve"> PAGEREF _Toc148175814 \h </w:instrText>
            </w:r>
            <w:r w:rsidR="0042745D" w:rsidRPr="006D631C">
              <w:rPr>
                <w:webHidden/>
              </w:rPr>
            </w:r>
            <w:r w:rsidR="0042745D" w:rsidRPr="006D631C">
              <w:rPr>
                <w:webHidden/>
              </w:rPr>
              <w:fldChar w:fldCharType="separate"/>
            </w:r>
            <w:r w:rsidR="0042745D" w:rsidRPr="006D631C">
              <w:rPr>
                <w:webHidden/>
              </w:rPr>
              <w:t>101</w:t>
            </w:r>
            <w:r w:rsidR="0042745D" w:rsidRPr="006D631C">
              <w:rPr>
                <w:webHidden/>
              </w:rPr>
              <w:fldChar w:fldCharType="end"/>
            </w:r>
          </w:hyperlink>
        </w:p>
        <w:p w14:paraId="7CEFBFC0" w14:textId="6EFA8199" w:rsidR="0042745D" w:rsidRPr="006D631C" w:rsidRDefault="001A0507">
          <w:pPr>
            <w:pStyle w:val="TOC2"/>
            <w:rPr>
              <w:rFonts w:asciiTheme="minorHAnsi" w:eastAsiaTheme="minorEastAsia" w:hAnsiTheme="minorHAnsi" w:cstheme="minorBidi"/>
              <w:iCs w:val="0"/>
              <w:szCs w:val="22"/>
            </w:rPr>
          </w:pPr>
          <w:hyperlink w:anchor="_Toc148175815" w:history="1">
            <w:r w:rsidR="0042745D" w:rsidRPr="006D631C">
              <w:rPr>
                <w:rStyle w:val="Hyperlink"/>
              </w:rPr>
              <w:t>3.1 Introduction</w:t>
            </w:r>
            <w:r w:rsidR="0042745D" w:rsidRPr="006D631C">
              <w:rPr>
                <w:webHidden/>
              </w:rPr>
              <w:tab/>
            </w:r>
            <w:r w:rsidR="0042745D" w:rsidRPr="006D631C">
              <w:rPr>
                <w:webHidden/>
              </w:rPr>
              <w:fldChar w:fldCharType="begin"/>
            </w:r>
            <w:r w:rsidR="0042745D" w:rsidRPr="006D631C">
              <w:rPr>
                <w:webHidden/>
              </w:rPr>
              <w:instrText xml:space="preserve"> PAGEREF _Toc148175815 \h </w:instrText>
            </w:r>
            <w:r w:rsidR="0042745D" w:rsidRPr="006D631C">
              <w:rPr>
                <w:webHidden/>
              </w:rPr>
            </w:r>
            <w:r w:rsidR="0042745D" w:rsidRPr="006D631C">
              <w:rPr>
                <w:webHidden/>
              </w:rPr>
              <w:fldChar w:fldCharType="separate"/>
            </w:r>
            <w:r w:rsidR="0042745D" w:rsidRPr="006D631C">
              <w:rPr>
                <w:webHidden/>
              </w:rPr>
              <w:t>101</w:t>
            </w:r>
            <w:r w:rsidR="0042745D" w:rsidRPr="006D631C">
              <w:rPr>
                <w:webHidden/>
              </w:rPr>
              <w:fldChar w:fldCharType="end"/>
            </w:r>
          </w:hyperlink>
        </w:p>
        <w:p w14:paraId="149C2103" w14:textId="453CEB98" w:rsidR="0042745D" w:rsidRPr="006D631C" w:rsidRDefault="001A0507">
          <w:pPr>
            <w:pStyle w:val="TOC2"/>
            <w:rPr>
              <w:rFonts w:asciiTheme="minorHAnsi" w:eastAsiaTheme="minorEastAsia" w:hAnsiTheme="minorHAnsi" w:cstheme="minorBidi"/>
              <w:iCs w:val="0"/>
              <w:szCs w:val="22"/>
            </w:rPr>
          </w:pPr>
          <w:hyperlink w:anchor="_Toc148175816" w:history="1">
            <w:r w:rsidR="0042745D" w:rsidRPr="006D631C">
              <w:rPr>
                <w:rStyle w:val="Hyperlink"/>
              </w:rPr>
              <w:t>3.2 Experimental</w:t>
            </w:r>
            <w:r w:rsidR="0042745D" w:rsidRPr="006D631C">
              <w:rPr>
                <w:webHidden/>
              </w:rPr>
              <w:tab/>
            </w:r>
            <w:r w:rsidR="0042745D" w:rsidRPr="006D631C">
              <w:rPr>
                <w:webHidden/>
              </w:rPr>
              <w:fldChar w:fldCharType="begin"/>
            </w:r>
            <w:r w:rsidR="0042745D" w:rsidRPr="006D631C">
              <w:rPr>
                <w:webHidden/>
              </w:rPr>
              <w:instrText xml:space="preserve"> PAGEREF _Toc148175816 \h </w:instrText>
            </w:r>
            <w:r w:rsidR="0042745D" w:rsidRPr="006D631C">
              <w:rPr>
                <w:webHidden/>
              </w:rPr>
            </w:r>
            <w:r w:rsidR="0042745D" w:rsidRPr="006D631C">
              <w:rPr>
                <w:webHidden/>
              </w:rPr>
              <w:fldChar w:fldCharType="separate"/>
            </w:r>
            <w:r w:rsidR="0042745D" w:rsidRPr="006D631C">
              <w:rPr>
                <w:webHidden/>
              </w:rPr>
              <w:t>104</w:t>
            </w:r>
            <w:r w:rsidR="0042745D" w:rsidRPr="006D631C">
              <w:rPr>
                <w:webHidden/>
              </w:rPr>
              <w:fldChar w:fldCharType="end"/>
            </w:r>
          </w:hyperlink>
        </w:p>
        <w:p w14:paraId="44AB3819" w14:textId="351D5AFB"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17" w:history="1">
            <w:r w:rsidR="0042745D" w:rsidRPr="006D631C">
              <w:rPr>
                <w:rStyle w:val="Hyperlink"/>
                <w:noProof/>
              </w:rPr>
              <w:t>3.2.1 Materials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_Toc148175817 \h </w:instrText>
            </w:r>
            <w:r w:rsidR="0042745D" w:rsidRPr="006D631C">
              <w:rPr>
                <w:noProof/>
                <w:webHidden/>
              </w:rPr>
            </w:r>
            <w:r w:rsidR="0042745D" w:rsidRPr="006D631C">
              <w:rPr>
                <w:noProof/>
                <w:webHidden/>
              </w:rPr>
              <w:fldChar w:fldCharType="separate"/>
            </w:r>
            <w:r w:rsidR="0042745D" w:rsidRPr="006D631C">
              <w:rPr>
                <w:noProof/>
                <w:webHidden/>
              </w:rPr>
              <w:t>104</w:t>
            </w:r>
            <w:r w:rsidR="0042745D" w:rsidRPr="006D631C">
              <w:rPr>
                <w:noProof/>
                <w:webHidden/>
              </w:rPr>
              <w:fldChar w:fldCharType="end"/>
            </w:r>
          </w:hyperlink>
        </w:p>
        <w:p w14:paraId="7793DFE9" w14:textId="6B601600"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18" w:history="1">
            <w:r w:rsidR="0042745D" w:rsidRPr="006D631C">
              <w:rPr>
                <w:rStyle w:val="Hyperlink"/>
                <w:noProof/>
              </w:rPr>
              <w:t>3.2.2 Preparation of LLC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_Toc148175818 \h </w:instrText>
            </w:r>
            <w:r w:rsidR="0042745D" w:rsidRPr="006D631C">
              <w:rPr>
                <w:noProof/>
                <w:webHidden/>
              </w:rPr>
            </w:r>
            <w:r w:rsidR="0042745D" w:rsidRPr="006D631C">
              <w:rPr>
                <w:noProof/>
                <w:webHidden/>
              </w:rPr>
              <w:fldChar w:fldCharType="separate"/>
            </w:r>
            <w:r w:rsidR="0042745D" w:rsidRPr="006D631C">
              <w:rPr>
                <w:noProof/>
                <w:webHidden/>
              </w:rPr>
              <w:t>104</w:t>
            </w:r>
            <w:r w:rsidR="0042745D" w:rsidRPr="006D631C">
              <w:rPr>
                <w:noProof/>
                <w:webHidden/>
              </w:rPr>
              <w:fldChar w:fldCharType="end"/>
            </w:r>
          </w:hyperlink>
        </w:p>
        <w:p w14:paraId="7F01DCC2" w14:textId="158502E8"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19" w:history="1">
            <w:r w:rsidR="0042745D" w:rsidRPr="006D631C">
              <w:rPr>
                <w:rStyle w:val="Hyperlink"/>
                <w:noProof/>
              </w:rPr>
              <w:t>3.2.3 Characterization of LLC and polyLLC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_Toc148175819 \h </w:instrText>
            </w:r>
            <w:r w:rsidR="0042745D" w:rsidRPr="006D631C">
              <w:rPr>
                <w:noProof/>
                <w:webHidden/>
              </w:rPr>
            </w:r>
            <w:r w:rsidR="0042745D" w:rsidRPr="006D631C">
              <w:rPr>
                <w:noProof/>
                <w:webHidden/>
              </w:rPr>
              <w:fldChar w:fldCharType="separate"/>
            </w:r>
            <w:r w:rsidR="0042745D" w:rsidRPr="006D631C">
              <w:rPr>
                <w:noProof/>
                <w:webHidden/>
              </w:rPr>
              <w:t>104</w:t>
            </w:r>
            <w:r w:rsidR="0042745D" w:rsidRPr="006D631C">
              <w:rPr>
                <w:noProof/>
                <w:webHidden/>
              </w:rPr>
              <w:fldChar w:fldCharType="end"/>
            </w:r>
          </w:hyperlink>
        </w:p>
        <w:p w14:paraId="057F0D12" w14:textId="4CCDF8D5" w:rsidR="0042745D" w:rsidRPr="006D631C" w:rsidRDefault="001A0507">
          <w:pPr>
            <w:pStyle w:val="TOC4"/>
            <w:rPr>
              <w:rFonts w:asciiTheme="minorHAnsi" w:eastAsiaTheme="minorEastAsia" w:hAnsiTheme="minorHAnsi" w:cstheme="minorBidi"/>
              <w:sz w:val="22"/>
              <w:szCs w:val="22"/>
            </w:rPr>
          </w:pPr>
          <w:hyperlink w:anchor="_Toc148175820" w:history="1">
            <w:r w:rsidR="0042745D" w:rsidRPr="006D631C">
              <w:rPr>
                <w:rStyle w:val="Hyperlink"/>
              </w:rPr>
              <w:t>3.2.3.1 Cross-polarized light microscopy (CPLM)</w:t>
            </w:r>
            <w:r w:rsidR="0042745D" w:rsidRPr="006D631C">
              <w:rPr>
                <w:webHidden/>
              </w:rPr>
              <w:tab/>
            </w:r>
            <w:r w:rsidR="0042745D" w:rsidRPr="006D631C">
              <w:rPr>
                <w:webHidden/>
              </w:rPr>
              <w:fldChar w:fldCharType="begin"/>
            </w:r>
            <w:r w:rsidR="0042745D" w:rsidRPr="006D631C">
              <w:rPr>
                <w:webHidden/>
              </w:rPr>
              <w:instrText xml:space="preserve"> PAGEREF _Toc148175820 \h </w:instrText>
            </w:r>
            <w:r w:rsidR="0042745D" w:rsidRPr="006D631C">
              <w:rPr>
                <w:webHidden/>
              </w:rPr>
            </w:r>
            <w:r w:rsidR="0042745D" w:rsidRPr="006D631C">
              <w:rPr>
                <w:webHidden/>
              </w:rPr>
              <w:fldChar w:fldCharType="separate"/>
            </w:r>
            <w:r w:rsidR="0042745D" w:rsidRPr="006D631C">
              <w:rPr>
                <w:webHidden/>
              </w:rPr>
              <w:t>104</w:t>
            </w:r>
            <w:r w:rsidR="0042745D" w:rsidRPr="006D631C">
              <w:rPr>
                <w:webHidden/>
              </w:rPr>
              <w:fldChar w:fldCharType="end"/>
            </w:r>
          </w:hyperlink>
        </w:p>
        <w:p w14:paraId="76251220" w14:textId="3346F34A" w:rsidR="0042745D" w:rsidRPr="006D631C" w:rsidRDefault="001A0507">
          <w:pPr>
            <w:pStyle w:val="TOC4"/>
            <w:rPr>
              <w:rFonts w:asciiTheme="minorHAnsi" w:eastAsiaTheme="minorEastAsia" w:hAnsiTheme="minorHAnsi" w:cstheme="minorBidi"/>
              <w:sz w:val="22"/>
              <w:szCs w:val="22"/>
            </w:rPr>
          </w:pPr>
          <w:hyperlink w:anchor="_Toc148175821" w:history="1">
            <w:r w:rsidR="0042745D" w:rsidRPr="006D631C">
              <w:rPr>
                <w:rStyle w:val="Hyperlink"/>
              </w:rPr>
              <w:t>3.2.3.2 Small angle X-ray scattering (SAXS)</w:t>
            </w:r>
            <w:r w:rsidR="0042745D" w:rsidRPr="006D631C">
              <w:rPr>
                <w:webHidden/>
              </w:rPr>
              <w:tab/>
            </w:r>
            <w:r w:rsidR="0042745D" w:rsidRPr="006D631C">
              <w:rPr>
                <w:webHidden/>
              </w:rPr>
              <w:fldChar w:fldCharType="begin"/>
            </w:r>
            <w:r w:rsidR="0042745D" w:rsidRPr="006D631C">
              <w:rPr>
                <w:webHidden/>
              </w:rPr>
              <w:instrText xml:space="preserve"> PAGEREF _Toc148175821 \h </w:instrText>
            </w:r>
            <w:r w:rsidR="0042745D" w:rsidRPr="006D631C">
              <w:rPr>
                <w:webHidden/>
              </w:rPr>
            </w:r>
            <w:r w:rsidR="0042745D" w:rsidRPr="006D631C">
              <w:rPr>
                <w:webHidden/>
              </w:rPr>
              <w:fldChar w:fldCharType="separate"/>
            </w:r>
            <w:r w:rsidR="0042745D" w:rsidRPr="006D631C">
              <w:rPr>
                <w:webHidden/>
              </w:rPr>
              <w:t>105</w:t>
            </w:r>
            <w:r w:rsidR="0042745D" w:rsidRPr="006D631C">
              <w:rPr>
                <w:webHidden/>
              </w:rPr>
              <w:fldChar w:fldCharType="end"/>
            </w:r>
          </w:hyperlink>
        </w:p>
        <w:p w14:paraId="0735445F" w14:textId="682DB965" w:rsidR="0042745D" w:rsidRPr="006D631C" w:rsidRDefault="001A0507">
          <w:pPr>
            <w:pStyle w:val="TOC4"/>
            <w:rPr>
              <w:rFonts w:asciiTheme="minorHAnsi" w:eastAsiaTheme="minorEastAsia" w:hAnsiTheme="minorHAnsi" w:cstheme="minorBidi"/>
              <w:sz w:val="22"/>
              <w:szCs w:val="22"/>
            </w:rPr>
          </w:pPr>
          <w:hyperlink w:anchor="_Toc148175822" w:history="1">
            <w:r w:rsidR="0042745D" w:rsidRPr="006D631C">
              <w:rPr>
                <w:rStyle w:val="Hyperlink"/>
              </w:rPr>
              <w:t>3.2.3.3 Atomic force microscopy (AFM)</w:t>
            </w:r>
            <w:r w:rsidR="0042745D" w:rsidRPr="006D631C">
              <w:rPr>
                <w:webHidden/>
              </w:rPr>
              <w:tab/>
            </w:r>
            <w:r w:rsidR="0042745D" w:rsidRPr="006D631C">
              <w:rPr>
                <w:webHidden/>
              </w:rPr>
              <w:fldChar w:fldCharType="begin"/>
            </w:r>
            <w:r w:rsidR="0042745D" w:rsidRPr="006D631C">
              <w:rPr>
                <w:webHidden/>
              </w:rPr>
              <w:instrText xml:space="preserve"> PAGEREF _Toc148175822 \h </w:instrText>
            </w:r>
            <w:r w:rsidR="0042745D" w:rsidRPr="006D631C">
              <w:rPr>
                <w:webHidden/>
              </w:rPr>
            </w:r>
            <w:r w:rsidR="0042745D" w:rsidRPr="006D631C">
              <w:rPr>
                <w:webHidden/>
              </w:rPr>
              <w:fldChar w:fldCharType="separate"/>
            </w:r>
            <w:r w:rsidR="0042745D" w:rsidRPr="006D631C">
              <w:rPr>
                <w:webHidden/>
              </w:rPr>
              <w:t>105</w:t>
            </w:r>
            <w:r w:rsidR="0042745D" w:rsidRPr="006D631C">
              <w:rPr>
                <w:webHidden/>
              </w:rPr>
              <w:fldChar w:fldCharType="end"/>
            </w:r>
          </w:hyperlink>
        </w:p>
        <w:p w14:paraId="218CB5F9" w14:textId="77E22770" w:rsidR="0042745D" w:rsidRPr="006D631C" w:rsidRDefault="001A0507">
          <w:pPr>
            <w:pStyle w:val="TOC4"/>
            <w:rPr>
              <w:rFonts w:asciiTheme="minorHAnsi" w:eastAsiaTheme="minorEastAsia" w:hAnsiTheme="minorHAnsi" w:cstheme="minorBidi"/>
              <w:sz w:val="22"/>
              <w:szCs w:val="22"/>
            </w:rPr>
          </w:pPr>
          <w:hyperlink w:anchor="_Toc148175823" w:history="1">
            <w:r w:rsidR="0042745D" w:rsidRPr="006D631C">
              <w:rPr>
                <w:rStyle w:val="Hyperlink"/>
              </w:rPr>
              <w:t>3.2.3.4 Differential scanning calorimetry (DSC)</w:t>
            </w:r>
            <w:r w:rsidR="0042745D" w:rsidRPr="006D631C">
              <w:rPr>
                <w:webHidden/>
              </w:rPr>
              <w:tab/>
            </w:r>
            <w:r w:rsidR="0042745D" w:rsidRPr="006D631C">
              <w:rPr>
                <w:webHidden/>
              </w:rPr>
              <w:fldChar w:fldCharType="begin"/>
            </w:r>
            <w:r w:rsidR="0042745D" w:rsidRPr="006D631C">
              <w:rPr>
                <w:webHidden/>
              </w:rPr>
              <w:instrText xml:space="preserve"> PAGEREF _Toc148175823 \h </w:instrText>
            </w:r>
            <w:r w:rsidR="0042745D" w:rsidRPr="006D631C">
              <w:rPr>
                <w:webHidden/>
              </w:rPr>
            </w:r>
            <w:r w:rsidR="0042745D" w:rsidRPr="006D631C">
              <w:rPr>
                <w:webHidden/>
              </w:rPr>
              <w:fldChar w:fldCharType="separate"/>
            </w:r>
            <w:r w:rsidR="0042745D" w:rsidRPr="006D631C">
              <w:rPr>
                <w:webHidden/>
              </w:rPr>
              <w:t>105</w:t>
            </w:r>
            <w:r w:rsidR="0042745D" w:rsidRPr="006D631C">
              <w:rPr>
                <w:webHidden/>
              </w:rPr>
              <w:fldChar w:fldCharType="end"/>
            </w:r>
          </w:hyperlink>
        </w:p>
        <w:p w14:paraId="2E2DD38C" w14:textId="6A5F6CA3"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24" w:history="1">
            <w:r w:rsidR="0042745D" w:rsidRPr="006D631C">
              <w:rPr>
                <w:rStyle w:val="Hyperlink"/>
                <w:noProof/>
              </w:rPr>
              <w:t>3.2.4 Preparation of the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_Toc148175824 \h </w:instrText>
            </w:r>
            <w:r w:rsidR="0042745D" w:rsidRPr="006D631C">
              <w:rPr>
                <w:noProof/>
                <w:webHidden/>
              </w:rPr>
            </w:r>
            <w:r w:rsidR="0042745D" w:rsidRPr="006D631C">
              <w:rPr>
                <w:noProof/>
                <w:webHidden/>
              </w:rPr>
              <w:fldChar w:fldCharType="separate"/>
            </w:r>
            <w:r w:rsidR="0042745D" w:rsidRPr="006D631C">
              <w:rPr>
                <w:noProof/>
                <w:webHidden/>
              </w:rPr>
              <w:t>106</w:t>
            </w:r>
            <w:r w:rsidR="0042745D" w:rsidRPr="006D631C">
              <w:rPr>
                <w:noProof/>
                <w:webHidden/>
              </w:rPr>
              <w:fldChar w:fldCharType="end"/>
            </w:r>
          </w:hyperlink>
        </w:p>
        <w:p w14:paraId="2F195D47" w14:textId="388E1540"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25" w:history="1">
            <w:r w:rsidR="0042745D" w:rsidRPr="006D631C">
              <w:rPr>
                <w:rStyle w:val="Hyperlink"/>
                <w:noProof/>
              </w:rPr>
              <w:t>3.2.5 Characterization of the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_Toc148175825 \h </w:instrText>
            </w:r>
            <w:r w:rsidR="0042745D" w:rsidRPr="006D631C">
              <w:rPr>
                <w:noProof/>
                <w:webHidden/>
              </w:rPr>
            </w:r>
            <w:r w:rsidR="0042745D" w:rsidRPr="006D631C">
              <w:rPr>
                <w:noProof/>
                <w:webHidden/>
              </w:rPr>
              <w:fldChar w:fldCharType="separate"/>
            </w:r>
            <w:r w:rsidR="0042745D" w:rsidRPr="006D631C">
              <w:rPr>
                <w:noProof/>
                <w:webHidden/>
              </w:rPr>
              <w:t>106</w:t>
            </w:r>
            <w:r w:rsidR="0042745D" w:rsidRPr="006D631C">
              <w:rPr>
                <w:noProof/>
                <w:webHidden/>
              </w:rPr>
              <w:fldChar w:fldCharType="end"/>
            </w:r>
          </w:hyperlink>
        </w:p>
        <w:p w14:paraId="7B1C4834" w14:textId="5443EED9" w:rsidR="0042745D" w:rsidRPr="006D631C" w:rsidRDefault="001A0507">
          <w:pPr>
            <w:pStyle w:val="TOC4"/>
            <w:rPr>
              <w:rFonts w:asciiTheme="minorHAnsi" w:eastAsiaTheme="minorEastAsia" w:hAnsiTheme="minorHAnsi" w:cstheme="minorBidi"/>
              <w:sz w:val="22"/>
              <w:szCs w:val="22"/>
            </w:rPr>
          </w:pPr>
          <w:hyperlink w:anchor="_Toc148175826" w:history="1">
            <w:r w:rsidR="0042745D" w:rsidRPr="006D631C">
              <w:rPr>
                <w:rStyle w:val="Hyperlink"/>
              </w:rPr>
              <w:t>3.2.5.1 Hydration capacity</w:t>
            </w:r>
            <w:r w:rsidR="0042745D" w:rsidRPr="006D631C">
              <w:rPr>
                <w:webHidden/>
              </w:rPr>
              <w:tab/>
            </w:r>
            <w:r w:rsidR="0042745D" w:rsidRPr="006D631C">
              <w:rPr>
                <w:webHidden/>
              </w:rPr>
              <w:fldChar w:fldCharType="begin"/>
            </w:r>
            <w:r w:rsidR="0042745D" w:rsidRPr="006D631C">
              <w:rPr>
                <w:webHidden/>
              </w:rPr>
              <w:instrText xml:space="preserve"> PAGEREF _Toc148175826 \h </w:instrText>
            </w:r>
            <w:r w:rsidR="0042745D" w:rsidRPr="006D631C">
              <w:rPr>
                <w:webHidden/>
              </w:rPr>
            </w:r>
            <w:r w:rsidR="0042745D" w:rsidRPr="006D631C">
              <w:rPr>
                <w:webHidden/>
              </w:rPr>
              <w:fldChar w:fldCharType="separate"/>
            </w:r>
            <w:r w:rsidR="0042745D" w:rsidRPr="006D631C">
              <w:rPr>
                <w:webHidden/>
              </w:rPr>
              <w:t>106</w:t>
            </w:r>
            <w:r w:rsidR="0042745D" w:rsidRPr="006D631C">
              <w:rPr>
                <w:webHidden/>
              </w:rPr>
              <w:fldChar w:fldCharType="end"/>
            </w:r>
          </w:hyperlink>
        </w:p>
        <w:p w14:paraId="070AE3D0" w14:textId="482BEB1A" w:rsidR="0042745D" w:rsidRPr="006D631C" w:rsidRDefault="001A0507">
          <w:pPr>
            <w:pStyle w:val="TOC4"/>
            <w:rPr>
              <w:rFonts w:asciiTheme="minorHAnsi" w:eastAsiaTheme="minorEastAsia" w:hAnsiTheme="minorHAnsi" w:cstheme="minorBidi"/>
              <w:sz w:val="22"/>
              <w:szCs w:val="22"/>
            </w:rPr>
          </w:pPr>
          <w:hyperlink w:anchor="_Toc148175827" w:history="1">
            <w:r w:rsidR="0042745D" w:rsidRPr="006D631C">
              <w:rPr>
                <w:rStyle w:val="Hyperlink"/>
              </w:rPr>
              <w:t>3.2.5.2 Water flux and permeability</w:t>
            </w:r>
            <w:r w:rsidR="0042745D" w:rsidRPr="006D631C">
              <w:rPr>
                <w:webHidden/>
              </w:rPr>
              <w:tab/>
            </w:r>
            <w:r w:rsidR="0042745D" w:rsidRPr="006D631C">
              <w:rPr>
                <w:webHidden/>
              </w:rPr>
              <w:fldChar w:fldCharType="begin"/>
            </w:r>
            <w:r w:rsidR="0042745D" w:rsidRPr="006D631C">
              <w:rPr>
                <w:webHidden/>
              </w:rPr>
              <w:instrText xml:space="preserve"> PAGEREF _Toc148175827 \h </w:instrText>
            </w:r>
            <w:r w:rsidR="0042745D" w:rsidRPr="006D631C">
              <w:rPr>
                <w:webHidden/>
              </w:rPr>
            </w:r>
            <w:r w:rsidR="0042745D" w:rsidRPr="006D631C">
              <w:rPr>
                <w:webHidden/>
              </w:rPr>
              <w:fldChar w:fldCharType="separate"/>
            </w:r>
            <w:r w:rsidR="0042745D" w:rsidRPr="006D631C">
              <w:rPr>
                <w:webHidden/>
              </w:rPr>
              <w:t>106</w:t>
            </w:r>
            <w:r w:rsidR="0042745D" w:rsidRPr="006D631C">
              <w:rPr>
                <w:webHidden/>
              </w:rPr>
              <w:fldChar w:fldCharType="end"/>
            </w:r>
          </w:hyperlink>
        </w:p>
        <w:p w14:paraId="47D24BD9" w14:textId="5457B413" w:rsidR="0042745D" w:rsidRPr="006D631C" w:rsidRDefault="001A0507">
          <w:pPr>
            <w:pStyle w:val="TOC4"/>
            <w:rPr>
              <w:rFonts w:asciiTheme="minorHAnsi" w:eastAsiaTheme="minorEastAsia" w:hAnsiTheme="minorHAnsi" w:cstheme="minorBidi"/>
              <w:sz w:val="22"/>
              <w:szCs w:val="22"/>
            </w:rPr>
          </w:pPr>
          <w:hyperlink w:anchor="_Toc148175828" w:history="1">
            <w:r w:rsidR="0042745D" w:rsidRPr="006D631C">
              <w:rPr>
                <w:rStyle w:val="Hyperlink"/>
              </w:rPr>
              <w:t>3.2.5.3 Evaluation of fouling resistance and cleaning efficiency</w:t>
            </w:r>
            <w:r w:rsidR="0042745D" w:rsidRPr="006D631C">
              <w:rPr>
                <w:webHidden/>
              </w:rPr>
              <w:tab/>
            </w:r>
            <w:r w:rsidR="0042745D" w:rsidRPr="006D631C">
              <w:rPr>
                <w:webHidden/>
              </w:rPr>
              <w:fldChar w:fldCharType="begin"/>
            </w:r>
            <w:r w:rsidR="0042745D" w:rsidRPr="006D631C">
              <w:rPr>
                <w:webHidden/>
              </w:rPr>
              <w:instrText xml:space="preserve"> PAGEREF _Toc148175828 \h </w:instrText>
            </w:r>
            <w:r w:rsidR="0042745D" w:rsidRPr="006D631C">
              <w:rPr>
                <w:webHidden/>
              </w:rPr>
            </w:r>
            <w:r w:rsidR="0042745D" w:rsidRPr="006D631C">
              <w:rPr>
                <w:webHidden/>
              </w:rPr>
              <w:fldChar w:fldCharType="separate"/>
            </w:r>
            <w:r w:rsidR="0042745D" w:rsidRPr="006D631C">
              <w:rPr>
                <w:webHidden/>
              </w:rPr>
              <w:t>108</w:t>
            </w:r>
            <w:r w:rsidR="0042745D" w:rsidRPr="006D631C">
              <w:rPr>
                <w:webHidden/>
              </w:rPr>
              <w:fldChar w:fldCharType="end"/>
            </w:r>
          </w:hyperlink>
        </w:p>
        <w:p w14:paraId="69B4A0E4" w14:textId="54406680" w:rsidR="0042745D" w:rsidRPr="006D631C" w:rsidRDefault="001A0507">
          <w:pPr>
            <w:pStyle w:val="TOC4"/>
            <w:rPr>
              <w:rFonts w:asciiTheme="minorHAnsi" w:eastAsiaTheme="minorEastAsia" w:hAnsiTheme="minorHAnsi" w:cstheme="minorBidi"/>
              <w:sz w:val="22"/>
              <w:szCs w:val="22"/>
            </w:rPr>
          </w:pPr>
          <w:hyperlink w:anchor="_Toc148175829" w:history="1">
            <w:r w:rsidR="0042745D" w:rsidRPr="006D631C">
              <w:rPr>
                <w:rStyle w:val="Hyperlink"/>
              </w:rPr>
              <w:t>3.2.5.4 Molecular weight cut-off measurements</w:t>
            </w:r>
            <w:r w:rsidR="0042745D" w:rsidRPr="006D631C">
              <w:rPr>
                <w:webHidden/>
              </w:rPr>
              <w:tab/>
            </w:r>
            <w:r w:rsidR="0042745D" w:rsidRPr="006D631C">
              <w:rPr>
                <w:webHidden/>
              </w:rPr>
              <w:fldChar w:fldCharType="begin"/>
            </w:r>
            <w:r w:rsidR="0042745D" w:rsidRPr="006D631C">
              <w:rPr>
                <w:webHidden/>
              </w:rPr>
              <w:instrText xml:space="preserve"> PAGEREF _Toc148175829 \h </w:instrText>
            </w:r>
            <w:r w:rsidR="0042745D" w:rsidRPr="006D631C">
              <w:rPr>
                <w:webHidden/>
              </w:rPr>
            </w:r>
            <w:r w:rsidR="0042745D" w:rsidRPr="006D631C">
              <w:rPr>
                <w:webHidden/>
              </w:rPr>
              <w:fldChar w:fldCharType="separate"/>
            </w:r>
            <w:r w:rsidR="0042745D" w:rsidRPr="006D631C">
              <w:rPr>
                <w:webHidden/>
              </w:rPr>
              <w:t>108</w:t>
            </w:r>
            <w:r w:rsidR="0042745D" w:rsidRPr="006D631C">
              <w:rPr>
                <w:webHidden/>
              </w:rPr>
              <w:fldChar w:fldCharType="end"/>
            </w:r>
          </w:hyperlink>
        </w:p>
        <w:p w14:paraId="518D3B98" w14:textId="241D5424" w:rsidR="0042745D" w:rsidRPr="006D631C" w:rsidRDefault="001A0507">
          <w:pPr>
            <w:pStyle w:val="TOC2"/>
            <w:rPr>
              <w:rFonts w:asciiTheme="minorHAnsi" w:eastAsiaTheme="minorEastAsia" w:hAnsiTheme="minorHAnsi" w:cstheme="minorBidi"/>
              <w:iCs w:val="0"/>
              <w:szCs w:val="22"/>
            </w:rPr>
          </w:pPr>
          <w:hyperlink w:anchor="_Toc148175830" w:history="1">
            <w:r w:rsidR="0042745D" w:rsidRPr="006D631C">
              <w:rPr>
                <w:rStyle w:val="Hyperlink"/>
              </w:rPr>
              <w:t>3.3 Results and discussions</w:t>
            </w:r>
            <w:r w:rsidR="0042745D" w:rsidRPr="006D631C">
              <w:rPr>
                <w:webHidden/>
              </w:rPr>
              <w:tab/>
            </w:r>
            <w:r w:rsidR="0042745D" w:rsidRPr="006D631C">
              <w:rPr>
                <w:webHidden/>
              </w:rPr>
              <w:fldChar w:fldCharType="begin"/>
            </w:r>
            <w:r w:rsidR="0042745D" w:rsidRPr="006D631C">
              <w:rPr>
                <w:webHidden/>
              </w:rPr>
              <w:instrText xml:space="preserve"> PAGEREF _Toc148175830 \h </w:instrText>
            </w:r>
            <w:r w:rsidR="0042745D" w:rsidRPr="006D631C">
              <w:rPr>
                <w:webHidden/>
              </w:rPr>
            </w:r>
            <w:r w:rsidR="0042745D" w:rsidRPr="006D631C">
              <w:rPr>
                <w:webHidden/>
              </w:rPr>
              <w:fldChar w:fldCharType="separate"/>
            </w:r>
            <w:r w:rsidR="0042745D" w:rsidRPr="006D631C">
              <w:rPr>
                <w:webHidden/>
              </w:rPr>
              <w:t>109</w:t>
            </w:r>
            <w:r w:rsidR="0042745D" w:rsidRPr="006D631C">
              <w:rPr>
                <w:webHidden/>
              </w:rPr>
              <w:fldChar w:fldCharType="end"/>
            </w:r>
          </w:hyperlink>
        </w:p>
        <w:p w14:paraId="32341E38" w14:textId="760B65C3"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31" w:history="1">
            <w:r w:rsidR="0042745D" w:rsidRPr="006D631C">
              <w:rPr>
                <w:rStyle w:val="Hyperlink"/>
                <w:noProof/>
              </w:rPr>
              <w:t>3.3.1 Characterization of LLC and polyLLC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_Toc148175831 \h </w:instrText>
            </w:r>
            <w:r w:rsidR="0042745D" w:rsidRPr="006D631C">
              <w:rPr>
                <w:noProof/>
                <w:webHidden/>
              </w:rPr>
            </w:r>
            <w:r w:rsidR="0042745D" w:rsidRPr="006D631C">
              <w:rPr>
                <w:noProof/>
                <w:webHidden/>
              </w:rPr>
              <w:fldChar w:fldCharType="separate"/>
            </w:r>
            <w:r w:rsidR="0042745D" w:rsidRPr="006D631C">
              <w:rPr>
                <w:noProof/>
                <w:webHidden/>
              </w:rPr>
              <w:t>109</w:t>
            </w:r>
            <w:r w:rsidR="0042745D" w:rsidRPr="006D631C">
              <w:rPr>
                <w:noProof/>
                <w:webHidden/>
              </w:rPr>
              <w:fldChar w:fldCharType="end"/>
            </w:r>
          </w:hyperlink>
        </w:p>
        <w:p w14:paraId="147828AE" w14:textId="7421BAE0"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32" w:history="1">
            <w:r w:rsidR="0042745D" w:rsidRPr="006D631C">
              <w:rPr>
                <w:rStyle w:val="Hyperlink"/>
                <w:noProof/>
              </w:rPr>
              <w:t>3.3.2 Characterization of membranes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_Toc148175832 \h </w:instrText>
            </w:r>
            <w:r w:rsidR="0042745D" w:rsidRPr="006D631C">
              <w:rPr>
                <w:noProof/>
                <w:webHidden/>
              </w:rPr>
            </w:r>
            <w:r w:rsidR="0042745D" w:rsidRPr="006D631C">
              <w:rPr>
                <w:noProof/>
                <w:webHidden/>
              </w:rPr>
              <w:fldChar w:fldCharType="separate"/>
            </w:r>
            <w:r w:rsidR="0042745D" w:rsidRPr="006D631C">
              <w:rPr>
                <w:noProof/>
                <w:webHidden/>
              </w:rPr>
              <w:t>113</w:t>
            </w:r>
            <w:r w:rsidR="0042745D" w:rsidRPr="006D631C">
              <w:rPr>
                <w:noProof/>
                <w:webHidden/>
              </w:rPr>
              <w:fldChar w:fldCharType="end"/>
            </w:r>
          </w:hyperlink>
        </w:p>
        <w:p w14:paraId="60BD68FC" w14:textId="08F1E84D" w:rsidR="0042745D" w:rsidRPr="006D631C" w:rsidRDefault="001A0507">
          <w:pPr>
            <w:pStyle w:val="TOC4"/>
            <w:rPr>
              <w:rFonts w:asciiTheme="minorHAnsi" w:eastAsiaTheme="minorEastAsia" w:hAnsiTheme="minorHAnsi" w:cstheme="minorBidi"/>
              <w:sz w:val="22"/>
              <w:szCs w:val="22"/>
            </w:rPr>
          </w:pPr>
          <w:hyperlink w:anchor="_Toc148175833" w:history="1">
            <w:r w:rsidR="0042745D" w:rsidRPr="006D631C">
              <w:rPr>
                <w:rStyle w:val="Hyperlink"/>
              </w:rPr>
              <w:t>3.3.2.1 Hydration capacity</w:t>
            </w:r>
            <w:r w:rsidR="0042745D" w:rsidRPr="006D631C">
              <w:rPr>
                <w:webHidden/>
              </w:rPr>
              <w:tab/>
            </w:r>
            <w:r w:rsidR="0042745D" w:rsidRPr="006D631C">
              <w:rPr>
                <w:webHidden/>
              </w:rPr>
              <w:fldChar w:fldCharType="begin"/>
            </w:r>
            <w:r w:rsidR="0042745D" w:rsidRPr="006D631C">
              <w:rPr>
                <w:webHidden/>
              </w:rPr>
              <w:instrText xml:space="preserve"> PAGEREF _Toc148175833 \h </w:instrText>
            </w:r>
            <w:r w:rsidR="0042745D" w:rsidRPr="006D631C">
              <w:rPr>
                <w:webHidden/>
              </w:rPr>
            </w:r>
            <w:r w:rsidR="0042745D" w:rsidRPr="006D631C">
              <w:rPr>
                <w:webHidden/>
              </w:rPr>
              <w:fldChar w:fldCharType="separate"/>
            </w:r>
            <w:r w:rsidR="0042745D" w:rsidRPr="006D631C">
              <w:rPr>
                <w:webHidden/>
              </w:rPr>
              <w:t>114</w:t>
            </w:r>
            <w:r w:rsidR="0042745D" w:rsidRPr="006D631C">
              <w:rPr>
                <w:webHidden/>
              </w:rPr>
              <w:fldChar w:fldCharType="end"/>
            </w:r>
          </w:hyperlink>
        </w:p>
        <w:p w14:paraId="5D717A37" w14:textId="7A61662D" w:rsidR="0042745D" w:rsidRPr="006D631C" w:rsidRDefault="001A0507">
          <w:pPr>
            <w:pStyle w:val="TOC4"/>
            <w:rPr>
              <w:rFonts w:asciiTheme="minorHAnsi" w:eastAsiaTheme="minorEastAsia" w:hAnsiTheme="minorHAnsi" w:cstheme="minorBidi"/>
              <w:sz w:val="22"/>
              <w:szCs w:val="22"/>
            </w:rPr>
          </w:pPr>
          <w:hyperlink w:anchor="_Toc148175834" w:history="1">
            <w:r w:rsidR="0042745D" w:rsidRPr="006D631C">
              <w:rPr>
                <w:rStyle w:val="Hyperlink"/>
              </w:rPr>
              <w:t>3.3.2.2 Water flux and permeability</w:t>
            </w:r>
            <w:r w:rsidR="0042745D" w:rsidRPr="006D631C">
              <w:rPr>
                <w:webHidden/>
              </w:rPr>
              <w:tab/>
            </w:r>
            <w:r w:rsidR="0042745D" w:rsidRPr="006D631C">
              <w:rPr>
                <w:webHidden/>
              </w:rPr>
              <w:fldChar w:fldCharType="begin"/>
            </w:r>
            <w:r w:rsidR="0042745D" w:rsidRPr="006D631C">
              <w:rPr>
                <w:webHidden/>
              </w:rPr>
              <w:instrText xml:space="preserve"> PAGEREF _Toc148175834 \h </w:instrText>
            </w:r>
            <w:r w:rsidR="0042745D" w:rsidRPr="006D631C">
              <w:rPr>
                <w:webHidden/>
              </w:rPr>
            </w:r>
            <w:r w:rsidR="0042745D" w:rsidRPr="006D631C">
              <w:rPr>
                <w:webHidden/>
              </w:rPr>
              <w:fldChar w:fldCharType="separate"/>
            </w:r>
            <w:r w:rsidR="0042745D" w:rsidRPr="006D631C">
              <w:rPr>
                <w:webHidden/>
              </w:rPr>
              <w:t>115</w:t>
            </w:r>
            <w:r w:rsidR="0042745D" w:rsidRPr="006D631C">
              <w:rPr>
                <w:webHidden/>
              </w:rPr>
              <w:fldChar w:fldCharType="end"/>
            </w:r>
          </w:hyperlink>
        </w:p>
        <w:p w14:paraId="656A74AF" w14:textId="516A49EE" w:rsidR="0042745D" w:rsidRPr="006D631C" w:rsidRDefault="001A0507">
          <w:pPr>
            <w:pStyle w:val="TOC4"/>
            <w:rPr>
              <w:rFonts w:asciiTheme="minorHAnsi" w:eastAsiaTheme="minorEastAsia" w:hAnsiTheme="minorHAnsi" w:cstheme="minorBidi"/>
              <w:sz w:val="22"/>
              <w:szCs w:val="22"/>
            </w:rPr>
          </w:pPr>
          <w:hyperlink w:anchor="_Toc148175835" w:history="1">
            <w:r w:rsidR="0042745D" w:rsidRPr="006D631C">
              <w:rPr>
                <w:rStyle w:val="Hyperlink"/>
              </w:rPr>
              <w:t>3.3.2.3 Fouling resistance and cleaning efficiency</w:t>
            </w:r>
            <w:r w:rsidR="0042745D" w:rsidRPr="006D631C">
              <w:rPr>
                <w:webHidden/>
              </w:rPr>
              <w:tab/>
            </w:r>
            <w:r w:rsidR="0042745D" w:rsidRPr="006D631C">
              <w:rPr>
                <w:webHidden/>
              </w:rPr>
              <w:fldChar w:fldCharType="begin"/>
            </w:r>
            <w:r w:rsidR="0042745D" w:rsidRPr="006D631C">
              <w:rPr>
                <w:webHidden/>
              </w:rPr>
              <w:instrText xml:space="preserve"> PAGEREF _Toc148175835 \h </w:instrText>
            </w:r>
            <w:r w:rsidR="0042745D" w:rsidRPr="006D631C">
              <w:rPr>
                <w:webHidden/>
              </w:rPr>
            </w:r>
            <w:r w:rsidR="0042745D" w:rsidRPr="006D631C">
              <w:rPr>
                <w:webHidden/>
              </w:rPr>
              <w:fldChar w:fldCharType="separate"/>
            </w:r>
            <w:r w:rsidR="0042745D" w:rsidRPr="006D631C">
              <w:rPr>
                <w:webHidden/>
              </w:rPr>
              <w:t>117</w:t>
            </w:r>
            <w:r w:rsidR="0042745D" w:rsidRPr="006D631C">
              <w:rPr>
                <w:webHidden/>
              </w:rPr>
              <w:fldChar w:fldCharType="end"/>
            </w:r>
          </w:hyperlink>
        </w:p>
        <w:p w14:paraId="400B3C35" w14:textId="66410A70" w:rsidR="0042745D" w:rsidRPr="006D631C" w:rsidRDefault="001A0507">
          <w:pPr>
            <w:pStyle w:val="TOC4"/>
            <w:rPr>
              <w:rFonts w:asciiTheme="minorHAnsi" w:eastAsiaTheme="minorEastAsia" w:hAnsiTheme="minorHAnsi" w:cstheme="minorBidi"/>
              <w:sz w:val="22"/>
              <w:szCs w:val="22"/>
            </w:rPr>
          </w:pPr>
          <w:hyperlink w:anchor="_Toc148175836" w:history="1">
            <w:r w:rsidR="0042745D" w:rsidRPr="006D631C">
              <w:rPr>
                <w:rStyle w:val="Hyperlink"/>
              </w:rPr>
              <w:t>3.3.2.4 Molecular weight cut-off</w:t>
            </w:r>
            <w:r w:rsidR="0042745D" w:rsidRPr="006D631C">
              <w:rPr>
                <w:webHidden/>
              </w:rPr>
              <w:tab/>
            </w:r>
            <w:r w:rsidR="0042745D" w:rsidRPr="006D631C">
              <w:rPr>
                <w:webHidden/>
              </w:rPr>
              <w:fldChar w:fldCharType="begin"/>
            </w:r>
            <w:r w:rsidR="0042745D" w:rsidRPr="006D631C">
              <w:rPr>
                <w:webHidden/>
              </w:rPr>
              <w:instrText xml:space="preserve"> PAGEREF _Toc148175836 \h </w:instrText>
            </w:r>
            <w:r w:rsidR="0042745D" w:rsidRPr="006D631C">
              <w:rPr>
                <w:webHidden/>
              </w:rPr>
            </w:r>
            <w:r w:rsidR="0042745D" w:rsidRPr="006D631C">
              <w:rPr>
                <w:webHidden/>
              </w:rPr>
              <w:fldChar w:fldCharType="separate"/>
            </w:r>
            <w:r w:rsidR="0042745D" w:rsidRPr="006D631C">
              <w:rPr>
                <w:webHidden/>
              </w:rPr>
              <w:t>119</w:t>
            </w:r>
            <w:r w:rsidR="0042745D" w:rsidRPr="006D631C">
              <w:rPr>
                <w:webHidden/>
              </w:rPr>
              <w:fldChar w:fldCharType="end"/>
            </w:r>
          </w:hyperlink>
        </w:p>
        <w:p w14:paraId="0A11A6E8" w14:textId="208A1CD3"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37" w:history="1">
            <w:r w:rsidR="0042745D" w:rsidRPr="006D631C">
              <w:rPr>
                <w:rStyle w:val="Hyperlink"/>
                <w:noProof/>
              </w:rPr>
              <w:t>3.3.3 Thermoresponsiveness mechanism of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_Toc148175837 \h </w:instrText>
            </w:r>
            <w:r w:rsidR="0042745D" w:rsidRPr="006D631C">
              <w:rPr>
                <w:noProof/>
                <w:webHidden/>
              </w:rPr>
            </w:r>
            <w:r w:rsidR="0042745D" w:rsidRPr="006D631C">
              <w:rPr>
                <w:noProof/>
                <w:webHidden/>
              </w:rPr>
              <w:fldChar w:fldCharType="separate"/>
            </w:r>
            <w:r w:rsidR="0042745D" w:rsidRPr="006D631C">
              <w:rPr>
                <w:noProof/>
                <w:webHidden/>
              </w:rPr>
              <w:t>122</w:t>
            </w:r>
            <w:r w:rsidR="0042745D" w:rsidRPr="006D631C">
              <w:rPr>
                <w:noProof/>
                <w:webHidden/>
              </w:rPr>
              <w:fldChar w:fldCharType="end"/>
            </w:r>
          </w:hyperlink>
        </w:p>
        <w:p w14:paraId="623CCA1A" w14:textId="1BE21B10" w:rsidR="0042745D" w:rsidRPr="006D631C" w:rsidRDefault="001A0507">
          <w:pPr>
            <w:pStyle w:val="TOC2"/>
            <w:rPr>
              <w:rFonts w:asciiTheme="minorHAnsi" w:eastAsiaTheme="minorEastAsia" w:hAnsiTheme="minorHAnsi" w:cstheme="minorBidi"/>
              <w:iCs w:val="0"/>
              <w:szCs w:val="22"/>
            </w:rPr>
          </w:pPr>
          <w:hyperlink w:anchor="_Toc148175838" w:history="1">
            <w:r w:rsidR="0042745D" w:rsidRPr="006D631C">
              <w:rPr>
                <w:rStyle w:val="Hyperlink"/>
              </w:rPr>
              <w:t>3.4 Conclusion</w:t>
            </w:r>
            <w:r w:rsidR="0042745D" w:rsidRPr="006D631C">
              <w:rPr>
                <w:webHidden/>
              </w:rPr>
              <w:tab/>
            </w:r>
            <w:r w:rsidR="0042745D" w:rsidRPr="006D631C">
              <w:rPr>
                <w:webHidden/>
              </w:rPr>
              <w:fldChar w:fldCharType="begin"/>
            </w:r>
            <w:r w:rsidR="0042745D" w:rsidRPr="006D631C">
              <w:rPr>
                <w:webHidden/>
              </w:rPr>
              <w:instrText xml:space="preserve"> PAGEREF _Toc148175838 \h </w:instrText>
            </w:r>
            <w:r w:rsidR="0042745D" w:rsidRPr="006D631C">
              <w:rPr>
                <w:webHidden/>
              </w:rPr>
            </w:r>
            <w:r w:rsidR="0042745D" w:rsidRPr="006D631C">
              <w:rPr>
                <w:webHidden/>
              </w:rPr>
              <w:fldChar w:fldCharType="separate"/>
            </w:r>
            <w:r w:rsidR="0042745D" w:rsidRPr="006D631C">
              <w:rPr>
                <w:webHidden/>
              </w:rPr>
              <w:t>126</w:t>
            </w:r>
            <w:r w:rsidR="0042745D" w:rsidRPr="006D631C">
              <w:rPr>
                <w:webHidden/>
              </w:rPr>
              <w:fldChar w:fldCharType="end"/>
            </w:r>
          </w:hyperlink>
        </w:p>
        <w:p w14:paraId="51222DA6" w14:textId="4810897D" w:rsidR="0042745D" w:rsidRPr="006D631C" w:rsidRDefault="001A0507">
          <w:pPr>
            <w:pStyle w:val="TOC1"/>
            <w:rPr>
              <w:rFonts w:asciiTheme="minorHAnsi" w:eastAsiaTheme="minorEastAsia" w:hAnsiTheme="minorHAnsi" w:cstheme="minorBidi"/>
            </w:rPr>
          </w:pPr>
          <w:hyperlink w:anchor="_Toc148175839" w:history="1">
            <w:r w:rsidR="0042745D" w:rsidRPr="006D631C">
              <w:rPr>
                <w:rStyle w:val="Hyperlink"/>
                <w:bCs/>
                <w14:scene3d>
                  <w14:camera w14:prst="orthographicFront"/>
                  <w14:lightRig w14:rig="threePt" w14:dir="t">
                    <w14:rot w14:lat="0" w14:lon="0" w14:rev="0"/>
                  </w14:lightRig>
                </w14:scene3d>
              </w:rPr>
              <w:t>CHAPTER 4:</w:t>
            </w:r>
            <w:r w:rsidR="0042745D" w:rsidRPr="006D631C">
              <w:rPr>
                <w:rStyle w:val="Hyperlink"/>
              </w:rPr>
              <w:t xml:space="preserve"> THERMORESPONSIVE ANTIFOULING ULTRAFILTRATION MEMBRANES FROM MESOPHASE TEMPLATING</w:t>
            </w:r>
            <w:r w:rsidR="0042745D" w:rsidRPr="006D631C">
              <w:rPr>
                <w:webHidden/>
              </w:rPr>
              <w:tab/>
            </w:r>
            <w:r w:rsidR="0042745D" w:rsidRPr="006D631C">
              <w:rPr>
                <w:webHidden/>
              </w:rPr>
              <w:fldChar w:fldCharType="begin"/>
            </w:r>
            <w:r w:rsidR="0042745D" w:rsidRPr="006D631C">
              <w:rPr>
                <w:webHidden/>
              </w:rPr>
              <w:instrText xml:space="preserve"> PAGEREF _Toc148175839 \h </w:instrText>
            </w:r>
            <w:r w:rsidR="0042745D" w:rsidRPr="006D631C">
              <w:rPr>
                <w:webHidden/>
              </w:rPr>
            </w:r>
            <w:r w:rsidR="0042745D" w:rsidRPr="006D631C">
              <w:rPr>
                <w:webHidden/>
              </w:rPr>
              <w:fldChar w:fldCharType="separate"/>
            </w:r>
            <w:r w:rsidR="0042745D" w:rsidRPr="006D631C">
              <w:rPr>
                <w:webHidden/>
              </w:rPr>
              <w:t>128</w:t>
            </w:r>
            <w:r w:rsidR="0042745D" w:rsidRPr="006D631C">
              <w:rPr>
                <w:webHidden/>
              </w:rPr>
              <w:fldChar w:fldCharType="end"/>
            </w:r>
          </w:hyperlink>
        </w:p>
        <w:p w14:paraId="273E09DB" w14:textId="3D671F27" w:rsidR="0042745D" w:rsidRPr="006D631C" w:rsidRDefault="001A0507">
          <w:pPr>
            <w:pStyle w:val="TOC2"/>
            <w:rPr>
              <w:rFonts w:asciiTheme="minorHAnsi" w:eastAsiaTheme="minorEastAsia" w:hAnsiTheme="minorHAnsi" w:cstheme="minorBidi"/>
              <w:iCs w:val="0"/>
              <w:szCs w:val="22"/>
            </w:rPr>
          </w:pPr>
          <w:hyperlink w:anchor="_Toc148175840" w:history="1">
            <w:r w:rsidR="0042745D" w:rsidRPr="006D631C">
              <w:rPr>
                <w:rStyle w:val="Hyperlink"/>
              </w:rPr>
              <w:t>4.1 Introduction</w:t>
            </w:r>
            <w:r w:rsidR="0042745D" w:rsidRPr="006D631C">
              <w:rPr>
                <w:webHidden/>
              </w:rPr>
              <w:tab/>
            </w:r>
            <w:r w:rsidR="0042745D" w:rsidRPr="006D631C">
              <w:rPr>
                <w:webHidden/>
              </w:rPr>
              <w:fldChar w:fldCharType="begin"/>
            </w:r>
            <w:r w:rsidR="0042745D" w:rsidRPr="006D631C">
              <w:rPr>
                <w:webHidden/>
              </w:rPr>
              <w:instrText xml:space="preserve"> PAGEREF _Toc148175840 \h </w:instrText>
            </w:r>
            <w:r w:rsidR="0042745D" w:rsidRPr="006D631C">
              <w:rPr>
                <w:webHidden/>
              </w:rPr>
            </w:r>
            <w:r w:rsidR="0042745D" w:rsidRPr="006D631C">
              <w:rPr>
                <w:webHidden/>
              </w:rPr>
              <w:fldChar w:fldCharType="separate"/>
            </w:r>
            <w:r w:rsidR="0042745D" w:rsidRPr="006D631C">
              <w:rPr>
                <w:webHidden/>
              </w:rPr>
              <w:t>128</w:t>
            </w:r>
            <w:r w:rsidR="0042745D" w:rsidRPr="006D631C">
              <w:rPr>
                <w:webHidden/>
              </w:rPr>
              <w:fldChar w:fldCharType="end"/>
            </w:r>
          </w:hyperlink>
        </w:p>
        <w:p w14:paraId="120CD427" w14:textId="3F2060A6" w:rsidR="0042745D" w:rsidRPr="006D631C" w:rsidRDefault="001A0507">
          <w:pPr>
            <w:pStyle w:val="TOC2"/>
            <w:rPr>
              <w:rFonts w:asciiTheme="minorHAnsi" w:eastAsiaTheme="minorEastAsia" w:hAnsiTheme="minorHAnsi" w:cstheme="minorBidi"/>
              <w:iCs w:val="0"/>
              <w:szCs w:val="22"/>
            </w:rPr>
          </w:pPr>
          <w:hyperlink w:anchor="_Toc148175841" w:history="1">
            <w:r w:rsidR="0042745D" w:rsidRPr="006D631C">
              <w:rPr>
                <w:rStyle w:val="Hyperlink"/>
              </w:rPr>
              <w:t>4.2 Experimental</w:t>
            </w:r>
            <w:r w:rsidR="0042745D" w:rsidRPr="006D631C">
              <w:rPr>
                <w:webHidden/>
              </w:rPr>
              <w:tab/>
            </w:r>
            <w:r w:rsidR="0042745D" w:rsidRPr="006D631C">
              <w:rPr>
                <w:webHidden/>
              </w:rPr>
              <w:fldChar w:fldCharType="begin"/>
            </w:r>
            <w:r w:rsidR="0042745D" w:rsidRPr="006D631C">
              <w:rPr>
                <w:webHidden/>
              </w:rPr>
              <w:instrText xml:space="preserve"> PAGEREF _Toc148175841 \h </w:instrText>
            </w:r>
            <w:r w:rsidR="0042745D" w:rsidRPr="006D631C">
              <w:rPr>
                <w:webHidden/>
              </w:rPr>
            </w:r>
            <w:r w:rsidR="0042745D" w:rsidRPr="006D631C">
              <w:rPr>
                <w:webHidden/>
              </w:rPr>
              <w:fldChar w:fldCharType="separate"/>
            </w:r>
            <w:r w:rsidR="0042745D" w:rsidRPr="006D631C">
              <w:rPr>
                <w:webHidden/>
              </w:rPr>
              <w:t>130</w:t>
            </w:r>
            <w:r w:rsidR="0042745D" w:rsidRPr="006D631C">
              <w:rPr>
                <w:webHidden/>
              </w:rPr>
              <w:fldChar w:fldCharType="end"/>
            </w:r>
          </w:hyperlink>
        </w:p>
        <w:p w14:paraId="11339B7C" w14:textId="1A186EDE"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42" w:history="1">
            <w:r w:rsidR="0042745D" w:rsidRPr="006D631C">
              <w:rPr>
                <w:rStyle w:val="Hyperlink"/>
                <w:noProof/>
              </w:rPr>
              <w:t>4.2.1 Materials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_Toc148175842 \h </w:instrText>
            </w:r>
            <w:r w:rsidR="0042745D" w:rsidRPr="006D631C">
              <w:rPr>
                <w:noProof/>
                <w:webHidden/>
              </w:rPr>
            </w:r>
            <w:r w:rsidR="0042745D" w:rsidRPr="006D631C">
              <w:rPr>
                <w:noProof/>
                <w:webHidden/>
              </w:rPr>
              <w:fldChar w:fldCharType="separate"/>
            </w:r>
            <w:r w:rsidR="0042745D" w:rsidRPr="006D631C">
              <w:rPr>
                <w:noProof/>
                <w:webHidden/>
              </w:rPr>
              <w:t>130</w:t>
            </w:r>
            <w:r w:rsidR="0042745D" w:rsidRPr="006D631C">
              <w:rPr>
                <w:noProof/>
                <w:webHidden/>
              </w:rPr>
              <w:fldChar w:fldCharType="end"/>
            </w:r>
          </w:hyperlink>
        </w:p>
        <w:p w14:paraId="03E0AA2F" w14:textId="58697207"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43" w:history="1">
            <w:r w:rsidR="0042745D" w:rsidRPr="006D631C">
              <w:rPr>
                <w:rStyle w:val="Hyperlink"/>
                <w:noProof/>
              </w:rPr>
              <w:t>4.2.2 Synthesis of P84DA</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_Toc148175843 \h </w:instrText>
            </w:r>
            <w:r w:rsidR="0042745D" w:rsidRPr="006D631C">
              <w:rPr>
                <w:noProof/>
                <w:webHidden/>
              </w:rPr>
            </w:r>
            <w:r w:rsidR="0042745D" w:rsidRPr="006D631C">
              <w:rPr>
                <w:noProof/>
                <w:webHidden/>
              </w:rPr>
              <w:fldChar w:fldCharType="separate"/>
            </w:r>
            <w:r w:rsidR="0042745D" w:rsidRPr="006D631C">
              <w:rPr>
                <w:noProof/>
                <w:webHidden/>
              </w:rPr>
              <w:t>131</w:t>
            </w:r>
            <w:r w:rsidR="0042745D" w:rsidRPr="006D631C">
              <w:rPr>
                <w:noProof/>
                <w:webHidden/>
              </w:rPr>
              <w:fldChar w:fldCharType="end"/>
            </w:r>
          </w:hyperlink>
        </w:p>
        <w:p w14:paraId="5CED8126" w14:textId="19544584"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44" w:history="1">
            <w:r w:rsidR="0042745D" w:rsidRPr="006D631C">
              <w:rPr>
                <w:rStyle w:val="Hyperlink"/>
                <w:noProof/>
              </w:rPr>
              <w:t>4.2.3 Mesophase preparation</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_Toc148175844 \h </w:instrText>
            </w:r>
            <w:r w:rsidR="0042745D" w:rsidRPr="006D631C">
              <w:rPr>
                <w:noProof/>
                <w:webHidden/>
              </w:rPr>
            </w:r>
            <w:r w:rsidR="0042745D" w:rsidRPr="006D631C">
              <w:rPr>
                <w:noProof/>
                <w:webHidden/>
              </w:rPr>
              <w:fldChar w:fldCharType="separate"/>
            </w:r>
            <w:r w:rsidR="0042745D" w:rsidRPr="006D631C">
              <w:rPr>
                <w:noProof/>
                <w:webHidden/>
              </w:rPr>
              <w:t>132</w:t>
            </w:r>
            <w:r w:rsidR="0042745D" w:rsidRPr="006D631C">
              <w:rPr>
                <w:noProof/>
                <w:webHidden/>
              </w:rPr>
              <w:fldChar w:fldCharType="end"/>
            </w:r>
          </w:hyperlink>
        </w:p>
        <w:p w14:paraId="1E8071DD" w14:textId="2F467751"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45" w:history="1">
            <w:r w:rsidR="0042745D" w:rsidRPr="006D631C">
              <w:rPr>
                <w:rStyle w:val="Hyperlink"/>
                <w:noProof/>
              </w:rPr>
              <w:t>4.2.4 Characterization of LLC and polyLLC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_Toc148175845 \h </w:instrText>
            </w:r>
            <w:r w:rsidR="0042745D" w:rsidRPr="006D631C">
              <w:rPr>
                <w:noProof/>
                <w:webHidden/>
              </w:rPr>
            </w:r>
            <w:r w:rsidR="0042745D" w:rsidRPr="006D631C">
              <w:rPr>
                <w:noProof/>
                <w:webHidden/>
              </w:rPr>
              <w:fldChar w:fldCharType="separate"/>
            </w:r>
            <w:r w:rsidR="0042745D" w:rsidRPr="006D631C">
              <w:rPr>
                <w:noProof/>
                <w:webHidden/>
              </w:rPr>
              <w:t>132</w:t>
            </w:r>
            <w:r w:rsidR="0042745D" w:rsidRPr="006D631C">
              <w:rPr>
                <w:noProof/>
                <w:webHidden/>
              </w:rPr>
              <w:fldChar w:fldCharType="end"/>
            </w:r>
          </w:hyperlink>
        </w:p>
        <w:p w14:paraId="409CE3B5" w14:textId="24E7ADAB" w:rsidR="0042745D" w:rsidRPr="006D631C" w:rsidRDefault="001A0507">
          <w:pPr>
            <w:pStyle w:val="TOC4"/>
            <w:rPr>
              <w:rFonts w:asciiTheme="minorHAnsi" w:eastAsiaTheme="minorEastAsia" w:hAnsiTheme="minorHAnsi" w:cstheme="minorBidi"/>
              <w:sz w:val="22"/>
              <w:szCs w:val="22"/>
            </w:rPr>
          </w:pPr>
          <w:hyperlink w:anchor="_Toc148175846" w:history="1">
            <w:r w:rsidR="0042745D" w:rsidRPr="006D631C">
              <w:rPr>
                <w:rStyle w:val="Hyperlink"/>
              </w:rPr>
              <w:t>4.2.4.1 Cross-polarized light microscopy (CPLM)</w:t>
            </w:r>
            <w:r w:rsidR="0042745D" w:rsidRPr="006D631C">
              <w:rPr>
                <w:webHidden/>
              </w:rPr>
              <w:tab/>
            </w:r>
            <w:r w:rsidR="0042745D" w:rsidRPr="006D631C">
              <w:rPr>
                <w:webHidden/>
              </w:rPr>
              <w:fldChar w:fldCharType="begin"/>
            </w:r>
            <w:r w:rsidR="0042745D" w:rsidRPr="006D631C">
              <w:rPr>
                <w:webHidden/>
              </w:rPr>
              <w:instrText xml:space="preserve"> PAGEREF _Toc148175846 \h </w:instrText>
            </w:r>
            <w:r w:rsidR="0042745D" w:rsidRPr="006D631C">
              <w:rPr>
                <w:webHidden/>
              </w:rPr>
            </w:r>
            <w:r w:rsidR="0042745D" w:rsidRPr="006D631C">
              <w:rPr>
                <w:webHidden/>
              </w:rPr>
              <w:fldChar w:fldCharType="separate"/>
            </w:r>
            <w:r w:rsidR="0042745D" w:rsidRPr="006D631C">
              <w:rPr>
                <w:webHidden/>
              </w:rPr>
              <w:t>132</w:t>
            </w:r>
            <w:r w:rsidR="0042745D" w:rsidRPr="006D631C">
              <w:rPr>
                <w:webHidden/>
              </w:rPr>
              <w:fldChar w:fldCharType="end"/>
            </w:r>
          </w:hyperlink>
        </w:p>
        <w:p w14:paraId="5DD867FA" w14:textId="32BAA8D0" w:rsidR="0042745D" w:rsidRPr="006D631C" w:rsidRDefault="001A0507">
          <w:pPr>
            <w:pStyle w:val="TOC4"/>
            <w:rPr>
              <w:rFonts w:asciiTheme="minorHAnsi" w:eastAsiaTheme="minorEastAsia" w:hAnsiTheme="minorHAnsi" w:cstheme="minorBidi"/>
              <w:sz w:val="22"/>
              <w:szCs w:val="22"/>
            </w:rPr>
          </w:pPr>
          <w:hyperlink w:anchor="_Toc148175847" w:history="1">
            <w:r w:rsidR="0042745D" w:rsidRPr="006D631C">
              <w:rPr>
                <w:rStyle w:val="Hyperlink"/>
              </w:rPr>
              <w:t>4.2.4.2 Small angle X-ray scattering (SAXS)</w:t>
            </w:r>
            <w:r w:rsidR="0042745D" w:rsidRPr="006D631C">
              <w:rPr>
                <w:webHidden/>
              </w:rPr>
              <w:tab/>
            </w:r>
            <w:r w:rsidR="0042745D" w:rsidRPr="006D631C">
              <w:rPr>
                <w:webHidden/>
              </w:rPr>
              <w:fldChar w:fldCharType="begin"/>
            </w:r>
            <w:r w:rsidR="0042745D" w:rsidRPr="006D631C">
              <w:rPr>
                <w:webHidden/>
              </w:rPr>
              <w:instrText xml:space="preserve"> PAGEREF _Toc148175847 \h </w:instrText>
            </w:r>
            <w:r w:rsidR="0042745D" w:rsidRPr="006D631C">
              <w:rPr>
                <w:webHidden/>
              </w:rPr>
            </w:r>
            <w:r w:rsidR="0042745D" w:rsidRPr="006D631C">
              <w:rPr>
                <w:webHidden/>
              </w:rPr>
              <w:fldChar w:fldCharType="separate"/>
            </w:r>
            <w:r w:rsidR="0042745D" w:rsidRPr="006D631C">
              <w:rPr>
                <w:webHidden/>
              </w:rPr>
              <w:t>133</w:t>
            </w:r>
            <w:r w:rsidR="0042745D" w:rsidRPr="006D631C">
              <w:rPr>
                <w:webHidden/>
              </w:rPr>
              <w:fldChar w:fldCharType="end"/>
            </w:r>
          </w:hyperlink>
        </w:p>
        <w:p w14:paraId="5219B7C3" w14:textId="3072ADD9" w:rsidR="0042745D" w:rsidRPr="006D631C" w:rsidRDefault="001A0507">
          <w:pPr>
            <w:pStyle w:val="TOC4"/>
            <w:rPr>
              <w:rFonts w:asciiTheme="minorHAnsi" w:eastAsiaTheme="minorEastAsia" w:hAnsiTheme="minorHAnsi" w:cstheme="minorBidi"/>
              <w:sz w:val="22"/>
              <w:szCs w:val="22"/>
            </w:rPr>
          </w:pPr>
          <w:hyperlink w:anchor="_Toc148175848" w:history="1">
            <w:r w:rsidR="0042745D" w:rsidRPr="006D631C">
              <w:rPr>
                <w:rStyle w:val="Hyperlink"/>
              </w:rPr>
              <w:t>4.2.4.3 Differential scanning calorimetry (DSC)</w:t>
            </w:r>
            <w:r w:rsidR="0042745D" w:rsidRPr="006D631C">
              <w:rPr>
                <w:webHidden/>
              </w:rPr>
              <w:tab/>
            </w:r>
            <w:r w:rsidR="0042745D" w:rsidRPr="006D631C">
              <w:rPr>
                <w:webHidden/>
              </w:rPr>
              <w:fldChar w:fldCharType="begin"/>
            </w:r>
            <w:r w:rsidR="0042745D" w:rsidRPr="006D631C">
              <w:rPr>
                <w:webHidden/>
              </w:rPr>
              <w:instrText xml:space="preserve"> PAGEREF _Toc148175848 \h </w:instrText>
            </w:r>
            <w:r w:rsidR="0042745D" w:rsidRPr="006D631C">
              <w:rPr>
                <w:webHidden/>
              </w:rPr>
            </w:r>
            <w:r w:rsidR="0042745D" w:rsidRPr="006D631C">
              <w:rPr>
                <w:webHidden/>
              </w:rPr>
              <w:fldChar w:fldCharType="separate"/>
            </w:r>
            <w:r w:rsidR="0042745D" w:rsidRPr="006D631C">
              <w:rPr>
                <w:webHidden/>
              </w:rPr>
              <w:t>133</w:t>
            </w:r>
            <w:r w:rsidR="0042745D" w:rsidRPr="006D631C">
              <w:rPr>
                <w:webHidden/>
              </w:rPr>
              <w:fldChar w:fldCharType="end"/>
            </w:r>
          </w:hyperlink>
        </w:p>
        <w:p w14:paraId="3FAB9ACB" w14:textId="068BB071" w:rsidR="0042745D" w:rsidRPr="006D631C" w:rsidRDefault="001A0507">
          <w:pPr>
            <w:pStyle w:val="TOC4"/>
            <w:rPr>
              <w:rFonts w:asciiTheme="minorHAnsi" w:eastAsiaTheme="minorEastAsia" w:hAnsiTheme="minorHAnsi" w:cstheme="minorBidi"/>
              <w:sz w:val="22"/>
              <w:szCs w:val="22"/>
            </w:rPr>
          </w:pPr>
          <w:hyperlink w:anchor="_Toc148175849" w:history="1">
            <w:r w:rsidR="0042745D" w:rsidRPr="006D631C">
              <w:rPr>
                <w:rStyle w:val="Hyperlink"/>
              </w:rPr>
              <w:t>4.2.4.4 Swelling behavior of the polyLLC</w:t>
            </w:r>
            <w:r w:rsidR="0042745D" w:rsidRPr="006D631C">
              <w:rPr>
                <w:webHidden/>
              </w:rPr>
              <w:tab/>
            </w:r>
            <w:r w:rsidR="0042745D" w:rsidRPr="006D631C">
              <w:rPr>
                <w:webHidden/>
              </w:rPr>
              <w:fldChar w:fldCharType="begin"/>
            </w:r>
            <w:r w:rsidR="0042745D" w:rsidRPr="006D631C">
              <w:rPr>
                <w:webHidden/>
              </w:rPr>
              <w:instrText xml:space="preserve"> PAGEREF _Toc148175849 \h </w:instrText>
            </w:r>
            <w:r w:rsidR="0042745D" w:rsidRPr="006D631C">
              <w:rPr>
                <w:webHidden/>
              </w:rPr>
            </w:r>
            <w:r w:rsidR="0042745D" w:rsidRPr="006D631C">
              <w:rPr>
                <w:webHidden/>
              </w:rPr>
              <w:fldChar w:fldCharType="separate"/>
            </w:r>
            <w:r w:rsidR="0042745D" w:rsidRPr="006D631C">
              <w:rPr>
                <w:webHidden/>
              </w:rPr>
              <w:t>133</w:t>
            </w:r>
            <w:r w:rsidR="0042745D" w:rsidRPr="006D631C">
              <w:rPr>
                <w:webHidden/>
              </w:rPr>
              <w:fldChar w:fldCharType="end"/>
            </w:r>
          </w:hyperlink>
        </w:p>
        <w:p w14:paraId="355E2740" w14:textId="24C8FE5D" w:rsidR="0042745D" w:rsidRPr="006D631C" w:rsidRDefault="001A0507">
          <w:pPr>
            <w:pStyle w:val="TOC4"/>
            <w:rPr>
              <w:rFonts w:asciiTheme="minorHAnsi" w:eastAsiaTheme="minorEastAsia" w:hAnsiTheme="minorHAnsi" w:cstheme="minorBidi"/>
              <w:sz w:val="22"/>
              <w:szCs w:val="22"/>
            </w:rPr>
          </w:pPr>
          <w:hyperlink w:anchor="_Toc148175850" w:history="1">
            <w:r w:rsidR="0042745D" w:rsidRPr="006D631C">
              <w:rPr>
                <w:rStyle w:val="Hyperlink"/>
              </w:rPr>
              <w:t>4.2.4.5 Rheo-mechanical studies</w:t>
            </w:r>
            <w:r w:rsidR="0042745D" w:rsidRPr="006D631C">
              <w:rPr>
                <w:webHidden/>
              </w:rPr>
              <w:tab/>
            </w:r>
            <w:r w:rsidR="0042745D" w:rsidRPr="006D631C">
              <w:rPr>
                <w:webHidden/>
              </w:rPr>
              <w:fldChar w:fldCharType="begin"/>
            </w:r>
            <w:r w:rsidR="0042745D" w:rsidRPr="006D631C">
              <w:rPr>
                <w:webHidden/>
              </w:rPr>
              <w:instrText xml:space="preserve"> PAGEREF _Toc148175850 \h </w:instrText>
            </w:r>
            <w:r w:rsidR="0042745D" w:rsidRPr="006D631C">
              <w:rPr>
                <w:webHidden/>
              </w:rPr>
            </w:r>
            <w:r w:rsidR="0042745D" w:rsidRPr="006D631C">
              <w:rPr>
                <w:webHidden/>
              </w:rPr>
              <w:fldChar w:fldCharType="separate"/>
            </w:r>
            <w:r w:rsidR="0042745D" w:rsidRPr="006D631C">
              <w:rPr>
                <w:webHidden/>
              </w:rPr>
              <w:t>134</w:t>
            </w:r>
            <w:r w:rsidR="0042745D" w:rsidRPr="006D631C">
              <w:rPr>
                <w:webHidden/>
              </w:rPr>
              <w:fldChar w:fldCharType="end"/>
            </w:r>
          </w:hyperlink>
        </w:p>
        <w:p w14:paraId="7814A35B" w14:textId="0ADE9B77"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51" w:history="1">
            <w:r w:rsidR="0042745D" w:rsidRPr="006D631C">
              <w:rPr>
                <w:rStyle w:val="Hyperlink"/>
                <w:noProof/>
              </w:rPr>
              <w:t>4.2.5 Preparation of the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_Toc148175851 \h </w:instrText>
            </w:r>
            <w:r w:rsidR="0042745D" w:rsidRPr="006D631C">
              <w:rPr>
                <w:noProof/>
                <w:webHidden/>
              </w:rPr>
            </w:r>
            <w:r w:rsidR="0042745D" w:rsidRPr="006D631C">
              <w:rPr>
                <w:noProof/>
                <w:webHidden/>
              </w:rPr>
              <w:fldChar w:fldCharType="separate"/>
            </w:r>
            <w:r w:rsidR="0042745D" w:rsidRPr="006D631C">
              <w:rPr>
                <w:noProof/>
                <w:webHidden/>
              </w:rPr>
              <w:t>135</w:t>
            </w:r>
            <w:r w:rsidR="0042745D" w:rsidRPr="006D631C">
              <w:rPr>
                <w:noProof/>
                <w:webHidden/>
              </w:rPr>
              <w:fldChar w:fldCharType="end"/>
            </w:r>
          </w:hyperlink>
        </w:p>
        <w:p w14:paraId="4ACBC37B" w14:textId="4A3CE7F5"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52" w:history="1">
            <w:r w:rsidR="0042745D" w:rsidRPr="006D631C">
              <w:rPr>
                <w:rStyle w:val="Hyperlink"/>
                <w:noProof/>
              </w:rPr>
              <w:t>4.2.6 Characterization of the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_Toc148175852 \h </w:instrText>
            </w:r>
            <w:r w:rsidR="0042745D" w:rsidRPr="006D631C">
              <w:rPr>
                <w:noProof/>
                <w:webHidden/>
              </w:rPr>
            </w:r>
            <w:r w:rsidR="0042745D" w:rsidRPr="006D631C">
              <w:rPr>
                <w:noProof/>
                <w:webHidden/>
              </w:rPr>
              <w:fldChar w:fldCharType="separate"/>
            </w:r>
            <w:r w:rsidR="0042745D" w:rsidRPr="006D631C">
              <w:rPr>
                <w:noProof/>
                <w:webHidden/>
              </w:rPr>
              <w:t>136</w:t>
            </w:r>
            <w:r w:rsidR="0042745D" w:rsidRPr="006D631C">
              <w:rPr>
                <w:noProof/>
                <w:webHidden/>
              </w:rPr>
              <w:fldChar w:fldCharType="end"/>
            </w:r>
          </w:hyperlink>
        </w:p>
        <w:p w14:paraId="06173568" w14:textId="767B9BB4" w:rsidR="0042745D" w:rsidRPr="006D631C" w:rsidRDefault="001A0507">
          <w:pPr>
            <w:pStyle w:val="TOC4"/>
            <w:rPr>
              <w:rFonts w:asciiTheme="minorHAnsi" w:eastAsiaTheme="minorEastAsia" w:hAnsiTheme="minorHAnsi" w:cstheme="minorBidi"/>
              <w:sz w:val="22"/>
              <w:szCs w:val="22"/>
            </w:rPr>
          </w:pPr>
          <w:hyperlink w:anchor="_Toc148175853" w:history="1">
            <w:r w:rsidR="0042745D" w:rsidRPr="006D631C">
              <w:rPr>
                <w:rStyle w:val="Hyperlink"/>
              </w:rPr>
              <w:t>4.2.6.1 Water flux and permeability</w:t>
            </w:r>
            <w:r w:rsidR="0042745D" w:rsidRPr="006D631C">
              <w:rPr>
                <w:webHidden/>
              </w:rPr>
              <w:tab/>
            </w:r>
            <w:r w:rsidR="0042745D" w:rsidRPr="006D631C">
              <w:rPr>
                <w:webHidden/>
              </w:rPr>
              <w:fldChar w:fldCharType="begin"/>
            </w:r>
            <w:r w:rsidR="0042745D" w:rsidRPr="006D631C">
              <w:rPr>
                <w:webHidden/>
              </w:rPr>
              <w:instrText xml:space="preserve"> PAGEREF _Toc148175853 \h </w:instrText>
            </w:r>
            <w:r w:rsidR="0042745D" w:rsidRPr="006D631C">
              <w:rPr>
                <w:webHidden/>
              </w:rPr>
            </w:r>
            <w:r w:rsidR="0042745D" w:rsidRPr="006D631C">
              <w:rPr>
                <w:webHidden/>
              </w:rPr>
              <w:fldChar w:fldCharType="separate"/>
            </w:r>
            <w:r w:rsidR="0042745D" w:rsidRPr="006D631C">
              <w:rPr>
                <w:webHidden/>
              </w:rPr>
              <w:t>136</w:t>
            </w:r>
            <w:r w:rsidR="0042745D" w:rsidRPr="006D631C">
              <w:rPr>
                <w:webHidden/>
              </w:rPr>
              <w:fldChar w:fldCharType="end"/>
            </w:r>
          </w:hyperlink>
        </w:p>
        <w:p w14:paraId="43688397" w14:textId="6374C119" w:rsidR="0042745D" w:rsidRPr="006D631C" w:rsidRDefault="001A0507">
          <w:pPr>
            <w:pStyle w:val="TOC4"/>
            <w:rPr>
              <w:rFonts w:asciiTheme="minorHAnsi" w:eastAsiaTheme="minorEastAsia" w:hAnsiTheme="minorHAnsi" w:cstheme="minorBidi"/>
              <w:sz w:val="22"/>
              <w:szCs w:val="22"/>
            </w:rPr>
          </w:pPr>
          <w:hyperlink w:anchor="_Toc148175854" w:history="1">
            <w:r w:rsidR="0042745D" w:rsidRPr="006D631C">
              <w:rPr>
                <w:rStyle w:val="Hyperlink"/>
              </w:rPr>
              <w:t>4.2.6.2 MWCO, protein and dyes rejection measurements</w:t>
            </w:r>
            <w:r w:rsidR="0042745D" w:rsidRPr="006D631C">
              <w:rPr>
                <w:webHidden/>
              </w:rPr>
              <w:tab/>
            </w:r>
            <w:r w:rsidR="0042745D" w:rsidRPr="006D631C">
              <w:rPr>
                <w:webHidden/>
              </w:rPr>
              <w:fldChar w:fldCharType="begin"/>
            </w:r>
            <w:r w:rsidR="0042745D" w:rsidRPr="006D631C">
              <w:rPr>
                <w:webHidden/>
              </w:rPr>
              <w:instrText xml:space="preserve"> PAGEREF _Toc148175854 \h </w:instrText>
            </w:r>
            <w:r w:rsidR="0042745D" w:rsidRPr="006D631C">
              <w:rPr>
                <w:webHidden/>
              </w:rPr>
            </w:r>
            <w:r w:rsidR="0042745D" w:rsidRPr="006D631C">
              <w:rPr>
                <w:webHidden/>
              </w:rPr>
              <w:fldChar w:fldCharType="separate"/>
            </w:r>
            <w:r w:rsidR="0042745D" w:rsidRPr="006D631C">
              <w:rPr>
                <w:webHidden/>
              </w:rPr>
              <w:t>136</w:t>
            </w:r>
            <w:r w:rsidR="0042745D" w:rsidRPr="006D631C">
              <w:rPr>
                <w:webHidden/>
              </w:rPr>
              <w:fldChar w:fldCharType="end"/>
            </w:r>
          </w:hyperlink>
        </w:p>
        <w:p w14:paraId="1B8D0329" w14:textId="0A4AAC73" w:rsidR="0042745D" w:rsidRPr="006D631C" w:rsidRDefault="001A0507">
          <w:pPr>
            <w:pStyle w:val="TOC4"/>
            <w:rPr>
              <w:rFonts w:asciiTheme="minorHAnsi" w:eastAsiaTheme="minorEastAsia" w:hAnsiTheme="minorHAnsi" w:cstheme="minorBidi"/>
              <w:sz w:val="22"/>
              <w:szCs w:val="22"/>
            </w:rPr>
          </w:pPr>
          <w:hyperlink w:anchor="_Toc148175855" w:history="1">
            <w:r w:rsidR="0042745D" w:rsidRPr="006D631C">
              <w:rPr>
                <w:rStyle w:val="Hyperlink"/>
              </w:rPr>
              <w:t>4.2.6.3 Contact angle and fouling resistance</w:t>
            </w:r>
            <w:r w:rsidR="0042745D" w:rsidRPr="006D631C">
              <w:rPr>
                <w:webHidden/>
              </w:rPr>
              <w:tab/>
            </w:r>
            <w:r w:rsidR="0042745D" w:rsidRPr="006D631C">
              <w:rPr>
                <w:webHidden/>
              </w:rPr>
              <w:fldChar w:fldCharType="begin"/>
            </w:r>
            <w:r w:rsidR="0042745D" w:rsidRPr="006D631C">
              <w:rPr>
                <w:webHidden/>
              </w:rPr>
              <w:instrText xml:space="preserve"> PAGEREF _Toc148175855 \h </w:instrText>
            </w:r>
            <w:r w:rsidR="0042745D" w:rsidRPr="006D631C">
              <w:rPr>
                <w:webHidden/>
              </w:rPr>
            </w:r>
            <w:r w:rsidR="0042745D" w:rsidRPr="006D631C">
              <w:rPr>
                <w:webHidden/>
              </w:rPr>
              <w:fldChar w:fldCharType="separate"/>
            </w:r>
            <w:r w:rsidR="0042745D" w:rsidRPr="006D631C">
              <w:rPr>
                <w:webHidden/>
              </w:rPr>
              <w:t>137</w:t>
            </w:r>
            <w:r w:rsidR="0042745D" w:rsidRPr="006D631C">
              <w:rPr>
                <w:webHidden/>
              </w:rPr>
              <w:fldChar w:fldCharType="end"/>
            </w:r>
          </w:hyperlink>
        </w:p>
        <w:p w14:paraId="0BBF046E" w14:textId="430037CB" w:rsidR="0042745D" w:rsidRPr="006D631C" w:rsidRDefault="001A0507">
          <w:pPr>
            <w:pStyle w:val="TOC2"/>
            <w:rPr>
              <w:rFonts w:asciiTheme="minorHAnsi" w:eastAsiaTheme="minorEastAsia" w:hAnsiTheme="minorHAnsi" w:cstheme="minorBidi"/>
              <w:iCs w:val="0"/>
              <w:szCs w:val="22"/>
            </w:rPr>
          </w:pPr>
          <w:hyperlink w:anchor="_Toc148175856" w:history="1">
            <w:r w:rsidR="0042745D" w:rsidRPr="006D631C">
              <w:rPr>
                <w:rStyle w:val="Hyperlink"/>
              </w:rPr>
              <w:t>4.3 Results and discussions</w:t>
            </w:r>
            <w:r w:rsidR="0042745D" w:rsidRPr="006D631C">
              <w:rPr>
                <w:webHidden/>
              </w:rPr>
              <w:tab/>
            </w:r>
            <w:r w:rsidR="0042745D" w:rsidRPr="006D631C">
              <w:rPr>
                <w:webHidden/>
              </w:rPr>
              <w:fldChar w:fldCharType="begin"/>
            </w:r>
            <w:r w:rsidR="0042745D" w:rsidRPr="006D631C">
              <w:rPr>
                <w:webHidden/>
              </w:rPr>
              <w:instrText xml:space="preserve"> PAGEREF _Toc148175856 \h </w:instrText>
            </w:r>
            <w:r w:rsidR="0042745D" w:rsidRPr="006D631C">
              <w:rPr>
                <w:webHidden/>
              </w:rPr>
            </w:r>
            <w:r w:rsidR="0042745D" w:rsidRPr="006D631C">
              <w:rPr>
                <w:webHidden/>
              </w:rPr>
              <w:fldChar w:fldCharType="separate"/>
            </w:r>
            <w:r w:rsidR="0042745D" w:rsidRPr="006D631C">
              <w:rPr>
                <w:webHidden/>
              </w:rPr>
              <w:t>137</w:t>
            </w:r>
            <w:r w:rsidR="0042745D" w:rsidRPr="006D631C">
              <w:rPr>
                <w:webHidden/>
              </w:rPr>
              <w:fldChar w:fldCharType="end"/>
            </w:r>
          </w:hyperlink>
        </w:p>
        <w:p w14:paraId="3A199CD8" w14:textId="3FB976DC"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57" w:history="1">
            <w:r w:rsidR="0042745D" w:rsidRPr="006D631C">
              <w:rPr>
                <w:rStyle w:val="Hyperlink"/>
                <w:noProof/>
              </w:rPr>
              <w:t>4.3.1 Characterization of LLC and polyLLC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_Toc148175857 \h </w:instrText>
            </w:r>
            <w:r w:rsidR="0042745D" w:rsidRPr="006D631C">
              <w:rPr>
                <w:noProof/>
                <w:webHidden/>
              </w:rPr>
            </w:r>
            <w:r w:rsidR="0042745D" w:rsidRPr="006D631C">
              <w:rPr>
                <w:noProof/>
                <w:webHidden/>
              </w:rPr>
              <w:fldChar w:fldCharType="separate"/>
            </w:r>
            <w:r w:rsidR="0042745D" w:rsidRPr="006D631C">
              <w:rPr>
                <w:noProof/>
                <w:webHidden/>
              </w:rPr>
              <w:t>137</w:t>
            </w:r>
            <w:r w:rsidR="0042745D" w:rsidRPr="006D631C">
              <w:rPr>
                <w:noProof/>
                <w:webHidden/>
              </w:rPr>
              <w:fldChar w:fldCharType="end"/>
            </w:r>
          </w:hyperlink>
        </w:p>
        <w:p w14:paraId="03A2DCBE" w14:textId="6D25BACD"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58" w:history="1">
            <w:r w:rsidR="0042745D" w:rsidRPr="006D631C">
              <w:rPr>
                <w:rStyle w:val="Hyperlink"/>
                <w:noProof/>
              </w:rPr>
              <w:t>4.3.2 Characterization of membranes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_Toc148175858 \h </w:instrText>
            </w:r>
            <w:r w:rsidR="0042745D" w:rsidRPr="006D631C">
              <w:rPr>
                <w:noProof/>
                <w:webHidden/>
              </w:rPr>
            </w:r>
            <w:r w:rsidR="0042745D" w:rsidRPr="006D631C">
              <w:rPr>
                <w:noProof/>
                <w:webHidden/>
              </w:rPr>
              <w:fldChar w:fldCharType="separate"/>
            </w:r>
            <w:r w:rsidR="0042745D" w:rsidRPr="006D631C">
              <w:rPr>
                <w:noProof/>
                <w:webHidden/>
              </w:rPr>
              <w:t>149</w:t>
            </w:r>
            <w:r w:rsidR="0042745D" w:rsidRPr="006D631C">
              <w:rPr>
                <w:noProof/>
                <w:webHidden/>
              </w:rPr>
              <w:fldChar w:fldCharType="end"/>
            </w:r>
          </w:hyperlink>
        </w:p>
        <w:p w14:paraId="19FB2970" w14:textId="721991DC" w:rsidR="0042745D" w:rsidRPr="006D631C" w:rsidRDefault="001A0507">
          <w:pPr>
            <w:pStyle w:val="TOC4"/>
            <w:rPr>
              <w:rFonts w:asciiTheme="minorHAnsi" w:eastAsiaTheme="minorEastAsia" w:hAnsiTheme="minorHAnsi" w:cstheme="minorBidi"/>
              <w:sz w:val="22"/>
              <w:szCs w:val="22"/>
            </w:rPr>
          </w:pPr>
          <w:hyperlink w:anchor="_Toc148175859" w:history="1">
            <w:r w:rsidR="0042745D" w:rsidRPr="006D631C">
              <w:rPr>
                <w:rStyle w:val="Hyperlink"/>
              </w:rPr>
              <w:t>4.3.2.1 Water flux and permeability</w:t>
            </w:r>
            <w:r w:rsidR="0042745D" w:rsidRPr="006D631C">
              <w:rPr>
                <w:webHidden/>
              </w:rPr>
              <w:tab/>
            </w:r>
            <w:r w:rsidR="0042745D" w:rsidRPr="006D631C">
              <w:rPr>
                <w:webHidden/>
              </w:rPr>
              <w:fldChar w:fldCharType="begin"/>
            </w:r>
            <w:r w:rsidR="0042745D" w:rsidRPr="006D631C">
              <w:rPr>
                <w:webHidden/>
              </w:rPr>
              <w:instrText xml:space="preserve"> PAGEREF _Toc148175859 \h </w:instrText>
            </w:r>
            <w:r w:rsidR="0042745D" w:rsidRPr="006D631C">
              <w:rPr>
                <w:webHidden/>
              </w:rPr>
            </w:r>
            <w:r w:rsidR="0042745D" w:rsidRPr="006D631C">
              <w:rPr>
                <w:webHidden/>
              </w:rPr>
              <w:fldChar w:fldCharType="separate"/>
            </w:r>
            <w:r w:rsidR="0042745D" w:rsidRPr="006D631C">
              <w:rPr>
                <w:webHidden/>
              </w:rPr>
              <w:t>150</w:t>
            </w:r>
            <w:r w:rsidR="0042745D" w:rsidRPr="006D631C">
              <w:rPr>
                <w:webHidden/>
              </w:rPr>
              <w:fldChar w:fldCharType="end"/>
            </w:r>
          </w:hyperlink>
        </w:p>
        <w:p w14:paraId="53715AF1" w14:textId="6ADC87FB" w:rsidR="0042745D" w:rsidRPr="006D631C" w:rsidRDefault="001A0507">
          <w:pPr>
            <w:pStyle w:val="TOC4"/>
            <w:rPr>
              <w:rFonts w:asciiTheme="minorHAnsi" w:eastAsiaTheme="minorEastAsia" w:hAnsiTheme="minorHAnsi" w:cstheme="minorBidi"/>
              <w:sz w:val="22"/>
              <w:szCs w:val="22"/>
            </w:rPr>
          </w:pPr>
          <w:hyperlink w:anchor="_Toc148175860" w:history="1">
            <w:r w:rsidR="0042745D" w:rsidRPr="006D631C">
              <w:rPr>
                <w:rStyle w:val="Hyperlink"/>
              </w:rPr>
              <w:t>4.3.2.2 Rejection characteristics</w:t>
            </w:r>
            <w:r w:rsidR="0042745D" w:rsidRPr="006D631C">
              <w:rPr>
                <w:webHidden/>
              </w:rPr>
              <w:tab/>
            </w:r>
            <w:r w:rsidR="0042745D" w:rsidRPr="006D631C">
              <w:rPr>
                <w:webHidden/>
              </w:rPr>
              <w:fldChar w:fldCharType="begin"/>
            </w:r>
            <w:r w:rsidR="0042745D" w:rsidRPr="006D631C">
              <w:rPr>
                <w:webHidden/>
              </w:rPr>
              <w:instrText xml:space="preserve"> PAGEREF _Toc148175860 \h </w:instrText>
            </w:r>
            <w:r w:rsidR="0042745D" w:rsidRPr="006D631C">
              <w:rPr>
                <w:webHidden/>
              </w:rPr>
            </w:r>
            <w:r w:rsidR="0042745D" w:rsidRPr="006D631C">
              <w:rPr>
                <w:webHidden/>
              </w:rPr>
              <w:fldChar w:fldCharType="separate"/>
            </w:r>
            <w:r w:rsidR="0042745D" w:rsidRPr="006D631C">
              <w:rPr>
                <w:webHidden/>
              </w:rPr>
              <w:t>150</w:t>
            </w:r>
            <w:r w:rsidR="0042745D" w:rsidRPr="006D631C">
              <w:rPr>
                <w:webHidden/>
              </w:rPr>
              <w:fldChar w:fldCharType="end"/>
            </w:r>
          </w:hyperlink>
        </w:p>
        <w:p w14:paraId="3EBAC4AA" w14:textId="0E71EAFD" w:rsidR="0042745D" w:rsidRPr="006D631C" w:rsidRDefault="001A0507">
          <w:pPr>
            <w:pStyle w:val="TOC4"/>
            <w:rPr>
              <w:rFonts w:asciiTheme="minorHAnsi" w:eastAsiaTheme="minorEastAsia" w:hAnsiTheme="minorHAnsi" w:cstheme="minorBidi"/>
              <w:sz w:val="22"/>
              <w:szCs w:val="22"/>
            </w:rPr>
          </w:pPr>
          <w:hyperlink w:anchor="_Toc148175861" w:history="1">
            <w:r w:rsidR="0042745D" w:rsidRPr="006D631C">
              <w:rPr>
                <w:rStyle w:val="Hyperlink"/>
              </w:rPr>
              <w:t>4.3.2.3 Contact angle and fouling resistance</w:t>
            </w:r>
            <w:r w:rsidR="0042745D" w:rsidRPr="006D631C">
              <w:rPr>
                <w:webHidden/>
              </w:rPr>
              <w:tab/>
            </w:r>
            <w:r w:rsidR="0042745D" w:rsidRPr="006D631C">
              <w:rPr>
                <w:webHidden/>
              </w:rPr>
              <w:fldChar w:fldCharType="begin"/>
            </w:r>
            <w:r w:rsidR="0042745D" w:rsidRPr="006D631C">
              <w:rPr>
                <w:webHidden/>
              </w:rPr>
              <w:instrText xml:space="preserve"> PAGEREF _Toc148175861 \h </w:instrText>
            </w:r>
            <w:r w:rsidR="0042745D" w:rsidRPr="006D631C">
              <w:rPr>
                <w:webHidden/>
              </w:rPr>
            </w:r>
            <w:r w:rsidR="0042745D" w:rsidRPr="006D631C">
              <w:rPr>
                <w:webHidden/>
              </w:rPr>
              <w:fldChar w:fldCharType="separate"/>
            </w:r>
            <w:r w:rsidR="0042745D" w:rsidRPr="006D631C">
              <w:rPr>
                <w:webHidden/>
              </w:rPr>
              <w:t>155</w:t>
            </w:r>
            <w:r w:rsidR="0042745D" w:rsidRPr="006D631C">
              <w:rPr>
                <w:webHidden/>
              </w:rPr>
              <w:fldChar w:fldCharType="end"/>
            </w:r>
          </w:hyperlink>
        </w:p>
        <w:p w14:paraId="1E1783EE" w14:textId="32E2178C"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62" w:history="1">
            <w:r w:rsidR="0042745D" w:rsidRPr="006D631C">
              <w:rPr>
                <w:rStyle w:val="Hyperlink"/>
                <w:noProof/>
              </w:rPr>
              <w:t>4.3.3 Mechanism of thermal response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_Toc148175862 \h </w:instrText>
            </w:r>
            <w:r w:rsidR="0042745D" w:rsidRPr="006D631C">
              <w:rPr>
                <w:noProof/>
                <w:webHidden/>
              </w:rPr>
            </w:r>
            <w:r w:rsidR="0042745D" w:rsidRPr="006D631C">
              <w:rPr>
                <w:noProof/>
                <w:webHidden/>
              </w:rPr>
              <w:fldChar w:fldCharType="separate"/>
            </w:r>
            <w:r w:rsidR="0042745D" w:rsidRPr="006D631C">
              <w:rPr>
                <w:noProof/>
                <w:webHidden/>
              </w:rPr>
              <w:t>157</w:t>
            </w:r>
            <w:r w:rsidR="0042745D" w:rsidRPr="006D631C">
              <w:rPr>
                <w:noProof/>
                <w:webHidden/>
              </w:rPr>
              <w:fldChar w:fldCharType="end"/>
            </w:r>
          </w:hyperlink>
        </w:p>
        <w:p w14:paraId="072CF098" w14:textId="5DC71EBD" w:rsidR="0042745D" w:rsidRPr="006D631C" w:rsidRDefault="001A0507">
          <w:pPr>
            <w:pStyle w:val="TOC2"/>
            <w:rPr>
              <w:rFonts w:asciiTheme="minorHAnsi" w:eastAsiaTheme="minorEastAsia" w:hAnsiTheme="minorHAnsi" w:cstheme="minorBidi"/>
              <w:iCs w:val="0"/>
              <w:szCs w:val="22"/>
            </w:rPr>
          </w:pPr>
          <w:hyperlink w:anchor="_Toc148175863" w:history="1">
            <w:r w:rsidR="0042745D" w:rsidRPr="006D631C">
              <w:rPr>
                <w:rStyle w:val="Hyperlink"/>
              </w:rPr>
              <w:t>4.4 Conclusion</w:t>
            </w:r>
            <w:r w:rsidR="0042745D" w:rsidRPr="006D631C">
              <w:rPr>
                <w:webHidden/>
              </w:rPr>
              <w:tab/>
            </w:r>
            <w:r w:rsidR="0042745D" w:rsidRPr="006D631C">
              <w:rPr>
                <w:webHidden/>
              </w:rPr>
              <w:fldChar w:fldCharType="begin"/>
            </w:r>
            <w:r w:rsidR="0042745D" w:rsidRPr="006D631C">
              <w:rPr>
                <w:webHidden/>
              </w:rPr>
              <w:instrText xml:space="preserve"> PAGEREF _Toc148175863 \h </w:instrText>
            </w:r>
            <w:r w:rsidR="0042745D" w:rsidRPr="006D631C">
              <w:rPr>
                <w:webHidden/>
              </w:rPr>
            </w:r>
            <w:r w:rsidR="0042745D" w:rsidRPr="006D631C">
              <w:rPr>
                <w:webHidden/>
              </w:rPr>
              <w:fldChar w:fldCharType="separate"/>
            </w:r>
            <w:r w:rsidR="0042745D" w:rsidRPr="006D631C">
              <w:rPr>
                <w:webHidden/>
              </w:rPr>
              <w:t>157</w:t>
            </w:r>
            <w:r w:rsidR="0042745D" w:rsidRPr="006D631C">
              <w:rPr>
                <w:webHidden/>
              </w:rPr>
              <w:fldChar w:fldCharType="end"/>
            </w:r>
          </w:hyperlink>
        </w:p>
        <w:p w14:paraId="6216B45C" w14:textId="00850C0F" w:rsidR="0042745D" w:rsidRPr="006D631C" w:rsidRDefault="001A0507">
          <w:pPr>
            <w:pStyle w:val="TOC1"/>
            <w:rPr>
              <w:rFonts w:asciiTheme="minorHAnsi" w:eastAsiaTheme="minorEastAsia" w:hAnsiTheme="minorHAnsi" w:cstheme="minorBidi"/>
            </w:rPr>
          </w:pPr>
          <w:hyperlink w:anchor="_Toc148175864" w:history="1">
            <w:r w:rsidR="0042745D" w:rsidRPr="006D631C">
              <w:rPr>
                <w:rStyle w:val="Hyperlink"/>
                <w:bCs/>
                <w14:scene3d>
                  <w14:camera w14:prst="orthographicFront"/>
                  <w14:lightRig w14:rig="threePt" w14:dir="t">
                    <w14:rot w14:lat="0" w14:lon="0" w14:rev="0"/>
                  </w14:lightRig>
                </w14:scene3d>
              </w:rPr>
              <w:t>CHAPTER 5:</w:t>
            </w:r>
            <w:r w:rsidR="0042745D" w:rsidRPr="006D631C">
              <w:rPr>
                <w:rStyle w:val="Hyperlink"/>
              </w:rPr>
              <w:t xml:space="preserve"> THERMO- and pH-RESPONSIVE ANTIFOULING NANOFILTRATION MEMBRANES FROM LYOTROPIC LIQUID CRYSTAL TEMPLATING</w:t>
            </w:r>
            <w:r w:rsidR="0042745D" w:rsidRPr="006D631C">
              <w:rPr>
                <w:webHidden/>
              </w:rPr>
              <w:tab/>
            </w:r>
            <w:r w:rsidR="0042745D" w:rsidRPr="006D631C">
              <w:rPr>
                <w:webHidden/>
              </w:rPr>
              <w:fldChar w:fldCharType="begin"/>
            </w:r>
            <w:r w:rsidR="0042745D" w:rsidRPr="006D631C">
              <w:rPr>
                <w:webHidden/>
              </w:rPr>
              <w:instrText xml:space="preserve"> PAGEREF _Toc148175864 \h </w:instrText>
            </w:r>
            <w:r w:rsidR="0042745D" w:rsidRPr="006D631C">
              <w:rPr>
                <w:webHidden/>
              </w:rPr>
            </w:r>
            <w:r w:rsidR="0042745D" w:rsidRPr="006D631C">
              <w:rPr>
                <w:webHidden/>
              </w:rPr>
              <w:fldChar w:fldCharType="separate"/>
            </w:r>
            <w:r w:rsidR="0042745D" w:rsidRPr="006D631C">
              <w:rPr>
                <w:webHidden/>
              </w:rPr>
              <w:t>160</w:t>
            </w:r>
            <w:r w:rsidR="0042745D" w:rsidRPr="006D631C">
              <w:rPr>
                <w:webHidden/>
              </w:rPr>
              <w:fldChar w:fldCharType="end"/>
            </w:r>
          </w:hyperlink>
        </w:p>
        <w:p w14:paraId="1C120FA8" w14:textId="57EE17C2" w:rsidR="0042745D" w:rsidRPr="006D631C" w:rsidRDefault="001A0507">
          <w:pPr>
            <w:pStyle w:val="TOC2"/>
            <w:rPr>
              <w:rFonts w:asciiTheme="minorHAnsi" w:eastAsiaTheme="minorEastAsia" w:hAnsiTheme="minorHAnsi" w:cstheme="minorBidi"/>
              <w:iCs w:val="0"/>
              <w:szCs w:val="22"/>
            </w:rPr>
          </w:pPr>
          <w:hyperlink w:anchor="_Toc148175865" w:history="1">
            <w:r w:rsidR="0042745D" w:rsidRPr="006D631C">
              <w:rPr>
                <w:rStyle w:val="Hyperlink"/>
              </w:rPr>
              <w:t>5.1 Introduction</w:t>
            </w:r>
            <w:r w:rsidR="0042745D" w:rsidRPr="006D631C">
              <w:rPr>
                <w:webHidden/>
              </w:rPr>
              <w:tab/>
            </w:r>
            <w:r w:rsidR="0042745D" w:rsidRPr="006D631C">
              <w:rPr>
                <w:webHidden/>
              </w:rPr>
              <w:fldChar w:fldCharType="begin"/>
            </w:r>
            <w:r w:rsidR="0042745D" w:rsidRPr="006D631C">
              <w:rPr>
                <w:webHidden/>
              </w:rPr>
              <w:instrText xml:space="preserve"> PAGEREF _Toc148175865 \h </w:instrText>
            </w:r>
            <w:r w:rsidR="0042745D" w:rsidRPr="006D631C">
              <w:rPr>
                <w:webHidden/>
              </w:rPr>
            </w:r>
            <w:r w:rsidR="0042745D" w:rsidRPr="006D631C">
              <w:rPr>
                <w:webHidden/>
              </w:rPr>
              <w:fldChar w:fldCharType="separate"/>
            </w:r>
            <w:r w:rsidR="0042745D" w:rsidRPr="006D631C">
              <w:rPr>
                <w:webHidden/>
              </w:rPr>
              <w:t>160</w:t>
            </w:r>
            <w:r w:rsidR="0042745D" w:rsidRPr="006D631C">
              <w:rPr>
                <w:webHidden/>
              </w:rPr>
              <w:fldChar w:fldCharType="end"/>
            </w:r>
          </w:hyperlink>
        </w:p>
        <w:p w14:paraId="7BEF5886" w14:textId="49406C19" w:rsidR="0042745D" w:rsidRPr="006D631C" w:rsidRDefault="001A0507">
          <w:pPr>
            <w:pStyle w:val="TOC2"/>
            <w:rPr>
              <w:rFonts w:asciiTheme="minorHAnsi" w:eastAsiaTheme="minorEastAsia" w:hAnsiTheme="minorHAnsi" w:cstheme="minorBidi"/>
              <w:iCs w:val="0"/>
              <w:szCs w:val="22"/>
            </w:rPr>
          </w:pPr>
          <w:hyperlink w:anchor="_Toc148175866" w:history="1">
            <w:r w:rsidR="0042745D" w:rsidRPr="006D631C">
              <w:rPr>
                <w:rStyle w:val="Hyperlink"/>
              </w:rPr>
              <w:t>5.2 Experimental</w:t>
            </w:r>
            <w:r w:rsidR="0042745D" w:rsidRPr="006D631C">
              <w:rPr>
                <w:webHidden/>
              </w:rPr>
              <w:tab/>
            </w:r>
            <w:r w:rsidR="0042745D" w:rsidRPr="006D631C">
              <w:rPr>
                <w:webHidden/>
              </w:rPr>
              <w:fldChar w:fldCharType="begin"/>
            </w:r>
            <w:r w:rsidR="0042745D" w:rsidRPr="006D631C">
              <w:rPr>
                <w:webHidden/>
              </w:rPr>
              <w:instrText xml:space="preserve"> PAGEREF _Toc148175866 \h </w:instrText>
            </w:r>
            <w:r w:rsidR="0042745D" w:rsidRPr="006D631C">
              <w:rPr>
                <w:webHidden/>
              </w:rPr>
            </w:r>
            <w:r w:rsidR="0042745D" w:rsidRPr="006D631C">
              <w:rPr>
                <w:webHidden/>
              </w:rPr>
              <w:fldChar w:fldCharType="separate"/>
            </w:r>
            <w:r w:rsidR="0042745D" w:rsidRPr="006D631C">
              <w:rPr>
                <w:webHidden/>
              </w:rPr>
              <w:t>162</w:t>
            </w:r>
            <w:r w:rsidR="0042745D" w:rsidRPr="006D631C">
              <w:rPr>
                <w:webHidden/>
              </w:rPr>
              <w:fldChar w:fldCharType="end"/>
            </w:r>
          </w:hyperlink>
        </w:p>
        <w:p w14:paraId="28240B3C" w14:textId="5D36D34F"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67" w:history="1">
            <w:r w:rsidR="0042745D" w:rsidRPr="006D631C">
              <w:rPr>
                <w:rStyle w:val="Hyperlink"/>
                <w:noProof/>
              </w:rPr>
              <w:t>5.2.1 Materials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_Toc148175867 \h </w:instrText>
            </w:r>
            <w:r w:rsidR="0042745D" w:rsidRPr="006D631C">
              <w:rPr>
                <w:noProof/>
                <w:webHidden/>
              </w:rPr>
            </w:r>
            <w:r w:rsidR="0042745D" w:rsidRPr="006D631C">
              <w:rPr>
                <w:noProof/>
                <w:webHidden/>
              </w:rPr>
              <w:fldChar w:fldCharType="separate"/>
            </w:r>
            <w:r w:rsidR="0042745D" w:rsidRPr="006D631C">
              <w:rPr>
                <w:noProof/>
                <w:webHidden/>
              </w:rPr>
              <w:t>162</w:t>
            </w:r>
            <w:r w:rsidR="0042745D" w:rsidRPr="006D631C">
              <w:rPr>
                <w:noProof/>
                <w:webHidden/>
              </w:rPr>
              <w:fldChar w:fldCharType="end"/>
            </w:r>
          </w:hyperlink>
        </w:p>
        <w:p w14:paraId="09CFCEB2" w14:textId="40D945C4"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68" w:history="1">
            <w:r w:rsidR="0042745D" w:rsidRPr="006D631C">
              <w:rPr>
                <w:rStyle w:val="Hyperlink"/>
                <w:noProof/>
              </w:rPr>
              <w:t>5.2.2 Synthesis of P84DA</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_Toc148175868 \h </w:instrText>
            </w:r>
            <w:r w:rsidR="0042745D" w:rsidRPr="006D631C">
              <w:rPr>
                <w:noProof/>
                <w:webHidden/>
              </w:rPr>
            </w:r>
            <w:r w:rsidR="0042745D" w:rsidRPr="006D631C">
              <w:rPr>
                <w:noProof/>
                <w:webHidden/>
              </w:rPr>
              <w:fldChar w:fldCharType="separate"/>
            </w:r>
            <w:r w:rsidR="0042745D" w:rsidRPr="006D631C">
              <w:rPr>
                <w:noProof/>
                <w:webHidden/>
              </w:rPr>
              <w:t>163</w:t>
            </w:r>
            <w:r w:rsidR="0042745D" w:rsidRPr="006D631C">
              <w:rPr>
                <w:noProof/>
                <w:webHidden/>
              </w:rPr>
              <w:fldChar w:fldCharType="end"/>
            </w:r>
          </w:hyperlink>
        </w:p>
        <w:p w14:paraId="04394A99" w14:textId="5B4E98B0"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69" w:history="1">
            <w:r w:rsidR="0042745D" w:rsidRPr="006D631C">
              <w:rPr>
                <w:rStyle w:val="Hyperlink"/>
                <w:noProof/>
              </w:rPr>
              <w:t>5.2.3 LLC preparation</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_Toc148175869 \h </w:instrText>
            </w:r>
            <w:r w:rsidR="0042745D" w:rsidRPr="006D631C">
              <w:rPr>
                <w:noProof/>
                <w:webHidden/>
              </w:rPr>
            </w:r>
            <w:r w:rsidR="0042745D" w:rsidRPr="006D631C">
              <w:rPr>
                <w:noProof/>
                <w:webHidden/>
              </w:rPr>
              <w:fldChar w:fldCharType="separate"/>
            </w:r>
            <w:r w:rsidR="0042745D" w:rsidRPr="006D631C">
              <w:rPr>
                <w:noProof/>
                <w:webHidden/>
              </w:rPr>
              <w:t>163</w:t>
            </w:r>
            <w:r w:rsidR="0042745D" w:rsidRPr="006D631C">
              <w:rPr>
                <w:noProof/>
                <w:webHidden/>
              </w:rPr>
              <w:fldChar w:fldCharType="end"/>
            </w:r>
          </w:hyperlink>
        </w:p>
        <w:p w14:paraId="24EF9172" w14:textId="704CDF6B"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70" w:history="1">
            <w:r w:rsidR="0042745D" w:rsidRPr="006D631C">
              <w:rPr>
                <w:rStyle w:val="Hyperlink"/>
                <w:noProof/>
              </w:rPr>
              <w:t>5.2.4 LLC and polyLLC characterization</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_Toc148175870 \h </w:instrText>
            </w:r>
            <w:r w:rsidR="0042745D" w:rsidRPr="006D631C">
              <w:rPr>
                <w:noProof/>
                <w:webHidden/>
              </w:rPr>
            </w:r>
            <w:r w:rsidR="0042745D" w:rsidRPr="006D631C">
              <w:rPr>
                <w:noProof/>
                <w:webHidden/>
              </w:rPr>
              <w:fldChar w:fldCharType="separate"/>
            </w:r>
            <w:r w:rsidR="0042745D" w:rsidRPr="006D631C">
              <w:rPr>
                <w:noProof/>
                <w:webHidden/>
              </w:rPr>
              <w:t>163</w:t>
            </w:r>
            <w:r w:rsidR="0042745D" w:rsidRPr="006D631C">
              <w:rPr>
                <w:noProof/>
                <w:webHidden/>
              </w:rPr>
              <w:fldChar w:fldCharType="end"/>
            </w:r>
          </w:hyperlink>
        </w:p>
        <w:p w14:paraId="15AB8F4B" w14:textId="4912C8ED" w:rsidR="0042745D" w:rsidRPr="006D631C" w:rsidRDefault="001A0507">
          <w:pPr>
            <w:pStyle w:val="TOC4"/>
            <w:rPr>
              <w:rFonts w:asciiTheme="minorHAnsi" w:eastAsiaTheme="minorEastAsia" w:hAnsiTheme="minorHAnsi" w:cstheme="minorBidi"/>
              <w:sz w:val="22"/>
              <w:szCs w:val="22"/>
            </w:rPr>
          </w:pPr>
          <w:hyperlink w:anchor="_Toc148175871" w:history="1">
            <w:r w:rsidR="0042745D" w:rsidRPr="006D631C">
              <w:rPr>
                <w:rStyle w:val="Hyperlink"/>
              </w:rPr>
              <w:t>5.2.4.1 Cross-polarized light microscopy (CPLM)</w:t>
            </w:r>
            <w:r w:rsidR="0042745D" w:rsidRPr="006D631C">
              <w:rPr>
                <w:webHidden/>
              </w:rPr>
              <w:tab/>
            </w:r>
            <w:r w:rsidR="0042745D" w:rsidRPr="006D631C">
              <w:rPr>
                <w:webHidden/>
              </w:rPr>
              <w:fldChar w:fldCharType="begin"/>
            </w:r>
            <w:r w:rsidR="0042745D" w:rsidRPr="006D631C">
              <w:rPr>
                <w:webHidden/>
              </w:rPr>
              <w:instrText xml:space="preserve"> PAGEREF _Toc148175871 \h </w:instrText>
            </w:r>
            <w:r w:rsidR="0042745D" w:rsidRPr="006D631C">
              <w:rPr>
                <w:webHidden/>
              </w:rPr>
            </w:r>
            <w:r w:rsidR="0042745D" w:rsidRPr="006D631C">
              <w:rPr>
                <w:webHidden/>
              </w:rPr>
              <w:fldChar w:fldCharType="separate"/>
            </w:r>
            <w:r w:rsidR="0042745D" w:rsidRPr="006D631C">
              <w:rPr>
                <w:webHidden/>
              </w:rPr>
              <w:t>163</w:t>
            </w:r>
            <w:r w:rsidR="0042745D" w:rsidRPr="006D631C">
              <w:rPr>
                <w:webHidden/>
              </w:rPr>
              <w:fldChar w:fldCharType="end"/>
            </w:r>
          </w:hyperlink>
        </w:p>
        <w:p w14:paraId="71A4F1A8" w14:textId="6EE493FA" w:rsidR="0042745D" w:rsidRPr="006D631C" w:rsidRDefault="001A0507">
          <w:pPr>
            <w:pStyle w:val="TOC4"/>
            <w:rPr>
              <w:rFonts w:asciiTheme="minorHAnsi" w:eastAsiaTheme="minorEastAsia" w:hAnsiTheme="minorHAnsi" w:cstheme="minorBidi"/>
              <w:sz w:val="22"/>
              <w:szCs w:val="22"/>
            </w:rPr>
          </w:pPr>
          <w:hyperlink w:anchor="_Toc148175872" w:history="1">
            <w:r w:rsidR="0042745D" w:rsidRPr="006D631C">
              <w:rPr>
                <w:rStyle w:val="Hyperlink"/>
              </w:rPr>
              <w:t>5.2.4.2 Small angle X-ray scattering (SAXS)</w:t>
            </w:r>
            <w:r w:rsidR="0042745D" w:rsidRPr="006D631C">
              <w:rPr>
                <w:webHidden/>
              </w:rPr>
              <w:tab/>
            </w:r>
            <w:r w:rsidR="0042745D" w:rsidRPr="006D631C">
              <w:rPr>
                <w:webHidden/>
              </w:rPr>
              <w:fldChar w:fldCharType="begin"/>
            </w:r>
            <w:r w:rsidR="0042745D" w:rsidRPr="006D631C">
              <w:rPr>
                <w:webHidden/>
              </w:rPr>
              <w:instrText xml:space="preserve"> PAGEREF _Toc148175872 \h </w:instrText>
            </w:r>
            <w:r w:rsidR="0042745D" w:rsidRPr="006D631C">
              <w:rPr>
                <w:webHidden/>
              </w:rPr>
            </w:r>
            <w:r w:rsidR="0042745D" w:rsidRPr="006D631C">
              <w:rPr>
                <w:webHidden/>
              </w:rPr>
              <w:fldChar w:fldCharType="separate"/>
            </w:r>
            <w:r w:rsidR="0042745D" w:rsidRPr="006D631C">
              <w:rPr>
                <w:webHidden/>
              </w:rPr>
              <w:t>164</w:t>
            </w:r>
            <w:r w:rsidR="0042745D" w:rsidRPr="006D631C">
              <w:rPr>
                <w:webHidden/>
              </w:rPr>
              <w:fldChar w:fldCharType="end"/>
            </w:r>
          </w:hyperlink>
        </w:p>
        <w:p w14:paraId="5FD7A9D3" w14:textId="6D4D61D9" w:rsidR="0042745D" w:rsidRPr="006D631C" w:rsidRDefault="001A0507">
          <w:pPr>
            <w:pStyle w:val="TOC4"/>
            <w:rPr>
              <w:rFonts w:asciiTheme="minorHAnsi" w:eastAsiaTheme="minorEastAsia" w:hAnsiTheme="minorHAnsi" w:cstheme="minorBidi"/>
              <w:sz w:val="22"/>
              <w:szCs w:val="22"/>
            </w:rPr>
          </w:pPr>
          <w:hyperlink w:anchor="_Toc148175873" w:history="1">
            <w:r w:rsidR="0042745D" w:rsidRPr="006D631C">
              <w:rPr>
                <w:rStyle w:val="Hyperlink"/>
              </w:rPr>
              <w:t>5.2.4.3 Differential scanning calorimetry (DSC)</w:t>
            </w:r>
            <w:r w:rsidR="0042745D" w:rsidRPr="006D631C">
              <w:rPr>
                <w:webHidden/>
              </w:rPr>
              <w:tab/>
            </w:r>
            <w:r w:rsidR="0042745D" w:rsidRPr="006D631C">
              <w:rPr>
                <w:webHidden/>
              </w:rPr>
              <w:fldChar w:fldCharType="begin"/>
            </w:r>
            <w:r w:rsidR="0042745D" w:rsidRPr="006D631C">
              <w:rPr>
                <w:webHidden/>
              </w:rPr>
              <w:instrText xml:space="preserve"> PAGEREF _Toc148175873 \h </w:instrText>
            </w:r>
            <w:r w:rsidR="0042745D" w:rsidRPr="006D631C">
              <w:rPr>
                <w:webHidden/>
              </w:rPr>
            </w:r>
            <w:r w:rsidR="0042745D" w:rsidRPr="006D631C">
              <w:rPr>
                <w:webHidden/>
              </w:rPr>
              <w:fldChar w:fldCharType="separate"/>
            </w:r>
            <w:r w:rsidR="0042745D" w:rsidRPr="006D631C">
              <w:rPr>
                <w:webHidden/>
              </w:rPr>
              <w:t>164</w:t>
            </w:r>
            <w:r w:rsidR="0042745D" w:rsidRPr="006D631C">
              <w:rPr>
                <w:webHidden/>
              </w:rPr>
              <w:fldChar w:fldCharType="end"/>
            </w:r>
          </w:hyperlink>
        </w:p>
        <w:p w14:paraId="6F9ADDCA" w14:textId="202FBF2F" w:rsidR="0042745D" w:rsidRPr="006D631C" w:rsidRDefault="001A0507">
          <w:pPr>
            <w:pStyle w:val="TOC4"/>
            <w:rPr>
              <w:rFonts w:asciiTheme="minorHAnsi" w:eastAsiaTheme="minorEastAsia" w:hAnsiTheme="minorHAnsi" w:cstheme="minorBidi"/>
              <w:sz w:val="22"/>
              <w:szCs w:val="22"/>
            </w:rPr>
          </w:pPr>
          <w:hyperlink w:anchor="_Toc148175874" w:history="1">
            <w:r w:rsidR="0042745D" w:rsidRPr="006D631C">
              <w:rPr>
                <w:rStyle w:val="Hyperlink"/>
              </w:rPr>
              <w:t>5.2.4.4 Swelling characteristics of the polyLLC</w:t>
            </w:r>
            <w:r w:rsidR="0042745D" w:rsidRPr="006D631C">
              <w:rPr>
                <w:webHidden/>
              </w:rPr>
              <w:tab/>
            </w:r>
            <w:r w:rsidR="0042745D" w:rsidRPr="006D631C">
              <w:rPr>
                <w:webHidden/>
              </w:rPr>
              <w:fldChar w:fldCharType="begin"/>
            </w:r>
            <w:r w:rsidR="0042745D" w:rsidRPr="006D631C">
              <w:rPr>
                <w:webHidden/>
              </w:rPr>
              <w:instrText xml:space="preserve"> PAGEREF _Toc148175874 \h </w:instrText>
            </w:r>
            <w:r w:rsidR="0042745D" w:rsidRPr="006D631C">
              <w:rPr>
                <w:webHidden/>
              </w:rPr>
            </w:r>
            <w:r w:rsidR="0042745D" w:rsidRPr="006D631C">
              <w:rPr>
                <w:webHidden/>
              </w:rPr>
              <w:fldChar w:fldCharType="separate"/>
            </w:r>
            <w:r w:rsidR="0042745D" w:rsidRPr="006D631C">
              <w:rPr>
                <w:webHidden/>
              </w:rPr>
              <w:t>165</w:t>
            </w:r>
            <w:r w:rsidR="0042745D" w:rsidRPr="006D631C">
              <w:rPr>
                <w:webHidden/>
              </w:rPr>
              <w:fldChar w:fldCharType="end"/>
            </w:r>
          </w:hyperlink>
        </w:p>
        <w:p w14:paraId="233B7BEE" w14:textId="0705F16A"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75" w:history="1">
            <w:r w:rsidR="0042745D" w:rsidRPr="006D631C">
              <w:rPr>
                <w:rStyle w:val="Hyperlink"/>
                <w:noProof/>
              </w:rPr>
              <w:t>5.2.5 Manufacturing of the supported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_Toc148175875 \h </w:instrText>
            </w:r>
            <w:r w:rsidR="0042745D" w:rsidRPr="006D631C">
              <w:rPr>
                <w:noProof/>
                <w:webHidden/>
              </w:rPr>
            </w:r>
            <w:r w:rsidR="0042745D" w:rsidRPr="006D631C">
              <w:rPr>
                <w:noProof/>
                <w:webHidden/>
              </w:rPr>
              <w:fldChar w:fldCharType="separate"/>
            </w:r>
            <w:r w:rsidR="0042745D" w:rsidRPr="006D631C">
              <w:rPr>
                <w:noProof/>
                <w:webHidden/>
              </w:rPr>
              <w:t>166</w:t>
            </w:r>
            <w:r w:rsidR="0042745D" w:rsidRPr="006D631C">
              <w:rPr>
                <w:noProof/>
                <w:webHidden/>
              </w:rPr>
              <w:fldChar w:fldCharType="end"/>
            </w:r>
          </w:hyperlink>
        </w:p>
        <w:p w14:paraId="3C0E2284" w14:textId="1AA7C40F"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76" w:history="1">
            <w:r w:rsidR="0042745D" w:rsidRPr="006D631C">
              <w:rPr>
                <w:rStyle w:val="Hyperlink"/>
                <w:noProof/>
              </w:rPr>
              <w:t>5.2.6 Analysis of the polyLLC membrane performance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_Toc148175876 \h </w:instrText>
            </w:r>
            <w:r w:rsidR="0042745D" w:rsidRPr="006D631C">
              <w:rPr>
                <w:noProof/>
                <w:webHidden/>
              </w:rPr>
            </w:r>
            <w:r w:rsidR="0042745D" w:rsidRPr="006D631C">
              <w:rPr>
                <w:noProof/>
                <w:webHidden/>
              </w:rPr>
              <w:fldChar w:fldCharType="separate"/>
            </w:r>
            <w:r w:rsidR="0042745D" w:rsidRPr="006D631C">
              <w:rPr>
                <w:noProof/>
                <w:webHidden/>
              </w:rPr>
              <w:t>166</w:t>
            </w:r>
            <w:r w:rsidR="0042745D" w:rsidRPr="006D631C">
              <w:rPr>
                <w:noProof/>
                <w:webHidden/>
              </w:rPr>
              <w:fldChar w:fldCharType="end"/>
            </w:r>
          </w:hyperlink>
        </w:p>
        <w:p w14:paraId="054EFF9E" w14:textId="7ADCF85A" w:rsidR="0042745D" w:rsidRPr="006D631C" w:rsidRDefault="001A0507">
          <w:pPr>
            <w:pStyle w:val="TOC4"/>
            <w:rPr>
              <w:rFonts w:asciiTheme="minorHAnsi" w:eastAsiaTheme="minorEastAsia" w:hAnsiTheme="minorHAnsi" w:cstheme="minorBidi"/>
              <w:sz w:val="22"/>
              <w:szCs w:val="22"/>
            </w:rPr>
          </w:pPr>
          <w:hyperlink w:anchor="_Toc148175877" w:history="1">
            <w:r w:rsidR="0042745D" w:rsidRPr="006D631C">
              <w:rPr>
                <w:rStyle w:val="Hyperlink"/>
              </w:rPr>
              <w:t>5.2.6.1 Water flux and permeability</w:t>
            </w:r>
            <w:r w:rsidR="0042745D" w:rsidRPr="006D631C">
              <w:rPr>
                <w:webHidden/>
              </w:rPr>
              <w:tab/>
            </w:r>
            <w:r w:rsidR="0042745D" w:rsidRPr="006D631C">
              <w:rPr>
                <w:webHidden/>
              </w:rPr>
              <w:fldChar w:fldCharType="begin"/>
            </w:r>
            <w:r w:rsidR="0042745D" w:rsidRPr="006D631C">
              <w:rPr>
                <w:webHidden/>
              </w:rPr>
              <w:instrText xml:space="preserve"> PAGEREF _Toc148175877 \h </w:instrText>
            </w:r>
            <w:r w:rsidR="0042745D" w:rsidRPr="006D631C">
              <w:rPr>
                <w:webHidden/>
              </w:rPr>
            </w:r>
            <w:r w:rsidR="0042745D" w:rsidRPr="006D631C">
              <w:rPr>
                <w:webHidden/>
              </w:rPr>
              <w:fldChar w:fldCharType="separate"/>
            </w:r>
            <w:r w:rsidR="0042745D" w:rsidRPr="006D631C">
              <w:rPr>
                <w:webHidden/>
              </w:rPr>
              <w:t>166</w:t>
            </w:r>
            <w:r w:rsidR="0042745D" w:rsidRPr="006D631C">
              <w:rPr>
                <w:webHidden/>
              </w:rPr>
              <w:fldChar w:fldCharType="end"/>
            </w:r>
          </w:hyperlink>
        </w:p>
        <w:p w14:paraId="42B105D3" w14:textId="43B6261B" w:rsidR="0042745D" w:rsidRPr="006D631C" w:rsidRDefault="001A0507">
          <w:pPr>
            <w:pStyle w:val="TOC4"/>
            <w:rPr>
              <w:rFonts w:asciiTheme="minorHAnsi" w:eastAsiaTheme="minorEastAsia" w:hAnsiTheme="minorHAnsi" w:cstheme="minorBidi"/>
              <w:sz w:val="22"/>
              <w:szCs w:val="22"/>
            </w:rPr>
          </w:pPr>
          <w:hyperlink w:anchor="_Toc148175878" w:history="1">
            <w:r w:rsidR="0042745D" w:rsidRPr="006D631C">
              <w:rPr>
                <w:rStyle w:val="Hyperlink"/>
              </w:rPr>
              <w:t>5.2.6.2 MWCO, protein, single salt and dye rejection measurements</w:t>
            </w:r>
            <w:r w:rsidR="0042745D" w:rsidRPr="006D631C">
              <w:rPr>
                <w:webHidden/>
              </w:rPr>
              <w:tab/>
            </w:r>
            <w:r w:rsidR="0042745D" w:rsidRPr="006D631C">
              <w:rPr>
                <w:webHidden/>
              </w:rPr>
              <w:fldChar w:fldCharType="begin"/>
            </w:r>
            <w:r w:rsidR="0042745D" w:rsidRPr="006D631C">
              <w:rPr>
                <w:webHidden/>
              </w:rPr>
              <w:instrText xml:space="preserve"> PAGEREF _Toc148175878 \h </w:instrText>
            </w:r>
            <w:r w:rsidR="0042745D" w:rsidRPr="006D631C">
              <w:rPr>
                <w:webHidden/>
              </w:rPr>
            </w:r>
            <w:r w:rsidR="0042745D" w:rsidRPr="006D631C">
              <w:rPr>
                <w:webHidden/>
              </w:rPr>
              <w:fldChar w:fldCharType="separate"/>
            </w:r>
            <w:r w:rsidR="0042745D" w:rsidRPr="006D631C">
              <w:rPr>
                <w:webHidden/>
              </w:rPr>
              <w:t>167</w:t>
            </w:r>
            <w:r w:rsidR="0042745D" w:rsidRPr="006D631C">
              <w:rPr>
                <w:webHidden/>
              </w:rPr>
              <w:fldChar w:fldCharType="end"/>
            </w:r>
          </w:hyperlink>
        </w:p>
        <w:p w14:paraId="1C3936B0" w14:textId="4B2FDC6B" w:rsidR="0042745D" w:rsidRPr="006D631C" w:rsidRDefault="001A0507">
          <w:pPr>
            <w:pStyle w:val="TOC4"/>
            <w:rPr>
              <w:rFonts w:asciiTheme="minorHAnsi" w:eastAsiaTheme="minorEastAsia" w:hAnsiTheme="minorHAnsi" w:cstheme="minorBidi"/>
              <w:sz w:val="22"/>
              <w:szCs w:val="22"/>
            </w:rPr>
          </w:pPr>
          <w:hyperlink w:anchor="_Toc148175879" w:history="1">
            <w:r w:rsidR="0042745D" w:rsidRPr="006D631C">
              <w:rPr>
                <w:rStyle w:val="Hyperlink"/>
              </w:rPr>
              <w:t>5.2.6.3 Contact angle and fouling resistance</w:t>
            </w:r>
            <w:r w:rsidR="0042745D" w:rsidRPr="006D631C">
              <w:rPr>
                <w:webHidden/>
              </w:rPr>
              <w:tab/>
            </w:r>
            <w:r w:rsidR="0042745D" w:rsidRPr="006D631C">
              <w:rPr>
                <w:webHidden/>
              </w:rPr>
              <w:fldChar w:fldCharType="begin"/>
            </w:r>
            <w:r w:rsidR="0042745D" w:rsidRPr="006D631C">
              <w:rPr>
                <w:webHidden/>
              </w:rPr>
              <w:instrText xml:space="preserve"> PAGEREF _Toc148175879 \h </w:instrText>
            </w:r>
            <w:r w:rsidR="0042745D" w:rsidRPr="006D631C">
              <w:rPr>
                <w:webHidden/>
              </w:rPr>
            </w:r>
            <w:r w:rsidR="0042745D" w:rsidRPr="006D631C">
              <w:rPr>
                <w:webHidden/>
              </w:rPr>
              <w:fldChar w:fldCharType="separate"/>
            </w:r>
            <w:r w:rsidR="0042745D" w:rsidRPr="006D631C">
              <w:rPr>
                <w:webHidden/>
              </w:rPr>
              <w:t>168</w:t>
            </w:r>
            <w:r w:rsidR="0042745D" w:rsidRPr="006D631C">
              <w:rPr>
                <w:webHidden/>
              </w:rPr>
              <w:fldChar w:fldCharType="end"/>
            </w:r>
          </w:hyperlink>
        </w:p>
        <w:p w14:paraId="59F3B8E8" w14:textId="6560D221" w:rsidR="0042745D" w:rsidRPr="006D631C" w:rsidRDefault="001A0507">
          <w:pPr>
            <w:pStyle w:val="TOC2"/>
            <w:rPr>
              <w:rFonts w:asciiTheme="minorHAnsi" w:eastAsiaTheme="minorEastAsia" w:hAnsiTheme="minorHAnsi" w:cstheme="minorBidi"/>
              <w:iCs w:val="0"/>
              <w:szCs w:val="22"/>
            </w:rPr>
          </w:pPr>
          <w:hyperlink w:anchor="_Toc148175880" w:history="1">
            <w:r w:rsidR="0042745D" w:rsidRPr="006D631C">
              <w:rPr>
                <w:rStyle w:val="Hyperlink"/>
              </w:rPr>
              <w:t>5.3 Results and discussions</w:t>
            </w:r>
            <w:r w:rsidR="0042745D" w:rsidRPr="006D631C">
              <w:rPr>
                <w:webHidden/>
              </w:rPr>
              <w:tab/>
            </w:r>
            <w:r w:rsidR="0042745D" w:rsidRPr="006D631C">
              <w:rPr>
                <w:webHidden/>
              </w:rPr>
              <w:fldChar w:fldCharType="begin"/>
            </w:r>
            <w:r w:rsidR="0042745D" w:rsidRPr="006D631C">
              <w:rPr>
                <w:webHidden/>
              </w:rPr>
              <w:instrText xml:space="preserve"> PAGEREF _Toc148175880 \h </w:instrText>
            </w:r>
            <w:r w:rsidR="0042745D" w:rsidRPr="006D631C">
              <w:rPr>
                <w:webHidden/>
              </w:rPr>
            </w:r>
            <w:r w:rsidR="0042745D" w:rsidRPr="006D631C">
              <w:rPr>
                <w:webHidden/>
              </w:rPr>
              <w:fldChar w:fldCharType="separate"/>
            </w:r>
            <w:r w:rsidR="0042745D" w:rsidRPr="006D631C">
              <w:rPr>
                <w:webHidden/>
              </w:rPr>
              <w:t>168</w:t>
            </w:r>
            <w:r w:rsidR="0042745D" w:rsidRPr="006D631C">
              <w:rPr>
                <w:webHidden/>
              </w:rPr>
              <w:fldChar w:fldCharType="end"/>
            </w:r>
          </w:hyperlink>
        </w:p>
        <w:p w14:paraId="7609743E" w14:textId="2E168631"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81" w:history="1">
            <w:r w:rsidR="0042745D" w:rsidRPr="006D631C">
              <w:rPr>
                <w:rStyle w:val="Hyperlink"/>
                <w:noProof/>
              </w:rPr>
              <w:t>5.3.1 Characterization of LLC and polyLLC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_Toc148175881 \h </w:instrText>
            </w:r>
            <w:r w:rsidR="0042745D" w:rsidRPr="006D631C">
              <w:rPr>
                <w:noProof/>
                <w:webHidden/>
              </w:rPr>
            </w:r>
            <w:r w:rsidR="0042745D" w:rsidRPr="006D631C">
              <w:rPr>
                <w:noProof/>
                <w:webHidden/>
              </w:rPr>
              <w:fldChar w:fldCharType="separate"/>
            </w:r>
            <w:r w:rsidR="0042745D" w:rsidRPr="006D631C">
              <w:rPr>
                <w:noProof/>
                <w:webHidden/>
              </w:rPr>
              <w:t>168</w:t>
            </w:r>
            <w:r w:rsidR="0042745D" w:rsidRPr="006D631C">
              <w:rPr>
                <w:noProof/>
                <w:webHidden/>
              </w:rPr>
              <w:fldChar w:fldCharType="end"/>
            </w:r>
          </w:hyperlink>
        </w:p>
        <w:p w14:paraId="63BD782A" w14:textId="72A7BAB2"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82" w:history="1">
            <w:r w:rsidR="0042745D" w:rsidRPr="006D631C">
              <w:rPr>
                <w:rStyle w:val="Hyperlink"/>
                <w:noProof/>
              </w:rPr>
              <w:t>5.3.2 Analysis of the polyLLC membrane performance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_Toc148175882 \h </w:instrText>
            </w:r>
            <w:r w:rsidR="0042745D" w:rsidRPr="006D631C">
              <w:rPr>
                <w:noProof/>
                <w:webHidden/>
              </w:rPr>
            </w:r>
            <w:r w:rsidR="0042745D" w:rsidRPr="006D631C">
              <w:rPr>
                <w:noProof/>
                <w:webHidden/>
              </w:rPr>
              <w:fldChar w:fldCharType="separate"/>
            </w:r>
            <w:r w:rsidR="0042745D" w:rsidRPr="006D631C">
              <w:rPr>
                <w:noProof/>
                <w:webHidden/>
              </w:rPr>
              <w:t>176</w:t>
            </w:r>
            <w:r w:rsidR="0042745D" w:rsidRPr="006D631C">
              <w:rPr>
                <w:noProof/>
                <w:webHidden/>
              </w:rPr>
              <w:fldChar w:fldCharType="end"/>
            </w:r>
          </w:hyperlink>
        </w:p>
        <w:p w14:paraId="76B7D705" w14:textId="48AF8573" w:rsidR="0042745D" w:rsidRPr="006D631C" w:rsidRDefault="001A0507">
          <w:pPr>
            <w:pStyle w:val="TOC4"/>
            <w:rPr>
              <w:rFonts w:asciiTheme="minorHAnsi" w:eastAsiaTheme="minorEastAsia" w:hAnsiTheme="minorHAnsi" w:cstheme="minorBidi"/>
              <w:sz w:val="22"/>
              <w:szCs w:val="22"/>
            </w:rPr>
          </w:pPr>
          <w:hyperlink w:anchor="_Toc148175883" w:history="1">
            <w:r w:rsidR="0042745D" w:rsidRPr="006D631C">
              <w:rPr>
                <w:rStyle w:val="Hyperlink"/>
              </w:rPr>
              <w:t>5.3.2.1 Water flux and permeability</w:t>
            </w:r>
            <w:r w:rsidR="0042745D" w:rsidRPr="006D631C">
              <w:rPr>
                <w:webHidden/>
              </w:rPr>
              <w:tab/>
            </w:r>
            <w:r w:rsidR="0042745D" w:rsidRPr="006D631C">
              <w:rPr>
                <w:webHidden/>
              </w:rPr>
              <w:fldChar w:fldCharType="begin"/>
            </w:r>
            <w:r w:rsidR="0042745D" w:rsidRPr="006D631C">
              <w:rPr>
                <w:webHidden/>
              </w:rPr>
              <w:instrText xml:space="preserve"> PAGEREF _Toc148175883 \h </w:instrText>
            </w:r>
            <w:r w:rsidR="0042745D" w:rsidRPr="006D631C">
              <w:rPr>
                <w:webHidden/>
              </w:rPr>
            </w:r>
            <w:r w:rsidR="0042745D" w:rsidRPr="006D631C">
              <w:rPr>
                <w:webHidden/>
              </w:rPr>
              <w:fldChar w:fldCharType="separate"/>
            </w:r>
            <w:r w:rsidR="0042745D" w:rsidRPr="006D631C">
              <w:rPr>
                <w:webHidden/>
              </w:rPr>
              <w:t>177</w:t>
            </w:r>
            <w:r w:rsidR="0042745D" w:rsidRPr="006D631C">
              <w:rPr>
                <w:webHidden/>
              </w:rPr>
              <w:fldChar w:fldCharType="end"/>
            </w:r>
          </w:hyperlink>
        </w:p>
        <w:p w14:paraId="05C0CD03" w14:textId="30AC86CB" w:rsidR="0042745D" w:rsidRPr="006D631C" w:rsidRDefault="001A0507">
          <w:pPr>
            <w:pStyle w:val="TOC4"/>
            <w:rPr>
              <w:rFonts w:asciiTheme="minorHAnsi" w:eastAsiaTheme="minorEastAsia" w:hAnsiTheme="minorHAnsi" w:cstheme="minorBidi"/>
              <w:sz w:val="22"/>
              <w:szCs w:val="22"/>
            </w:rPr>
          </w:pPr>
          <w:hyperlink w:anchor="_Toc148175884" w:history="1">
            <w:r w:rsidR="0042745D" w:rsidRPr="006D631C">
              <w:rPr>
                <w:rStyle w:val="Hyperlink"/>
              </w:rPr>
              <w:t>5.3.2.2 MWCO, protein, single salt, and dye rejection measurements</w:t>
            </w:r>
            <w:r w:rsidR="0042745D" w:rsidRPr="006D631C">
              <w:rPr>
                <w:webHidden/>
              </w:rPr>
              <w:tab/>
            </w:r>
            <w:r w:rsidR="0042745D" w:rsidRPr="006D631C">
              <w:rPr>
                <w:webHidden/>
              </w:rPr>
              <w:fldChar w:fldCharType="begin"/>
            </w:r>
            <w:r w:rsidR="0042745D" w:rsidRPr="006D631C">
              <w:rPr>
                <w:webHidden/>
              </w:rPr>
              <w:instrText xml:space="preserve"> PAGEREF _Toc148175884 \h </w:instrText>
            </w:r>
            <w:r w:rsidR="0042745D" w:rsidRPr="006D631C">
              <w:rPr>
                <w:webHidden/>
              </w:rPr>
            </w:r>
            <w:r w:rsidR="0042745D" w:rsidRPr="006D631C">
              <w:rPr>
                <w:webHidden/>
              </w:rPr>
              <w:fldChar w:fldCharType="separate"/>
            </w:r>
            <w:r w:rsidR="0042745D" w:rsidRPr="006D631C">
              <w:rPr>
                <w:webHidden/>
              </w:rPr>
              <w:t>177</w:t>
            </w:r>
            <w:r w:rsidR="0042745D" w:rsidRPr="006D631C">
              <w:rPr>
                <w:webHidden/>
              </w:rPr>
              <w:fldChar w:fldCharType="end"/>
            </w:r>
          </w:hyperlink>
        </w:p>
        <w:p w14:paraId="508598AC" w14:textId="7C4F6048" w:rsidR="0042745D" w:rsidRPr="006D631C" w:rsidRDefault="001A0507">
          <w:pPr>
            <w:pStyle w:val="TOC4"/>
            <w:rPr>
              <w:rFonts w:asciiTheme="minorHAnsi" w:eastAsiaTheme="minorEastAsia" w:hAnsiTheme="minorHAnsi" w:cstheme="minorBidi"/>
              <w:sz w:val="22"/>
              <w:szCs w:val="22"/>
            </w:rPr>
          </w:pPr>
          <w:hyperlink w:anchor="_Toc148175885" w:history="1">
            <w:r w:rsidR="0042745D" w:rsidRPr="006D631C">
              <w:rPr>
                <w:rStyle w:val="Hyperlink"/>
              </w:rPr>
              <w:t>5.3.2.3 Contact angle and fouling resistance</w:t>
            </w:r>
            <w:r w:rsidR="0042745D" w:rsidRPr="006D631C">
              <w:rPr>
                <w:webHidden/>
              </w:rPr>
              <w:tab/>
            </w:r>
            <w:r w:rsidR="0042745D" w:rsidRPr="006D631C">
              <w:rPr>
                <w:webHidden/>
              </w:rPr>
              <w:fldChar w:fldCharType="begin"/>
            </w:r>
            <w:r w:rsidR="0042745D" w:rsidRPr="006D631C">
              <w:rPr>
                <w:webHidden/>
              </w:rPr>
              <w:instrText xml:space="preserve"> PAGEREF _Toc148175885 \h </w:instrText>
            </w:r>
            <w:r w:rsidR="0042745D" w:rsidRPr="006D631C">
              <w:rPr>
                <w:webHidden/>
              </w:rPr>
            </w:r>
            <w:r w:rsidR="0042745D" w:rsidRPr="006D631C">
              <w:rPr>
                <w:webHidden/>
              </w:rPr>
              <w:fldChar w:fldCharType="separate"/>
            </w:r>
            <w:r w:rsidR="0042745D" w:rsidRPr="006D631C">
              <w:rPr>
                <w:webHidden/>
              </w:rPr>
              <w:t>185</w:t>
            </w:r>
            <w:r w:rsidR="0042745D" w:rsidRPr="006D631C">
              <w:rPr>
                <w:webHidden/>
              </w:rPr>
              <w:fldChar w:fldCharType="end"/>
            </w:r>
          </w:hyperlink>
        </w:p>
        <w:p w14:paraId="303EDB3F" w14:textId="5FDAAACF" w:rsidR="0042745D" w:rsidRPr="006D631C" w:rsidRDefault="001A0507">
          <w:pPr>
            <w:pStyle w:val="TOC4"/>
            <w:rPr>
              <w:rFonts w:asciiTheme="minorHAnsi" w:eastAsiaTheme="minorEastAsia" w:hAnsiTheme="minorHAnsi" w:cstheme="minorBidi"/>
              <w:sz w:val="22"/>
              <w:szCs w:val="22"/>
            </w:rPr>
          </w:pPr>
          <w:hyperlink w:anchor="_Toc148175886" w:history="1">
            <w:r w:rsidR="0042745D" w:rsidRPr="006D631C">
              <w:rPr>
                <w:rStyle w:val="Hyperlink"/>
              </w:rPr>
              <w:t>5.3.2.4 Mechanisms of thermal and pH response</w:t>
            </w:r>
            <w:r w:rsidR="0042745D" w:rsidRPr="006D631C">
              <w:rPr>
                <w:webHidden/>
              </w:rPr>
              <w:tab/>
            </w:r>
            <w:r w:rsidR="0042745D" w:rsidRPr="006D631C">
              <w:rPr>
                <w:webHidden/>
              </w:rPr>
              <w:fldChar w:fldCharType="begin"/>
            </w:r>
            <w:r w:rsidR="0042745D" w:rsidRPr="006D631C">
              <w:rPr>
                <w:webHidden/>
              </w:rPr>
              <w:instrText xml:space="preserve"> PAGEREF _Toc148175886 \h </w:instrText>
            </w:r>
            <w:r w:rsidR="0042745D" w:rsidRPr="006D631C">
              <w:rPr>
                <w:webHidden/>
              </w:rPr>
            </w:r>
            <w:r w:rsidR="0042745D" w:rsidRPr="006D631C">
              <w:rPr>
                <w:webHidden/>
              </w:rPr>
              <w:fldChar w:fldCharType="separate"/>
            </w:r>
            <w:r w:rsidR="0042745D" w:rsidRPr="006D631C">
              <w:rPr>
                <w:webHidden/>
              </w:rPr>
              <w:t>186</w:t>
            </w:r>
            <w:r w:rsidR="0042745D" w:rsidRPr="006D631C">
              <w:rPr>
                <w:webHidden/>
              </w:rPr>
              <w:fldChar w:fldCharType="end"/>
            </w:r>
          </w:hyperlink>
        </w:p>
        <w:p w14:paraId="766DD4C7" w14:textId="455DF6BD" w:rsidR="0042745D" w:rsidRPr="006D631C" w:rsidRDefault="001A0507">
          <w:pPr>
            <w:pStyle w:val="TOC2"/>
            <w:rPr>
              <w:rFonts w:asciiTheme="minorHAnsi" w:eastAsiaTheme="minorEastAsia" w:hAnsiTheme="minorHAnsi" w:cstheme="minorBidi"/>
              <w:iCs w:val="0"/>
              <w:szCs w:val="22"/>
            </w:rPr>
          </w:pPr>
          <w:hyperlink w:anchor="_Toc148175887" w:history="1">
            <w:r w:rsidR="0042745D" w:rsidRPr="006D631C">
              <w:rPr>
                <w:rStyle w:val="Hyperlink"/>
              </w:rPr>
              <w:t>5.4 Conclusion</w:t>
            </w:r>
            <w:r w:rsidR="0042745D" w:rsidRPr="006D631C">
              <w:rPr>
                <w:webHidden/>
              </w:rPr>
              <w:tab/>
            </w:r>
            <w:r w:rsidR="0042745D" w:rsidRPr="006D631C">
              <w:rPr>
                <w:webHidden/>
              </w:rPr>
              <w:fldChar w:fldCharType="begin"/>
            </w:r>
            <w:r w:rsidR="0042745D" w:rsidRPr="006D631C">
              <w:rPr>
                <w:webHidden/>
              </w:rPr>
              <w:instrText xml:space="preserve"> PAGEREF _Toc148175887 \h </w:instrText>
            </w:r>
            <w:r w:rsidR="0042745D" w:rsidRPr="006D631C">
              <w:rPr>
                <w:webHidden/>
              </w:rPr>
            </w:r>
            <w:r w:rsidR="0042745D" w:rsidRPr="006D631C">
              <w:rPr>
                <w:webHidden/>
              </w:rPr>
              <w:fldChar w:fldCharType="separate"/>
            </w:r>
            <w:r w:rsidR="0042745D" w:rsidRPr="006D631C">
              <w:rPr>
                <w:webHidden/>
              </w:rPr>
              <w:t>187</w:t>
            </w:r>
            <w:r w:rsidR="0042745D" w:rsidRPr="006D631C">
              <w:rPr>
                <w:webHidden/>
              </w:rPr>
              <w:fldChar w:fldCharType="end"/>
            </w:r>
          </w:hyperlink>
        </w:p>
        <w:p w14:paraId="6E88CEC6" w14:textId="15352BC7" w:rsidR="0042745D" w:rsidRPr="006D631C" w:rsidRDefault="001A0507">
          <w:pPr>
            <w:pStyle w:val="TOC1"/>
            <w:rPr>
              <w:rFonts w:asciiTheme="minorHAnsi" w:eastAsiaTheme="minorEastAsia" w:hAnsiTheme="minorHAnsi" w:cstheme="minorBidi"/>
            </w:rPr>
          </w:pPr>
          <w:hyperlink w:anchor="_Toc148175888" w:history="1">
            <w:r w:rsidR="0042745D" w:rsidRPr="006D631C">
              <w:rPr>
                <w:rStyle w:val="Hyperlink"/>
                <w:bCs/>
                <w14:scene3d>
                  <w14:camera w14:prst="orthographicFront"/>
                  <w14:lightRig w14:rig="threePt" w14:dir="t">
                    <w14:rot w14:lat="0" w14:lon="0" w14:rev="0"/>
                  </w14:lightRig>
                </w14:scene3d>
              </w:rPr>
              <w:t>CHAPTER 6:</w:t>
            </w:r>
            <w:r w:rsidR="0042745D" w:rsidRPr="006D631C">
              <w:rPr>
                <w:rStyle w:val="Hyperlink"/>
              </w:rPr>
              <w:t xml:space="preserve"> CONCLUSIONS AND FUTURE WORKS</w:t>
            </w:r>
            <w:r w:rsidR="0042745D" w:rsidRPr="006D631C">
              <w:rPr>
                <w:webHidden/>
              </w:rPr>
              <w:tab/>
            </w:r>
            <w:r w:rsidR="0042745D" w:rsidRPr="006D631C">
              <w:rPr>
                <w:webHidden/>
              </w:rPr>
              <w:fldChar w:fldCharType="begin"/>
            </w:r>
            <w:r w:rsidR="0042745D" w:rsidRPr="006D631C">
              <w:rPr>
                <w:webHidden/>
              </w:rPr>
              <w:instrText xml:space="preserve"> PAGEREF _Toc148175888 \h </w:instrText>
            </w:r>
            <w:r w:rsidR="0042745D" w:rsidRPr="006D631C">
              <w:rPr>
                <w:webHidden/>
              </w:rPr>
            </w:r>
            <w:r w:rsidR="0042745D" w:rsidRPr="006D631C">
              <w:rPr>
                <w:webHidden/>
              </w:rPr>
              <w:fldChar w:fldCharType="separate"/>
            </w:r>
            <w:r w:rsidR="0042745D" w:rsidRPr="006D631C">
              <w:rPr>
                <w:webHidden/>
              </w:rPr>
              <w:t>189</w:t>
            </w:r>
            <w:r w:rsidR="0042745D" w:rsidRPr="006D631C">
              <w:rPr>
                <w:webHidden/>
              </w:rPr>
              <w:fldChar w:fldCharType="end"/>
            </w:r>
          </w:hyperlink>
        </w:p>
        <w:p w14:paraId="11718522" w14:textId="12E3A3BC" w:rsidR="0042745D" w:rsidRPr="006D631C" w:rsidRDefault="001A0507">
          <w:pPr>
            <w:pStyle w:val="TOC2"/>
            <w:rPr>
              <w:rFonts w:asciiTheme="minorHAnsi" w:eastAsiaTheme="minorEastAsia" w:hAnsiTheme="minorHAnsi" w:cstheme="minorBidi"/>
              <w:iCs w:val="0"/>
              <w:szCs w:val="22"/>
            </w:rPr>
          </w:pPr>
          <w:hyperlink w:anchor="_Toc148175889" w:history="1">
            <w:r w:rsidR="0042745D" w:rsidRPr="006D631C">
              <w:rPr>
                <w:rStyle w:val="Hyperlink"/>
              </w:rPr>
              <w:t>6.1 Summary</w:t>
            </w:r>
            <w:r w:rsidR="0042745D" w:rsidRPr="006D631C">
              <w:rPr>
                <w:webHidden/>
              </w:rPr>
              <w:tab/>
            </w:r>
            <w:r w:rsidR="0042745D" w:rsidRPr="006D631C">
              <w:rPr>
                <w:webHidden/>
              </w:rPr>
              <w:fldChar w:fldCharType="begin"/>
            </w:r>
            <w:r w:rsidR="0042745D" w:rsidRPr="006D631C">
              <w:rPr>
                <w:webHidden/>
              </w:rPr>
              <w:instrText xml:space="preserve"> PAGEREF _Toc148175889 \h </w:instrText>
            </w:r>
            <w:r w:rsidR="0042745D" w:rsidRPr="006D631C">
              <w:rPr>
                <w:webHidden/>
              </w:rPr>
            </w:r>
            <w:r w:rsidR="0042745D" w:rsidRPr="006D631C">
              <w:rPr>
                <w:webHidden/>
              </w:rPr>
              <w:fldChar w:fldCharType="separate"/>
            </w:r>
            <w:r w:rsidR="0042745D" w:rsidRPr="006D631C">
              <w:rPr>
                <w:webHidden/>
              </w:rPr>
              <w:t>189</w:t>
            </w:r>
            <w:r w:rsidR="0042745D" w:rsidRPr="006D631C">
              <w:rPr>
                <w:webHidden/>
              </w:rPr>
              <w:fldChar w:fldCharType="end"/>
            </w:r>
          </w:hyperlink>
        </w:p>
        <w:p w14:paraId="4B0D1EED" w14:textId="7E4A2AE3" w:rsidR="0042745D" w:rsidRPr="006D631C" w:rsidRDefault="001A0507">
          <w:pPr>
            <w:pStyle w:val="TOC2"/>
            <w:rPr>
              <w:rFonts w:asciiTheme="minorHAnsi" w:eastAsiaTheme="minorEastAsia" w:hAnsiTheme="minorHAnsi" w:cstheme="minorBidi"/>
              <w:iCs w:val="0"/>
              <w:szCs w:val="22"/>
            </w:rPr>
          </w:pPr>
          <w:hyperlink w:anchor="_Toc148175890" w:history="1">
            <w:r w:rsidR="0042745D" w:rsidRPr="006D631C">
              <w:rPr>
                <w:rStyle w:val="Hyperlink"/>
              </w:rPr>
              <w:t>6.2 Future work</w:t>
            </w:r>
            <w:r w:rsidR="0042745D" w:rsidRPr="006D631C">
              <w:rPr>
                <w:webHidden/>
              </w:rPr>
              <w:tab/>
            </w:r>
            <w:r w:rsidR="0042745D" w:rsidRPr="006D631C">
              <w:rPr>
                <w:webHidden/>
              </w:rPr>
              <w:fldChar w:fldCharType="begin"/>
            </w:r>
            <w:r w:rsidR="0042745D" w:rsidRPr="006D631C">
              <w:rPr>
                <w:webHidden/>
              </w:rPr>
              <w:instrText xml:space="preserve"> PAGEREF _Toc148175890 \h </w:instrText>
            </w:r>
            <w:r w:rsidR="0042745D" w:rsidRPr="006D631C">
              <w:rPr>
                <w:webHidden/>
              </w:rPr>
            </w:r>
            <w:r w:rsidR="0042745D" w:rsidRPr="006D631C">
              <w:rPr>
                <w:webHidden/>
              </w:rPr>
              <w:fldChar w:fldCharType="separate"/>
            </w:r>
            <w:r w:rsidR="0042745D" w:rsidRPr="006D631C">
              <w:rPr>
                <w:webHidden/>
              </w:rPr>
              <w:t>194</w:t>
            </w:r>
            <w:r w:rsidR="0042745D" w:rsidRPr="006D631C">
              <w:rPr>
                <w:webHidden/>
              </w:rPr>
              <w:fldChar w:fldCharType="end"/>
            </w:r>
          </w:hyperlink>
        </w:p>
        <w:p w14:paraId="51683F11" w14:textId="0A81956A"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91" w:history="1">
            <w:r w:rsidR="0042745D" w:rsidRPr="006D631C">
              <w:rPr>
                <w:rStyle w:val="Hyperlink"/>
                <w:noProof/>
              </w:rPr>
              <w:t>6.2.1 Mesophases with domain sizes beyond-20 nm</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_Toc148175891 \h </w:instrText>
            </w:r>
            <w:r w:rsidR="0042745D" w:rsidRPr="006D631C">
              <w:rPr>
                <w:noProof/>
                <w:webHidden/>
              </w:rPr>
            </w:r>
            <w:r w:rsidR="0042745D" w:rsidRPr="006D631C">
              <w:rPr>
                <w:noProof/>
                <w:webHidden/>
              </w:rPr>
              <w:fldChar w:fldCharType="separate"/>
            </w:r>
            <w:r w:rsidR="0042745D" w:rsidRPr="006D631C">
              <w:rPr>
                <w:noProof/>
                <w:webHidden/>
              </w:rPr>
              <w:t>194</w:t>
            </w:r>
            <w:r w:rsidR="0042745D" w:rsidRPr="006D631C">
              <w:rPr>
                <w:noProof/>
                <w:webHidden/>
              </w:rPr>
              <w:fldChar w:fldCharType="end"/>
            </w:r>
          </w:hyperlink>
        </w:p>
        <w:p w14:paraId="27484844" w14:textId="1B8032DA"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92" w:history="1">
            <w:r w:rsidR="0042745D" w:rsidRPr="006D631C">
              <w:rPr>
                <w:rStyle w:val="Hyperlink"/>
                <w:noProof/>
              </w:rPr>
              <w:t>6.2.2 Membranes with less than 1 µm active layer thickness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_Toc148175892 \h </w:instrText>
            </w:r>
            <w:r w:rsidR="0042745D" w:rsidRPr="006D631C">
              <w:rPr>
                <w:noProof/>
                <w:webHidden/>
              </w:rPr>
            </w:r>
            <w:r w:rsidR="0042745D" w:rsidRPr="006D631C">
              <w:rPr>
                <w:noProof/>
                <w:webHidden/>
              </w:rPr>
              <w:fldChar w:fldCharType="separate"/>
            </w:r>
            <w:r w:rsidR="0042745D" w:rsidRPr="006D631C">
              <w:rPr>
                <w:noProof/>
                <w:webHidden/>
              </w:rPr>
              <w:t>194</w:t>
            </w:r>
            <w:r w:rsidR="0042745D" w:rsidRPr="006D631C">
              <w:rPr>
                <w:noProof/>
                <w:webHidden/>
              </w:rPr>
              <w:fldChar w:fldCharType="end"/>
            </w:r>
          </w:hyperlink>
        </w:p>
        <w:p w14:paraId="1B09316C" w14:textId="3B87B665"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93" w:history="1">
            <w:r w:rsidR="0042745D" w:rsidRPr="006D631C">
              <w:rPr>
                <w:rStyle w:val="Hyperlink"/>
                <w:noProof/>
              </w:rPr>
              <w:t>6.2.3 Synthesizing positively charged NF membranes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_Toc148175893 \h </w:instrText>
            </w:r>
            <w:r w:rsidR="0042745D" w:rsidRPr="006D631C">
              <w:rPr>
                <w:noProof/>
                <w:webHidden/>
              </w:rPr>
            </w:r>
            <w:r w:rsidR="0042745D" w:rsidRPr="006D631C">
              <w:rPr>
                <w:noProof/>
                <w:webHidden/>
              </w:rPr>
              <w:fldChar w:fldCharType="separate"/>
            </w:r>
            <w:r w:rsidR="0042745D" w:rsidRPr="006D631C">
              <w:rPr>
                <w:noProof/>
                <w:webHidden/>
              </w:rPr>
              <w:t>195</w:t>
            </w:r>
            <w:r w:rsidR="0042745D" w:rsidRPr="006D631C">
              <w:rPr>
                <w:noProof/>
                <w:webHidden/>
              </w:rPr>
              <w:fldChar w:fldCharType="end"/>
            </w:r>
          </w:hyperlink>
        </w:p>
        <w:p w14:paraId="4AB9B21C" w14:textId="7C1121A4" w:rsidR="0042745D" w:rsidRPr="006D631C" w:rsidRDefault="001A0507">
          <w:pPr>
            <w:pStyle w:val="TOC3"/>
            <w:tabs>
              <w:tab w:val="right" w:leader="dot" w:pos="9350"/>
            </w:tabs>
            <w:rPr>
              <w:rFonts w:asciiTheme="minorHAnsi" w:eastAsiaTheme="minorEastAsia" w:hAnsiTheme="minorHAnsi" w:cstheme="minorBidi"/>
              <w:noProof/>
              <w:szCs w:val="22"/>
            </w:rPr>
          </w:pPr>
          <w:hyperlink w:anchor="_Toc148175894" w:history="1">
            <w:r w:rsidR="0042745D" w:rsidRPr="006D631C">
              <w:rPr>
                <w:rStyle w:val="Hyperlink"/>
                <w:noProof/>
              </w:rPr>
              <w:t>6.2.4 PolyLLCs for heavy metal ions removal from wastewater</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_Toc148175894 \h </w:instrText>
            </w:r>
            <w:r w:rsidR="0042745D" w:rsidRPr="006D631C">
              <w:rPr>
                <w:noProof/>
                <w:webHidden/>
              </w:rPr>
            </w:r>
            <w:r w:rsidR="0042745D" w:rsidRPr="006D631C">
              <w:rPr>
                <w:noProof/>
                <w:webHidden/>
              </w:rPr>
              <w:fldChar w:fldCharType="separate"/>
            </w:r>
            <w:r w:rsidR="0042745D" w:rsidRPr="006D631C">
              <w:rPr>
                <w:noProof/>
                <w:webHidden/>
              </w:rPr>
              <w:t>196</w:t>
            </w:r>
            <w:r w:rsidR="0042745D" w:rsidRPr="006D631C">
              <w:rPr>
                <w:noProof/>
                <w:webHidden/>
              </w:rPr>
              <w:fldChar w:fldCharType="end"/>
            </w:r>
          </w:hyperlink>
        </w:p>
        <w:p w14:paraId="50F2A6A6" w14:textId="47564DED" w:rsidR="0042745D" w:rsidRPr="006D631C" w:rsidRDefault="001A0507">
          <w:pPr>
            <w:pStyle w:val="TOC2"/>
            <w:rPr>
              <w:rFonts w:asciiTheme="minorHAnsi" w:eastAsiaTheme="minorEastAsia" w:hAnsiTheme="minorHAnsi" w:cstheme="minorBidi"/>
              <w:iCs w:val="0"/>
              <w:szCs w:val="22"/>
            </w:rPr>
          </w:pPr>
          <w:hyperlink w:anchor="_Toc148175895" w:history="1">
            <w:r w:rsidR="0042745D" w:rsidRPr="006D631C">
              <w:rPr>
                <w:rStyle w:val="Hyperlink"/>
              </w:rPr>
              <w:t>References</w:t>
            </w:r>
            <w:r w:rsidR="0042745D" w:rsidRPr="006D631C">
              <w:rPr>
                <w:webHidden/>
              </w:rPr>
              <w:tab/>
            </w:r>
            <w:r w:rsidR="0042745D" w:rsidRPr="006D631C">
              <w:rPr>
                <w:webHidden/>
              </w:rPr>
              <w:fldChar w:fldCharType="begin"/>
            </w:r>
            <w:r w:rsidR="0042745D" w:rsidRPr="006D631C">
              <w:rPr>
                <w:webHidden/>
              </w:rPr>
              <w:instrText xml:space="preserve"> PAGEREF _Toc148175895 \h </w:instrText>
            </w:r>
            <w:r w:rsidR="0042745D" w:rsidRPr="006D631C">
              <w:rPr>
                <w:webHidden/>
              </w:rPr>
            </w:r>
            <w:r w:rsidR="0042745D" w:rsidRPr="006D631C">
              <w:rPr>
                <w:webHidden/>
              </w:rPr>
              <w:fldChar w:fldCharType="separate"/>
            </w:r>
            <w:r w:rsidR="0042745D" w:rsidRPr="006D631C">
              <w:rPr>
                <w:webHidden/>
              </w:rPr>
              <w:t>198</w:t>
            </w:r>
            <w:r w:rsidR="0042745D" w:rsidRPr="006D631C">
              <w:rPr>
                <w:webHidden/>
              </w:rPr>
              <w:fldChar w:fldCharType="end"/>
            </w:r>
          </w:hyperlink>
        </w:p>
        <w:p w14:paraId="07F01D47" w14:textId="501D2D4C" w:rsidR="0042745D" w:rsidRPr="006D631C" w:rsidRDefault="001A0507">
          <w:pPr>
            <w:pStyle w:val="TOC2"/>
            <w:rPr>
              <w:rFonts w:asciiTheme="minorHAnsi" w:eastAsiaTheme="minorEastAsia" w:hAnsiTheme="minorHAnsi" w:cstheme="minorBidi"/>
              <w:iCs w:val="0"/>
              <w:szCs w:val="22"/>
            </w:rPr>
          </w:pPr>
          <w:hyperlink w:anchor="_Toc148175896" w:history="1">
            <w:r w:rsidR="0042745D" w:rsidRPr="006D631C">
              <w:rPr>
                <w:rStyle w:val="Hyperlink"/>
              </w:rPr>
              <w:t>APPENDIX A</w:t>
            </w:r>
            <w:r w:rsidR="0042745D" w:rsidRPr="006D631C">
              <w:rPr>
                <w:webHidden/>
              </w:rPr>
              <w:tab/>
            </w:r>
            <w:r w:rsidR="0042745D" w:rsidRPr="006D631C">
              <w:rPr>
                <w:webHidden/>
              </w:rPr>
              <w:fldChar w:fldCharType="begin"/>
            </w:r>
            <w:r w:rsidR="0042745D" w:rsidRPr="006D631C">
              <w:rPr>
                <w:webHidden/>
              </w:rPr>
              <w:instrText xml:space="preserve"> PAGEREF _Toc148175896 \h </w:instrText>
            </w:r>
            <w:r w:rsidR="0042745D" w:rsidRPr="006D631C">
              <w:rPr>
                <w:webHidden/>
              </w:rPr>
            </w:r>
            <w:r w:rsidR="0042745D" w:rsidRPr="006D631C">
              <w:rPr>
                <w:webHidden/>
              </w:rPr>
              <w:fldChar w:fldCharType="separate"/>
            </w:r>
            <w:r w:rsidR="0042745D" w:rsidRPr="006D631C">
              <w:rPr>
                <w:webHidden/>
              </w:rPr>
              <w:t>242</w:t>
            </w:r>
            <w:r w:rsidR="0042745D" w:rsidRPr="006D631C">
              <w:rPr>
                <w:webHidden/>
              </w:rPr>
              <w:fldChar w:fldCharType="end"/>
            </w:r>
          </w:hyperlink>
        </w:p>
        <w:p w14:paraId="219FE0A5" w14:textId="25CE11D8" w:rsidR="0042745D" w:rsidRPr="006D631C" w:rsidRDefault="001A0507">
          <w:pPr>
            <w:pStyle w:val="TOC2"/>
            <w:rPr>
              <w:rFonts w:asciiTheme="minorHAnsi" w:eastAsiaTheme="minorEastAsia" w:hAnsiTheme="minorHAnsi" w:cstheme="minorBidi"/>
              <w:iCs w:val="0"/>
              <w:szCs w:val="22"/>
            </w:rPr>
          </w:pPr>
          <w:hyperlink w:anchor="_Toc148175897" w:history="1">
            <w:r w:rsidR="0042745D" w:rsidRPr="006D631C">
              <w:rPr>
                <w:rStyle w:val="Hyperlink"/>
              </w:rPr>
              <w:t>NOMENCLATURE AND ACRONYMS</w:t>
            </w:r>
            <w:r w:rsidR="0042745D" w:rsidRPr="006D631C">
              <w:rPr>
                <w:webHidden/>
              </w:rPr>
              <w:tab/>
            </w:r>
            <w:r w:rsidR="0042745D" w:rsidRPr="006D631C">
              <w:rPr>
                <w:webHidden/>
              </w:rPr>
              <w:fldChar w:fldCharType="begin"/>
            </w:r>
            <w:r w:rsidR="0042745D" w:rsidRPr="006D631C">
              <w:rPr>
                <w:webHidden/>
              </w:rPr>
              <w:instrText xml:space="preserve"> PAGEREF _Toc148175897 \h </w:instrText>
            </w:r>
            <w:r w:rsidR="0042745D" w:rsidRPr="006D631C">
              <w:rPr>
                <w:webHidden/>
              </w:rPr>
            </w:r>
            <w:r w:rsidR="0042745D" w:rsidRPr="006D631C">
              <w:rPr>
                <w:webHidden/>
              </w:rPr>
              <w:fldChar w:fldCharType="separate"/>
            </w:r>
            <w:r w:rsidR="0042745D" w:rsidRPr="006D631C">
              <w:rPr>
                <w:webHidden/>
              </w:rPr>
              <w:t>242</w:t>
            </w:r>
            <w:r w:rsidR="0042745D" w:rsidRPr="006D631C">
              <w:rPr>
                <w:webHidden/>
              </w:rPr>
              <w:fldChar w:fldCharType="end"/>
            </w:r>
          </w:hyperlink>
        </w:p>
        <w:p w14:paraId="0D79E818" w14:textId="332934E9" w:rsidR="0042745D" w:rsidRPr="006D631C" w:rsidRDefault="001A0507">
          <w:pPr>
            <w:pStyle w:val="TOC2"/>
            <w:rPr>
              <w:rFonts w:asciiTheme="minorHAnsi" w:eastAsiaTheme="minorEastAsia" w:hAnsiTheme="minorHAnsi" w:cstheme="minorBidi"/>
              <w:iCs w:val="0"/>
              <w:szCs w:val="22"/>
            </w:rPr>
          </w:pPr>
          <w:hyperlink w:anchor="_Toc148175898" w:history="1">
            <w:r w:rsidR="0042745D" w:rsidRPr="006D631C">
              <w:rPr>
                <w:rStyle w:val="Hyperlink"/>
              </w:rPr>
              <w:t>APPENDIX B</w:t>
            </w:r>
            <w:r w:rsidR="0042745D" w:rsidRPr="006D631C">
              <w:rPr>
                <w:webHidden/>
              </w:rPr>
              <w:tab/>
            </w:r>
            <w:r w:rsidR="0042745D" w:rsidRPr="006D631C">
              <w:rPr>
                <w:webHidden/>
              </w:rPr>
              <w:fldChar w:fldCharType="begin"/>
            </w:r>
            <w:r w:rsidR="0042745D" w:rsidRPr="006D631C">
              <w:rPr>
                <w:webHidden/>
              </w:rPr>
              <w:instrText xml:space="preserve"> PAGEREF _Toc148175898 \h </w:instrText>
            </w:r>
            <w:r w:rsidR="0042745D" w:rsidRPr="006D631C">
              <w:rPr>
                <w:webHidden/>
              </w:rPr>
            </w:r>
            <w:r w:rsidR="0042745D" w:rsidRPr="006D631C">
              <w:rPr>
                <w:webHidden/>
              </w:rPr>
              <w:fldChar w:fldCharType="separate"/>
            </w:r>
            <w:r w:rsidR="0042745D" w:rsidRPr="006D631C">
              <w:rPr>
                <w:webHidden/>
              </w:rPr>
              <w:t>250</w:t>
            </w:r>
            <w:r w:rsidR="0042745D" w:rsidRPr="006D631C">
              <w:rPr>
                <w:webHidden/>
              </w:rPr>
              <w:fldChar w:fldCharType="end"/>
            </w:r>
          </w:hyperlink>
        </w:p>
        <w:p w14:paraId="18C9A581" w14:textId="0BCFE124" w:rsidR="0042745D" w:rsidRPr="006D631C" w:rsidRDefault="001A0507">
          <w:pPr>
            <w:pStyle w:val="TOC2"/>
            <w:rPr>
              <w:rFonts w:asciiTheme="minorHAnsi" w:eastAsiaTheme="minorEastAsia" w:hAnsiTheme="minorHAnsi" w:cstheme="minorBidi"/>
              <w:iCs w:val="0"/>
              <w:szCs w:val="22"/>
            </w:rPr>
          </w:pPr>
          <w:hyperlink w:anchor="_Toc148175899" w:history="1">
            <w:r w:rsidR="0042745D" w:rsidRPr="006D631C">
              <w:rPr>
                <w:rStyle w:val="Hyperlink"/>
              </w:rPr>
              <w:t>SUPPORTING INFORMATION FOR CHAPTER 1</w:t>
            </w:r>
            <w:r w:rsidR="0042745D" w:rsidRPr="006D631C">
              <w:rPr>
                <w:webHidden/>
              </w:rPr>
              <w:tab/>
            </w:r>
            <w:r w:rsidR="0042745D" w:rsidRPr="006D631C">
              <w:rPr>
                <w:webHidden/>
              </w:rPr>
              <w:fldChar w:fldCharType="begin"/>
            </w:r>
            <w:r w:rsidR="0042745D" w:rsidRPr="006D631C">
              <w:rPr>
                <w:webHidden/>
              </w:rPr>
              <w:instrText xml:space="preserve"> PAGEREF _Toc148175899 \h </w:instrText>
            </w:r>
            <w:r w:rsidR="0042745D" w:rsidRPr="006D631C">
              <w:rPr>
                <w:webHidden/>
              </w:rPr>
            </w:r>
            <w:r w:rsidR="0042745D" w:rsidRPr="006D631C">
              <w:rPr>
                <w:webHidden/>
              </w:rPr>
              <w:fldChar w:fldCharType="separate"/>
            </w:r>
            <w:r w:rsidR="0042745D" w:rsidRPr="006D631C">
              <w:rPr>
                <w:webHidden/>
              </w:rPr>
              <w:t>250</w:t>
            </w:r>
            <w:r w:rsidR="0042745D" w:rsidRPr="006D631C">
              <w:rPr>
                <w:webHidden/>
              </w:rPr>
              <w:fldChar w:fldCharType="end"/>
            </w:r>
          </w:hyperlink>
        </w:p>
        <w:p w14:paraId="0ADF15F7" w14:textId="0FF9BE67" w:rsidR="0042745D" w:rsidRPr="006D631C" w:rsidRDefault="001A0507">
          <w:pPr>
            <w:pStyle w:val="TOC2"/>
            <w:rPr>
              <w:rFonts w:asciiTheme="minorHAnsi" w:eastAsiaTheme="minorEastAsia" w:hAnsiTheme="minorHAnsi" w:cstheme="minorBidi"/>
              <w:iCs w:val="0"/>
              <w:szCs w:val="22"/>
            </w:rPr>
          </w:pPr>
          <w:hyperlink w:anchor="_Toc148175900" w:history="1">
            <w:r w:rsidR="0042745D" w:rsidRPr="006D631C">
              <w:rPr>
                <w:rStyle w:val="Hyperlink"/>
              </w:rPr>
              <w:t>APPENDIX C</w:t>
            </w:r>
            <w:r w:rsidR="0042745D" w:rsidRPr="006D631C">
              <w:rPr>
                <w:webHidden/>
              </w:rPr>
              <w:tab/>
            </w:r>
            <w:r w:rsidR="0042745D" w:rsidRPr="006D631C">
              <w:rPr>
                <w:webHidden/>
              </w:rPr>
              <w:fldChar w:fldCharType="begin"/>
            </w:r>
            <w:r w:rsidR="0042745D" w:rsidRPr="006D631C">
              <w:rPr>
                <w:webHidden/>
              </w:rPr>
              <w:instrText xml:space="preserve"> PAGEREF _Toc148175900 \h </w:instrText>
            </w:r>
            <w:r w:rsidR="0042745D" w:rsidRPr="006D631C">
              <w:rPr>
                <w:webHidden/>
              </w:rPr>
            </w:r>
            <w:r w:rsidR="0042745D" w:rsidRPr="006D631C">
              <w:rPr>
                <w:webHidden/>
              </w:rPr>
              <w:fldChar w:fldCharType="separate"/>
            </w:r>
            <w:r w:rsidR="0042745D" w:rsidRPr="006D631C">
              <w:rPr>
                <w:webHidden/>
              </w:rPr>
              <w:t>254</w:t>
            </w:r>
            <w:r w:rsidR="0042745D" w:rsidRPr="006D631C">
              <w:rPr>
                <w:webHidden/>
              </w:rPr>
              <w:fldChar w:fldCharType="end"/>
            </w:r>
          </w:hyperlink>
        </w:p>
        <w:p w14:paraId="2B5A5EE0" w14:textId="79D03F54" w:rsidR="0042745D" w:rsidRPr="006D631C" w:rsidRDefault="001A0507">
          <w:pPr>
            <w:pStyle w:val="TOC2"/>
            <w:rPr>
              <w:rFonts w:asciiTheme="minorHAnsi" w:eastAsiaTheme="minorEastAsia" w:hAnsiTheme="minorHAnsi" w:cstheme="minorBidi"/>
              <w:iCs w:val="0"/>
              <w:szCs w:val="22"/>
            </w:rPr>
          </w:pPr>
          <w:hyperlink w:anchor="_Toc148175901" w:history="1">
            <w:r w:rsidR="0042745D" w:rsidRPr="006D631C">
              <w:rPr>
                <w:rStyle w:val="Hyperlink"/>
              </w:rPr>
              <w:t>SUPPORTING INFORMATION FOR CHAPTER 2</w:t>
            </w:r>
            <w:r w:rsidR="0042745D" w:rsidRPr="006D631C">
              <w:rPr>
                <w:webHidden/>
              </w:rPr>
              <w:tab/>
            </w:r>
            <w:r w:rsidR="0042745D" w:rsidRPr="006D631C">
              <w:rPr>
                <w:webHidden/>
              </w:rPr>
              <w:fldChar w:fldCharType="begin"/>
            </w:r>
            <w:r w:rsidR="0042745D" w:rsidRPr="006D631C">
              <w:rPr>
                <w:webHidden/>
              </w:rPr>
              <w:instrText xml:space="preserve"> PAGEREF _Toc148175901 \h </w:instrText>
            </w:r>
            <w:r w:rsidR="0042745D" w:rsidRPr="006D631C">
              <w:rPr>
                <w:webHidden/>
              </w:rPr>
            </w:r>
            <w:r w:rsidR="0042745D" w:rsidRPr="006D631C">
              <w:rPr>
                <w:webHidden/>
              </w:rPr>
              <w:fldChar w:fldCharType="separate"/>
            </w:r>
            <w:r w:rsidR="0042745D" w:rsidRPr="006D631C">
              <w:rPr>
                <w:webHidden/>
              </w:rPr>
              <w:t>254</w:t>
            </w:r>
            <w:r w:rsidR="0042745D" w:rsidRPr="006D631C">
              <w:rPr>
                <w:webHidden/>
              </w:rPr>
              <w:fldChar w:fldCharType="end"/>
            </w:r>
          </w:hyperlink>
        </w:p>
        <w:p w14:paraId="44F68F6A" w14:textId="71D3B0B2" w:rsidR="0042745D" w:rsidRPr="006D631C" w:rsidRDefault="001A0507">
          <w:pPr>
            <w:pStyle w:val="TOC2"/>
            <w:rPr>
              <w:rFonts w:asciiTheme="minorHAnsi" w:eastAsiaTheme="minorEastAsia" w:hAnsiTheme="minorHAnsi" w:cstheme="minorBidi"/>
              <w:iCs w:val="0"/>
              <w:szCs w:val="22"/>
            </w:rPr>
          </w:pPr>
          <w:hyperlink w:anchor="_Toc148175902" w:history="1">
            <w:r w:rsidR="0042745D" w:rsidRPr="006D631C">
              <w:rPr>
                <w:rStyle w:val="Hyperlink"/>
              </w:rPr>
              <w:t>APPENDIX D</w:t>
            </w:r>
            <w:r w:rsidR="0042745D" w:rsidRPr="006D631C">
              <w:rPr>
                <w:webHidden/>
              </w:rPr>
              <w:tab/>
            </w:r>
            <w:r w:rsidR="0042745D" w:rsidRPr="006D631C">
              <w:rPr>
                <w:webHidden/>
              </w:rPr>
              <w:fldChar w:fldCharType="begin"/>
            </w:r>
            <w:r w:rsidR="0042745D" w:rsidRPr="006D631C">
              <w:rPr>
                <w:webHidden/>
              </w:rPr>
              <w:instrText xml:space="preserve"> PAGEREF _Toc148175902 \h </w:instrText>
            </w:r>
            <w:r w:rsidR="0042745D" w:rsidRPr="006D631C">
              <w:rPr>
                <w:webHidden/>
              </w:rPr>
            </w:r>
            <w:r w:rsidR="0042745D" w:rsidRPr="006D631C">
              <w:rPr>
                <w:webHidden/>
              </w:rPr>
              <w:fldChar w:fldCharType="separate"/>
            </w:r>
            <w:r w:rsidR="0042745D" w:rsidRPr="006D631C">
              <w:rPr>
                <w:webHidden/>
              </w:rPr>
              <w:t>260</w:t>
            </w:r>
            <w:r w:rsidR="0042745D" w:rsidRPr="006D631C">
              <w:rPr>
                <w:webHidden/>
              </w:rPr>
              <w:fldChar w:fldCharType="end"/>
            </w:r>
          </w:hyperlink>
        </w:p>
        <w:p w14:paraId="41E8BFC2" w14:textId="268540AA" w:rsidR="0042745D" w:rsidRPr="006D631C" w:rsidRDefault="001A0507">
          <w:pPr>
            <w:pStyle w:val="TOC2"/>
            <w:rPr>
              <w:rFonts w:asciiTheme="minorHAnsi" w:eastAsiaTheme="minorEastAsia" w:hAnsiTheme="minorHAnsi" w:cstheme="minorBidi"/>
              <w:iCs w:val="0"/>
              <w:szCs w:val="22"/>
            </w:rPr>
          </w:pPr>
          <w:hyperlink w:anchor="_Toc148175903" w:history="1">
            <w:r w:rsidR="0042745D" w:rsidRPr="006D631C">
              <w:rPr>
                <w:rStyle w:val="Hyperlink"/>
              </w:rPr>
              <w:t>SUPPORTING INFORMATION FOR CHAPTER 3</w:t>
            </w:r>
            <w:r w:rsidR="0042745D" w:rsidRPr="006D631C">
              <w:rPr>
                <w:webHidden/>
              </w:rPr>
              <w:tab/>
            </w:r>
            <w:r w:rsidR="0042745D" w:rsidRPr="006D631C">
              <w:rPr>
                <w:webHidden/>
              </w:rPr>
              <w:fldChar w:fldCharType="begin"/>
            </w:r>
            <w:r w:rsidR="0042745D" w:rsidRPr="006D631C">
              <w:rPr>
                <w:webHidden/>
              </w:rPr>
              <w:instrText xml:space="preserve"> PAGEREF _Toc148175903 \h </w:instrText>
            </w:r>
            <w:r w:rsidR="0042745D" w:rsidRPr="006D631C">
              <w:rPr>
                <w:webHidden/>
              </w:rPr>
            </w:r>
            <w:r w:rsidR="0042745D" w:rsidRPr="006D631C">
              <w:rPr>
                <w:webHidden/>
              </w:rPr>
              <w:fldChar w:fldCharType="separate"/>
            </w:r>
            <w:r w:rsidR="0042745D" w:rsidRPr="006D631C">
              <w:rPr>
                <w:webHidden/>
              </w:rPr>
              <w:t>260</w:t>
            </w:r>
            <w:r w:rsidR="0042745D" w:rsidRPr="006D631C">
              <w:rPr>
                <w:webHidden/>
              </w:rPr>
              <w:fldChar w:fldCharType="end"/>
            </w:r>
          </w:hyperlink>
        </w:p>
        <w:p w14:paraId="19113EAF" w14:textId="25EA2D65" w:rsidR="0042745D" w:rsidRPr="006D631C" w:rsidRDefault="001A0507">
          <w:pPr>
            <w:pStyle w:val="TOC2"/>
            <w:rPr>
              <w:rFonts w:asciiTheme="minorHAnsi" w:eastAsiaTheme="minorEastAsia" w:hAnsiTheme="minorHAnsi" w:cstheme="minorBidi"/>
              <w:iCs w:val="0"/>
              <w:szCs w:val="22"/>
            </w:rPr>
          </w:pPr>
          <w:hyperlink w:anchor="_Toc148175904" w:history="1">
            <w:r w:rsidR="0042745D" w:rsidRPr="006D631C">
              <w:rPr>
                <w:rStyle w:val="Hyperlink"/>
              </w:rPr>
              <w:t>APPENDIX E</w:t>
            </w:r>
            <w:r w:rsidR="0042745D" w:rsidRPr="006D631C">
              <w:rPr>
                <w:webHidden/>
              </w:rPr>
              <w:tab/>
            </w:r>
            <w:r w:rsidR="0042745D" w:rsidRPr="006D631C">
              <w:rPr>
                <w:webHidden/>
              </w:rPr>
              <w:fldChar w:fldCharType="begin"/>
            </w:r>
            <w:r w:rsidR="0042745D" w:rsidRPr="006D631C">
              <w:rPr>
                <w:webHidden/>
              </w:rPr>
              <w:instrText xml:space="preserve"> PAGEREF _Toc148175904 \h </w:instrText>
            </w:r>
            <w:r w:rsidR="0042745D" w:rsidRPr="006D631C">
              <w:rPr>
                <w:webHidden/>
              </w:rPr>
            </w:r>
            <w:r w:rsidR="0042745D" w:rsidRPr="006D631C">
              <w:rPr>
                <w:webHidden/>
              </w:rPr>
              <w:fldChar w:fldCharType="separate"/>
            </w:r>
            <w:r w:rsidR="0042745D" w:rsidRPr="006D631C">
              <w:rPr>
                <w:webHidden/>
              </w:rPr>
              <w:t>263</w:t>
            </w:r>
            <w:r w:rsidR="0042745D" w:rsidRPr="006D631C">
              <w:rPr>
                <w:webHidden/>
              </w:rPr>
              <w:fldChar w:fldCharType="end"/>
            </w:r>
          </w:hyperlink>
        </w:p>
        <w:p w14:paraId="459E84CF" w14:textId="30CD589D" w:rsidR="0042745D" w:rsidRPr="006D631C" w:rsidRDefault="001A0507">
          <w:pPr>
            <w:pStyle w:val="TOC2"/>
            <w:rPr>
              <w:rFonts w:asciiTheme="minorHAnsi" w:eastAsiaTheme="minorEastAsia" w:hAnsiTheme="minorHAnsi" w:cstheme="minorBidi"/>
              <w:iCs w:val="0"/>
              <w:szCs w:val="22"/>
            </w:rPr>
          </w:pPr>
          <w:hyperlink w:anchor="_Toc148175905" w:history="1">
            <w:r w:rsidR="0042745D" w:rsidRPr="006D631C">
              <w:rPr>
                <w:rStyle w:val="Hyperlink"/>
              </w:rPr>
              <w:t>SUPPORTING INFORMATION FOR CHAPTER 4</w:t>
            </w:r>
            <w:r w:rsidR="0042745D" w:rsidRPr="006D631C">
              <w:rPr>
                <w:webHidden/>
              </w:rPr>
              <w:tab/>
            </w:r>
            <w:r w:rsidR="0042745D" w:rsidRPr="006D631C">
              <w:rPr>
                <w:webHidden/>
              </w:rPr>
              <w:fldChar w:fldCharType="begin"/>
            </w:r>
            <w:r w:rsidR="0042745D" w:rsidRPr="006D631C">
              <w:rPr>
                <w:webHidden/>
              </w:rPr>
              <w:instrText xml:space="preserve"> PAGEREF _Toc148175905 \h </w:instrText>
            </w:r>
            <w:r w:rsidR="0042745D" w:rsidRPr="006D631C">
              <w:rPr>
                <w:webHidden/>
              </w:rPr>
            </w:r>
            <w:r w:rsidR="0042745D" w:rsidRPr="006D631C">
              <w:rPr>
                <w:webHidden/>
              </w:rPr>
              <w:fldChar w:fldCharType="separate"/>
            </w:r>
            <w:r w:rsidR="0042745D" w:rsidRPr="006D631C">
              <w:rPr>
                <w:webHidden/>
              </w:rPr>
              <w:t>263</w:t>
            </w:r>
            <w:r w:rsidR="0042745D" w:rsidRPr="006D631C">
              <w:rPr>
                <w:webHidden/>
              </w:rPr>
              <w:fldChar w:fldCharType="end"/>
            </w:r>
          </w:hyperlink>
        </w:p>
        <w:p w14:paraId="6D59CCBE" w14:textId="0977055E" w:rsidR="0042745D" w:rsidRPr="006D631C" w:rsidRDefault="001A0507">
          <w:pPr>
            <w:pStyle w:val="TOC2"/>
            <w:rPr>
              <w:rFonts w:asciiTheme="minorHAnsi" w:eastAsiaTheme="minorEastAsia" w:hAnsiTheme="minorHAnsi" w:cstheme="minorBidi"/>
              <w:iCs w:val="0"/>
              <w:szCs w:val="22"/>
            </w:rPr>
          </w:pPr>
          <w:hyperlink w:anchor="_Toc148175906" w:history="1">
            <w:r w:rsidR="0042745D" w:rsidRPr="006D631C">
              <w:rPr>
                <w:rStyle w:val="Hyperlink"/>
              </w:rPr>
              <w:t>APPENDIX F</w:t>
            </w:r>
            <w:r w:rsidR="0042745D" w:rsidRPr="006D631C">
              <w:rPr>
                <w:webHidden/>
              </w:rPr>
              <w:tab/>
            </w:r>
            <w:r w:rsidR="0042745D" w:rsidRPr="006D631C">
              <w:rPr>
                <w:webHidden/>
              </w:rPr>
              <w:fldChar w:fldCharType="begin"/>
            </w:r>
            <w:r w:rsidR="0042745D" w:rsidRPr="006D631C">
              <w:rPr>
                <w:webHidden/>
              </w:rPr>
              <w:instrText xml:space="preserve"> PAGEREF _Toc148175906 \h </w:instrText>
            </w:r>
            <w:r w:rsidR="0042745D" w:rsidRPr="006D631C">
              <w:rPr>
                <w:webHidden/>
              </w:rPr>
            </w:r>
            <w:r w:rsidR="0042745D" w:rsidRPr="006D631C">
              <w:rPr>
                <w:webHidden/>
              </w:rPr>
              <w:fldChar w:fldCharType="separate"/>
            </w:r>
            <w:r w:rsidR="0042745D" w:rsidRPr="006D631C">
              <w:rPr>
                <w:webHidden/>
              </w:rPr>
              <w:t>268</w:t>
            </w:r>
            <w:r w:rsidR="0042745D" w:rsidRPr="006D631C">
              <w:rPr>
                <w:webHidden/>
              </w:rPr>
              <w:fldChar w:fldCharType="end"/>
            </w:r>
          </w:hyperlink>
        </w:p>
        <w:p w14:paraId="2910832B" w14:textId="27E7E034" w:rsidR="0042745D" w:rsidRPr="006D631C" w:rsidRDefault="001A0507">
          <w:pPr>
            <w:pStyle w:val="TOC2"/>
            <w:rPr>
              <w:rFonts w:asciiTheme="minorHAnsi" w:eastAsiaTheme="minorEastAsia" w:hAnsiTheme="minorHAnsi" w:cstheme="minorBidi"/>
              <w:iCs w:val="0"/>
              <w:szCs w:val="22"/>
            </w:rPr>
          </w:pPr>
          <w:hyperlink w:anchor="_Toc148175907" w:history="1">
            <w:r w:rsidR="0042745D" w:rsidRPr="006D631C">
              <w:rPr>
                <w:rStyle w:val="Hyperlink"/>
              </w:rPr>
              <w:t>SUPPORTING INFORMATION FOR CHAPTER 5</w:t>
            </w:r>
            <w:r w:rsidR="0042745D" w:rsidRPr="006D631C">
              <w:rPr>
                <w:webHidden/>
              </w:rPr>
              <w:tab/>
            </w:r>
            <w:r w:rsidR="0042745D" w:rsidRPr="006D631C">
              <w:rPr>
                <w:webHidden/>
              </w:rPr>
              <w:fldChar w:fldCharType="begin"/>
            </w:r>
            <w:r w:rsidR="0042745D" w:rsidRPr="006D631C">
              <w:rPr>
                <w:webHidden/>
              </w:rPr>
              <w:instrText xml:space="preserve"> PAGEREF _Toc148175907 \h </w:instrText>
            </w:r>
            <w:r w:rsidR="0042745D" w:rsidRPr="006D631C">
              <w:rPr>
                <w:webHidden/>
              </w:rPr>
            </w:r>
            <w:r w:rsidR="0042745D" w:rsidRPr="006D631C">
              <w:rPr>
                <w:webHidden/>
              </w:rPr>
              <w:fldChar w:fldCharType="separate"/>
            </w:r>
            <w:r w:rsidR="0042745D" w:rsidRPr="006D631C">
              <w:rPr>
                <w:webHidden/>
              </w:rPr>
              <w:t>268</w:t>
            </w:r>
            <w:r w:rsidR="0042745D" w:rsidRPr="006D631C">
              <w:rPr>
                <w:webHidden/>
              </w:rPr>
              <w:fldChar w:fldCharType="end"/>
            </w:r>
          </w:hyperlink>
        </w:p>
        <w:p w14:paraId="7984E30E" w14:textId="30A3EDBC" w:rsidR="0042745D" w:rsidRPr="006D631C" w:rsidRDefault="001A0507">
          <w:pPr>
            <w:pStyle w:val="TOC2"/>
            <w:rPr>
              <w:rFonts w:asciiTheme="minorHAnsi" w:eastAsiaTheme="minorEastAsia" w:hAnsiTheme="minorHAnsi" w:cstheme="minorBidi"/>
              <w:iCs w:val="0"/>
              <w:szCs w:val="22"/>
            </w:rPr>
          </w:pPr>
          <w:hyperlink w:anchor="_Toc148175908" w:history="1">
            <w:r w:rsidR="0042745D" w:rsidRPr="006D631C">
              <w:rPr>
                <w:rStyle w:val="Hyperlink"/>
              </w:rPr>
              <w:t>APPENDIX G</w:t>
            </w:r>
            <w:r w:rsidR="0042745D" w:rsidRPr="006D631C">
              <w:rPr>
                <w:webHidden/>
              </w:rPr>
              <w:tab/>
            </w:r>
            <w:r w:rsidR="0042745D" w:rsidRPr="006D631C">
              <w:rPr>
                <w:webHidden/>
              </w:rPr>
              <w:fldChar w:fldCharType="begin"/>
            </w:r>
            <w:r w:rsidR="0042745D" w:rsidRPr="006D631C">
              <w:rPr>
                <w:webHidden/>
              </w:rPr>
              <w:instrText xml:space="preserve"> PAGEREF _Toc148175908 \h </w:instrText>
            </w:r>
            <w:r w:rsidR="0042745D" w:rsidRPr="006D631C">
              <w:rPr>
                <w:webHidden/>
              </w:rPr>
            </w:r>
            <w:r w:rsidR="0042745D" w:rsidRPr="006D631C">
              <w:rPr>
                <w:webHidden/>
              </w:rPr>
              <w:fldChar w:fldCharType="separate"/>
            </w:r>
            <w:r w:rsidR="0042745D" w:rsidRPr="006D631C">
              <w:rPr>
                <w:webHidden/>
              </w:rPr>
              <w:t>272</w:t>
            </w:r>
            <w:r w:rsidR="0042745D" w:rsidRPr="006D631C">
              <w:rPr>
                <w:webHidden/>
              </w:rPr>
              <w:fldChar w:fldCharType="end"/>
            </w:r>
          </w:hyperlink>
        </w:p>
        <w:p w14:paraId="7A079980" w14:textId="4AD749CF" w:rsidR="0042745D" w:rsidRPr="006D631C" w:rsidRDefault="001A0507">
          <w:pPr>
            <w:pStyle w:val="TOC2"/>
            <w:rPr>
              <w:rFonts w:asciiTheme="minorHAnsi" w:eastAsiaTheme="minorEastAsia" w:hAnsiTheme="minorHAnsi" w:cstheme="minorBidi"/>
              <w:iCs w:val="0"/>
              <w:szCs w:val="22"/>
            </w:rPr>
          </w:pPr>
          <w:hyperlink w:anchor="_Toc148175909" w:history="1">
            <w:r w:rsidR="0042745D" w:rsidRPr="006D631C">
              <w:rPr>
                <w:rStyle w:val="Hyperlink"/>
              </w:rPr>
              <w:t>MEASUREMENTS UNCERTAINTY CACLULATIONS</w:t>
            </w:r>
            <w:r w:rsidR="0042745D" w:rsidRPr="006D631C">
              <w:rPr>
                <w:webHidden/>
              </w:rPr>
              <w:tab/>
            </w:r>
            <w:r w:rsidR="0042745D" w:rsidRPr="006D631C">
              <w:rPr>
                <w:webHidden/>
              </w:rPr>
              <w:fldChar w:fldCharType="begin"/>
            </w:r>
            <w:r w:rsidR="0042745D" w:rsidRPr="006D631C">
              <w:rPr>
                <w:webHidden/>
              </w:rPr>
              <w:instrText xml:space="preserve"> PAGEREF _Toc148175909 \h </w:instrText>
            </w:r>
            <w:r w:rsidR="0042745D" w:rsidRPr="006D631C">
              <w:rPr>
                <w:webHidden/>
              </w:rPr>
            </w:r>
            <w:r w:rsidR="0042745D" w:rsidRPr="006D631C">
              <w:rPr>
                <w:webHidden/>
              </w:rPr>
              <w:fldChar w:fldCharType="separate"/>
            </w:r>
            <w:r w:rsidR="0042745D" w:rsidRPr="006D631C">
              <w:rPr>
                <w:webHidden/>
              </w:rPr>
              <w:t>272</w:t>
            </w:r>
            <w:r w:rsidR="0042745D" w:rsidRPr="006D631C">
              <w:rPr>
                <w:webHidden/>
              </w:rPr>
              <w:fldChar w:fldCharType="end"/>
            </w:r>
          </w:hyperlink>
        </w:p>
        <w:p w14:paraId="1B0E2F4F" w14:textId="00A20E39" w:rsidR="00D42F9A" w:rsidRPr="006D631C" w:rsidRDefault="004B642B" w:rsidP="00D42F9A">
          <w:r w:rsidRPr="006D631C">
            <w:rPr>
              <w:b/>
              <w:bCs/>
            </w:rPr>
            <w:fldChar w:fldCharType="end"/>
          </w:r>
        </w:p>
      </w:sdtContent>
    </w:sdt>
    <w:p w14:paraId="3E2619DA" w14:textId="08D30173" w:rsidR="00D72471" w:rsidRPr="006D631C" w:rsidRDefault="00D72471" w:rsidP="00D72471">
      <w:pPr>
        <w:pStyle w:val="Style7"/>
        <w:numPr>
          <w:ilvl w:val="0"/>
          <w:numId w:val="0"/>
        </w:numPr>
        <w:spacing w:line="360" w:lineRule="auto"/>
        <w:ind w:left="710"/>
        <w:rPr>
          <w:sz w:val="32"/>
          <w:szCs w:val="40"/>
        </w:rPr>
      </w:pPr>
      <w:bookmarkStart w:id="14" w:name="_Toc105696842"/>
      <w:bookmarkStart w:id="15" w:name="_Toc107602594"/>
      <w:bookmarkEnd w:id="11"/>
      <w:bookmarkEnd w:id="12"/>
      <w:bookmarkEnd w:id="13"/>
    </w:p>
    <w:p w14:paraId="2C56BD68" w14:textId="77777777" w:rsidR="00D42F9A" w:rsidRPr="006D631C" w:rsidRDefault="00D42F9A" w:rsidP="003764E8">
      <w:pPr>
        <w:pStyle w:val="TableofFigures"/>
        <w:rPr>
          <w:rFonts w:eastAsiaTheme="majorEastAsia"/>
        </w:rPr>
      </w:pPr>
    </w:p>
    <w:p w14:paraId="04CF582A" w14:textId="1B3BAD27" w:rsidR="00D42F9A" w:rsidRPr="006D631C" w:rsidRDefault="00D42F9A" w:rsidP="00D42F9A">
      <w:pPr>
        <w:pStyle w:val="Heading1"/>
        <w:numPr>
          <w:ilvl w:val="0"/>
          <w:numId w:val="0"/>
        </w:numPr>
        <w:ind w:left="710"/>
        <w:jc w:val="center"/>
      </w:pPr>
      <w:bookmarkStart w:id="16" w:name="_Toc148175774"/>
      <w:r w:rsidRPr="006D631C">
        <w:lastRenderedPageBreak/>
        <w:t>List of Figures</w:t>
      </w:r>
      <w:bookmarkEnd w:id="16"/>
    </w:p>
    <w:p w14:paraId="323C8462" w14:textId="784417A0" w:rsidR="0042745D" w:rsidRPr="006D631C" w:rsidRDefault="0068006F">
      <w:pPr>
        <w:pStyle w:val="TableofFigures"/>
        <w:rPr>
          <w:rFonts w:asciiTheme="minorHAnsi" w:eastAsiaTheme="minorEastAsia" w:hAnsiTheme="minorHAnsi" w:cstheme="minorBidi"/>
          <w:noProof/>
          <w:sz w:val="22"/>
          <w:szCs w:val="22"/>
        </w:rPr>
      </w:pPr>
      <w:r w:rsidRPr="006D631C">
        <w:rPr>
          <w:rFonts w:eastAsiaTheme="majorEastAsia" w:cstheme="majorBidi"/>
          <w:szCs w:val="32"/>
        </w:rPr>
        <w:fldChar w:fldCharType="begin"/>
      </w:r>
      <w:r w:rsidRPr="006D631C">
        <w:rPr>
          <w:rFonts w:eastAsiaTheme="majorEastAsia" w:cstheme="majorBidi"/>
          <w:szCs w:val="32"/>
        </w:rPr>
        <w:instrText xml:space="preserve"> TOC \h \z \c "Figure" </w:instrText>
      </w:r>
      <w:r w:rsidRPr="006D631C">
        <w:rPr>
          <w:rFonts w:eastAsiaTheme="majorEastAsia" w:cstheme="majorBidi"/>
          <w:szCs w:val="32"/>
        </w:rPr>
        <w:fldChar w:fldCharType="separate"/>
      </w:r>
      <w:hyperlink w:anchor="_Toc148175910" w:history="1">
        <w:r w:rsidR="0042745D" w:rsidRPr="006D631C">
          <w:rPr>
            <w:rStyle w:val="Hyperlink"/>
            <w:rFonts w:eastAsia="Calibri"/>
            <w:noProof/>
          </w:rPr>
          <w:t xml:space="preserve">Figure </w:t>
        </w:r>
        <w:r w:rsidR="0042745D" w:rsidRPr="006D631C">
          <w:rPr>
            <w:rStyle w:val="Hyperlink"/>
            <w:rFonts w:eastAsia="Calibri"/>
            <w:noProof/>
            <w:cs/>
          </w:rPr>
          <w:t>‎</w:t>
        </w:r>
        <w:r w:rsidR="0042745D" w:rsidRPr="006D631C">
          <w:rPr>
            <w:rStyle w:val="Hyperlink"/>
            <w:rFonts w:eastAsia="Calibri"/>
            <w:noProof/>
          </w:rPr>
          <w:t>1</w:t>
        </w:r>
        <w:r w:rsidR="0042745D" w:rsidRPr="006D631C">
          <w:rPr>
            <w:rStyle w:val="Hyperlink"/>
            <w:rFonts w:eastAsia="Calibri"/>
            <w:noProof/>
          </w:rPr>
          <w:noBreakHyphen/>
          <w:t>1. (a) The schematic representation of CPP and its corresponding favorable structure. (b) Schematic diagram of common LLC structures.</w:t>
        </w:r>
        <w:r w:rsidR="0042745D" w:rsidRPr="006D631C">
          <w:rPr>
            <w:rStyle w:val="Hyperlink"/>
            <w:rFonts w:eastAsia="Calibri"/>
            <w:noProof/>
            <w:vertAlign w:val="superscript"/>
          </w:rPr>
          <w:t>9,17–19</w:t>
        </w:r>
        <w:r w:rsidR="0042745D" w:rsidRPr="006D631C">
          <w:rPr>
            <w:rStyle w:val="Hyperlink"/>
            <w:rFonts w:eastAsia="Calibri"/>
            <w:noProof/>
          </w:rPr>
          <w:t xml:space="preserve">  Addition/removal of solvents, such as decreasing water content can drive the phase transition.</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_Toc148175910 \h </w:instrText>
        </w:r>
        <w:r w:rsidR="0042745D" w:rsidRPr="006D631C">
          <w:rPr>
            <w:noProof/>
            <w:webHidden/>
          </w:rPr>
        </w:r>
        <w:r w:rsidR="0042745D" w:rsidRPr="006D631C">
          <w:rPr>
            <w:noProof/>
            <w:webHidden/>
          </w:rPr>
          <w:fldChar w:fldCharType="separate"/>
        </w:r>
        <w:r w:rsidR="0042745D" w:rsidRPr="006D631C">
          <w:rPr>
            <w:noProof/>
            <w:webHidden/>
          </w:rPr>
          <w:t>4</w:t>
        </w:r>
        <w:r w:rsidR="0042745D" w:rsidRPr="006D631C">
          <w:rPr>
            <w:noProof/>
            <w:webHidden/>
          </w:rPr>
          <w:fldChar w:fldCharType="end"/>
        </w:r>
      </w:hyperlink>
    </w:p>
    <w:p w14:paraId="56AF7F3D" w14:textId="46EF5987" w:rsidR="0042745D" w:rsidRPr="006D631C" w:rsidRDefault="001A0507">
      <w:pPr>
        <w:pStyle w:val="TableofFigures"/>
        <w:rPr>
          <w:rFonts w:asciiTheme="minorHAnsi" w:eastAsiaTheme="minorEastAsia" w:hAnsiTheme="minorHAnsi" w:cstheme="minorBidi"/>
          <w:noProof/>
          <w:sz w:val="22"/>
          <w:szCs w:val="22"/>
        </w:rPr>
      </w:pPr>
      <w:hyperlink w:anchor="_Toc148175911"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2.</w:t>
        </w:r>
        <w:r w:rsidR="0042745D" w:rsidRPr="006D631C">
          <w:rPr>
            <w:rStyle w:val="Hyperlink"/>
            <w:rFonts w:eastAsia="Calibri"/>
            <w:noProof/>
          </w:rPr>
          <w:t xml:space="preserve"> (a) Typical CPLM Textures for LLC Mesophases – Representative micrographs for various LLC mesophases when samples are observed in a light microscope with a 90⁰ difference in the Polarizer (P) and Analyzer (A) directions. Birefringent ‘fan-like’ and ‘oily-streak’ textures are observed for the normal cylinder (H</w:t>
        </w:r>
        <w:r w:rsidR="0042745D" w:rsidRPr="006D631C">
          <w:rPr>
            <w:rStyle w:val="Hyperlink"/>
            <w:rFonts w:eastAsia="Calibri"/>
            <w:noProof/>
            <w:vertAlign w:val="subscript"/>
          </w:rPr>
          <w:t>1</w:t>
        </w:r>
        <w:r w:rsidR="0042745D" w:rsidRPr="006D631C">
          <w:rPr>
            <w:rStyle w:val="Hyperlink"/>
            <w:rFonts w:eastAsia="Calibri"/>
            <w:noProof/>
          </w:rPr>
          <w:t>) and lamellar sheet L</w:t>
        </w:r>
        <w:r w:rsidR="0042745D" w:rsidRPr="006D631C">
          <w:rPr>
            <w:rStyle w:val="Hyperlink"/>
            <w:rFonts w:eastAsia="Calibri"/>
            <w:noProof/>
            <w:vertAlign w:val="subscript"/>
          </w:rPr>
          <w:t>α</w:t>
        </w:r>
        <w:r w:rsidR="0042745D" w:rsidRPr="006D631C">
          <w:rPr>
            <w:rStyle w:val="Hyperlink"/>
            <w:rFonts w:eastAsia="Calibri"/>
            <w:noProof/>
          </w:rPr>
          <w:t xml:space="preserve">) mesophases. No birefringence is observed for any of the cubic phases i.e. </w:t>
        </w:r>
        <w:r w:rsidR="0042745D" w:rsidRPr="006D631C">
          <w:rPr>
            <w:rStyle w:val="Hyperlink"/>
            <w:rFonts w:eastAsia="Calibri"/>
            <w:i/>
            <w:noProof/>
          </w:rPr>
          <w:t>Im3m</w:t>
        </w:r>
        <w:r w:rsidR="0042745D" w:rsidRPr="006D631C">
          <w:rPr>
            <w:rStyle w:val="Hyperlink"/>
            <w:rFonts w:eastAsia="Calibri"/>
            <w:noProof/>
          </w:rPr>
          <w:t xml:space="preserve">, </w:t>
        </w:r>
        <w:r w:rsidR="0042745D" w:rsidRPr="006D631C">
          <w:rPr>
            <w:rStyle w:val="Hyperlink"/>
            <w:rFonts w:eastAsia="Calibri"/>
            <w:i/>
            <w:noProof/>
          </w:rPr>
          <w:t>Pn3m</w:t>
        </w:r>
        <w:r w:rsidR="0042745D" w:rsidRPr="006D631C">
          <w:rPr>
            <w:rStyle w:val="Hyperlink"/>
            <w:rFonts w:eastAsia="Calibri"/>
            <w:noProof/>
          </w:rPr>
          <w:t xml:space="preserve">, </w:t>
        </w:r>
        <w:r w:rsidR="0042745D" w:rsidRPr="006D631C">
          <w:rPr>
            <w:rStyle w:val="Hyperlink"/>
            <w:rFonts w:eastAsia="Calibri"/>
            <w:i/>
            <w:noProof/>
          </w:rPr>
          <w:t>Ia3d</w:t>
        </w:r>
        <w:r w:rsidR="0042745D" w:rsidRPr="006D631C">
          <w:rPr>
            <w:rStyle w:val="Hyperlink"/>
            <w:rFonts w:eastAsia="Calibri"/>
            <w:noProof/>
          </w:rPr>
          <w:t xml:space="preserve">, </w:t>
        </w:r>
        <w:r w:rsidR="0042745D" w:rsidRPr="006D631C">
          <w:rPr>
            <w:rStyle w:val="Hyperlink"/>
            <w:rFonts w:eastAsia="Calibri"/>
            <w:i/>
            <w:noProof/>
          </w:rPr>
          <w:t>BCC</w:t>
        </w:r>
        <w:r w:rsidR="0042745D" w:rsidRPr="006D631C">
          <w:rPr>
            <w:rStyle w:val="Hyperlink"/>
            <w:rFonts w:eastAsia="Calibri"/>
            <w:noProof/>
          </w:rPr>
          <w:t xml:space="preserve">, and </w:t>
        </w:r>
        <w:r w:rsidR="0042745D" w:rsidRPr="006D631C">
          <w:rPr>
            <w:rStyle w:val="Hyperlink"/>
            <w:rFonts w:eastAsia="Calibri"/>
            <w:i/>
            <w:noProof/>
          </w:rPr>
          <w:t>FCC</w:t>
        </w:r>
        <w:r w:rsidR="0042745D" w:rsidRPr="006D631C">
          <w:rPr>
            <w:rStyle w:val="Hyperlink"/>
            <w:rFonts w:eastAsia="Calibri"/>
            <w:noProof/>
          </w:rPr>
          <w:t>. (b) Typical 1D SAXS profiles and corresponding assigned diffraction planes observed for L</w:t>
        </w:r>
        <w:r w:rsidR="0042745D" w:rsidRPr="006D631C">
          <w:rPr>
            <w:rStyle w:val="Hyperlink"/>
            <w:rFonts w:eastAsia="Calibri"/>
            <w:noProof/>
            <w:vertAlign w:val="subscript"/>
          </w:rPr>
          <w:t>α</w:t>
        </w:r>
        <w:r w:rsidR="0042745D" w:rsidRPr="006D631C">
          <w:rPr>
            <w:rStyle w:val="Hyperlink"/>
            <w:rFonts w:eastAsia="Calibri"/>
            <w:noProof/>
          </w:rPr>
          <w:t>,</w:t>
        </w:r>
        <w:r w:rsidR="0042745D" w:rsidRPr="006D631C">
          <w:rPr>
            <w:rStyle w:val="Hyperlink"/>
            <w:rFonts w:eastAsia="Calibri"/>
            <w:noProof/>
            <w:vertAlign w:val="superscript"/>
          </w:rPr>
          <w:t>20</w:t>
        </w:r>
        <w:r w:rsidR="0042745D" w:rsidRPr="006D631C">
          <w:rPr>
            <w:rStyle w:val="Hyperlink"/>
            <w:rFonts w:eastAsia="Calibri"/>
            <w:noProof/>
          </w:rPr>
          <w:t xml:space="preserve"> H</w:t>
        </w:r>
        <w:r w:rsidR="0042745D" w:rsidRPr="006D631C">
          <w:rPr>
            <w:rStyle w:val="Hyperlink"/>
            <w:rFonts w:eastAsia="Calibri"/>
            <w:noProof/>
            <w:vertAlign w:val="subscript"/>
          </w:rPr>
          <w:t>α</w:t>
        </w:r>
        <w:r w:rsidR="0042745D" w:rsidRPr="006D631C">
          <w:rPr>
            <w:rStyle w:val="Hyperlink"/>
            <w:rFonts w:eastAsia="Calibri"/>
            <w:noProof/>
          </w:rPr>
          <w:t>,</w:t>
        </w:r>
        <w:r w:rsidR="0042745D" w:rsidRPr="006D631C">
          <w:rPr>
            <w:rStyle w:val="Hyperlink"/>
            <w:rFonts w:eastAsia="Calibri"/>
            <w:noProof/>
            <w:vertAlign w:val="superscript"/>
          </w:rPr>
          <w:t>20</w:t>
        </w:r>
        <w:r w:rsidR="0042745D" w:rsidRPr="006D631C">
          <w:rPr>
            <w:rStyle w:val="Hyperlink"/>
            <w:rFonts w:eastAsia="Calibri"/>
            <w:noProof/>
          </w:rPr>
          <w:t xml:space="preserve"> I</w:t>
        </w:r>
        <w:r w:rsidR="0042745D" w:rsidRPr="006D631C">
          <w:rPr>
            <w:rStyle w:val="Hyperlink"/>
            <w:rFonts w:eastAsia="Calibri"/>
            <w:noProof/>
            <w:vertAlign w:val="subscript"/>
          </w:rPr>
          <w:t>α</w:t>
        </w:r>
        <w:r w:rsidR="0042745D" w:rsidRPr="006D631C">
          <w:rPr>
            <w:rStyle w:val="Hyperlink"/>
            <w:rFonts w:eastAsia="Calibri"/>
            <w:noProof/>
          </w:rPr>
          <w:t xml:space="preserve"> (</w:t>
        </w:r>
        <w:r w:rsidR="0042745D" w:rsidRPr="006D631C">
          <w:rPr>
            <w:rStyle w:val="Hyperlink"/>
            <w:rFonts w:eastAsia="Calibri"/>
            <w:i/>
            <w:noProof/>
          </w:rPr>
          <w:t>FCC</w:t>
        </w:r>
        <w:r w:rsidR="0042745D" w:rsidRPr="006D631C">
          <w:rPr>
            <w:rStyle w:val="Hyperlink"/>
            <w:rFonts w:eastAsia="Calibri"/>
            <w:noProof/>
            <w:vertAlign w:val="superscript"/>
          </w:rPr>
          <w:t>21</w:t>
        </w:r>
        <w:r w:rsidR="0042745D" w:rsidRPr="006D631C">
          <w:rPr>
            <w:rStyle w:val="Hyperlink"/>
            <w:rFonts w:eastAsia="Calibri"/>
            <w:noProof/>
          </w:rPr>
          <w:t xml:space="preserve"> and </w:t>
        </w:r>
        <w:r w:rsidR="0042745D" w:rsidRPr="006D631C">
          <w:rPr>
            <w:rStyle w:val="Hyperlink"/>
            <w:rFonts w:eastAsia="Calibri"/>
            <w:i/>
            <w:noProof/>
          </w:rPr>
          <w:t>BCC</w:t>
        </w:r>
        <w:r w:rsidR="0042745D" w:rsidRPr="006D631C">
          <w:rPr>
            <w:rStyle w:val="Hyperlink"/>
            <w:rFonts w:eastAsia="Calibri"/>
            <w:noProof/>
            <w:vertAlign w:val="superscript"/>
          </w:rPr>
          <w:t>21</w:t>
        </w:r>
        <w:r w:rsidR="0042745D" w:rsidRPr="006D631C">
          <w:rPr>
            <w:rStyle w:val="Hyperlink"/>
            <w:rFonts w:eastAsia="Calibri"/>
            <w:noProof/>
          </w:rPr>
          <w:t>), Q</w:t>
        </w:r>
        <w:r w:rsidR="0042745D" w:rsidRPr="006D631C">
          <w:rPr>
            <w:rStyle w:val="Hyperlink"/>
            <w:rFonts w:eastAsia="Calibri"/>
            <w:noProof/>
            <w:vertAlign w:val="subscript"/>
          </w:rPr>
          <w:t>α</w:t>
        </w:r>
        <w:r w:rsidR="0042745D" w:rsidRPr="006D631C">
          <w:rPr>
            <w:rStyle w:val="Hyperlink"/>
            <w:rFonts w:eastAsia="Calibri"/>
            <w:noProof/>
          </w:rPr>
          <w:t xml:space="preserve"> (</w:t>
        </w:r>
        <w:r w:rsidR="0042745D" w:rsidRPr="006D631C">
          <w:rPr>
            <w:rStyle w:val="Hyperlink"/>
            <w:rFonts w:eastAsia="Calibri"/>
            <w:i/>
            <w:noProof/>
          </w:rPr>
          <w:t>Im3m,</w:t>
        </w:r>
        <w:r w:rsidR="0042745D" w:rsidRPr="006D631C">
          <w:rPr>
            <w:rStyle w:val="Hyperlink"/>
            <w:rFonts w:eastAsia="Calibri"/>
            <w:noProof/>
            <w:vertAlign w:val="superscript"/>
          </w:rPr>
          <w:t>20</w:t>
        </w:r>
        <w:r w:rsidR="0042745D" w:rsidRPr="006D631C">
          <w:rPr>
            <w:rStyle w:val="Hyperlink"/>
            <w:rFonts w:eastAsia="Calibri"/>
            <w:noProof/>
          </w:rPr>
          <w:t xml:space="preserve">, </w:t>
        </w:r>
        <w:r w:rsidR="0042745D" w:rsidRPr="006D631C">
          <w:rPr>
            <w:rStyle w:val="Hyperlink"/>
            <w:rFonts w:eastAsia="Calibri"/>
            <w:i/>
            <w:noProof/>
          </w:rPr>
          <w:t>Pn3m,</w:t>
        </w:r>
        <w:r w:rsidR="0042745D" w:rsidRPr="006D631C">
          <w:rPr>
            <w:rStyle w:val="Hyperlink"/>
            <w:rFonts w:eastAsia="Calibri"/>
            <w:noProof/>
            <w:vertAlign w:val="superscript"/>
          </w:rPr>
          <w:t>22</w:t>
        </w:r>
        <w:r w:rsidR="0042745D" w:rsidRPr="006D631C">
          <w:rPr>
            <w:rStyle w:val="Hyperlink"/>
            <w:rFonts w:eastAsia="Calibri"/>
            <w:noProof/>
          </w:rPr>
          <w:t xml:space="preserve"> and </w:t>
        </w:r>
        <w:r w:rsidR="0042745D" w:rsidRPr="006D631C">
          <w:rPr>
            <w:rStyle w:val="Hyperlink"/>
            <w:rFonts w:eastAsia="Calibri"/>
            <w:i/>
            <w:noProof/>
          </w:rPr>
          <w:t>Ia3d</w:t>
        </w:r>
        <w:r w:rsidR="0042745D" w:rsidRPr="006D631C">
          <w:rPr>
            <w:rStyle w:val="Hyperlink"/>
            <w:rFonts w:eastAsia="Calibri"/>
            <w:noProof/>
            <w:vertAlign w:val="superscript"/>
          </w:rPr>
          <w:t>23</w:t>
        </w:r>
        <w:r w:rsidR="0042745D" w:rsidRPr="006D631C">
          <w:rPr>
            <w:rStyle w:val="Hyperlink"/>
            <w:rFonts w:eastAsia="Calibri"/>
            <w:noProof/>
          </w:rPr>
          <w:t>) and Frank-Kasper phases (A15,</w:t>
        </w:r>
        <w:r w:rsidR="0042745D" w:rsidRPr="006D631C">
          <w:rPr>
            <w:rStyle w:val="Hyperlink"/>
            <w:rFonts w:eastAsia="Calibri"/>
            <w:noProof/>
            <w:vertAlign w:val="superscript"/>
          </w:rPr>
          <w:t>24</w:t>
        </w:r>
        <w:r w:rsidR="0042745D" w:rsidRPr="006D631C">
          <w:rPr>
            <w:rStyle w:val="Hyperlink"/>
            <w:rFonts w:eastAsia="Calibri"/>
            <w:noProof/>
          </w:rPr>
          <w:t xml:space="preserve"> σ,</w:t>
        </w:r>
        <w:r w:rsidR="0042745D" w:rsidRPr="006D631C">
          <w:rPr>
            <w:rStyle w:val="Hyperlink"/>
            <w:rFonts w:eastAsia="Calibri"/>
            <w:noProof/>
            <w:vertAlign w:val="superscript"/>
          </w:rPr>
          <w:t>24</w:t>
        </w:r>
        <w:r w:rsidR="0042745D" w:rsidRPr="006D631C">
          <w:rPr>
            <w:rStyle w:val="Hyperlink"/>
            <w:rFonts w:eastAsia="Calibri"/>
            <w:noProof/>
          </w:rPr>
          <w:t xml:space="preserve"> C14 Laves,</w:t>
        </w:r>
        <w:r w:rsidR="0042745D" w:rsidRPr="006D631C">
          <w:rPr>
            <w:rStyle w:val="Hyperlink"/>
            <w:rFonts w:eastAsia="Calibri"/>
            <w:noProof/>
            <w:vertAlign w:val="superscript"/>
          </w:rPr>
          <w:t>22</w:t>
        </w:r>
        <w:r w:rsidR="0042745D" w:rsidRPr="006D631C">
          <w:rPr>
            <w:rStyle w:val="Hyperlink"/>
            <w:rFonts w:eastAsia="Calibri"/>
            <w:noProof/>
          </w:rPr>
          <w:t xml:space="preserve"> and C15 Laves</w:t>
        </w:r>
        <w:r w:rsidR="0042745D" w:rsidRPr="006D631C">
          <w:rPr>
            <w:rStyle w:val="Hyperlink"/>
            <w:rFonts w:eastAsia="Calibri"/>
            <w:noProof/>
            <w:vertAlign w:val="superscript"/>
          </w:rPr>
          <w:t>22</w:t>
        </w:r>
        <w:r w:rsidR="0042745D" w:rsidRPr="006D631C">
          <w:rPr>
            <w:rStyle w:val="Hyperlink"/>
            <w:rFonts w:eastAsia="Calibri"/>
            <w:noProof/>
          </w:rPr>
          <w:t>). (c) Representative example of results acquired from XRD for an L</w:t>
        </w:r>
        <w:r w:rsidR="0042745D" w:rsidRPr="006D631C">
          <w:rPr>
            <w:rStyle w:val="Hyperlink"/>
            <w:rFonts w:eastAsia="Calibri"/>
            <w:noProof/>
            <w:vertAlign w:val="subscript"/>
          </w:rPr>
          <w:t>α</w:t>
        </w:r>
        <w:r w:rsidR="0042745D" w:rsidRPr="006D631C">
          <w:rPr>
            <w:rStyle w:val="Hyperlink"/>
            <w:rFonts w:eastAsia="Calibri"/>
            <w:noProof/>
          </w:rPr>
          <w:t xml:space="preserve"> LLCs.</w:t>
        </w:r>
        <w:r w:rsidR="0042745D" w:rsidRPr="006D631C">
          <w:rPr>
            <w:rStyle w:val="Hyperlink"/>
            <w:rFonts w:eastAsia="Calibri"/>
            <w:noProof/>
            <w:vertAlign w:val="superscript"/>
          </w:rPr>
          <w:t>25</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_Toc148175911 \h </w:instrText>
        </w:r>
        <w:r w:rsidR="0042745D" w:rsidRPr="006D631C">
          <w:rPr>
            <w:noProof/>
            <w:webHidden/>
          </w:rPr>
        </w:r>
        <w:r w:rsidR="0042745D" w:rsidRPr="006D631C">
          <w:rPr>
            <w:noProof/>
            <w:webHidden/>
          </w:rPr>
          <w:fldChar w:fldCharType="separate"/>
        </w:r>
        <w:r w:rsidR="0042745D" w:rsidRPr="006D631C">
          <w:rPr>
            <w:noProof/>
            <w:webHidden/>
          </w:rPr>
          <w:t>5</w:t>
        </w:r>
        <w:r w:rsidR="0042745D" w:rsidRPr="006D631C">
          <w:rPr>
            <w:noProof/>
            <w:webHidden/>
          </w:rPr>
          <w:fldChar w:fldCharType="end"/>
        </w:r>
      </w:hyperlink>
    </w:p>
    <w:p w14:paraId="25B1269F" w14:textId="2FAB60B0" w:rsidR="0042745D" w:rsidRPr="006D631C" w:rsidRDefault="001A0507">
      <w:pPr>
        <w:pStyle w:val="TableofFigures"/>
        <w:rPr>
          <w:rFonts w:asciiTheme="minorHAnsi" w:eastAsiaTheme="minorEastAsia" w:hAnsiTheme="minorHAnsi" w:cstheme="minorBidi"/>
          <w:noProof/>
          <w:sz w:val="22"/>
          <w:szCs w:val="22"/>
        </w:rPr>
      </w:pPr>
      <w:hyperlink w:anchor="_Toc148175912"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3.</w:t>
        </w:r>
        <w:r w:rsidR="0042745D" w:rsidRPr="006D631C">
          <w:rPr>
            <w:rStyle w:val="Hyperlink"/>
            <w:rFonts w:eastAsia="Calibri"/>
            <w:noProof/>
          </w:rPr>
          <w:t xml:space="preserve"> </w:t>
        </w:r>
        <w:r w:rsidR="0042745D" w:rsidRPr="006D631C">
          <w:rPr>
            <w:rStyle w:val="Hyperlink"/>
            <w:rFonts w:asciiTheme="majorBidi" w:hAnsiTheme="majorBidi" w:cstheme="majorBidi"/>
            <w:noProof/>
          </w:rPr>
          <w:t>Schematic illustration of typical synergistic, transcriptive, and reconstructive LLC templating using H</w:t>
        </w:r>
        <w:r w:rsidR="0042745D" w:rsidRPr="006D631C">
          <w:rPr>
            <w:rStyle w:val="Hyperlink"/>
            <w:rFonts w:asciiTheme="majorBidi" w:hAnsiTheme="majorBidi" w:cstheme="majorBidi"/>
            <w:noProof/>
            <w:vertAlign w:val="subscript"/>
          </w:rPr>
          <w:t>2</w:t>
        </w:r>
        <w:r w:rsidR="0042745D" w:rsidRPr="006D631C">
          <w:rPr>
            <w:rStyle w:val="Hyperlink"/>
            <w:rFonts w:asciiTheme="majorBidi" w:hAnsiTheme="majorBidi" w:cstheme="majorBidi"/>
            <w:noProof/>
          </w:rPr>
          <w:t xml:space="preserve"> structure. The reconstructive templating may lead to various structures and the lamellar structure shown here is just one example of the phase transition possible in this method.</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_Toc148175912 \h </w:instrText>
        </w:r>
        <w:r w:rsidR="0042745D" w:rsidRPr="006D631C">
          <w:rPr>
            <w:noProof/>
            <w:webHidden/>
          </w:rPr>
        </w:r>
        <w:r w:rsidR="0042745D" w:rsidRPr="006D631C">
          <w:rPr>
            <w:noProof/>
            <w:webHidden/>
          </w:rPr>
          <w:fldChar w:fldCharType="separate"/>
        </w:r>
        <w:r w:rsidR="0042745D" w:rsidRPr="006D631C">
          <w:rPr>
            <w:noProof/>
            <w:webHidden/>
          </w:rPr>
          <w:t>7</w:t>
        </w:r>
        <w:r w:rsidR="0042745D" w:rsidRPr="006D631C">
          <w:rPr>
            <w:noProof/>
            <w:webHidden/>
          </w:rPr>
          <w:fldChar w:fldCharType="end"/>
        </w:r>
      </w:hyperlink>
    </w:p>
    <w:p w14:paraId="182364FA" w14:textId="5FD85211" w:rsidR="0042745D" w:rsidRPr="006D631C" w:rsidRDefault="001A0507">
      <w:pPr>
        <w:pStyle w:val="TableofFigures"/>
        <w:rPr>
          <w:rFonts w:asciiTheme="minorHAnsi" w:eastAsiaTheme="minorEastAsia" w:hAnsiTheme="minorHAnsi" w:cstheme="minorBidi"/>
          <w:noProof/>
          <w:sz w:val="22"/>
          <w:szCs w:val="22"/>
        </w:rPr>
      </w:pPr>
      <w:hyperlink w:anchor="_Toc148175913"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4. Chemical structure of (a and b) polymerizable ionic, (c) polymerizable non-ionic and (d) non-polymerizable amphiphiles used for LLC templating.</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_Toc148175913 \h </w:instrText>
        </w:r>
        <w:r w:rsidR="0042745D" w:rsidRPr="006D631C">
          <w:rPr>
            <w:noProof/>
            <w:webHidden/>
          </w:rPr>
        </w:r>
        <w:r w:rsidR="0042745D" w:rsidRPr="006D631C">
          <w:rPr>
            <w:noProof/>
            <w:webHidden/>
          </w:rPr>
          <w:fldChar w:fldCharType="separate"/>
        </w:r>
        <w:r w:rsidR="0042745D" w:rsidRPr="006D631C">
          <w:rPr>
            <w:noProof/>
            <w:webHidden/>
          </w:rPr>
          <w:t>11</w:t>
        </w:r>
        <w:r w:rsidR="0042745D" w:rsidRPr="006D631C">
          <w:rPr>
            <w:noProof/>
            <w:webHidden/>
          </w:rPr>
          <w:fldChar w:fldCharType="end"/>
        </w:r>
      </w:hyperlink>
    </w:p>
    <w:p w14:paraId="20E57BAD" w14:textId="349DCA45" w:rsidR="0042745D" w:rsidRPr="006D631C" w:rsidRDefault="001A0507">
      <w:pPr>
        <w:pStyle w:val="TableofFigures"/>
        <w:rPr>
          <w:rFonts w:asciiTheme="minorHAnsi" w:eastAsiaTheme="minorEastAsia" w:hAnsiTheme="minorHAnsi" w:cstheme="minorBidi"/>
          <w:noProof/>
          <w:sz w:val="22"/>
          <w:szCs w:val="22"/>
        </w:rPr>
      </w:pPr>
      <w:hyperlink w:anchor="_Toc148175914"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5. Chemical structure of (a) (co)monomers and (b) cross-linkers used for LLC templating.</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_Toc148175914 \h </w:instrText>
        </w:r>
        <w:r w:rsidR="0042745D" w:rsidRPr="006D631C">
          <w:rPr>
            <w:noProof/>
            <w:webHidden/>
          </w:rPr>
        </w:r>
        <w:r w:rsidR="0042745D" w:rsidRPr="006D631C">
          <w:rPr>
            <w:noProof/>
            <w:webHidden/>
          </w:rPr>
          <w:fldChar w:fldCharType="separate"/>
        </w:r>
        <w:r w:rsidR="0042745D" w:rsidRPr="006D631C">
          <w:rPr>
            <w:noProof/>
            <w:webHidden/>
          </w:rPr>
          <w:t>14</w:t>
        </w:r>
        <w:r w:rsidR="0042745D" w:rsidRPr="006D631C">
          <w:rPr>
            <w:noProof/>
            <w:webHidden/>
          </w:rPr>
          <w:fldChar w:fldCharType="end"/>
        </w:r>
      </w:hyperlink>
    </w:p>
    <w:p w14:paraId="1EC65FCF" w14:textId="53EB1B39" w:rsidR="0042745D" w:rsidRPr="006D631C" w:rsidRDefault="001A0507">
      <w:pPr>
        <w:pStyle w:val="TableofFigures"/>
        <w:rPr>
          <w:rFonts w:asciiTheme="minorHAnsi" w:eastAsiaTheme="minorEastAsia" w:hAnsiTheme="minorHAnsi" w:cstheme="minorBidi"/>
          <w:noProof/>
          <w:sz w:val="22"/>
          <w:szCs w:val="22"/>
        </w:rPr>
      </w:pPr>
      <w:hyperlink w:anchor="_Toc148175915"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6. Chemical structure of the polymerization initiators used for LLC templating: (a) photoinitiators and (b) other (i.e. thermal and ionic) commonly used initiator.</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_Toc148175915 \h </w:instrText>
        </w:r>
        <w:r w:rsidR="0042745D" w:rsidRPr="006D631C">
          <w:rPr>
            <w:noProof/>
            <w:webHidden/>
          </w:rPr>
        </w:r>
        <w:r w:rsidR="0042745D" w:rsidRPr="006D631C">
          <w:rPr>
            <w:noProof/>
            <w:webHidden/>
          </w:rPr>
          <w:fldChar w:fldCharType="separate"/>
        </w:r>
        <w:r w:rsidR="0042745D" w:rsidRPr="006D631C">
          <w:rPr>
            <w:noProof/>
            <w:webHidden/>
          </w:rPr>
          <w:t>15</w:t>
        </w:r>
        <w:r w:rsidR="0042745D" w:rsidRPr="006D631C">
          <w:rPr>
            <w:noProof/>
            <w:webHidden/>
          </w:rPr>
          <w:fldChar w:fldCharType="end"/>
        </w:r>
      </w:hyperlink>
    </w:p>
    <w:p w14:paraId="3B565860" w14:textId="081EED95" w:rsidR="0042745D" w:rsidRPr="006D631C" w:rsidRDefault="001A0507">
      <w:pPr>
        <w:pStyle w:val="TableofFigures"/>
        <w:rPr>
          <w:rFonts w:asciiTheme="minorHAnsi" w:eastAsiaTheme="minorEastAsia" w:hAnsiTheme="minorHAnsi" w:cstheme="minorBidi"/>
          <w:noProof/>
          <w:sz w:val="22"/>
          <w:szCs w:val="22"/>
        </w:rPr>
      </w:pPr>
      <w:hyperlink w:anchor="_Toc148175916"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7.</w:t>
        </w:r>
        <w:r w:rsidR="0042745D" w:rsidRPr="006D631C">
          <w:rPr>
            <w:rStyle w:val="Hyperlink"/>
            <w:rFonts w:eastAsia="Calibri"/>
            <w:noProof/>
          </w:rPr>
          <w:t xml:space="preserve"> </w:t>
        </w:r>
        <w:r w:rsidR="0042745D" w:rsidRPr="006D631C">
          <w:rPr>
            <w:rStyle w:val="Hyperlink"/>
            <w:rFonts w:asciiTheme="majorBidi" w:hAnsiTheme="majorBidi" w:cstheme="majorBidi"/>
            <w:noProof/>
          </w:rPr>
          <w:t>Typical schematic of H</w:t>
        </w:r>
        <w:r w:rsidR="0042745D" w:rsidRPr="006D631C">
          <w:rPr>
            <w:rStyle w:val="Hyperlink"/>
            <w:rFonts w:asciiTheme="majorBidi" w:hAnsiTheme="majorBidi" w:cstheme="majorBidi"/>
            <w:noProof/>
            <w:vertAlign w:val="subscript"/>
          </w:rPr>
          <w:t>2</w:t>
        </w:r>
        <w:r w:rsidR="0042745D" w:rsidRPr="006D631C">
          <w:rPr>
            <w:rStyle w:val="Hyperlink"/>
            <w:rFonts w:asciiTheme="majorBidi" w:hAnsiTheme="majorBidi" w:cstheme="majorBidi"/>
            <w:noProof/>
          </w:rPr>
          <w:t xml:space="preserve"> structure with </w:t>
        </w:r>
        <w:r w:rsidR="0042745D" w:rsidRPr="006D631C">
          <w:rPr>
            <w:rStyle w:val="Hyperlink"/>
            <w:rFonts w:asciiTheme="majorBidi" w:hAnsiTheme="majorBidi" w:cstheme="majorBidi"/>
            <w:i/>
            <w:iCs/>
            <w:noProof/>
          </w:rPr>
          <w:t>d</w:t>
        </w:r>
        <w:r w:rsidR="0042745D" w:rsidRPr="006D631C">
          <w:rPr>
            <w:rStyle w:val="Hyperlink"/>
            <w:rFonts w:asciiTheme="majorBidi" w:hAnsiTheme="majorBidi" w:cstheme="majorBidi"/>
            <w:noProof/>
          </w:rPr>
          <w:t>-spacing (</w:t>
        </w:r>
        <w:r w:rsidR="0042745D" w:rsidRPr="006D631C">
          <w:rPr>
            <w:rStyle w:val="Hyperlink"/>
            <w:rFonts w:asciiTheme="majorBidi" w:hAnsiTheme="majorBidi" w:cstheme="majorBidi"/>
            <w:i/>
            <w:iCs/>
            <w:noProof/>
          </w:rPr>
          <w:t>d</w:t>
        </w:r>
        <w:r w:rsidR="0042745D" w:rsidRPr="006D631C">
          <w:rPr>
            <w:rStyle w:val="Hyperlink"/>
            <w:rFonts w:asciiTheme="majorBidi" w:hAnsiTheme="majorBidi" w:cstheme="majorBidi"/>
            <w:noProof/>
          </w:rPr>
          <w:t>), lattice parameter (</w:t>
        </w:r>
        <w:r w:rsidR="0042745D" w:rsidRPr="006D631C">
          <w:rPr>
            <w:rStyle w:val="Hyperlink"/>
            <w:rFonts w:asciiTheme="majorBidi" w:hAnsiTheme="majorBidi" w:cstheme="majorBidi"/>
            <w:i/>
            <w:iCs/>
            <w:noProof/>
          </w:rPr>
          <w:t>a</w:t>
        </w:r>
        <w:r w:rsidR="0042745D" w:rsidRPr="006D631C">
          <w:rPr>
            <w:rStyle w:val="Hyperlink"/>
            <w:rFonts w:asciiTheme="majorBidi" w:hAnsiTheme="majorBidi" w:cstheme="majorBidi"/>
            <w:noProof/>
          </w:rPr>
          <w:t>), radius of micelle (</w:t>
        </w:r>
        <w:r w:rsidR="0042745D" w:rsidRPr="006D631C">
          <w:rPr>
            <w:rStyle w:val="Hyperlink"/>
            <w:rFonts w:asciiTheme="majorBidi" w:hAnsiTheme="majorBidi" w:cstheme="majorBidi"/>
            <w:i/>
            <w:iCs/>
            <w:noProof/>
          </w:rPr>
          <w:t>R</w:t>
        </w:r>
        <w:r w:rsidR="0042745D" w:rsidRPr="006D631C">
          <w:rPr>
            <w:rStyle w:val="Hyperlink"/>
            <w:rFonts w:asciiTheme="majorBidi" w:hAnsiTheme="majorBidi" w:cstheme="majorBidi"/>
            <w:i/>
            <w:iCs/>
            <w:noProof/>
            <w:vertAlign w:val="subscript"/>
          </w:rPr>
          <w:t>m</w:t>
        </w:r>
        <w:r w:rsidR="0042745D" w:rsidRPr="006D631C">
          <w:rPr>
            <w:rStyle w:val="Hyperlink"/>
            <w:rFonts w:asciiTheme="majorBidi" w:hAnsiTheme="majorBidi" w:cstheme="majorBidi"/>
            <w:noProof/>
          </w:rPr>
          <w:t>), radius of confined phase in micelle (</w:t>
        </w:r>
        <w:r w:rsidR="0042745D" w:rsidRPr="006D631C">
          <w:rPr>
            <w:rStyle w:val="Hyperlink"/>
            <w:rFonts w:asciiTheme="majorBidi" w:hAnsiTheme="majorBidi" w:cstheme="majorBidi"/>
            <w:i/>
            <w:iCs/>
            <w:noProof/>
          </w:rPr>
          <w:t>R</w:t>
        </w:r>
        <w:r w:rsidR="0042745D" w:rsidRPr="006D631C">
          <w:rPr>
            <w:rStyle w:val="Hyperlink"/>
            <w:rFonts w:asciiTheme="majorBidi" w:hAnsiTheme="majorBidi" w:cstheme="majorBidi"/>
            <w:i/>
            <w:iCs/>
            <w:noProof/>
            <w:vertAlign w:val="subscript"/>
          </w:rPr>
          <w:t>c</w:t>
        </w:r>
        <w:r w:rsidR="0042745D" w:rsidRPr="006D631C">
          <w:rPr>
            <w:rStyle w:val="Hyperlink"/>
            <w:rFonts w:asciiTheme="majorBidi" w:hAnsiTheme="majorBidi" w:cstheme="majorBidi"/>
            <w:noProof/>
          </w:rPr>
          <w:t>), intermicellar distance (</w:t>
        </w:r>
        <w:r w:rsidR="0042745D" w:rsidRPr="006D631C">
          <w:rPr>
            <w:rStyle w:val="Hyperlink"/>
            <w:rFonts w:asciiTheme="majorBidi" w:hAnsiTheme="majorBidi" w:cstheme="majorBidi"/>
            <w:i/>
            <w:iCs/>
            <w:noProof/>
          </w:rPr>
          <w:t>D</w:t>
        </w:r>
        <w:r w:rsidR="0042745D" w:rsidRPr="006D631C">
          <w:rPr>
            <w:rStyle w:val="Hyperlink"/>
            <w:rFonts w:asciiTheme="majorBidi" w:hAnsiTheme="majorBidi" w:cstheme="majorBidi"/>
            <w:i/>
            <w:iCs/>
            <w:noProof/>
            <w:vertAlign w:val="subscript"/>
          </w:rPr>
          <w:t>m</w:t>
        </w:r>
        <w:r w:rsidR="0042745D" w:rsidRPr="006D631C">
          <w:rPr>
            <w:rStyle w:val="Hyperlink"/>
            <w:rFonts w:asciiTheme="majorBidi" w:hAnsiTheme="majorBidi" w:cstheme="majorBidi"/>
            <w:noProof/>
          </w:rPr>
          <w:t>), and radius of the biggest circle trapped between the micelles (</w:t>
        </w:r>
        <w:r w:rsidR="0042745D" w:rsidRPr="006D631C">
          <w:rPr>
            <w:rStyle w:val="Hyperlink"/>
            <w:rFonts w:asciiTheme="majorBidi" w:hAnsiTheme="majorBidi" w:cstheme="majorBidi"/>
            <w:i/>
            <w:iCs/>
            <w:noProof/>
          </w:rPr>
          <w:t>R</w:t>
        </w:r>
        <w:r w:rsidR="0042745D" w:rsidRPr="006D631C">
          <w:rPr>
            <w:rStyle w:val="Hyperlink"/>
            <w:rFonts w:asciiTheme="majorBidi" w:hAnsiTheme="majorBidi" w:cstheme="majorBidi"/>
            <w:i/>
            <w:iCs/>
            <w:noProof/>
            <w:vertAlign w:val="subscript"/>
          </w:rPr>
          <w:t>h,max</w:t>
        </w:r>
        <w:r w:rsidR="0042745D" w:rsidRPr="006D631C">
          <w:rPr>
            <w:rStyle w:val="Hyperlink"/>
            <w:rFonts w:asciiTheme="majorBidi" w:hAnsiTheme="majorBidi" w:cstheme="majorBidi"/>
            <w:noProof/>
          </w:rPr>
          <w:t xml:space="preserve">). In this case, </w:t>
        </w:r>
        <w:r w:rsidR="0042745D" w:rsidRPr="006D631C">
          <w:rPr>
            <w:rStyle w:val="Hyperlink"/>
            <w:rFonts w:asciiTheme="majorBidi" w:hAnsiTheme="majorBidi" w:cstheme="majorBidi"/>
            <w:i/>
            <w:iCs/>
            <w:noProof/>
          </w:rPr>
          <w:t xml:space="preserve">ϕ </w:t>
        </w:r>
        <w:r w:rsidR="0042745D" w:rsidRPr="006D631C">
          <w:rPr>
            <w:rStyle w:val="Hyperlink"/>
            <w:rFonts w:asciiTheme="majorBidi" w:hAnsiTheme="majorBidi" w:cstheme="majorBidi"/>
            <w:noProof/>
          </w:rPr>
          <w:t>is the volume fraction of the polar phase. In the case of H</w:t>
        </w:r>
        <w:r w:rsidR="0042745D" w:rsidRPr="006D631C">
          <w:rPr>
            <w:rStyle w:val="Hyperlink"/>
            <w:rFonts w:asciiTheme="majorBidi" w:hAnsiTheme="majorBidi" w:cstheme="majorBidi"/>
            <w:noProof/>
            <w:vertAlign w:val="subscript"/>
          </w:rPr>
          <w:t>1</w:t>
        </w:r>
        <w:r w:rsidR="0042745D" w:rsidRPr="006D631C">
          <w:rPr>
            <w:rStyle w:val="Hyperlink"/>
            <w:rFonts w:asciiTheme="majorBidi" w:hAnsiTheme="majorBidi" w:cstheme="majorBidi"/>
            <w:noProof/>
          </w:rPr>
          <w:t xml:space="preserve"> structure, </w:t>
        </w:r>
        <w:r w:rsidR="0042745D" w:rsidRPr="006D631C">
          <w:rPr>
            <w:rStyle w:val="Hyperlink"/>
            <w:rFonts w:asciiTheme="majorBidi" w:hAnsiTheme="majorBidi" w:cstheme="majorBidi"/>
            <w:i/>
            <w:iCs/>
            <w:noProof/>
          </w:rPr>
          <w:t xml:space="preserve">ϕ </w:t>
        </w:r>
        <w:r w:rsidR="0042745D" w:rsidRPr="006D631C">
          <w:rPr>
            <w:rStyle w:val="Hyperlink"/>
            <w:rFonts w:asciiTheme="majorBidi" w:hAnsiTheme="majorBidi" w:cstheme="majorBidi"/>
            <w:noProof/>
          </w:rPr>
          <w:t>is the volume fraction of the apolar phase.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_Toc148175916 \h </w:instrText>
        </w:r>
        <w:r w:rsidR="0042745D" w:rsidRPr="006D631C">
          <w:rPr>
            <w:noProof/>
            <w:webHidden/>
          </w:rPr>
        </w:r>
        <w:r w:rsidR="0042745D" w:rsidRPr="006D631C">
          <w:rPr>
            <w:noProof/>
            <w:webHidden/>
          </w:rPr>
          <w:fldChar w:fldCharType="separate"/>
        </w:r>
        <w:r w:rsidR="0042745D" w:rsidRPr="006D631C">
          <w:rPr>
            <w:noProof/>
            <w:webHidden/>
          </w:rPr>
          <w:t>18</w:t>
        </w:r>
        <w:r w:rsidR="0042745D" w:rsidRPr="006D631C">
          <w:rPr>
            <w:noProof/>
            <w:webHidden/>
          </w:rPr>
          <w:fldChar w:fldCharType="end"/>
        </w:r>
      </w:hyperlink>
    </w:p>
    <w:p w14:paraId="7A891BFC" w14:textId="53886BA2" w:rsidR="0042745D" w:rsidRPr="006D631C" w:rsidRDefault="001A0507">
      <w:pPr>
        <w:pStyle w:val="TableofFigures"/>
        <w:rPr>
          <w:rFonts w:asciiTheme="minorHAnsi" w:eastAsiaTheme="minorEastAsia" w:hAnsiTheme="minorHAnsi" w:cstheme="minorBidi"/>
          <w:noProof/>
          <w:sz w:val="22"/>
          <w:szCs w:val="22"/>
        </w:rPr>
      </w:pPr>
      <w:hyperlink w:anchor="_Toc148175917"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8.</w:t>
        </w:r>
        <w:r w:rsidR="0042745D" w:rsidRPr="006D631C">
          <w:rPr>
            <w:rStyle w:val="Hyperlink"/>
            <w:rFonts w:eastAsia="Calibri"/>
            <w:noProof/>
          </w:rPr>
          <w:t xml:space="preserve"> </w:t>
        </w:r>
        <w:r w:rsidR="0042745D" w:rsidRPr="006D631C">
          <w:rPr>
            <w:rStyle w:val="Hyperlink"/>
            <w:rFonts w:asciiTheme="majorBidi" w:hAnsiTheme="majorBidi" w:cstheme="majorBidi"/>
            <w:noProof/>
          </w:rPr>
          <w:t>Typical schematic of L</w:t>
        </w:r>
        <w:r w:rsidR="0042745D" w:rsidRPr="006D631C">
          <w:rPr>
            <w:rStyle w:val="Hyperlink"/>
            <w:rFonts w:asciiTheme="majorBidi" w:hAnsiTheme="majorBidi" w:cstheme="majorBidi"/>
            <w:noProof/>
            <w:vertAlign w:val="subscript"/>
          </w:rPr>
          <w:t>α</w:t>
        </w:r>
        <w:r w:rsidR="0042745D" w:rsidRPr="006D631C">
          <w:rPr>
            <w:rStyle w:val="Hyperlink"/>
            <w:rFonts w:asciiTheme="majorBidi" w:hAnsiTheme="majorBidi" w:cstheme="majorBidi"/>
            <w:noProof/>
          </w:rPr>
          <w:t xml:space="preserve"> structure showing lattice parameter </w:t>
        </w:r>
        <w:r w:rsidR="0042745D" w:rsidRPr="006D631C">
          <w:rPr>
            <w:rStyle w:val="Hyperlink"/>
            <w:rFonts w:asciiTheme="majorBidi" w:hAnsiTheme="majorBidi" w:cstheme="majorBidi"/>
            <w:i/>
            <w:iCs/>
            <w:noProof/>
          </w:rPr>
          <w:t>d</w:t>
        </w:r>
        <w:r w:rsidR="0042745D" w:rsidRPr="006D631C">
          <w:rPr>
            <w:rStyle w:val="Hyperlink"/>
            <w:rFonts w:asciiTheme="majorBidi" w:hAnsiTheme="majorBidi" w:cstheme="majorBidi"/>
            <w:noProof/>
          </w:rPr>
          <w:t xml:space="preserve">, </w:t>
        </w:r>
        <w:r w:rsidR="0042745D" w:rsidRPr="006D631C">
          <w:rPr>
            <w:rStyle w:val="Hyperlink"/>
            <w:rFonts w:asciiTheme="majorBidi" w:hAnsiTheme="majorBidi" w:cstheme="majorBidi"/>
            <w:i/>
            <w:iCs/>
            <w:noProof/>
          </w:rPr>
          <w:t>δ</w:t>
        </w:r>
        <w:r w:rsidR="0042745D" w:rsidRPr="006D631C">
          <w:rPr>
            <w:rStyle w:val="Hyperlink"/>
            <w:rFonts w:asciiTheme="majorBidi" w:hAnsiTheme="majorBidi" w:cstheme="majorBidi"/>
            <w:noProof/>
            <w:vertAlign w:val="subscript"/>
          </w:rPr>
          <w:t>1</w:t>
        </w:r>
        <w:r w:rsidR="0042745D" w:rsidRPr="006D631C">
          <w:rPr>
            <w:rStyle w:val="Hyperlink"/>
            <w:rFonts w:asciiTheme="majorBidi" w:hAnsiTheme="majorBidi" w:cstheme="majorBidi"/>
            <w:noProof/>
          </w:rPr>
          <w:t xml:space="preserve"> is the thickness of the apolar domain, </w:t>
        </w:r>
        <w:r w:rsidR="0042745D" w:rsidRPr="006D631C">
          <w:rPr>
            <w:rStyle w:val="Hyperlink"/>
            <w:rFonts w:asciiTheme="majorBidi" w:hAnsiTheme="majorBidi" w:cstheme="majorBidi"/>
            <w:i/>
            <w:iCs/>
            <w:noProof/>
          </w:rPr>
          <w:t>δ</w:t>
        </w:r>
        <w:r w:rsidR="0042745D" w:rsidRPr="006D631C">
          <w:rPr>
            <w:rStyle w:val="Hyperlink"/>
            <w:rFonts w:asciiTheme="majorBidi" w:hAnsiTheme="majorBidi" w:cstheme="majorBidi"/>
            <w:i/>
            <w:iCs/>
            <w:noProof/>
            <w:vertAlign w:val="subscript"/>
          </w:rPr>
          <w:t>2</w:t>
        </w:r>
        <w:r w:rsidR="0042745D" w:rsidRPr="006D631C">
          <w:rPr>
            <w:rStyle w:val="Hyperlink"/>
            <w:rFonts w:asciiTheme="majorBidi" w:hAnsiTheme="majorBidi" w:cstheme="majorBidi"/>
            <w:noProof/>
          </w:rPr>
          <w:t xml:space="preserve"> is the thickness of the polar domain, </w:t>
        </w:r>
        <w:r w:rsidR="0042745D" w:rsidRPr="006D631C">
          <w:rPr>
            <w:rStyle w:val="Hyperlink"/>
            <w:rFonts w:asciiTheme="majorBidi" w:hAnsiTheme="majorBidi" w:cstheme="majorBidi"/>
            <w:i/>
            <w:iCs/>
            <w:noProof/>
          </w:rPr>
          <w:t>D</w:t>
        </w:r>
        <w:r w:rsidR="0042745D" w:rsidRPr="006D631C">
          <w:rPr>
            <w:rStyle w:val="Hyperlink"/>
            <w:rFonts w:asciiTheme="majorBidi" w:hAnsiTheme="majorBidi" w:cstheme="majorBidi"/>
            <w:i/>
            <w:iCs/>
            <w:noProof/>
            <w:vertAlign w:val="subscript"/>
          </w:rPr>
          <w:t>1</w:t>
        </w:r>
        <w:r w:rsidR="0042745D" w:rsidRPr="006D631C">
          <w:rPr>
            <w:rStyle w:val="Hyperlink"/>
            <w:rFonts w:asciiTheme="majorBidi" w:hAnsiTheme="majorBidi" w:cstheme="majorBidi"/>
            <w:noProof/>
          </w:rPr>
          <w:t xml:space="preserve"> is the intermicellar distance in apolar </w:t>
        </w:r>
        <w:r w:rsidR="0042745D" w:rsidRPr="006D631C">
          <w:rPr>
            <w:rStyle w:val="Hyperlink"/>
            <w:rFonts w:asciiTheme="majorBidi" w:hAnsiTheme="majorBidi" w:cstheme="majorBidi"/>
            <w:noProof/>
          </w:rPr>
          <w:lastRenderedPageBreak/>
          <w:t xml:space="preserve">phase, </w:t>
        </w:r>
        <w:r w:rsidR="0042745D" w:rsidRPr="006D631C">
          <w:rPr>
            <w:rStyle w:val="Hyperlink"/>
            <w:rFonts w:asciiTheme="majorBidi" w:hAnsiTheme="majorBidi" w:cstheme="majorBidi"/>
            <w:i/>
            <w:iCs/>
            <w:noProof/>
          </w:rPr>
          <w:t>D</w:t>
        </w:r>
        <w:r w:rsidR="0042745D" w:rsidRPr="006D631C">
          <w:rPr>
            <w:rStyle w:val="Hyperlink"/>
            <w:rFonts w:asciiTheme="majorBidi" w:hAnsiTheme="majorBidi" w:cstheme="majorBidi"/>
            <w:i/>
            <w:iCs/>
            <w:noProof/>
            <w:vertAlign w:val="subscript"/>
          </w:rPr>
          <w:t>2</w:t>
        </w:r>
        <w:r w:rsidR="0042745D" w:rsidRPr="006D631C">
          <w:rPr>
            <w:rStyle w:val="Hyperlink"/>
            <w:rFonts w:asciiTheme="majorBidi" w:hAnsiTheme="majorBidi" w:cstheme="majorBidi"/>
            <w:noProof/>
          </w:rPr>
          <w:t xml:space="preserve"> is the intermicellar distance in polar domain, and </w:t>
        </w:r>
        <w:r w:rsidR="0042745D" w:rsidRPr="006D631C">
          <w:rPr>
            <w:rStyle w:val="Hyperlink"/>
            <w:rFonts w:asciiTheme="majorBidi" w:hAnsiTheme="majorBidi" w:cstheme="majorBidi"/>
            <w:i/>
            <w:iCs/>
            <w:noProof/>
          </w:rPr>
          <w:t>R</w:t>
        </w:r>
        <w:r w:rsidR="0042745D" w:rsidRPr="006D631C">
          <w:rPr>
            <w:rStyle w:val="Hyperlink"/>
            <w:rFonts w:asciiTheme="majorBidi" w:hAnsiTheme="majorBidi" w:cstheme="majorBidi"/>
            <w:i/>
            <w:iCs/>
            <w:noProof/>
            <w:vertAlign w:val="subscript"/>
          </w:rPr>
          <w:t xml:space="preserve">1,max </w:t>
        </w:r>
        <w:r w:rsidR="0042745D" w:rsidRPr="006D631C">
          <w:rPr>
            <w:rStyle w:val="Hyperlink"/>
            <w:rFonts w:asciiTheme="majorBidi" w:hAnsiTheme="majorBidi" w:cstheme="majorBidi"/>
            <w:noProof/>
          </w:rPr>
          <w:t xml:space="preserve">and </w:t>
        </w:r>
        <w:r w:rsidR="0042745D" w:rsidRPr="006D631C">
          <w:rPr>
            <w:rStyle w:val="Hyperlink"/>
            <w:rFonts w:asciiTheme="majorBidi" w:hAnsiTheme="majorBidi" w:cstheme="majorBidi"/>
            <w:i/>
            <w:iCs/>
            <w:noProof/>
          </w:rPr>
          <w:t>R</w:t>
        </w:r>
        <w:r w:rsidR="0042745D" w:rsidRPr="006D631C">
          <w:rPr>
            <w:rStyle w:val="Hyperlink"/>
            <w:rFonts w:asciiTheme="majorBidi" w:hAnsiTheme="majorBidi" w:cstheme="majorBidi"/>
            <w:i/>
            <w:iCs/>
            <w:noProof/>
            <w:vertAlign w:val="subscript"/>
          </w:rPr>
          <w:t>2,max</w:t>
        </w:r>
        <w:r w:rsidR="0042745D" w:rsidRPr="006D631C">
          <w:rPr>
            <w:rStyle w:val="Hyperlink"/>
            <w:rFonts w:asciiTheme="majorBidi" w:hAnsiTheme="majorBidi" w:cstheme="majorBidi"/>
            <w:noProof/>
            <w:vertAlign w:val="subscript"/>
          </w:rPr>
          <w:t xml:space="preserve"> </w:t>
        </w:r>
        <w:r w:rsidR="0042745D" w:rsidRPr="006D631C">
          <w:rPr>
            <w:rStyle w:val="Hyperlink"/>
            <w:rFonts w:asciiTheme="majorBidi" w:hAnsiTheme="majorBidi" w:cstheme="majorBidi"/>
            <w:noProof/>
          </w:rPr>
          <w:t>are the radii of the biggest circles trapped between the micelles in apolar and polar domains, respectively.</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_Toc148175917 \h </w:instrText>
        </w:r>
        <w:r w:rsidR="0042745D" w:rsidRPr="006D631C">
          <w:rPr>
            <w:noProof/>
            <w:webHidden/>
          </w:rPr>
        </w:r>
        <w:r w:rsidR="0042745D" w:rsidRPr="006D631C">
          <w:rPr>
            <w:noProof/>
            <w:webHidden/>
          </w:rPr>
          <w:fldChar w:fldCharType="separate"/>
        </w:r>
        <w:r w:rsidR="0042745D" w:rsidRPr="006D631C">
          <w:rPr>
            <w:noProof/>
            <w:webHidden/>
          </w:rPr>
          <w:t>21</w:t>
        </w:r>
        <w:r w:rsidR="0042745D" w:rsidRPr="006D631C">
          <w:rPr>
            <w:noProof/>
            <w:webHidden/>
          </w:rPr>
          <w:fldChar w:fldCharType="end"/>
        </w:r>
      </w:hyperlink>
    </w:p>
    <w:p w14:paraId="79038CD4" w14:textId="5556CBCD" w:rsidR="0042745D" w:rsidRPr="006D631C" w:rsidRDefault="001A0507">
      <w:pPr>
        <w:pStyle w:val="TableofFigures"/>
        <w:rPr>
          <w:rFonts w:asciiTheme="minorHAnsi" w:eastAsiaTheme="minorEastAsia" w:hAnsiTheme="minorHAnsi" w:cstheme="minorBidi"/>
          <w:noProof/>
          <w:sz w:val="22"/>
          <w:szCs w:val="22"/>
        </w:rPr>
      </w:pPr>
      <w:hyperlink w:anchor="_Toc148175918"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9.</w:t>
        </w:r>
        <w:r w:rsidR="0042745D" w:rsidRPr="006D631C">
          <w:rPr>
            <w:rStyle w:val="Hyperlink"/>
            <w:rFonts w:eastAsia="Calibri"/>
            <w:noProof/>
          </w:rPr>
          <w:t xml:space="preserve"> </w:t>
        </w:r>
        <w:r w:rsidR="0042745D" w:rsidRPr="006D631C">
          <w:rPr>
            <w:rStyle w:val="Hyperlink"/>
            <w:rFonts w:asciiTheme="majorBidi" w:hAnsiTheme="majorBidi" w:cstheme="majorBidi"/>
            <w:noProof/>
          </w:rPr>
          <w:t>Typical schematic of (a) normal and (b) reverse primitive Q</w:t>
        </w:r>
        <w:r w:rsidR="0042745D" w:rsidRPr="006D631C">
          <w:rPr>
            <w:rStyle w:val="Hyperlink"/>
            <w:rFonts w:asciiTheme="majorBidi" w:hAnsiTheme="majorBidi" w:cstheme="majorBidi"/>
            <w:noProof/>
            <w:vertAlign w:val="subscript"/>
          </w:rPr>
          <w:t>α</w:t>
        </w:r>
        <w:r w:rsidR="0042745D" w:rsidRPr="006D631C">
          <w:rPr>
            <w:rStyle w:val="Hyperlink"/>
            <w:rFonts w:asciiTheme="majorBidi" w:hAnsiTheme="majorBidi" w:cstheme="majorBidi"/>
            <w:noProof/>
          </w:rPr>
          <w:t xml:space="preserve"> structure with lattice parameter (</w:t>
        </w:r>
        <w:r w:rsidR="0042745D" w:rsidRPr="006D631C">
          <w:rPr>
            <w:rStyle w:val="Hyperlink"/>
            <w:rFonts w:asciiTheme="majorBidi" w:hAnsiTheme="majorBidi" w:cstheme="majorBidi"/>
            <w:i/>
            <w:iCs/>
            <w:noProof/>
          </w:rPr>
          <w:t>a</w:t>
        </w:r>
        <w:r w:rsidR="0042745D" w:rsidRPr="006D631C">
          <w:rPr>
            <w:rStyle w:val="Hyperlink"/>
            <w:rFonts w:asciiTheme="majorBidi" w:hAnsiTheme="majorBidi" w:cstheme="majorBidi"/>
            <w:noProof/>
          </w:rPr>
          <w:t>) and the thickness of the polar (2</w:t>
        </w:r>
        <w:r w:rsidR="0042745D" w:rsidRPr="006D631C">
          <w:rPr>
            <w:rStyle w:val="Hyperlink"/>
            <w:rFonts w:asciiTheme="majorBidi" w:hAnsiTheme="majorBidi" w:cstheme="majorBidi"/>
            <w:i/>
            <w:iCs/>
            <w:noProof/>
          </w:rPr>
          <w:t>t</w:t>
        </w:r>
        <w:r w:rsidR="0042745D" w:rsidRPr="006D631C">
          <w:rPr>
            <w:rStyle w:val="Hyperlink"/>
            <w:rFonts w:asciiTheme="majorBidi" w:hAnsiTheme="majorBidi" w:cstheme="majorBidi"/>
            <w:i/>
            <w:iCs/>
            <w:noProof/>
            <w:vertAlign w:val="subscript"/>
          </w:rPr>
          <w:t>polar</w:t>
        </w:r>
        <w:r w:rsidR="0042745D" w:rsidRPr="006D631C">
          <w:rPr>
            <w:rStyle w:val="Hyperlink"/>
            <w:rFonts w:asciiTheme="majorBidi" w:hAnsiTheme="majorBidi" w:cstheme="majorBidi"/>
            <w:noProof/>
          </w:rPr>
          <w:t>) and apolar domains (2</w:t>
        </w:r>
        <w:r w:rsidR="0042745D" w:rsidRPr="006D631C">
          <w:rPr>
            <w:rStyle w:val="Hyperlink"/>
            <w:rFonts w:asciiTheme="majorBidi" w:hAnsiTheme="majorBidi" w:cstheme="majorBidi"/>
            <w:i/>
            <w:iCs/>
            <w:noProof/>
          </w:rPr>
          <w:t>l</w:t>
        </w:r>
        <w:r w:rsidR="0042745D" w:rsidRPr="006D631C">
          <w:rPr>
            <w:rStyle w:val="Hyperlink"/>
            <w:rFonts w:asciiTheme="majorBidi" w:hAnsiTheme="majorBidi" w:cstheme="majorBidi"/>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_Toc148175918 \h </w:instrText>
        </w:r>
        <w:r w:rsidR="0042745D" w:rsidRPr="006D631C">
          <w:rPr>
            <w:noProof/>
            <w:webHidden/>
          </w:rPr>
        </w:r>
        <w:r w:rsidR="0042745D" w:rsidRPr="006D631C">
          <w:rPr>
            <w:noProof/>
            <w:webHidden/>
          </w:rPr>
          <w:fldChar w:fldCharType="separate"/>
        </w:r>
        <w:r w:rsidR="0042745D" w:rsidRPr="006D631C">
          <w:rPr>
            <w:noProof/>
            <w:webHidden/>
          </w:rPr>
          <w:t>22</w:t>
        </w:r>
        <w:r w:rsidR="0042745D" w:rsidRPr="006D631C">
          <w:rPr>
            <w:noProof/>
            <w:webHidden/>
          </w:rPr>
          <w:fldChar w:fldCharType="end"/>
        </w:r>
      </w:hyperlink>
    </w:p>
    <w:p w14:paraId="183E8BA4" w14:textId="06DA0316" w:rsidR="0042745D" w:rsidRPr="006D631C" w:rsidRDefault="001A0507">
      <w:pPr>
        <w:pStyle w:val="TableofFigures"/>
        <w:rPr>
          <w:rFonts w:asciiTheme="minorHAnsi" w:eastAsiaTheme="minorEastAsia" w:hAnsiTheme="minorHAnsi" w:cstheme="minorBidi"/>
          <w:noProof/>
          <w:sz w:val="22"/>
          <w:szCs w:val="22"/>
        </w:rPr>
      </w:pPr>
      <w:hyperlink w:anchor="_Toc148175919"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10.</w:t>
        </w:r>
        <w:r w:rsidR="0042745D" w:rsidRPr="006D631C">
          <w:rPr>
            <w:rStyle w:val="Hyperlink"/>
            <w:rFonts w:eastAsia="Calibri"/>
            <w:noProof/>
          </w:rPr>
          <w:t xml:space="preserve"> </w:t>
        </w:r>
        <w:r w:rsidR="0042745D" w:rsidRPr="006D631C">
          <w:rPr>
            <w:rStyle w:val="Hyperlink"/>
            <w:rFonts w:asciiTheme="majorBidi" w:hAnsiTheme="majorBidi" w:cstheme="majorBidi"/>
            <w:noProof/>
          </w:rPr>
          <w:t xml:space="preserve">Typical schematic of inverse </w:t>
        </w:r>
        <w:r w:rsidR="0042745D" w:rsidRPr="006D631C">
          <w:rPr>
            <w:rStyle w:val="Hyperlink"/>
            <w:rFonts w:asciiTheme="majorBidi" w:hAnsiTheme="majorBidi" w:cstheme="majorBidi"/>
            <w:i/>
            <w:iCs/>
            <w:noProof/>
          </w:rPr>
          <w:t>BCC</w:t>
        </w:r>
        <w:r w:rsidR="0042745D" w:rsidRPr="006D631C">
          <w:rPr>
            <w:rStyle w:val="Hyperlink"/>
            <w:rFonts w:asciiTheme="majorBidi" w:hAnsiTheme="majorBidi" w:cstheme="majorBidi"/>
            <w:noProof/>
          </w:rPr>
          <w:t xml:space="preserve"> discontinuous cubic structure with lattice parameter (</w:t>
        </w:r>
        <w:r w:rsidR="0042745D" w:rsidRPr="006D631C">
          <w:rPr>
            <w:rStyle w:val="Hyperlink"/>
            <w:rFonts w:asciiTheme="majorBidi" w:hAnsiTheme="majorBidi" w:cstheme="majorBidi"/>
            <w:i/>
            <w:iCs/>
            <w:noProof/>
          </w:rPr>
          <w:t>a</w:t>
        </w:r>
        <w:r w:rsidR="0042745D" w:rsidRPr="006D631C">
          <w:rPr>
            <w:rStyle w:val="Hyperlink"/>
            <w:rFonts w:asciiTheme="majorBidi" w:hAnsiTheme="majorBidi" w:cstheme="majorBidi"/>
            <w:noProof/>
          </w:rPr>
          <w:t>), radius of spherical micelles (</w:t>
        </w:r>
        <w:r w:rsidR="0042745D" w:rsidRPr="006D631C">
          <w:rPr>
            <w:rStyle w:val="Hyperlink"/>
            <w:rFonts w:asciiTheme="majorBidi" w:hAnsiTheme="majorBidi" w:cstheme="majorBidi"/>
            <w:i/>
            <w:iCs/>
            <w:noProof/>
          </w:rPr>
          <w:t>R</w:t>
        </w:r>
        <w:r w:rsidR="0042745D" w:rsidRPr="006D631C">
          <w:rPr>
            <w:rStyle w:val="Hyperlink"/>
            <w:rFonts w:asciiTheme="majorBidi" w:hAnsiTheme="majorBidi" w:cstheme="majorBidi"/>
            <w:i/>
            <w:iCs/>
            <w:noProof/>
            <w:vertAlign w:val="subscript"/>
          </w:rPr>
          <w:t>c</w:t>
        </w:r>
        <w:r w:rsidR="0042745D" w:rsidRPr="006D631C">
          <w:rPr>
            <w:rStyle w:val="Hyperlink"/>
            <w:rFonts w:asciiTheme="majorBidi" w:hAnsiTheme="majorBidi" w:cstheme="majorBidi"/>
            <w:noProof/>
          </w:rPr>
          <w:t>), polar domain size (</w:t>
        </w:r>
        <w:r w:rsidR="0042745D" w:rsidRPr="006D631C">
          <w:rPr>
            <w:rStyle w:val="Hyperlink"/>
            <w:rFonts w:asciiTheme="majorBidi" w:hAnsiTheme="majorBidi" w:cstheme="majorBidi"/>
            <w:i/>
            <w:iCs/>
            <w:noProof/>
          </w:rPr>
          <w:t>α</w:t>
        </w:r>
        <w:r w:rsidR="0042745D" w:rsidRPr="006D631C">
          <w:rPr>
            <w:rStyle w:val="Hyperlink"/>
            <w:rFonts w:asciiTheme="majorBidi" w:hAnsiTheme="majorBidi" w:cstheme="majorBidi"/>
            <w:i/>
            <w:iCs/>
            <w:noProof/>
            <w:vertAlign w:val="subscript"/>
          </w:rPr>
          <w:t>1</w:t>
        </w:r>
        <w:r w:rsidR="0042745D" w:rsidRPr="006D631C">
          <w:rPr>
            <w:rStyle w:val="Hyperlink"/>
            <w:rFonts w:asciiTheme="majorBidi" w:hAnsiTheme="majorBidi" w:cstheme="majorBidi"/>
            <w:noProof/>
          </w:rPr>
          <w:t>) and apolar domain size (</w:t>
        </w:r>
        <w:r w:rsidR="0042745D" w:rsidRPr="006D631C">
          <w:rPr>
            <w:rStyle w:val="Hyperlink"/>
            <w:rFonts w:asciiTheme="majorBidi" w:hAnsiTheme="majorBidi" w:cstheme="majorBidi"/>
            <w:i/>
            <w:iCs/>
            <w:noProof/>
          </w:rPr>
          <w:t>α</w:t>
        </w:r>
        <w:r w:rsidR="0042745D" w:rsidRPr="006D631C">
          <w:rPr>
            <w:rStyle w:val="Hyperlink"/>
            <w:rFonts w:asciiTheme="majorBidi" w:hAnsiTheme="majorBidi" w:cstheme="majorBidi"/>
            <w:i/>
            <w:iCs/>
            <w:noProof/>
            <w:vertAlign w:val="subscript"/>
          </w:rPr>
          <w:t>2</w:t>
        </w:r>
        <w:r w:rsidR="0042745D" w:rsidRPr="006D631C">
          <w:rPr>
            <w:rStyle w:val="Hyperlink"/>
            <w:rFonts w:asciiTheme="majorBidi" w:hAnsiTheme="majorBidi" w:cstheme="majorBidi"/>
            <w:noProof/>
          </w:rPr>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_Toc148175919 \h </w:instrText>
        </w:r>
        <w:r w:rsidR="0042745D" w:rsidRPr="006D631C">
          <w:rPr>
            <w:noProof/>
            <w:webHidden/>
          </w:rPr>
        </w:r>
        <w:r w:rsidR="0042745D" w:rsidRPr="006D631C">
          <w:rPr>
            <w:noProof/>
            <w:webHidden/>
          </w:rPr>
          <w:fldChar w:fldCharType="separate"/>
        </w:r>
        <w:r w:rsidR="0042745D" w:rsidRPr="006D631C">
          <w:rPr>
            <w:noProof/>
            <w:webHidden/>
          </w:rPr>
          <w:t>23</w:t>
        </w:r>
        <w:r w:rsidR="0042745D" w:rsidRPr="006D631C">
          <w:rPr>
            <w:noProof/>
            <w:webHidden/>
          </w:rPr>
          <w:fldChar w:fldCharType="end"/>
        </w:r>
      </w:hyperlink>
    </w:p>
    <w:p w14:paraId="327FD856" w14:textId="59BE6850" w:rsidR="0042745D" w:rsidRPr="006D631C" w:rsidRDefault="001A0507">
      <w:pPr>
        <w:pStyle w:val="TableofFigures"/>
        <w:rPr>
          <w:rFonts w:asciiTheme="minorHAnsi" w:eastAsiaTheme="minorEastAsia" w:hAnsiTheme="minorHAnsi" w:cstheme="minorBidi"/>
          <w:noProof/>
          <w:sz w:val="22"/>
          <w:szCs w:val="22"/>
        </w:rPr>
      </w:pPr>
      <w:hyperlink w:anchor="_Toc148175920"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11.</w:t>
        </w:r>
        <w:r w:rsidR="0042745D" w:rsidRPr="006D631C">
          <w:rPr>
            <w:rStyle w:val="Hyperlink"/>
            <w:rFonts w:eastAsia="Calibri"/>
            <w:noProof/>
          </w:rPr>
          <w:t xml:space="preserve"> </w:t>
        </w:r>
        <w:r w:rsidR="0042745D" w:rsidRPr="006D631C">
          <w:rPr>
            <w:rStyle w:val="Hyperlink"/>
            <w:rFonts w:asciiTheme="majorBidi" w:hAnsiTheme="majorBidi" w:cstheme="majorBidi"/>
            <w:noProof/>
          </w:rPr>
          <w:t>Typical schematics of different F-K phases observed for LLCs including A15, C14 and C15 Laves, and σ phases.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_Toc148175920 \h </w:instrText>
        </w:r>
        <w:r w:rsidR="0042745D" w:rsidRPr="006D631C">
          <w:rPr>
            <w:noProof/>
            <w:webHidden/>
          </w:rPr>
        </w:r>
        <w:r w:rsidR="0042745D" w:rsidRPr="006D631C">
          <w:rPr>
            <w:noProof/>
            <w:webHidden/>
          </w:rPr>
          <w:fldChar w:fldCharType="separate"/>
        </w:r>
        <w:r w:rsidR="0042745D" w:rsidRPr="006D631C">
          <w:rPr>
            <w:noProof/>
            <w:webHidden/>
          </w:rPr>
          <w:t>25</w:t>
        </w:r>
        <w:r w:rsidR="0042745D" w:rsidRPr="006D631C">
          <w:rPr>
            <w:noProof/>
            <w:webHidden/>
          </w:rPr>
          <w:fldChar w:fldCharType="end"/>
        </w:r>
      </w:hyperlink>
    </w:p>
    <w:p w14:paraId="6D9B3933" w14:textId="68A53FC8" w:rsidR="0042745D" w:rsidRPr="006D631C" w:rsidRDefault="001A0507">
      <w:pPr>
        <w:pStyle w:val="TableofFigures"/>
        <w:rPr>
          <w:rFonts w:asciiTheme="minorHAnsi" w:eastAsiaTheme="minorEastAsia" w:hAnsiTheme="minorHAnsi" w:cstheme="minorBidi"/>
          <w:noProof/>
          <w:sz w:val="22"/>
          <w:szCs w:val="22"/>
        </w:rPr>
      </w:pPr>
      <w:hyperlink w:anchor="_Toc148175921"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12. The relative effect of (a) polymerizable group placement on the reactive amphiphile and (b) the lipophilic chain length on the polymerization rate in synergistic templating. Different structures are obtained with an increase in the length of lipophilic chain, resulting in lower reaction rate. Higher proximity of the reactive groups enables higher reaction rates.</w:t>
        </w:r>
        <w:r w:rsidR="0042745D" w:rsidRPr="006D631C">
          <w:rPr>
            <w:rStyle w:val="Hyperlink"/>
            <w:noProof/>
            <w:vertAlign w:val="superscript"/>
          </w:rPr>
          <w:t>27</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_Toc148175921 \h </w:instrText>
        </w:r>
        <w:r w:rsidR="0042745D" w:rsidRPr="006D631C">
          <w:rPr>
            <w:noProof/>
            <w:webHidden/>
          </w:rPr>
        </w:r>
        <w:r w:rsidR="0042745D" w:rsidRPr="006D631C">
          <w:rPr>
            <w:noProof/>
            <w:webHidden/>
          </w:rPr>
          <w:fldChar w:fldCharType="separate"/>
        </w:r>
        <w:r w:rsidR="0042745D" w:rsidRPr="006D631C">
          <w:rPr>
            <w:noProof/>
            <w:webHidden/>
          </w:rPr>
          <w:t>51</w:t>
        </w:r>
        <w:r w:rsidR="0042745D" w:rsidRPr="006D631C">
          <w:rPr>
            <w:noProof/>
            <w:webHidden/>
          </w:rPr>
          <w:fldChar w:fldCharType="end"/>
        </w:r>
      </w:hyperlink>
    </w:p>
    <w:p w14:paraId="76EE512F" w14:textId="6588C8C9" w:rsidR="0042745D" w:rsidRPr="006D631C" w:rsidRDefault="001A0507">
      <w:pPr>
        <w:pStyle w:val="TableofFigures"/>
        <w:rPr>
          <w:rFonts w:asciiTheme="minorHAnsi" w:eastAsiaTheme="minorEastAsia" w:hAnsiTheme="minorHAnsi" w:cstheme="minorBidi"/>
          <w:noProof/>
          <w:sz w:val="22"/>
          <w:szCs w:val="22"/>
        </w:rPr>
      </w:pPr>
      <w:hyperlink w:anchor="_Toc148175922"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13. The relative effect of monomer and initiator polarity on the polymerization rate in transcriptive templating.</w:t>
        </w:r>
        <w:r w:rsidR="0042745D" w:rsidRPr="006D631C">
          <w:rPr>
            <w:rStyle w:val="Hyperlink"/>
            <w:noProof/>
            <w:vertAlign w:val="superscript"/>
          </w:rPr>
          <w:t>27</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_Toc148175922 \h </w:instrText>
        </w:r>
        <w:r w:rsidR="0042745D" w:rsidRPr="006D631C">
          <w:rPr>
            <w:noProof/>
            <w:webHidden/>
          </w:rPr>
        </w:r>
        <w:r w:rsidR="0042745D" w:rsidRPr="006D631C">
          <w:rPr>
            <w:noProof/>
            <w:webHidden/>
          </w:rPr>
          <w:fldChar w:fldCharType="separate"/>
        </w:r>
        <w:r w:rsidR="0042745D" w:rsidRPr="006D631C">
          <w:rPr>
            <w:noProof/>
            <w:webHidden/>
          </w:rPr>
          <w:t>53</w:t>
        </w:r>
        <w:r w:rsidR="0042745D" w:rsidRPr="006D631C">
          <w:rPr>
            <w:noProof/>
            <w:webHidden/>
          </w:rPr>
          <w:fldChar w:fldCharType="end"/>
        </w:r>
      </w:hyperlink>
    </w:p>
    <w:p w14:paraId="2FAD7B6D" w14:textId="63484870" w:rsidR="0042745D" w:rsidRPr="006D631C" w:rsidRDefault="001A0507">
      <w:pPr>
        <w:pStyle w:val="TableofFigures"/>
        <w:rPr>
          <w:rFonts w:asciiTheme="minorHAnsi" w:eastAsiaTheme="minorEastAsia" w:hAnsiTheme="minorHAnsi" w:cstheme="minorBidi"/>
          <w:noProof/>
          <w:sz w:val="22"/>
          <w:szCs w:val="22"/>
        </w:rPr>
      </w:pPr>
      <w:hyperlink w:anchor="_Toc148175923"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 xml:space="preserve">14. </w:t>
        </w:r>
        <w:r w:rsidR="0042745D" w:rsidRPr="006D631C">
          <w:rPr>
            <w:rStyle w:val="Hyperlink"/>
            <w:rFonts w:eastAsia="Calibri"/>
            <w:noProof/>
          </w:rPr>
          <w:t xml:space="preserve">Potential </w:t>
        </w:r>
        <w:r w:rsidR="0042745D" w:rsidRPr="006D631C">
          <w:rPr>
            <w:rStyle w:val="Hyperlink"/>
            <w:noProof/>
          </w:rPr>
          <w:t>applications</w:t>
        </w:r>
        <w:r w:rsidR="0042745D" w:rsidRPr="006D631C">
          <w:rPr>
            <w:rStyle w:val="Hyperlink"/>
            <w:rFonts w:eastAsia="Calibri"/>
            <w:noProof/>
          </w:rPr>
          <w:t xml:space="preserve"> of LLC templated products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_Toc148175923 \h </w:instrText>
        </w:r>
        <w:r w:rsidR="0042745D" w:rsidRPr="006D631C">
          <w:rPr>
            <w:noProof/>
            <w:webHidden/>
          </w:rPr>
        </w:r>
        <w:r w:rsidR="0042745D" w:rsidRPr="006D631C">
          <w:rPr>
            <w:noProof/>
            <w:webHidden/>
          </w:rPr>
          <w:fldChar w:fldCharType="separate"/>
        </w:r>
        <w:r w:rsidR="0042745D" w:rsidRPr="006D631C">
          <w:rPr>
            <w:noProof/>
            <w:webHidden/>
          </w:rPr>
          <w:t>57</w:t>
        </w:r>
        <w:r w:rsidR="0042745D" w:rsidRPr="006D631C">
          <w:rPr>
            <w:noProof/>
            <w:webHidden/>
          </w:rPr>
          <w:fldChar w:fldCharType="end"/>
        </w:r>
      </w:hyperlink>
    </w:p>
    <w:p w14:paraId="2D64C81C" w14:textId="2492F98B" w:rsidR="0042745D" w:rsidRPr="006D631C" w:rsidRDefault="001A0507">
      <w:pPr>
        <w:pStyle w:val="TableofFigures"/>
        <w:rPr>
          <w:rFonts w:asciiTheme="minorHAnsi" w:eastAsiaTheme="minorEastAsia" w:hAnsiTheme="minorHAnsi" w:cstheme="minorBidi"/>
          <w:noProof/>
          <w:sz w:val="22"/>
          <w:szCs w:val="22"/>
        </w:rPr>
      </w:pPr>
      <w:hyperlink w:anchor="_Toc148175924"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 xml:space="preserve">15. </w:t>
        </w:r>
        <w:r w:rsidR="0042745D" w:rsidRPr="006D631C">
          <w:rPr>
            <w:rStyle w:val="Hyperlink"/>
            <w:rFonts w:eastAsia="Calibri"/>
            <w:noProof/>
          </w:rPr>
          <w:t>The Pluronic block copolymer chart displaying different types of the copolymer based on the PPO molecular weight and the weight percentage of PEO.</w:t>
        </w:r>
        <w:r w:rsidR="0042745D" w:rsidRPr="006D631C">
          <w:rPr>
            <w:rStyle w:val="Hyperlink"/>
            <w:rFonts w:eastAsia="Calibri"/>
            <w:noProof/>
            <w:vertAlign w:val="superscript"/>
          </w:rPr>
          <w:t>142</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_Toc148175924 \h </w:instrText>
        </w:r>
        <w:r w:rsidR="0042745D" w:rsidRPr="006D631C">
          <w:rPr>
            <w:noProof/>
            <w:webHidden/>
          </w:rPr>
        </w:r>
        <w:r w:rsidR="0042745D" w:rsidRPr="006D631C">
          <w:rPr>
            <w:noProof/>
            <w:webHidden/>
          </w:rPr>
          <w:fldChar w:fldCharType="separate"/>
        </w:r>
        <w:r w:rsidR="0042745D" w:rsidRPr="006D631C">
          <w:rPr>
            <w:noProof/>
            <w:webHidden/>
          </w:rPr>
          <w:t>65</w:t>
        </w:r>
        <w:r w:rsidR="0042745D" w:rsidRPr="006D631C">
          <w:rPr>
            <w:noProof/>
            <w:webHidden/>
          </w:rPr>
          <w:fldChar w:fldCharType="end"/>
        </w:r>
      </w:hyperlink>
    </w:p>
    <w:p w14:paraId="0E5DA6E7" w14:textId="0C79D231" w:rsidR="0042745D" w:rsidRPr="006D631C" w:rsidRDefault="001A0507">
      <w:pPr>
        <w:pStyle w:val="TableofFigures"/>
        <w:rPr>
          <w:rFonts w:asciiTheme="minorHAnsi" w:eastAsiaTheme="minorEastAsia" w:hAnsiTheme="minorHAnsi" w:cstheme="minorBidi"/>
          <w:noProof/>
          <w:sz w:val="22"/>
          <w:szCs w:val="22"/>
        </w:rPr>
      </w:pPr>
      <w:hyperlink w:anchor="_Toc148175925"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1</w:t>
        </w:r>
        <w:r w:rsidR="0042745D" w:rsidRPr="006D631C">
          <w:rPr>
            <w:rStyle w:val="Hyperlink"/>
            <w:noProof/>
          </w:rPr>
          <w:noBreakHyphen/>
          <w:t xml:space="preserve">16. </w:t>
        </w:r>
        <w:r w:rsidR="0042745D" w:rsidRPr="006D631C">
          <w:rPr>
            <w:rStyle w:val="Hyperlink"/>
            <w:rFonts w:eastAsia="Calibri"/>
            <w:noProof/>
          </w:rPr>
          <w:t>Ternary phase diagram of (a) Pluronic L64,</w:t>
        </w:r>
        <w:r w:rsidR="0042745D" w:rsidRPr="006D631C">
          <w:rPr>
            <w:rStyle w:val="Hyperlink"/>
            <w:rFonts w:eastAsia="Calibri"/>
            <w:noProof/>
            <w:vertAlign w:val="superscript"/>
          </w:rPr>
          <w:t>207</w:t>
        </w:r>
        <w:r w:rsidR="0042745D" w:rsidRPr="006D631C">
          <w:rPr>
            <w:rStyle w:val="Hyperlink"/>
            <w:rFonts w:eastAsia="Calibri"/>
            <w:noProof/>
          </w:rPr>
          <w:t xml:space="preserve"> (b) Pluronic P84</w:t>
        </w:r>
        <w:r w:rsidR="0042745D" w:rsidRPr="006D631C">
          <w:rPr>
            <w:rStyle w:val="Hyperlink"/>
            <w:rFonts w:eastAsia="Calibri"/>
            <w:noProof/>
            <w:vertAlign w:val="superscript"/>
          </w:rPr>
          <w:t>212</w:t>
        </w:r>
        <w:r w:rsidR="0042745D" w:rsidRPr="006D631C">
          <w:rPr>
            <w:rStyle w:val="Hyperlink"/>
            <w:rFonts w:eastAsia="Calibri"/>
            <w:noProof/>
          </w:rPr>
          <w:t xml:space="preserve"> and (c) Pluronic F127</w:t>
        </w:r>
        <w:r w:rsidR="0042745D" w:rsidRPr="006D631C">
          <w:rPr>
            <w:rStyle w:val="Hyperlink"/>
            <w:rFonts w:eastAsia="Calibri"/>
            <w:noProof/>
            <w:vertAlign w:val="superscript"/>
          </w:rPr>
          <w:t>209</w:t>
        </w:r>
        <w:r w:rsidR="0042745D" w:rsidRPr="006D631C">
          <w:rPr>
            <w:rStyle w:val="Hyperlink"/>
            <w:rFonts w:eastAsia="Calibri"/>
            <w:noProof/>
          </w:rPr>
          <w:t xml:space="preserve"> in the presence of water and p-xylene. The concentrations are in wt%.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_Toc148175925 \h </w:instrText>
        </w:r>
        <w:r w:rsidR="0042745D" w:rsidRPr="006D631C">
          <w:rPr>
            <w:noProof/>
            <w:webHidden/>
          </w:rPr>
        </w:r>
        <w:r w:rsidR="0042745D" w:rsidRPr="006D631C">
          <w:rPr>
            <w:noProof/>
            <w:webHidden/>
          </w:rPr>
          <w:fldChar w:fldCharType="separate"/>
        </w:r>
        <w:r w:rsidR="0042745D" w:rsidRPr="006D631C">
          <w:rPr>
            <w:noProof/>
            <w:webHidden/>
          </w:rPr>
          <w:t>66</w:t>
        </w:r>
        <w:r w:rsidR="0042745D" w:rsidRPr="006D631C">
          <w:rPr>
            <w:noProof/>
            <w:webHidden/>
          </w:rPr>
          <w:fldChar w:fldCharType="end"/>
        </w:r>
      </w:hyperlink>
    </w:p>
    <w:p w14:paraId="39D89F65" w14:textId="22258665" w:rsidR="0042745D" w:rsidRPr="006D631C" w:rsidRDefault="001A0507">
      <w:pPr>
        <w:pStyle w:val="TableofFigures"/>
        <w:rPr>
          <w:rFonts w:asciiTheme="minorHAnsi" w:eastAsiaTheme="minorEastAsia" w:hAnsiTheme="minorHAnsi" w:cstheme="minorBidi"/>
          <w:noProof/>
          <w:sz w:val="22"/>
          <w:szCs w:val="22"/>
        </w:rPr>
      </w:pPr>
      <w:hyperlink w:anchor="_Toc148175926" w:history="1">
        <w:r w:rsidR="0042745D" w:rsidRPr="006D631C">
          <w:rPr>
            <w:rStyle w:val="Hyperlink"/>
            <w:rFonts w:cs="Times New Roman"/>
            <w:noProof/>
          </w:rPr>
          <w:t xml:space="preserve">Figure </w:t>
        </w:r>
        <w:r w:rsidR="0042745D" w:rsidRPr="006D631C">
          <w:rPr>
            <w:rStyle w:val="Hyperlink"/>
            <w:rFonts w:cs="Times New Roman"/>
            <w:noProof/>
            <w:cs/>
          </w:rPr>
          <w:t>‎</w:t>
        </w:r>
        <w:r w:rsidR="0042745D" w:rsidRPr="006D631C">
          <w:rPr>
            <w:rStyle w:val="Hyperlink"/>
            <w:rFonts w:cs="Times New Roman"/>
            <w:noProof/>
          </w:rPr>
          <w:t>2</w:t>
        </w:r>
        <w:r w:rsidR="0042745D" w:rsidRPr="006D631C">
          <w:rPr>
            <w:rStyle w:val="Hyperlink"/>
            <w:rFonts w:cs="Times New Roman"/>
            <w:noProof/>
          </w:rPr>
          <w:noBreakHyphen/>
          <w:t>1. (a) Monomers and reaction scheme of their polymerization process in this study; (b-e) Chemical structures of initiators and surfactant: (b) APS, (c) BPO, (d) AIBN, and (e) Pluronic L64; (f) Schematic of polymerization process in lamellar and hexagonal structures.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_Toc148175926 \h </w:instrText>
        </w:r>
        <w:r w:rsidR="0042745D" w:rsidRPr="006D631C">
          <w:rPr>
            <w:noProof/>
            <w:webHidden/>
          </w:rPr>
        </w:r>
        <w:r w:rsidR="0042745D" w:rsidRPr="006D631C">
          <w:rPr>
            <w:noProof/>
            <w:webHidden/>
          </w:rPr>
          <w:fldChar w:fldCharType="separate"/>
        </w:r>
        <w:r w:rsidR="0042745D" w:rsidRPr="006D631C">
          <w:rPr>
            <w:noProof/>
            <w:webHidden/>
          </w:rPr>
          <w:t>74</w:t>
        </w:r>
        <w:r w:rsidR="0042745D" w:rsidRPr="006D631C">
          <w:rPr>
            <w:noProof/>
            <w:webHidden/>
          </w:rPr>
          <w:fldChar w:fldCharType="end"/>
        </w:r>
      </w:hyperlink>
    </w:p>
    <w:p w14:paraId="4667B75D" w14:textId="587C7453" w:rsidR="0042745D" w:rsidRPr="006D631C" w:rsidRDefault="001A0507">
      <w:pPr>
        <w:pStyle w:val="TableofFigures"/>
        <w:rPr>
          <w:rFonts w:asciiTheme="minorHAnsi" w:eastAsiaTheme="minorEastAsia" w:hAnsiTheme="minorHAnsi" w:cstheme="minorBidi"/>
          <w:noProof/>
          <w:sz w:val="22"/>
          <w:szCs w:val="22"/>
        </w:rPr>
      </w:pPr>
      <w:hyperlink w:anchor="_Toc148175927" w:history="1">
        <w:r w:rsidR="0042745D" w:rsidRPr="006D631C">
          <w:rPr>
            <w:rStyle w:val="Hyperlink"/>
            <w:rFonts w:cs="Times New Roman"/>
            <w:noProof/>
          </w:rPr>
          <w:t xml:space="preserve">Figure </w:t>
        </w:r>
        <w:r w:rsidR="0042745D" w:rsidRPr="006D631C">
          <w:rPr>
            <w:rStyle w:val="Hyperlink"/>
            <w:rFonts w:cs="Times New Roman"/>
            <w:noProof/>
            <w:cs/>
          </w:rPr>
          <w:t>‎</w:t>
        </w:r>
        <w:r w:rsidR="0042745D" w:rsidRPr="006D631C">
          <w:rPr>
            <w:rStyle w:val="Hyperlink"/>
            <w:rFonts w:cs="Times New Roman"/>
            <w:noProof/>
          </w:rPr>
          <w:t>2</w:t>
        </w:r>
        <w:r w:rsidR="0042745D" w:rsidRPr="006D631C">
          <w:rPr>
            <w:rStyle w:val="Hyperlink"/>
            <w:rFonts w:cs="Times New Roman"/>
            <w:noProof/>
          </w:rPr>
          <w:noBreakHyphen/>
          <w:t>2. CPLM images of LLCs with lamellar and hexagonal structures before and after thermal polymerization by IFW and IFO systems. Scale bar: 50μm.</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_Toc148175927 \h </w:instrText>
        </w:r>
        <w:r w:rsidR="0042745D" w:rsidRPr="006D631C">
          <w:rPr>
            <w:noProof/>
            <w:webHidden/>
          </w:rPr>
        </w:r>
        <w:r w:rsidR="0042745D" w:rsidRPr="006D631C">
          <w:rPr>
            <w:noProof/>
            <w:webHidden/>
          </w:rPr>
          <w:fldChar w:fldCharType="separate"/>
        </w:r>
        <w:r w:rsidR="0042745D" w:rsidRPr="006D631C">
          <w:rPr>
            <w:noProof/>
            <w:webHidden/>
          </w:rPr>
          <w:t>76</w:t>
        </w:r>
        <w:r w:rsidR="0042745D" w:rsidRPr="006D631C">
          <w:rPr>
            <w:noProof/>
            <w:webHidden/>
          </w:rPr>
          <w:fldChar w:fldCharType="end"/>
        </w:r>
      </w:hyperlink>
    </w:p>
    <w:p w14:paraId="13F2442D" w14:textId="205B0596" w:rsidR="0042745D" w:rsidRPr="006D631C" w:rsidRDefault="001A0507">
      <w:pPr>
        <w:pStyle w:val="TableofFigures"/>
        <w:rPr>
          <w:rFonts w:asciiTheme="minorHAnsi" w:eastAsiaTheme="minorEastAsia" w:hAnsiTheme="minorHAnsi" w:cstheme="minorBidi"/>
          <w:noProof/>
          <w:sz w:val="22"/>
          <w:szCs w:val="22"/>
        </w:rPr>
      </w:pPr>
      <w:hyperlink w:anchor="_Toc148175928" w:history="1">
        <w:r w:rsidR="0042745D" w:rsidRPr="006D631C">
          <w:rPr>
            <w:rStyle w:val="Hyperlink"/>
            <w:rFonts w:cs="Times New Roman"/>
            <w:noProof/>
          </w:rPr>
          <w:t xml:space="preserve">Figure </w:t>
        </w:r>
        <w:r w:rsidR="0042745D" w:rsidRPr="006D631C">
          <w:rPr>
            <w:rStyle w:val="Hyperlink"/>
            <w:rFonts w:cs="Times New Roman"/>
            <w:noProof/>
            <w:cs/>
          </w:rPr>
          <w:t>‎</w:t>
        </w:r>
        <w:r w:rsidR="0042745D" w:rsidRPr="006D631C">
          <w:rPr>
            <w:rStyle w:val="Hyperlink"/>
            <w:rFonts w:cs="Times New Roman"/>
            <w:noProof/>
          </w:rPr>
          <w:t>2</w:t>
        </w:r>
        <w:r w:rsidR="0042745D" w:rsidRPr="006D631C">
          <w:rPr>
            <w:rStyle w:val="Hyperlink"/>
            <w:rFonts w:cs="Times New Roman"/>
            <w:noProof/>
          </w:rPr>
          <w:noBreakHyphen/>
          <w:t>3. 1D SAXS data for (a) lamellar and (b) hexagonal phases before and after polymerization with different initiators. The plots are vertically shifted for clarity.</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_Toc148175928 \h </w:instrText>
        </w:r>
        <w:r w:rsidR="0042745D" w:rsidRPr="006D631C">
          <w:rPr>
            <w:noProof/>
            <w:webHidden/>
          </w:rPr>
        </w:r>
        <w:r w:rsidR="0042745D" w:rsidRPr="006D631C">
          <w:rPr>
            <w:noProof/>
            <w:webHidden/>
          </w:rPr>
          <w:fldChar w:fldCharType="separate"/>
        </w:r>
        <w:r w:rsidR="0042745D" w:rsidRPr="006D631C">
          <w:rPr>
            <w:noProof/>
            <w:webHidden/>
          </w:rPr>
          <w:t>77</w:t>
        </w:r>
        <w:r w:rsidR="0042745D" w:rsidRPr="006D631C">
          <w:rPr>
            <w:noProof/>
            <w:webHidden/>
          </w:rPr>
          <w:fldChar w:fldCharType="end"/>
        </w:r>
      </w:hyperlink>
    </w:p>
    <w:p w14:paraId="502E4092" w14:textId="78189925" w:rsidR="0042745D" w:rsidRPr="006D631C" w:rsidRDefault="001A0507">
      <w:pPr>
        <w:pStyle w:val="TableofFigures"/>
        <w:rPr>
          <w:rFonts w:asciiTheme="minorHAnsi" w:eastAsiaTheme="minorEastAsia" w:hAnsiTheme="minorHAnsi" w:cstheme="minorBidi"/>
          <w:noProof/>
          <w:sz w:val="22"/>
          <w:szCs w:val="22"/>
        </w:rPr>
      </w:pPr>
      <w:hyperlink w:anchor="_Toc148175929" w:history="1">
        <w:r w:rsidR="0042745D" w:rsidRPr="006D631C">
          <w:rPr>
            <w:rStyle w:val="Hyperlink"/>
            <w:rFonts w:cs="Times New Roman"/>
            <w:noProof/>
          </w:rPr>
          <w:t xml:space="preserve">Figure </w:t>
        </w:r>
        <w:r w:rsidR="0042745D" w:rsidRPr="006D631C">
          <w:rPr>
            <w:rStyle w:val="Hyperlink"/>
            <w:rFonts w:cs="Times New Roman"/>
            <w:noProof/>
            <w:cs/>
          </w:rPr>
          <w:t>‎</w:t>
        </w:r>
        <w:r w:rsidR="0042745D" w:rsidRPr="006D631C">
          <w:rPr>
            <w:rStyle w:val="Hyperlink"/>
            <w:rFonts w:cs="Times New Roman"/>
            <w:noProof/>
          </w:rPr>
          <w:t>2</w:t>
        </w:r>
        <w:r w:rsidR="0042745D" w:rsidRPr="006D631C">
          <w:rPr>
            <w:rStyle w:val="Hyperlink"/>
            <w:rFonts w:cs="Times New Roman"/>
            <w:noProof/>
          </w:rPr>
          <w:noBreakHyphen/>
          <w:t xml:space="preserve">4. </w:t>
        </w:r>
        <w:r w:rsidR="0042745D" w:rsidRPr="006D631C">
          <w:rPr>
            <w:rStyle w:val="Hyperlink"/>
            <w:rFonts w:eastAsia="Calibri" w:cs="Times New Roman"/>
            <w:noProof/>
          </w:rPr>
          <w:t>Normalized polymerization rate versus time and overall monomer conversion obtained from thermal polymerization in hexagonal and lamellar structures using different initiation systems: (a) APS, (b) BPO, (c) AIBN, (d) APS+AIBN and (e) APS+BPO. For all samples, the total initiator concentration of 5 mol% was used with respect to the total monomer content.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_Toc148175929 \h </w:instrText>
        </w:r>
        <w:r w:rsidR="0042745D" w:rsidRPr="006D631C">
          <w:rPr>
            <w:noProof/>
            <w:webHidden/>
          </w:rPr>
        </w:r>
        <w:r w:rsidR="0042745D" w:rsidRPr="006D631C">
          <w:rPr>
            <w:noProof/>
            <w:webHidden/>
          </w:rPr>
          <w:fldChar w:fldCharType="separate"/>
        </w:r>
        <w:r w:rsidR="0042745D" w:rsidRPr="006D631C">
          <w:rPr>
            <w:noProof/>
            <w:webHidden/>
          </w:rPr>
          <w:t>80</w:t>
        </w:r>
        <w:r w:rsidR="0042745D" w:rsidRPr="006D631C">
          <w:rPr>
            <w:noProof/>
            <w:webHidden/>
          </w:rPr>
          <w:fldChar w:fldCharType="end"/>
        </w:r>
      </w:hyperlink>
    </w:p>
    <w:p w14:paraId="19701328" w14:textId="028D66D0" w:rsidR="0042745D" w:rsidRPr="006D631C" w:rsidRDefault="001A0507">
      <w:pPr>
        <w:pStyle w:val="TableofFigures"/>
        <w:rPr>
          <w:rFonts w:asciiTheme="minorHAnsi" w:eastAsiaTheme="minorEastAsia" w:hAnsiTheme="minorHAnsi" w:cstheme="minorBidi"/>
          <w:noProof/>
          <w:sz w:val="22"/>
          <w:szCs w:val="22"/>
        </w:rPr>
      </w:pPr>
      <w:hyperlink w:anchor="_Toc148175930" w:history="1">
        <w:r w:rsidR="0042745D" w:rsidRPr="006D631C">
          <w:rPr>
            <w:rStyle w:val="Hyperlink"/>
            <w:rFonts w:cs="Times New Roman"/>
            <w:noProof/>
          </w:rPr>
          <w:t xml:space="preserve">Figure </w:t>
        </w:r>
        <w:r w:rsidR="0042745D" w:rsidRPr="006D631C">
          <w:rPr>
            <w:rStyle w:val="Hyperlink"/>
            <w:rFonts w:cs="Times New Roman"/>
            <w:noProof/>
            <w:cs/>
          </w:rPr>
          <w:t>‎</w:t>
        </w:r>
        <w:r w:rsidR="0042745D" w:rsidRPr="006D631C">
          <w:rPr>
            <w:rStyle w:val="Hyperlink"/>
            <w:rFonts w:cs="Times New Roman"/>
            <w:noProof/>
          </w:rPr>
          <w:t>2</w:t>
        </w:r>
        <w:r w:rsidR="0042745D" w:rsidRPr="006D631C">
          <w:rPr>
            <w:rStyle w:val="Hyperlink"/>
            <w:rFonts w:cs="Times New Roman"/>
            <w:noProof/>
          </w:rPr>
          <w:noBreakHyphen/>
          <w:t xml:space="preserve">5. </w:t>
        </w:r>
        <w:r w:rsidR="0042745D" w:rsidRPr="006D631C">
          <w:rPr>
            <w:rStyle w:val="Hyperlink"/>
            <w:rFonts w:eastAsia="Calibri" w:cs="Times New Roman"/>
            <w:noProof/>
          </w:rPr>
          <w:t>Normalized polymerization rate versus time and overall monomer conversion obtained from thermal polymerization in (a-c) lamellar and (d-f) hexagonal structures using different initiation systems having varied initiator contents. Arrows denote the time points that show the evidence of reduced termination rate (see main text).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_Toc148175930 \h </w:instrText>
        </w:r>
        <w:r w:rsidR="0042745D" w:rsidRPr="006D631C">
          <w:rPr>
            <w:noProof/>
            <w:webHidden/>
          </w:rPr>
        </w:r>
        <w:r w:rsidR="0042745D" w:rsidRPr="006D631C">
          <w:rPr>
            <w:noProof/>
            <w:webHidden/>
          </w:rPr>
          <w:fldChar w:fldCharType="separate"/>
        </w:r>
        <w:r w:rsidR="0042745D" w:rsidRPr="006D631C">
          <w:rPr>
            <w:noProof/>
            <w:webHidden/>
          </w:rPr>
          <w:t>89</w:t>
        </w:r>
        <w:r w:rsidR="0042745D" w:rsidRPr="006D631C">
          <w:rPr>
            <w:noProof/>
            <w:webHidden/>
          </w:rPr>
          <w:fldChar w:fldCharType="end"/>
        </w:r>
      </w:hyperlink>
    </w:p>
    <w:p w14:paraId="7B9BB181" w14:textId="1A913EF3" w:rsidR="0042745D" w:rsidRPr="006D631C" w:rsidRDefault="001A0507">
      <w:pPr>
        <w:pStyle w:val="TableofFigures"/>
        <w:rPr>
          <w:rFonts w:asciiTheme="minorHAnsi" w:eastAsiaTheme="minorEastAsia" w:hAnsiTheme="minorHAnsi" w:cstheme="minorBidi"/>
          <w:noProof/>
          <w:sz w:val="22"/>
          <w:szCs w:val="22"/>
        </w:rPr>
      </w:pPr>
      <w:hyperlink w:anchor="_Toc148175931" w:history="1">
        <w:r w:rsidR="0042745D" w:rsidRPr="006D631C">
          <w:rPr>
            <w:rStyle w:val="Hyperlink"/>
            <w:rFonts w:cs="Times New Roman"/>
            <w:noProof/>
          </w:rPr>
          <w:t xml:space="preserve">Figure </w:t>
        </w:r>
        <w:r w:rsidR="0042745D" w:rsidRPr="006D631C">
          <w:rPr>
            <w:rStyle w:val="Hyperlink"/>
            <w:rFonts w:cs="Times New Roman"/>
            <w:noProof/>
            <w:cs/>
          </w:rPr>
          <w:t>‎</w:t>
        </w:r>
        <w:r w:rsidR="0042745D" w:rsidRPr="006D631C">
          <w:rPr>
            <w:rStyle w:val="Hyperlink"/>
            <w:rFonts w:cs="Times New Roman"/>
            <w:noProof/>
          </w:rPr>
          <w:t>2</w:t>
        </w:r>
        <w:r w:rsidR="0042745D" w:rsidRPr="006D631C">
          <w:rPr>
            <w:rStyle w:val="Hyperlink"/>
            <w:rFonts w:cs="Times New Roman"/>
            <w:noProof/>
          </w:rPr>
          <w:noBreakHyphen/>
          <w:t>6. Normalized polymerization rate versus time and overall monomer conversion obtained from thermal polymerization in (a-c) lamellar and (d-f) hexagonal structures using different initiation systems at varied reaction temperatures. For all samples, the total initiator concentration of 5 mol% was used with respect to the total monomer content.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_Toc148175931 \h </w:instrText>
        </w:r>
        <w:r w:rsidR="0042745D" w:rsidRPr="006D631C">
          <w:rPr>
            <w:noProof/>
            <w:webHidden/>
          </w:rPr>
        </w:r>
        <w:r w:rsidR="0042745D" w:rsidRPr="006D631C">
          <w:rPr>
            <w:noProof/>
            <w:webHidden/>
          </w:rPr>
          <w:fldChar w:fldCharType="separate"/>
        </w:r>
        <w:r w:rsidR="0042745D" w:rsidRPr="006D631C">
          <w:rPr>
            <w:noProof/>
            <w:webHidden/>
          </w:rPr>
          <w:t>92</w:t>
        </w:r>
        <w:r w:rsidR="0042745D" w:rsidRPr="006D631C">
          <w:rPr>
            <w:noProof/>
            <w:webHidden/>
          </w:rPr>
          <w:fldChar w:fldCharType="end"/>
        </w:r>
      </w:hyperlink>
    </w:p>
    <w:p w14:paraId="1EF5A91C" w14:textId="3E665CFB" w:rsidR="0042745D" w:rsidRPr="006D631C" w:rsidRDefault="001A0507">
      <w:pPr>
        <w:pStyle w:val="TableofFigures"/>
        <w:rPr>
          <w:rFonts w:asciiTheme="minorHAnsi" w:eastAsiaTheme="minorEastAsia" w:hAnsiTheme="minorHAnsi" w:cstheme="minorBidi"/>
          <w:noProof/>
          <w:sz w:val="22"/>
          <w:szCs w:val="22"/>
        </w:rPr>
      </w:pPr>
      <w:hyperlink w:anchor="_Toc148175932"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2</w:t>
        </w:r>
        <w:r w:rsidR="0042745D" w:rsidRPr="006D631C">
          <w:rPr>
            <w:rStyle w:val="Hyperlink"/>
            <w:noProof/>
          </w:rPr>
          <w:noBreakHyphen/>
          <w:t>7</w:t>
        </w:r>
        <w:r w:rsidR="0042745D" w:rsidRPr="006D631C">
          <w:rPr>
            <w:rStyle w:val="Hyperlink"/>
            <w:rFonts w:cs="Times New Roman"/>
            <w:noProof/>
          </w:rPr>
          <w:t>. Evolution of dynamic moduli during LLC templating with (a-c) lamellar and (d-f) hexagonal structures using different initiation systems.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_Toc148175932 \h </w:instrText>
        </w:r>
        <w:r w:rsidR="0042745D" w:rsidRPr="006D631C">
          <w:rPr>
            <w:noProof/>
            <w:webHidden/>
          </w:rPr>
        </w:r>
        <w:r w:rsidR="0042745D" w:rsidRPr="006D631C">
          <w:rPr>
            <w:noProof/>
            <w:webHidden/>
          </w:rPr>
          <w:fldChar w:fldCharType="separate"/>
        </w:r>
        <w:r w:rsidR="0042745D" w:rsidRPr="006D631C">
          <w:rPr>
            <w:noProof/>
            <w:webHidden/>
          </w:rPr>
          <w:t>97</w:t>
        </w:r>
        <w:r w:rsidR="0042745D" w:rsidRPr="006D631C">
          <w:rPr>
            <w:noProof/>
            <w:webHidden/>
          </w:rPr>
          <w:fldChar w:fldCharType="end"/>
        </w:r>
      </w:hyperlink>
    </w:p>
    <w:p w14:paraId="51656BC4" w14:textId="26998AB1" w:rsidR="0042745D" w:rsidRPr="006D631C" w:rsidRDefault="001A0507">
      <w:pPr>
        <w:pStyle w:val="TableofFigures"/>
        <w:rPr>
          <w:rFonts w:asciiTheme="minorHAnsi" w:eastAsiaTheme="minorEastAsia" w:hAnsiTheme="minorHAnsi" w:cstheme="minorBidi"/>
          <w:noProof/>
          <w:sz w:val="22"/>
          <w:szCs w:val="22"/>
        </w:rPr>
      </w:pPr>
      <w:hyperlink w:anchor="_Toc148175933"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2</w:t>
        </w:r>
        <w:r w:rsidR="0042745D" w:rsidRPr="006D631C">
          <w:rPr>
            <w:rStyle w:val="Hyperlink"/>
            <w:noProof/>
          </w:rPr>
          <w:noBreakHyphen/>
          <w:t>8</w:t>
        </w:r>
        <w:r w:rsidR="0042745D" w:rsidRPr="006D631C">
          <w:rPr>
            <w:rStyle w:val="Hyperlink"/>
            <w:rFonts w:cs="Times New Roman"/>
            <w:noProof/>
          </w:rPr>
          <w:t xml:space="preserve">. </w:t>
        </w:r>
        <w:r w:rsidR="0042745D" w:rsidRPr="006D631C">
          <w:rPr>
            <w:rStyle w:val="Hyperlink"/>
            <w:rFonts w:asciiTheme="majorBidi" w:hAnsiTheme="majorBidi" w:cstheme="majorBidi"/>
            <w:noProof/>
          </w:rPr>
          <w:t>Frequency sweep curves of the samples obtained from polymerization in (a) lamellar and (b) hexagonal LLC structures using different initiation systems.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_Toc148175933 \h </w:instrText>
        </w:r>
        <w:r w:rsidR="0042745D" w:rsidRPr="006D631C">
          <w:rPr>
            <w:noProof/>
            <w:webHidden/>
          </w:rPr>
        </w:r>
        <w:r w:rsidR="0042745D" w:rsidRPr="006D631C">
          <w:rPr>
            <w:noProof/>
            <w:webHidden/>
          </w:rPr>
          <w:fldChar w:fldCharType="separate"/>
        </w:r>
        <w:r w:rsidR="0042745D" w:rsidRPr="006D631C">
          <w:rPr>
            <w:noProof/>
            <w:webHidden/>
          </w:rPr>
          <w:t>97</w:t>
        </w:r>
        <w:r w:rsidR="0042745D" w:rsidRPr="006D631C">
          <w:rPr>
            <w:noProof/>
            <w:webHidden/>
          </w:rPr>
          <w:fldChar w:fldCharType="end"/>
        </w:r>
      </w:hyperlink>
    </w:p>
    <w:p w14:paraId="3AE41AD1" w14:textId="6CAF531B" w:rsidR="0042745D" w:rsidRPr="006D631C" w:rsidRDefault="001A0507">
      <w:pPr>
        <w:pStyle w:val="TableofFigures"/>
        <w:rPr>
          <w:rFonts w:asciiTheme="minorHAnsi" w:eastAsiaTheme="minorEastAsia" w:hAnsiTheme="minorHAnsi" w:cstheme="minorBidi"/>
          <w:noProof/>
          <w:sz w:val="22"/>
          <w:szCs w:val="22"/>
        </w:rPr>
      </w:pPr>
      <w:hyperlink w:anchor="_Toc148175934"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2</w:t>
        </w:r>
        <w:r w:rsidR="0042745D" w:rsidRPr="006D631C">
          <w:rPr>
            <w:rStyle w:val="Hyperlink"/>
            <w:noProof/>
          </w:rPr>
          <w:noBreakHyphen/>
          <w:t>9</w:t>
        </w:r>
        <w:r w:rsidR="0042745D" w:rsidRPr="006D631C">
          <w:rPr>
            <w:rStyle w:val="Hyperlink"/>
            <w:rFonts w:cs="Times New Roman"/>
            <w:noProof/>
          </w:rPr>
          <w:t>.</w:t>
        </w:r>
        <w:r w:rsidR="0042745D" w:rsidRPr="006D631C">
          <w:rPr>
            <w:rStyle w:val="Hyperlink"/>
            <w:noProof/>
          </w:rPr>
          <w:t xml:space="preserve"> (a, b) Evolution of dynamic moduli during LLC templating and (c, d) frequency sweep curves of polymerized LLCs using different initiator contents.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_Toc148175934 \h </w:instrText>
        </w:r>
        <w:r w:rsidR="0042745D" w:rsidRPr="006D631C">
          <w:rPr>
            <w:noProof/>
            <w:webHidden/>
          </w:rPr>
        </w:r>
        <w:r w:rsidR="0042745D" w:rsidRPr="006D631C">
          <w:rPr>
            <w:noProof/>
            <w:webHidden/>
          </w:rPr>
          <w:fldChar w:fldCharType="separate"/>
        </w:r>
        <w:r w:rsidR="0042745D" w:rsidRPr="006D631C">
          <w:rPr>
            <w:noProof/>
            <w:webHidden/>
          </w:rPr>
          <w:t>99</w:t>
        </w:r>
        <w:r w:rsidR="0042745D" w:rsidRPr="006D631C">
          <w:rPr>
            <w:noProof/>
            <w:webHidden/>
          </w:rPr>
          <w:fldChar w:fldCharType="end"/>
        </w:r>
      </w:hyperlink>
    </w:p>
    <w:p w14:paraId="5BE58AE2" w14:textId="651C07AE" w:rsidR="0042745D" w:rsidRPr="006D631C" w:rsidRDefault="001A0507">
      <w:pPr>
        <w:pStyle w:val="TableofFigures"/>
        <w:rPr>
          <w:rFonts w:asciiTheme="minorHAnsi" w:eastAsiaTheme="minorEastAsia" w:hAnsiTheme="minorHAnsi" w:cstheme="minorBidi"/>
          <w:noProof/>
          <w:sz w:val="22"/>
          <w:szCs w:val="22"/>
        </w:rPr>
      </w:pPr>
      <w:hyperlink w:anchor="_Toc148175935"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2</w:t>
        </w:r>
        <w:r w:rsidR="0042745D" w:rsidRPr="006D631C">
          <w:rPr>
            <w:rStyle w:val="Hyperlink"/>
            <w:noProof/>
          </w:rPr>
          <w:noBreakHyphen/>
          <w:t>10</w:t>
        </w:r>
        <w:r w:rsidR="0042745D" w:rsidRPr="006D631C">
          <w:rPr>
            <w:rStyle w:val="Hyperlink"/>
            <w:rFonts w:cs="Times New Roman"/>
            <w:noProof/>
          </w:rPr>
          <w:t>.</w:t>
        </w:r>
        <w:r w:rsidR="0042745D" w:rsidRPr="006D631C">
          <w:rPr>
            <w:rStyle w:val="Hyperlink"/>
            <w:noProof/>
          </w:rPr>
          <w:t xml:space="preserve"> Schematic diagram of the polymerization mechanism in IFW and IFO systems and the consequent difference in the robustness of the polymerized LLCs.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_Toc148175935 \h </w:instrText>
        </w:r>
        <w:r w:rsidR="0042745D" w:rsidRPr="006D631C">
          <w:rPr>
            <w:noProof/>
            <w:webHidden/>
          </w:rPr>
        </w:r>
        <w:r w:rsidR="0042745D" w:rsidRPr="006D631C">
          <w:rPr>
            <w:noProof/>
            <w:webHidden/>
          </w:rPr>
          <w:fldChar w:fldCharType="separate"/>
        </w:r>
        <w:r w:rsidR="0042745D" w:rsidRPr="006D631C">
          <w:rPr>
            <w:noProof/>
            <w:webHidden/>
          </w:rPr>
          <w:t>99</w:t>
        </w:r>
        <w:r w:rsidR="0042745D" w:rsidRPr="006D631C">
          <w:rPr>
            <w:noProof/>
            <w:webHidden/>
          </w:rPr>
          <w:fldChar w:fldCharType="end"/>
        </w:r>
      </w:hyperlink>
    </w:p>
    <w:p w14:paraId="100DDA78" w14:textId="5E9A1C08" w:rsidR="0042745D" w:rsidRPr="006D631C" w:rsidRDefault="001A0507">
      <w:pPr>
        <w:pStyle w:val="TableofFigures"/>
        <w:rPr>
          <w:rFonts w:asciiTheme="minorHAnsi" w:eastAsiaTheme="minorEastAsia" w:hAnsiTheme="minorHAnsi" w:cstheme="minorBidi"/>
          <w:noProof/>
          <w:sz w:val="22"/>
          <w:szCs w:val="22"/>
        </w:rPr>
      </w:pPr>
      <w:hyperlink w:anchor="_Toc148175936"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 xml:space="preserve">1. CPLM images of LLCs with lamellar structure: (a) before and (b) after thermal polymerization (scale bar: 50 μm). (c) 1D SAXS data for LLCs before and after reaction (the plots are vertically shifted for clarity). (d and e) AFM micrograph of the cross section of dried polyLLC in a </w:t>
        </w:r>
        <m:oMath>
          <m:r>
            <m:rPr>
              <m:sty m:val="p"/>
            </m:rPr>
            <w:rPr>
              <w:rStyle w:val="Hyperlink"/>
              <w:rFonts w:ascii="Cambria Math" w:hAnsi="Cambria Math"/>
              <w:noProof/>
            </w:rPr>
            <m:t xml:space="preserve">5 </m:t>
          </m:r>
          <m:r>
            <w:rPr>
              <w:rStyle w:val="Hyperlink"/>
              <w:rFonts w:ascii="Cambria Math" w:hAnsi="Cambria Math"/>
              <w:noProof/>
            </w:rPr>
            <m:t>μm</m:t>
          </m:r>
          <m:r>
            <m:rPr>
              <m:sty m:val="p"/>
            </m:rPr>
            <w:rPr>
              <w:rStyle w:val="Hyperlink"/>
              <w:rFonts w:ascii="Cambria Math" w:hAnsi="Cambria Math"/>
              <w:noProof/>
            </w:rPr>
            <m:t>×5</m:t>
          </m:r>
          <m:r>
            <w:rPr>
              <w:rStyle w:val="Hyperlink"/>
              <w:rFonts w:ascii="Cambria Math" w:hAnsi="Cambria Math"/>
              <w:noProof/>
            </w:rPr>
            <m:t>μm</m:t>
          </m:r>
        </m:oMath>
        <w:r w:rsidR="0042745D" w:rsidRPr="006D631C">
          <w:rPr>
            <w:rStyle w:val="Hyperlink"/>
            <w:noProof/>
          </w:rPr>
          <w:t xml:space="preserve"> area; higher magnification is shown in (f).</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_Toc148175936 \h </w:instrText>
        </w:r>
        <w:r w:rsidR="0042745D" w:rsidRPr="006D631C">
          <w:rPr>
            <w:noProof/>
            <w:webHidden/>
          </w:rPr>
        </w:r>
        <w:r w:rsidR="0042745D" w:rsidRPr="006D631C">
          <w:rPr>
            <w:noProof/>
            <w:webHidden/>
          </w:rPr>
          <w:fldChar w:fldCharType="separate"/>
        </w:r>
        <w:r w:rsidR="0042745D" w:rsidRPr="006D631C">
          <w:rPr>
            <w:noProof/>
            <w:webHidden/>
          </w:rPr>
          <w:t>112</w:t>
        </w:r>
        <w:r w:rsidR="0042745D" w:rsidRPr="006D631C">
          <w:rPr>
            <w:noProof/>
            <w:webHidden/>
          </w:rPr>
          <w:fldChar w:fldCharType="end"/>
        </w:r>
      </w:hyperlink>
    </w:p>
    <w:p w14:paraId="7E82E350" w14:textId="27B37038" w:rsidR="0042745D" w:rsidRPr="006D631C" w:rsidRDefault="001A0507">
      <w:pPr>
        <w:pStyle w:val="TableofFigures"/>
        <w:rPr>
          <w:rFonts w:asciiTheme="minorHAnsi" w:eastAsiaTheme="minorEastAsia" w:hAnsiTheme="minorHAnsi" w:cstheme="minorBidi"/>
          <w:noProof/>
          <w:sz w:val="22"/>
          <w:szCs w:val="22"/>
        </w:rPr>
      </w:pPr>
      <w:hyperlink w:anchor="_Toc148175937"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2. DSC measurement results for poly(nBA-co-EGDMA), F127, and polyLLC.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_Toc148175937 \h </w:instrText>
        </w:r>
        <w:r w:rsidR="0042745D" w:rsidRPr="006D631C">
          <w:rPr>
            <w:noProof/>
            <w:webHidden/>
          </w:rPr>
        </w:r>
        <w:r w:rsidR="0042745D" w:rsidRPr="006D631C">
          <w:rPr>
            <w:noProof/>
            <w:webHidden/>
          </w:rPr>
          <w:fldChar w:fldCharType="separate"/>
        </w:r>
        <w:r w:rsidR="0042745D" w:rsidRPr="006D631C">
          <w:rPr>
            <w:noProof/>
            <w:webHidden/>
          </w:rPr>
          <w:t>113</w:t>
        </w:r>
        <w:r w:rsidR="0042745D" w:rsidRPr="006D631C">
          <w:rPr>
            <w:noProof/>
            <w:webHidden/>
          </w:rPr>
          <w:fldChar w:fldCharType="end"/>
        </w:r>
      </w:hyperlink>
    </w:p>
    <w:p w14:paraId="7E577D54" w14:textId="3D3EF0A0" w:rsidR="0042745D" w:rsidRPr="006D631C" w:rsidRDefault="001A0507">
      <w:pPr>
        <w:pStyle w:val="TableofFigures"/>
        <w:rPr>
          <w:rFonts w:asciiTheme="minorHAnsi" w:eastAsiaTheme="minorEastAsia" w:hAnsiTheme="minorHAnsi" w:cstheme="minorBidi"/>
          <w:noProof/>
          <w:sz w:val="22"/>
          <w:szCs w:val="22"/>
        </w:rPr>
      </w:pPr>
      <w:hyperlink w:anchor="_Toc148175938"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3. Changes in hydration capacity for PAN and polyLLC membranes based on the temperature variation.</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_Toc148175938 \h </w:instrText>
        </w:r>
        <w:r w:rsidR="0042745D" w:rsidRPr="006D631C">
          <w:rPr>
            <w:noProof/>
            <w:webHidden/>
          </w:rPr>
        </w:r>
        <w:r w:rsidR="0042745D" w:rsidRPr="006D631C">
          <w:rPr>
            <w:noProof/>
            <w:webHidden/>
          </w:rPr>
          <w:fldChar w:fldCharType="separate"/>
        </w:r>
        <w:r w:rsidR="0042745D" w:rsidRPr="006D631C">
          <w:rPr>
            <w:noProof/>
            <w:webHidden/>
          </w:rPr>
          <w:t>114</w:t>
        </w:r>
        <w:r w:rsidR="0042745D" w:rsidRPr="006D631C">
          <w:rPr>
            <w:noProof/>
            <w:webHidden/>
          </w:rPr>
          <w:fldChar w:fldCharType="end"/>
        </w:r>
      </w:hyperlink>
    </w:p>
    <w:p w14:paraId="7D6FF6B9" w14:textId="218A81EC" w:rsidR="0042745D" w:rsidRPr="006D631C" w:rsidRDefault="001A0507">
      <w:pPr>
        <w:pStyle w:val="TableofFigures"/>
        <w:rPr>
          <w:rFonts w:asciiTheme="minorHAnsi" w:eastAsiaTheme="minorEastAsia" w:hAnsiTheme="minorHAnsi" w:cstheme="minorBidi"/>
          <w:noProof/>
          <w:sz w:val="22"/>
          <w:szCs w:val="22"/>
        </w:rPr>
      </w:pPr>
      <w:hyperlink w:anchor="_Toc148175939"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4. Changes in (a) water flux and (b) permeability for PAN and polyLLC membranes based on the temperature variation.</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_Toc148175939 \h </w:instrText>
        </w:r>
        <w:r w:rsidR="0042745D" w:rsidRPr="006D631C">
          <w:rPr>
            <w:noProof/>
            <w:webHidden/>
          </w:rPr>
        </w:r>
        <w:r w:rsidR="0042745D" w:rsidRPr="006D631C">
          <w:rPr>
            <w:noProof/>
            <w:webHidden/>
          </w:rPr>
          <w:fldChar w:fldCharType="separate"/>
        </w:r>
        <w:r w:rsidR="0042745D" w:rsidRPr="006D631C">
          <w:rPr>
            <w:noProof/>
            <w:webHidden/>
          </w:rPr>
          <w:t>116</w:t>
        </w:r>
        <w:r w:rsidR="0042745D" w:rsidRPr="006D631C">
          <w:rPr>
            <w:noProof/>
            <w:webHidden/>
          </w:rPr>
          <w:fldChar w:fldCharType="end"/>
        </w:r>
      </w:hyperlink>
    </w:p>
    <w:p w14:paraId="4B59171C" w14:textId="5D98D98B" w:rsidR="0042745D" w:rsidRPr="006D631C" w:rsidRDefault="001A0507">
      <w:pPr>
        <w:pStyle w:val="TableofFigures"/>
        <w:rPr>
          <w:rFonts w:asciiTheme="minorHAnsi" w:eastAsiaTheme="minorEastAsia" w:hAnsiTheme="minorHAnsi" w:cstheme="minorBidi"/>
          <w:noProof/>
          <w:sz w:val="22"/>
          <w:szCs w:val="22"/>
        </w:rPr>
      </w:pPr>
      <w:hyperlink w:anchor="_Toc148175940"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5. Reversibility of the water permeability of the polyLLC membrane under several heating-cooling cycles.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_Toc148175940 \h </w:instrText>
        </w:r>
        <w:r w:rsidR="0042745D" w:rsidRPr="006D631C">
          <w:rPr>
            <w:noProof/>
            <w:webHidden/>
          </w:rPr>
        </w:r>
        <w:r w:rsidR="0042745D" w:rsidRPr="006D631C">
          <w:rPr>
            <w:noProof/>
            <w:webHidden/>
          </w:rPr>
          <w:fldChar w:fldCharType="separate"/>
        </w:r>
        <w:r w:rsidR="0042745D" w:rsidRPr="006D631C">
          <w:rPr>
            <w:noProof/>
            <w:webHidden/>
          </w:rPr>
          <w:t>116</w:t>
        </w:r>
        <w:r w:rsidR="0042745D" w:rsidRPr="006D631C">
          <w:rPr>
            <w:noProof/>
            <w:webHidden/>
          </w:rPr>
          <w:fldChar w:fldCharType="end"/>
        </w:r>
      </w:hyperlink>
    </w:p>
    <w:p w14:paraId="33D86969" w14:textId="0211849D" w:rsidR="0042745D" w:rsidRPr="006D631C" w:rsidRDefault="001A0507">
      <w:pPr>
        <w:pStyle w:val="TableofFigures"/>
        <w:rPr>
          <w:rFonts w:asciiTheme="minorHAnsi" w:eastAsiaTheme="minorEastAsia" w:hAnsiTheme="minorHAnsi" w:cstheme="minorBidi"/>
          <w:noProof/>
          <w:sz w:val="22"/>
          <w:szCs w:val="22"/>
        </w:rPr>
      </w:pPr>
      <w:hyperlink w:anchor="_Toc148175941"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6. Change of (a) water flux, (b) normalized water flux, (c) irreversible fouling, and (d) reversible fouling for polyLLC and PAN membranes throughout fouling-cleaning experiment using different cleaning temperatures. The presented temperatures are cleaning temperature and filtrations steps were carried out at 25 °C.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_Toc148175941 \h </w:instrText>
        </w:r>
        <w:r w:rsidR="0042745D" w:rsidRPr="006D631C">
          <w:rPr>
            <w:noProof/>
            <w:webHidden/>
          </w:rPr>
        </w:r>
        <w:r w:rsidR="0042745D" w:rsidRPr="006D631C">
          <w:rPr>
            <w:noProof/>
            <w:webHidden/>
          </w:rPr>
          <w:fldChar w:fldCharType="separate"/>
        </w:r>
        <w:r w:rsidR="0042745D" w:rsidRPr="006D631C">
          <w:rPr>
            <w:noProof/>
            <w:webHidden/>
          </w:rPr>
          <w:t>118</w:t>
        </w:r>
        <w:r w:rsidR="0042745D" w:rsidRPr="006D631C">
          <w:rPr>
            <w:noProof/>
            <w:webHidden/>
          </w:rPr>
          <w:fldChar w:fldCharType="end"/>
        </w:r>
      </w:hyperlink>
    </w:p>
    <w:p w14:paraId="1050ABA0" w14:textId="66F620B9" w:rsidR="0042745D" w:rsidRPr="006D631C" w:rsidRDefault="001A0507">
      <w:pPr>
        <w:pStyle w:val="TableofFigures"/>
        <w:rPr>
          <w:rFonts w:asciiTheme="minorHAnsi" w:eastAsiaTheme="minorEastAsia" w:hAnsiTheme="minorHAnsi" w:cstheme="minorBidi"/>
          <w:noProof/>
          <w:sz w:val="22"/>
          <w:szCs w:val="22"/>
        </w:rPr>
      </w:pPr>
      <w:hyperlink w:anchor="_Toc148175942"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7. Temperature-dependent MWCO of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_Toc148175942 \h </w:instrText>
        </w:r>
        <w:r w:rsidR="0042745D" w:rsidRPr="006D631C">
          <w:rPr>
            <w:noProof/>
            <w:webHidden/>
          </w:rPr>
        </w:r>
        <w:r w:rsidR="0042745D" w:rsidRPr="006D631C">
          <w:rPr>
            <w:noProof/>
            <w:webHidden/>
          </w:rPr>
          <w:fldChar w:fldCharType="separate"/>
        </w:r>
        <w:r w:rsidR="0042745D" w:rsidRPr="006D631C">
          <w:rPr>
            <w:noProof/>
            <w:webHidden/>
          </w:rPr>
          <w:t>120</w:t>
        </w:r>
        <w:r w:rsidR="0042745D" w:rsidRPr="006D631C">
          <w:rPr>
            <w:noProof/>
            <w:webHidden/>
          </w:rPr>
          <w:fldChar w:fldCharType="end"/>
        </w:r>
      </w:hyperlink>
    </w:p>
    <w:p w14:paraId="01D4E1BC" w14:textId="6F81DD7E" w:rsidR="0042745D" w:rsidRPr="006D631C" w:rsidRDefault="001A0507">
      <w:pPr>
        <w:pStyle w:val="TableofFigures"/>
        <w:rPr>
          <w:rFonts w:asciiTheme="minorHAnsi" w:eastAsiaTheme="minorEastAsia" w:hAnsiTheme="minorHAnsi" w:cstheme="minorBidi"/>
          <w:noProof/>
          <w:sz w:val="22"/>
          <w:szCs w:val="22"/>
        </w:rPr>
      </w:pPr>
      <w:hyperlink w:anchor="_Toc148175943"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8. Temperature-dependent chain size for PEO having different molecular weights.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_Toc148175943 \h </w:instrText>
        </w:r>
        <w:r w:rsidR="0042745D" w:rsidRPr="006D631C">
          <w:rPr>
            <w:noProof/>
            <w:webHidden/>
          </w:rPr>
        </w:r>
        <w:r w:rsidR="0042745D" w:rsidRPr="006D631C">
          <w:rPr>
            <w:noProof/>
            <w:webHidden/>
          </w:rPr>
          <w:fldChar w:fldCharType="separate"/>
        </w:r>
        <w:r w:rsidR="0042745D" w:rsidRPr="006D631C">
          <w:rPr>
            <w:noProof/>
            <w:webHidden/>
          </w:rPr>
          <w:t>122</w:t>
        </w:r>
        <w:r w:rsidR="0042745D" w:rsidRPr="006D631C">
          <w:rPr>
            <w:noProof/>
            <w:webHidden/>
          </w:rPr>
          <w:fldChar w:fldCharType="end"/>
        </w:r>
      </w:hyperlink>
    </w:p>
    <w:p w14:paraId="5EE49D25" w14:textId="5180196E" w:rsidR="0042745D" w:rsidRPr="006D631C" w:rsidRDefault="001A0507">
      <w:pPr>
        <w:pStyle w:val="TableofFigures"/>
        <w:rPr>
          <w:rFonts w:asciiTheme="minorHAnsi" w:eastAsiaTheme="minorEastAsia" w:hAnsiTheme="minorHAnsi" w:cstheme="minorBidi"/>
          <w:noProof/>
          <w:sz w:val="22"/>
          <w:szCs w:val="22"/>
        </w:rPr>
      </w:pPr>
      <w:hyperlink w:anchor="_Toc148175944"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9. Results of DSC measurement for (a) polyLLCs containing different cross-linker contents and (b) wet and dried polyLLC containing 20 wt% cross-linker with respect to nBA content.</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_Toc148175944 \h </w:instrText>
        </w:r>
        <w:r w:rsidR="0042745D" w:rsidRPr="006D631C">
          <w:rPr>
            <w:noProof/>
            <w:webHidden/>
          </w:rPr>
        </w:r>
        <w:r w:rsidR="0042745D" w:rsidRPr="006D631C">
          <w:rPr>
            <w:noProof/>
            <w:webHidden/>
          </w:rPr>
          <w:fldChar w:fldCharType="separate"/>
        </w:r>
        <w:r w:rsidR="0042745D" w:rsidRPr="006D631C">
          <w:rPr>
            <w:noProof/>
            <w:webHidden/>
          </w:rPr>
          <w:t>124</w:t>
        </w:r>
        <w:r w:rsidR="0042745D" w:rsidRPr="006D631C">
          <w:rPr>
            <w:noProof/>
            <w:webHidden/>
          </w:rPr>
          <w:fldChar w:fldCharType="end"/>
        </w:r>
      </w:hyperlink>
    </w:p>
    <w:p w14:paraId="036D88F6" w14:textId="18F269F6" w:rsidR="0042745D" w:rsidRPr="006D631C" w:rsidRDefault="001A0507">
      <w:pPr>
        <w:pStyle w:val="TableofFigures"/>
        <w:rPr>
          <w:rFonts w:asciiTheme="minorHAnsi" w:eastAsiaTheme="minorEastAsia" w:hAnsiTheme="minorHAnsi" w:cstheme="minorBidi"/>
          <w:noProof/>
          <w:sz w:val="22"/>
          <w:szCs w:val="22"/>
        </w:rPr>
      </w:pPr>
      <w:hyperlink w:anchor="_Toc148175945"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3</w:t>
        </w:r>
        <w:r w:rsidR="0042745D" w:rsidRPr="006D631C">
          <w:rPr>
            <w:rStyle w:val="Hyperlink"/>
            <w:noProof/>
          </w:rPr>
          <w:noBreakHyphen/>
          <w:t>10. Formation and thermoresponsiveness mechanism of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_Toc148175945 \h </w:instrText>
        </w:r>
        <w:r w:rsidR="0042745D" w:rsidRPr="006D631C">
          <w:rPr>
            <w:noProof/>
            <w:webHidden/>
          </w:rPr>
        </w:r>
        <w:r w:rsidR="0042745D" w:rsidRPr="006D631C">
          <w:rPr>
            <w:noProof/>
            <w:webHidden/>
          </w:rPr>
          <w:fldChar w:fldCharType="separate"/>
        </w:r>
        <w:r w:rsidR="0042745D" w:rsidRPr="006D631C">
          <w:rPr>
            <w:noProof/>
            <w:webHidden/>
          </w:rPr>
          <w:t>126</w:t>
        </w:r>
        <w:r w:rsidR="0042745D" w:rsidRPr="006D631C">
          <w:rPr>
            <w:noProof/>
            <w:webHidden/>
          </w:rPr>
          <w:fldChar w:fldCharType="end"/>
        </w:r>
      </w:hyperlink>
    </w:p>
    <w:p w14:paraId="1C2BFACB" w14:textId="67C7D966" w:rsidR="0042745D" w:rsidRPr="006D631C" w:rsidRDefault="001A0507">
      <w:pPr>
        <w:pStyle w:val="TableofFigures"/>
        <w:rPr>
          <w:rFonts w:asciiTheme="minorHAnsi" w:eastAsiaTheme="minorEastAsia" w:hAnsiTheme="minorHAnsi" w:cstheme="minorBidi"/>
          <w:noProof/>
          <w:sz w:val="22"/>
          <w:szCs w:val="22"/>
        </w:rPr>
      </w:pPr>
      <w:hyperlink w:anchor="_Toc148175946"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4</w:t>
        </w:r>
        <w:r w:rsidR="0042745D" w:rsidRPr="006D631C">
          <w:rPr>
            <w:rStyle w:val="Hyperlink"/>
            <w:noProof/>
          </w:rPr>
          <w:noBreakHyphen/>
          <w:t>1. Molecular structure of (a) P84DA, (b) HDDA, (c) [BMIM][BF4] and (d) HCPK. Schematic representation of P84DA and HDDA have also been presented in panel a and b, respectively. (e) Schematic illustration of H1-structured mesophase which is obtained through mixing the components. The micelles are surrounded by [BMIM][BF4]. The apolar domain is made of PPO block and HDDA. Chemically-bonded polymer network is created through the reaction of acrylate groups of P84DA and HDDA. The presence of intermicellar bridges, which form via the reaction of acrylate groups of extended PEO blocks, seems necessary to have an integrated H1-structured membrane.</w:t>
        </w:r>
        <w:r w:rsidR="0042745D" w:rsidRPr="006D631C">
          <w:rPr>
            <w:rStyle w:val="Hyperlink"/>
            <w:noProof/>
            <w:vertAlign w:val="superscript"/>
          </w:rPr>
          <w:t>31</w:t>
        </w:r>
        <w:r w:rsidR="0042745D" w:rsidRPr="006D631C">
          <w:rPr>
            <w:rStyle w:val="Hyperlink"/>
            <w:noProof/>
          </w:rPr>
          <w:t xml:space="preserve"> (f) Schematic procedure for preparation of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_Toc148175946 \h </w:instrText>
        </w:r>
        <w:r w:rsidR="0042745D" w:rsidRPr="006D631C">
          <w:rPr>
            <w:noProof/>
            <w:webHidden/>
          </w:rPr>
        </w:r>
        <w:r w:rsidR="0042745D" w:rsidRPr="006D631C">
          <w:rPr>
            <w:noProof/>
            <w:webHidden/>
          </w:rPr>
          <w:fldChar w:fldCharType="separate"/>
        </w:r>
        <w:r w:rsidR="0042745D" w:rsidRPr="006D631C">
          <w:rPr>
            <w:noProof/>
            <w:webHidden/>
          </w:rPr>
          <w:t>139</w:t>
        </w:r>
        <w:r w:rsidR="0042745D" w:rsidRPr="006D631C">
          <w:rPr>
            <w:noProof/>
            <w:webHidden/>
          </w:rPr>
          <w:fldChar w:fldCharType="end"/>
        </w:r>
      </w:hyperlink>
    </w:p>
    <w:p w14:paraId="5E4104C7" w14:textId="0C592F46" w:rsidR="0042745D" w:rsidRPr="006D631C" w:rsidRDefault="001A0507">
      <w:pPr>
        <w:pStyle w:val="TableofFigures"/>
        <w:rPr>
          <w:rFonts w:asciiTheme="minorHAnsi" w:eastAsiaTheme="minorEastAsia" w:hAnsiTheme="minorHAnsi" w:cstheme="minorBidi"/>
          <w:noProof/>
          <w:sz w:val="22"/>
          <w:szCs w:val="22"/>
        </w:rPr>
      </w:pPr>
      <w:hyperlink w:anchor="_Toc148175947"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4</w:t>
        </w:r>
        <w:r w:rsidR="0042745D" w:rsidRPr="006D631C">
          <w:rPr>
            <w:rStyle w:val="Hyperlink"/>
            <w:noProof/>
          </w:rPr>
          <w:noBreakHyphen/>
          <w:t>2. (a-c) CPLM images of samples: (a) before reaction, (b) after reaction, and (c) after swelling with water. (d) 1D SAXS scattering profile for samples (the plots are vertically shifted for clarity).</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_Toc148175947 \h </w:instrText>
        </w:r>
        <w:r w:rsidR="0042745D" w:rsidRPr="006D631C">
          <w:rPr>
            <w:noProof/>
            <w:webHidden/>
          </w:rPr>
        </w:r>
        <w:r w:rsidR="0042745D" w:rsidRPr="006D631C">
          <w:rPr>
            <w:noProof/>
            <w:webHidden/>
          </w:rPr>
          <w:fldChar w:fldCharType="separate"/>
        </w:r>
        <w:r w:rsidR="0042745D" w:rsidRPr="006D631C">
          <w:rPr>
            <w:noProof/>
            <w:webHidden/>
          </w:rPr>
          <w:t>140</w:t>
        </w:r>
        <w:r w:rsidR="0042745D" w:rsidRPr="006D631C">
          <w:rPr>
            <w:noProof/>
            <w:webHidden/>
          </w:rPr>
          <w:fldChar w:fldCharType="end"/>
        </w:r>
      </w:hyperlink>
    </w:p>
    <w:p w14:paraId="7F61279F" w14:textId="2B79143D" w:rsidR="0042745D" w:rsidRPr="006D631C" w:rsidRDefault="001A0507">
      <w:pPr>
        <w:pStyle w:val="TableofFigures"/>
        <w:rPr>
          <w:rFonts w:asciiTheme="minorHAnsi" w:eastAsiaTheme="minorEastAsia" w:hAnsiTheme="minorHAnsi" w:cstheme="minorBidi"/>
          <w:noProof/>
          <w:sz w:val="22"/>
          <w:szCs w:val="22"/>
        </w:rPr>
      </w:pPr>
      <w:hyperlink w:anchor="_Toc148175948"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4</w:t>
        </w:r>
        <w:r w:rsidR="0042745D" w:rsidRPr="006D631C">
          <w:rPr>
            <w:rStyle w:val="Hyperlink"/>
            <w:noProof/>
          </w:rPr>
          <w:noBreakHyphen/>
          <w:t>3</w:t>
        </w:r>
        <w:r w:rsidR="0042745D" w:rsidRPr="006D631C">
          <w:rPr>
            <w:rStyle w:val="Hyperlink"/>
            <w:rFonts w:asciiTheme="majorBidi" w:hAnsiTheme="majorBidi" w:cstheme="majorBidi"/>
            <w:noProof/>
          </w:rPr>
          <w:t>. Schematic representation of structural parameters for H</w:t>
        </w:r>
        <w:r w:rsidR="0042745D" w:rsidRPr="006D631C">
          <w:rPr>
            <w:rStyle w:val="Hyperlink"/>
            <w:rFonts w:asciiTheme="majorBidi" w:hAnsiTheme="majorBidi" w:cstheme="majorBidi"/>
            <w:noProof/>
            <w:vertAlign w:val="subscript"/>
          </w:rPr>
          <w:t>1</w:t>
        </w:r>
        <w:r w:rsidR="0042745D" w:rsidRPr="006D631C">
          <w:rPr>
            <w:rStyle w:val="Hyperlink"/>
            <w:rFonts w:asciiTheme="majorBidi" w:hAnsiTheme="majorBidi" w:cstheme="majorBidi"/>
            <w:noProof/>
          </w:rPr>
          <w:t xml:space="preserve"> structure.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_Toc148175948 \h </w:instrText>
        </w:r>
        <w:r w:rsidR="0042745D" w:rsidRPr="006D631C">
          <w:rPr>
            <w:noProof/>
            <w:webHidden/>
          </w:rPr>
        </w:r>
        <w:r w:rsidR="0042745D" w:rsidRPr="006D631C">
          <w:rPr>
            <w:noProof/>
            <w:webHidden/>
          </w:rPr>
          <w:fldChar w:fldCharType="separate"/>
        </w:r>
        <w:r w:rsidR="0042745D" w:rsidRPr="006D631C">
          <w:rPr>
            <w:noProof/>
            <w:webHidden/>
          </w:rPr>
          <w:t>142</w:t>
        </w:r>
        <w:r w:rsidR="0042745D" w:rsidRPr="006D631C">
          <w:rPr>
            <w:noProof/>
            <w:webHidden/>
          </w:rPr>
          <w:fldChar w:fldCharType="end"/>
        </w:r>
      </w:hyperlink>
    </w:p>
    <w:p w14:paraId="4D39FD17" w14:textId="030D4864" w:rsidR="0042745D" w:rsidRPr="006D631C" w:rsidRDefault="001A0507">
      <w:pPr>
        <w:pStyle w:val="TableofFigures"/>
        <w:rPr>
          <w:rFonts w:asciiTheme="minorHAnsi" w:eastAsiaTheme="minorEastAsia" w:hAnsiTheme="minorHAnsi" w:cstheme="minorBidi"/>
          <w:noProof/>
          <w:sz w:val="22"/>
          <w:szCs w:val="22"/>
        </w:rPr>
      </w:pPr>
      <w:hyperlink w:anchor="_Toc148175949"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4</w:t>
        </w:r>
        <w:r w:rsidR="0042745D" w:rsidRPr="006D631C">
          <w:rPr>
            <w:rStyle w:val="Hyperlink"/>
            <w:noProof/>
          </w:rPr>
          <w:noBreakHyphen/>
          <w:t>4</w:t>
        </w:r>
        <w:r w:rsidR="0042745D" w:rsidRPr="006D631C">
          <w:rPr>
            <w:rStyle w:val="Hyperlink"/>
            <w:rFonts w:asciiTheme="majorBidi" w:hAnsiTheme="majorBidi" w:cstheme="majorBidi"/>
            <w:noProof/>
          </w:rPr>
          <w:t>. DSC results for pure P84DA, water-swollen polyLLC, and dried polyLLC.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_Toc148175949 \h </w:instrText>
        </w:r>
        <w:r w:rsidR="0042745D" w:rsidRPr="006D631C">
          <w:rPr>
            <w:noProof/>
            <w:webHidden/>
          </w:rPr>
        </w:r>
        <w:r w:rsidR="0042745D" w:rsidRPr="006D631C">
          <w:rPr>
            <w:noProof/>
            <w:webHidden/>
          </w:rPr>
          <w:fldChar w:fldCharType="separate"/>
        </w:r>
        <w:r w:rsidR="0042745D" w:rsidRPr="006D631C">
          <w:rPr>
            <w:noProof/>
            <w:webHidden/>
          </w:rPr>
          <w:t>145</w:t>
        </w:r>
        <w:r w:rsidR="0042745D" w:rsidRPr="006D631C">
          <w:rPr>
            <w:noProof/>
            <w:webHidden/>
          </w:rPr>
          <w:fldChar w:fldCharType="end"/>
        </w:r>
      </w:hyperlink>
    </w:p>
    <w:p w14:paraId="44AF3EC9" w14:textId="76CEEAB3" w:rsidR="0042745D" w:rsidRPr="006D631C" w:rsidRDefault="001A0507">
      <w:pPr>
        <w:pStyle w:val="TableofFigures"/>
        <w:rPr>
          <w:rFonts w:asciiTheme="minorHAnsi" w:eastAsiaTheme="minorEastAsia" w:hAnsiTheme="minorHAnsi" w:cstheme="minorBidi"/>
          <w:noProof/>
          <w:sz w:val="22"/>
          <w:szCs w:val="22"/>
        </w:rPr>
      </w:pPr>
      <w:hyperlink w:anchor="_Toc148175950"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4</w:t>
        </w:r>
        <w:r w:rsidR="0042745D" w:rsidRPr="006D631C">
          <w:rPr>
            <w:rStyle w:val="Hyperlink"/>
            <w:noProof/>
          </w:rPr>
          <w:noBreakHyphen/>
          <w:t xml:space="preserve">5. </w:t>
        </w:r>
        <w:r w:rsidR="0042745D" w:rsidRPr="006D631C">
          <w:rPr>
            <w:rStyle w:val="Hyperlink"/>
            <w:rFonts w:asciiTheme="majorBidi" w:hAnsiTheme="majorBidi" w:cstheme="majorBidi"/>
            <w:noProof/>
          </w:rPr>
          <w:t>(a-b) PolyLLC sample (a) before and (b) after swelling with water. (c-f) Results of different experiments: (c) swelling capacity changes with temperature; (d) kinetics of thermal response when the temperature changes from 25 to 45 °C; (e) reversibility of the thermoresponsiveness; and (f) viscoelastic behavior of polyLLC film under different conditions.</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_Toc148175950 \h </w:instrText>
        </w:r>
        <w:r w:rsidR="0042745D" w:rsidRPr="006D631C">
          <w:rPr>
            <w:noProof/>
            <w:webHidden/>
          </w:rPr>
        </w:r>
        <w:r w:rsidR="0042745D" w:rsidRPr="006D631C">
          <w:rPr>
            <w:noProof/>
            <w:webHidden/>
          </w:rPr>
          <w:fldChar w:fldCharType="separate"/>
        </w:r>
        <w:r w:rsidR="0042745D" w:rsidRPr="006D631C">
          <w:rPr>
            <w:noProof/>
            <w:webHidden/>
          </w:rPr>
          <w:t>147</w:t>
        </w:r>
        <w:r w:rsidR="0042745D" w:rsidRPr="006D631C">
          <w:rPr>
            <w:noProof/>
            <w:webHidden/>
          </w:rPr>
          <w:fldChar w:fldCharType="end"/>
        </w:r>
      </w:hyperlink>
    </w:p>
    <w:p w14:paraId="12088049" w14:textId="332A9490" w:rsidR="0042745D" w:rsidRPr="006D631C" w:rsidRDefault="001A0507">
      <w:pPr>
        <w:pStyle w:val="TableofFigures"/>
        <w:rPr>
          <w:rFonts w:asciiTheme="minorHAnsi" w:eastAsiaTheme="minorEastAsia" w:hAnsiTheme="minorHAnsi" w:cstheme="minorBidi"/>
          <w:noProof/>
          <w:sz w:val="22"/>
          <w:szCs w:val="22"/>
        </w:rPr>
      </w:pPr>
      <w:hyperlink w:anchor="_Toc148175951"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4</w:t>
        </w:r>
        <w:r w:rsidR="0042745D" w:rsidRPr="006D631C">
          <w:rPr>
            <w:rStyle w:val="Hyperlink"/>
            <w:noProof/>
          </w:rPr>
          <w:noBreakHyphen/>
          <w:t>6</w:t>
        </w:r>
        <w:r w:rsidR="0042745D" w:rsidRPr="006D631C">
          <w:rPr>
            <w:rStyle w:val="Hyperlink"/>
            <w:rFonts w:asciiTheme="majorBidi" w:hAnsiTheme="majorBidi" w:cstheme="majorBidi"/>
            <w:noProof/>
          </w:rPr>
          <w:t>. (a-f) CPLM images of water-swollen polyLLC at (a) 5, (b) 25, (c) 35, (d) 45, (e) 55, and (f) 65 °C. (g) 1D SAXS scattering profile of the water-swollen polyLLC upon heating and cooling experiment. The experiment starts by heating the sample from 5 to 65 °C and ends by cooling it to 25 °C. The plots are vertically shifted for clarity.</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_Toc148175951 \h </w:instrText>
        </w:r>
        <w:r w:rsidR="0042745D" w:rsidRPr="006D631C">
          <w:rPr>
            <w:noProof/>
            <w:webHidden/>
          </w:rPr>
        </w:r>
        <w:r w:rsidR="0042745D" w:rsidRPr="006D631C">
          <w:rPr>
            <w:noProof/>
            <w:webHidden/>
          </w:rPr>
          <w:fldChar w:fldCharType="separate"/>
        </w:r>
        <w:r w:rsidR="0042745D" w:rsidRPr="006D631C">
          <w:rPr>
            <w:noProof/>
            <w:webHidden/>
          </w:rPr>
          <w:t>149</w:t>
        </w:r>
        <w:r w:rsidR="0042745D" w:rsidRPr="006D631C">
          <w:rPr>
            <w:noProof/>
            <w:webHidden/>
          </w:rPr>
          <w:fldChar w:fldCharType="end"/>
        </w:r>
      </w:hyperlink>
    </w:p>
    <w:p w14:paraId="6B2E2D22" w14:textId="3AC65A7D" w:rsidR="0042745D" w:rsidRPr="006D631C" w:rsidRDefault="001A0507">
      <w:pPr>
        <w:pStyle w:val="TableofFigures"/>
        <w:rPr>
          <w:rFonts w:asciiTheme="minorHAnsi" w:eastAsiaTheme="minorEastAsia" w:hAnsiTheme="minorHAnsi" w:cstheme="minorBidi"/>
          <w:noProof/>
          <w:sz w:val="22"/>
          <w:szCs w:val="22"/>
        </w:rPr>
      </w:pPr>
      <w:hyperlink w:anchor="_Toc148175952"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4</w:t>
        </w:r>
        <w:r w:rsidR="0042745D" w:rsidRPr="006D631C">
          <w:rPr>
            <w:rStyle w:val="Hyperlink"/>
            <w:noProof/>
          </w:rPr>
          <w:noBreakHyphen/>
          <w:t>7</w:t>
        </w:r>
        <w:r w:rsidR="0042745D" w:rsidRPr="006D631C">
          <w:rPr>
            <w:rStyle w:val="Hyperlink"/>
            <w:rFonts w:asciiTheme="majorBidi" w:hAnsiTheme="majorBidi" w:cstheme="majorBidi"/>
            <w:noProof/>
          </w:rPr>
          <w:t>. (a) Circular cut supported polyLLC membrane and (b) typical cross-sectional SEM image of the membrane. (c-d) Variation of (c) thickness-normalized flux and (d) permeability with cyclic change of temperature. (e) MWCO and (f) BSA protein and red dyes rejection at 25 °C, after increasing temperature to 45 °C, and after cooling down back to 25 °C. (g-h) Photos of feed and collected permeates at different temperatures (at 25 °C, after increasing temperature to 45 °C, and after cooling down back to 25 °C) for (g) DR23 and (h) DR80.</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_Toc148175952 \h </w:instrText>
        </w:r>
        <w:r w:rsidR="0042745D" w:rsidRPr="006D631C">
          <w:rPr>
            <w:noProof/>
            <w:webHidden/>
          </w:rPr>
        </w:r>
        <w:r w:rsidR="0042745D" w:rsidRPr="006D631C">
          <w:rPr>
            <w:noProof/>
            <w:webHidden/>
          </w:rPr>
          <w:fldChar w:fldCharType="separate"/>
        </w:r>
        <w:r w:rsidR="0042745D" w:rsidRPr="006D631C">
          <w:rPr>
            <w:noProof/>
            <w:webHidden/>
          </w:rPr>
          <w:t>153</w:t>
        </w:r>
        <w:r w:rsidR="0042745D" w:rsidRPr="006D631C">
          <w:rPr>
            <w:noProof/>
            <w:webHidden/>
          </w:rPr>
          <w:fldChar w:fldCharType="end"/>
        </w:r>
      </w:hyperlink>
    </w:p>
    <w:p w14:paraId="65866F87" w14:textId="1B85009F" w:rsidR="0042745D" w:rsidRPr="006D631C" w:rsidRDefault="001A0507">
      <w:pPr>
        <w:pStyle w:val="TableofFigures"/>
        <w:rPr>
          <w:rFonts w:asciiTheme="minorHAnsi" w:eastAsiaTheme="minorEastAsia" w:hAnsiTheme="minorHAnsi" w:cstheme="minorBidi"/>
          <w:noProof/>
          <w:sz w:val="22"/>
          <w:szCs w:val="22"/>
        </w:rPr>
      </w:pPr>
      <w:hyperlink w:anchor="_Toc148175953"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4</w:t>
        </w:r>
        <w:r w:rsidR="0042745D" w:rsidRPr="006D631C">
          <w:rPr>
            <w:rStyle w:val="Hyperlink"/>
            <w:noProof/>
          </w:rPr>
          <w:noBreakHyphen/>
          <w:t>8</w:t>
        </w:r>
        <w:r w:rsidR="0042745D" w:rsidRPr="006D631C">
          <w:rPr>
            <w:rStyle w:val="Hyperlink"/>
            <w:rFonts w:asciiTheme="majorBidi" w:hAnsiTheme="majorBidi" w:cstheme="majorBidi"/>
            <w:noProof/>
          </w:rPr>
          <w:t>. (a) Contact angle of the polyLLC membrane swelled with water at 25 and 45 °C. (b) Ratio of membrane flux at a given time (J) to preliminary flux with DI water (J</w:t>
        </w:r>
        <w:r w:rsidR="0042745D" w:rsidRPr="006D631C">
          <w:rPr>
            <w:rStyle w:val="Hyperlink"/>
            <w:rFonts w:asciiTheme="majorBidi" w:hAnsiTheme="majorBidi" w:cstheme="majorBidi"/>
            <w:noProof/>
            <w:vertAlign w:val="subscript"/>
          </w:rPr>
          <w:t>0</w:t>
        </w:r>
        <w:r w:rsidR="0042745D" w:rsidRPr="006D631C">
          <w:rPr>
            <w:rStyle w:val="Hyperlink"/>
            <w:rFonts w:asciiTheme="majorBidi" w:hAnsiTheme="majorBidi" w:cstheme="majorBidi"/>
            <w:noProof/>
          </w:rPr>
          <w:t>) (filled symbols) and rejection rate of different solutes (open symbols) for the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_Toc148175953 \h </w:instrText>
        </w:r>
        <w:r w:rsidR="0042745D" w:rsidRPr="006D631C">
          <w:rPr>
            <w:noProof/>
            <w:webHidden/>
          </w:rPr>
        </w:r>
        <w:r w:rsidR="0042745D" w:rsidRPr="006D631C">
          <w:rPr>
            <w:noProof/>
            <w:webHidden/>
          </w:rPr>
          <w:fldChar w:fldCharType="separate"/>
        </w:r>
        <w:r w:rsidR="0042745D" w:rsidRPr="006D631C">
          <w:rPr>
            <w:noProof/>
            <w:webHidden/>
          </w:rPr>
          <w:t>156</w:t>
        </w:r>
        <w:r w:rsidR="0042745D" w:rsidRPr="006D631C">
          <w:rPr>
            <w:noProof/>
            <w:webHidden/>
          </w:rPr>
          <w:fldChar w:fldCharType="end"/>
        </w:r>
      </w:hyperlink>
    </w:p>
    <w:p w14:paraId="717189BF" w14:textId="6987A9C1" w:rsidR="0042745D" w:rsidRPr="006D631C" w:rsidRDefault="001A0507">
      <w:pPr>
        <w:pStyle w:val="TableofFigures"/>
        <w:rPr>
          <w:rFonts w:asciiTheme="minorHAnsi" w:eastAsiaTheme="minorEastAsia" w:hAnsiTheme="minorHAnsi" w:cstheme="minorBidi"/>
          <w:noProof/>
          <w:sz w:val="22"/>
          <w:szCs w:val="22"/>
        </w:rPr>
      </w:pPr>
      <w:hyperlink w:anchor="_Toc148175954"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4</w:t>
        </w:r>
        <w:r w:rsidR="0042745D" w:rsidRPr="006D631C">
          <w:rPr>
            <w:rStyle w:val="Hyperlink"/>
            <w:noProof/>
          </w:rPr>
          <w:noBreakHyphen/>
          <w:t>9</w:t>
        </w:r>
        <w:r w:rsidR="0042745D" w:rsidRPr="006D631C">
          <w:rPr>
            <w:rStyle w:val="Hyperlink"/>
            <w:rFonts w:asciiTheme="majorBidi" w:hAnsiTheme="majorBidi" w:cstheme="majorBidi"/>
            <w:noProof/>
          </w:rPr>
          <w:t>. Schematic representation of thermoresponsiveness mechanism of the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_Toc148175954 \h </w:instrText>
        </w:r>
        <w:r w:rsidR="0042745D" w:rsidRPr="006D631C">
          <w:rPr>
            <w:noProof/>
            <w:webHidden/>
          </w:rPr>
        </w:r>
        <w:r w:rsidR="0042745D" w:rsidRPr="006D631C">
          <w:rPr>
            <w:noProof/>
            <w:webHidden/>
          </w:rPr>
          <w:fldChar w:fldCharType="separate"/>
        </w:r>
        <w:r w:rsidR="0042745D" w:rsidRPr="006D631C">
          <w:rPr>
            <w:noProof/>
            <w:webHidden/>
          </w:rPr>
          <w:t>159</w:t>
        </w:r>
        <w:r w:rsidR="0042745D" w:rsidRPr="006D631C">
          <w:rPr>
            <w:noProof/>
            <w:webHidden/>
          </w:rPr>
          <w:fldChar w:fldCharType="end"/>
        </w:r>
      </w:hyperlink>
    </w:p>
    <w:p w14:paraId="2BBE6052" w14:textId="4BA5C53A" w:rsidR="0042745D" w:rsidRPr="006D631C" w:rsidRDefault="001A0507">
      <w:pPr>
        <w:pStyle w:val="TableofFigures"/>
        <w:rPr>
          <w:rFonts w:asciiTheme="minorHAnsi" w:eastAsiaTheme="minorEastAsia" w:hAnsiTheme="minorHAnsi" w:cstheme="minorBidi"/>
          <w:noProof/>
          <w:sz w:val="22"/>
          <w:szCs w:val="22"/>
        </w:rPr>
      </w:pPr>
      <w:hyperlink w:anchor="_Toc148175955"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5</w:t>
        </w:r>
        <w:r w:rsidR="0042745D" w:rsidRPr="006D631C">
          <w:rPr>
            <w:rStyle w:val="Hyperlink"/>
            <w:noProof/>
          </w:rPr>
          <w:noBreakHyphen/>
          <w:t xml:space="preserve">1. </w:t>
        </w:r>
        <w:r w:rsidR="0042745D" w:rsidRPr="006D631C">
          <w:rPr>
            <w:rStyle w:val="Hyperlink"/>
            <w:rFonts w:asciiTheme="majorBidi" w:hAnsiTheme="majorBidi" w:cstheme="majorBidi"/>
            <w:noProof/>
          </w:rPr>
          <w:t>Molecular structure of (a) AAc, (b) P84DA, (c) HDDA, (d) [BMIM][BF</w:t>
        </w:r>
        <w:r w:rsidR="0042745D" w:rsidRPr="006D631C">
          <w:rPr>
            <w:rStyle w:val="Hyperlink"/>
            <w:rFonts w:asciiTheme="majorBidi" w:hAnsiTheme="majorBidi" w:cstheme="majorBidi"/>
            <w:noProof/>
            <w:vertAlign w:val="subscript"/>
          </w:rPr>
          <w:t>4</w:t>
        </w:r>
        <w:r w:rsidR="0042745D" w:rsidRPr="006D631C">
          <w:rPr>
            <w:rStyle w:val="Hyperlink"/>
            <w:rFonts w:asciiTheme="majorBidi" w:hAnsiTheme="majorBidi" w:cstheme="majorBidi"/>
            <w:noProof/>
          </w:rPr>
          <w:t>] and (e) HCPK. Schematic illustration of AAc, P84DA and HDDA have also been shown in panel a, b and c, respectively. (f) A schematic depiction of an H</w:t>
        </w:r>
        <w:r w:rsidR="0042745D" w:rsidRPr="006D631C">
          <w:rPr>
            <w:rStyle w:val="Hyperlink"/>
            <w:rFonts w:asciiTheme="majorBidi" w:hAnsiTheme="majorBidi" w:cstheme="majorBidi"/>
            <w:noProof/>
            <w:vertAlign w:val="subscript"/>
          </w:rPr>
          <w:t>1</w:t>
        </w:r>
        <w:r w:rsidR="0042745D" w:rsidRPr="006D631C">
          <w:rPr>
            <w:rStyle w:val="Hyperlink"/>
            <w:rFonts w:asciiTheme="majorBidi" w:hAnsiTheme="majorBidi" w:cstheme="majorBidi"/>
            <w:noProof/>
          </w:rPr>
          <w:t>-structured LLC obtained by blending various components, wherein the micelles are enveloped by a mixture of [BMIM][BF</w:t>
        </w:r>
        <w:r w:rsidR="0042745D" w:rsidRPr="006D631C">
          <w:rPr>
            <w:rStyle w:val="Hyperlink"/>
            <w:rFonts w:asciiTheme="majorBidi" w:hAnsiTheme="majorBidi" w:cstheme="majorBidi"/>
            <w:noProof/>
            <w:vertAlign w:val="subscript"/>
          </w:rPr>
          <w:t>4</w:t>
        </w:r>
        <w:r w:rsidR="0042745D" w:rsidRPr="006D631C">
          <w:rPr>
            <w:rStyle w:val="Hyperlink"/>
            <w:rFonts w:asciiTheme="majorBidi" w:hAnsiTheme="majorBidi" w:cstheme="majorBidi"/>
            <w:noProof/>
          </w:rPr>
          <w:t>] and AAc. Important structural parameters have also been shown in the schematic. The apolar domain consists of PPO block and HDDA. A chemically bound polymer network is formed from reaction of acrylate groups of P84DA, HDDA, and AAc. To achieve a well-integrated H</w:t>
        </w:r>
        <w:r w:rsidR="0042745D" w:rsidRPr="006D631C">
          <w:rPr>
            <w:rStyle w:val="Hyperlink"/>
            <w:rFonts w:asciiTheme="majorBidi" w:hAnsiTheme="majorBidi" w:cstheme="majorBidi"/>
            <w:noProof/>
            <w:vertAlign w:val="subscript"/>
          </w:rPr>
          <w:t>1</w:t>
        </w:r>
        <w:r w:rsidR="0042745D" w:rsidRPr="006D631C">
          <w:rPr>
            <w:rStyle w:val="Hyperlink"/>
            <w:rFonts w:asciiTheme="majorBidi" w:hAnsiTheme="majorBidi" w:cstheme="majorBidi"/>
            <w:noProof/>
          </w:rPr>
          <w:t>-structured membrane, it is crucial to have intermicellar bridges, which are formed from reaction of acrylate groups of extended PEO blocks.</w:t>
        </w:r>
        <w:r w:rsidR="0042745D" w:rsidRPr="006D631C">
          <w:rPr>
            <w:rStyle w:val="Hyperlink"/>
            <w:rFonts w:asciiTheme="majorBidi" w:hAnsiTheme="majorBidi" w:cstheme="majorBidi"/>
            <w:noProof/>
            <w:vertAlign w:val="superscript"/>
          </w:rPr>
          <w:t>31</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_Toc148175955 \h </w:instrText>
        </w:r>
        <w:r w:rsidR="0042745D" w:rsidRPr="006D631C">
          <w:rPr>
            <w:noProof/>
            <w:webHidden/>
          </w:rPr>
        </w:r>
        <w:r w:rsidR="0042745D" w:rsidRPr="006D631C">
          <w:rPr>
            <w:noProof/>
            <w:webHidden/>
          </w:rPr>
          <w:fldChar w:fldCharType="separate"/>
        </w:r>
        <w:r w:rsidR="0042745D" w:rsidRPr="006D631C">
          <w:rPr>
            <w:noProof/>
            <w:webHidden/>
          </w:rPr>
          <w:t>165</w:t>
        </w:r>
        <w:r w:rsidR="0042745D" w:rsidRPr="006D631C">
          <w:rPr>
            <w:noProof/>
            <w:webHidden/>
          </w:rPr>
          <w:fldChar w:fldCharType="end"/>
        </w:r>
      </w:hyperlink>
    </w:p>
    <w:p w14:paraId="4181EE0D" w14:textId="21C1A324" w:rsidR="0042745D" w:rsidRPr="006D631C" w:rsidRDefault="001A0507">
      <w:pPr>
        <w:pStyle w:val="TableofFigures"/>
        <w:rPr>
          <w:rFonts w:asciiTheme="minorHAnsi" w:eastAsiaTheme="minorEastAsia" w:hAnsiTheme="minorHAnsi" w:cstheme="minorBidi"/>
          <w:noProof/>
          <w:sz w:val="22"/>
          <w:szCs w:val="22"/>
        </w:rPr>
      </w:pPr>
      <w:hyperlink w:anchor="_Toc148175956"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5</w:t>
        </w:r>
        <w:r w:rsidR="0042745D" w:rsidRPr="006D631C">
          <w:rPr>
            <w:rStyle w:val="Hyperlink"/>
            <w:noProof/>
          </w:rPr>
          <w:noBreakHyphen/>
          <w:t>2. The images taken using CPLM display the samples in three different stages: (a) their original state (LLC), (b) after undergoing a reaction, and (c) after swelling with water. (d) 1D SAXS profile, in which plots are shifted vertically to enhance comparison.</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_Toc148175956 \h </w:instrText>
        </w:r>
        <w:r w:rsidR="0042745D" w:rsidRPr="006D631C">
          <w:rPr>
            <w:noProof/>
            <w:webHidden/>
          </w:rPr>
        </w:r>
        <w:r w:rsidR="0042745D" w:rsidRPr="006D631C">
          <w:rPr>
            <w:noProof/>
            <w:webHidden/>
          </w:rPr>
          <w:fldChar w:fldCharType="separate"/>
        </w:r>
        <w:r w:rsidR="0042745D" w:rsidRPr="006D631C">
          <w:rPr>
            <w:noProof/>
            <w:webHidden/>
          </w:rPr>
          <w:t>170</w:t>
        </w:r>
        <w:r w:rsidR="0042745D" w:rsidRPr="006D631C">
          <w:rPr>
            <w:noProof/>
            <w:webHidden/>
          </w:rPr>
          <w:fldChar w:fldCharType="end"/>
        </w:r>
      </w:hyperlink>
    </w:p>
    <w:p w14:paraId="30962E68" w14:textId="7455D9C6" w:rsidR="0042745D" w:rsidRPr="006D631C" w:rsidRDefault="001A0507">
      <w:pPr>
        <w:pStyle w:val="TableofFigures"/>
        <w:rPr>
          <w:rFonts w:asciiTheme="minorHAnsi" w:eastAsiaTheme="minorEastAsia" w:hAnsiTheme="minorHAnsi" w:cstheme="minorBidi"/>
          <w:noProof/>
          <w:sz w:val="22"/>
          <w:szCs w:val="22"/>
        </w:rPr>
      </w:pPr>
      <w:hyperlink w:anchor="_Toc148175957"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5</w:t>
        </w:r>
        <w:r w:rsidR="0042745D" w:rsidRPr="006D631C">
          <w:rPr>
            <w:rStyle w:val="Hyperlink"/>
            <w:noProof/>
          </w:rPr>
          <w:noBreakHyphen/>
          <w:t>3. The DSC data for pure P84DA, water-swollen polyLLC, and dried polyLLC.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_Toc148175957 \h </w:instrText>
        </w:r>
        <w:r w:rsidR="0042745D" w:rsidRPr="006D631C">
          <w:rPr>
            <w:noProof/>
            <w:webHidden/>
          </w:rPr>
        </w:r>
        <w:r w:rsidR="0042745D" w:rsidRPr="006D631C">
          <w:rPr>
            <w:noProof/>
            <w:webHidden/>
          </w:rPr>
          <w:fldChar w:fldCharType="separate"/>
        </w:r>
        <w:r w:rsidR="0042745D" w:rsidRPr="006D631C">
          <w:rPr>
            <w:noProof/>
            <w:webHidden/>
          </w:rPr>
          <w:t>172</w:t>
        </w:r>
        <w:r w:rsidR="0042745D" w:rsidRPr="006D631C">
          <w:rPr>
            <w:noProof/>
            <w:webHidden/>
          </w:rPr>
          <w:fldChar w:fldCharType="end"/>
        </w:r>
      </w:hyperlink>
    </w:p>
    <w:p w14:paraId="0C7F22C7" w14:textId="3D67E6C6" w:rsidR="0042745D" w:rsidRPr="006D631C" w:rsidRDefault="001A0507">
      <w:pPr>
        <w:pStyle w:val="TableofFigures"/>
        <w:rPr>
          <w:rFonts w:asciiTheme="minorHAnsi" w:eastAsiaTheme="minorEastAsia" w:hAnsiTheme="minorHAnsi" w:cstheme="minorBidi"/>
          <w:noProof/>
          <w:sz w:val="22"/>
          <w:szCs w:val="22"/>
        </w:rPr>
      </w:pPr>
      <w:hyperlink w:anchor="_Toc148175958"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5</w:t>
        </w:r>
        <w:r w:rsidR="0042745D" w:rsidRPr="006D631C">
          <w:rPr>
            <w:rStyle w:val="Hyperlink"/>
            <w:noProof/>
          </w:rPr>
          <w:noBreakHyphen/>
          <w:t>4. (a) Variation of polyLLC swelling capacity with temperature (reversibility of the polyLLC thermoresponsiveness is shown as inset). (b) Kinetics of thermal response when the temperature changes from 25 to 45 °C. (c) Changes in swelling capacity with ionic strength at 25 and 45 °C. (d) Variation of the swelling capacity with pH.</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_Toc148175958 \h </w:instrText>
        </w:r>
        <w:r w:rsidR="0042745D" w:rsidRPr="006D631C">
          <w:rPr>
            <w:noProof/>
            <w:webHidden/>
          </w:rPr>
        </w:r>
        <w:r w:rsidR="0042745D" w:rsidRPr="006D631C">
          <w:rPr>
            <w:noProof/>
            <w:webHidden/>
          </w:rPr>
          <w:fldChar w:fldCharType="separate"/>
        </w:r>
        <w:r w:rsidR="0042745D" w:rsidRPr="006D631C">
          <w:rPr>
            <w:noProof/>
            <w:webHidden/>
          </w:rPr>
          <w:t>175</w:t>
        </w:r>
        <w:r w:rsidR="0042745D" w:rsidRPr="006D631C">
          <w:rPr>
            <w:noProof/>
            <w:webHidden/>
          </w:rPr>
          <w:fldChar w:fldCharType="end"/>
        </w:r>
      </w:hyperlink>
    </w:p>
    <w:p w14:paraId="0465DB5A" w14:textId="56AF2278" w:rsidR="0042745D" w:rsidRPr="006D631C" w:rsidRDefault="001A0507">
      <w:pPr>
        <w:pStyle w:val="TableofFigures"/>
        <w:rPr>
          <w:rFonts w:asciiTheme="minorHAnsi" w:eastAsiaTheme="minorEastAsia" w:hAnsiTheme="minorHAnsi" w:cstheme="minorBidi"/>
          <w:noProof/>
          <w:sz w:val="22"/>
          <w:szCs w:val="22"/>
        </w:rPr>
      </w:pPr>
      <w:hyperlink w:anchor="_Toc148175959" w:history="1">
        <w:r w:rsidR="0042745D" w:rsidRPr="006D631C">
          <w:rPr>
            <w:rStyle w:val="Hyperlink"/>
            <w:rFonts w:asciiTheme="majorBidi" w:hAnsiTheme="majorBidi" w:cstheme="majorBidi"/>
            <w:noProof/>
          </w:rPr>
          <w:t xml:space="preserve">Figure </w:t>
        </w:r>
        <w:r w:rsidR="0042745D" w:rsidRPr="006D631C">
          <w:rPr>
            <w:rStyle w:val="Hyperlink"/>
            <w:rFonts w:asciiTheme="majorBidi" w:hAnsiTheme="majorBidi" w:cstheme="majorBidi"/>
            <w:noProof/>
            <w:cs/>
          </w:rPr>
          <w:t>‎</w:t>
        </w:r>
        <w:r w:rsidR="0042745D" w:rsidRPr="006D631C">
          <w:rPr>
            <w:rStyle w:val="Hyperlink"/>
            <w:rFonts w:asciiTheme="majorBidi" w:hAnsiTheme="majorBidi" w:cstheme="majorBidi"/>
            <w:noProof/>
          </w:rPr>
          <w:t>5</w:t>
        </w:r>
        <w:r w:rsidR="0042745D" w:rsidRPr="006D631C">
          <w:rPr>
            <w:rStyle w:val="Hyperlink"/>
            <w:rFonts w:asciiTheme="majorBidi" w:hAnsiTheme="majorBidi" w:cstheme="majorBidi"/>
            <w:noProof/>
          </w:rPr>
          <w:noBreakHyphen/>
          <w:t>5. (a-l) CPLM images of water-swollen polyLLC at temperature of (a, e, i) 10, (b, f, j) 25, (c, g, k) 45, and (d, h, l) 65 °C and at pH of (a-d) 9, (e-h) 6, and (i-l) 4. (m) 1D SAXS profile of the water-swollen polyLLC at different temperatures and pH values. To enhance comparison, the plots have been vertically shifted.</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_Toc148175959 \h </w:instrText>
        </w:r>
        <w:r w:rsidR="0042745D" w:rsidRPr="006D631C">
          <w:rPr>
            <w:noProof/>
            <w:webHidden/>
          </w:rPr>
        </w:r>
        <w:r w:rsidR="0042745D" w:rsidRPr="006D631C">
          <w:rPr>
            <w:noProof/>
            <w:webHidden/>
          </w:rPr>
          <w:fldChar w:fldCharType="separate"/>
        </w:r>
        <w:r w:rsidR="0042745D" w:rsidRPr="006D631C">
          <w:rPr>
            <w:noProof/>
            <w:webHidden/>
          </w:rPr>
          <w:t>176</w:t>
        </w:r>
        <w:r w:rsidR="0042745D" w:rsidRPr="006D631C">
          <w:rPr>
            <w:noProof/>
            <w:webHidden/>
          </w:rPr>
          <w:fldChar w:fldCharType="end"/>
        </w:r>
      </w:hyperlink>
    </w:p>
    <w:p w14:paraId="529CC1DE" w14:textId="4474CDBC" w:rsidR="0042745D" w:rsidRPr="006D631C" w:rsidRDefault="001A0507">
      <w:pPr>
        <w:pStyle w:val="TableofFigures"/>
        <w:rPr>
          <w:rFonts w:asciiTheme="minorHAnsi" w:eastAsiaTheme="minorEastAsia" w:hAnsiTheme="minorHAnsi" w:cstheme="minorBidi"/>
          <w:noProof/>
          <w:sz w:val="22"/>
          <w:szCs w:val="22"/>
        </w:rPr>
      </w:pPr>
      <w:hyperlink w:anchor="_Toc148175960" w:history="1">
        <w:r w:rsidR="0042745D" w:rsidRPr="006D631C">
          <w:rPr>
            <w:rStyle w:val="Hyperlink"/>
            <w:rFonts w:asciiTheme="majorBidi" w:hAnsiTheme="majorBidi" w:cstheme="majorBidi"/>
            <w:noProof/>
          </w:rPr>
          <w:t xml:space="preserve">Figure </w:t>
        </w:r>
        <w:r w:rsidR="0042745D" w:rsidRPr="006D631C">
          <w:rPr>
            <w:rStyle w:val="Hyperlink"/>
            <w:rFonts w:asciiTheme="majorBidi" w:hAnsiTheme="majorBidi" w:cstheme="majorBidi"/>
            <w:noProof/>
            <w:cs/>
          </w:rPr>
          <w:t>‎</w:t>
        </w:r>
        <w:r w:rsidR="0042745D" w:rsidRPr="006D631C">
          <w:rPr>
            <w:rStyle w:val="Hyperlink"/>
            <w:rFonts w:asciiTheme="majorBidi" w:hAnsiTheme="majorBidi" w:cstheme="majorBidi"/>
            <w:noProof/>
          </w:rPr>
          <w:t>5</w:t>
        </w:r>
        <w:r w:rsidR="0042745D" w:rsidRPr="006D631C">
          <w:rPr>
            <w:rStyle w:val="Hyperlink"/>
            <w:rFonts w:asciiTheme="majorBidi" w:hAnsiTheme="majorBidi" w:cstheme="majorBidi"/>
            <w:noProof/>
          </w:rPr>
          <w:noBreakHyphen/>
          <w:t>6. (a) A supported polyLLC membrane with a circular cut and (b) typical cross-sectional SEM image of the membrane. Cyclical changes of (c) thickness-normalized flux and (d) permeability with changes in temperature. (e) MWCO and (f) rejection of BSA, lysozyme, DR23, and DR80 measured at 25 °C, after increasing the temperature to 45 °C, and after cooling back down to 25 °C.</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_Toc148175960 \h </w:instrText>
        </w:r>
        <w:r w:rsidR="0042745D" w:rsidRPr="006D631C">
          <w:rPr>
            <w:noProof/>
            <w:webHidden/>
          </w:rPr>
        </w:r>
        <w:r w:rsidR="0042745D" w:rsidRPr="006D631C">
          <w:rPr>
            <w:noProof/>
            <w:webHidden/>
          </w:rPr>
          <w:fldChar w:fldCharType="separate"/>
        </w:r>
        <w:r w:rsidR="0042745D" w:rsidRPr="006D631C">
          <w:rPr>
            <w:noProof/>
            <w:webHidden/>
          </w:rPr>
          <w:t>180</w:t>
        </w:r>
        <w:r w:rsidR="0042745D" w:rsidRPr="006D631C">
          <w:rPr>
            <w:noProof/>
            <w:webHidden/>
          </w:rPr>
          <w:fldChar w:fldCharType="end"/>
        </w:r>
      </w:hyperlink>
    </w:p>
    <w:p w14:paraId="62C64800" w14:textId="3103DCEF" w:rsidR="0042745D" w:rsidRPr="006D631C" w:rsidRDefault="001A0507">
      <w:pPr>
        <w:pStyle w:val="TableofFigures"/>
        <w:rPr>
          <w:rFonts w:asciiTheme="minorHAnsi" w:eastAsiaTheme="minorEastAsia" w:hAnsiTheme="minorHAnsi" w:cstheme="minorBidi"/>
          <w:noProof/>
          <w:sz w:val="22"/>
          <w:szCs w:val="22"/>
        </w:rPr>
      </w:pPr>
      <w:hyperlink w:anchor="_Toc148175961"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5</w:t>
        </w:r>
        <w:r w:rsidR="0042745D" w:rsidRPr="006D631C">
          <w:rPr>
            <w:rStyle w:val="Hyperlink"/>
            <w:noProof/>
          </w:rPr>
          <w:noBreakHyphen/>
          <w:t>7</w:t>
        </w:r>
        <w:r w:rsidR="0042745D" w:rsidRPr="006D631C">
          <w:rPr>
            <w:rStyle w:val="Hyperlink"/>
            <w:rFonts w:asciiTheme="majorBidi" w:hAnsiTheme="majorBidi" w:cstheme="majorBidi"/>
            <w:noProof/>
          </w:rPr>
          <w:t>. (a) The results of single salt rejection experiments are presented for different salts and concentrations. The range of rejection observed for different anions is indicated by the shaded areas in the inset. (b) The rejection of different dissolved salts varies with pH. The membrane flux (for K</w:t>
        </w:r>
        <w:r w:rsidR="0042745D" w:rsidRPr="006D631C">
          <w:rPr>
            <w:rStyle w:val="Hyperlink"/>
            <w:rFonts w:asciiTheme="majorBidi" w:hAnsiTheme="majorBidi" w:cstheme="majorBidi"/>
            <w:noProof/>
            <w:vertAlign w:val="subscript"/>
          </w:rPr>
          <w:t>2</w:t>
        </w:r>
        <w:r w:rsidR="0042745D" w:rsidRPr="006D631C">
          <w:rPr>
            <w:rStyle w:val="Hyperlink"/>
            <w:rFonts w:asciiTheme="majorBidi" w:hAnsiTheme="majorBidi" w:cstheme="majorBidi"/>
            <w:noProof/>
          </w:rPr>
          <w:t>SO</w:t>
        </w:r>
        <w:r w:rsidR="0042745D" w:rsidRPr="006D631C">
          <w:rPr>
            <w:rStyle w:val="Hyperlink"/>
            <w:rFonts w:asciiTheme="majorBidi" w:hAnsiTheme="majorBidi" w:cstheme="majorBidi"/>
            <w:noProof/>
            <w:vertAlign w:val="subscript"/>
          </w:rPr>
          <w:t>4</w:t>
        </w:r>
        <w:r w:rsidR="0042745D" w:rsidRPr="006D631C">
          <w:rPr>
            <w:rStyle w:val="Hyperlink"/>
            <w:rFonts w:asciiTheme="majorBidi" w:hAnsiTheme="majorBidi" w:cstheme="majorBidi"/>
            <w:noProof/>
          </w:rPr>
          <w:t>) at different pH values is also presented in the figure. (c) The variation of K</w:t>
        </w:r>
        <w:r w:rsidR="0042745D" w:rsidRPr="006D631C">
          <w:rPr>
            <w:rStyle w:val="Hyperlink"/>
            <w:rFonts w:asciiTheme="majorBidi" w:hAnsiTheme="majorBidi" w:cstheme="majorBidi"/>
            <w:noProof/>
            <w:vertAlign w:val="subscript"/>
          </w:rPr>
          <w:t>2</w:t>
        </w:r>
        <w:r w:rsidR="0042745D" w:rsidRPr="006D631C">
          <w:rPr>
            <w:rStyle w:val="Hyperlink"/>
            <w:rFonts w:asciiTheme="majorBidi" w:hAnsiTheme="majorBidi" w:cstheme="majorBidi"/>
            <w:noProof/>
          </w:rPr>
          <w:t>SO</w:t>
        </w:r>
        <w:r w:rsidR="0042745D" w:rsidRPr="006D631C">
          <w:rPr>
            <w:rStyle w:val="Hyperlink"/>
            <w:rFonts w:asciiTheme="majorBidi" w:hAnsiTheme="majorBidi" w:cstheme="majorBidi"/>
            <w:noProof/>
            <w:vertAlign w:val="subscript"/>
          </w:rPr>
          <w:t>4</w:t>
        </w:r>
        <w:r w:rsidR="0042745D" w:rsidRPr="006D631C">
          <w:rPr>
            <w:rStyle w:val="Hyperlink"/>
            <w:rFonts w:asciiTheme="majorBidi" w:hAnsiTheme="majorBidi" w:cstheme="majorBidi"/>
            <w:noProof/>
          </w:rPr>
          <w:t xml:space="preserve"> rejection is demonstrated in response to changes in temperature and pH. (d) The pH-dependent rejection rate for different anionic dyes is displayed. Photos of the feed and permeate at different pH values are provided for (e) OG, (f) AR1, and (g) AF. In these photos, the pH value (9, 6, or 4) is indicated by a number and the letter indicates whether it is feed (F) or permeate (P). It should be noted that the color of the feed for AF changes as the pH is altered since this dye is a pH indicator.</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_Toc148175961 \h </w:instrText>
        </w:r>
        <w:r w:rsidR="0042745D" w:rsidRPr="006D631C">
          <w:rPr>
            <w:noProof/>
            <w:webHidden/>
          </w:rPr>
        </w:r>
        <w:r w:rsidR="0042745D" w:rsidRPr="006D631C">
          <w:rPr>
            <w:noProof/>
            <w:webHidden/>
          </w:rPr>
          <w:fldChar w:fldCharType="separate"/>
        </w:r>
        <w:r w:rsidR="0042745D" w:rsidRPr="006D631C">
          <w:rPr>
            <w:noProof/>
            <w:webHidden/>
          </w:rPr>
          <w:t>184</w:t>
        </w:r>
        <w:r w:rsidR="0042745D" w:rsidRPr="006D631C">
          <w:rPr>
            <w:noProof/>
            <w:webHidden/>
          </w:rPr>
          <w:fldChar w:fldCharType="end"/>
        </w:r>
      </w:hyperlink>
    </w:p>
    <w:p w14:paraId="6BC5067B" w14:textId="6E2AB9AD" w:rsidR="0042745D" w:rsidRPr="006D631C" w:rsidRDefault="001A0507">
      <w:pPr>
        <w:pStyle w:val="TableofFigures"/>
        <w:rPr>
          <w:rFonts w:asciiTheme="minorHAnsi" w:eastAsiaTheme="minorEastAsia" w:hAnsiTheme="minorHAnsi" w:cstheme="minorBidi"/>
          <w:noProof/>
          <w:sz w:val="22"/>
          <w:szCs w:val="22"/>
        </w:rPr>
      </w:pPr>
      <w:hyperlink w:anchor="_Toc148175962" w:history="1">
        <w:r w:rsidR="0042745D" w:rsidRPr="006D631C">
          <w:rPr>
            <w:rStyle w:val="Hyperlink"/>
            <w:rFonts w:asciiTheme="majorBidi" w:hAnsiTheme="majorBidi" w:cstheme="majorBidi"/>
            <w:noProof/>
          </w:rPr>
          <w:t xml:space="preserve">Figure </w:t>
        </w:r>
        <w:r w:rsidR="0042745D" w:rsidRPr="006D631C">
          <w:rPr>
            <w:rStyle w:val="Hyperlink"/>
            <w:rFonts w:asciiTheme="majorBidi" w:hAnsiTheme="majorBidi" w:cstheme="majorBidi"/>
            <w:noProof/>
            <w:cs/>
          </w:rPr>
          <w:t>‎</w:t>
        </w:r>
        <w:r w:rsidR="0042745D" w:rsidRPr="006D631C">
          <w:rPr>
            <w:rStyle w:val="Hyperlink"/>
            <w:rFonts w:asciiTheme="majorBidi" w:hAnsiTheme="majorBidi" w:cstheme="majorBidi"/>
            <w:noProof/>
          </w:rPr>
          <w:t>5</w:t>
        </w:r>
        <w:r w:rsidR="0042745D" w:rsidRPr="006D631C">
          <w:rPr>
            <w:rStyle w:val="Hyperlink"/>
            <w:rFonts w:asciiTheme="majorBidi" w:hAnsiTheme="majorBidi" w:cstheme="majorBidi"/>
            <w:noProof/>
          </w:rPr>
          <w:noBreakHyphen/>
          <w:t xml:space="preserve">8. (a) The contact angle of the polyLLC membrane when swelled with water at 25 and 45 °C. (b) The evolution of the ratio of membrane flux at a given time (J) to the initial flux with </w:t>
        </w:r>
        <w:r w:rsidR="0042745D" w:rsidRPr="006D631C">
          <w:rPr>
            <w:rStyle w:val="Hyperlink"/>
            <w:rFonts w:asciiTheme="majorBidi" w:hAnsiTheme="majorBidi" w:cstheme="majorBidi"/>
            <w:noProof/>
          </w:rPr>
          <w:lastRenderedPageBreak/>
          <w:t>DI water (J</w:t>
        </w:r>
        <w:r w:rsidR="0042745D" w:rsidRPr="006D631C">
          <w:rPr>
            <w:rStyle w:val="Hyperlink"/>
            <w:rFonts w:asciiTheme="majorBidi" w:hAnsiTheme="majorBidi" w:cstheme="majorBidi"/>
            <w:noProof/>
            <w:vertAlign w:val="subscript"/>
          </w:rPr>
          <w:t>0</w:t>
        </w:r>
        <w:r w:rsidR="0042745D" w:rsidRPr="006D631C">
          <w:rPr>
            <w:rStyle w:val="Hyperlink"/>
            <w:rFonts w:asciiTheme="majorBidi" w:hAnsiTheme="majorBidi" w:cstheme="majorBidi"/>
            <w:noProof/>
          </w:rPr>
          <w:t>) (represented by filled symbols) and rejection rate of various solutes (represented by open symbols) for the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_Toc148175962 \h </w:instrText>
        </w:r>
        <w:r w:rsidR="0042745D" w:rsidRPr="006D631C">
          <w:rPr>
            <w:noProof/>
            <w:webHidden/>
          </w:rPr>
        </w:r>
        <w:r w:rsidR="0042745D" w:rsidRPr="006D631C">
          <w:rPr>
            <w:noProof/>
            <w:webHidden/>
          </w:rPr>
          <w:fldChar w:fldCharType="separate"/>
        </w:r>
        <w:r w:rsidR="0042745D" w:rsidRPr="006D631C">
          <w:rPr>
            <w:noProof/>
            <w:webHidden/>
          </w:rPr>
          <w:t>185</w:t>
        </w:r>
        <w:r w:rsidR="0042745D" w:rsidRPr="006D631C">
          <w:rPr>
            <w:noProof/>
            <w:webHidden/>
          </w:rPr>
          <w:fldChar w:fldCharType="end"/>
        </w:r>
      </w:hyperlink>
    </w:p>
    <w:p w14:paraId="00969EC3" w14:textId="1D76631F" w:rsidR="0042745D" w:rsidRPr="006D631C" w:rsidRDefault="001A0507">
      <w:pPr>
        <w:pStyle w:val="TableofFigures"/>
        <w:rPr>
          <w:rFonts w:asciiTheme="minorHAnsi" w:eastAsiaTheme="minorEastAsia" w:hAnsiTheme="minorHAnsi" w:cstheme="minorBidi"/>
          <w:noProof/>
          <w:sz w:val="22"/>
          <w:szCs w:val="22"/>
        </w:rPr>
      </w:pPr>
      <w:hyperlink w:anchor="_Toc148175963"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5</w:t>
        </w:r>
        <w:r w:rsidR="0042745D" w:rsidRPr="006D631C">
          <w:rPr>
            <w:rStyle w:val="Hyperlink"/>
            <w:noProof/>
          </w:rPr>
          <w:noBreakHyphen/>
          <w:t>9</w:t>
        </w:r>
        <w:r w:rsidR="0042745D" w:rsidRPr="006D631C">
          <w:rPr>
            <w:rStyle w:val="Hyperlink"/>
            <w:rFonts w:asciiTheme="majorBidi" w:hAnsiTheme="majorBidi" w:cstheme="majorBidi"/>
            <w:noProof/>
          </w:rPr>
          <w:t>. Schematic illustration of thermos- and pH-responsiveness mechanism of the polyLLC membrane.</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_Toc148175963 \h </w:instrText>
        </w:r>
        <w:r w:rsidR="0042745D" w:rsidRPr="006D631C">
          <w:rPr>
            <w:noProof/>
            <w:webHidden/>
          </w:rPr>
        </w:r>
        <w:r w:rsidR="0042745D" w:rsidRPr="006D631C">
          <w:rPr>
            <w:noProof/>
            <w:webHidden/>
          </w:rPr>
          <w:fldChar w:fldCharType="separate"/>
        </w:r>
        <w:r w:rsidR="0042745D" w:rsidRPr="006D631C">
          <w:rPr>
            <w:noProof/>
            <w:webHidden/>
          </w:rPr>
          <w:t>187</w:t>
        </w:r>
        <w:r w:rsidR="0042745D" w:rsidRPr="006D631C">
          <w:rPr>
            <w:noProof/>
            <w:webHidden/>
          </w:rPr>
          <w:fldChar w:fldCharType="end"/>
        </w:r>
      </w:hyperlink>
    </w:p>
    <w:p w14:paraId="2D555EE8" w14:textId="565DC442" w:rsidR="0042745D" w:rsidRPr="006D631C" w:rsidRDefault="001A0507">
      <w:pPr>
        <w:pStyle w:val="TableofFigures"/>
        <w:rPr>
          <w:rFonts w:asciiTheme="minorHAnsi" w:eastAsiaTheme="minorEastAsia" w:hAnsiTheme="minorHAnsi" w:cstheme="minorBidi"/>
          <w:noProof/>
          <w:sz w:val="22"/>
          <w:szCs w:val="22"/>
        </w:rPr>
      </w:pPr>
      <w:hyperlink w:anchor="_Toc148175964" w:history="1">
        <w:r w:rsidR="0042745D" w:rsidRPr="006D631C">
          <w:rPr>
            <w:rStyle w:val="Hyperlink"/>
            <w:noProof/>
          </w:rPr>
          <w:t xml:space="preserve">Figure </w:t>
        </w:r>
        <w:r w:rsidR="0042745D" w:rsidRPr="006D631C">
          <w:rPr>
            <w:rStyle w:val="Hyperlink"/>
            <w:noProof/>
            <w:cs/>
          </w:rPr>
          <w:t>‎</w:t>
        </w:r>
        <w:r w:rsidR="0042745D" w:rsidRPr="006D631C">
          <w:rPr>
            <w:rStyle w:val="Hyperlink"/>
            <w:noProof/>
          </w:rPr>
          <w:t>6</w:t>
        </w:r>
        <w:r w:rsidR="0042745D" w:rsidRPr="006D631C">
          <w:rPr>
            <w:rStyle w:val="Hyperlink"/>
            <w:noProof/>
          </w:rPr>
          <w:noBreakHyphen/>
          <w:t>1. (a) The average pore size and thickness-normalized flux (at 30 psi) values of the membranes created via synergistic LLC templating using different LLC structures, as reported by Gin et al.,</w:t>
        </w:r>
        <w:r w:rsidR="0042745D" w:rsidRPr="006D631C">
          <w:rPr>
            <w:rStyle w:val="Hyperlink"/>
            <w:noProof/>
            <w:vertAlign w:val="superscript"/>
          </w:rPr>
          <w:t>34,93,118–120</w:t>
        </w:r>
        <w:r w:rsidR="0042745D" w:rsidRPr="006D631C">
          <w:rPr>
            <w:rStyle w:val="Hyperlink"/>
            <w:noProof/>
          </w:rPr>
          <w:t xml:space="preserve"> Osuji et al.,</w:t>
        </w:r>
        <w:r w:rsidR="0042745D" w:rsidRPr="006D631C">
          <w:rPr>
            <w:rStyle w:val="Hyperlink"/>
            <w:noProof/>
            <w:vertAlign w:val="superscript"/>
          </w:rPr>
          <w:t>31,125,297</w:t>
        </w:r>
        <w:r w:rsidR="0042745D" w:rsidRPr="006D631C">
          <w:rPr>
            <w:rStyle w:val="Hyperlink"/>
            <w:noProof/>
          </w:rPr>
          <w:t xml:space="preserve"> and the present study. (b) Selectivity/permeability trade-off for the synergistic LLC-templated membranes. 1/pore size has been used as the separation factor representing the membrane selectivity.</w:t>
        </w:r>
        <w:r w:rsidR="0042745D" w:rsidRPr="006D631C">
          <w:rPr>
            <w:rStyle w:val="Hyperlink"/>
            <w:rFonts w:asciiTheme="majorBidi" w:hAnsiTheme="majorBidi" w:cstheme="majorBidi"/>
            <w:noProof/>
          </w:rPr>
          <w:t xml:space="preserve"> Hagen–Poiseuille equation has been used to estimate the theoretical permeability for membranes having different tortuosity (τ) values (τ=1 for an ideal membrane with straight capillary tube pores across the membrane and τ=1.5-2.5 as the typical tortuosity range reported for different membranes</w:t>
        </w:r>
        <w:r w:rsidR="0042745D" w:rsidRPr="006D631C">
          <w:rPr>
            <w:rStyle w:val="Hyperlink"/>
            <w:rFonts w:asciiTheme="majorBidi" w:hAnsiTheme="majorBidi" w:cstheme="majorBidi"/>
            <w:noProof/>
            <w:vertAlign w:val="superscript"/>
          </w:rPr>
          <w:t>296</w:t>
        </w:r>
        <w:r w:rsidR="0042745D" w:rsidRPr="006D631C">
          <w:rPr>
            <w:rStyle w:val="Hyperlink"/>
            <w:rFonts w:asciiTheme="majorBidi" w:hAnsiTheme="majorBidi" w:cstheme="majorBidi"/>
            <w:noProof/>
          </w:rPr>
          <w:t>).</w:t>
        </w:r>
        <w:r w:rsidR="0042745D" w:rsidRPr="006D631C">
          <w:rPr>
            <w:rStyle w:val="Hyperlink"/>
            <w:noProof/>
          </w:rPr>
          <w:t xml:space="preserve"> Notably, the membranes produced in the current research exhibit the ability to alter their pore size and thus selectivity/permeability in response to temperature change from 25 to 45 </w:t>
        </w:r>
        <w:r w:rsidR="0042745D" w:rsidRPr="006D631C">
          <w:rPr>
            <w:rStyle w:val="Hyperlink"/>
            <w:rFonts w:cs="Times New Roman"/>
            <w:noProof/>
          </w:rPr>
          <w:t>°</w:t>
        </w:r>
        <w:r w:rsidR="0042745D" w:rsidRPr="006D631C">
          <w:rPr>
            <w:rStyle w:val="Hyperlink"/>
            <w:noProof/>
          </w:rPr>
          <w:t xml:space="preserve">C. The red and blue arrows depicted in the figure denote the heating and cooling cycles, respectively. The membrane having 2.2 nm at 25 </w:t>
        </w:r>
        <w:r w:rsidR="0042745D" w:rsidRPr="006D631C">
          <w:rPr>
            <w:rStyle w:val="Hyperlink"/>
            <w:rFonts w:cs="Times New Roman"/>
            <w:noProof/>
          </w:rPr>
          <w:t>°</w:t>
        </w:r>
        <w:r w:rsidR="0042745D" w:rsidRPr="006D631C">
          <w:rPr>
            <w:rStyle w:val="Hyperlink"/>
            <w:noProof/>
          </w:rPr>
          <w:t>C shows pH-responsiveness in addition to thermoresponsiveness, changing its selectivity towards ionic species with a change in pH.</w:t>
        </w:r>
        <w:r w:rsidR="0042745D" w:rsidRPr="006D631C">
          <w:rPr>
            <w:noProof/>
            <w:webHidden/>
          </w:rPr>
          <w:tab/>
        </w:r>
        <w:r w:rsidR="0042745D" w:rsidRPr="006D631C">
          <w:rPr>
            <w:noProof/>
            <w:webHidden/>
          </w:rPr>
          <w:fldChar w:fldCharType="begin"/>
        </w:r>
        <w:r w:rsidR="0042745D" w:rsidRPr="006D631C">
          <w:rPr>
            <w:noProof/>
            <w:webHidden/>
          </w:rPr>
          <w:instrText xml:space="preserve"> PAGEREF _Toc148175964 \h </w:instrText>
        </w:r>
        <w:r w:rsidR="0042745D" w:rsidRPr="006D631C">
          <w:rPr>
            <w:noProof/>
            <w:webHidden/>
          </w:rPr>
        </w:r>
        <w:r w:rsidR="0042745D" w:rsidRPr="006D631C">
          <w:rPr>
            <w:noProof/>
            <w:webHidden/>
          </w:rPr>
          <w:fldChar w:fldCharType="separate"/>
        </w:r>
        <w:r w:rsidR="0042745D" w:rsidRPr="006D631C">
          <w:rPr>
            <w:noProof/>
            <w:webHidden/>
          </w:rPr>
          <w:t>193</w:t>
        </w:r>
        <w:r w:rsidR="0042745D" w:rsidRPr="006D631C">
          <w:rPr>
            <w:noProof/>
            <w:webHidden/>
          </w:rPr>
          <w:fldChar w:fldCharType="end"/>
        </w:r>
      </w:hyperlink>
    </w:p>
    <w:p w14:paraId="1D87395F" w14:textId="441FBE1E" w:rsidR="00541150" w:rsidRPr="006D631C" w:rsidRDefault="0068006F" w:rsidP="00124469">
      <w:r w:rsidRPr="006D631C">
        <w:rPr>
          <w:rFonts w:eastAsiaTheme="majorEastAsia" w:cstheme="majorBidi"/>
          <w:szCs w:val="32"/>
        </w:rPr>
        <w:fldChar w:fldCharType="end"/>
      </w:r>
    </w:p>
    <w:p w14:paraId="55E45A55" w14:textId="77777777" w:rsidR="00541150" w:rsidRPr="006D631C" w:rsidRDefault="00541150" w:rsidP="00124469"/>
    <w:p w14:paraId="253780AB" w14:textId="4238BA80" w:rsidR="00541150" w:rsidRPr="006D631C" w:rsidRDefault="00541150" w:rsidP="00124469"/>
    <w:p w14:paraId="15579074" w14:textId="4B975F43" w:rsidR="00C824C0" w:rsidRPr="006D631C" w:rsidRDefault="00C824C0" w:rsidP="00861405">
      <w:pPr>
        <w:pStyle w:val="TOC1"/>
      </w:pPr>
    </w:p>
    <w:p w14:paraId="092E7C76" w14:textId="1D3C5505" w:rsidR="00C824C0" w:rsidRPr="006D631C" w:rsidRDefault="00C824C0" w:rsidP="00C824C0"/>
    <w:p w14:paraId="2E9670EB" w14:textId="0EF6BA64" w:rsidR="00C824C0" w:rsidRPr="006D631C" w:rsidRDefault="00C824C0" w:rsidP="00861405">
      <w:pPr>
        <w:pStyle w:val="TOC1"/>
      </w:pPr>
    </w:p>
    <w:p w14:paraId="2A5944F4" w14:textId="23082915" w:rsidR="00C824C0" w:rsidRPr="006D631C" w:rsidRDefault="00C824C0" w:rsidP="00C824C0"/>
    <w:p w14:paraId="0B1CD616" w14:textId="5A04D680" w:rsidR="00C824C0" w:rsidRPr="006D631C" w:rsidRDefault="00C824C0" w:rsidP="00861405">
      <w:pPr>
        <w:pStyle w:val="TOC1"/>
      </w:pPr>
    </w:p>
    <w:p w14:paraId="06A5C4B2" w14:textId="12BDB702" w:rsidR="00C824C0" w:rsidRPr="006D631C" w:rsidRDefault="00C824C0" w:rsidP="00C824C0"/>
    <w:p w14:paraId="1322858C" w14:textId="34A08D04" w:rsidR="00F53354" w:rsidRPr="006D631C" w:rsidRDefault="00F53354" w:rsidP="00861405">
      <w:pPr>
        <w:pStyle w:val="TOC1"/>
      </w:pPr>
    </w:p>
    <w:p w14:paraId="0E4EB390" w14:textId="778DF909" w:rsidR="00F53354" w:rsidRPr="006D631C" w:rsidRDefault="00F53354" w:rsidP="00F53354"/>
    <w:p w14:paraId="49A91CAE" w14:textId="48DF0516" w:rsidR="00C824C0" w:rsidRPr="006D631C" w:rsidRDefault="00C824C0" w:rsidP="00C824C0">
      <w:pPr>
        <w:pStyle w:val="Heading1"/>
        <w:numPr>
          <w:ilvl w:val="0"/>
          <w:numId w:val="0"/>
        </w:numPr>
        <w:ind w:left="710"/>
        <w:jc w:val="center"/>
      </w:pPr>
      <w:bookmarkStart w:id="17" w:name="_Toc107854811"/>
      <w:bookmarkStart w:id="18" w:name="_Toc131082857"/>
      <w:bookmarkStart w:id="19" w:name="_Toc148175775"/>
      <w:r w:rsidRPr="006D631C">
        <w:lastRenderedPageBreak/>
        <w:t>List of Tables</w:t>
      </w:r>
      <w:bookmarkEnd w:id="17"/>
      <w:bookmarkEnd w:id="18"/>
      <w:bookmarkEnd w:id="19"/>
    </w:p>
    <w:p w14:paraId="742F8B9A" w14:textId="7D95C054" w:rsidR="00610A9E" w:rsidRPr="006D631C" w:rsidRDefault="00C824C0">
      <w:pPr>
        <w:pStyle w:val="TableofFigures"/>
        <w:rPr>
          <w:rFonts w:asciiTheme="minorHAnsi" w:eastAsiaTheme="minorEastAsia" w:hAnsiTheme="minorHAnsi" w:cstheme="minorBidi"/>
          <w:noProof/>
          <w:sz w:val="22"/>
          <w:szCs w:val="22"/>
        </w:rPr>
      </w:pPr>
      <w:r w:rsidRPr="006D631C">
        <w:fldChar w:fldCharType="begin"/>
      </w:r>
      <w:r w:rsidRPr="006D631C">
        <w:instrText xml:space="preserve"> TOC \h \z \c "Table" </w:instrText>
      </w:r>
      <w:r w:rsidRPr="006D631C">
        <w:fldChar w:fldCharType="separate"/>
      </w:r>
      <w:hyperlink w:anchor="_Toc148175965" w:history="1">
        <w:r w:rsidR="00610A9E" w:rsidRPr="006D631C">
          <w:rPr>
            <w:rStyle w:val="Hyperlink"/>
            <w:noProof/>
          </w:rPr>
          <w:t xml:space="preserve">Table </w:t>
        </w:r>
        <w:r w:rsidR="00610A9E" w:rsidRPr="006D631C">
          <w:rPr>
            <w:rStyle w:val="Hyperlink"/>
            <w:noProof/>
            <w:cs/>
          </w:rPr>
          <w:t>‎</w:t>
        </w:r>
        <w:r w:rsidR="00610A9E" w:rsidRPr="006D631C">
          <w:rPr>
            <w:rStyle w:val="Hyperlink"/>
            <w:noProof/>
          </w:rPr>
          <w:t>1</w:t>
        </w:r>
        <w:r w:rsidR="00610A9E" w:rsidRPr="006D631C">
          <w:rPr>
            <w:rStyle w:val="Hyperlink"/>
            <w:noProof/>
          </w:rPr>
          <w:noBreakHyphen/>
          <w:t xml:space="preserve">1. </w:t>
        </w:r>
        <w:r w:rsidR="00610A9E" w:rsidRPr="006D631C">
          <w:rPr>
            <w:rStyle w:val="Hyperlink"/>
            <w:rFonts w:asciiTheme="majorBidi" w:hAnsiTheme="majorBidi" w:cstheme="majorBidi"/>
            <w:noProof/>
          </w:rPr>
          <w:t>Characteristics of LLC structures used is LLC templating.</w:t>
        </w:r>
        <w:r w:rsidR="00610A9E" w:rsidRPr="006D631C">
          <w:rPr>
            <w:noProof/>
            <w:webHidden/>
          </w:rPr>
          <w:tab/>
        </w:r>
        <w:r w:rsidR="00610A9E" w:rsidRPr="006D631C">
          <w:rPr>
            <w:noProof/>
            <w:webHidden/>
          </w:rPr>
          <w:fldChar w:fldCharType="begin"/>
        </w:r>
        <w:r w:rsidR="00610A9E" w:rsidRPr="006D631C">
          <w:rPr>
            <w:noProof/>
            <w:webHidden/>
          </w:rPr>
          <w:instrText xml:space="preserve"> PAGEREF _Toc148175965 \h </w:instrText>
        </w:r>
        <w:r w:rsidR="00610A9E" w:rsidRPr="006D631C">
          <w:rPr>
            <w:noProof/>
            <w:webHidden/>
          </w:rPr>
        </w:r>
        <w:r w:rsidR="00610A9E" w:rsidRPr="006D631C">
          <w:rPr>
            <w:noProof/>
            <w:webHidden/>
          </w:rPr>
          <w:fldChar w:fldCharType="separate"/>
        </w:r>
        <w:r w:rsidR="00610A9E" w:rsidRPr="006D631C">
          <w:rPr>
            <w:noProof/>
            <w:webHidden/>
          </w:rPr>
          <w:t>17</w:t>
        </w:r>
        <w:r w:rsidR="00610A9E" w:rsidRPr="006D631C">
          <w:rPr>
            <w:noProof/>
            <w:webHidden/>
          </w:rPr>
          <w:fldChar w:fldCharType="end"/>
        </w:r>
      </w:hyperlink>
    </w:p>
    <w:p w14:paraId="5F0B812A" w14:textId="7227EC78" w:rsidR="00610A9E" w:rsidRPr="006D631C" w:rsidRDefault="001A0507">
      <w:pPr>
        <w:pStyle w:val="TableofFigures"/>
        <w:rPr>
          <w:rFonts w:asciiTheme="minorHAnsi" w:eastAsiaTheme="minorEastAsia" w:hAnsiTheme="minorHAnsi" w:cstheme="minorBidi"/>
          <w:noProof/>
          <w:sz w:val="22"/>
          <w:szCs w:val="22"/>
        </w:rPr>
      </w:pPr>
      <w:hyperlink w:anchor="_Toc148175966" w:history="1">
        <w:r w:rsidR="00610A9E" w:rsidRPr="006D631C">
          <w:rPr>
            <w:rStyle w:val="Hyperlink"/>
            <w:noProof/>
          </w:rPr>
          <w:t xml:space="preserve">Table </w:t>
        </w:r>
        <w:r w:rsidR="00610A9E" w:rsidRPr="006D631C">
          <w:rPr>
            <w:rStyle w:val="Hyperlink"/>
            <w:noProof/>
            <w:cs/>
          </w:rPr>
          <w:t>‎</w:t>
        </w:r>
        <w:r w:rsidR="00610A9E" w:rsidRPr="006D631C">
          <w:rPr>
            <w:rStyle w:val="Hyperlink"/>
            <w:noProof/>
          </w:rPr>
          <w:t>1</w:t>
        </w:r>
        <w:r w:rsidR="00610A9E" w:rsidRPr="006D631C">
          <w:rPr>
            <w:rStyle w:val="Hyperlink"/>
            <w:noProof/>
          </w:rPr>
          <w:noBreakHyphen/>
          <w:t xml:space="preserve">2. </w:t>
        </w:r>
        <w:r w:rsidR="00610A9E" w:rsidRPr="006D631C">
          <w:rPr>
            <w:rStyle w:val="Hyperlink"/>
            <w:rFonts w:asciiTheme="majorBidi" w:hAnsiTheme="majorBidi" w:cstheme="majorBidi"/>
            <w:noProof/>
          </w:rPr>
          <w:t>Summary of the reported results for synergistic LLC templating.</w:t>
        </w:r>
        <w:r w:rsidR="00610A9E" w:rsidRPr="006D631C">
          <w:rPr>
            <w:noProof/>
            <w:webHidden/>
          </w:rPr>
          <w:tab/>
        </w:r>
        <w:r w:rsidR="00610A9E" w:rsidRPr="006D631C">
          <w:rPr>
            <w:noProof/>
            <w:webHidden/>
          </w:rPr>
          <w:fldChar w:fldCharType="begin"/>
        </w:r>
        <w:r w:rsidR="00610A9E" w:rsidRPr="006D631C">
          <w:rPr>
            <w:noProof/>
            <w:webHidden/>
          </w:rPr>
          <w:instrText xml:space="preserve"> PAGEREF _Toc148175966 \h </w:instrText>
        </w:r>
        <w:r w:rsidR="00610A9E" w:rsidRPr="006D631C">
          <w:rPr>
            <w:noProof/>
            <w:webHidden/>
          </w:rPr>
        </w:r>
        <w:r w:rsidR="00610A9E" w:rsidRPr="006D631C">
          <w:rPr>
            <w:noProof/>
            <w:webHidden/>
          </w:rPr>
          <w:fldChar w:fldCharType="separate"/>
        </w:r>
        <w:r w:rsidR="00610A9E" w:rsidRPr="006D631C">
          <w:rPr>
            <w:noProof/>
            <w:webHidden/>
          </w:rPr>
          <w:t>33</w:t>
        </w:r>
        <w:r w:rsidR="00610A9E" w:rsidRPr="006D631C">
          <w:rPr>
            <w:noProof/>
            <w:webHidden/>
          </w:rPr>
          <w:fldChar w:fldCharType="end"/>
        </w:r>
      </w:hyperlink>
    </w:p>
    <w:p w14:paraId="57670997" w14:textId="5EFB93F9" w:rsidR="00610A9E" w:rsidRPr="006D631C" w:rsidRDefault="001A0507">
      <w:pPr>
        <w:pStyle w:val="TableofFigures"/>
        <w:rPr>
          <w:rFonts w:asciiTheme="minorHAnsi" w:eastAsiaTheme="minorEastAsia" w:hAnsiTheme="minorHAnsi" w:cstheme="minorBidi"/>
          <w:noProof/>
          <w:sz w:val="22"/>
          <w:szCs w:val="22"/>
        </w:rPr>
      </w:pPr>
      <w:hyperlink w:anchor="_Toc148175967" w:history="1">
        <w:r w:rsidR="00610A9E" w:rsidRPr="006D631C">
          <w:rPr>
            <w:rStyle w:val="Hyperlink"/>
            <w:noProof/>
          </w:rPr>
          <w:t xml:space="preserve">Table </w:t>
        </w:r>
        <w:r w:rsidR="00610A9E" w:rsidRPr="006D631C">
          <w:rPr>
            <w:rStyle w:val="Hyperlink"/>
            <w:noProof/>
            <w:cs/>
          </w:rPr>
          <w:t>‎</w:t>
        </w:r>
        <w:r w:rsidR="00610A9E" w:rsidRPr="006D631C">
          <w:rPr>
            <w:rStyle w:val="Hyperlink"/>
            <w:noProof/>
          </w:rPr>
          <w:t>1</w:t>
        </w:r>
        <w:r w:rsidR="00610A9E" w:rsidRPr="006D631C">
          <w:rPr>
            <w:rStyle w:val="Hyperlink"/>
            <w:noProof/>
          </w:rPr>
          <w:noBreakHyphen/>
          <w:t xml:space="preserve">3. </w:t>
        </w:r>
        <w:r w:rsidR="00610A9E" w:rsidRPr="006D631C">
          <w:rPr>
            <w:rStyle w:val="Hyperlink"/>
            <w:rFonts w:asciiTheme="majorBidi" w:hAnsiTheme="majorBidi" w:cstheme="majorBidi"/>
            <w:noProof/>
          </w:rPr>
          <w:t>Summary of the reported results for transcriptive LLC templating.</w:t>
        </w:r>
        <w:r w:rsidR="00610A9E" w:rsidRPr="006D631C">
          <w:rPr>
            <w:noProof/>
            <w:webHidden/>
          </w:rPr>
          <w:tab/>
        </w:r>
        <w:r w:rsidR="00610A9E" w:rsidRPr="006D631C">
          <w:rPr>
            <w:noProof/>
            <w:webHidden/>
          </w:rPr>
          <w:fldChar w:fldCharType="begin"/>
        </w:r>
        <w:r w:rsidR="00610A9E" w:rsidRPr="006D631C">
          <w:rPr>
            <w:noProof/>
            <w:webHidden/>
          </w:rPr>
          <w:instrText xml:space="preserve"> PAGEREF _Toc148175967 \h </w:instrText>
        </w:r>
        <w:r w:rsidR="00610A9E" w:rsidRPr="006D631C">
          <w:rPr>
            <w:noProof/>
            <w:webHidden/>
          </w:rPr>
        </w:r>
        <w:r w:rsidR="00610A9E" w:rsidRPr="006D631C">
          <w:rPr>
            <w:noProof/>
            <w:webHidden/>
          </w:rPr>
          <w:fldChar w:fldCharType="separate"/>
        </w:r>
        <w:r w:rsidR="00610A9E" w:rsidRPr="006D631C">
          <w:rPr>
            <w:noProof/>
            <w:webHidden/>
          </w:rPr>
          <w:t>43</w:t>
        </w:r>
        <w:r w:rsidR="00610A9E" w:rsidRPr="006D631C">
          <w:rPr>
            <w:noProof/>
            <w:webHidden/>
          </w:rPr>
          <w:fldChar w:fldCharType="end"/>
        </w:r>
      </w:hyperlink>
    </w:p>
    <w:p w14:paraId="26E7BDD3" w14:textId="474D36EC" w:rsidR="00610A9E" w:rsidRPr="006D631C" w:rsidRDefault="001A0507">
      <w:pPr>
        <w:pStyle w:val="TableofFigures"/>
        <w:rPr>
          <w:rFonts w:asciiTheme="minorHAnsi" w:eastAsiaTheme="minorEastAsia" w:hAnsiTheme="minorHAnsi" w:cstheme="minorBidi"/>
          <w:noProof/>
          <w:sz w:val="22"/>
          <w:szCs w:val="22"/>
        </w:rPr>
      </w:pPr>
      <w:hyperlink w:anchor="_Toc148175968" w:history="1">
        <w:r w:rsidR="00610A9E" w:rsidRPr="006D631C">
          <w:rPr>
            <w:rStyle w:val="Hyperlink"/>
            <w:noProof/>
          </w:rPr>
          <w:t xml:space="preserve">Table </w:t>
        </w:r>
        <w:r w:rsidR="00610A9E" w:rsidRPr="006D631C">
          <w:rPr>
            <w:rStyle w:val="Hyperlink"/>
            <w:noProof/>
            <w:cs/>
          </w:rPr>
          <w:t>‎</w:t>
        </w:r>
        <w:r w:rsidR="00610A9E" w:rsidRPr="006D631C">
          <w:rPr>
            <w:rStyle w:val="Hyperlink"/>
            <w:noProof/>
          </w:rPr>
          <w:t>1</w:t>
        </w:r>
        <w:r w:rsidR="00610A9E" w:rsidRPr="006D631C">
          <w:rPr>
            <w:rStyle w:val="Hyperlink"/>
            <w:noProof/>
          </w:rPr>
          <w:noBreakHyphen/>
          <w:t xml:space="preserve">4. </w:t>
        </w:r>
        <w:r w:rsidR="00610A9E" w:rsidRPr="006D631C">
          <w:rPr>
            <w:rStyle w:val="Hyperlink"/>
            <w:rFonts w:asciiTheme="majorBidi" w:hAnsiTheme="majorBidi" w:cstheme="majorBidi"/>
            <w:noProof/>
          </w:rPr>
          <w:t>The differences and advantages/disadvantages of synergistic and transcriptive LLC templating methods in summary.</w:t>
        </w:r>
        <w:r w:rsidR="00610A9E" w:rsidRPr="006D631C">
          <w:rPr>
            <w:noProof/>
            <w:webHidden/>
          </w:rPr>
          <w:tab/>
        </w:r>
        <w:r w:rsidR="00610A9E" w:rsidRPr="006D631C">
          <w:rPr>
            <w:noProof/>
            <w:webHidden/>
          </w:rPr>
          <w:fldChar w:fldCharType="begin"/>
        </w:r>
        <w:r w:rsidR="00610A9E" w:rsidRPr="006D631C">
          <w:rPr>
            <w:noProof/>
            <w:webHidden/>
          </w:rPr>
          <w:instrText xml:space="preserve"> PAGEREF _Toc148175968 \h </w:instrText>
        </w:r>
        <w:r w:rsidR="00610A9E" w:rsidRPr="006D631C">
          <w:rPr>
            <w:noProof/>
            <w:webHidden/>
          </w:rPr>
        </w:r>
        <w:r w:rsidR="00610A9E" w:rsidRPr="006D631C">
          <w:rPr>
            <w:noProof/>
            <w:webHidden/>
          </w:rPr>
          <w:fldChar w:fldCharType="separate"/>
        </w:r>
        <w:r w:rsidR="00610A9E" w:rsidRPr="006D631C">
          <w:rPr>
            <w:noProof/>
            <w:webHidden/>
          </w:rPr>
          <w:t>52</w:t>
        </w:r>
        <w:r w:rsidR="00610A9E" w:rsidRPr="006D631C">
          <w:rPr>
            <w:noProof/>
            <w:webHidden/>
          </w:rPr>
          <w:fldChar w:fldCharType="end"/>
        </w:r>
      </w:hyperlink>
    </w:p>
    <w:p w14:paraId="236A0492" w14:textId="0DA3C1EE" w:rsidR="00610A9E" w:rsidRPr="006D631C" w:rsidRDefault="001A0507">
      <w:pPr>
        <w:pStyle w:val="TableofFigures"/>
        <w:rPr>
          <w:rFonts w:asciiTheme="minorHAnsi" w:eastAsiaTheme="minorEastAsia" w:hAnsiTheme="minorHAnsi" w:cstheme="minorBidi"/>
          <w:noProof/>
          <w:sz w:val="22"/>
          <w:szCs w:val="22"/>
        </w:rPr>
      </w:pPr>
      <w:hyperlink w:anchor="_Toc148175969" w:history="1">
        <w:r w:rsidR="00610A9E" w:rsidRPr="006D631C">
          <w:rPr>
            <w:rStyle w:val="Hyperlink"/>
            <w:noProof/>
          </w:rPr>
          <w:t xml:space="preserve">Table </w:t>
        </w:r>
        <w:r w:rsidR="00610A9E" w:rsidRPr="006D631C">
          <w:rPr>
            <w:rStyle w:val="Hyperlink"/>
            <w:noProof/>
            <w:cs/>
          </w:rPr>
          <w:t>‎</w:t>
        </w:r>
        <w:r w:rsidR="00610A9E" w:rsidRPr="006D631C">
          <w:rPr>
            <w:rStyle w:val="Hyperlink"/>
            <w:noProof/>
          </w:rPr>
          <w:t>2</w:t>
        </w:r>
        <w:r w:rsidR="00610A9E" w:rsidRPr="006D631C">
          <w:rPr>
            <w:rStyle w:val="Hyperlink"/>
            <w:noProof/>
          </w:rPr>
          <w:noBreakHyphen/>
          <w:t>1. Calculated parameters for different LLC structures before and after polymerization.</w:t>
        </w:r>
        <w:r w:rsidR="00610A9E" w:rsidRPr="006D631C">
          <w:rPr>
            <w:noProof/>
            <w:webHidden/>
          </w:rPr>
          <w:tab/>
        </w:r>
        <w:r w:rsidR="00610A9E" w:rsidRPr="006D631C">
          <w:rPr>
            <w:noProof/>
            <w:webHidden/>
          </w:rPr>
          <w:fldChar w:fldCharType="begin"/>
        </w:r>
        <w:r w:rsidR="00610A9E" w:rsidRPr="006D631C">
          <w:rPr>
            <w:noProof/>
            <w:webHidden/>
          </w:rPr>
          <w:instrText xml:space="preserve"> PAGEREF _Toc148175969 \h </w:instrText>
        </w:r>
        <w:r w:rsidR="00610A9E" w:rsidRPr="006D631C">
          <w:rPr>
            <w:noProof/>
            <w:webHidden/>
          </w:rPr>
        </w:r>
        <w:r w:rsidR="00610A9E" w:rsidRPr="006D631C">
          <w:rPr>
            <w:noProof/>
            <w:webHidden/>
          </w:rPr>
          <w:fldChar w:fldCharType="separate"/>
        </w:r>
        <w:r w:rsidR="00610A9E" w:rsidRPr="006D631C">
          <w:rPr>
            <w:noProof/>
            <w:webHidden/>
          </w:rPr>
          <w:t>79</w:t>
        </w:r>
        <w:r w:rsidR="00610A9E" w:rsidRPr="006D631C">
          <w:rPr>
            <w:noProof/>
            <w:webHidden/>
          </w:rPr>
          <w:fldChar w:fldCharType="end"/>
        </w:r>
      </w:hyperlink>
    </w:p>
    <w:p w14:paraId="353E225E" w14:textId="664B999E" w:rsidR="00610A9E" w:rsidRPr="006D631C" w:rsidRDefault="001A0507">
      <w:pPr>
        <w:pStyle w:val="TableofFigures"/>
        <w:rPr>
          <w:rFonts w:asciiTheme="minorHAnsi" w:eastAsiaTheme="minorEastAsia" w:hAnsiTheme="minorHAnsi" w:cstheme="minorBidi"/>
          <w:noProof/>
          <w:sz w:val="22"/>
          <w:szCs w:val="22"/>
        </w:rPr>
      </w:pPr>
      <w:hyperlink w:anchor="_Toc148175970" w:history="1">
        <w:r w:rsidR="00610A9E" w:rsidRPr="006D631C">
          <w:rPr>
            <w:rStyle w:val="Hyperlink"/>
            <w:noProof/>
          </w:rPr>
          <w:t xml:space="preserve">Table </w:t>
        </w:r>
        <w:r w:rsidR="00610A9E" w:rsidRPr="006D631C">
          <w:rPr>
            <w:rStyle w:val="Hyperlink"/>
            <w:noProof/>
            <w:cs/>
          </w:rPr>
          <w:t>‎</w:t>
        </w:r>
        <w:r w:rsidR="00610A9E" w:rsidRPr="006D631C">
          <w:rPr>
            <w:rStyle w:val="Hyperlink"/>
            <w:noProof/>
          </w:rPr>
          <w:t>2</w:t>
        </w:r>
        <w:r w:rsidR="00610A9E" w:rsidRPr="006D631C">
          <w:rPr>
            <w:rStyle w:val="Hyperlink"/>
            <w:noProof/>
          </w:rPr>
          <w:noBreakHyphen/>
          <w:t>2.</w:t>
        </w:r>
        <w:r w:rsidR="00610A9E" w:rsidRPr="006D631C">
          <w:rPr>
            <w:rStyle w:val="Hyperlink"/>
            <w:rFonts w:eastAsia="Calibri"/>
            <w:noProof/>
          </w:rPr>
          <w:t xml:space="preserve"> </w:t>
        </w:r>
        <w:r w:rsidR="00610A9E" w:rsidRPr="006D631C">
          <w:rPr>
            <w:rStyle w:val="Hyperlink"/>
            <w:rFonts w:eastAsiaTheme="minorHAnsi"/>
            <w:iCs/>
            <w:noProof/>
          </w:rPr>
          <w:t>Overall monomer conversion and maximum polymerization rate for different initiation systems and theoretical average values for APS+AIBN and APS+BPO mixtures</w:t>
        </w:r>
        <w:r w:rsidR="00610A9E" w:rsidRPr="006D631C">
          <w:rPr>
            <w:rStyle w:val="Hyperlink"/>
            <w:rFonts w:eastAsia="Calibri"/>
            <w:noProof/>
          </w:rPr>
          <w:t>.</w:t>
        </w:r>
        <w:r w:rsidR="00610A9E" w:rsidRPr="006D631C">
          <w:rPr>
            <w:noProof/>
            <w:webHidden/>
          </w:rPr>
          <w:tab/>
        </w:r>
        <w:r w:rsidR="00610A9E" w:rsidRPr="006D631C">
          <w:rPr>
            <w:noProof/>
            <w:webHidden/>
          </w:rPr>
          <w:fldChar w:fldCharType="begin"/>
        </w:r>
        <w:r w:rsidR="00610A9E" w:rsidRPr="006D631C">
          <w:rPr>
            <w:noProof/>
            <w:webHidden/>
          </w:rPr>
          <w:instrText xml:space="preserve"> PAGEREF _Toc148175970 \h </w:instrText>
        </w:r>
        <w:r w:rsidR="00610A9E" w:rsidRPr="006D631C">
          <w:rPr>
            <w:noProof/>
            <w:webHidden/>
          </w:rPr>
        </w:r>
        <w:r w:rsidR="00610A9E" w:rsidRPr="006D631C">
          <w:rPr>
            <w:noProof/>
            <w:webHidden/>
          </w:rPr>
          <w:fldChar w:fldCharType="separate"/>
        </w:r>
        <w:r w:rsidR="00610A9E" w:rsidRPr="006D631C">
          <w:rPr>
            <w:noProof/>
            <w:webHidden/>
          </w:rPr>
          <w:t>86</w:t>
        </w:r>
        <w:r w:rsidR="00610A9E" w:rsidRPr="006D631C">
          <w:rPr>
            <w:noProof/>
            <w:webHidden/>
          </w:rPr>
          <w:fldChar w:fldCharType="end"/>
        </w:r>
      </w:hyperlink>
    </w:p>
    <w:p w14:paraId="2BB93502" w14:textId="11B6D3E8" w:rsidR="00610A9E" w:rsidRPr="006D631C" w:rsidRDefault="001A0507">
      <w:pPr>
        <w:pStyle w:val="TableofFigures"/>
        <w:rPr>
          <w:rFonts w:asciiTheme="minorHAnsi" w:eastAsiaTheme="minorEastAsia" w:hAnsiTheme="minorHAnsi" w:cstheme="minorBidi"/>
          <w:noProof/>
          <w:sz w:val="22"/>
          <w:szCs w:val="22"/>
        </w:rPr>
      </w:pPr>
      <w:hyperlink w:anchor="_Toc148175971" w:history="1">
        <w:r w:rsidR="00610A9E" w:rsidRPr="006D631C">
          <w:rPr>
            <w:rStyle w:val="Hyperlink"/>
            <w:rFonts w:cs="Times New Roman"/>
            <w:noProof/>
          </w:rPr>
          <w:t xml:space="preserve">Table </w:t>
        </w:r>
        <w:r w:rsidR="00610A9E" w:rsidRPr="006D631C">
          <w:rPr>
            <w:rStyle w:val="Hyperlink"/>
            <w:rFonts w:cs="Times New Roman"/>
            <w:noProof/>
            <w:cs/>
          </w:rPr>
          <w:t>‎</w:t>
        </w:r>
        <w:r w:rsidR="00610A9E" w:rsidRPr="006D631C">
          <w:rPr>
            <w:rStyle w:val="Hyperlink"/>
            <w:rFonts w:cs="Times New Roman"/>
            <w:noProof/>
          </w:rPr>
          <w:t>2</w:t>
        </w:r>
        <w:r w:rsidR="00610A9E" w:rsidRPr="006D631C">
          <w:rPr>
            <w:rStyle w:val="Hyperlink"/>
            <w:rFonts w:cs="Times New Roman"/>
            <w:noProof/>
          </w:rPr>
          <w:noBreakHyphen/>
          <w:t>3. Calculated overall kinetics rate coefficient at different temperatures and overall activation energy of the polymerization in lamellar and hexagonal structures using different initiators.</w:t>
        </w:r>
        <w:r w:rsidR="00610A9E" w:rsidRPr="006D631C">
          <w:rPr>
            <w:noProof/>
            <w:webHidden/>
          </w:rPr>
          <w:tab/>
        </w:r>
        <w:r w:rsidR="00610A9E" w:rsidRPr="006D631C">
          <w:rPr>
            <w:noProof/>
            <w:webHidden/>
          </w:rPr>
          <w:fldChar w:fldCharType="begin"/>
        </w:r>
        <w:r w:rsidR="00610A9E" w:rsidRPr="006D631C">
          <w:rPr>
            <w:noProof/>
            <w:webHidden/>
          </w:rPr>
          <w:instrText xml:space="preserve"> PAGEREF _Toc148175971 \h </w:instrText>
        </w:r>
        <w:r w:rsidR="00610A9E" w:rsidRPr="006D631C">
          <w:rPr>
            <w:noProof/>
            <w:webHidden/>
          </w:rPr>
        </w:r>
        <w:r w:rsidR="00610A9E" w:rsidRPr="006D631C">
          <w:rPr>
            <w:noProof/>
            <w:webHidden/>
          </w:rPr>
          <w:fldChar w:fldCharType="separate"/>
        </w:r>
        <w:r w:rsidR="00610A9E" w:rsidRPr="006D631C">
          <w:rPr>
            <w:noProof/>
            <w:webHidden/>
          </w:rPr>
          <w:t>94</w:t>
        </w:r>
        <w:r w:rsidR="00610A9E" w:rsidRPr="006D631C">
          <w:rPr>
            <w:noProof/>
            <w:webHidden/>
          </w:rPr>
          <w:fldChar w:fldCharType="end"/>
        </w:r>
      </w:hyperlink>
    </w:p>
    <w:p w14:paraId="7B3364CA" w14:textId="44B36D9B" w:rsidR="00610A9E" w:rsidRPr="006D631C" w:rsidRDefault="001A0507">
      <w:pPr>
        <w:pStyle w:val="TableofFigures"/>
        <w:rPr>
          <w:rFonts w:asciiTheme="minorHAnsi" w:eastAsiaTheme="minorEastAsia" w:hAnsiTheme="minorHAnsi" w:cstheme="minorBidi"/>
          <w:noProof/>
          <w:sz w:val="22"/>
          <w:szCs w:val="22"/>
        </w:rPr>
      </w:pPr>
      <w:hyperlink w:anchor="_Toc148175972" w:history="1">
        <w:r w:rsidR="00610A9E" w:rsidRPr="006D631C">
          <w:rPr>
            <w:rStyle w:val="Hyperlink"/>
            <w:rFonts w:cs="Times New Roman"/>
            <w:noProof/>
          </w:rPr>
          <w:t xml:space="preserve">Table </w:t>
        </w:r>
        <w:r w:rsidR="00610A9E" w:rsidRPr="006D631C">
          <w:rPr>
            <w:rStyle w:val="Hyperlink"/>
            <w:rFonts w:cs="Times New Roman"/>
            <w:noProof/>
            <w:cs/>
          </w:rPr>
          <w:t>‎</w:t>
        </w:r>
        <w:r w:rsidR="00610A9E" w:rsidRPr="006D631C">
          <w:rPr>
            <w:rStyle w:val="Hyperlink"/>
            <w:rFonts w:cs="Times New Roman"/>
            <w:noProof/>
          </w:rPr>
          <w:t>4</w:t>
        </w:r>
        <w:r w:rsidR="00610A9E" w:rsidRPr="006D631C">
          <w:rPr>
            <w:rStyle w:val="Hyperlink"/>
            <w:rFonts w:cs="Times New Roman"/>
            <w:noProof/>
          </w:rPr>
          <w:noBreakHyphen/>
          <w:t>1. Calculated structural parameters for different species based on SAXS data.</w:t>
        </w:r>
        <w:r w:rsidR="00610A9E" w:rsidRPr="006D631C">
          <w:rPr>
            <w:noProof/>
            <w:webHidden/>
          </w:rPr>
          <w:tab/>
        </w:r>
        <w:r w:rsidR="00610A9E" w:rsidRPr="006D631C">
          <w:rPr>
            <w:noProof/>
            <w:webHidden/>
          </w:rPr>
          <w:fldChar w:fldCharType="begin"/>
        </w:r>
        <w:r w:rsidR="00610A9E" w:rsidRPr="006D631C">
          <w:rPr>
            <w:noProof/>
            <w:webHidden/>
          </w:rPr>
          <w:instrText xml:space="preserve"> PAGEREF _Toc148175972 \h </w:instrText>
        </w:r>
        <w:r w:rsidR="00610A9E" w:rsidRPr="006D631C">
          <w:rPr>
            <w:noProof/>
            <w:webHidden/>
          </w:rPr>
        </w:r>
        <w:r w:rsidR="00610A9E" w:rsidRPr="006D631C">
          <w:rPr>
            <w:noProof/>
            <w:webHidden/>
          </w:rPr>
          <w:fldChar w:fldCharType="separate"/>
        </w:r>
        <w:r w:rsidR="00610A9E" w:rsidRPr="006D631C">
          <w:rPr>
            <w:noProof/>
            <w:webHidden/>
          </w:rPr>
          <w:t>143</w:t>
        </w:r>
        <w:r w:rsidR="00610A9E" w:rsidRPr="006D631C">
          <w:rPr>
            <w:noProof/>
            <w:webHidden/>
          </w:rPr>
          <w:fldChar w:fldCharType="end"/>
        </w:r>
      </w:hyperlink>
    </w:p>
    <w:p w14:paraId="7DAE9C21" w14:textId="7D3DA36C" w:rsidR="00610A9E" w:rsidRPr="006D631C" w:rsidRDefault="001A0507">
      <w:pPr>
        <w:pStyle w:val="TableofFigures"/>
        <w:rPr>
          <w:rFonts w:asciiTheme="minorHAnsi" w:eastAsiaTheme="minorEastAsia" w:hAnsiTheme="minorHAnsi" w:cstheme="minorBidi"/>
          <w:noProof/>
          <w:sz w:val="22"/>
          <w:szCs w:val="22"/>
        </w:rPr>
      </w:pPr>
      <w:hyperlink w:anchor="_Toc148175973" w:history="1">
        <w:r w:rsidR="00610A9E" w:rsidRPr="006D631C">
          <w:rPr>
            <w:rStyle w:val="Hyperlink"/>
            <w:rFonts w:cs="Times New Roman"/>
            <w:noProof/>
          </w:rPr>
          <w:t xml:space="preserve">Table </w:t>
        </w:r>
        <w:r w:rsidR="00610A9E" w:rsidRPr="006D631C">
          <w:rPr>
            <w:rStyle w:val="Hyperlink"/>
            <w:rFonts w:cs="Times New Roman"/>
            <w:noProof/>
            <w:cs/>
          </w:rPr>
          <w:t>‎</w:t>
        </w:r>
        <w:r w:rsidR="00610A9E" w:rsidRPr="006D631C">
          <w:rPr>
            <w:rStyle w:val="Hyperlink"/>
            <w:rFonts w:cs="Times New Roman"/>
            <w:noProof/>
          </w:rPr>
          <w:t>5</w:t>
        </w:r>
        <w:r w:rsidR="00610A9E" w:rsidRPr="006D631C">
          <w:rPr>
            <w:rStyle w:val="Hyperlink"/>
            <w:rFonts w:cs="Times New Roman"/>
            <w:noProof/>
          </w:rPr>
          <w:noBreakHyphen/>
          <w:t>1. Calculated structural parameters for different species based on SAXS data.</w:t>
        </w:r>
        <w:r w:rsidR="00610A9E" w:rsidRPr="006D631C">
          <w:rPr>
            <w:noProof/>
            <w:webHidden/>
          </w:rPr>
          <w:tab/>
        </w:r>
        <w:r w:rsidR="00610A9E" w:rsidRPr="006D631C">
          <w:rPr>
            <w:noProof/>
            <w:webHidden/>
          </w:rPr>
          <w:fldChar w:fldCharType="begin"/>
        </w:r>
        <w:r w:rsidR="00610A9E" w:rsidRPr="006D631C">
          <w:rPr>
            <w:noProof/>
            <w:webHidden/>
          </w:rPr>
          <w:instrText xml:space="preserve"> PAGEREF _Toc148175973 \h </w:instrText>
        </w:r>
        <w:r w:rsidR="00610A9E" w:rsidRPr="006D631C">
          <w:rPr>
            <w:noProof/>
            <w:webHidden/>
          </w:rPr>
        </w:r>
        <w:r w:rsidR="00610A9E" w:rsidRPr="006D631C">
          <w:rPr>
            <w:noProof/>
            <w:webHidden/>
          </w:rPr>
          <w:fldChar w:fldCharType="separate"/>
        </w:r>
        <w:r w:rsidR="00610A9E" w:rsidRPr="006D631C">
          <w:rPr>
            <w:noProof/>
            <w:webHidden/>
          </w:rPr>
          <w:t>171</w:t>
        </w:r>
        <w:r w:rsidR="00610A9E" w:rsidRPr="006D631C">
          <w:rPr>
            <w:noProof/>
            <w:webHidden/>
          </w:rPr>
          <w:fldChar w:fldCharType="end"/>
        </w:r>
      </w:hyperlink>
    </w:p>
    <w:p w14:paraId="2ED2FD47" w14:textId="0C780A4B" w:rsidR="00C824C0" w:rsidRPr="006D631C" w:rsidRDefault="00C824C0" w:rsidP="00C824C0">
      <w:r w:rsidRPr="006D631C">
        <w:fldChar w:fldCharType="end"/>
      </w:r>
    </w:p>
    <w:p w14:paraId="103D0A8F" w14:textId="5ECFD14D" w:rsidR="00C824C0" w:rsidRPr="006D631C" w:rsidRDefault="00C824C0" w:rsidP="00861405">
      <w:pPr>
        <w:pStyle w:val="TOC1"/>
      </w:pPr>
    </w:p>
    <w:p w14:paraId="659D6F4E" w14:textId="1B61041E" w:rsidR="00C824C0" w:rsidRPr="006D631C" w:rsidRDefault="00C824C0" w:rsidP="00C824C0"/>
    <w:p w14:paraId="73E7C491" w14:textId="3ECB559D" w:rsidR="00C824C0" w:rsidRPr="006D631C" w:rsidRDefault="00C824C0" w:rsidP="00861405">
      <w:pPr>
        <w:pStyle w:val="TOC1"/>
      </w:pPr>
    </w:p>
    <w:p w14:paraId="19A04D57" w14:textId="74E52161" w:rsidR="00C824C0" w:rsidRPr="006D631C" w:rsidRDefault="00C824C0" w:rsidP="00C824C0"/>
    <w:p w14:paraId="153E6C12" w14:textId="52613759" w:rsidR="00DD017E" w:rsidRPr="006D631C" w:rsidRDefault="00DD017E" w:rsidP="00861405">
      <w:pPr>
        <w:pStyle w:val="TOC1"/>
      </w:pPr>
    </w:p>
    <w:p w14:paraId="48D8AE94" w14:textId="50392B1D" w:rsidR="00BB712C" w:rsidRPr="006D631C" w:rsidRDefault="00BB712C" w:rsidP="00DD017E">
      <w:pPr>
        <w:sectPr w:rsidR="00BB712C" w:rsidRPr="006D631C" w:rsidSect="008E2736">
          <w:pgSz w:w="12240" w:h="15840"/>
          <w:pgMar w:top="1440" w:right="1440" w:bottom="1440" w:left="1440" w:header="720" w:footer="720" w:gutter="0"/>
          <w:pgNumType w:fmt="lowerRoman" w:start="4"/>
          <w:cols w:space="720"/>
          <w:docGrid w:linePitch="360"/>
        </w:sectPr>
      </w:pPr>
    </w:p>
    <w:p w14:paraId="51DFC10B" w14:textId="2F75C562" w:rsidR="006D0A1A" w:rsidRPr="006D631C" w:rsidRDefault="00CA0FA8" w:rsidP="0055674E">
      <w:pPr>
        <w:pStyle w:val="Heading1"/>
        <w:numPr>
          <w:ilvl w:val="0"/>
          <w:numId w:val="6"/>
        </w:numPr>
        <w:jc w:val="center"/>
        <w:rPr>
          <w:b w:val="0"/>
        </w:rPr>
      </w:pPr>
      <w:bookmarkStart w:id="20" w:name="_Toc131082858"/>
      <w:bookmarkStart w:id="21" w:name="_Toc148175776"/>
      <w:bookmarkEnd w:id="14"/>
      <w:bookmarkEnd w:id="15"/>
      <w:r w:rsidRPr="006D631C">
        <w:lastRenderedPageBreak/>
        <w:t>INTRODUCTION</w:t>
      </w:r>
      <w:bookmarkEnd w:id="20"/>
      <w:r w:rsidR="0095041D" w:rsidRPr="006D631C">
        <w:rPr>
          <w:rStyle w:val="FootnoteReference"/>
        </w:rPr>
        <w:footnoteReference w:id="2"/>
      </w:r>
      <w:bookmarkEnd w:id="21"/>
    </w:p>
    <w:p w14:paraId="2213EFBA" w14:textId="60539A55" w:rsidR="00470347" w:rsidRPr="006D631C" w:rsidRDefault="00470347" w:rsidP="007F5139">
      <w:pPr>
        <w:pStyle w:val="Heading2"/>
      </w:pPr>
      <w:bookmarkStart w:id="22" w:name="_Toc107602598"/>
      <w:bookmarkStart w:id="23" w:name="_Toc107603392"/>
      <w:bookmarkStart w:id="24" w:name="_Toc107854815"/>
      <w:bookmarkStart w:id="25" w:name="_Toc131082859"/>
      <w:bookmarkStart w:id="26" w:name="_Toc148175777"/>
      <w:r w:rsidRPr="006D631C">
        <w:t xml:space="preserve">1.1 </w:t>
      </w:r>
      <w:bookmarkEnd w:id="22"/>
      <w:bookmarkEnd w:id="23"/>
      <w:bookmarkEnd w:id="24"/>
      <w:r w:rsidR="005F5D19" w:rsidRPr="006D631C">
        <w:t>S</w:t>
      </w:r>
      <w:r w:rsidR="009121F3" w:rsidRPr="006D631C">
        <w:t>elf-assembled surfactant phase</w:t>
      </w:r>
      <w:r w:rsidR="006B6CFF" w:rsidRPr="006D631C">
        <w:t>s</w:t>
      </w:r>
      <w:bookmarkEnd w:id="25"/>
      <w:bookmarkEnd w:id="26"/>
    </w:p>
    <w:p w14:paraId="4B8C9466" w14:textId="604905AC" w:rsidR="004F76E9" w:rsidRPr="006D631C" w:rsidRDefault="004F76E9" w:rsidP="00304172">
      <w:pPr>
        <w:tabs>
          <w:tab w:val="left" w:pos="90"/>
          <w:tab w:val="left" w:pos="360"/>
          <w:tab w:val="left" w:pos="992"/>
        </w:tabs>
        <w:ind w:firstLine="357"/>
        <w:jc w:val="lowKashida"/>
        <w:rPr>
          <w:rFonts w:asciiTheme="majorBidi" w:hAnsiTheme="majorBidi" w:cstheme="majorBidi"/>
        </w:rPr>
      </w:pPr>
      <w:r w:rsidRPr="006D631C">
        <w:rPr>
          <w:rFonts w:asciiTheme="majorBidi" w:hAnsiTheme="majorBidi" w:cstheme="majorBidi"/>
        </w:rPr>
        <w:t>Nanostructured materials have attracted the attention of scientific communities as well as industries world-wide because of their unique properties which make them applicable in a variety of technical fields including biomedical devices,</w:t>
      </w:r>
      <w:r w:rsidRPr="006D631C">
        <w:rPr>
          <w:rFonts w:asciiTheme="majorBidi" w:hAnsiTheme="majorBidi" w:cstheme="majorBidi"/>
        </w:rPr>
        <w:fldChar w:fldCharType="begin" w:fldLock="1"/>
      </w:r>
      <w:r w:rsidR="00776521" w:rsidRPr="006D631C">
        <w:rPr>
          <w:rFonts w:asciiTheme="majorBidi" w:hAnsiTheme="majorBidi" w:cstheme="majorBidi"/>
        </w:rPr>
        <w:instrText>ADDIN CSL_CITATION {"citationItems":[{"id":"ITEM-1","itemData":{"DOI":"10.1002/adma.201502422","ISSN":"15214095","abstract":"Two-dimensional (2D) nanomaterials are ultrathin nanomaterials with a high degree of anisotropy and chemical functionality. Research on 2D nanomaterials is still in its infancy, with the majority of research focusing on elucidating unique material characteristics and few reports focusing on biomedical applications of 2D nanomaterials. Nevertheless, recent rapid advances in 2D nanomaterials have raised important and exciting questions about their interactions with biological moieties. 2D nanoparticles such as carbon-based 2D materials, silicate clays, transition metal dichalcogenides (TMDs), and transition metal oxides (TMOs) provide enhanced physical, chemical, and biological functionality owing to their uniform shapes, high surface-to-volume ratios, and surface charge. Here, we focus on state-of-the-art biomedical applications of 2D nanomaterials as well as recent developments that are shaping this emerging field. Specifically, we describe the unique characteristics that make 2D nanoparticles so valuable, as well as the biocompatibility framework that has been investigated so far. Finally, to both capture the growing trend of 2D nanomaterials for biomedical applications and to identify promising new research directions, we provide a critical evaluation of potential applications of recently developed 2D nanomaterials. Two-dimensional (2D) nanomaterials are ultrathin nanomaterials with a high degree of anisotropy and chemical functionality. The unique characteristics that make 2D nanoparticles so valuable are highlighted, and the biocompatibility framework is discussed. The current state of 2D nanomaterial research for biomedical applications is captured and promising new research directions in the field are identified.","author":[{"dropping-particle":"","family":"Chimene","given":"David","non-dropping-particle":"","parse-names":false,"suffix":""},{"dropping-particle":"","family":"Alge","given":"Daniel L.","non-dropping-particle":"","parse-names":false,"suffix":""},{"dropping-particle":"","family":"Gaharwar","given":"Akhilesh K.","non-dropping-particle":"","parse-names":false,"suffix":""}],"container-title":"Advanced Materials","id":"ITEM-1","issue":"45","issued":{"date-parts":[["2015","12"]]},"page":"7261-7284","title":"Two-Dimensional Nanomaterials for Biomedical Applications: Emerging Trends and Future Prospects","type":"article-journal","volume":"27"},"uris":["http://www.mendeley.com/documents/?uuid=9db8ccf6-4fb0-48b3-bd65-d1022917fbb2"]},{"id":"ITEM-2","itemData":{"DOI":"10.1557/jmr.2016.449","ISSN":"20445326","abstract":"Carbon-based nanomaterials (CANOMATs), including fullerenes, carbon nanotubes, graphene, and their derivatives, are widely considered to be the next-generation materials for a broad range of biomedical applications, owing to their unique opto-electronic, chemical, and mechanical properties. However, for bio-applications, CANOMATs need to be surface-functionalized, to render them passive, non-toxic, and water-soluble. Here, we review the current state-of-the-art in the methods of functionalization of CANOMATs. In contrast to other Reviews, we present an objective analysis of the various approaches reported in the literature, using metrics such as the agent of functionalization, number of steps, and time required, the need for special instruments, effect on properties, scalability, reproducibility, and applications. Our Review offers a way for researchers to make a rational selection of the process of functionalization to best suit their desired application. This opens up new opportunities for developing targeted functionalization strategies, based on the need to excel at the above metrics.","author":[{"dropping-particle":"","family":"Bardhan","given":"Neelkanth M.","non-dropping-particle":"","parse-names":false,"suffix":""}],"container-title":"Journal of Materials Research","id":"ITEM-2","issue":"1","issued":{"date-parts":[["2017","1","13"]]},"page":"107-127","title":"30 years of advances in functionalization of carbon nanomaterials for biomedical applications: A practical review","type":"article-journal","volume":"32"},"uris":["http://www.mendeley.com/documents/?uuid=7b20a680-c33e-4ef8-9eed-a59c0de8f513"]}],"mendeley":{"formattedCitation":"&lt;sup&gt;1,2&lt;/sup&gt;","plainTextFormattedCitation":"1,2","previouslyFormattedCitation":"&lt;sup&gt;1,2&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1,2</w:t>
      </w:r>
      <w:r w:rsidRPr="006D631C">
        <w:rPr>
          <w:rFonts w:asciiTheme="majorBidi" w:hAnsiTheme="majorBidi" w:cstheme="majorBidi"/>
        </w:rPr>
        <w:fldChar w:fldCharType="end"/>
      </w:r>
      <w:r w:rsidRPr="006D631C">
        <w:rPr>
          <w:rFonts w:asciiTheme="majorBidi" w:hAnsiTheme="majorBidi" w:cstheme="majorBidi"/>
        </w:rPr>
        <w:t xml:space="preserve"> light scattering,</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{"citationItems":[{"id":"ITEM-1","itemData":{"DOI":"10.1016/j.apt.2009.07.001","ISSN":"09218831","abstract":"This article provides an overview of current research on nanoparticle processing for optical applications. We elaborate on four nanoparticle processing methods: (i) an aerosol spray method, (ii) nanoparticle dispersion, (iii) a nanoparticle coating method for making films, and (iv) an electrospinning method for making fibers from a nanoparticle dispersion. The use of aerosol spray methods for the preparation of nanoparticles and nanostructured particles for application in optical materials is reviewed. Nanoparticle dispersion techniques for the synthesis of unique composite organic/inorganic materials with unique optical properties are discussed. Preparation of self-assembled monolayer particle films, layer-by-layer films, and fibers consisting of nanoparticles was also introduced. We also highlight the range of unique optical properties associated with optical materials that result from nanoparticle processing, such as a controllable refractive index, transparency, photoluminescence, photonic crystal, and plasmon resonance. © 2009 The Society of Powder Technology Japan.","author":[{"dropping-particle":"","family":"Iskandar","given":"Ferry","non-dropping-particle":"","parse-names":false,"suffix":""}],"container-title":"Advanced Powder Technology","id":"ITEM-1","issue":"4","issued":{"date-parts":[["2009","7"]]},"page":"283-292","title":"Nanoparticle processing for optical applications - A review","type":"article-journal","volume":"20"},"uris":["http://www.mendeley.com/documents/?uuid=c22dacb5-b12e-467f-977d-7d979068657e"]}],"mendeley":{"formattedCitation":"&lt;sup&gt;3&lt;/sup&gt;","plainTextFormattedCitation":"3","previouslyFormattedCitation":"&lt;sup&gt;3&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3</w:t>
      </w:r>
      <w:r w:rsidRPr="006D631C">
        <w:rPr>
          <w:rFonts w:asciiTheme="majorBidi" w:hAnsiTheme="majorBidi" w:cstheme="majorBidi"/>
        </w:rPr>
        <w:fldChar w:fldCharType="end"/>
      </w:r>
      <w:r w:rsidRPr="006D631C">
        <w:rPr>
          <w:rFonts w:asciiTheme="majorBidi" w:hAnsiTheme="majorBidi" w:cstheme="majorBidi"/>
        </w:rPr>
        <w:t xml:space="preserve"> membranes,</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{"citationItems":[{"id":"ITEM-1","itemData":{"DOI":"10.1038/natrevmats.2016.18","ISSN":"2058-8437","abstract":"Membrane-based separations for water purification and desalination have been increasingly applied to address the global challenges of water scarcity and the pollution of aquatic environments. However, progress in water purification membranes has been constrained by the inherent limitations of conventional membrane materials. Recent advances in methods for controlling the structure and chemical functionality in polymer films can potentially lead to new classes of membranes for water purification. In this Review, we first discuss the state of the art of existing membrane technologies for water purification and desalination, highlight their inherent limitations and establish the urgent requirements for next-generation membranes. We then describe molecular-level design approaches towards fabricating highly selective membranes, focusing on novel materials such as aquaporin, synthetic nanochannels, graphene and self-assembled block copolymers and small molecules. Finally, we highlight promising membrane surface modification approaches that minimize interfacial interactions and enhance fouling resistance.","author":[{"dropping-particle":"","family":"Werber","given":"Jay R.","non-dropping-particle":"","parse-names":false,"suffix":""},{"dropping-particle":"","family":"Osuji","given":"Chinedum O.","non-dropping-particle":"","parse-names":false,"suffix":""},{"dropping-particle":"","family":"Elimelech","given":"Menachem","non-dropping-particle":"","parse-names":false,"suffix":""}],"container-title":"Nature Reviews Materials","id":"ITEM-1","issue":"5","issued":{"date-parts":[["2016","5","5"]]},"page":"16018","title":"Materials for next-generation desalination and water purification membranes","type":"article-journal","volume":"1"},"uris":["http://www.mendeley.com/documents/?uuid=b49e3af6-02cf-439a-9ef2-9d16fc16993b"]},{"id":"ITEM-2","itemData":{"DOI":"10.1016/j.memsci.2010.03.046","ISSN":"03767388","abstract":"Stimuli-responsive membranes change their physicochemical properties in response to changes in their environment. Stimuli-responsive membranes have been designed to respond to changes in pH, temperature, ionic strength, light, electric and magnetic fields, and chemical cues. This review covers the design of stimuli-responsive membranes and their ever-expanding range of use. It considers stimuli-responsive changes in membrane structure and surface characteristics that enable novel applications. © 2010 Elsevier B.V.","author":[{"dropping-particle":"","family":"Wandera","given":"Daniel","non-dropping-particle":"","parse-names":false,"suffix":""},{"dropping-particle":"","family":"Wickramasinghe","given":"S. Ranil","non-dropping-particle":"","parse-names":false,"suffix":""},{"dropping-particle":"","family":"Husson","given":"Scott M.","non-dropping-particle":"","parse-names":false,"suffix":""}],"container-title":"Journal of Membrane Science","id":"ITEM-2","issue":"1-2","issued":{"date-parts":[["2010","7","15"]]},"page":"6-35","title":"Stimuli-responsive membranes","type":"article-journal","volume":"357"},"uris":["http://www.mendeley.com/documents/?uuid=f4b1bf86-85c5-4e71-a28b-6d4273599fd3"]}],"mendeley":{"formattedCitation":"&lt;sup&gt;4,5&lt;/sup&gt;","plainTextFormattedCitation":"4,5","previouslyFormattedCitation":"&lt;sup&gt;4,5&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4,5</w:t>
      </w:r>
      <w:r w:rsidRPr="006D631C">
        <w:rPr>
          <w:rFonts w:asciiTheme="majorBidi" w:hAnsiTheme="majorBidi" w:cstheme="majorBidi"/>
        </w:rPr>
        <w:fldChar w:fldCharType="end"/>
      </w:r>
      <w:r w:rsidRPr="006D631C">
        <w:rPr>
          <w:rFonts w:asciiTheme="majorBidi" w:hAnsiTheme="majorBidi" w:cstheme="majorBidi"/>
        </w:rPr>
        <w:t xml:space="preserve"> energy storage devices,</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{"citationItems":[{"id":"ITEM-1","itemData":{"DOI":"10.1039/c3cs00009e","ISSN":"14604744","PMID":"23455759","abstract":"Nanostructured materials are advantageous in offering huge surface to volume ratios, favorable transport properties, altered physical properties, and confinement effects resulting from the nanoscale dimensions, and have been extensively studied for energy-related applications such as solar cells, catalysts, thermoelectrics, lithium ion batteries, supercapacitors, and hydrogen storage systems. This review focuses on a few select aspects regarding these topics, demonstrating that nanostructured materials benefit these applications by (1) providing a large surface area to boost the electrochemical reaction or molecular adsorption occurring at the solid–liquid or solid–gas interface, (2) generating optical effects to improve optical absorption in solar cells, and (3) giving rise to high crystallinity and/or porous structure to facilitate the electron or ion transport and electrolyte diffusion, so as to ensure the electrochemical process occurs with high efficiency. It is emphasized that, to further enhance the capability of nanostructured materials for energy conversion and storage, new mechanisms and structures are anticipated. In addition to highlighting the obvious advantages of nanostructured materials, the limitations and challenges of nanostructured materials while being used for solar cells, lithium ion batteries, supercapacitors, and hydrogen storage systems have also been addressed in this review. © 2013 The Royal Society of Chemistry.","author":[{"dropping-particle":"","family":"Zhang","given":"Qifeng","non-dropping-particle":"","parse-names":false,"suffix":""},{"dropping-particle":"","family":"Uchaker","given":"Evan","non-dropping-particle":"","parse-names":false,"suffix":""},{"dropping-particle":"","family":"Candelaria","given":"Stephanie L.","non-dropping-particle":"","parse-names":false,"suffix":""},{"dropping-particle":"","family":"Cao","given":"Guozhong","non-dropping-particle":"","parse-names":false,"suffix":""}],"container-title":"Chemical Society Reviews","id":"ITEM-1","issue":"7","issued":{"date-parts":[["2013"]]},"page":"3127-3171","title":"Nanomaterials for energy conversion and storage","type":"article-journal","volume":"42"},"uris":["http://www.mendeley.com/documents/?uuid=9c604285-e3bb-46c1-9645-5fadb3b247d3"]}],"mendeley":{"formattedCitation":"&lt;sup&gt;6&lt;/sup&gt;","plainTextFormattedCitation":"6","previouslyFormattedCitation":"&lt;sup&gt;6&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6</w:t>
      </w:r>
      <w:r w:rsidRPr="006D631C">
        <w:rPr>
          <w:rFonts w:asciiTheme="majorBidi" w:hAnsiTheme="majorBidi" w:cstheme="majorBidi"/>
        </w:rPr>
        <w:fldChar w:fldCharType="end"/>
      </w:r>
      <w:r w:rsidRPr="006D631C">
        <w:rPr>
          <w:rFonts w:asciiTheme="majorBidi" w:hAnsiTheme="majorBidi" w:cstheme="majorBidi"/>
        </w:rPr>
        <w:t xml:space="preserve"> and so forth. Precise control of the structure in the nanometer scale is the key to improve the functionality of such materials and thus to guarantee their applicability in each field. Process-ability and chemical functionality of the components are other important factors when it comes to the large scale production of nanostructured substances.</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{"citationItems":[{"id":"ITEM-1","itemData":{"DOI":"10.1002/adfm.200500280","ISSN":"1616301X","abstract":"Organic lyotropic liquid-crystal (LLC) assemblies mimic molecular sieves in their nanoporous structures and their ability to incorporate catalytic functional groups. This article focuses on recent advances made by our research group in incorporating new catalytic properties into polymerizable LLC assemblies and studying the moleculartransport properties of the crosslinked networks. © 2006 WILEY-VCH Verlag GmbH &amp; Co. KGaA.","author":[{"dropping-particle":"","family":"Gin","given":"Douglas L.","non-dropping-particle":"","parse-names":false,"suffix":""},{"dropping-particle":"","family":"Lu","given":"Xiaoyun","non-dropping-particle":"","parse-names":false,"suffix":""},{"dropping-particle":"","family":"Nemade","given":"Parag R.","non-dropping-particle":"","parse-names":false,"suffix":""},{"dropping-particle":"","family":"Pecinovsky","given":"Cory S.","non-dropping-particle":"","parse-names":false,"suffix":""},{"dropping-particle":"","family":"Xu","given":"Yanjie","non-dropping-particle":"","parse-names":false,"suffix":""},{"dropping-particle":"","family":"Zhou","given":"Meijuan","non-dropping-particle":"","parse-names":false,"suffix":""}],"container-title":"Advanced Functional Materials","id":"ITEM-1","issue":"7","issued":{"date-parts":[["2006"]]},"page":"865-878","title":"Recent advances in the design of polymerizable lyotropic liquid-crystal assemblies for heterogeneous catalysis and selective separations","type":"article-journal","volume":"16"},"uris":["http://www.mendeley.com/documents/?uuid=5644969e-40c5-4a9a-a335-7f5fc820bdeb"]}],"mendeley":{"formattedCitation":"&lt;sup&gt;7&lt;/sup&gt;","plainTextFormattedCitation":"7","previouslyFormattedCitation":"&lt;sup&gt;7&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7</w:t>
      </w:r>
      <w:r w:rsidRPr="006D631C">
        <w:rPr>
          <w:rFonts w:asciiTheme="majorBidi" w:hAnsiTheme="majorBidi" w:cstheme="majorBidi"/>
        </w:rPr>
        <w:fldChar w:fldCharType="end"/>
      </w:r>
      <w:r w:rsidRPr="006D631C">
        <w:rPr>
          <w:rFonts w:asciiTheme="majorBidi" w:hAnsiTheme="majorBidi" w:cstheme="majorBidi"/>
        </w:rPr>
        <w:t xml:space="preserve"> As an example, inorganic materials such as zeolites that are widely used for separation in molecular scale suffer from challenging process-ability as well as limited range of chemistry (e.g., chemical functionality), resulting in restricted application as highly selective membranes.</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{"citationItems":[{"id":"ITEM-1","itemData":{"DOI":"10.1002/adfm.200500280","ISSN":"1616301X","abstract":"Organic lyotropic liquid-crystal (LLC) assemblies mimic molecular sieves in their nanoporous structures and their ability to incorporate catalytic functional groups. This article focuses on recent advances made by our research group in incorporating new catalytic properties into polymerizable LLC assemblies and studying the moleculartransport properties of the crosslinked networks. © 2006 WILEY-VCH Verlag GmbH &amp; Co. KGaA.","author":[{"dropping-particle":"","family":"Gin","given":"Douglas L.","non-dropping-particle":"","parse-names":false,"suffix":""},{"dropping-particle":"","family":"Lu","given":"Xiaoyun","non-dropping-particle":"","parse-names":false,"suffix":""},{"dropping-particle":"","family":"Nemade","given":"Parag R.","non-dropping-particle":"","parse-names":false,"suffix":""},{"dropping-particle":"","family":"Pecinovsky","given":"Cory S.","non-dropping-particle":"","parse-names":false,"suffix":""},{"dropping-particle":"","family":"Xu","given":"Yanjie","non-dropping-particle":"","parse-names":false,"suffix":""},{"dropping-particle":"","family":"Zhou","given":"Meijuan","non-dropping-particle":"","parse-names":false,"suffix":""}],"container-title":"Advanced Functional Materials","id":"ITEM-1","issue":"7","issued":{"date-parts":[["2006"]]},"page":"865-878","title":"Recent advances in the design of polymerizable lyotropic liquid-crystal assemblies for heterogeneous catalysis and selective separations","type":"article-journal","volume":"16"},"uris":["http://www.mendeley.com/documents/?uuid=5644969e-40c5-4a9a-a335-7f5fc820bdeb"]}],"mendeley":{"formattedCitation":"&lt;sup&gt;7&lt;/sup&gt;","plainTextFormattedCitation":"7","previouslyFormattedCitation":"&lt;sup&gt;7&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7</w:t>
      </w:r>
      <w:r w:rsidRPr="006D631C">
        <w:rPr>
          <w:rFonts w:asciiTheme="majorBidi" w:hAnsiTheme="majorBidi" w:cstheme="majorBidi"/>
        </w:rPr>
        <w:fldChar w:fldCharType="end"/>
      </w:r>
      <w:r w:rsidRPr="006D631C">
        <w:rPr>
          <w:rFonts w:asciiTheme="majorBidi" w:hAnsiTheme="majorBidi" w:cstheme="majorBidi"/>
        </w:rPr>
        <w:t xml:space="preserve">  </w:t>
      </w:r>
    </w:p>
    <w:p w14:paraId="6B25FC9F" w14:textId="7A45A966" w:rsidR="004F76E9" w:rsidRPr="006D631C" w:rsidRDefault="004F76E9" w:rsidP="00304172">
      <w:pPr>
        <w:tabs>
          <w:tab w:val="left" w:pos="90"/>
          <w:tab w:val="left" w:pos="360"/>
          <w:tab w:val="left" w:pos="992"/>
        </w:tabs>
        <w:ind w:firstLine="357"/>
        <w:jc w:val="lowKashida"/>
        <w:rPr>
          <w:rFonts w:asciiTheme="majorBidi" w:hAnsiTheme="majorBidi" w:cstheme="majorBidi"/>
        </w:rPr>
      </w:pPr>
      <w:r w:rsidRPr="006D631C">
        <w:rPr>
          <w:rFonts w:asciiTheme="majorBidi" w:hAnsiTheme="majorBidi" w:cstheme="majorBidi"/>
        </w:rPr>
        <w:t>The “bottom-up” approach, which works based on self-arrangement in the atomic, molecular or colloidal scales, is the common method used in nanotechnology for the fabrication of precisely designed nanostructures.</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{"citationItems":[{"id":"ITEM-1","itemData":{"DOI":"10.1039/c3sm52607k","ISSN":"1744-683X","abstract":"Self-Assembly of soft materials is broadly considered an attractive means of generating nanoscale structures and patterns over large areas. However, the spontaneous formation of equilibrium nanostructures in response to temperature and concentration changes, for example, must be guided to yield the long-range order and orientation required for utility in a given scenario. In this review we examine directed self-Assembly (DSA) of block copolymers (BCPs) as canonical examples of nanostructured soft matter systems which are additionally compelling for creating functional materials and devices. We survey well established and newly emerging DSA methods from a tutorial perspective. Special emphasis is given to exploring underlying physical phenomena, identifying prototypical BCPs that are compatible with different DSA techniques, describing experimental methods and highlighting the attractive functional properties of block copolymers overall. Finally we offer a brief perspective on some unresolved issues and future opportunities in this field. © the Partner Organisations 2014.","author":[{"dropping-particle":"","family":"Hu","given":"Hanqiong","non-dropping-particle":"","parse-names":false,"suffix":""},{"dropping-particle":"","family":"Gopinadhan","given":"Manesh","non-dropping-particle":"","parse-names":false,"suffix":""},{"dropping-particle":"","family":"Osuji","given":"Chinedum O.","non-dropping-particle":"","parse-names":false,"suffix":""}],"container-title":"Soft Matter","id":"ITEM-1","issue":"22","issued":{"date-parts":[["2014"]]},"page":"3867","title":"Directed self-assembly of block copolymers: a tutorial review of strategies for enabling nanotechnology with soft matter","type":"article-journal","volume":"10"},"uris":["http://www.mendeley.com/documents/?uuid=b55a684f-1e3a-4c96-9c2c-f824777629b7"]}],"mendeley":{"formattedCitation":"&lt;sup&gt;8&lt;/sup&gt;","plainTextFormattedCitation":"8","previouslyFormattedCitation":"&lt;sup&gt;8&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8</w:t>
      </w:r>
      <w:r w:rsidRPr="006D631C">
        <w:rPr>
          <w:rFonts w:asciiTheme="majorBidi" w:hAnsiTheme="majorBidi" w:cstheme="majorBidi"/>
        </w:rPr>
        <w:fldChar w:fldCharType="end"/>
      </w:r>
      <w:r w:rsidRPr="006D631C">
        <w:rPr>
          <w:rFonts w:asciiTheme="majorBidi" w:hAnsiTheme="majorBidi" w:cstheme="majorBidi"/>
        </w:rPr>
        <w:t xml:space="preserve"> Amongst the huge diversity of materials employed in this technique, the components that form liquid crystalline structures (LCs) through a molecular self-assembly process (supramolecular chemistry) have received a great deal of attention.</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{"citationItems":[{"id":"ITEM-1","itemData":{"DOI":"10.1039/c3sm52607k","ISSN":"1744-683X","abstract":"Self-Assembly of soft materials is broadly considered an attractive means of generating nanoscale structures and patterns over large areas. However, the spontaneous formation of equilibrium nanostructures in response to temperature and concentration changes, for example, must be guided to yield the long-range order and orientation required for utility in a given scenario. In this review we examine directed self-Assembly (DSA) of block copolymers (BCPs) as canonical examples of nanostructured soft matter systems which are additionally compelling for creating functional materials and devices. We survey well established and newly emerging DSA methods from a tutorial perspective. Special emphasis is given to exploring underlying physical phenomena, identifying prototypical BCPs that are compatible with different DSA techniques, describing experimental methods and highlighting the attractive functional properties of block copolymers overall. Finally we offer a brief perspective on some unresolved issues and future opportunities in this field. © the Partner Organisations 2014.","author":[{"dropping-particle":"","family":"Hu","given":"Hanqiong","non-dropping-particle":"","parse-names":false,"suffix":""},{"dropping-particle":"","family":"Gopinadhan","given":"Manesh","non-dropping-particle":"","parse-names":false,"suffix":""},{"dropping-particle":"","family":"Osuji","given":"Chinedum O.","non-dropping-particle":"","parse-names":false,"suffix":""}],"container-title":"Soft Matter","id":"ITEM-1","issue":"22","issued":{"date-parts":[["2014"]]},"page":"3867","title":"Directed self-assembly of block copolymers: a tutorial review of strategies for enabling nanotechnology with soft matter","type":"article-journal","volume":"10"},"uris":["http://www.mendeley.com/documents/?uuid=b55a684f-1e3a-4c96-9c2c-f824777629b7"]}],"mendeley":{"formattedCitation":"&lt;sup&gt;8&lt;/sup&gt;","plainTextFormattedCitation":"8","previouslyFormattedCitation":"&lt;sup&gt;8&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8</w:t>
      </w:r>
      <w:r w:rsidRPr="006D631C">
        <w:rPr>
          <w:rFonts w:asciiTheme="majorBidi" w:hAnsiTheme="majorBidi" w:cstheme="majorBidi"/>
        </w:rPr>
        <w:fldChar w:fldCharType="end"/>
      </w:r>
      <w:r w:rsidRPr="006D631C">
        <w:rPr>
          <w:rFonts w:asciiTheme="majorBidi" w:hAnsiTheme="majorBidi" w:cstheme="majorBidi"/>
        </w:rPr>
        <w:t xml:space="preserve"> LCs have both ordered and disordered regions in their structures. These structures, also called mesophases, offer some of the properties of liquids and solid simultaneously (e.g., fluidity coupled with optical anisotropy). Many organic compounds show LC behavior under certain conditions. LC behavior can be </w:t>
      </w:r>
      <w:r w:rsidRPr="006D631C">
        <w:rPr>
          <w:rFonts w:asciiTheme="majorBidi" w:hAnsiTheme="majorBidi" w:cstheme="majorBidi"/>
        </w:rPr>
        <w:lastRenderedPageBreak/>
        <w:t>observed in the molten state (</w:t>
      </w:r>
      <w:proofErr w:type="spellStart"/>
      <w:r w:rsidRPr="006D631C">
        <w:rPr>
          <w:rFonts w:asciiTheme="majorBidi" w:hAnsiTheme="majorBidi" w:cstheme="majorBidi"/>
        </w:rPr>
        <w:t>thermotropic</w:t>
      </w:r>
      <w:proofErr w:type="spellEnd"/>
      <w:r w:rsidRPr="006D631C">
        <w:rPr>
          <w:rFonts w:asciiTheme="majorBidi" w:hAnsiTheme="majorBidi" w:cstheme="majorBidi"/>
        </w:rPr>
        <w:t xml:space="preserve"> LCs), or in the presence of a solvent as in lyotropic LCs (LLCs).</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{"citationItems":[{"id":"ITEM-1","itemData":{"ISBN":"0471 490830","abstract":"The article discusses how alcohol and other drugs impact the child welfare system in the U.S. In a survey conducted by the Child Welfare League of America of its member agencies, it was revealed that the impact is more pronounced in the system in cases of shortages in the number of child welfare personnel and foster homes. In October 1990, the Child Welfare League of America set up the North American Commission on Chemical Dependency and Child Welfare to study the problem. However, the measure suffered from the lack of data on problems related to the impact of drugs and alcohol on the child welfare system.","author":[{"dropping-particle":"","family":"Hyde","given":"Stephen T","non-dropping-particle":"","parse-names":false,"suffix":""}],"container-title":"Handbook of Applied Surface and Colloid Chemistry","id":"ITEM-1","issued":{"date-parts":[["2001"]]},"page":"299-332","title":"Identification of Lyotropic Liquid Crystalline Mesophases","type":"chapter"},"uris":["http://www.mendeley.com/documents/?uuid=5045f285-eb10-482d-a0bd-0d9f8f2925b5"]}],"mendeley":{"formattedCitation":"&lt;sup&gt;9&lt;/sup&gt;","plainTextFormattedCitation":"9","previouslyFormattedCitation":"&lt;sup&gt;9&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9</w:t>
      </w:r>
      <w:r w:rsidRPr="006D631C">
        <w:rPr>
          <w:rFonts w:asciiTheme="majorBidi" w:hAnsiTheme="majorBidi" w:cstheme="majorBidi"/>
        </w:rPr>
        <w:fldChar w:fldCharType="end"/>
      </w:r>
      <w:r w:rsidRPr="006D631C">
        <w:rPr>
          <w:rFonts w:asciiTheme="majorBidi" w:hAnsiTheme="majorBidi" w:cstheme="majorBidi"/>
        </w:rPr>
        <w:t xml:space="preserve"> In both cases, molecular self-assembly, liquidity and diverse chemistry not only provide an opportunity to precisely control the nanostructure, but also result in the ease of processing as well as a wide range of chemical functionality.</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{"citationItems":[{"id":"ITEM-1","itemData":{"DOI":"10.1002/adfm.200500280","ISSN":"1616301X","abstract":"Organic lyotropic liquid-crystal (LLC) assemblies mimic molecular sieves in their nanoporous structures and their ability to incorporate catalytic functional groups. This article focuses on recent advances made by our research group in incorporating new catalytic properties into polymerizable LLC assemblies and studying the moleculartransport properties of the crosslinked networks. © 2006 WILEY-VCH Verlag GmbH &amp; Co. KGaA.","author":[{"dropping-particle":"","family":"Gin","given":"Douglas L.","non-dropping-particle":"","parse-names":false,"suffix":""},{"dropping-particle":"","family":"Lu","given":"Xiaoyun","non-dropping-particle":"","parse-names":false,"suffix":""},{"dropping-particle":"","family":"Nemade","given":"Parag R.","non-dropping-particle":"","parse-names":false,"suffix":""},{"dropping-particle":"","family":"Pecinovsky","given":"Cory S.","non-dropping-particle":"","parse-names":false,"suffix":""},{"dropping-particle":"","family":"Xu","given":"Yanjie","non-dropping-particle":"","parse-names":false,"suffix":""},{"dropping-particle":"","family":"Zhou","given":"Meijuan","non-dropping-particle":"","parse-names":false,"suffix":""}],"container-title":"Advanced Functional Materials","id":"ITEM-1","issue":"7","issued":{"date-parts":[["2006"]]},"page":"865-878","title":"Recent advances in the design of polymerizable lyotropic liquid-crystal assemblies for heterogeneous catalysis and selective separations","type":"article-journal","volume":"16"},"uris":["http://www.mendeley.com/documents/?uuid=5644969e-40c5-4a9a-a335-7f5fc820bdeb"]}],"mendeley":{"formattedCitation":"&lt;sup&gt;7&lt;/sup&gt;","plainTextFormattedCitation":"7","previouslyFormattedCitation":"&lt;sup&gt;7&lt;/sup&gt;"},"properties":{"noteIndex":0},"schema":"https://github.com/citation-style-language/schema/raw/master/csl-citation.json"}</w:instrText>
      </w:r>
      <w:r w:rsidRPr="006D631C">
        <w:rPr>
          <w:rFonts w:asciiTheme="majorBidi" w:hAnsiTheme="majorBidi" w:cstheme="majorBidi"/>
        </w:rPr>
        <w:fldChar w:fldCharType="separate"/>
      </w:r>
      <w:r w:rsidR="00776521" w:rsidRPr="006D631C">
        <w:rPr>
          <w:rFonts w:asciiTheme="majorBidi" w:hAnsiTheme="majorBidi" w:cstheme="majorBidi"/>
          <w:noProof/>
          <w:vertAlign w:val="superscript"/>
        </w:rPr>
        <w:t>7</w:t>
      </w:r>
      <w:r w:rsidRPr="006D631C">
        <w:rPr>
          <w:rFonts w:asciiTheme="majorBidi" w:hAnsiTheme="majorBidi" w:cstheme="majorBidi"/>
        </w:rPr>
        <w:fldChar w:fldCharType="end"/>
      </w:r>
      <w:r w:rsidRPr="006D631C">
        <w:rPr>
          <w:rFonts w:asciiTheme="majorBidi" w:hAnsiTheme="majorBidi" w:cstheme="majorBidi"/>
        </w:rPr>
        <w:t xml:space="preserve"> </w:t>
      </w:r>
    </w:p>
    <w:p w14:paraId="2B594B5C" w14:textId="31B149C7" w:rsidR="004F76E9" w:rsidRPr="006D631C" w:rsidRDefault="004F76E9" w:rsidP="00C234CF">
      <w:pPr>
        <w:keepNext/>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Amphiphilic molecules, which have lipophilic tail(s) and hydrophilic head(s), are used to form LLCs in the presence of </w:t>
      </w:r>
      <w:r w:rsidR="0093745F" w:rsidRPr="006D631C">
        <w:rPr>
          <w:rFonts w:asciiTheme="majorBidi" w:hAnsiTheme="majorBidi" w:cstheme="majorBidi"/>
        </w:rPr>
        <w:t>solvent(s).</w:t>
      </w:r>
      <w:r w:rsidRPr="006D631C">
        <w:rPr>
          <w:rFonts w:asciiTheme="majorBidi" w:hAnsiTheme="majorBidi" w:cstheme="majorBidi"/>
        </w:rPr>
        <w:t xml:space="preserve"> </w:t>
      </w:r>
      <w:r w:rsidR="0093745F" w:rsidRPr="006D631C">
        <w:rPr>
          <w:rFonts w:asciiTheme="majorBidi" w:hAnsiTheme="majorBidi" w:cstheme="majorBidi"/>
        </w:rPr>
        <w:t xml:space="preserve">Water has been the common solvent in most of the formulations, </w:t>
      </w:r>
      <w:r w:rsidR="00423354" w:rsidRPr="006D631C">
        <w:rPr>
          <w:rFonts w:asciiTheme="majorBidi" w:hAnsiTheme="majorBidi" w:cstheme="majorBidi"/>
        </w:rPr>
        <w:t>though</w:t>
      </w:r>
      <w:r w:rsidR="0093745F" w:rsidRPr="006D631C">
        <w:rPr>
          <w:rFonts w:asciiTheme="majorBidi" w:hAnsiTheme="majorBidi" w:cstheme="majorBidi"/>
        </w:rPr>
        <w:t xml:space="preserve"> </w:t>
      </w:r>
      <w:r w:rsidR="00423354" w:rsidRPr="006D631C">
        <w:rPr>
          <w:rFonts w:asciiTheme="majorBidi" w:hAnsiTheme="majorBidi" w:cstheme="majorBidi"/>
        </w:rPr>
        <w:t>a</w:t>
      </w:r>
      <w:r w:rsidRPr="006D631C">
        <w:rPr>
          <w:rFonts w:asciiTheme="majorBidi" w:hAnsiTheme="majorBidi" w:cstheme="majorBidi"/>
        </w:rPr>
        <w:t>ssembly in non-aqueous phases has also been studied</w:t>
      </w:r>
      <w:r w:rsidRPr="006D631C">
        <w:rPr>
          <w:rFonts w:asciiTheme="majorBidi" w:hAnsiTheme="majorBidi" w:cstheme="majorBidi"/>
        </w:rPr>
        <w:fldChar w:fldCharType="begin" w:fldLock="1"/>
      </w:r>
      <w:r w:rsidR="00045990" w:rsidRPr="006D631C">
        <w:rPr>
          <w:rFonts w:asciiTheme="majorBidi" w:hAnsiTheme="majorBidi" w:cstheme="majorBidi"/>
        </w:rPr>
        <w:instrText>ADDIN CSL_CITATION {"citationItems":[{"id":"ITEM-1","itemData":{"DOI":"10.1246/bcsj.53.1714","ISSN":"0009-2673","author":[{"dropping-particle":"","family":"Tachibana","given":"Taro","non-dropping-particle":"","parse-names":false,"suffix":""},{"dropping-particle":"","family":"Mori","given":"Tomoko","non-dropping-particle":"","parse-names":false,"suffix":""},{"dropping-particle":"","family":"Hori","given":"Kayako","non-dropping-particle":"","parse-names":false,"suffix":""}],"container-title":"Bulletin of the Chemical Society of Japan","id":"ITEM-1","issue":"6","issued":{"date-parts":[["1980","6"]]},"page":"1714-1719","title":"Chiral Mesophases of 12-Hydroxyoctadecanoic Acid in Jelly and in the Solid State. I. A New Type of Lyotropic Mesophase in Jelly with Organic Solvents","type":"article-journal","volume":"53"},"uris":["http://www.mendeley.com/documents/?uuid=89b3983d-4450-4b12-9487-78085b80c7e6"]},{"id":"ITEM-2","itemData":{"DOI":"10.1021/jp910649a","ISSN":"1520-6106","author":[{"dropping-particle":"","family":"Atkin","given":"Rob","non-dropping-particle":"","parse-names":false,"suffix":""},{"dropping-particle":"","family":"Bobillier","given":"Sophie M. C.","non-dropping-particle":"","parse-names":false,"suffix":""},{"dropping-particle":"","family":"Warr","given":"Gregory G.","non-dropping-particle":"","parse-names":false,"suffix":""}],"container-title":"The Journal of Physical Chemistry B","id":"ITEM-2","issue":"3","issued":{"date-parts":[["2010","1","28"]]},"page":"1350-1360","title":"Propylammonium Nitrate as a Solvent for Amphiphile Self-Assembly into Micelles, Lyotropic Liquid Crystals, and Microemulsions","type":"article-journal","volume":"114"},"uris":["http://www.mendeley.com/documents/?uuid=bb41dc2a-6094-4243-ad6d-e2de10bb9d9d"]},{"id":"ITEM-3","itemData":{"DOI":"10.1039/c3cc44452j","ISSN":"1364548X","abstract":"New ionic amphiphiles with a hexyl-bridged bis(imidazolium) headgroup; Br−, BF4−, or Tf2N− anions; and a long n-alkyl tail can form thermotropic bicontinuous cubic liquid crystal phases in neat form and/or lyotropic bicontinuous cubic phases with several non-aqueous solvents or water. © 2013 The Royal Society of Chemistry.","author":[{"dropping-particle":"","family":"Robertson","given":"Lily A.","non-dropping-particle":"","parse-names":false,"suffix":""},{"dropping-particle":"","family":"Schenkel","given":"Magdalene R.","non-dropping-particle":"","parse-names":false,"suffix":""},{"dropping-particle":"","family":"Wiesenauer","given":"Brian R.","non-dropping-particle":"","parse-names":false,"suffix":""},{"dropping-particle":"","family":"Gin","given":"Douglas L.","non-dropping-particle":"","parse-names":false,"suffix":""}],"container-title":"Chemical Communications","id":"ITEM-3","issue":"82","issued":{"date-parts":[["2013"]]},"page":"9407-9409","title":"Alkyl-bis(imidazolium) salts: A new amphiphile platform that forms thermotropic and non-aqueous lyotropic bicontinuous cubic phases","type":"article-journal","volume":"49"},"uris":["http://www.mendeley.com/documents/?uuid=0fd7222e-dc73-4494-8f79-948ed225913e"]},{"id":"ITEM-4","itemData":{"DOI":"10.1021/acs.macromol.6b00205","ISSN":"15205835","abstract":"The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J.","non-dropping-particle":"","parse-names":false,"suffix":""}],"container-title":"Macromolecules","id":"ITEM-4","issue":"14","issued":{"date-parts":[["2016"]]},"page":"5179-5189","title":"Self-Assembly of Pluronic F127 Diacrylate in Ethylammonium Nitrate: Structure, Rheology, and Ionic Conductivity before and after Photo-Cross-Linking","type":"article-journal","volume":"49"},"uris":["http://www.mendeley.com/documents/?uuid=6ddc0c83-b7e6-4ae7-bbbe-b38e8eb525a5"]}],"mendeley":{"formattedCitation":"&lt;sup&gt;10–13&lt;/sup&gt;","plainTextFormattedCitation":"10–13","previouslyFormattedCitation":"&lt;sup&gt;10–13&lt;/sup&gt;"},"properties":{"noteIndex":0},"schema":"https://github.com/citation-style-language/schema/raw/master/csl-citation.json"}</w:instrText>
      </w:r>
      <w:r w:rsidRPr="006D631C">
        <w:rPr>
          <w:rFonts w:asciiTheme="majorBidi" w:hAnsiTheme="majorBidi" w:cstheme="majorBidi"/>
        </w:rPr>
        <w:fldChar w:fldCharType="separate"/>
      </w:r>
      <w:r w:rsidR="00045990" w:rsidRPr="006D631C">
        <w:rPr>
          <w:rFonts w:asciiTheme="majorBidi" w:hAnsiTheme="majorBidi" w:cstheme="majorBidi"/>
          <w:noProof/>
          <w:vertAlign w:val="superscript"/>
        </w:rPr>
        <w:t>10–13</w:t>
      </w:r>
      <w:r w:rsidRPr="006D631C">
        <w:rPr>
          <w:rFonts w:asciiTheme="majorBidi" w:hAnsiTheme="majorBidi" w:cstheme="majorBidi"/>
        </w:rPr>
        <w:fldChar w:fldCharType="end"/>
      </w:r>
      <w:r w:rsidRPr="006D631C">
        <w:rPr>
          <w:rFonts w:asciiTheme="majorBidi" w:hAnsiTheme="majorBidi" w:cstheme="majorBidi"/>
        </w:rPr>
        <w:t>. Molecular self-assembly of these substances results in several LLC nanostructures such as normal (oil-in-water) micelles (L</w:t>
      </w:r>
      <w:r w:rsidRPr="006D631C">
        <w:rPr>
          <w:rFonts w:asciiTheme="majorBidi" w:hAnsiTheme="majorBidi" w:cstheme="majorBidi"/>
          <w:vertAlign w:val="subscript"/>
        </w:rPr>
        <w:t>1</w:t>
      </w:r>
      <w:r w:rsidRPr="006D631C">
        <w:rPr>
          <w:rFonts w:asciiTheme="majorBidi" w:hAnsiTheme="majorBidi" w:cstheme="majorBidi"/>
        </w:rPr>
        <w:t>), normal discontinuous cubic (I</w:t>
      </w:r>
      <w:r w:rsidRPr="006D631C">
        <w:rPr>
          <w:rFonts w:asciiTheme="majorBidi" w:hAnsiTheme="majorBidi" w:cstheme="majorBidi"/>
          <w:vertAlign w:val="subscript"/>
        </w:rPr>
        <w:t>1</w:t>
      </w:r>
      <w:r w:rsidRPr="006D631C">
        <w:rPr>
          <w:rFonts w:asciiTheme="majorBidi" w:hAnsiTheme="majorBidi" w:cstheme="majorBidi"/>
        </w:rPr>
        <w:t>), normal hexagonal (H</w:t>
      </w:r>
      <w:r w:rsidRPr="006D631C">
        <w:rPr>
          <w:rFonts w:asciiTheme="majorBidi" w:hAnsiTheme="majorBidi" w:cstheme="majorBidi"/>
          <w:vertAlign w:val="subscript"/>
        </w:rPr>
        <w:t>1</w:t>
      </w:r>
      <w:r w:rsidRPr="006D631C">
        <w:rPr>
          <w:rFonts w:asciiTheme="majorBidi" w:hAnsiTheme="majorBidi" w:cstheme="majorBidi"/>
        </w:rPr>
        <w:t>), lamellar (L</w:t>
      </w:r>
      <w:r w:rsidRPr="006D631C">
        <w:rPr>
          <w:rFonts w:asciiTheme="majorBidi" w:hAnsiTheme="majorBidi" w:cstheme="majorBidi"/>
          <w:vertAlign w:val="subscript"/>
        </w:rPr>
        <w:t>α</w:t>
      </w:r>
      <w:r w:rsidRPr="006D631C">
        <w:rPr>
          <w:rFonts w:asciiTheme="majorBidi" w:hAnsiTheme="majorBidi" w:cstheme="majorBidi"/>
        </w:rPr>
        <w:t xml:space="preserve">), normal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(Q</w:t>
      </w:r>
      <w:r w:rsidRPr="006D631C">
        <w:rPr>
          <w:rFonts w:asciiTheme="majorBidi" w:hAnsiTheme="majorBidi" w:cstheme="majorBidi"/>
          <w:vertAlign w:val="subscript"/>
        </w:rPr>
        <w:t>1</w:t>
      </w:r>
      <w:r w:rsidRPr="006D631C">
        <w:rPr>
          <w:rFonts w:asciiTheme="majorBidi" w:hAnsiTheme="majorBidi" w:cstheme="majorBidi"/>
        </w:rPr>
        <w:t xml:space="preserve">), reverse (water-in-oil)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(Q</w:t>
      </w:r>
      <w:r w:rsidRPr="006D631C">
        <w:rPr>
          <w:rFonts w:asciiTheme="majorBidi" w:hAnsiTheme="majorBidi" w:cstheme="majorBidi"/>
          <w:vertAlign w:val="subscript"/>
        </w:rPr>
        <w:t>2</w:t>
      </w:r>
      <w:r w:rsidRPr="006D631C">
        <w:rPr>
          <w:rFonts w:asciiTheme="majorBidi" w:hAnsiTheme="majorBidi" w:cstheme="majorBidi"/>
        </w:rPr>
        <w:t>), reverse hexagonal (H</w:t>
      </w:r>
      <w:r w:rsidRPr="006D631C">
        <w:rPr>
          <w:rFonts w:asciiTheme="majorBidi" w:hAnsiTheme="majorBidi" w:cstheme="majorBidi"/>
          <w:vertAlign w:val="subscript"/>
        </w:rPr>
        <w:t>2</w:t>
      </w:r>
      <w:r w:rsidRPr="006D631C">
        <w:rPr>
          <w:rFonts w:asciiTheme="majorBidi" w:hAnsiTheme="majorBidi" w:cstheme="majorBidi"/>
        </w:rPr>
        <w:t>), reverse discontinuous cubic (I</w:t>
      </w:r>
      <w:r w:rsidRPr="006D631C">
        <w:rPr>
          <w:rFonts w:asciiTheme="majorBidi" w:hAnsiTheme="majorBidi" w:cstheme="majorBidi"/>
          <w:vertAlign w:val="subscript"/>
        </w:rPr>
        <w:t>2</w:t>
      </w:r>
      <w:r w:rsidRPr="006D631C">
        <w:rPr>
          <w:rFonts w:asciiTheme="majorBidi" w:hAnsiTheme="majorBidi" w:cstheme="majorBidi"/>
        </w:rPr>
        <w:t>), and reverse micelles (L</w:t>
      </w:r>
      <w:r w:rsidRPr="006D631C">
        <w:rPr>
          <w:rFonts w:asciiTheme="majorBidi" w:hAnsiTheme="majorBidi" w:cstheme="majorBidi"/>
          <w:vertAlign w:val="subscript"/>
        </w:rPr>
        <w:t>2</w:t>
      </w:r>
      <w:r w:rsidRPr="006D631C">
        <w:rPr>
          <w:rFonts w:asciiTheme="majorBidi" w:hAnsiTheme="majorBidi" w:cstheme="majorBidi"/>
        </w:rPr>
        <w:t>), which all are shown schematically in</w:t>
      </w:r>
      <w:r w:rsidR="00A76153" w:rsidRPr="006D631C">
        <w:rPr>
          <w:rFonts w:asciiTheme="majorBidi" w:hAnsiTheme="majorBidi" w:cstheme="majorBidi"/>
        </w:rPr>
        <w:t xml:space="preserve"> </w:t>
      </w:r>
      <w:r w:rsidR="00AD00CC" w:rsidRPr="006D631C">
        <w:t>Figure 1</w:t>
      </w:r>
      <w:r w:rsidR="00C234CF" w:rsidRPr="006D631C">
        <w:t>-</w:t>
      </w:r>
      <w:r w:rsidR="00AD00CC" w:rsidRPr="006D631C">
        <w:t>1</w:t>
      </w:r>
      <w:r w:rsidR="00EC3EBC" w:rsidRPr="006D631C">
        <w:rPr>
          <w:rFonts w:asciiTheme="majorBidi" w:hAnsiTheme="majorBidi" w:cstheme="majorBidi"/>
        </w:rPr>
        <w:t xml:space="preserve">. Herein we </w:t>
      </w:r>
      <w:r w:rsidRPr="006D631C">
        <w:rPr>
          <w:rFonts w:asciiTheme="majorBidi" w:hAnsiTheme="majorBidi" w:cstheme="majorBidi"/>
        </w:rPr>
        <w:t xml:space="preserve">have assigned </w:t>
      </w:r>
      <w:proofErr w:type="gramStart"/>
      <w:r w:rsidRPr="006D631C">
        <w:rPr>
          <w:rFonts w:asciiTheme="majorBidi" w:hAnsiTheme="majorBidi" w:cstheme="majorBidi"/>
        </w:rPr>
        <w:t>I</w:t>
      </w:r>
      <w:r w:rsidRPr="006D631C">
        <w:rPr>
          <w:rFonts w:asciiTheme="majorBidi" w:hAnsiTheme="majorBidi" w:cstheme="majorBidi"/>
          <w:vertAlign w:val="subscript"/>
        </w:rPr>
        <w:t>α</w:t>
      </w:r>
      <w:proofErr w:type="gramEnd"/>
      <w:r w:rsidRPr="006D631C">
        <w:rPr>
          <w:rFonts w:asciiTheme="majorBidi" w:hAnsiTheme="majorBidi" w:cstheme="majorBidi"/>
          <w:vertAlign w:val="subscript"/>
        </w:rPr>
        <w:t>,</w:t>
      </w:r>
      <w:r w:rsidRPr="006D631C">
        <w:rPr>
          <w:rFonts w:asciiTheme="majorBidi" w:hAnsiTheme="majorBidi" w:cstheme="majorBidi"/>
        </w:rPr>
        <w:t xml:space="preserve"> H</w:t>
      </w:r>
      <w:r w:rsidRPr="006D631C">
        <w:rPr>
          <w:rFonts w:asciiTheme="majorBidi" w:hAnsiTheme="majorBidi" w:cstheme="majorBidi"/>
          <w:vertAlign w:val="subscript"/>
        </w:rPr>
        <w:t>α,</w:t>
      </w:r>
      <w:r w:rsidRPr="006D631C">
        <w:rPr>
          <w:rFonts w:asciiTheme="majorBidi" w:hAnsiTheme="majorBidi" w:cstheme="majorBidi"/>
        </w:rPr>
        <w:t xml:space="preserve"> and Q</w:t>
      </w:r>
      <w:r w:rsidRPr="006D631C">
        <w:rPr>
          <w:rFonts w:asciiTheme="majorBidi" w:hAnsiTheme="majorBidi" w:cstheme="majorBidi"/>
          <w:vertAlign w:val="subscript"/>
        </w:rPr>
        <w:t>α</w:t>
      </w:r>
      <w:r w:rsidRPr="006D631C">
        <w:rPr>
          <w:rFonts w:asciiTheme="majorBidi" w:hAnsiTheme="majorBidi" w:cstheme="majorBidi"/>
        </w:rPr>
        <w:t xml:space="preserve"> as the general signs for discontinuous cubic, hexagonal and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phases regardless of the type of each structure. Temperature, pressure, light, and magnetic field are some of the external factors which can affect the phase structure of LLCs. In addition, there are other factors including concentration, chemistry and shape of the amphiphilic molecules, water content, and additives (e.g., in the oil phase) that can influence the formation of a particular nanostructure. The LLC structural transitions, which are controlled by aforementioned parameters, are explained via the critical packing parameter (CPP). CPP is defined as: </w:t>
      </w:r>
    </w:p>
    <w:p w14:paraId="1BACDBF8" w14:textId="60CA3B21" w:rsidR="004F76E9" w:rsidRPr="006D631C" w:rsidRDefault="004F76E9" w:rsidP="00692663">
      <w:pPr>
        <w:pStyle w:val="Caption"/>
        <w:rPr>
          <w:rFonts w:asciiTheme="majorBidi" w:hAnsiTheme="majorBidi" w:cstheme="majorBidi"/>
        </w:rPr>
      </w:pPr>
      <w:r w:rsidRPr="006D631C">
        <w:rPr>
          <w:rFonts w:asciiTheme="majorBidi" w:hAnsiTheme="majorBidi" w:cstheme="majorBidi"/>
          <w:position w:val="-24"/>
        </w:rPr>
        <w:object w:dxaOrig="999" w:dyaOrig="620" w14:anchorId="51588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30pt" o:ole="">
            <v:imagedata r:id="rId9" o:title=""/>
          </v:shape>
          <o:OLEObject Type="Embed" ProgID="Equation.DSMT4" ShapeID="_x0000_i1025" DrawAspect="Content" ObjectID="_1760013293" r:id="rId10"/>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w:t>
      </w:r>
      <w:r w:rsidR="006A54D9" w:rsidRPr="006D631C">
        <w:rPr>
          <w:rFonts w:asciiTheme="majorBidi" w:hAnsiTheme="majorBidi" w:cstheme="majorBidi"/>
        </w:rPr>
        <w:fldChar w:fldCharType="end"/>
      </w:r>
      <w:r w:rsidRPr="006D631C">
        <w:rPr>
          <w:rFonts w:asciiTheme="majorBidi" w:hAnsiTheme="majorBidi" w:cstheme="majorBidi"/>
        </w:rPr>
        <w:t>)</w:t>
      </w:r>
    </w:p>
    <w:p w14:paraId="517F80E0" w14:textId="716EA16D" w:rsidR="004F76E9" w:rsidRPr="006D631C" w:rsidRDefault="004F76E9" w:rsidP="00045990">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Where </w:t>
      </w:r>
      <w:r w:rsidRPr="006D631C">
        <w:rPr>
          <w:rFonts w:asciiTheme="majorBidi" w:hAnsiTheme="majorBidi" w:cstheme="majorBidi"/>
          <w:i/>
          <w:iCs/>
        </w:rPr>
        <w:t>V</w:t>
      </w:r>
      <w:r w:rsidRPr="006D631C">
        <w:rPr>
          <w:rFonts w:asciiTheme="majorBidi" w:hAnsiTheme="majorBidi" w:cstheme="majorBidi"/>
        </w:rPr>
        <w:t xml:space="preserve">, </w:t>
      </w:r>
      <w:r w:rsidRPr="006D631C">
        <w:rPr>
          <w:rFonts w:asciiTheme="majorBidi" w:hAnsiTheme="majorBidi" w:cstheme="majorBidi"/>
          <w:i/>
          <w:iCs/>
        </w:rPr>
        <w:t>a</w:t>
      </w:r>
      <w:r w:rsidRPr="006D631C">
        <w:rPr>
          <w:rFonts w:asciiTheme="majorBidi" w:hAnsiTheme="majorBidi" w:cstheme="majorBidi"/>
        </w:rPr>
        <w:t xml:space="preserve">, and </w:t>
      </w:r>
      <w:r w:rsidRPr="006D631C">
        <w:rPr>
          <w:rFonts w:asciiTheme="majorBidi" w:hAnsiTheme="majorBidi" w:cstheme="majorBidi"/>
          <w:i/>
          <w:iCs/>
        </w:rPr>
        <w:t>l</w:t>
      </w:r>
      <w:r w:rsidRPr="006D631C">
        <w:rPr>
          <w:rFonts w:asciiTheme="majorBidi" w:hAnsiTheme="majorBidi" w:cstheme="majorBidi"/>
        </w:rPr>
        <w:t xml:space="preserve"> represent the lipophilic tail volume, ‘effective’ cross-sectional area of the hydrophilic head group, and extended lipophilic chain length, respectively.</w:t>
      </w:r>
      <w:r w:rsidRPr="006D631C">
        <w:t xml:space="preserve"> </w:t>
      </w:r>
      <w:r w:rsidRPr="006D631C">
        <w:rPr>
          <w:rFonts w:asciiTheme="majorBidi" w:hAnsiTheme="majorBidi" w:cstheme="majorBidi"/>
        </w:rPr>
        <w:t xml:space="preserve">Although the </w:t>
      </w:r>
      <w:r w:rsidRPr="006D631C">
        <w:rPr>
          <w:rFonts w:asciiTheme="majorBidi" w:hAnsiTheme="majorBidi" w:cstheme="majorBidi"/>
        </w:rPr>
        <w:lastRenderedPageBreak/>
        <w:t xml:space="preserve">parameter </w:t>
      </w:r>
      <w:r w:rsidRPr="006D631C">
        <w:rPr>
          <w:rFonts w:asciiTheme="majorBidi" w:hAnsiTheme="majorBidi" w:cstheme="majorBidi"/>
          <w:i/>
          <w:iCs/>
        </w:rPr>
        <w:t>a</w:t>
      </w:r>
      <w:r w:rsidRPr="006D631C">
        <w:rPr>
          <w:rFonts w:asciiTheme="majorBidi" w:hAnsiTheme="majorBidi" w:cstheme="majorBidi"/>
        </w:rPr>
        <w:t xml:space="preserve"> is sometimes interpreted in LLC literature as a measure of the physical/geometric cross-sectional area of the surfactant head</w:t>
      </w:r>
      <w:r w:rsidR="00434DE5" w:rsidRPr="006D631C">
        <w:rPr>
          <w:rFonts w:asciiTheme="majorBidi" w:hAnsiTheme="majorBidi" w:cstheme="majorBidi"/>
        </w:rPr>
        <w:t xml:space="preserve"> </w:t>
      </w:r>
      <w:r w:rsidRPr="006D631C">
        <w:rPr>
          <w:rFonts w:asciiTheme="majorBidi" w:hAnsiTheme="majorBidi" w:cstheme="majorBidi"/>
        </w:rPr>
        <w:t>group, it is in fact an effective thermodynamic quantity,</w:t>
      </w:r>
      <w:r w:rsidRPr="006D631C">
        <w:rPr>
          <w:rFonts w:asciiTheme="majorBidi" w:hAnsiTheme="majorBidi" w:cstheme="majorBidi"/>
        </w:rPr>
        <w:fldChar w:fldCharType="begin" w:fldLock="1"/>
      </w:r>
      <w:r w:rsidR="004072A0" w:rsidRPr="006D631C">
        <w:rPr>
          <w:rFonts w:asciiTheme="majorBidi" w:hAnsiTheme="majorBidi" w:cstheme="majorBidi"/>
        </w:rPr>
        <w:instrText>ADDIN CSL_CITATION {"citationItems":[{"id":"ITEM-1","itemData":{"DOI":"10.1021/la010831y","ISSN":"0743-7463","author":[{"dropping-particle":"","family":"Nagarajan","given":"R.","non-dropping-particle":"","parse-names":false,"suffix":""}],"container-title":"Langmuir","id":"ITEM-1","issue":"1","issued":{"date-parts":[["2002","1"]]},"page":"31-38","title":"Molecular Packing Parameter and Surfactant Self-Assembly: The Neglected Role of the Surfactant Tail †","type":"article-journal","volume":"18"},"uris":["http://www.mendeley.com/documents/?uuid=3b5e1d03-6b52-4056-963e-4548db4fbbf5"]}],"mendeley":{"formattedCitation":"&lt;sup&gt;14&lt;/sup&gt;","plainTextFormattedCitation":"14","previouslyFormattedCitation":"&lt;sup&gt;14&lt;/sup&gt;"},"properties":{"noteIndex":0},"schema":"https://github.com/citation-style-language/schema/raw/master/csl-citation.json"}</w:instrText>
      </w:r>
      <w:r w:rsidRPr="006D631C">
        <w:rPr>
          <w:rFonts w:asciiTheme="majorBidi" w:hAnsiTheme="majorBidi" w:cstheme="majorBidi"/>
        </w:rPr>
        <w:fldChar w:fldCharType="separate"/>
      </w:r>
      <w:r w:rsidR="00045990" w:rsidRPr="006D631C">
        <w:rPr>
          <w:rFonts w:asciiTheme="majorBidi" w:hAnsiTheme="majorBidi" w:cstheme="majorBidi"/>
          <w:noProof/>
          <w:vertAlign w:val="superscript"/>
        </w:rPr>
        <w:t>14</w:t>
      </w:r>
      <w:r w:rsidRPr="006D631C">
        <w:rPr>
          <w:rFonts w:asciiTheme="majorBidi" w:hAnsiTheme="majorBidi" w:cstheme="majorBidi"/>
        </w:rPr>
        <w:fldChar w:fldCharType="end"/>
      </w:r>
      <w:r w:rsidRPr="006D631C">
        <w:rPr>
          <w:rFonts w:asciiTheme="majorBidi" w:hAnsiTheme="majorBidi" w:cstheme="majorBidi"/>
        </w:rPr>
        <w:t xml:space="preserve"> which encapsulates various conditions, such as charge, solvent ionic strength, temperature, and additives.</w:t>
      </w:r>
      <w:r w:rsidRPr="006D631C">
        <w:rPr>
          <w:rFonts w:asciiTheme="majorBidi" w:hAnsiTheme="majorBidi" w:cstheme="majorBidi"/>
        </w:rPr>
        <w:fldChar w:fldCharType="begin" w:fldLock="1"/>
      </w:r>
      <w:r w:rsidR="004072A0" w:rsidRPr="006D631C">
        <w:rPr>
          <w:rFonts w:asciiTheme="majorBidi" w:hAnsiTheme="majorBidi" w:cstheme="majorBidi"/>
        </w:rPr>
        <w:instrText>ADDIN CSL_CITATION {"citationItems":[{"id":"ITEM-1","itemData":{"DOI":"10.1039/C7CP03891G","ISSN":"1463-9076","abstract":"Tuning mixture of ionic surfactants with aromatic additives results in micelles with impressive viscoelastic properties.","author":[{"dropping-particle":"","family":"Lutz-Bueno","given":"Viviane","non-dropping-particle":"","parse-names":false,"suffix":""},{"dropping-particle":"","family":"Isabettini","given":"Stéphane","non-dropping-particle":"","parse-names":false,"suffix":""},{"dropping-particle":"","family":"Walker","given":"Franziska","non-dropping-particle":"","parse-names":false,"suffix":""},{"dropping-particle":"","family":"Kuster","given":"Simon","non-dropping-particle":"","parse-names":false,"suffix":""},{"dropping-particle":"","family":"Liebi","given":"Marianne","non-dropping-particle":"","parse-names":false,"suffix":""},{"dropping-particle":"","family":"Fischer","given":"Peter","non-dropping-particle":"","parse-names":false,"suffix":""}],"container-title":"Physical Chemistry Chemical Physics","id":"ITEM-1","issue":"32","issued":{"date-parts":[["2017"]]},"page":"21869-21877","title":"Ionic micelles and aromatic additives: a closer look at the molecular packing parameter","type":"article-journal","volume":"19"},"uris":["http://www.mendeley.com/documents/?uuid=ad517cc8-9260-48f5-bcdb-5235c4c54ea6"]}],"mendeley":{"formattedCitation":"&lt;sup&gt;15&lt;/sup&gt;","plainTextFormattedCitation":"15","previouslyFormattedCitation":"&lt;sup&gt;15&lt;/sup&gt;"},"properties":{"noteIndex":0},"schema":"https://github.com/citation-style-language/schema/raw/master/csl-citation.json"}</w:instrText>
      </w:r>
      <w:r w:rsidRPr="006D631C">
        <w:rPr>
          <w:rFonts w:asciiTheme="majorBidi" w:hAnsiTheme="majorBidi" w:cstheme="majorBidi"/>
        </w:rPr>
        <w:fldChar w:fldCharType="separate"/>
      </w:r>
      <w:r w:rsidR="00045990" w:rsidRPr="006D631C">
        <w:rPr>
          <w:rFonts w:asciiTheme="majorBidi" w:hAnsiTheme="majorBidi" w:cstheme="majorBidi"/>
          <w:noProof/>
          <w:vertAlign w:val="superscript"/>
        </w:rPr>
        <w:t>15</w:t>
      </w:r>
      <w:r w:rsidRPr="006D631C">
        <w:rPr>
          <w:rFonts w:asciiTheme="majorBidi" w:hAnsiTheme="majorBidi" w:cstheme="majorBidi"/>
        </w:rPr>
        <w:fldChar w:fldCharType="end"/>
      </w:r>
      <w:r w:rsidRPr="006D631C">
        <w:rPr>
          <w:rFonts w:asciiTheme="majorBidi" w:hAnsiTheme="majorBidi" w:cstheme="majorBidi"/>
        </w:rPr>
        <w:t xml:space="preserve"> Free energy minimum models for calculating </w:t>
      </w:r>
      <w:r w:rsidRPr="006D631C">
        <w:rPr>
          <w:rFonts w:asciiTheme="majorBidi" w:hAnsiTheme="majorBidi" w:cstheme="majorBidi"/>
          <w:i/>
          <w:iCs/>
        </w:rPr>
        <w:t>a</w:t>
      </w:r>
      <w:r w:rsidRPr="006D631C">
        <w:rPr>
          <w:rFonts w:asciiTheme="majorBidi" w:hAnsiTheme="majorBidi" w:cstheme="majorBidi"/>
        </w:rPr>
        <w:t xml:space="preserve"> have been developed at various levels of complexity. However, examples exist in literature where simply estimating </w:t>
      </w:r>
      <w:r w:rsidRPr="006D631C">
        <w:rPr>
          <w:rFonts w:asciiTheme="majorBidi" w:hAnsiTheme="majorBidi" w:cstheme="majorBidi"/>
          <w:i/>
          <w:iCs/>
        </w:rPr>
        <w:t>a</w:t>
      </w:r>
      <w:r w:rsidRPr="006D631C">
        <w:rPr>
          <w:rFonts w:asciiTheme="majorBidi" w:hAnsiTheme="majorBidi" w:cstheme="majorBidi"/>
          <w:i/>
          <w:iCs/>
          <w:vertAlign w:val="subscript"/>
        </w:rPr>
        <w:t>e</w:t>
      </w:r>
      <w:r w:rsidRPr="006D631C">
        <w:rPr>
          <w:rFonts w:asciiTheme="majorBidi" w:hAnsiTheme="majorBidi" w:cstheme="majorBidi"/>
        </w:rPr>
        <w:t xml:space="preserve"> as the geometrical cross-sectional area</w:t>
      </w:r>
      <w:r w:rsidRPr="006D631C">
        <w:rPr>
          <w:rFonts w:asciiTheme="majorBidi" w:hAnsiTheme="majorBidi" w:cstheme="majorBidi"/>
        </w:rPr>
        <w:fldChar w:fldCharType="begin" w:fldLock="1"/>
      </w:r>
      <w:r w:rsidR="004072A0" w:rsidRPr="006D631C">
        <w:rPr>
          <w:rFonts w:asciiTheme="majorBidi" w:hAnsiTheme="majorBidi" w:cstheme="majorBidi"/>
        </w:rPr>
        <w:instrText>ADDIN CSL_CITATION {"citationItems":[{"id":"ITEM-1","itemData":{"DOI":"10.1016/S0006-3495(93)81206-2","ISSN":"00063495","PMID":"8274636","abstract":"Headgroup volumes of seven dioleoyl lipid species, calculated from covalent radii, are shown to correlate linearly (r = 0.95) with the ability of those lipids to alter the midpoint temperature of the lamellar to inverted hexagonal phase transition (L alpha--&gt;HII) of a 95 mole fraction percent phosphatidylethanolamine matrix. The results illustrate the utility of the shape concept and basic considerations of headgroup volume as a predictive tool for the determination of lipid structure. © 1993, The Biophysical Society. All rights reserved.","author":[{"dropping-particle":"","family":"Lee","given":"Y.C.","non-dropping-particle":"","parse-names":false,"suffix":""},{"dropping-particle":"","family":"Taraschi","given":"T.F.","non-dropping-particle":"","parse-names":false,"suffix":""},{"dropping-particle":"","family":"Janes","given":"N.","non-dropping-particle":"","parse-names":false,"suffix":""}],"container-title":"Biophysical Journal","id":"ITEM-1","issue":"4","issued":{"date-parts":[["1993","10"]]},"page":"1429-1432","title":"Support for the shape concept of lipid structure based on a headgroup volume approach","type":"article-journal","volume":"65"},"uris":["http://www.mendeley.com/documents/?uuid=15c6f965-d531-400e-95d5-21e6869ee1e1"]}],"mendeley":{"formattedCitation":"&lt;sup&gt;16&lt;/sup&gt;","plainTextFormattedCitation":"16","previouslyFormattedCitation":"&lt;sup&gt;16&lt;/sup&gt;"},"properties":{"noteIndex":0},"schema":"https://github.com/citation-style-language/schema/raw/master/csl-citation.json"}</w:instrText>
      </w:r>
      <w:r w:rsidRPr="006D631C">
        <w:rPr>
          <w:rFonts w:asciiTheme="majorBidi" w:hAnsiTheme="majorBidi" w:cstheme="majorBidi"/>
        </w:rPr>
        <w:fldChar w:fldCharType="separate"/>
      </w:r>
      <w:r w:rsidR="00045990" w:rsidRPr="006D631C">
        <w:rPr>
          <w:rFonts w:asciiTheme="majorBidi" w:hAnsiTheme="majorBidi" w:cstheme="majorBidi"/>
          <w:noProof/>
          <w:vertAlign w:val="superscript"/>
        </w:rPr>
        <w:t>16</w:t>
      </w:r>
      <w:r w:rsidRPr="006D631C">
        <w:rPr>
          <w:rFonts w:asciiTheme="majorBidi" w:hAnsiTheme="majorBidi" w:cstheme="majorBidi"/>
        </w:rPr>
        <w:fldChar w:fldCharType="end"/>
      </w:r>
      <w:r w:rsidRPr="006D631C">
        <w:rPr>
          <w:rFonts w:asciiTheme="majorBidi" w:hAnsiTheme="majorBidi" w:cstheme="majorBidi"/>
        </w:rPr>
        <w:t xml:space="preserve"> of the charged head</w:t>
      </w:r>
      <w:r w:rsidR="00434DE5" w:rsidRPr="006D631C">
        <w:rPr>
          <w:rFonts w:asciiTheme="majorBidi" w:hAnsiTheme="majorBidi" w:cstheme="majorBidi"/>
        </w:rPr>
        <w:t xml:space="preserve"> </w:t>
      </w:r>
      <w:r w:rsidRPr="006D631C">
        <w:rPr>
          <w:rFonts w:asciiTheme="majorBidi" w:hAnsiTheme="majorBidi" w:cstheme="majorBidi"/>
        </w:rPr>
        <w:t xml:space="preserve">group still leads to excellent matching between theory and experiment. </w:t>
      </w:r>
    </w:p>
    <w:p w14:paraId="237FEBAA" w14:textId="72B699B1" w:rsidR="004F76E9" w:rsidRPr="006D631C" w:rsidRDefault="004F76E9" w:rsidP="00E9211A">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As shown in </w:t>
      </w:r>
      <w:r w:rsidR="00853D7B" w:rsidRPr="006D631C">
        <w:rPr>
          <w:rFonts w:asciiTheme="majorBidi" w:hAnsiTheme="majorBidi" w:cstheme="majorBidi"/>
        </w:rPr>
        <w:t>Figure 1-1</w:t>
      </w:r>
      <w:r w:rsidRPr="006D631C">
        <w:rPr>
          <w:rFonts w:asciiTheme="majorBidi" w:hAnsiTheme="majorBidi" w:cstheme="majorBidi"/>
        </w:rPr>
        <w:t xml:space="preserve">, when the cross-sectional area of hydrophilic group is larger than that of lipophilic tails (CPP &lt; 1), mean curvature is positive, resulting in the formation of normal phases. When CPP &gt; 1, negative mean curvature is present, resulting in inverted nanostructures (inverse phase). Lamellar structures are obtained when the mean curvature is zero (CPP = 1), meaning that the cross-sectional area of the polar head group and the tail are almost equal. Therefore, the CPP concept is a powerful semi-quantitative lens for understanding type and stability of LLC phases of </w:t>
      </w:r>
      <w:proofErr w:type="spellStart"/>
      <w:r w:rsidRPr="006D631C">
        <w:rPr>
          <w:rFonts w:asciiTheme="majorBidi" w:hAnsiTheme="majorBidi" w:cstheme="majorBidi"/>
        </w:rPr>
        <w:t>amphiphiles</w:t>
      </w:r>
      <w:proofErr w:type="spellEnd"/>
      <w:r w:rsidRPr="006D631C">
        <w:rPr>
          <w:rFonts w:asciiTheme="majorBidi" w:hAnsiTheme="majorBidi" w:cstheme="majorBidi"/>
        </w:rPr>
        <w:t>.</w:t>
      </w:r>
      <w:r w:rsidRPr="006D631C" w:rsidDel="00C37F53">
        <w:rPr>
          <w:rStyle w:val="CommentReference"/>
        </w:rPr>
        <w:t xml:space="preserve"> </w:t>
      </w:r>
      <w:r w:rsidRPr="006D631C">
        <w:rPr>
          <w:rFonts w:asciiTheme="majorBidi" w:hAnsiTheme="majorBidi" w:cstheme="majorBidi"/>
        </w:rPr>
        <w:t xml:space="preserve">The solvent(s) content is the leading factor which can induce a transition in the structure as schematically shown in </w:t>
      </w:r>
      <w:r w:rsidR="00E60818" w:rsidRPr="006D631C">
        <w:rPr>
          <w:rFonts w:asciiTheme="majorBidi" w:hAnsiTheme="majorBidi" w:cstheme="majorBidi"/>
        </w:rPr>
        <w:t>Figure 1-1</w:t>
      </w:r>
      <w:r w:rsidRPr="006D631C">
        <w:rPr>
          <w:rFonts w:asciiTheme="majorBidi" w:hAnsiTheme="majorBidi" w:cstheme="majorBidi"/>
        </w:rPr>
        <w:t>. Common techniques used for the characterization of LLC structures include</w:t>
      </w:r>
      <w:r w:rsidRPr="006D631C" w:rsidDel="00203425">
        <w:rPr>
          <w:rFonts w:asciiTheme="majorBidi" w:hAnsiTheme="majorBidi" w:cstheme="majorBidi"/>
        </w:rPr>
        <w:t xml:space="preserve"> </w:t>
      </w:r>
      <w:r w:rsidRPr="006D631C">
        <w:rPr>
          <w:rFonts w:asciiTheme="majorBidi" w:hAnsiTheme="majorBidi" w:cstheme="majorBidi"/>
        </w:rPr>
        <w:t>Cross Polarized Light Microscopy (CPLM), Small-Angle X-ray Scattering (SAXS), X-ray Diffraction (XRD), and Nuclear Magnetic Resonance (NMR). Among commonly encountered LLC structures, only the lamellar and hexagonal phases are optically birefringent. H</w:t>
      </w:r>
      <w:r w:rsidRPr="006D631C">
        <w:rPr>
          <w:rFonts w:asciiTheme="majorBidi" w:hAnsiTheme="majorBidi" w:cstheme="majorBidi"/>
          <w:vertAlign w:val="subscript"/>
        </w:rPr>
        <w:t>α</w:t>
      </w:r>
      <w:r w:rsidRPr="006D631C">
        <w:rPr>
          <w:rFonts w:asciiTheme="majorBidi" w:hAnsiTheme="majorBidi" w:cstheme="majorBidi"/>
        </w:rPr>
        <w:t xml:space="preserve"> mesophases typically show a fan-like texture in CPLM, while L</w:t>
      </w:r>
      <w:r w:rsidRPr="006D631C">
        <w:rPr>
          <w:rFonts w:asciiTheme="majorBidi" w:hAnsiTheme="majorBidi" w:cstheme="majorBidi"/>
          <w:vertAlign w:val="subscript"/>
        </w:rPr>
        <w:t>α</w:t>
      </w:r>
      <w:r w:rsidRPr="006D631C">
        <w:rPr>
          <w:rFonts w:asciiTheme="majorBidi" w:hAnsiTheme="majorBidi" w:cstheme="majorBidi"/>
        </w:rPr>
        <w:t xml:space="preserve"> typically exhibit </w:t>
      </w:r>
      <w:r w:rsidR="00E9211A" w:rsidRPr="006D631C">
        <w:rPr>
          <w:rFonts w:asciiTheme="majorBidi" w:hAnsiTheme="majorBidi" w:cstheme="majorBidi"/>
        </w:rPr>
        <w:t>oily-streak</w:t>
      </w:r>
      <w:r w:rsidRPr="006D631C">
        <w:rPr>
          <w:rFonts w:asciiTheme="majorBidi" w:hAnsiTheme="majorBidi" w:cstheme="majorBidi"/>
        </w:rPr>
        <w:t xml:space="preserve"> textures. </w:t>
      </w:r>
      <w:r w:rsidR="00543B26" w:rsidRPr="006D631C">
        <w:rPr>
          <w:rFonts w:asciiTheme="majorBidi" w:hAnsiTheme="majorBidi" w:cstheme="majorBidi"/>
        </w:rPr>
        <w:t>Figure</w:t>
      </w:r>
      <w:r w:rsidRPr="006D631C">
        <w:rPr>
          <w:rFonts w:asciiTheme="majorBidi" w:hAnsiTheme="majorBidi" w:cstheme="majorBidi"/>
        </w:rPr>
        <w:t xml:space="preserve"> </w:t>
      </w:r>
      <w:r w:rsidR="00543B26" w:rsidRPr="006D631C">
        <w:rPr>
          <w:rFonts w:asciiTheme="majorBidi" w:hAnsiTheme="majorBidi" w:cstheme="majorBidi"/>
        </w:rPr>
        <w:t>1-</w:t>
      </w:r>
      <w:r w:rsidRPr="006D631C">
        <w:rPr>
          <w:rFonts w:asciiTheme="majorBidi" w:hAnsiTheme="majorBidi" w:cstheme="majorBidi"/>
        </w:rPr>
        <w:t>2a</w:t>
      </w:r>
      <w:r w:rsidRPr="006D631C">
        <w:rPr>
          <w:rFonts w:asciiTheme="majorBidi" w:hAnsiTheme="majorBidi" w:cstheme="majorBidi"/>
          <w:b/>
        </w:rPr>
        <w:t xml:space="preserve"> </w:t>
      </w:r>
      <w:r w:rsidRPr="006D631C">
        <w:rPr>
          <w:rFonts w:asciiTheme="majorBidi" w:hAnsiTheme="majorBidi" w:cstheme="majorBidi"/>
        </w:rPr>
        <w:t>shows examples of these typical textures. Cubic systems lack birefringence due to the isometric nature of the system, and therefore appear dark in CPLM. This includes I</w:t>
      </w:r>
      <w:r w:rsidRPr="006D631C">
        <w:rPr>
          <w:rFonts w:asciiTheme="majorBidi" w:hAnsiTheme="majorBidi" w:cstheme="majorBidi"/>
          <w:vertAlign w:val="subscript"/>
        </w:rPr>
        <w:t>α</w:t>
      </w:r>
      <w:r w:rsidRPr="006D631C">
        <w:rPr>
          <w:rFonts w:asciiTheme="majorBidi" w:hAnsiTheme="majorBidi" w:cstheme="majorBidi"/>
        </w:rPr>
        <w:t xml:space="preserve"> and Q</w:t>
      </w:r>
      <w:r w:rsidRPr="006D631C">
        <w:rPr>
          <w:rFonts w:asciiTheme="majorBidi" w:hAnsiTheme="majorBidi" w:cstheme="majorBidi"/>
          <w:vertAlign w:val="subscript"/>
        </w:rPr>
        <w:t>α</w:t>
      </w:r>
      <w:r w:rsidRPr="006D631C">
        <w:rPr>
          <w:rFonts w:asciiTheme="majorBidi" w:hAnsiTheme="majorBidi" w:cstheme="majorBidi"/>
        </w:rPr>
        <w:t>, e.g. body-centered cubic (</w:t>
      </w:r>
      <w:r w:rsidRPr="006D631C">
        <w:rPr>
          <w:rFonts w:asciiTheme="majorBidi" w:hAnsiTheme="majorBidi" w:cstheme="majorBidi"/>
          <w:i/>
          <w:iCs/>
        </w:rPr>
        <w:t>BCC</w:t>
      </w:r>
      <w:r w:rsidRPr="006D631C">
        <w:rPr>
          <w:rFonts w:asciiTheme="majorBidi" w:hAnsiTheme="majorBidi" w:cstheme="majorBidi"/>
        </w:rPr>
        <w:t>) or face-centered cubic (</w:t>
      </w:r>
      <w:r w:rsidRPr="006D631C">
        <w:rPr>
          <w:rFonts w:asciiTheme="majorBidi" w:hAnsiTheme="majorBidi" w:cstheme="majorBidi"/>
          <w:i/>
          <w:iCs/>
        </w:rPr>
        <w:t>FCC</w:t>
      </w:r>
      <w:r w:rsidRPr="006D631C">
        <w:rPr>
          <w:rFonts w:asciiTheme="majorBidi" w:hAnsiTheme="majorBidi" w:cstheme="majorBidi"/>
        </w:rPr>
        <w:t xml:space="preserve">) </w:t>
      </w:r>
      <w:proofErr w:type="spellStart"/>
      <w:r w:rsidRPr="006D631C">
        <w:rPr>
          <w:rFonts w:asciiTheme="majorBidi" w:hAnsiTheme="majorBidi" w:cstheme="majorBidi"/>
        </w:rPr>
        <w:t>packings</w:t>
      </w:r>
      <w:proofErr w:type="spellEnd"/>
      <w:r w:rsidRPr="006D631C">
        <w:rPr>
          <w:rFonts w:asciiTheme="majorBidi" w:hAnsiTheme="majorBidi" w:cstheme="majorBidi"/>
        </w:rPr>
        <w:t xml:space="preserve"> of micelles, and the </w:t>
      </w:r>
      <w:proofErr w:type="spellStart"/>
      <w:r w:rsidRPr="006D631C">
        <w:rPr>
          <w:rFonts w:asciiTheme="majorBidi" w:hAnsiTheme="majorBidi" w:cstheme="majorBidi"/>
        </w:rPr>
        <w:t>gyroid</w:t>
      </w:r>
      <w:proofErr w:type="spellEnd"/>
      <w:r w:rsidRPr="006D631C">
        <w:rPr>
          <w:rFonts w:asciiTheme="majorBidi" w:hAnsiTheme="majorBidi" w:cstheme="majorBidi"/>
        </w:rPr>
        <w:t xml:space="preserve">, double diamond, and primitive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w:t>
      </w:r>
      <w:r w:rsidRPr="006D631C">
        <w:rPr>
          <w:rFonts w:asciiTheme="majorBidi" w:hAnsiTheme="majorBidi" w:cstheme="majorBidi"/>
        </w:rPr>
        <w:lastRenderedPageBreak/>
        <w:t>cubic mesophases. Likewise, disordered micellar systems (L</w:t>
      </w:r>
      <w:r w:rsidRPr="006D631C">
        <w:rPr>
          <w:rFonts w:asciiTheme="majorBidi" w:hAnsiTheme="majorBidi" w:cstheme="majorBidi"/>
          <w:vertAlign w:val="subscript"/>
        </w:rPr>
        <w:t>1</w:t>
      </w:r>
      <w:r w:rsidRPr="006D631C">
        <w:rPr>
          <w:rFonts w:asciiTheme="majorBidi" w:hAnsiTheme="majorBidi" w:cstheme="majorBidi"/>
        </w:rPr>
        <w:t xml:space="preserve"> and L</w:t>
      </w:r>
      <w:r w:rsidRPr="006D631C">
        <w:rPr>
          <w:rFonts w:asciiTheme="majorBidi" w:hAnsiTheme="majorBidi" w:cstheme="majorBidi"/>
          <w:vertAlign w:val="subscript"/>
        </w:rPr>
        <w:t>2</w:t>
      </w:r>
      <w:r w:rsidRPr="006D631C">
        <w:rPr>
          <w:rFonts w:asciiTheme="majorBidi" w:hAnsiTheme="majorBidi" w:cstheme="majorBidi"/>
        </w:rPr>
        <w:t>) are also optically isotropic and appear dark in CPLM. In conjunction with CPLM, the relative position of Bragg peaks obtained from XRD or SAXS measurements is the most common method to identify the phase of LLCs.</w:t>
      </w:r>
      <w:r w:rsidRPr="006D631C">
        <w:rPr>
          <w:rFonts w:asciiTheme="majorBidi" w:hAnsiTheme="majorBidi" w:cstheme="majorBidi"/>
        </w:rPr>
        <w:fldChar w:fldCharType="begin" w:fldLock="1"/>
      </w:r>
      <w:r w:rsidR="004072A0" w:rsidRPr="006D631C">
        <w:rPr>
          <w:rFonts w:asciiTheme="majorBidi" w:hAnsiTheme="majorBidi" w:cstheme="majorBidi"/>
        </w:rPr>
        <w:instrText>ADDIN CSL_CITATION {"citationItems":[{"id":"ITEM-1","itemData":{"DOI":"10.1039/c7ra12008g","ISSN":"20462069","abstract":"Lyotropic liquid crystals (LLCs) formed by the self-assembly of amphiphilic molecules in a solvent (usually water) have attracted increasingly greater attention in the last few decades, especially the lamellar phase (Lα), the reversed bicontinuous cubic phase (Q2) and the reversed hexagonal phase (H2). Such phases offer promising prospects for encapsulation of a wide range of target molecules with various sizes and polarities owing to the unique internal structures. Also, different structures of mesophases can give rise to different diffusion coefficients. The bicontinuous cubic phase and the hexagonal phase have been demonstrated to control and sustain the release of active molecules. Furthermore, the structures are susceptible to many factors such as water content, temperature, pH, the presence of additives etc. Many researchers have been studying these influencing factors in order to accurately fabricate the desired phase. In this paper, we give a review of the characteristics of different structures of liquid crystalline phases, the influencing factors on the phase transition of liquid crystals and the relationship between structures of LLC and drug diffusion. We hope our review will provide some insights into how to manipulate in a controlled manner the rate of incorporating and transferring molecules by altering the structure of lyotropic mesophases.","author":[{"dropping-particle":"","family":"Huang","given":"Yiming","non-dropping-particle":"","parse-names":false,"suffix":""},{"dropping-particle":"","family":"Gui","given":"Shuangying","non-dropping-particle":"","parse-names":false,"suffix":""}],"container-title":"RSC Advances","id":"ITEM-1","issue":"13","issued":{"date-parts":[["2018"]]},"page":"6978-6987","title":"Factors affecting the structure of lyotropic liquid crystals and the correlation between structure and drug diffusion","type":"article-journal","volume":"8"},"uris":["http://www.mendeley.com/documents/?uuid=b7851437-718b-4625-8b35-1207b0977622"]}],"mendeley":{"formattedCitation":"&lt;sup&gt;17&lt;/sup&gt;","plainTextFormattedCitation":"17","previouslyFormattedCitation":"&lt;sup&gt;17&lt;/sup&gt;"},"properties":{"noteIndex":0},"schema":"https://github.com/citation-style-language/schema/raw/master/csl-citation.json"}</w:instrText>
      </w:r>
      <w:r w:rsidRPr="006D631C">
        <w:rPr>
          <w:rFonts w:asciiTheme="majorBidi" w:hAnsiTheme="majorBidi" w:cstheme="majorBidi"/>
        </w:rPr>
        <w:fldChar w:fldCharType="separate"/>
      </w:r>
      <w:r w:rsidR="00045990" w:rsidRPr="006D631C">
        <w:rPr>
          <w:rFonts w:asciiTheme="majorBidi" w:hAnsiTheme="majorBidi" w:cstheme="majorBidi"/>
          <w:noProof/>
          <w:vertAlign w:val="superscript"/>
        </w:rPr>
        <w:t>17</w:t>
      </w:r>
      <w:r w:rsidRPr="006D631C">
        <w:rPr>
          <w:rFonts w:asciiTheme="majorBidi" w:hAnsiTheme="majorBidi" w:cstheme="majorBidi"/>
        </w:rPr>
        <w:fldChar w:fldCharType="end"/>
      </w:r>
      <w:r w:rsidRPr="006D631C">
        <w:rPr>
          <w:rFonts w:asciiTheme="majorBidi" w:hAnsiTheme="majorBidi" w:cstheme="majorBidi"/>
        </w:rPr>
        <w:t xml:space="preserve"> The typically observed X-ray crystallographic features of each structure, presented in </w:t>
      </w:r>
      <w:r w:rsidR="00136331" w:rsidRPr="006D631C">
        <w:rPr>
          <w:rFonts w:asciiTheme="majorBidi" w:hAnsiTheme="majorBidi" w:cstheme="majorBidi"/>
        </w:rPr>
        <w:t>Figure</w:t>
      </w:r>
      <w:r w:rsidRPr="006D631C">
        <w:rPr>
          <w:rFonts w:asciiTheme="majorBidi" w:hAnsiTheme="majorBidi" w:cstheme="majorBidi"/>
        </w:rPr>
        <w:t xml:space="preserve"> </w:t>
      </w:r>
      <w:r w:rsidR="00136331" w:rsidRPr="006D631C">
        <w:rPr>
          <w:rFonts w:asciiTheme="majorBidi" w:hAnsiTheme="majorBidi" w:cstheme="majorBidi"/>
        </w:rPr>
        <w:t>1-</w:t>
      </w:r>
      <w:r w:rsidRPr="006D631C">
        <w:rPr>
          <w:rFonts w:asciiTheme="majorBidi" w:hAnsiTheme="majorBidi" w:cstheme="majorBidi"/>
        </w:rPr>
        <w:t xml:space="preserve">2, will be discussed in section </w:t>
      </w:r>
      <w:r w:rsidR="005D2165" w:rsidRPr="006D631C">
        <w:rPr>
          <w:rFonts w:asciiTheme="majorBidi" w:hAnsiTheme="majorBidi" w:cstheme="majorBidi"/>
        </w:rPr>
        <w:t>1-2</w:t>
      </w:r>
      <w:r w:rsidRPr="006D631C">
        <w:rPr>
          <w:rFonts w:asciiTheme="majorBidi" w:hAnsiTheme="majorBidi" w:cstheme="majorBidi"/>
        </w:rPr>
        <w:t xml:space="preserve">.  </w:t>
      </w:r>
    </w:p>
    <w:p w14:paraId="30F3DEC6" w14:textId="74E894D9" w:rsidR="0070677E" w:rsidRPr="006D631C" w:rsidRDefault="005B2C29" w:rsidP="00861405">
      <w:pPr>
        <w:pStyle w:val="TOC1"/>
        <w:rPr>
          <w:noProof w:val="0"/>
        </w:rPr>
      </w:pPr>
      <w:r w:rsidRPr="006D631C">
        <w:drawing>
          <wp:inline distT="0" distB="0" distL="0" distR="0" wp14:anchorId="19A349A3" wp14:editId="24C1CF18">
            <wp:extent cx="4248000" cy="5181133"/>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48000" cy="5181133"/>
                    </a:xfrm>
                    <a:prstGeom prst="rect">
                      <a:avLst/>
                    </a:prstGeom>
                  </pic:spPr>
                </pic:pic>
              </a:graphicData>
            </a:graphic>
          </wp:inline>
        </w:drawing>
      </w:r>
    </w:p>
    <w:p w14:paraId="6DBAE852" w14:textId="7CB2964B" w:rsidR="005B2C29" w:rsidRPr="006D631C" w:rsidRDefault="005B2C29" w:rsidP="003C5B6A">
      <w:pPr>
        <w:keepNext/>
        <w:tabs>
          <w:tab w:val="left" w:pos="90"/>
          <w:tab w:val="left" w:pos="360"/>
          <w:tab w:val="left" w:pos="992"/>
        </w:tabs>
        <w:spacing w:after="200" w:line="360" w:lineRule="auto"/>
        <w:jc w:val="center"/>
        <w:rPr>
          <w:rFonts w:eastAsia="Calibri"/>
          <w:sz w:val="22"/>
          <w:szCs w:val="22"/>
        </w:rPr>
      </w:pPr>
      <w:bookmarkStart w:id="27" w:name="_Toc130722893"/>
      <w:bookmarkStart w:id="28" w:name="_Toc148175910"/>
      <w:r w:rsidRPr="006D631C">
        <w:rPr>
          <w:rFonts w:eastAsia="Calibri"/>
          <w:sz w:val="22"/>
          <w:szCs w:val="22"/>
        </w:rPr>
        <w:t xml:space="preserve">Figure </w:t>
      </w:r>
      <w:r w:rsidR="00B55F32" w:rsidRPr="006D631C">
        <w:rPr>
          <w:rFonts w:eastAsia="Calibri"/>
          <w:sz w:val="22"/>
          <w:szCs w:val="22"/>
        </w:rPr>
        <w:fldChar w:fldCharType="begin"/>
      </w:r>
      <w:r w:rsidR="00B55F32" w:rsidRPr="006D631C">
        <w:rPr>
          <w:rFonts w:eastAsia="Calibri"/>
          <w:sz w:val="22"/>
          <w:szCs w:val="22"/>
        </w:rPr>
        <w:instrText xml:space="preserve"> STYLEREF 1 \s </w:instrText>
      </w:r>
      <w:r w:rsidR="00B55F32" w:rsidRPr="006D631C">
        <w:rPr>
          <w:rFonts w:eastAsia="Calibri"/>
          <w:sz w:val="22"/>
          <w:szCs w:val="22"/>
        </w:rPr>
        <w:fldChar w:fldCharType="separate"/>
      </w:r>
      <w:r w:rsidR="00B55F32" w:rsidRPr="006D631C">
        <w:rPr>
          <w:rFonts w:eastAsia="Calibri"/>
          <w:sz w:val="22"/>
          <w:szCs w:val="22"/>
          <w:cs/>
        </w:rPr>
        <w:t>‎</w:t>
      </w:r>
      <w:r w:rsidR="00B55F32" w:rsidRPr="006D631C">
        <w:rPr>
          <w:rFonts w:eastAsia="Calibri"/>
          <w:sz w:val="22"/>
          <w:szCs w:val="22"/>
        </w:rPr>
        <w:t>1</w:t>
      </w:r>
      <w:r w:rsidR="00B55F32" w:rsidRPr="006D631C">
        <w:rPr>
          <w:rFonts w:eastAsia="Calibri"/>
          <w:sz w:val="22"/>
          <w:szCs w:val="22"/>
        </w:rPr>
        <w:fldChar w:fldCharType="end"/>
      </w:r>
      <w:r w:rsidR="00B55F32" w:rsidRPr="006D631C">
        <w:rPr>
          <w:rFonts w:eastAsia="Calibri"/>
          <w:sz w:val="22"/>
          <w:szCs w:val="22"/>
        </w:rPr>
        <w:noBreakHyphen/>
      </w:r>
      <w:r w:rsidR="00B55F32" w:rsidRPr="006D631C">
        <w:rPr>
          <w:rFonts w:eastAsia="Calibri"/>
          <w:sz w:val="22"/>
          <w:szCs w:val="22"/>
        </w:rPr>
        <w:fldChar w:fldCharType="begin"/>
      </w:r>
      <w:r w:rsidR="00B55F32" w:rsidRPr="006D631C">
        <w:rPr>
          <w:rFonts w:eastAsia="Calibri"/>
          <w:sz w:val="22"/>
          <w:szCs w:val="22"/>
        </w:rPr>
        <w:instrText xml:space="preserve"> SEQ Figure \* ARABIC \s 1 </w:instrText>
      </w:r>
      <w:r w:rsidR="00B55F32" w:rsidRPr="006D631C">
        <w:rPr>
          <w:rFonts w:eastAsia="Calibri"/>
          <w:sz w:val="22"/>
          <w:szCs w:val="22"/>
        </w:rPr>
        <w:fldChar w:fldCharType="separate"/>
      </w:r>
      <w:r w:rsidR="00B55F32" w:rsidRPr="006D631C">
        <w:rPr>
          <w:rFonts w:eastAsia="Calibri"/>
          <w:sz w:val="22"/>
          <w:szCs w:val="22"/>
        </w:rPr>
        <w:t>1</w:t>
      </w:r>
      <w:r w:rsidR="00B55F32" w:rsidRPr="006D631C">
        <w:rPr>
          <w:rFonts w:eastAsia="Calibri"/>
          <w:sz w:val="22"/>
          <w:szCs w:val="22"/>
        </w:rPr>
        <w:fldChar w:fldCharType="end"/>
      </w:r>
      <w:r w:rsidRPr="006D631C">
        <w:rPr>
          <w:rFonts w:eastAsia="Calibri"/>
          <w:sz w:val="22"/>
          <w:szCs w:val="22"/>
        </w:rPr>
        <w:t>. (a) The schematic representation of CPP and its corresponding favorable structure. (b) Schematic diagram of common LLC structures.</w:t>
      </w:r>
      <w:r w:rsidRPr="006D631C">
        <w:rPr>
          <w:rFonts w:eastAsia="Calibri"/>
          <w:sz w:val="22"/>
          <w:szCs w:val="22"/>
        </w:rPr>
        <w:fldChar w:fldCharType="begin" w:fldLock="1"/>
      </w:r>
      <w:r w:rsidR="00D074C8" w:rsidRPr="006D631C">
        <w:rPr>
          <w:rFonts w:eastAsia="Calibri"/>
          <w:sz w:val="22"/>
          <w:szCs w:val="22"/>
        </w:rPr>
        <w:instrText>ADDIN CSL_CITATION {"citationItems":[{"id":"ITEM-1","itemData":{"ISBN":"0471 490830","abstract":"The article discusses how alcohol and other drugs impact the child welfare system in the U.S. In a survey conducted by the Child Welfare League of America of its member agencies, it was revealed that the impact is more pronounced in the system in cases of shortages in the number of child welfare personnel and foster homes. In October 1990, the Child Welfare League of America set up the North American Commission on Chemical Dependency and Child Welfare to study the problem. However, the measure suffered from the lack of data on problems related to the impact of drugs and alcohol on the child welfare system.","author":[{"dropping-particle":"","family":"Hyde","given":"Stephen T","non-dropping-particle":"","parse-names":false,"suffix":""}],"container-title":"Handbook of Applied Surface and Colloid Chemistry","id":"ITEM-1","issued":{"date-parts":[["2001"]]},"page":"299-332","title":"Identification of Lyotropic Liquid Crystalline Mesophases","type":"chapter"},"uris":["http://www.mendeley.com/documents/?uuid=5045f285-eb10-482d-a0bd-0d9f8f2925b5"]},{"id":"ITEM-2","itemData":{"DOI":"10.1021/jp062159p","ISSN":"15206106","abstract":"The ternary phase diagram of the amphiphilic triblock copolymer PEO-PPO-PEO ((EO)20(PO)70(EO)20 commercialized under the generic name P123), water, and ethanol has been investigated at constant temperature (T = 23°C) by small-angle X-ray scattering (SAXS). The microstructure resulting from the self-assembly of the PEO-PPO-PEO block copolymer varies from micelles in solution to various types of liquid crystalline phases such as cubic, 3D hexagonal close packed spheres (HCPS), 2D hexagonal, and lamellar when the concentration of the polymer is increased. In the Isotropic liquid phase, the micellar structural parameters are obtained as a function of the water-ethanol ratio and block copolymer concentration by fitting the scattering data to a model involving core-shell form factor and a hard sphere structure factor of interaction. The micellar core, the aggregation number, and the hard sphere interaction radius decrease when increasing the ethanol/water ratio in the mixed solvent. We show that the fraction of ethanol present in the core is responsible for the swelling of the PPO blocks. In the different liquid crystalline phases, structural parameters such as lattice spacing, interfacial area of PEO block, and aggregation number are also evaluated. In addition to classical phases such as lamellar, 2D hexagonal, and liquid isotropic phases, we have observed a two-phase region in which cubic Fm3m and P63mmc (hexagonally close packing of spheres (HCPS)) phases coexist. This appears at 30% (w/w) of P123 in pure water and with 5% (w/w) of ethanol. At 10% (w/w) ethanol, only the HCPS phase remains present. © 2006 American Chemical Society.","author":[{"dropping-particle":"","family":"Soni","given":"S. S.","non-dropping-particle":"","parse-names":false,"suffix":""},{"dropping-particle":"","family":"Brotons","given":"G.","non-dropping-particle":"","parse-names":false,"suffix":""},{"dropping-particle":"","family":"Bellour","given":"M.","non-dropping-particle":"","parse-names":false,"suffix":""},{"dropping-particle":"","family":"Narayanan","given":"T.","non-dropping-particle":"","parse-names":false,"suffix":""},{"dropping-particle":"","family":"Gibaud","given":"A.","non-dropping-particle":"","parse-names":false,"suffix":""}],"container-title":"Journal of Physical Chemistry B","id":"ITEM-2","issue":"31","issued":{"date-parts":[["2006"]]},"page":"15157-15165","title":"Quantitative SAXS analysis of the P123/water/ethanol ternary phase diagram","type":"article-journal","volume":"110"},"uris":["http://www.mendeley.com/documents/?uuid=43ee2138-5ca4-4a5d-8f85-1921ed16d2cc"]},{"id":"ITEM-3","itemData":{"DOI":"10.1039/c7ra12008g","ISSN":"20462069","abstract":"Lyotropic liquid crystals (LLCs) formed by the self-assembly of amphiphilic molecules in a solvent (usually water) have attracted increasingly greater attention in the last few decades, especially the lamellar phase (Lα), the reversed bicontinuous cubic phase (Q2) and the reversed hexagonal phase (H2). Such phases offer promising prospects for encapsulation of a wide range of target molecules with various sizes and polarities owing to the unique internal structures. Also, different structures of mesophases can give rise to different diffusion coefficients. The bicontinuous cubic phase and the hexagonal phase have been demonstrated to control and sustain the release of active molecules. Furthermore, the structures are susceptible to many factors such as water content, temperature, pH, the presence of additives etc. Many researchers have been studying these influencing factors in order to accurately fabricate the desired phase. In this paper, we give a review of the characteristics of different structures of liquid crystalline phases, the influencing factors on the phase transition of liquid crystals and the relationship between structures of LLC and drug diffusion. We hope our review will provide some insights into how to manipulate in a controlled manner the rate of incorporating and transferring molecules by altering the structure of lyotropic mesophases.","author":[{"dropping-particle":"","family":"Huang","given":"Yiming","non-dropping-particle":"","parse-names":false,"suffix":""},{"dropping-particle":"","family":"Gui","given":"Shuangying","non-dropping-particle":"","parse-names":false,"suffix":""}],"container-title":"RSC Advances","id":"ITEM-3","issue":"13","issued":{"date-parts":[["2018"]]},"page":"6978-6987","title":"Factors affecting the structure of lyotropic liquid crystals and the correlation between structure and drug diffusion","type":"article-journal","volume":"8"},"uris":["http://www.mendeley.com/documents/?uuid=b7851437-718b-4625-8b35-1207b0977622"]},{"id":"ITEM-4","itemData":{"DOI":"10.2147/DDDT.S103505","ISSN":"1177-8881","abstract":"Liquid crystal (LC) dosage forms, particularly those using lipid-based lyotropic LCs (LLCs), have generated considerable interest as potential drug delivery systems. LCs have the physical properties of liquids but retain some of the structural characteristics of crystalline solids. They are compatible with hydrophobic and hydrophilic compounds of many different classes and can protect even biologicals and nucleic acids from degradation. This review, focused on research conducted over the past 5 years, discusses the structural evaluation of LCs and their effects in drug formulations. The structural classification of LLCs into lamellar, hexagonal and micellar cubic phases is described. The structures of these phases are influenced by the addition of surfactants, which include a variety of nontoxic, biodegradable lipids; these also enhance drug solubility. LLC structure influences drug localization, particle size and viscosity, which, in turn, determine drug delivery properties. Through several specific examples, we describe the applications of LLCs in oral and topical drug formulations, the latter including transdermal and ocular delivery. In oral LLC formulations, micelle compositions and the resulting LLC structures can determine drug solubilization and stability as well as intestinal transport and absorption. Similarly, in topical LLC formulations, composition can influence whether the drug is retained in the skin or delivered transdermally. Owing to their enhancement of drug stability and promotion of controlled drug delivery, LLCs are becoming increasingly popular in pharmaceutical formulations.","author":[{"dropping-particle":"","family":"Rajabalaya","given":"Rajan","non-dropping-particle":"","parse-names":false,"suffix":""},{"dropping-particle":"","family":"Musa","given":"Muhammad Nuh","non-dropping-particle":"","parse-names":false,"suffix":""},{"dropping-particle":"","family":"Kifli","given":"Nurolaini","non-dropping-particle":"","parse-names":false,"suffix":""},{"dropping-particle":"","family":"David","given":"Sheba R.","non-dropping-particle":"","parse-names":false,"suffix":""}],"container-title":"Drug Design, Development and Therapy","id":"ITEM-4","issued":{"date-parts":[["2017","2"]]},"page":"393-406","title":"Oral and transdermal drug delivery systems: role of lipid-based lyotropic liquid crystals","type":"article-journal","volume":"Volume11"},"uris":["http://www.mendeley.com/documents/?uuid=807f0d6b-ac7a-4d53-95fa-cb28556270d0"]}],"mendeley":{"formattedCitation":"&lt;sup&gt;9,17–19&lt;/sup&gt;","plainTextFormattedCitation":"9,17–19","previouslyFormattedCitation":"&lt;sup&gt;9,17–19&lt;/sup&gt;"},"properties":{"noteIndex":0},"schema":"https://github.com/citation-style-language/schema/raw/master/csl-citation.json"}</w:instrText>
      </w:r>
      <w:r w:rsidRPr="006D631C">
        <w:rPr>
          <w:rFonts w:eastAsia="Calibri"/>
          <w:sz w:val="22"/>
          <w:szCs w:val="22"/>
        </w:rPr>
        <w:fldChar w:fldCharType="separate"/>
      </w:r>
      <w:r w:rsidRPr="006D631C">
        <w:rPr>
          <w:rFonts w:eastAsia="Calibri"/>
          <w:noProof/>
          <w:sz w:val="22"/>
          <w:szCs w:val="22"/>
          <w:vertAlign w:val="superscript"/>
        </w:rPr>
        <w:t>9,17–19</w:t>
      </w:r>
      <w:r w:rsidRPr="006D631C">
        <w:rPr>
          <w:rFonts w:eastAsia="Calibri"/>
          <w:sz w:val="22"/>
          <w:szCs w:val="22"/>
        </w:rPr>
        <w:fldChar w:fldCharType="end"/>
      </w:r>
      <w:r w:rsidRPr="006D631C">
        <w:rPr>
          <w:rFonts w:eastAsia="Calibri"/>
          <w:sz w:val="22"/>
          <w:szCs w:val="22"/>
        </w:rPr>
        <w:t xml:space="preserve">  Addition/removal of solvents, such as decreasing water content can drive the phase transition.</w:t>
      </w:r>
      <w:bookmarkEnd w:id="27"/>
      <w:bookmarkEnd w:id="28"/>
    </w:p>
    <w:p w14:paraId="2120D503" w14:textId="5D286EE9" w:rsidR="005B2C29" w:rsidRPr="006D631C" w:rsidRDefault="005B2C29" w:rsidP="005B2C29"/>
    <w:p w14:paraId="7333BF0D" w14:textId="48E08B66" w:rsidR="005B2C29" w:rsidRPr="006D631C" w:rsidRDefault="00E92E6A" w:rsidP="00861405">
      <w:pPr>
        <w:pStyle w:val="TOC1"/>
        <w:rPr>
          <w:noProof w:val="0"/>
        </w:rPr>
      </w:pPr>
      <w:r w:rsidRPr="006D631C">
        <w:lastRenderedPageBreak/>
        <w:drawing>
          <wp:inline distT="0" distB="0" distL="0" distR="0" wp14:anchorId="01601131" wp14:editId="61EB94D1">
            <wp:extent cx="5904000" cy="5297667"/>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4000" cy="5297667"/>
                    </a:xfrm>
                    <a:prstGeom prst="rect">
                      <a:avLst/>
                    </a:prstGeom>
                    <a:noFill/>
                  </pic:spPr>
                </pic:pic>
              </a:graphicData>
            </a:graphic>
          </wp:inline>
        </w:drawing>
      </w:r>
    </w:p>
    <w:p w14:paraId="0204D97D" w14:textId="24C1A10F" w:rsidR="00D074C8" w:rsidRPr="006D631C" w:rsidRDefault="00E92031" w:rsidP="001C0344">
      <w:pPr>
        <w:pStyle w:val="Caption"/>
        <w:jc w:val="center"/>
        <w:rPr>
          <w:rFonts w:eastAsia="Calibri"/>
          <w:sz w:val="22"/>
          <w:szCs w:val="22"/>
        </w:rPr>
      </w:pPr>
      <w:bookmarkStart w:id="29" w:name="_Toc130722894"/>
      <w:bookmarkStart w:id="30" w:name="_Toc148175911"/>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2</w:t>
      </w:r>
      <w:r w:rsidR="00B55F32" w:rsidRPr="006D631C">
        <w:rPr>
          <w:sz w:val="22"/>
          <w:szCs w:val="22"/>
        </w:rPr>
        <w:fldChar w:fldCharType="end"/>
      </w:r>
      <w:r w:rsidRPr="006D631C">
        <w:rPr>
          <w:sz w:val="22"/>
          <w:szCs w:val="22"/>
        </w:rPr>
        <w:t>.</w:t>
      </w:r>
      <w:r w:rsidR="00D074C8" w:rsidRPr="006D631C">
        <w:rPr>
          <w:rFonts w:eastAsia="Calibri"/>
          <w:sz w:val="22"/>
          <w:szCs w:val="22"/>
        </w:rPr>
        <w:t xml:space="preserve"> (a) Typical CPLM Textures for LLC Mesophases – Representative micrographs for various LLC mesophases when samples are observed in a light microscope with a 90⁰ difference in the Polarizer (P) and Analyzer (A) directions. Birefringent ‘fan-like’ and ‘oily-streak’ textures are observed for the normal cylinder (H</w:t>
      </w:r>
      <w:r w:rsidR="00D074C8" w:rsidRPr="006D631C">
        <w:rPr>
          <w:rFonts w:eastAsia="Calibri"/>
          <w:sz w:val="22"/>
          <w:szCs w:val="22"/>
          <w:vertAlign w:val="subscript"/>
        </w:rPr>
        <w:t>1</w:t>
      </w:r>
      <w:r w:rsidR="00D074C8" w:rsidRPr="006D631C">
        <w:rPr>
          <w:rFonts w:eastAsia="Calibri"/>
          <w:sz w:val="22"/>
          <w:szCs w:val="22"/>
        </w:rPr>
        <w:t>) and lamellar sheet L</w:t>
      </w:r>
      <w:r w:rsidR="00D074C8" w:rsidRPr="006D631C">
        <w:rPr>
          <w:rFonts w:eastAsia="Calibri"/>
          <w:sz w:val="22"/>
          <w:szCs w:val="22"/>
          <w:vertAlign w:val="subscript"/>
        </w:rPr>
        <w:t>α</w:t>
      </w:r>
      <w:r w:rsidR="00D074C8" w:rsidRPr="006D631C">
        <w:rPr>
          <w:rFonts w:eastAsia="Calibri"/>
          <w:sz w:val="22"/>
          <w:szCs w:val="22"/>
        </w:rPr>
        <w:t xml:space="preserve">) mesophases. No birefringence is observed for any of the cubic phases i.e. </w:t>
      </w:r>
      <w:r w:rsidR="00D074C8" w:rsidRPr="006D631C">
        <w:rPr>
          <w:rFonts w:eastAsia="Calibri"/>
          <w:i/>
          <w:sz w:val="22"/>
          <w:szCs w:val="22"/>
        </w:rPr>
        <w:t>Im3m</w:t>
      </w:r>
      <w:r w:rsidR="00D074C8" w:rsidRPr="006D631C">
        <w:rPr>
          <w:rFonts w:eastAsia="Calibri"/>
          <w:sz w:val="22"/>
          <w:szCs w:val="22"/>
        </w:rPr>
        <w:t xml:space="preserve">, </w:t>
      </w:r>
      <w:r w:rsidR="00D074C8" w:rsidRPr="006D631C">
        <w:rPr>
          <w:rFonts w:eastAsia="Calibri"/>
          <w:i/>
          <w:sz w:val="22"/>
          <w:szCs w:val="22"/>
        </w:rPr>
        <w:t>Pn3m</w:t>
      </w:r>
      <w:r w:rsidR="00D074C8" w:rsidRPr="006D631C">
        <w:rPr>
          <w:rFonts w:eastAsia="Calibri"/>
          <w:sz w:val="22"/>
          <w:szCs w:val="22"/>
        </w:rPr>
        <w:t xml:space="preserve">, </w:t>
      </w:r>
      <w:r w:rsidR="00D074C8" w:rsidRPr="006D631C">
        <w:rPr>
          <w:rFonts w:eastAsia="Calibri"/>
          <w:i/>
          <w:sz w:val="22"/>
          <w:szCs w:val="22"/>
        </w:rPr>
        <w:t>Ia3d</w:t>
      </w:r>
      <w:r w:rsidR="00D074C8" w:rsidRPr="006D631C">
        <w:rPr>
          <w:rFonts w:eastAsia="Calibri"/>
          <w:sz w:val="22"/>
          <w:szCs w:val="22"/>
        </w:rPr>
        <w:t xml:space="preserve">, </w:t>
      </w:r>
      <w:r w:rsidR="00D074C8" w:rsidRPr="006D631C">
        <w:rPr>
          <w:rFonts w:eastAsia="Calibri"/>
          <w:i/>
          <w:sz w:val="22"/>
          <w:szCs w:val="22"/>
        </w:rPr>
        <w:t>BCC</w:t>
      </w:r>
      <w:r w:rsidR="00D074C8" w:rsidRPr="006D631C">
        <w:rPr>
          <w:rFonts w:eastAsia="Calibri"/>
          <w:sz w:val="22"/>
          <w:szCs w:val="22"/>
        </w:rPr>
        <w:t xml:space="preserve">, and </w:t>
      </w:r>
      <w:r w:rsidR="00D074C8" w:rsidRPr="006D631C">
        <w:rPr>
          <w:rFonts w:eastAsia="Calibri"/>
          <w:i/>
          <w:sz w:val="22"/>
          <w:szCs w:val="22"/>
        </w:rPr>
        <w:t>FCC</w:t>
      </w:r>
      <w:r w:rsidR="00D074C8" w:rsidRPr="006D631C">
        <w:rPr>
          <w:rFonts w:eastAsia="Calibri"/>
          <w:sz w:val="22"/>
          <w:szCs w:val="22"/>
        </w:rPr>
        <w:t>. (b) Typical 1D SAXS profiles and corresponding assigned diffraction planes observed for L</w:t>
      </w:r>
      <w:r w:rsidR="00D074C8" w:rsidRPr="006D631C">
        <w:rPr>
          <w:rFonts w:eastAsia="Calibri"/>
          <w:sz w:val="22"/>
          <w:szCs w:val="22"/>
          <w:vertAlign w:val="subscript"/>
        </w:rPr>
        <w:t>α</w:t>
      </w:r>
      <w:r w:rsidR="00D074C8" w:rsidRPr="006D631C">
        <w:rPr>
          <w:rFonts w:eastAsia="Calibri"/>
          <w:sz w:val="22"/>
          <w:szCs w:val="22"/>
        </w:rPr>
        <w:t>,</w:t>
      </w:r>
      <w:r w:rsidR="00D074C8" w:rsidRPr="006D631C">
        <w:rPr>
          <w:rFonts w:eastAsia="Calibri"/>
          <w:sz w:val="22"/>
          <w:szCs w:val="22"/>
          <w:vertAlign w:val="subscript"/>
        </w:rPr>
        <w:fldChar w:fldCharType="begin" w:fldLock="1"/>
      </w:r>
      <w:r w:rsidR="00B93E96" w:rsidRPr="006D631C">
        <w:rPr>
          <w:rFonts w:eastAsia="Calibri"/>
          <w:sz w:val="22"/>
          <w:szCs w:val="22"/>
          <w:vertAlign w:val="subscript"/>
        </w:rPr>
        <w:instrText>ADDIN CSL_CITATION {"citationItems":[{"id":"ITEM-1","itemData":{"DOI":"10.1021/cm060921u","ISSN":"08974756","abstract":"The syntheses of a family of highly ordered mesoporous polymers and carbon frameworks from organic-organic assembly of triblock copolymers with soluble, low-molecular-weight phenolic resin precursors (resols) by an evaporation induced self-assembly strategy have been reported in detail. The family members include two-dimensional hexagonal (space group, p6m), three-dimensional bicontinuous (Ia3d), body-centered cubic (Im3m), and lamellar mesostructures, which are controlled by simply adjusting the ratio of phenol/template or polyethylene oxide)/poly(propylene oxide) in the templates. A five-step mechanism from organic-organic assembly has been demonstrated. Cubic FDU-14 with a gyroidal mesostructure of polymer resin or carbon has been synthesized for the first time by using the copolymer Pluronic P1 23 as a template in a relatively narrow range. Upon calcination at 350°C, the templates should be removed to obtain mesoporous polymers, and further heating at above a critical temperature of 600°C transforms the mesoporous polymers to the homologous carbon frameworks. The mesoporous polymer resin and carbon product materials exhibit ordered structures, high surface areas, (670-1490 m 2/g), large pore volumes (0.65-0.85 cm 3/g), and uniform, large pore sizes (7.0-3.9 nm), as well as very thick pore walls (6-8 nm). The carbon open frameworks with covalently bonded constructions and thick pore walls exhibit high thermal stability (&gt; 1400°C). Our results show that the feed gas used during the calcination has a great influence on the porosity of the products. The presence of a small amount of oxygen facilitates the large pore sizes and high surface areas of mesoporous materials with different mesostructures. An extraction method employing sulfuric acid can also decompose the template from hexagonal mesostructured polymers with little framework shrinkage. Preliminary studies of the mechanical and electrochemical properties of mesoporous carbon molecular sieves are also presented. © 2006 American Chemical Society.","author":[{"dropping-particle":"","family":"Meng","given":"Yan","non-dropping-particle":"","parse-names":false,"suffix":""},{"dropping-particle":"","family":"Gu","given":"Dong","non-dropping-particle":"","parse-names":false,"suffix":""},{"dropping-particle":"","family":"Zhang","given":"Fuqiang","non-dropping-particle":"","parse-names":false,"suffix":""},{"dropping-particle":"","family":"Shi","given":"Yifeng","non-dropping-particle":"","parse-names":false,"suffix":""},{"dropping-particle":"","family":"Cheng","given":"Liang","non-dropping-particle":"","parse-names":false,"suffix":""},{"dropping-particle":"","family":"Feng","given":"Dan","non-dropping-particle":"","parse-names":false,"suffix":""},{"dropping-particle":"","family":"Wu","given":"Zhangxiong","non-dropping-particle":"","parse-names":false,"suffix":""},{"dropping-particle":"","family":"Chen","given":"Zhenxia","non-dropping-particle":"","parse-names":false,"suffix":""},{"dropping-particle":"","family":"Wan","given":"Ying","non-dropping-particle":"","parse-names":false,"suffix":""},{"dropping-particle":"","family":"Stein","given":"Andreas","non-dropping-particle":"","parse-names":false,"suffix":""},{"dropping-particle":"","family":"Zhao","given":"Dongyuan","non-dropping-particle":"","parse-names":false,"suffix":""}],"container-title":"Chemistry of Materials","id":"ITEM-1","issue":"18","issued":{"date-parts":[["2006"]]},"page":"4447-4464","title":"A family of highly ordered mesoporous polymer resin and carbon structures from organic-organic self-assembly","type":"article-journal","volume":"18"},"uris":["http://www.mendeley.com/documents/?uuid=f487042c-a697-473a-abb9-2394ba5dbd47"]}],"mendeley":{"formattedCitation":"&lt;sup&gt;20&lt;/sup&gt;","plainTextFormattedCitation":"20","previouslyFormattedCitation":"&lt;sup&gt;20&lt;/sup&gt;"},"properties":{"noteIndex":0},"schema":"https://github.com/citation-style-language/schema/raw/master/csl-citation.json"}</w:instrText>
      </w:r>
      <w:r w:rsidR="00D074C8" w:rsidRPr="006D631C">
        <w:rPr>
          <w:rFonts w:eastAsia="Calibri"/>
          <w:sz w:val="22"/>
          <w:szCs w:val="22"/>
          <w:vertAlign w:val="subscript"/>
        </w:rPr>
        <w:fldChar w:fldCharType="separate"/>
      </w:r>
      <w:r w:rsidR="00D074C8" w:rsidRPr="006D631C">
        <w:rPr>
          <w:rFonts w:eastAsia="Calibri"/>
          <w:noProof/>
          <w:sz w:val="22"/>
          <w:szCs w:val="22"/>
          <w:vertAlign w:val="superscript"/>
        </w:rPr>
        <w:t>20</w:t>
      </w:r>
      <w:r w:rsidR="00D074C8" w:rsidRPr="006D631C">
        <w:rPr>
          <w:rFonts w:eastAsia="Calibri"/>
          <w:sz w:val="22"/>
          <w:szCs w:val="22"/>
          <w:vertAlign w:val="subscript"/>
        </w:rPr>
        <w:fldChar w:fldCharType="end"/>
      </w:r>
      <w:r w:rsidR="00D074C8" w:rsidRPr="006D631C">
        <w:rPr>
          <w:rFonts w:eastAsia="Calibri"/>
          <w:sz w:val="22"/>
          <w:szCs w:val="22"/>
        </w:rPr>
        <w:t xml:space="preserve"> H</w:t>
      </w:r>
      <w:r w:rsidR="00D074C8" w:rsidRPr="006D631C">
        <w:rPr>
          <w:rFonts w:eastAsia="Calibri"/>
          <w:sz w:val="22"/>
          <w:szCs w:val="22"/>
          <w:vertAlign w:val="subscript"/>
        </w:rPr>
        <w:t>α</w:t>
      </w:r>
      <w:r w:rsidR="00D074C8" w:rsidRPr="006D631C">
        <w:rPr>
          <w:rFonts w:eastAsia="Calibri"/>
          <w:sz w:val="22"/>
          <w:szCs w:val="22"/>
        </w:rPr>
        <w:t>,</w:t>
      </w:r>
      <w:r w:rsidR="00D074C8" w:rsidRPr="006D631C">
        <w:rPr>
          <w:rFonts w:eastAsia="Calibri"/>
          <w:sz w:val="22"/>
          <w:szCs w:val="22"/>
          <w:vertAlign w:val="subscript"/>
        </w:rPr>
        <w:fldChar w:fldCharType="begin" w:fldLock="1"/>
      </w:r>
      <w:r w:rsidR="00B93E96" w:rsidRPr="006D631C">
        <w:rPr>
          <w:rFonts w:eastAsia="Calibri"/>
          <w:sz w:val="22"/>
          <w:szCs w:val="22"/>
          <w:vertAlign w:val="subscript"/>
        </w:rPr>
        <w:instrText>ADDIN CSL_CITATION {"citationItems":[{"id":"ITEM-1","itemData":{"DOI":"10.1021/cm060921u","ISSN":"08974756","abstract":"The syntheses of a family of highly ordered mesoporous polymers and carbon frameworks from organic-organic assembly of triblock copolymers with soluble, low-molecular-weight phenolic resin precursors (resols) by an evaporation induced self-assembly strategy have been reported in detail. The family members include two-dimensional hexagonal (space group, p6m), three-dimensional bicontinuous (Ia3d), body-centered cubic (Im3m), and lamellar mesostructures, which are controlled by simply adjusting the ratio of phenol/template or polyethylene oxide)/poly(propylene oxide) in the templates. A five-step mechanism from organic-organic assembly has been demonstrated. Cubic FDU-14 with a gyroidal mesostructure of polymer resin or carbon has been synthesized for the first time by using the copolymer Pluronic P1 23 as a template in a relatively narrow range. Upon calcination at 350°C, the templates should be removed to obtain mesoporous polymers, and further heating at above a critical temperature of 600°C transforms the mesoporous polymers to the homologous carbon frameworks. The mesoporous polymer resin and carbon product materials exhibit ordered structures, high surface areas, (670-1490 m 2/g), large pore volumes (0.65-0.85 cm 3/g), and uniform, large pore sizes (7.0-3.9 nm), as well as very thick pore walls (6-8 nm). The carbon open frameworks with covalently bonded constructions and thick pore walls exhibit high thermal stability (&gt; 1400°C). Our results show that the feed gas used during the calcination has a great influence on the porosity of the products. The presence of a small amount of oxygen facilitates the large pore sizes and high surface areas of mesoporous materials with different mesostructures. An extraction method employing sulfuric acid can also decompose the template from hexagonal mesostructured polymers with little framework shrinkage. Preliminary studies of the mechanical and electrochemical properties of mesoporous carbon molecular sieves are also presented. © 2006 American Chemical Society.","author":[{"dropping-particle":"","family":"Meng","given":"Yan","non-dropping-particle":"","parse-names":false,"suffix":""},{"dropping-particle":"","family":"Gu","given":"Dong","non-dropping-particle":"","parse-names":false,"suffix":""},{"dropping-particle":"","family":"Zhang","given":"Fuqiang","non-dropping-particle":"","parse-names":false,"suffix":""},{"dropping-particle":"","family":"Shi","given":"Yifeng","non-dropping-particle":"","parse-names":false,"suffix":""},{"dropping-particle":"","family":"Cheng","given":"Liang","non-dropping-particle":"","parse-names":false,"suffix":""},{"dropping-particle":"","family":"Feng","given":"Dan","non-dropping-particle":"","parse-names":false,"suffix":""},{"dropping-particle":"","family":"Wu","given":"Zhangxiong","non-dropping-particle":"","parse-names":false,"suffix":""},{"dropping-particle":"","family":"Chen","given":"Zhenxia","non-dropping-particle":"","parse-names":false,"suffix":""},{"dropping-particle":"","family":"Wan","given":"Ying","non-dropping-particle":"","parse-names":false,"suffix":""},{"dropping-particle":"","family":"Stein","given":"Andreas","non-dropping-particle":"","parse-names":false,"suffix":""},{"dropping-particle":"","family":"Zhao","given":"Dongyuan","non-dropping-particle":"","parse-names":false,"suffix":""}],"container-title":"Chemistry of Materials","id":"ITEM-1","issue":"18","issued":{"date-parts":[["2006"]]},"page":"4447-4464","title":"A family of highly ordered mesoporous polymer resin and carbon structures from organic-organic self-assembly","type":"article-journal","volume":"18"},"uris":["http://www.mendeley.com/documents/?uuid=f487042c-a697-473a-abb9-2394ba5dbd47"]}],"mendeley":{"formattedCitation":"&lt;sup&gt;20&lt;/sup&gt;","plainTextFormattedCitation":"20","previouslyFormattedCitation":"&lt;sup&gt;20&lt;/sup&gt;"},"properties":{"noteIndex":0},"schema":"https://github.com/citation-style-language/schema/raw/master/csl-citation.json"}</w:instrText>
      </w:r>
      <w:r w:rsidR="00D074C8" w:rsidRPr="006D631C">
        <w:rPr>
          <w:rFonts w:eastAsia="Calibri"/>
          <w:sz w:val="22"/>
          <w:szCs w:val="22"/>
          <w:vertAlign w:val="subscript"/>
        </w:rPr>
        <w:fldChar w:fldCharType="separate"/>
      </w:r>
      <w:r w:rsidR="00D074C8" w:rsidRPr="006D631C">
        <w:rPr>
          <w:rFonts w:eastAsia="Calibri"/>
          <w:noProof/>
          <w:sz w:val="22"/>
          <w:szCs w:val="22"/>
          <w:vertAlign w:val="superscript"/>
        </w:rPr>
        <w:t>20</w:t>
      </w:r>
      <w:r w:rsidR="00D074C8" w:rsidRPr="006D631C">
        <w:rPr>
          <w:rFonts w:eastAsia="Calibri"/>
          <w:sz w:val="22"/>
          <w:szCs w:val="22"/>
          <w:vertAlign w:val="subscript"/>
        </w:rPr>
        <w:fldChar w:fldCharType="end"/>
      </w:r>
      <w:r w:rsidR="00D074C8" w:rsidRPr="006D631C">
        <w:rPr>
          <w:rFonts w:eastAsia="Calibri"/>
          <w:sz w:val="22"/>
          <w:szCs w:val="22"/>
        </w:rPr>
        <w:t xml:space="preserve"> I</w:t>
      </w:r>
      <w:r w:rsidR="00D074C8" w:rsidRPr="006D631C">
        <w:rPr>
          <w:rFonts w:eastAsia="Calibri"/>
          <w:sz w:val="22"/>
          <w:szCs w:val="22"/>
          <w:vertAlign w:val="subscript"/>
        </w:rPr>
        <w:t>α</w:t>
      </w:r>
      <w:r w:rsidR="00D074C8" w:rsidRPr="006D631C">
        <w:rPr>
          <w:rFonts w:eastAsia="Calibri"/>
          <w:sz w:val="22"/>
          <w:szCs w:val="22"/>
        </w:rPr>
        <w:t xml:space="preserve"> (</w:t>
      </w:r>
      <w:r w:rsidR="00D074C8" w:rsidRPr="006D631C">
        <w:rPr>
          <w:rFonts w:eastAsia="Calibri"/>
          <w:i/>
          <w:sz w:val="22"/>
          <w:szCs w:val="22"/>
        </w:rPr>
        <w:t>FCC</w:t>
      </w:r>
      <w:r w:rsidR="00D074C8" w:rsidRPr="006D631C">
        <w:rPr>
          <w:rFonts w:eastAsia="Calibri"/>
          <w:i/>
          <w:iCs w:val="0"/>
          <w:sz w:val="22"/>
          <w:szCs w:val="22"/>
        </w:rPr>
        <w:fldChar w:fldCharType="begin" w:fldLock="1"/>
      </w:r>
      <w:r w:rsidR="00B93E96" w:rsidRPr="006D631C">
        <w:rPr>
          <w:rFonts w:eastAsia="Calibri"/>
          <w:i/>
          <w:sz w:val="22"/>
          <w:szCs w:val="22"/>
        </w:rPr>
        <w:instrText>ADDIN CSL_CITATION {"citationItems":[{"id":"ITEM-1","itemData":{"DOI":"10.1021/acscentsci.8b00903","ISSN":"2374-7943","author":[{"dropping-particle":"","family":"Jayaraman","given":"Ashish","non-dropping-particle":"","parse-names":false,"suffix":""},{"dropping-particle":"","family":"Zhang","given":"Diana Y.","non-dropping-particle":"","parse-names":false,"suffix":""},{"dropping-particle":"","family":"Dewing","given":"Beth L.","non-dropping-particle":"","parse-names":false,"suffix":""},{"dropping-particle":"","family":"Mahanthappa","given":"Mahesh K.","non-dropping-particle":"","parse-names":false,"suffix":""}],"container-title":"ACS Central Science","id":"ITEM-1","issue":"4","issued":{"date-parts":[["2019","4","24"]]},"page":"619-628","title":"Path-Dependent Preparation of Complex Micelle Packings of a Hydrated Diblock Oligomer","type":"article-journal","volume":"5"},"uris":["http://www.mendeley.com/documents/?uuid=4211ca9a-4807-4a6f-8325-f07e29be07b5"]}],"mendeley":{"formattedCitation":"&lt;sup&gt;21&lt;/sup&gt;","plainTextFormattedCitation":"21","previouslyFormattedCitation":"&lt;sup&gt;21&lt;/sup&gt;"},"properties":{"noteIndex":0},"schema":"https://github.com/citation-style-language/schema/raw/master/csl-citation.json"}</w:instrText>
      </w:r>
      <w:r w:rsidR="00D074C8" w:rsidRPr="006D631C">
        <w:rPr>
          <w:rFonts w:eastAsia="Calibri"/>
          <w:i/>
          <w:iCs w:val="0"/>
          <w:sz w:val="22"/>
          <w:szCs w:val="22"/>
        </w:rPr>
        <w:fldChar w:fldCharType="separate"/>
      </w:r>
      <w:r w:rsidR="00D074C8" w:rsidRPr="006D631C">
        <w:rPr>
          <w:rFonts w:eastAsia="Calibri"/>
          <w:noProof/>
          <w:sz w:val="22"/>
          <w:szCs w:val="22"/>
          <w:vertAlign w:val="superscript"/>
        </w:rPr>
        <w:t>21</w:t>
      </w:r>
      <w:r w:rsidR="00D074C8" w:rsidRPr="006D631C">
        <w:rPr>
          <w:rFonts w:eastAsia="Calibri"/>
          <w:i/>
          <w:iCs w:val="0"/>
          <w:sz w:val="22"/>
          <w:szCs w:val="22"/>
        </w:rPr>
        <w:fldChar w:fldCharType="end"/>
      </w:r>
      <w:r w:rsidR="00D074C8" w:rsidRPr="006D631C">
        <w:rPr>
          <w:rFonts w:eastAsia="Calibri"/>
          <w:sz w:val="22"/>
          <w:szCs w:val="22"/>
        </w:rPr>
        <w:t xml:space="preserve"> and </w:t>
      </w:r>
      <w:r w:rsidR="00D074C8" w:rsidRPr="006D631C">
        <w:rPr>
          <w:rFonts w:eastAsia="Calibri"/>
          <w:i/>
          <w:sz w:val="22"/>
          <w:szCs w:val="22"/>
        </w:rPr>
        <w:t>BCC</w:t>
      </w:r>
      <w:r w:rsidR="00D074C8" w:rsidRPr="006D631C">
        <w:rPr>
          <w:rFonts w:eastAsia="Calibri"/>
          <w:i/>
          <w:iCs w:val="0"/>
          <w:sz w:val="22"/>
          <w:szCs w:val="22"/>
        </w:rPr>
        <w:fldChar w:fldCharType="begin" w:fldLock="1"/>
      </w:r>
      <w:r w:rsidR="00B93E96" w:rsidRPr="006D631C">
        <w:rPr>
          <w:rFonts w:eastAsia="Calibri"/>
          <w:i/>
          <w:sz w:val="22"/>
          <w:szCs w:val="22"/>
        </w:rPr>
        <w:instrText>ADDIN CSL_CITATION {"citationItems":[{"id":"ITEM-1","itemData":{"DOI":"10.1021/acscentsci.8b00903","ISSN":"2374-7943","author":[{"dropping-particle":"","family":"Jayaraman","given":"Ashish","non-dropping-particle":"","parse-names":false,"suffix":""},{"dropping-particle":"","family":"Zhang","given":"Diana Y.","non-dropping-particle":"","parse-names":false,"suffix":""},{"dropping-particle":"","family":"Dewing","given":"Beth L.","non-dropping-particle":"","parse-names":false,"suffix":""},{"dropping-particle":"","family":"Mahanthappa","given":"Mahesh K.","non-dropping-particle":"","parse-names":false,"suffix":""}],"container-title":"ACS Central Science","id":"ITEM-1","issue":"4","issued":{"date-parts":[["2019","4","24"]]},"page":"619-628","title":"Path-Dependent Preparation of Complex Micelle Packings of a Hydrated Diblock Oligomer","type":"article-journal","volume":"5"},"uris":["http://www.mendeley.com/documents/?uuid=4211ca9a-4807-4a6f-8325-f07e29be07b5"]}],"mendeley":{"formattedCitation":"&lt;sup&gt;21&lt;/sup&gt;","plainTextFormattedCitation":"21","previouslyFormattedCitation":"&lt;sup&gt;21&lt;/sup&gt;"},"properties":{"noteIndex":0},"schema":"https://github.com/citation-style-language/schema/raw/master/csl-citation.json"}</w:instrText>
      </w:r>
      <w:r w:rsidR="00D074C8" w:rsidRPr="006D631C">
        <w:rPr>
          <w:rFonts w:eastAsia="Calibri"/>
          <w:i/>
          <w:iCs w:val="0"/>
          <w:sz w:val="22"/>
          <w:szCs w:val="22"/>
        </w:rPr>
        <w:fldChar w:fldCharType="separate"/>
      </w:r>
      <w:r w:rsidR="00D074C8" w:rsidRPr="006D631C">
        <w:rPr>
          <w:rFonts w:eastAsia="Calibri"/>
          <w:noProof/>
          <w:sz w:val="22"/>
          <w:szCs w:val="22"/>
          <w:vertAlign w:val="superscript"/>
        </w:rPr>
        <w:t>21</w:t>
      </w:r>
      <w:r w:rsidR="00D074C8" w:rsidRPr="006D631C">
        <w:rPr>
          <w:rFonts w:eastAsia="Calibri"/>
          <w:i/>
          <w:iCs w:val="0"/>
          <w:sz w:val="22"/>
          <w:szCs w:val="22"/>
        </w:rPr>
        <w:fldChar w:fldCharType="end"/>
      </w:r>
      <w:r w:rsidR="00D074C8" w:rsidRPr="006D631C">
        <w:rPr>
          <w:rFonts w:eastAsia="Calibri"/>
          <w:sz w:val="22"/>
          <w:szCs w:val="22"/>
        </w:rPr>
        <w:t>), Q</w:t>
      </w:r>
      <w:r w:rsidR="00D074C8" w:rsidRPr="006D631C">
        <w:rPr>
          <w:rFonts w:eastAsia="Calibri"/>
          <w:sz w:val="22"/>
          <w:szCs w:val="22"/>
          <w:vertAlign w:val="subscript"/>
        </w:rPr>
        <w:t>α</w:t>
      </w:r>
      <w:r w:rsidR="00D074C8" w:rsidRPr="006D631C">
        <w:rPr>
          <w:rFonts w:eastAsia="Calibri"/>
          <w:sz w:val="22"/>
          <w:szCs w:val="22"/>
        </w:rPr>
        <w:t xml:space="preserve"> (</w:t>
      </w:r>
      <w:r w:rsidR="00D074C8" w:rsidRPr="006D631C">
        <w:rPr>
          <w:rFonts w:eastAsia="Calibri"/>
          <w:i/>
          <w:sz w:val="22"/>
          <w:szCs w:val="22"/>
        </w:rPr>
        <w:t>Im3m,</w:t>
      </w:r>
      <w:r w:rsidR="00D074C8" w:rsidRPr="006D631C">
        <w:rPr>
          <w:rFonts w:eastAsia="Calibri"/>
          <w:sz w:val="22"/>
          <w:szCs w:val="22"/>
          <w:vertAlign w:val="subscript"/>
        </w:rPr>
        <w:fldChar w:fldCharType="begin" w:fldLock="1"/>
      </w:r>
      <w:r w:rsidR="00B93E96" w:rsidRPr="006D631C">
        <w:rPr>
          <w:rFonts w:eastAsia="Calibri"/>
          <w:sz w:val="22"/>
          <w:szCs w:val="22"/>
          <w:vertAlign w:val="subscript"/>
        </w:rPr>
        <w:instrText>ADDIN CSL_CITATION {"citationItems":[{"id":"ITEM-1","itemData":{"DOI":"10.1021/cm060921u","ISSN":"08974756","abstract":"The syntheses of a family of highly ordered mesoporous polymers and carbon frameworks from organic-organic assembly of triblock copolymers with soluble, low-molecular-weight phenolic resin precursors (resols) by an evaporation induced self-assembly strategy have been reported in detail. The family members include two-dimensional hexagonal (space group, p6m), three-dimensional bicontinuous (Ia3d), body-centered cubic (Im3m), and lamellar mesostructures, which are controlled by simply adjusting the ratio of phenol/template or polyethylene oxide)/poly(propylene oxide) in the templates. A five-step mechanism from organic-organic assembly has been demonstrated. Cubic FDU-14 with a gyroidal mesostructure of polymer resin or carbon has been synthesized for the first time by using the copolymer Pluronic P1 23 as a template in a relatively narrow range. Upon calcination at 350°C, the templates should be removed to obtain mesoporous polymers, and further heating at above a critical temperature of 600°C transforms the mesoporous polymers to the homologous carbon frameworks. The mesoporous polymer resin and carbon product materials exhibit ordered structures, high surface areas, (670-1490 m 2/g), large pore volumes (0.65-0.85 cm 3/g), and uniform, large pore sizes (7.0-3.9 nm), as well as very thick pore walls (6-8 nm). The carbon open frameworks with covalently bonded constructions and thick pore walls exhibit high thermal stability (&gt; 1400°C). Our results show that the feed gas used during the calcination has a great influence on the porosity of the products. The presence of a small amount of oxygen facilitates the large pore sizes and high surface areas of mesoporous materials with different mesostructures. An extraction method employing sulfuric acid can also decompose the template from hexagonal mesostructured polymers with little framework shrinkage. Preliminary studies of the mechanical and electrochemical properties of mesoporous carbon molecular sieves are also presented. © 2006 American Chemical Society.","author":[{"dropping-particle":"","family":"Meng","given":"Yan","non-dropping-particle":"","parse-names":false,"suffix":""},{"dropping-particle":"","family":"Gu","given":"Dong","non-dropping-particle":"","parse-names":false,"suffix":""},{"dropping-particle":"","family":"Zhang","given":"Fuqiang","non-dropping-particle":"","parse-names":false,"suffix":""},{"dropping-particle":"","family":"Shi","given":"Yifeng","non-dropping-particle":"","parse-names":false,"suffix":""},{"dropping-particle":"","family":"Cheng","given":"Liang","non-dropping-particle":"","parse-names":false,"suffix":""},{"dropping-particle":"","family":"Feng","given":"Dan","non-dropping-particle":"","parse-names":false,"suffix":""},{"dropping-particle":"","family":"Wu","given":"Zhangxiong","non-dropping-particle":"","parse-names":false,"suffix":""},{"dropping-particle":"","family":"Chen","given":"Zhenxia","non-dropping-particle":"","parse-names":false,"suffix":""},{"dropping-particle":"","family":"Wan","given":"Ying","non-dropping-particle":"","parse-names":false,"suffix":""},{"dropping-particle":"","family":"Stein","given":"Andreas","non-dropping-particle":"","parse-names":false,"suffix":""},{"dropping-particle":"","family":"Zhao","given":"Dongyuan","non-dropping-particle":"","parse-names":false,"suffix":""}],"container-title":"Chemistry of Materials","id":"ITEM-1","issue":"18","issued":{"date-parts":[["2006"]]},"page":"4447-4464","title":"A family of highly ordered mesoporous polymer resin and carbon structures from organic-organic self-assembly","type":"article-journal","volume":"18"},"uris":["http://www.mendeley.com/documents/?uuid=f487042c-a697-473a-abb9-2394ba5dbd47"]}],"mendeley":{"formattedCitation":"&lt;sup&gt;20&lt;/sup&gt;","plainTextFormattedCitation":"20","previouslyFormattedCitation":"&lt;sup&gt;20&lt;/sup&gt;"},"properties":{"noteIndex":0},"schema":"https://github.com/citation-style-language/schema/raw/master/csl-citation.json"}</w:instrText>
      </w:r>
      <w:r w:rsidR="00D074C8" w:rsidRPr="006D631C">
        <w:rPr>
          <w:rFonts w:eastAsia="Calibri"/>
          <w:sz w:val="22"/>
          <w:szCs w:val="22"/>
          <w:vertAlign w:val="subscript"/>
        </w:rPr>
        <w:fldChar w:fldCharType="separate"/>
      </w:r>
      <w:r w:rsidR="00D074C8" w:rsidRPr="006D631C">
        <w:rPr>
          <w:rFonts w:eastAsia="Calibri"/>
          <w:noProof/>
          <w:sz w:val="22"/>
          <w:szCs w:val="22"/>
          <w:vertAlign w:val="superscript"/>
        </w:rPr>
        <w:t>20</w:t>
      </w:r>
      <w:r w:rsidR="00D074C8" w:rsidRPr="006D631C">
        <w:rPr>
          <w:rFonts w:eastAsia="Calibri"/>
          <w:sz w:val="22"/>
          <w:szCs w:val="22"/>
          <w:vertAlign w:val="subscript"/>
        </w:rPr>
        <w:fldChar w:fldCharType="end"/>
      </w:r>
      <w:r w:rsidR="00D074C8" w:rsidRPr="006D631C">
        <w:rPr>
          <w:rFonts w:eastAsia="Calibri"/>
          <w:sz w:val="22"/>
          <w:szCs w:val="22"/>
        </w:rPr>
        <w:t xml:space="preserve">, </w:t>
      </w:r>
      <w:r w:rsidR="00D074C8" w:rsidRPr="006D631C">
        <w:rPr>
          <w:rFonts w:eastAsia="Calibri"/>
          <w:i/>
          <w:sz w:val="22"/>
          <w:szCs w:val="22"/>
        </w:rPr>
        <w:t>Pn3m,</w:t>
      </w:r>
      <w:r w:rsidR="00D074C8" w:rsidRPr="006D631C">
        <w:rPr>
          <w:rFonts w:eastAsia="Calibri"/>
          <w:i/>
          <w:iCs w:val="0"/>
          <w:sz w:val="22"/>
          <w:szCs w:val="22"/>
        </w:rPr>
        <w:fldChar w:fldCharType="begin" w:fldLock="1"/>
      </w:r>
      <w:r w:rsidR="00B93E96" w:rsidRPr="006D631C">
        <w:rPr>
          <w:rFonts w:eastAsia="Calibri"/>
          <w:i/>
          <w:sz w:val="22"/>
          <w:szCs w:val="22"/>
        </w:rPr>
        <w:instrText>ADDIN CSL_CITATION {"citationItems":[{"id":"ITEM-1","itemData":{"DOI":"10.1021/acsnano.7b07475","ISSN":"1936-0851","author":[{"dropping-particle":"","family":"Baez-Cotto","given":"Carlos M.","non-dropping-particle":"","parse-names":false,"suffix":""},{"dropping-particle":"","family":"Mahanthappa","given":"Mahesh K.","non-dropping-particle":"","parse-names":false,"suffix":""}],"container-title":"ACS Nano","id":"ITEM-1","issue":"4","issued":{"date-parts":[["2018","4","24"]]},"page":"3226-3234","title":"Micellar Mimicry of Intermetallic C14 and C15 Laves Phases by Aqueous Lyotropic Self-Assembly","type":"article-journal","volume":"12"},"uris":["http://www.mendeley.com/documents/?uuid=2bc3dd4a-24cb-4741-bc63-1f5cb1afe767"]}],"mendeley":{"formattedCitation":"&lt;sup&gt;22&lt;/sup&gt;","plainTextFormattedCitation":"22","previouslyFormattedCitation":"&lt;sup&gt;22&lt;/sup&gt;"},"properties":{"noteIndex":0},"schema":"https://github.com/citation-style-language/schema/raw/master/csl-citation.json"}</w:instrText>
      </w:r>
      <w:r w:rsidR="00D074C8" w:rsidRPr="006D631C">
        <w:rPr>
          <w:rFonts w:eastAsia="Calibri"/>
          <w:i/>
          <w:iCs w:val="0"/>
          <w:sz w:val="22"/>
          <w:szCs w:val="22"/>
        </w:rPr>
        <w:fldChar w:fldCharType="separate"/>
      </w:r>
      <w:r w:rsidR="00D074C8" w:rsidRPr="006D631C">
        <w:rPr>
          <w:rFonts w:eastAsia="Calibri"/>
          <w:noProof/>
          <w:sz w:val="22"/>
          <w:szCs w:val="22"/>
          <w:vertAlign w:val="superscript"/>
        </w:rPr>
        <w:t>22</w:t>
      </w:r>
      <w:r w:rsidR="00D074C8" w:rsidRPr="006D631C">
        <w:rPr>
          <w:rFonts w:eastAsia="Calibri"/>
          <w:i/>
          <w:iCs w:val="0"/>
          <w:sz w:val="22"/>
          <w:szCs w:val="22"/>
        </w:rPr>
        <w:fldChar w:fldCharType="end"/>
      </w:r>
      <w:r w:rsidR="00D074C8" w:rsidRPr="006D631C">
        <w:rPr>
          <w:rFonts w:eastAsia="Calibri"/>
          <w:sz w:val="22"/>
          <w:szCs w:val="22"/>
        </w:rPr>
        <w:t xml:space="preserve"> and </w:t>
      </w:r>
      <w:r w:rsidR="00D074C8" w:rsidRPr="006D631C">
        <w:rPr>
          <w:rFonts w:eastAsia="Calibri"/>
          <w:i/>
          <w:sz w:val="22"/>
          <w:szCs w:val="22"/>
        </w:rPr>
        <w:t>Ia3d</w:t>
      </w:r>
      <w:r w:rsidR="00D074C8" w:rsidRPr="006D631C">
        <w:rPr>
          <w:rFonts w:eastAsia="Calibri"/>
          <w:i/>
          <w:iCs w:val="0"/>
          <w:sz w:val="22"/>
          <w:szCs w:val="22"/>
        </w:rPr>
        <w:fldChar w:fldCharType="begin" w:fldLock="1"/>
      </w:r>
      <w:r w:rsidR="00B93E96" w:rsidRPr="006D631C">
        <w:rPr>
          <w:rFonts w:eastAsia="Calibri"/>
          <w:i/>
          <w:sz w:val="22"/>
          <w:szCs w:val="22"/>
        </w:rPr>
        <w:instrText>ADDIN CSL_CITATION {"citationItems":[{"id":"ITEM-1","itemData":{"DOI":"10.1021/acs.chemmater.7b04183","ISSN":"15205002","abstract":"Nanoporous polymers with periodic, ordered structures have attracted significant interest for their potential applications as drug delivery vehicles, biomaterials, separations membranes, and materials for energy storage. Inducing polymer nanostructure through lyotropic liquid crystal-templated (LLC-templated) cross-linking photopolymerizations offers a promising means for morphological control at smaller length scales, which are difficult to access by other established strategies. We report the synthesis of a gemini dicarboxylate surfactant that self-assembles in water to form various aqueous LLC mesophases over a broad range of amphiphile concentrations, with an especially strong propensity to form the coveted bicontinuous double gyroid (GI) network mesophase. Aqueous GI LLCs surprisingly persist upon incorporation of as much as 10-37 wt % hexane-1,6-diol dimethacrylate (HDDMA) into the hydrophobic domains of these supramolecular surfactant assemblies, and cross-linking photopolymerization of the HDDMA unexpectedly proceeds with retention of this intricate LLC nanostructure. The nanoporous nature of the resulting templated polymers remains after surfactant removal by solvent extraction, as manifested by increased swelling ratios in water and 2-propanol as compared to isotropic materials of similar compositions. The exquisite level of control over polymer network porosity provided by templating within GI phases furnishes a promising new route toward nanostructured hydrophobic polymers.","author":[{"dropping-particle":"","family":"Jennings","given":"James","non-dropping-particle":"","parse-names":false,"suffix":""},{"dropping-particle":"","family":"Green","given":"Brian","non-dropping-particle":"","parse-names":false,"suffix":""},{"dropping-particle":"","family":"Mann","given":"Tyler J.","non-dropping-particle":"","parse-names":false,"suffix":""},{"dropping-particle":"","family":"Guymon","given":"C. Allan","non-dropping-particle":"","parse-names":false,"suffix":""},{"dropping-particle":"","family":"Mahanthappa","given":"Mahesh K.","non-dropping-particle":"","parse-names":false,"suffix":""}],"container-title":"Chemistry of Materials","id":"ITEM-1","issue":"1","issued":{"date-parts":[["2018"]]},"page":"185-196","title":"Nanoporous Polymer Networks Templated by Gemini Surfactant Lyotropic Liquid Crystals","type":"article-journal","volume":"30"},"uris":["http://www.mendeley.com/documents/?uuid=f9051fa6-7de9-4802-9014-f295ab0bf347"]}],"mendeley":{"formattedCitation":"&lt;sup&gt;23&lt;/sup&gt;","plainTextFormattedCitation":"23","previouslyFormattedCitation":"&lt;sup&gt;23&lt;/sup&gt;"},"properties":{"noteIndex":0},"schema":"https://github.com/citation-style-language/schema/raw/master/csl-citation.json"}</w:instrText>
      </w:r>
      <w:r w:rsidR="00D074C8" w:rsidRPr="006D631C">
        <w:rPr>
          <w:rFonts w:eastAsia="Calibri"/>
          <w:i/>
          <w:iCs w:val="0"/>
          <w:sz w:val="22"/>
          <w:szCs w:val="22"/>
        </w:rPr>
        <w:fldChar w:fldCharType="separate"/>
      </w:r>
      <w:r w:rsidR="00D074C8" w:rsidRPr="006D631C">
        <w:rPr>
          <w:rFonts w:eastAsia="Calibri"/>
          <w:noProof/>
          <w:sz w:val="22"/>
          <w:szCs w:val="22"/>
          <w:vertAlign w:val="superscript"/>
        </w:rPr>
        <w:t>23</w:t>
      </w:r>
      <w:r w:rsidR="00D074C8" w:rsidRPr="006D631C">
        <w:rPr>
          <w:rFonts w:eastAsia="Calibri"/>
          <w:i/>
          <w:iCs w:val="0"/>
          <w:sz w:val="22"/>
          <w:szCs w:val="22"/>
        </w:rPr>
        <w:fldChar w:fldCharType="end"/>
      </w:r>
      <w:r w:rsidR="00D074C8" w:rsidRPr="006D631C">
        <w:rPr>
          <w:rFonts w:eastAsia="Calibri"/>
          <w:sz w:val="22"/>
          <w:szCs w:val="22"/>
        </w:rPr>
        <w:t>) and Frank-Kasper phases (A15,</w:t>
      </w:r>
      <w:r w:rsidR="00D074C8" w:rsidRPr="006D631C">
        <w:rPr>
          <w:rFonts w:eastAsia="Calibri"/>
          <w:sz w:val="22"/>
          <w:szCs w:val="22"/>
        </w:rPr>
        <w:fldChar w:fldCharType="begin" w:fldLock="1"/>
      </w:r>
      <w:r w:rsidR="00B93E96" w:rsidRPr="006D631C">
        <w:rPr>
          <w:rFonts w:eastAsia="Calibri"/>
          <w:sz w:val="22"/>
          <w:szCs w:val="22"/>
        </w:rPr>
        <w:instrText>ADDIN CSL_CITATION {"citationItems":[{"id":"ITEM-1","itemData":{"DOI":"10.1021/acs.langmuir.7b03833","ISSN":"0743-7463","author":[{"dropping-particle":"","family":"Jayaraman","given":"Ashish","non-dropping-particle":"","parse-names":false,"suffix":""},{"dropping-particle":"","family":"Mahanthappa","given":"Mahesh K.","non-dropping-particle":"","parse-names":false,"suffix":""}],"container-title":"Langmuir","id":"ITEM-1","issue":"6","issued":{"date-parts":[["2018","2","13"]]},"page":"2290-2301","title":"Counterion-Dependent Access to Low-Symmetry Lyotropic Sphere Packings of Ionic Surfactant Micelles","type":"article-journal","volume":"34"},"uris":["http://www.mendeley.com/documents/?uuid=ec33ca08-81ad-438f-a7b4-d768846c1bef"]}],"mendeley":{"formattedCitation":"&lt;sup&gt;24&lt;/sup&gt;","plainTextFormattedCitation":"24","previouslyFormattedCitation":"&lt;sup&gt;24&lt;/sup&gt;"},"properties":{"noteIndex":0},"schema":"https://github.com/citation-style-language/schema/raw/master/csl-citation.json"}</w:instrText>
      </w:r>
      <w:r w:rsidR="00D074C8" w:rsidRPr="006D631C">
        <w:rPr>
          <w:rFonts w:eastAsia="Calibri"/>
          <w:sz w:val="22"/>
          <w:szCs w:val="22"/>
        </w:rPr>
        <w:fldChar w:fldCharType="separate"/>
      </w:r>
      <w:r w:rsidR="00D074C8" w:rsidRPr="006D631C">
        <w:rPr>
          <w:rFonts w:eastAsia="Calibri"/>
          <w:noProof/>
          <w:sz w:val="22"/>
          <w:szCs w:val="22"/>
          <w:vertAlign w:val="superscript"/>
        </w:rPr>
        <w:t>24</w:t>
      </w:r>
      <w:r w:rsidR="00D074C8" w:rsidRPr="006D631C">
        <w:rPr>
          <w:rFonts w:eastAsia="Calibri"/>
          <w:sz w:val="22"/>
          <w:szCs w:val="22"/>
        </w:rPr>
        <w:fldChar w:fldCharType="end"/>
      </w:r>
      <w:r w:rsidR="00D074C8" w:rsidRPr="006D631C">
        <w:rPr>
          <w:rFonts w:eastAsia="Calibri"/>
          <w:sz w:val="22"/>
          <w:szCs w:val="22"/>
        </w:rPr>
        <w:t xml:space="preserve"> σ,</w:t>
      </w:r>
      <w:r w:rsidR="00D074C8" w:rsidRPr="006D631C">
        <w:rPr>
          <w:rFonts w:eastAsia="Calibri"/>
          <w:sz w:val="22"/>
          <w:szCs w:val="22"/>
        </w:rPr>
        <w:fldChar w:fldCharType="begin" w:fldLock="1"/>
      </w:r>
      <w:r w:rsidR="00B93E96" w:rsidRPr="006D631C">
        <w:rPr>
          <w:rFonts w:eastAsia="Calibri"/>
          <w:sz w:val="22"/>
          <w:szCs w:val="22"/>
        </w:rPr>
        <w:instrText>ADDIN CSL_CITATION {"citationItems":[{"id":"ITEM-1","itemData":{"DOI":"10.1021/acs.langmuir.7b03833","ISSN":"0743-7463","author":[{"dropping-particle":"","family":"Jayaraman","given":"Ashish","non-dropping-particle":"","parse-names":false,"suffix":""},{"dropping-particle":"","family":"Mahanthappa","given":"Mahesh K.","non-dropping-particle":"","parse-names":false,"suffix":""}],"container-title":"Langmuir","id":"ITEM-1","issue":"6","issued":{"date-parts":[["2018","2","13"]]},"page":"2290-2301","title":"Counterion-Dependent Access to Low-Symmetry Lyotropic Sphere Packings of Ionic Surfactant Micelles","type":"article-journal","volume":"34"},"uris":["http://www.mendeley.com/documents/?uuid=ec33ca08-81ad-438f-a7b4-d768846c1bef"]}],"mendeley":{"formattedCitation":"&lt;sup&gt;24&lt;/sup&gt;","plainTextFormattedCitation":"24","previouslyFormattedCitation":"&lt;sup&gt;24&lt;/sup&gt;"},"properties":{"noteIndex":0},"schema":"https://github.com/citation-style-language/schema/raw/master/csl-citation.json"}</w:instrText>
      </w:r>
      <w:r w:rsidR="00D074C8" w:rsidRPr="006D631C">
        <w:rPr>
          <w:rFonts w:eastAsia="Calibri"/>
          <w:sz w:val="22"/>
          <w:szCs w:val="22"/>
        </w:rPr>
        <w:fldChar w:fldCharType="separate"/>
      </w:r>
      <w:r w:rsidR="00D074C8" w:rsidRPr="006D631C">
        <w:rPr>
          <w:rFonts w:eastAsia="Calibri"/>
          <w:noProof/>
          <w:sz w:val="22"/>
          <w:szCs w:val="22"/>
          <w:vertAlign w:val="superscript"/>
        </w:rPr>
        <w:t>24</w:t>
      </w:r>
      <w:r w:rsidR="00D074C8" w:rsidRPr="006D631C">
        <w:rPr>
          <w:rFonts w:eastAsia="Calibri"/>
          <w:sz w:val="22"/>
          <w:szCs w:val="22"/>
        </w:rPr>
        <w:fldChar w:fldCharType="end"/>
      </w:r>
      <w:r w:rsidR="00D074C8" w:rsidRPr="006D631C">
        <w:rPr>
          <w:rFonts w:eastAsia="Calibri"/>
          <w:sz w:val="22"/>
          <w:szCs w:val="22"/>
        </w:rPr>
        <w:t xml:space="preserve"> C14 Laves,</w:t>
      </w:r>
      <w:r w:rsidR="00D074C8" w:rsidRPr="006D631C">
        <w:rPr>
          <w:rFonts w:eastAsia="Calibri"/>
          <w:sz w:val="22"/>
          <w:szCs w:val="22"/>
        </w:rPr>
        <w:fldChar w:fldCharType="begin" w:fldLock="1"/>
      </w:r>
      <w:r w:rsidR="00B93E96" w:rsidRPr="006D631C">
        <w:rPr>
          <w:rFonts w:eastAsia="Calibri"/>
          <w:sz w:val="22"/>
          <w:szCs w:val="22"/>
        </w:rPr>
        <w:instrText>ADDIN CSL_CITATION {"citationItems":[{"id":"ITEM-1","itemData":{"DOI":"10.1021/acsnano.7b07475","ISSN":"1936-0851","author":[{"dropping-particle":"","family":"Baez-Cotto","given":"Carlos M.","non-dropping-particle":"","parse-names":false,"suffix":""},{"dropping-particle":"","family":"Mahanthappa","given":"Mahesh K.","non-dropping-particle":"","parse-names":false,"suffix":""}],"container-title":"ACS Nano","id":"ITEM-1","issue":"4","issued":{"date-parts":[["2018","4","24"]]},"page":"3226-3234","title":"Micellar Mimicry of Intermetallic C14 and C15 Laves Phases by Aqueous Lyotropic Self-Assembly","type":"article-journal","volume":"12"},"uris":["http://www.mendeley.com/documents/?uuid=2bc3dd4a-24cb-4741-bc63-1f5cb1afe767"]}],"mendeley":{"formattedCitation":"&lt;sup&gt;22&lt;/sup&gt;","plainTextFormattedCitation":"22","previouslyFormattedCitation":"&lt;sup&gt;22&lt;/sup&gt;"},"properties":{"noteIndex":0},"schema":"https://github.com/citation-style-language/schema/raw/master/csl-citation.json"}</w:instrText>
      </w:r>
      <w:r w:rsidR="00D074C8" w:rsidRPr="006D631C">
        <w:rPr>
          <w:rFonts w:eastAsia="Calibri"/>
          <w:sz w:val="22"/>
          <w:szCs w:val="22"/>
        </w:rPr>
        <w:fldChar w:fldCharType="separate"/>
      </w:r>
      <w:r w:rsidR="00D074C8" w:rsidRPr="006D631C">
        <w:rPr>
          <w:rFonts w:eastAsia="Calibri"/>
          <w:noProof/>
          <w:sz w:val="22"/>
          <w:szCs w:val="22"/>
          <w:vertAlign w:val="superscript"/>
        </w:rPr>
        <w:t>22</w:t>
      </w:r>
      <w:r w:rsidR="00D074C8" w:rsidRPr="006D631C">
        <w:rPr>
          <w:rFonts w:eastAsia="Calibri"/>
          <w:sz w:val="22"/>
          <w:szCs w:val="22"/>
        </w:rPr>
        <w:fldChar w:fldCharType="end"/>
      </w:r>
      <w:r w:rsidR="00D074C8" w:rsidRPr="006D631C">
        <w:rPr>
          <w:rFonts w:eastAsia="Calibri"/>
          <w:sz w:val="22"/>
          <w:szCs w:val="22"/>
        </w:rPr>
        <w:t xml:space="preserve"> and C15 Laves</w:t>
      </w:r>
      <w:r w:rsidR="00D074C8" w:rsidRPr="006D631C">
        <w:rPr>
          <w:rFonts w:eastAsia="Calibri"/>
          <w:sz w:val="22"/>
          <w:szCs w:val="22"/>
        </w:rPr>
        <w:fldChar w:fldCharType="begin" w:fldLock="1"/>
      </w:r>
      <w:r w:rsidR="00B93E96" w:rsidRPr="006D631C">
        <w:rPr>
          <w:rFonts w:eastAsia="Calibri"/>
          <w:sz w:val="22"/>
          <w:szCs w:val="22"/>
        </w:rPr>
        <w:instrText>ADDIN CSL_CITATION {"citationItems":[{"id":"ITEM-1","itemData":{"DOI":"10.1021/acsnano.7b07475","ISSN":"1936-0851","author":[{"dropping-particle":"","family":"Baez-Cotto","given":"Carlos M.","non-dropping-particle":"","parse-names":false,"suffix":""},{"dropping-particle":"","family":"Mahanthappa","given":"Mahesh K.","non-dropping-particle":"","parse-names":false,"suffix":""}],"container-title":"ACS Nano","id":"ITEM-1","issue":"4","issued":{"date-parts":[["2018","4","24"]]},"page":"3226-3234","title":"Micellar Mimicry of Intermetallic C14 and C15 Laves Phases by Aqueous Lyotropic Self-Assembly","type":"article-journal","volume":"12"},"uris":["http://www.mendeley.com/documents/?uuid=2bc3dd4a-24cb-4741-bc63-1f5cb1afe767"]}],"mendeley":{"formattedCitation":"&lt;sup&gt;22&lt;/sup&gt;","plainTextFormattedCitation":"22","previouslyFormattedCitation":"&lt;sup&gt;22&lt;/sup&gt;"},"properties":{"noteIndex":0},"schema":"https://github.com/citation-style-language/schema/raw/master/csl-citation.json"}</w:instrText>
      </w:r>
      <w:r w:rsidR="00D074C8" w:rsidRPr="006D631C">
        <w:rPr>
          <w:rFonts w:eastAsia="Calibri"/>
          <w:sz w:val="22"/>
          <w:szCs w:val="22"/>
        </w:rPr>
        <w:fldChar w:fldCharType="separate"/>
      </w:r>
      <w:r w:rsidR="00D074C8" w:rsidRPr="006D631C">
        <w:rPr>
          <w:rFonts w:eastAsia="Calibri"/>
          <w:noProof/>
          <w:sz w:val="22"/>
          <w:szCs w:val="22"/>
          <w:vertAlign w:val="superscript"/>
        </w:rPr>
        <w:t>22</w:t>
      </w:r>
      <w:r w:rsidR="00D074C8" w:rsidRPr="006D631C">
        <w:rPr>
          <w:rFonts w:eastAsia="Calibri"/>
          <w:sz w:val="22"/>
          <w:szCs w:val="22"/>
        </w:rPr>
        <w:fldChar w:fldCharType="end"/>
      </w:r>
      <w:r w:rsidR="00D074C8" w:rsidRPr="006D631C">
        <w:rPr>
          <w:rFonts w:eastAsia="Calibri"/>
          <w:sz w:val="22"/>
          <w:szCs w:val="22"/>
        </w:rPr>
        <w:t>). (c) Representative example of results acquired from XRD for an L</w:t>
      </w:r>
      <w:r w:rsidR="00D074C8" w:rsidRPr="006D631C">
        <w:rPr>
          <w:rFonts w:eastAsia="Calibri"/>
          <w:sz w:val="22"/>
          <w:szCs w:val="22"/>
          <w:vertAlign w:val="subscript"/>
        </w:rPr>
        <w:t>α</w:t>
      </w:r>
      <w:r w:rsidR="00D074C8" w:rsidRPr="006D631C">
        <w:rPr>
          <w:rFonts w:eastAsia="Calibri"/>
          <w:sz w:val="22"/>
          <w:szCs w:val="22"/>
        </w:rPr>
        <w:t xml:space="preserve"> LLCs.</w:t>
      </w:r>
      <w:r w:rsidR="00D074C8" w:rsidRPr="006D631C">
        <w:rPr>
          <w:rFonts w:eastAsia="Calibri"/>
          <w:sz w:val="22"/>
          <w:szCs w:val="22"/>
        </w:rPr>
        <w:fldChar w:fldCharType="begin" w:fldLock="1"/>
      </w:r>
      <w:r w:rsidR="00B93E96" w:rsidRPr="006D631C">
        <w:rPr>
          <w:rFonts w:eastAsia="Calibri"/>
          <w:sz w:val="22"/>
          <w:szCs w:val="22"/>
        </w:rPr>
        <w:instrText>ADDIN CSL_CITATION {"citationItems":[{"id":"ITEM-1","itemData":{"DOI":"10.1246/cl.1999.1171","ISSN":"03667022","abstract":"Phenol-formaldehyde polymers and surfactant assembly was structuralized into lamella and disordered mesophases depending on the surfactant/phenol molar ratio at the synthesis.","author":[{"dropping-particle":"","family":"Moriguchi","given":"Isamu","non-dropping-particle":"","parse-names":false,"suffix":""},{"dropping-particle":"","family":"Ozono","given":"Akemi","non-dropping-particle":"","parse-names":false,"suffix":""},{"dropping-particle":"","family":"Mikuriya","given":"Kumiko","non-dropping-particle":"","parse-names":false,"suffix":""},{"dropping-particle":"","family":"Teraoka","given":"Yasutake","non-dropping-particle":"","parse-names":false,"suffix":""},{"dropping-particle":"","family":"Kagawa","given":"Shuichi","non-dropping-particle":"","parse-names":false,"suffix":""},{"dropping-particle":"","family":"Kodama","given":"Masaya","non-dropping-particle":"","parse-names":false,"suffix":""}],"container-title":"Chemistry Letters","id":"ITEM-1","issue":"11","issued":{"date-parts":[["1999"]]},"page":"1171-1172","title":"Micelle-templated mesophases of phenol-formaldehyde polymer","type":"article-journal"},"uris":["http://www.mendeley.com/documents/?uuid=664d6221-06c2-4391-a232-db38c45bdab5"]}],"mendeley":{"formattedCitation":"&lt;sup&gt;25&lt;/sup&gt;","plainTextFormattedCitation":"25","previouslyFormattedCitation":"&lt;sup&gt;25&lt;/sup&gt;"},"properties":{"noteIndex":0},"schema":"https://github.com/citation-style-language/schema/raw/master/csl-citation.json"}</w:instrText>
      </w:r>
      <w:r w:rsidR="00D074C8" w:rsidRPr="006D631C">
        <w:rPr>
          <w:rFonts w:eastAsia="Calibri"/>
          <w:sz w:val="22"/>
          <w:szCs w:val="22"/>
        </w:rPr>
        <w:fldChar w:fldCharType="separate"/>
      </w:r>
      <w:r w:rsidR="00D074C8" w:rsidRPr="006D631C">
        <w:rPr>
          <w:rFonts w:eastAsia="Calibri"/>
          <w:noProof/>
          <w:sz w:val="22"/>
          <w:szCs w:val="22"/>
          <w:vertAlign w:val="superscript"/>
        </w:rPr>
        <w:t>25</w:t>
      </w:r>
      <w:bookmarkEnd w:id="29"/>
      <w:bookmarkEnd w:id="30"/>
      <w:r w:rsidR="00D074C8" w:rsidRPr="006D631C">
        <w:rPr>
          <w:rFonts w:eastAsia="Calibri"/>
          <w:sz w:val="22"/>
          <w:szCs w:val="22"/>
        </w:rPr>
        <w:fldChar w:fldCharType="end"/>
      </w:r>
    </w:p>
    <w:p w14:paraId="2321B172" w14:textId="7FA3D85B" w:rsidR="00557E5A" w:rsidRPr="006D631C" w:rsidRDefault="00557E5A" w:rsidP="00713E69">
      <w:pPr>
        <w:tabs>
          <w:tab w:val="left" w:pos="142"/>
          <w:tab w:val="left" w:pos="360"/>
          <w:tab w:val="left" w:pos="992"/>
        </w:tabs>
        <w:ind w:firstLine="357"/>
        <w:rPr>
          <w:rFonts w:asciiTheme="majorBidi" w:hAnsiTheme="majorBidi" w:cstheme="majorBidi"/>
        </w:rPr>
      </w:pPr>
      <w:r w:rsidRPr="006D631C">
        <w:rPr>
          <w:rFonts w:asciiTheme="majorBidi" w:hAnsiTheme="majorBidi" w:cstheme="majorBidi"/>
        </w:rPr>
        <w:t xml:space="preserve">Even though LLC phases offer several advantages as previously mentioned, they still suffer from poor mechanical and thermal properties which reduce their suitability in many applications. </w:t>
      </w:r>
      <w:r w:rsidRPr="006D631C">
        <w:rPr>
          <w:rFonts w:asciiTheme="majorBidi" w:hAnsiTheme="majorBidi" w:cstheme="majorBidi"/>
        </w:rPr>
        <w:lastRenderedPageBreak/>
        <w:t xml:space="preserve">The predominant method to circumvent these limitations is to use LLCs as a template to synthesize polymers known as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with the desired nanostructure and chemical properties. Such templating is approached via two common routes: synergistic and transcriptive templating. In the former method, the organic component forming the LLC is polymerized, resulting in a cured template. In the transcriptive approach, the desired material is formed (e.g., via polymerization) in the </w:t>
      </w:r>
      <w:proofErr w:type="spellStart"/>
      <w:r w:rsidRPr="006D631C">
        <w:rPr>
          <w:rFonts w:asciiTheme="majorBidi" w:hAnsiTheme="majorBidi" w:cstheme="majorBidi"/>
        </w:rPr>
        <w:t>nano</w:t>
      </w:r>
      <w:proofErr w:type="spellEnd"/>
      <w:r w:rsidRPr="006D631C">
        <w:rPr>
          <w:rFonts w:asciiTheme="majorBidi" w:hAnsiTheme="majorBidi" w:cstheme="majorBidi"/>
        </w:rPr>
        <w:t>-confinement of the LLC template, resulting in the formation of a one-to-one replica. The main challenge in the transcriptive method is to preserve the parental template nanostructure. If the structure is not retained, the method is instead referred to as reconstructive templating and the final product may have a higher or lower order compared to the parent LLC, as shown schematically for the H</w:t>
      </w:r>
      <w:r w:rsidRPr="006D631C">
        <w:rPr>
          <w:rFonts w:asciiTheme="majorBidi" w:hAnsiTheme="majorBidi" w:cstheme="majorBidi"/>
          <w:vertAlign w:val="subscript"/>
        </w:rPr>
        <w:t>2</w:t>
      </w:r>
      <w:r w:rsidRPr="006D631C">
        <w:rPr>
          <w:rFonts w:asciiTheme="majorBidi" w:hAnsiTheme="majorBidi" w:cstheme="majorBidi"/>
        </w:rPr>
        <w:t xml:space="preserve"> phase in</w:t>
      </w:r>
      <w:r w:rsidR="00AB53C8" w:rsidRPr="006D631C">
        <w:rPr>
          <w:rFonts w:asciiTheme="majorBidi" w:hAnsiTheme="majorBidi" w:cstheme="majorBidi"/>
        </w:rPr>
        <w:t xml:space="preserve"> Figure 1-3</w:t>
      </w:r>
      <w:r w:rsidRPr="006D631C">
        <w:rPr>
          <w:rFonts w:asciiTheme="majorBidi" w:hAnsiTheme="majorBidi" w:cstheme="majorBidi"/>
        </w:rPr>
        <w:t>. Having a precisely controlled structure has led almost all of the studies to focus on high-fidelity retention of the parental nanostructure, which is considered successful LLC templating.</w:t>
      </w:r>
      <w:r w:rsidRPr="006D631C">
        <w:rPr>
          <w:rFonts w:asciiTheme="majorBidi" w:hAnsiTheme="majorBidi" w:cstheme="majorBidi"/>
        </w:rPr>
        <w:fldChar w:fldCharType="begin" w:fldLock="1"/>
      </w:r>
      <w:r w:rsidR="00B93E96" w:rsidRPr="006D631C">
        <w:rPr>
          <w:rFonts w:asciiTheme="majorBidi" w:hAnsiTheme="majorBidi" w:cstheme="majorBidi"/>
        </w:rPr>
        <w:instrText>ADDIN CSL_CITATION {"citationItems":[{"id":"ITEM-1","itemData":{"DOI":"10.1007/3-540-36408-0_7","author":[{"dropping-particle":"","family":"Hentze","given":"Hans-Peter","non-dropping-particle":"","parse-names":false,"suffix":""},{"dropping-particle":"","family":"Co","given":"Carlos C.","non-dropping-particle":"","parse-names":false,"suffix":""},{"dropping-particle":"","family":"McKelvey","given":"Craig A.","non-dropping-particle":"","parse-names":false,"suffix":""},{"dropping-particle":"","family":"Kaler","given":"Eric W.","non-dropping-particle":"","parse-names":false,"suffix":""}],"container-title":"Topics in Current Chemistry","id":"ITEM-1","issued":{"date-parts":[["2003"]]},"page":"197-223","title":"Templating Vesicles, Microemulsions, and Lyotropic Mesophases by Organic Polymerization Processes","type":"chapter"},"uris":["http://www.mendeley.com/documents/?uuid=4aad3ba9-e7e2-4afb-beb8-f418aabb99f3"]}],"mendeley":{"formattedCitation":"&lt;sup&gt;26&lt;/sup&gt;","plainTextFormattedCitation":"26","previouslyFormattedCitation":"&lt;sup&gt;26&lt;/sup&gt;"},"properties":{"noteIndex":0},"schema":"https://github.com/citation-style-language/schema/raw/master/csl-citation.json"}</w:instrText>
      </w:r>
      <w:r w:rsidRPr="006D631C">
        <w:rPr>
          <w:rFonts w:asciiTheme="majorBidi" w:hAnsiTheme="majorBidi" w:cstheme="majorBidi"/>
        </w:rPr>
        <w:fldChar w:fldCharType="separate"/>
      </w:r>
      <w:r w:rsidR="00B93E96" w:rsidRPr="006D631C">
        <w:rPr>
          <w:rFonts w:asciiTheme="majorBidi" w:hAnsiTheme="majorBidi" w:cstheme="majorBidi"/>
          <w:noProof/>
          <w:vertAlign w:val="superscript"/>
        </w:rPr>
        <w:t>26</w:t>
      </w:r>
      <w:r w:rsidRPr="006D631C">
        <w:rPr>
          <w:rFonts w:asciiTheme="majorBidi" w:hAnsiTheme="majorBidi" w:cstheme="majorBidi"/>
        </w:rPr>
        <w:fldChar w:fldCharType="end"/>
      </w:r>
      <w:r w:rsidRPr="006D631C">
        <w:rPr>
          <w:rFonts w:asciiTheme="majorBidi" w:hAnsiTheme="majorBidi" w:cstheme="majorBidi"/>
        </w:rPr>
        <w:t xml:space="preserve"> There are several reports on using LLC templating for fabrication of organic (e.g., polymers),</w:t>
      </w:r>
      <w:r w:rsidRPr="006D631C">
        <w:rPr>
          <w:rFonts w:asciiTheme="majorBidi" w:hAnsiTheme="majorBidi" w:cstheme="majorBidi"/>
        </w:rPr>
        <w:fldChar w:fldCharType="begin" w:fldLock="1"/>
      </w:r>
      <w:r w:rsidR="00B93E96"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B93E96"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inorganic (e.g., silica and mesoporous metal and alloys),</w:t>
      </w:r>
      <w:r w:rsidRPr="006D631C">
        <w:rPr>
          <w:rFonts w:asciiTheme="majorBidi" w:hAnsiTheme="majorBidi" w:cstheme="majorBidi"/>
        </w:rPr>
        <w:fldChar w:fldCharType="begin" w:fldLock="1"/>
      </w:r>
      <w:r w:rsidR="00B93E96" w:rsidRPr="006D631C">
        <w:rPr>
          <w:rFonts w:asciiTheme="majorBidi" w:hAnsiTheme="majorBidi" w:cstheme="majorBidi"/>
        </w:rPr>
        <w:instrText>ADDIN CSL_CITATION {"citationItems":[{"id":"ITEM-1","itemData":{"DOI":"10.1088/1468-6996/10/2/023001","ISSN":"1468-6996","abstract":"This review introduces and summarizes lyotropic liquid crystal (LLC) directed syntheses of nanostructured materials consisting of porous nanostructures and zero-dimensional (0-D), one-dimensional (1-D) and two-dimensional (2-D) nanostructures. After a brief introduction to the liquid crystals, the LLCs used to prepare mesoporous materials are discussed; in particular, recent advances in controlling mesostructures are summarized. The LLC templates directing the syntheses of nanoparticles, nanorods, nanowires and nanoplates are also presented. Finally, future development in this field is discussed. © 2009 National Institute for Materials Science.","author":[{"dropping-particle":"","family":"Wang","given":"Cuiqing","non-dropping-particle":"","parse-names":false,"suffix":""},{"dropping-particle":"","family":"Chen","given":"Dairong","non-dropping-particle":"","parse-names":false,"suffix":""},{"dropping-particle":"","family":"Jiao","given":"Xiuling","non-dropping-particle":"","parse-names":false,"suffix":""}],"container-title":"Science and Technology of Advanced Materials","id":"ITEM-1","issue":"2","issued":{"date-parts":[["2009","4","12"]]},"page":"023001","title":"Lyotropic liquid crystal directed synthesis of nanostructured materials","type":"article-journal","volume":"10"},"uris":["http://www.mendeley.com/documents/?uuid=21eef740-d658-4d93-89e3-139bfabb0d9d"]}],"mendeley":{"formattedCitation":"&lt;sup&gt;28&lt;/sup&gt;","plainTextFormattedCitation":"28","previouslyFormattedCitation":"&lt;sup&gt;28&lt;/sup&gt;"},"properties":{"noteIndex":0},"schema":"https://github.com/citation-style-language/schema/raw/master/csl-citation.json"}</w:instrText>
      </w:r>
      <w:r w:rsidRPr="006D631C">
        <w:rPr>
          <w:rFonts w:asciiTheme="majorBidi" w:hAnsiTheme="majorBidi" w:cstheme="majorBidi"/>
        </w:rPr>
        <w:fldChar w:fldCharType="separate"/>
      </w:r>
      <w:r w:rsidR="00B93E96" w:rsidRPr="006D631C">
        <w:rPr>
          <w:rFonts w:asciiTheme="majorBidi" w:hAnsiTheme="majorBidi" w:cstheme="majorBidi"/>
          <w:noProof/>
          <w:vertAlign w:val="superscript"/>
        </w:rPr>
        <w:t>28</w:t>
      </w:r>
      <w:r w:rsidRPr="006D631C">
        <w:rPr>
          <w:rFonts w:asciiTheme="majorBidi" w:hAnsiTheme="majorBidi" w:cstheme="majorBidi"/>
        </w:rPr>
        <w:fldChar w:fldCharType="end"/>
      </w:r>
      <w:r w:rsidRPr="006D631C">
        <w:rPr>
          <w:rFonts w:asciiTheme="majorBidi" w:hAnsiTheme="majorBidi" w:cstheme="majorBidi"/>
        </w:rPr>
        <w:t xml:space="preserve"> and organic/inorganic hybrid</w:t>
      </w:r>
      <w:r w:rsidRPr="006D631C">
        <w:rPr>
          <w:rFonts w:asciiTheme="majorBidi" w:hAnsiTheme="majorBidi" w:cstheme="majorBidi"/>
        </w:rPr>
        <w:fldChar w:fldCharType="begin" w:fldLock="1"/>
      </w:r>
      <w:r w:rsidR="00B93E96" w:rsidRPr="006D631C">
        <w:rPr>
          <w:rFonts w:asciiTheme="majorBidi" w:hAnsiTheme="majorBidi" w:cstheme="majorBidi"/>
        </w:rPr>
        <w:instrText>ADDIN CSL_CITATION {"citationItems":[{"id":"ITEM-1","itemData":{"DOI":"10.1021/ar000140d","ISSN":"0001-4842","PMID":"11747415","abstract":"The development of functional materials with nanometer-scale architectures and the effect of these architectures on their chemical and physical properties are currently of great interest in materials design. Polymerizable lyotropic liquid crystal (LLC) assemblies provide a facile entry into this area by allowing one to fix the inherent order in these systems using covalent bonds to create robust, nanostructured materials. The use of the cross-linked inverted hexagonal phase in templated nanocomposite formation and heterogeneous catalysis has been demonstrated. Additionally, the polymerization of LLC mesogens in the regular hexagonal and bicontinuous cubic phases is being targeted for future developments in functional materials. Future directions for new applications of these materials are also discussed.","author":[{"dropping-particle":"","family":"Gin","given":"Douglas L.","non-dropping-particle":"","parse-names":false,"suffix":""},{"dropping-particle":"","family":"Gu","given":"Weiqiang","non-dropping-particle":"","parse-names":false,"suffix":""},{"dropping-particle":"","family":"Pindzola","given":"Bradford A.","non-dropping-particle":"","parse-names":false,"suffix":""},{"dropping-particle":"","family":"Zhou","given":"Wen-Jing","non-dropping-particle":"","parse-names":false,"suffix":""}],"container-title":"Accounts of Chemical Research","id":"ITEM-1","issue":"12","issued":{"date-parts":[["2001","12","1"]]},"page":"973-980","title":"Polymerized Lyotropic Liquid Crystal Assemblies for Materials Applications","type":"article-journal","volume":"34"},"uris":["http://www.mendeley.com/documents/?uuid=5f6b5502-c4bc-404f-a3c1-398c3f179c5e"]},{"id":"ITEM-2","itemData":{"DOI":"10.1021/nn102047j","ISSN":"19360851","abstract":"We demonstrate a novel path for the fabrication of thin-film polymer nanocomposites containing vertically aligned single-walled carbon nanotubes (SWNTs). Liquid crystal mesophases of hexagonally packed cylindrical micelles orient with their long axes parallel to an applied magnetic field and template the alignment of SWNTs sequestered in the micellar cores. The mesophase is a stable single-phase material containing monomers that can be polymerized after nanotube alignment to form the nanocomposite polymer. The space-pervasive nature of magnetic fields and the tunable physicochemical properties of multicomponent mesophases make this an attractive approach that can be leveraged for application in diverse nanocomposite systems. © 2010 American Chemical Society.","author":[{"dropping-particle":"","family":"Mauter","given":"Meagan S.","non-dropping-particle":"","parse-names":false,"suffix":""},{"dropping-particle":"","family":"Elimelech","given":"Menachem","non-dropping-particle":"","parse-names":false,"suffix":""},{"dropping-particle":"","family":"Osuji","given":"Chinedum O.","non-dropping-particle":"","parse-names":false,"suffix":""}],"container-title":"ACS Nano","id":"ITEM-2","issue":"11","issued":{"date-parts":[["2010"]]},"page":"6651-6658","title":"Nanocomposites of vertically aligned single-walled carbon nanotubes by magnetic alignment and polymerization of a lyotropic precursor","type":"article-journal","volume":"4"},"uris":["http://www.mendeley.com/documents/?uuid=ca6707ad-07be-49fb-8405-da71c6ae00d2"]}],"mendeley":{"formattedCitation":"&lt;sup&gt;29,30&lt;/sup&gt;","plainTextFormattedCitation":"29,30","previouslyFormattedCitation":"&lt;sup&gt;29,30&lt;/sup&gt;"},"properties":{"noteIndex":0},"schema":"https://github.com/citation-style-language/schema/raw/master/csl-citation.json"}</w:instrText>
      </w:r>
      <w:r w:rsidRPr="006D631C">
        <w:rPr>
          <w:rFonts w:asciiTheme="majorBidi" w:hAnsiTheme="majorBidi" w:cstheme="majorBidi"/>
        </w:rPr>
        <w:fldChar w:fldCharType="separate"/>
      </w:r>
      <w:r w:rsidR="00B93E96" w:rsidRPr="006D631C">
        <w:rPr>
          <w:rFonts w:asciiTheme="majorBidi" w:hAnsiTheme="majorBidi" w:cstheme="majorBidi"/>
          <w:noProof/>
          <w:vertAlign w:val="superscript"/>
        </w:rPr>
        <w:t>29,30</w:t>
      </w:r>
      <w:r w:rsidRPr="006D631C">
        <w:rPr>
          <w:rFonts w:asciiTheme="majorBidi" w:hAnsiTheme="majorBidi" w:cstheme="majorBidi"/>
        </w:rPr>
        <w:fldChar w:fldCharType="end"/>
      </w:r>
      <w:r w:rsidRPr="006D631C">
        <w:rPr>
          <w:rFonts w:asciiTheme="majorBidi" w:hAnsiTheme="majorBidi" w:cstheme="majorBidi"/>
        </w:rPr>
        <w:t xml:space="preserve"> nanostructures. However, LLC templating through the polymerization of organic compounds is the focus of this </w:t>
      </w:r>
      <w:r w:rsidR="00713E69" w:rsidRPr="006D631C">
        <w:rPr>
          <w:rFonts w:asciiTheme="majorBidi" w:hAnsiTheme="majorBidi" w:cstheme="majorBidi"/>
        </w:rPr>
        <w:t>research</w:t>
      </w:r>
      <w:r w:rsidRPr="006D631C">
        <w:rPr>
          <w:rFonts w:asciiTheme="majorBidi" w:hAnsiTheme="majorBidi" w:cstheme="majorBidi"/>
        </w:rPr>
        <w:t xml:space="preserve"> since the templating of inorganic species is usually carried out to fabricate nanostructured inorganic materials</w:t>
      </w:r>
      <w:r w:rsidRPr="006D631C">
        <w:rPr>
          <w:rFonts w:asciiTheme="majorBidi" w:hAnsiTheme="majorBidi" w:cstheme="majorBidi"/>
        </w:rPr>
        <w:fldChar w:fldCharType="begin" w:fldLock="1"/>
      </w:r>
      <w:r w:rsidR="00B93E96" w:rsidRPr="006D631C">
        <w:rPr>
          <w:rFonts w:asciiTheme="majorBidi" w:hAnsiTheme="majorBidi" w:cstheme="majorBidi"/>
        </w:rPr>
        <w:instrText>ADDIN CSL_CITATION {"citationItems":[{"id":"ITEM-1","itemData":{"DOI":"10.1088/1468-6996/10/2/023001","ISSN":"1468-6996","abstract":"This review introduces and summarizes lyotropic liquid crystal (LLC) directed syntheses of nanostructured materials consisting of porous nanostructures and zero-dimensional (0-D), one-dimensional (1-D) and two-dimensional (2-D) nanostructures. After a brief introduction to the liquid crystals, the LLCs used to prepare mesoporous materials are discussed; in particular, recent advances in controlling mesostructures are summarized. The LLC templates directing the syntheses of nanoparticles, nanorods, nanowires and nanoplates are also presented. Finally, future development in this field is discussed. © 2009 National Institute for Materials Science.","author":[{"dropping-particle":"","family":"Wang","given":"Cuiqing","non-dropping-particle":"","parse-names":false,"suffix":""},{"dropping-particle":"","family":"Chen","given":"Dairong","non-dropping-particle":"","parse-names":false,"suffix":""},{"dropping-particle":"","family":"Jiao","given":"Xiuling","non-dropping-particle":"","parse-names":false,"suffix":""}],"container-title":"Science and Technology of Advanced Materials","id":"ITEM-1","issue":"2","issued":{"date-parts":[["2009","4","12"]]},"page":"023001","title":"Lyotropic liquid crystal directed synthesis of nanostructured materials","type":"article-journal","volume":"10"},"uris":["http://www.mendeley.com/documents/?uuid=21eef740-d658-4d93-89e3-139bfabb0d9d"]}],"mendeley":{"formattedCitation":"&lt;sup&gt;28&lt;/sup&gt;","plainTextFormattedCitation":"28","previouslyFormattedCitation":"&lt;sup&gt;28&lt;/sup&gt;"},"properties":{"noteIndex":0},"schema":"https://github.com/citation-style-language/schema/raw/master/csl-citation.json"}</w:instrText>
      </w:r>
      <w:r w:rsidRPr="006D631C">
        <w:rPr>
          <w:rFonts w:asciiTheme="majorBidi" w:hAnsiTheme="majorBidi" w:cstheme="majorBidi"/>
        </w:rPr>
        <w:fldChar w:fldCharType="separate"/>
      </w:r>
      <w:r w:rsidR="00B93E96" w:rsidRPr="006D631C">
        <w:rPr>
          <w:rFonts w:asciiTheme="majorBidi" w:hAnsiTheme="majorBidi" w:cstheme="majorBidi"/>
          <w:noProof/>
          <w:vertAlign w:val="superscript"/>
        </w:rPr>
        <w:t>28</w:t>
      </w:r>
      <w:r w:rsidRPr="006D631C">
        <w:rPr>
          <w:rFonts w:asciiTheme="majorBidi" w:hAnsiTheme="majorBidi" w:cstheme="majorBidi"/>
        </w:rPr>
        <w:fldChar w:fldCharType="end"/>
      </w:r>
      <w:r w:rsidRPr="006D631C">
        <w:rPr>
          <w:rFonts w:asciiTheme="majorBidi" w:hAnsiTheme="majorBidi" w:cstheme="majorBidi"/>
        </w:rPr>
        <w:t xml:space="preserve"> rather than improving the properties of LLC templated materials. </w:t>
      </w:r>
    </w:p>
    <w:p w14:paraId="4A570C0A" w14:textId="77777777" w:rsidR="00A356F2" w:rsidRPr="006D631C" w:rsidRDefault="00A356F2" w:rsidP="00A356F2">
      <w:pPr>
        <w:tabs>
          <w:tab w:val="left" w:pos="142"/>
          <w:tab w:val="left" w:pos="360"/>
          <w:tab w:val="left" w:pos="992"/>
        </w:tabs>
        <w:jc w:val="center"/>
        <w:rPr>
          <w:rFonts w:asciiTheme="majorBidi" w:hAnsiTheme="majorBidi" w:cstheme="majorBidi"/>
        </w:rPr>
      </w:pPr>
      <w:r w:rsidRPr="006D631C">
        <w:rPr>
          <w:rFonts w:asciiTheme="majorBidi" w:hAnsiTheme="majorBidi" w:cstheme="majorBidi"/>
          <w:noProof/>
        </w:rPr>
        <w:lastRenderedPageBreak/>
        <w:drawing>
          <wp:inline distT="0" distB="0" distL="0" distR="0" wp14:anchorId="28D09CD6" wp14:editId="661D79C2">
            <wp:extent cx="5943600" cy="30944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094469"/>
                    </a:xfrm>
                    <a:prstGeom prst="rect">
                      <a:avLst/>
                    </a:prstGeom>
                    <a:noFill/>
                  </pic:spPr>
                </pic:pic>
              </a:graphicData>
            </a:graphic>
          </wp:inline>
        </w:drawing>
      </w:r>
    </w:p>
    <w:p w14:paraId="0875C343" w14:textId="721E031C" w:rsidR="00A356F2" w:rsidRPr="006D631C" w:rsidRDefault="00A356F2" w:rsidP="00344303">
      <w:pPr>
        <w:tabs>
          <w:tab w:val="left" w:pos="142"/>
          <w:tab w:val="left" w:pos="360"/>
          <w:tab w:val="left" w:pos="992"/>
        </w:tabs>
        <w:spacing w:after="240" w:line="360" w:lineRule="auto"/>
        <w:jc w:val="center"/>
        <w:rPr>
          <w:rFonts w:asciiTheme="majorBidi" w:hAnsiTheme="majorBidi" w:cstheme="majorBidi"/>
          <w:sz w:val="22"/>
          <w:szCs w:val="22"/>
        </w:rPr>
      </w:pPr>
      <w:bookmarkStart w:id="31" w:name="_Toc130722895"/>
      <w:bookmarkStart w:id="32" w:name="_Toc148175912"/>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3</w:t>
      </w:r>
      <w:r w:rsidR="00B55F32" w:rsidRPr="006D631C">
        <w:rPr>
          <w:sz w:val="22"/>
          <w:szCs w:val="22"/>
        </w:rPr>
        <w:fldChar w:fldCharType="end"/>
      </w:r>
      <w:r w:rsidRPr="006D631C">
        <w:rPr>
          <w:sz w:val="22"/>
          <w:szCs w:val="22"/>
        </w:rPr>
        <w:t>.</w:t>
      </w:r>
      <w:r w:rsidRPr="006D631C">
        <w:rPr>
          <w:rFonts w:eastAsia="Calibri"/>
          <w:sz w:val="20"/>
          <w:szCs w:val="20"/>
        </w:rPr>
        <w:t xml:space="preserve"> </w:t>
      </w:r>
      <w:r w:rsidRPr="006D631C">
        <w:rPr>
          <w:rFonts w:asciiTheme="majorBidi" w:hAnsiTheme="majorBidi" w:cstheme="majorBidi"/>
          <w:sz w:val="22"/>
          <w:szCs w:val="22"/>
        </w:rPr>
        <w:t>Schematic illustration of typical synergistic, transcriptive, and reconstructive LLC templating using H</w:t>
      </w:r>
      <w:r w:rsidRPr="006D631C">
        <w:rPr>
          <w:rFonts w:asciiTheme="majorBidi" w:hAnsiTheme="majorBidi" w:cstheme="majorBidi"/>
          <w:sz w:val="22"/>
          <w:szCs w:val="22"/>
          <w:vertAlign w:val="subscript"/>
        </w:rPr>
        <w:t>2</w:t>
      </w:r>
      <w:r w:rsidRPr="006D631C">
        <w:rPr>
          <w:rFonts w:asciiTheme="majorBidi" w:hAnsiTheme="majorBidi" w:cstheme="majorBidi"/>
          <w:sz w:val="22"/>
          <w:szCs w:val="22"/>
        </w:rPr>
        <w:t xml:space="preserve"> structure. The reconstructive templating may lead to various structures and the lamellar structure shown here is just one example of the phase transition possible in this method.</w:t>
      </w:r>
      <w:bookmarkEnd w:id="31"/>
      <w:bookmarkEnd w:id="32"/>
    </w:p>
    <w:p w14:paraId="21D5DBDD" w14:textId="1C8B7F5C" w:rsidR="00142AB2" w:rsidRPr="006D631C" w:rsidRDefault="00142AB2"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Thanks to the diversity in nanostructures with 1-10 nm length scale, the fabricated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not only are applicable in a wide variety of technical applications, but also can provide enhanced properties compared to common materials. For instance, the membranes obtained from polyLLC technology show an enhanced permeability, selectivity, and fouling resistance compared to the current industry standard.</w:t>
      </w:r>
      <w:r w:rsidRPr="006D631C">
        <w:rPr>
          <w:rFonts w:asciiTheme="majorBidi" w:hAnsiTheme="majorBidi" w:cstheme="majorBidi"/>
        </w:rPr>
        <w:fldChar w:fldCharType="begin" w:fldLock="1"/>
      </w:r>
      <w:r w:rsidR="004D4E9B"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pathways","type":"article-journal","volume":"5"},"uris":["http://www.mendeley.com/documents/?uuid=d507d8b2-fc83-4bd7-9e6d-10370c7b5e6e"]},{"id":"ITEM-2","itemData":{"DOI":"10.1016/j.memsci.2019.02.060","ISSN":"18733123","abstract":"Industrially,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Science","id":"ITEM-2","issued":{"date-parts":[["2019"]]},"page":"125-133","title":"Ultrafiltration membranes from polymerization of self-assembled Pluronic block copolymer mesophases","type":"article-journal","volume":"580"},"uris":["http://www.mendeley.com/documents/?uuid=bed9b600-bdbf-4c48-a9d1-d3c7ba3f3449"]},{"id":"ITEM-3","itemData":{"DOI":"10.1016/j.memsci.2017.08.028","ISSN":"18733123","abstract":"A thin-film composite, bicontinuous cubic lyotropic liquid crystal polymer (TFC QI) membrane with uniform-size, ionic nanopores was studied for the treatment of hydraulic fracturing flowback water. The TFC QI membrane performance was compared to those of a commercial nanofiltration (NF) membrane (NF270) and a commercial reverse osmosis (RO) membrane (SW30HR) for the filtration of flowback water from the Denver-Julesburg Basin. The permeability, salt rejection, and organic solute rejection for each membrane was evaluated. The results illustrate that the TFC QI membrane maintained its performance to a similar degree as the commercial NF and RO membranes while demonstrating a unique selectivity not observed in the commercial membranes. Specifically, the TFC QI membrane rejected 75% of the salt while recovering 9.6% of the dissolved organic carbon (DOC) and 50% of the water. Of particular interest was the recovery of labile DOC, which was assessed through biodegradation experiments. Analysis following biodegradation of the TFC QI membrane permeate demonstrates the membrane's ability to recover labile DOC in a reduced-saline permeate. Improved recovery of labile DOC (increased to 22%) was demonstrated by reducing the pH of the flowback water. Therefore, the selectivity of the TFC QI membrane provides an opportunity to recover resources from hydraulic fracturing flowback.","author":[{"dropping-particle":"","family":"Dischinger","given":"Sarah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L.","non-dropping-particle":"","parse-names":false,"suffix":""},{"dropping-particle":"","family":"Linden","given":"Karl G.","non-dropping-particle":"","parse-names":false,"suffix":""}],"container-title":"Journal of Membrane Science","id":"ITEM-3","issued":{"date-parts":[["2017"]]},"page":"319-327","title":"Application of a lyotropic liquid crystal nanofiltration membrane for hydraulic fracturing flowback water: Selectivity and implications for treatment","type":"article-journal","volume":"543"},"uris":["http://www.mendeley.com/documents/?uuid=5a46df75-f496-4fbd-8165-bd32a6b934a9"]},{"id":"ITEM-4","itemData":{"DOI":"10.1021/ja073067w","ISSN":"0002-7863","abstract":"A polymeric membrane material for efficient water desalination based on a cross-linked type I bicontinuous cubic (QI) lyotropic liquid crystal (LLC) assembly is described. This ordered, nanoporous, polymer material is formed by the self-assembly of a cross-linkable gemini amphiphile in water and contains interpenetrating organic networks separated from one another by a continuous, ultrathin water layer surface (ca. 0.75 nm gap spacing) with overall cubic symmetry. Supported membranes of this material are produced by hot-pressing the initial LLC monomer gel at high pressure through a commercial microporous hydrophilic membrane support at 70 °C and then radically photocross-linking the infused QI monomer phase. In stirred dead-end water filtration tests, the resulting 40-μm thick, optically transparent, supported LLC membranes exhibit 95-99.9% rejection of dissolved salt ions, neutral molecules and macromolecules, and molecular ions in the 0.64-1.2 nm size range in a single pass. This rejection performance is slightly better than that of a commercial reverse osmosis (RO) membrane for the same solutes under the same test conditions, and significantly better than that of a commercial porous nanofiltration membrane. The LLC polymer material also exhibits a thickness- and pressure-normalized water permeability that is similar to or just slightly lower than the dense active layer materials used in current RO membranes. It is believed that the 3-D interconnected water manifold system in the cross-linked QI-phase material allows small water molecules (0.27 nm kinetic diameter) to pass through with good efficiency, while effectively rejecting dissolved solutes close in size to, or larger than, the about 0.75 nm water layer gap spacing. Copyright © 2007 American Chemical Society.","author":[{"dropping-particle":"","family":"Zhou","given":"Meijuan","non-dropping-particle":"","parse-names":false,"suffix":""},{"dropping-particle":"","family":"Nemade","given":"Parag R.","non-dropping-particle":"","parse-names":false,"suffix":""},{"dropping-particle":"","family":"Lu","given":"Xiaoyun","non-dropping-particle":"","parse-names":false,"suffix":""},{"dropping-particle":"","family":"Zeng","given":"Xiaohui","non-dropping-particle":"","parse-names":false,"suffix":""},{"dropping-particle":"","family":"Hatakeyama","given":"Evan S.","non-dropping-particle":"","parse-names":false,"suffix":""},{"dropping-particle":"","family":"Noble","given":"Richard D.","non-dropping-particle":"","parse-names":false,"suffix":""},{"dropping-particle":"","family":"Gin","given":"Douglas L.","non-dropping-particle":"","parse-names":false,"suffix":""}],"container-title":"Journal of the American Chemical Society","id":"ITEM-4","issue":"31","issued":{"date-parts":[["2007","8","1"]]},"page":"9574-9575","title":"New Type of Membrane Material for Water Desalination Based on a Cross-Linked Bicontinuous Cubic Lyotropic Liquid Crystal Assembly","type":"article-journal","volume":"129"},"uris":["http://www.mendeley.com/documents/?uuid=0d2d8de2-7149-4057-b6fa-a85131e88c1f"]},{"id":"ITEM-5","itemData":{"DOI":"10.1002/marc.200700707","ISSN":"15213927","abstract":"Cross-linked lyotropic liquid crystal (LLC) assemblies represent a new class of polymer materials for membrane applications. These materials are formed by the phase-segregation and self-assembly of polymerizable amphiphiles in water into condensed ordered ensembles that can be cross-linked in situ with retention of microstructure. The resulting LLC polymer networks have ordered, nanometer-scale aqueous and cross-linked organic domains, which can be used to affect gas solubility and diffusivity through the polymer to help separate molecules via the solution-diffusion mechanism. The open aqueous domains can also be used for pore transport and size exclusion with resolution on the molecular size level. The use and application potential of cross-linked LLC assemblies as gas separation membranes, selective vapor barrier materials, and water nanofiltration and desalination membranes are presented. © 2008 WILEY-VCH Verlag GmbH &amp; Co. KGaA.","author":[{"dropping-particle":"","family":"Gin","given":"Douglas L.","non-dropping-particle":"","parse-names":false,"suffix":""},{"dropping-particle":"","family":"Bara","given":"Jason E.","non-dropping-particle":"","parse-names":false,"suffix":""},{"dropping-particle":"","family":"Noble","given":"Richard D.","non-dropping-particle":"","parse-names":false,"suffix":""},{"dropping-particle":"","family":"Elliott","given":"Brian J.","non-dropping-particle":"","parse-names":false,"suffix":""}],"container-title":"Macromolecular Rapid Communications","id":"ITEM-5","issue":"5","issued":{"date-parts":[["2008"]]},"page":"367-389","title":"Polymerized lyotropic liquid crystal assemblies for membrane applications","type":"article-journal","volume":"29"},"uris":["http://www.mendeley.com/documents/?uuid=4e290c39-f788-4b76-9603-0f40ea2c76fb"]}],"mendeley":{"formattedCitation":"&lt;sup&gt;31–35&lt;/sup&gt;","plainTextFormattedCitation":"31–35","previouslyFormattedCitation":"&lt;sup&gt;31–35&lt;/sup&gt;"},"properties":{"noteIndex":0},"schema":"https://github.com/citation-style-language/schema/raw/master/csl-citation.json"}</w:instrText>
      </w:r>
      <w:r w:rsidRPr="006D631C">
        <w:rPr>
          <w:rFonts w:asciiTheme="majorBidi" w:hAnsiTheme="majorBidi" w:cstheme="majorBidi"/>
        </w:rPr>
        <w:fldChar w:fldCharType="separate"/>
      </w:r>
      <w:r w:rsidR="00D12107" w:rsidRPr="006D631C">
        <w:rPr>
          <w:rFonts w:asciiTheme="majorBidi" w:hAnsiTheme="majorBidi" w:cstheme="majorBidi"/>
          <w:noProof/>
          <w:vertAlign w:val="superscript"/>
        </w:rPr>
        <w:t>31–35</w:t>
      </w:r>
      <w:r w:rsidRPr="006D631C">
        <w:rPr>
          <w:rFonts w:asciiTheme="majorBidi" w:hAnsiTheme="majorBidi" w:cstheme="majorBidi"/>
        </w:rPr>
        <w:fldChar w:fldCharType="end"/>
      </w:r>
      <w:r w:rsidRPr="006D631C">
        <w:rPr>
          <w:rFonts w:asciiTheme="majorBidi" w:hAnsiTheme="majorBidi" w:cstheme="majorBidi"/>
        </w:rPr>
        <w:t xml:space="preserve"> Furthermore, the LLC-templated hydrogels offer an excellent balance of water uptake, swelling/de-swelling rate, and mechanical properties while preserving key characteristics including biocompatibility, biodegradability, and stimuli-responsiveness.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{"citationItems":[{"id":"ITEM-1","itemData":{"DOI":"10.1021/bk-2003-0847.ch032","abstract":"Nanostructured materials have been the focus of much attention due to\\ntheir applicability in nanocomposites, separations media, drug delivery\\ndevices, and many other applications requiring a nanometer size scale.\\nRecently, using lyotropic liquid crystalline (LLC) phases to template\\ntheir unique nanostructure onto organic polymers has been proposed. This\\nwork details the photopolymerization of acrylamide in various phases of\\nLLC systems. The photopolymerization kinetics are correlated to monomer\\norganization for different phases at a variety of concentrations and\\ntemperatures. The photopolymerization kinetics of acrylamide in the LLC\\nphases depend strongly on the LLC morphology. The polymerization rates\\nare significantly faster in compositions of surfactant resulting in a\\nhexagonal geometry as the acrylamide monomer is preferentially oriented.\\nThese results indicate that acrylamide is strongly associated with the\\nLLC interface and the surfactant. Photopolymerization of these templated\\nsystems results in structure retention of the parent, LLC phase.","author":[{"dropping-particle":"","family":"Guymon","given":"C. Allan","non-dropping-particle":"","parse-names":false,"suffix":""},{"dropping-particle":"","family":"Lester","given":"Christopher L.","non-dropping-particle":"","parse-names":false,"suffix":""}],"container-title":"ACS Symposium Series","id":"ITEM-1","issued":{"date-parts":[["2003","3","3"]]},"page":"378-388","title":"Photopolymerization Kinetics of Nanostructured Polymers Templated by Lyotropic Liquid Crystals","type":"article-journal","volume":"847"},"uris":["http://www.mendeley.com/documents/?uuid=e9652ecf-b4ab-44b4-84ff-eacc90331307"]},{"id":"ITEM-2","itemData":{"DOI":"10.1021/la0300784","ISSN":"07437463","abstract":"The synthesis of nanostructured polymer gels via polymerization of hydrophilic monomers in lyotropic liquid crystal (LLC) phases has recently been of great interest. This work describes the effects of monomer organization on the photopolymerization kinetics of acrylamide in various LLC phases of surfactant/water systems. Resutling polymer morphology is reported as well. The polymerization rate of acrylamide is significantly enhanced when performed in the presence of various LLC phases. An unprecedented 10-fold increase in polymerization rate is observed in bicontinuous cubic and hexagonal phases as compared to polymerizations in water. This significant increase in polymerization rate is a result of diffusional limitations on the propagating polymer as well as segregation and ordering phenomena induce by the LLC phase. 13CT1 relaxation times and 14NNMR spectra show that the monomer strongly associates with the interface of the surfactant/water assemblies and assumes the orientationl order of the LLC phases to some degree. When formed using photopolymerization, the resulting polymer morphology appears to be a direct template of the parent LLC phase.","author":[{"dropping-particle":"","family":"Lester","given":"Christopher L.","non-dropping-particle":"","parse-names":false,"suffix":""},{"dropping-particle":"","family":"Smith","given":"Shannon M.","non-dropping-particle":"","parse-names":false,"suffix":""},{"dropping-particle":"","family":"Jarrett","given":"William L.","non-dropping-particle":"","parse-names":false,"suffix":""},{"dropping-particle":"","family":"Allan Guymon","given":"C.","non-dropping-particle":"","parse-names":false,"suffix":""}],"container-title":"Langmuir","id":"ITEM-2","issue":"22","issued":{"date-parts":[["2003"]]},"page":"9466-9472","title":"Effects of Monomer Organization on the Photopolymerization Kinetics of Acrylamide in Lyotropic Liquid Crystalline Phases","type":"article-journal","volume":"19"},"uris":["http://www.mendeley.com/documents/?uuid=ed593b1e-2698-4bb2-89a3-8beb441225de"]},{"id":"ITEM-3","itemData":{"DOI":"10.1016/j.polymer.2004.11.007","ISSN":"00323861","abstract":"Through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Allan","non-dropping-particle":"","parse-names":false,"suffix":""}],"container-title":"Polymer","id":"ITEM-3","issue":"2","issued":{"date-parts":[["2005"]]},"page":"335-345","title":"Effect of photoinitiator segregation on polymerization kinetics in lyotropic liquid crystals","type":"article-journal","volume":"46"},"uris":["http://www.mendeley.com/documents/?uuid=9305a569-bf29-4306-91ea-3a1da5446f5a"]},{"id":"ITEM-4","itemData":{"DOI":"10.1021/cm061969a","ISSN":"08974756","abstract":"Lyotropic liquid crystals (LLCs) have recently been employed as polymerization templates to yield highly ordered nanostructured hydrogels, which have shown promise in biological separations and tissue engineering. To allow greater control of hydrogel structure using LLC templates, this study focuses on the influence of polymerization kinetics and temperature on ultimate polymer morphology and properties. A more in-depth understanding of these phenomena has been obtained through extensive examination of polymer structure with small-angle X-ray scattering (SAXS) and scanning electron microscopy (SEM). The impact of different polymerization rate and temperature regimes on polymer morphology was determined using isotropic, cubic, and hexagonal phases as polymerization templates. Polymer morphology varies dramatically depending on LLC phase template, while within a given phase changes in polymerization time scale and temperature greatly impact polymer structure. SAXS reveals a higher degree of retained liquid crystalline order using rapid polymerization at relatively low temperatures. SEM images demonstrate that rapid polymerization yields polymers with highly ordered network structures and nanoscale morphology. Less ordered, thermodynamically driven polymer features result from relatively slow polymerization. The degree of swelling in aqueous solution increases dramatically in ordered LLC phases relative to bulk polymerization, with lower swelling resulting from faster polymerization. Similarly, higher surface area results from polymerization in LLC media relative to isotropic systems, and surface area increases with increasing polymerization rate. © 2006 American Chemical Society.","author":[{"dropping-particle":"","family":"DePierro","given":"Michael A.","non-dropping-particle":"","parse-names":false,"suffix":""},{"dropping-particle":"","family":"Carpenter","given":"Kyle G.","non-dropping-particle":"","parse-names":false,"suffix":""},{"dropping-particle":"","family":"Guymon","given":"C. Allan","non-dropping-particle":"","parse-names":false,"suffix":""}],"container-title":"Chemistry of Materials","id":"ITEM-4","issue":"23","issued":{"date-parts":[["2006","11"]]},"page":"5609-5617","title":"Influence of polymerization conditions on nanostructure and properties of polyacrylamide hydrogels templated from lyotropic liquid crystals","type":"article-journal","volume":"18"},"uris":["http://www.mendeley.com/documents/?uuid=e0a07ef3-cb63-401e-9e29-f5755f782e7d"]},{"id":"ITEM-5","itemData":{"DOI":"10.1021/cm4004849","ISSN":"08974756","abstract":"A promising method of synthesizing polymers with useful property relationships utilizes self-assembling lyotropic liquid crystals (LLCs) as photopolymerization templates to direct polymer structure on the nanometer scale. Unfortunately, thermodynamically driven phase separation of the polymer from the LLC template often occurs during polymerization and prevents control over final polymer nanostructure and properties. In this work, the nanostructure of polyacrylamide is controlled through photopolymerization in LLC templates formed using specific concentrations of polymerizable and nonreactive surfactants. Polymer structure information obtained using electron microscopy, X-ray scattering, and polarized light microscopy indicates that LLC nanostructure is retained during photopolymerization at particular reactive surfactant concentrations. Physical properties including water uptake, diffusivity, and mechanical strength are greater in polyacrylamide systems that exhibit nanostructure as compared to isotropic controls of the same chemical composition. Useful property relationships typically unattainable in traditional hydrogel systems are also observed for nanostructured hydrogels including simultaneous increases in water uptake and mechanical strength. These results demonstrate methods of generating and retaining polymer nanostructure during photopolymerization in systems that otherwise phase separate from the LLC template and may be utilized to synthesize nanostructured polymers with property relationships useful in a growing number of advanced applications. © 2013 American Chemical Society.","author":[{"dropping-particle":"","family":"Forney","given":"Bradley S.","non-dropping-particle":"","parse-names":false,"suffix":""},{"dropping-particle":"","family":"Baguenard","given":"Céline","non-dropping-particle":"","parse-names":false,"suffix":""},{"dropping-particle":"","family":"Guymon","given":"C. Allan","non-dropping-particle":"","parse-names":false,"suffix":""}],"container-title":"Chemistry of Materials","id":"ITEM-5","issue":"15","issued":{"date-parts":[["2013"]]},"page":"2950-2960","title":"Effects of controlling polymer nanostructure using photopolymerization within lyotropic liquid crystalline templates","type":"article-journal","volume":"25"},"uris":["http://www.mendeley.com/documents/?uuid=3abed647-ad42-477e-bd39-1d39d5b7ac76"]},{"id":"ITEM-6","itemData":{"DOI":"10.1039/c3sm50556a","ISSN":"1744683X","abstract":"Temperature-sensitive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Matter","id":"ITEM-6","issue":"31","issued":{"date-parts":[["2013"]]},"page":"7458-7467","title":"Improved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templates","type":"article-journal","volume":"9"},"uris":["http://www.mendeley.com/documents/?uuid=1744ca1d-c40e-4c6d-aa09-30d94aee5e9f"]},{"id":"ITEM-7","itemData":{"DOI":"10.1021/ma001853e","ISSN":"00249297","abstract":"The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Allan","non-dropping-particle":"","parse-names":false,"suffix":""}],"container-title":"Macromolecules","id":"ITEM-7","issue":"13","issued":{"date-parts":[["2001","6"]]},"page":"4430-4438","title":"Photopolymerization kinetics and structure development of templated lyotropic liquid crystalline systems","type":"article-journal","volume":"34"},"uris":["http://www.mendeley.com/documents/?uuid=5ad8b034-dc0f-455e-ac27-09cb31650bdb"]},{"id":"ITEM-8","itemData":{"DOI":"10.1021/cm021703d","ISSN":"08974756","abstract":"Recently,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Materials","id":"ITEM-8","issue":"17","issued":{"date-parts":[["2003"]]},"page":"3376-3384","title":"Physical properties of hydrogels synthesized from lyotropic liquid crystalline templates","type":"article-journal","volume":"15"},"uris":["http://www.mendeley.com/documents/?uuid=f73d1f78-88b7-4d4c-83b6-c3bbcc68b73f"]},{"id":"ITEM-9","itemData":{"DOI":"10.1021/ma030037e","ISSN":"00249297","abstract":"Nanostructured polymers are of significant interest due to their potential use in applications ranging from ultrafiltration membranes to catalysis supports. To date, much research has focused on using small molecular weight surfactants that form lyotropic liquid crystals (LLCs) as polymerization templates or polymerizing reactive LLCs to form such nanostructure in polymers. LLC phases formed from small molecular weight surfactants, however, are in and of themselves neither thermally nor mechanically stable, often rendering it difficult to preserve the LLC structure throughout polymerization. A relatively new class of surfactant molecules, Pluronic block copolymers, may afford increased flexibility in nanostructure development when used as polymerization templates. This work has focused on the photopolymerization of water and oil-soluble monomers in Pluronic lyotropic liquid crystals. In particular, the effect that LLC order and monomer segregation behavior has on monomer polymerization rate has been examined. The order of the LLC mesophase has a significant impact on polymerization rate with faster polymerization occurring in the normal phases for the oil-soluble monomer hexanediol diacrylate (HDDA) and in the inverse phases for the water-soluble monomer poly(ethylene glycol) diacrylate (PEG-400-DA). In addition, the effect of monomer addition and polymerization on LLC order has been characterized, with retention of LLC order before and after photopolymerization. Mesophase thermal stability, or the persistence of an LC phase at elevated temperatures, has also been examined for the polymer/LLC hydrogels to determine how polymer nanostructure differences affect fundamental LLC properties. Interestingly, when PEG-400-DA is polymerized in the continuous domains of the hexagonal mesophase, the clearing point is increased more than 40°C. However, when HDDA is polymerized in the discontinuous domains of hexagonal phase, the mesophase thermal stability increases only 25°C. Conversely, when HDDA is polymerized in the continuous region of the inverse hexagonal phase, the clearing point increases more than 60°C. The difference in polymer nanostructure that evolves during the polymerizations directly impacts the mesophase thermal stability. The LLC polymerization also affects the physical properties of polymer/Pluronic hydrogels with significant differences in compressive modulus observed based on the LLC phase in which the nanostructured polymer is generated.","author":[{"dropping-particle":"","family":"McCormick","given":"Demetrius T.","non-dropping-particle":"","parse-names":false,"suffix":""},{"dropping-particle":"","family":"Stovall","given":"Kalena D.","non-dropping-particle":"","parse-names":false,"suffix":""},{"dropping-particle":"","family":"Guymon","given":"C. Allan","non-dropping-particle":"","parse-names":false,"suffix":""}],"container-title":"Macromolecules","id":"ITEM-9","issue":"17","issued":{"date-parts":[["2003","8"]]},"page":"6549-6558","title":"Photopolymerization in pluronic lyotropic liquid crystals: Induced mesophase thermal stability","type":"article-journal","volume":"36"},"uris":["http://www.mendeley.com/documents/?uuid=ae7754a0-e1c1-4349-91b8-e716989d935f"]},{"id":"ITEM-10","itemData":{"DOI":"10.1080/15421400903065002","ISSN":"15635287","abstract":"Much research has focused on the control of material structure on the nanometer size scale. The self assembled, highly organized solutions inherent to lyotropic liquid crystals (LLCs) have recently emerged as promising tools in the synthesis of organic nanostructured materials. In this work highly ordered LLC morphologies have been utilized as polymerization templates to dictate and achieve unique polymer network structure. The influence of nanoscale organization of the monomer is directly related to the physical and diffusive behavior of the resulting polymer. Additionally, LLC ordered solutions have shown great promise in compatibilizing blends of immiscible monomers. To this end, the precise organization of the LLC has been investigated as a means to segregate immiscible monomers into isolated nanoscale domains for the copolymerization of two separate but interconnected networks. The results from this study have demonstrated that the network structure of PEGDA hydrogels or PEGDA/HDDA blends can be directed by LLC templates, and that the physical properties of the templated materials are indeed influenced by the network structure induced by the templating process. This work has established that LLCs are an important tool in the creation of materials with nanoscopic architecture that directly leads to attractive and previously unattainable materials properties. Copyright © Taylor &amp; Francis Group, LLC.","author":[{"dropping-particle":"","family":"Clapper","given":"Jason D.","non-dropping-particle":"","parse-names":false,"suffix":""},{"dropping-particle":"","family":"Guymon","given":"C. Allan","non-dropping-particle":"","parse-names":false,"suffix":""}],"container-title":"Molecular Crystals and Liquid Crystals","id":"ITEM-10","issue":"1","issued":{"date-parts":[["2009","9","3"]]},"page":"30/[772]-38/[780]","title":"Nanostructured hydrogels via photopolymerization in lyotropic liquid crystalline systems","type":"article-journal","volume":"509"},"uris":["http://www.mendeley.com/documents/?uuid=05af8024-a4fb-4e19-a6ff-77bdc878f76d"]},{"id":"ITEM-11","itemData":{"DOI":"10.1016/j.polymer.2018.03.016","ISSN":"00323861","abstract":"In this work, stimuli-responsive, superabsorbent materials are created by copolymerization of stimuli-responsive poly(n-isopropyl acrylamide) (PNIPAM) in combination with superabsorbent sodium acrylate (SA) via photopolymerization in lyotropic liquid crystal (LLC) templates. Templating PNIPAM in LLC mesophases imparts nanostructure to the polymer that significantly increases transport and swelling when compared to isotropic hydrogels. These materials exhibit twice the equilibrium swelling of analogous non-templated materials and show a dynamic range between the swollen and deswollen state that is 5 times greater. To further augment this stimuli-responsive range, LLC-templated PNIPAM was combined with the superabsorbent monomer sodium acrylate (SA). As SA concentration is increased, significant structure changes are observed during polymerization that leads to less-defined nanostructure and lower stimuli response. Maximum swelling and temperature response are observed at low concentrations of SA (</w:instrText>
      </w:r>
      <w:r w:rsidR="005C60C1" w:rsidRPr="006D631C">
        <w:rPr>
          <w:rFonts w:ascii="Cambria Math" w:hAnsi="Cambria Math" w:cs="Cambria Math"/>
        </w:rPr>
        <w:instrText>∼</w:instrText>
      </w:r>
      <w:r w:rsidR="005C60C1" w:rsidRPr="006D631C">
        <w:rPr>
          <w:rFonts w:asciiTheme="majorBidi" w:hAnsiTheme="majorBidi" w:cstheme="majorBidi"/>
        </w:rPr>
        <w:instrText>2 wt%). These LLC-templated copolymers exhibit stimuli-responsive volume transitions up to 40 times and equilibrium swelling ratios of 60 times their dry mass. This 600% increase in thermal response is due to the combined high swelling capabilities of SA with the enhanced thermal-response behavior induced by the LLC-templated nanostructure. Additionally, the nanostructure induces fast deswelling rates at temperatures above the lowest critical solution temperature of PNIPAM. The high dynamic range and quick response of this composition could allow for the development of superabsorbent, stimuli-responsive hydrogels in a variety of biomaterial, microfluidic, and water remediation applications.","author":[{"dropping-particle":"","family":"McLaughlin","given":"Jacob R.","non-dropping-particle":"","parse-names":false,"suffix":""},{"dropping-particle":"","family":"Abbott","given":"Nicholas L.","non-dropping-particle":"","parse-names":false,"suffix":""},{"dropping-particle":"","family":"Guymon","given":"C. Allan","non-dropping-particle":"","parse-names":false,"suffix":""}],"container-title":"Polymer","id":"ITEM-11","issued":{"date-parts":[["2018","4"]]},"page":"119-126","title":"Responsive superabsorbent hydrogels via photopolymerization in lyotropic liquid crystal templates","type":"article-journal","volume":"142"},"uris":["http://www.mendeley.com/documents/?uuid=8899ff0c-5b1e-46dd-a332-a7faed8dd226"]}],"mendeley":{"formattedCitation":"&lt;sup&gt;36–46&lt;/sup&gt;","plainTextFormattedCitation":"36–46","previouslyFormattedCitation":"&lt;sup&gt;36–46&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36–46</w:t>
      </w:r>
      <w:r w:rsidRPr="006D631C">
        <w:rPr>
          <w:rFonts w:asciiTheme="majorBidi" w:hAnsiTheme="majorBidi" w:cstheme="majorBidi"/>
        </w:rPr>
        <w:fldChar w:fldCharType="end"/>
      </w:r>
      <w:r w:rsidRPr="006D631C">
        <w:rPr>
          <w:rFonts w:asciiTheme="majorBidi" w:hAnsiTheme="majorBidi" w:cstheme="majorBidi"/>
        </w:rPr>
        <w:t xml:space="preserve"> For body motion sensors, LLC templating has provided an opportunity to fabricate conductive materials with improved mechanical properties over non-LLC counterparts.</w:t>
      </w:r>
      <w:r w:rsidRPr="006D631C">
        <w:rPr>
          <w:rFonts w:asciiTheme="majorBidi" w:hAnsiTheme="majorBidi" w:cstheme="majorBidi"/>
        </w:rPr>
        <w:fldChar w:fldCharType="begin" w:fldLock="1"/>
      </w:r>
      <w:r w:rsidR="004D4E9B" w:rsidRPr="006D631C">
        <w:rPr>
          <w:rFonts w:asciiTheme="majorBidi" w:hAnsiTheme="majorBidi" w:cstheme="majorBidi"/>
        </w:rPr>
        <w:instrText>ADDIN CSL_CITATION {"citationItems":[{"id":"ITEM-1","itemData":{"DOI":"10.1021/acsmacrolett.6b00790","ISSN":"21611653","abstract":"The emerging technologies involving wearable electronics require new materials with high stretchability, resistance to high loads, and high conductivities. We report a facile synthetic strategy based on self-assembly of concentrated solutions of end-functionalized PEO106-PPO70-PEO106 triblock copolymer in ethylammonium nitrate into face-centered cubic micellar crystals, followed by micelle corona cross-linking to generate elastomeric ion gels (iono-elastomers). These materials exhibit an unprecedented combination of high stretchability, high ionic conductivity, and mechanoelectrical response. The latter consists of a remarkable and counterintuitive increase in ion conductivity with strain during uniaxial extension, which is reversible upon load release. Based on in situ SAXS measurements of reversible crystal structure transformations during deformation, we postulate that the origin of the conductivity increase is a reversible formation of ion nanochannels due to a novel microstructural rearrangement specific to this material.","author":[{"dropping-particle":"","family":"López-Barrón","given":"Carlos R.","non-dropping-particle":"","parse-names":false,"suffix":""},{"dropping-particle":"","family":"Chen","given":"Ru","non-dropping-particle":"","parse-names":false,"suffix":""},{"dropping-particle":"","family":"Wagner","given":"Norman J.","non-dropping-particle":"","parse-names":false,"suffix":""}],"container-title":"ACS Macro Letters","id":"ITEM-1","issue":"12","issued":{"date-parts":[["2016"]]},"page":"1332-1338","title":"Ultrastretchable Iono-Elastomers with Mechanoelectrical Response","type":"article-journal","volume":"5"},"uris":["http://www.mendeley.com/documents/?uuid=d94ed24e-94b1-4abc-96df-3cf80d984941"]},{"id":"ITEM-2","itemData":{"DOI":"10.1021/acsami.8b10672","ISSN":"19448252","abstract":"An ultrastretchable iono-elastomer with resistance sensitive to both elongation strain and temperature has been developed by hierarchical self-assembly of an end functionalized triblock copolymer in a protic ionic liquid (ethylammonium nitrate) followed by cross-linking. Small-angle X-ray scattering experiments in situ with uniaxial elongation reveal a nanoscale microstructural transition of the hierarchically self-assembled cross-linked micelles that is responsible for the material's remarkable mechanical and ionic conductivity responses. The results show that the intermicelle distance extends along the deformation direction while the micelles organize into a long-range ordered face-centered-cubic structure during the uniaxial elongation. Besides good cyclability and resistance to selected physical damage, the iono-elastomer simultaneously achieves an unprecedented combination of high stretchability (340%), highly linear resistance vs elongation strain (R2 = 0.998), and large temperature gauge factor (ΔR/R = 3.24%/°C@30 °C). Human subject testing demonstrates that the iono-elastomer-based wearable thermomechanical sensor is able to effectively and accurately register both body motion and skin temperature simultaneously.","author":[{"dropping-particle":"","family":"Xie","given":"Yunsong","non-dropping-particle":"","parse-names":false,"suffix":""},{"dropping-particle":"","family":"Xie","given":"Ru","non-dropping-particle":"","parse-names":false,"suffix":""},{"dropping-particle":"","family":"Yang","given":"Hao Cheng","non-dropping-particle":"","parse-names":false,"suffix":""},{"dropping-particle":"","family":"Chen","given":"Zhaowei","non-dropping-particle":"","parse-names":false,"suffix":""},{"dropping-particle":"","family":"Hou","given":"Jingwei","non-dropping-particle":"","parse-names":false,"suffix":""},{"dropping-particle":"","family":"López-Barrón","given":"Carlos R.","non-dropping-particle":"","parse-names":false,"suffix":""},{"dropping-particle":"","family":"Wagner","given":"Norman J.","non-dropping-particle":"","parse-names":false,"suffix":""},{"dropping-particle":"","family":"Gao","given":"Kai Zhong","non-dropping-particle":"","parse-names":false,"suffix":""}],"container-title":"ACS Applied Materials and Interfaces","id":"ITEM-2","issue":"38","issued":{"date-parts":[["2018"]]},"page":"32435-32443","title":"Iono-Elastomer-Based Wearable Strain Sensor with Real-Time Thermomechanical Dual Response","type":"article-journal","volume":"10"},"uris":["http://www.mendeley.com/documents/?uuid=ac01ca70-c8c7-4385-90f3-881be2b6ddd1"]},{"id":"ITEM-3","itemData":{"DOI":"10.1021/acs.macromol.6b00205","ISSN":"15205835","abstract":"The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J.","non-dropping-particle":"","parse-names":false,"suffix":""}],"container-title":"Macromolecules","id":"ITEM-3","issue":"14","issued":{"date-parts":[["2016"]]},"page":"5179-5189","title":"Self-Assembly of Pluronic F127 Diacrylate in Ethylammonium Nitrate: Structure, Rheology, and Ionic Conductivity before and after Photo-Cross-Linking","type":"article-journal","volume":"49"},"uris":["http://www.mendeley.com/documents/?uuid=6ddc0c83-b7e6-4ae7-bbbe-b38e8eb525a5"]}],"mendeley":{"formattedCitation":"&lt;sup&gt;13,47,48&lt;/sup&gt;","plainTextFormattedCitation":"13,47,48","previouslyFormattedCitation":"&lt;sup&gt;13,47,48&lt;/sup&gt;"},"properties":{"noteIndex":0},"schema":"https://github.com/citation-style-language/schema/raw/master/csl-citation.json"}</w:instrText>
      </w:r>
      <w:r w:rsidRPr="006D631C">
        <w:rPr>
          <w:rFonts w:asciiTheme="majorBidi" w:hAnsiTheme="majorBidi" w:cstheme="majorBidi"/>
        </w:rPr>
        <w:fldChar w:fldCharType="separate"/>
      </w:r>
      <w:r w:rsidR="00D12107" w:rsidRPr="006D631C">
        <w:rPr>
          <w:rFonts w:asciiTheme="majorBidi" w:hAnsiTheme="majorBidi" w:cstheme="majorBidi"/>
          <w:noProof/>
          <w:vertAlign w:val="superscript"/>
        </w:rPr>
        <w:t>13,47,48</w:t>
      </w:r>
      <w:r w:rsidRPr="006D631C">
        <w:rPr>
          <w:rFonts w:asciiTheme="majorBidi" w:hAnsiTheme="majorBidi" w:cstheme="majorBidi"/>
        </w:rPr>
        <w:fldChar w:fldCharType="end"/>
      </w:r>
      <w:r w:rsidRPr="006D631C">
        <w:rPr>
          <w:rFonts w:asciiTheme="majorBidi" w:hAnsiTheme="majorBidi" w:cstheme="majorBidi"/>
        </w:rPr>
        <w:t xml:space="preserve"> Additionally, distinctive catalytic activity/selectivity compared to commercially used catalysts has been reported for the catalytic systems fabricated through LLC templating approach.</w:t>
      </w:r>
      <w:r w:rsidRPr="006D631C">
        <w:rPr>
          <w:rFonts w:asciiTheme="majorBidi" w:hAnsiTheme="majorBidi" w:cstheme="majorBidi"/>
        </w:rPr>
        <w:fldChar w:fldCharType="begin" w:fldLock="1"/>
      </w:r>
      <w:r w:rsidR="004D4E9B" w:rsidRPr="006D631C">
        <w:rPr>
          <w:rFonts w:asciiTheme="majorBidi" w:hAnsiTheme="majorBidi" w:cstheme="majorBidi"/>
        </w:rPr>
        <w:instrText>ADDIN CSL_CITATION {"citationItems":[{"id":"ITEM-1","itemData":{"DOI":"10.1021/ar000140d","ISSN":"0001-4842","PMID":"11747415","abstract":"The development of functional materials with nanometer-scale architectures and the effect of these architectures on their chemical and physical properties are currently of great interest in materials design. Polymerizable lyotropic liquid crystal (LLC) assemblies provide a facile entry into this area by allowing one to fix the inherent order in these systems using covalent bonds to create robust, nanostructured materials. The use of the cross-linked inverted hexagonal phase in templated nanocomposite formation and heterogeneous catalysis has been demonstrated. Additionally, the polymerization of LLC mesogens in the regular hexagonal and bicontinuous cubic phases is being targeted for future developments in functional materials. Future directions for new applications of these materials are also discussed.","author":[{"dropping-particle":"","family":"Gin","given":"Douglas L.","non-dropping-particle":"","parse-names":false,"suffix":""},{"dropping-particle":"","family":"Gu","given":"Weiqiang","non-dropping-particle":"","parse-names":false,"suffix":""},{"dropping-particle":"","family":"Pindzola","given":"Bradford A.","non-dropping-particle":"","parse-names":false,"suffix":""},{"dropping-particle":"","family":"Zhou","given":"Wen-Jing","non-dropping-particle":"","parse-names":false,"suffix":""}],"container-title":"Accounts of Chemical Research","id":"ITEM-1","issue":"12","issued":{"date-parts":[["2001","12","1"]]},"page":"973-980","title":"Polymerized Lyotropic Liquid Crystal Assemblies for Materials Applications","type":"article-journal","volume":"34"},"uris":["http://www.mendeley.com/documents/?uuid=5f6b5502-c4bc-404f-a3c1-398c3f179c5e"]},{"id":"ITEM-2","itemData":{"DOI":"10.1021/cm0101531","ISSN":"08974756","abstract":"A nanostructured, polymer-supported Sc(III) catalyst for heterogeneous Lewis acid catalysis in water was prepared by quantitative Sc(III) exchange of a cross-linked inverted hexagonal assembly containing sodium sulfonate groups. The material was found to catalyze Mukaiyama aldol and Mannich reactions with a syn/anti product ratio of ca. 2/1, whereas Sc(III) catalysts in solution and on amorphous polymer supports do not show any significant syn/anti diastereo-selectivity under similar conditions.","author":[{"dropping-particle":"","family":"Gu","given":"W.","non-dropping-particle":"","parse-names":false,"suffix":""},{"dropping-particle":"","family":"Zhou","given":"W. J.","non-dropping-particle":"","parse-names":false,"suffix":""},{"dropping-particle":"","family":"Gin","given":"D. L.","non-dropping-particle":"","parse-names":false,"suffix":""}],"container-title":"Chemistry of Materials","id":"ITEM-2","issue":"6","issued":{"date-parts":[["2001"]]},"page":"1949-1951","title":"A nanostructured, scandium-containing polymer for heterogeneous Lewis acid catalysis in water","type":"article-journal","volume":"13"},"uris":["http://www.mendeley.com/documents/?uuid=e814ccd6-4e46-428f-bf7e-6d8e300b9d2f"]}],"mendeley":{"formattedCitation":"&lt;sup&gt;29,49&lt;/sup&gt;","plainTextFormattedCitation":"29,49","previouslyFormattedCitation":"&lt;sup&gt;29,49&lt;/sup&gt;"},"properties":{"noteIndex":0},"schema":"https://github.com/citation-style-language/schema/raw/master/csl-citation.json"}</w:instrText>
      </w:r>
      <w:r w:rsidRPr="006D631C">
        <w:rPr>
          <w:rFonts w:asciiTheme="majorBidi" w:hAnsiTheme="majorBidi" w:cstheme="majorBidi"/>
        </w:rPr>
        <w:fldChar w:fldCharType="separate"/>
      </w:r>
      <w:r w:rsidR="00D12107" w:rsidRPr="006D631C">
        <w:rPr>
          <w:rFonts w:asciiTheme="majorBidi" w:hAnsiTheme="majorBidi" w:cstheme="majorBidi"/>
          <w:noProof/>
          <w:vertAlign w:val="superscript"/>
        </w:rPr>
        <w:t>29,49</w:t>
      </w:r>
      <w:r w:rsidRPr="006D631C">
        <w:rPr>
          <w:rFonts w:asciiTheme="majorBidi" w:hAnsiTheme="majorBidi" w:cstheme="majorBidi"/>
        </w:rPr>
        <w:fldChar w:fldCharType="end"/>
      </w:r>
      <w:r w:rsidRPr="006D631C">
        <w:rPr>
          <w:rFonts w:asciiTheme="majorBidi" w:hAnsiTheme="majorBidi" w:cstheme="majorBidi"/>
        </w:rPr>
        <w:t xml:space="preserve"> Unique light emitting </w:t>
      </w:r>
      <w:r w:rsidRPr="006D631C">
        <w:rPr>
          <w:rFonts w:asciiTheme="majorBidi" w:hAnsiTheme="majorBidi" w:cstheme="majorBidi"/>
        </w:rPr>
        <w:lastRenderedPageBreak/>
        <w:t>properties are another advantage of LLC-templated products over non-LLC materials.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{"citationItems":[{"id":"ITEM-1","itemData":{"DOI":"10.1021/ja963837w","ISSN":"00027863","author":[{"dropping-particle":"","family":"Smith","given":"R. C.","non-dropping-particle":"","parse-names":false,"suffix":""},{"dropping-particle":"","family":"Fischer","given":"W. M.","non-dropping-particle":"","parse-names":false,"suffix":""},{"dropping-particle":"","family":"Gin","given":"D. L.","non-dropping-particle":"","parse-names":false,"suffix":""}],"container-title":"Journal of the American Chemical Society","id":"ITEM-1","issue":"17","issued":{"date-parts":[["1997"]]},"page":"4092-4093","title":"Ordered poly(p-phenylenevinylene) matrix nanocomposites via lyotropic liquid-crystalline monomers","type":"article-journal","volume":"119"},"uris":["http://www.mendeley.com/documents/?uuid=09a9c592-287e-474f-98ab-faed43f1cc64"]},{"id":"ITEM-2","itemData":{"DOI":"10.1002/adma.19970090912","ISSN":"09359648","author":[{"dropping-particle":"","family":"Gray","given":"David H.","non-dropping-particle":"","parse-names":false,"suffix":""},{"dropping-particle":"","family":"Hu","given":"Sanlin","non-dropping-particle":"","parse-names":false,"suffix":""},{"dropping-particle":"","family":"Juang","given":"Elizabeth","non-dropping-particle":"","parse-names":false,"suffix":""},{"dropping-particle":"","family":"Gin","given":"Douglas L.","non-dropping-particle":"","parse-names":false,"suffix":""}],"container-title":"Advanced Materials","id":"ITEM-2","issue":"9","issued":{"date-parts":[["1997"]]},"page":"731-736","title":"Highly ordered polymer-inorganic nanocomposites via monomer self-assembly: In situ condensation approach","type":"article-journal","volume":"9"},"uris":["http://www.mendeley.com/documents/?uuid=c5bc288b-d158-44a6-a5a3-96a73666ff96"]}],"mendeley":{"formattedCitation":"&lt;sup&gt;50,51&lt;/sup&gt;","plainTextFormattedCitation":"50,51","previouslyFormattedCitation":"&lt;sup&gt;50,51&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50,51</w:t>
      </w:r>
      <w:r w:rsidRPr="006D631C">
        <w:rPr>
          <w:rFonts w:asciiTheme="majorBidi" w:hAnsiTheme="majorBidi" w:cstheme="majorBidi"/>
        </w:rPr>
        <w:fldChar w:fldCharType="end"/>
      </w:r>
      <w:r w:rsidRPr="006D631C">
        <w:rPr>
          <w:rFonts w:asciiTheme="majorBidi" w:hAnsiTheme="majorBidi" w:cstheme="majorBidi"/>
        </w:rPr>
        <w:t xml:space="preserve"> There are many other potential applications (e.g., energy storage devices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{"citationItems":[{"id":"ITEM-1","itemData":{"DOI":"10.1021/acs.iecr.9b04592","ISSN":"15205045","abstract":"Anion-exchange membranes (AEMs) often dehydrate and lose ionic conductivity in ferric chloride solutions used in all-iron or iron-chromium redox flow batteries (RFB). In this work, the change in material and ionic transport properties of three AEMs with similar concentrations of ion exchange sites and hydration numbers (mol H2O/mol ion exchange site) upon exposure to ferric chloride/hydrochloric acid solutions were studied. Raman spectroscopy and iron sorption measurements show that FeCl4- occupies a fraction of the AEM ion exchange sites that depends on the ferric chloride concentration in the external solution. The AEM hydration number is linearly proportional to the amount of iron sorbed in the AEMs, suggesting that the displacement of the original hydrated Cl- counterions for unhydrated FeCl4- is the dominant mechanism for membrane dehydration. The ionic resistivity of the AEMs containing FeCl4- increased by as much as 4 orders of magnitude due to dehydration and, at high FeCl3 solution concentrations (≥1.4M), also due to nonideal solution effects. Although the three AEMs have similar ion exchange site concentrations, the AEM with the closer local spacing of ion exchange sites exhibits higher FeCl4- sorption, and a correspondingly greater dehydration and resistivity increase in dilute FeCl3 solutions.","author":[{"dropping-particle":"","family":"McGrath","given":"Michael J.","non-dropping-particle":"","parse-names":false,"suffix":""},{"dropping-particle":"","family":"Patterson","given":"Nicholas","non-dropping-particle":"","parse-names":false,"suffix":""},{"dropping-particle":"","family":"Manubay","given":"Bryce C.","non-dropping-particle":"","parse-names":false,"suffix":""},{"dropping-particle":"","family":"Hardy","given":"Samantha H.","non-dropping-particle":"","parse-names":false,"suffix":""},{"dropping-particle":"","family":"Malecha","given":"John J.","non-dropping-particle":"","parse-names":false,"suffix":""},{"dropping-particle":"","family":"Shi","given":"Zhangxing","non-dropping-particle":"","parse-names":false,"suffix":""},{"dropping-particle":"","family":"Yue","given":"Xiujun","non-dropping-particle":"","parse-names":false,"suffix":""},{"dropping-particle":"","family":"Xing","given":"Xing","non-dropping-particle":"","parse-names":false,"suffix":""},{"dropping-particle":"","family":"Funke","given":"Hans H.","non-dropping-particle":"","parse-names":false,"suffix":""},{"dropping-particle":"","family":"Gin","given":"Douglas L.","non-dropping-particle":"","parse-names":false,"suffix":""},{"dropping-particle":"","family":"Liu","given":"Ping","non-dropping-particle":"","parse-names":false,"suffix":""},{"dropping-particle":"","family":"Noble","given":"Richard D.","non-dropping-particle":"","parse-names":false,"suffix":""}],"container-title":"Industrial and Engineering Chemistry Research","id":"ITEM-1","issue":"49","issued":{"date-parts":[["2019"]]},"page":"22250-22259","title":"110th Anniversary: The Dehydration and Loss of Ionic Conductivity in Anion Exchange Membranes Due to FeCl4- Ion Exchange and the Role of Membrane Microstructure","type":"article-journal","volume":"58"},"uris":["http://www.mendeley.com/documents/?uuid=0b80f95a-a1ae-47a5-9e32-d044734acfbe"]}],"mendeley":{"formattedCitation":"&lt;sup&gt;52&lt;/sup&gt;","plainTextFormattedCitation":"52","previouslyFormattedCitation":"&lt;sup&gt;52&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52</w:t>
      </w:r>
      <w:r w:rsidRPr="006D631C">
        <w:rPr>
          <w:rFonts w:asciiTheme="majorBidi" w:hAnsiTheme="majorBidi" w:cstheme="majorBidi"/>
        </w:rPr>
        <w:fldChar w:fldCharType="end"/>
      </w:r>
      <w:r w:rsidRPr="006D631C">
        <w:rPr>
          <w:rFonts w:asciiTheme="majorBidi" w:hAnsiTheme="majorBidi" w:cstheme="majorBidi"/>
        </w:rPr>
        <w:t xml:space="preserve">) for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which will be further discussed in section </w:t>
      </w:r>
      <w:r w:rsidR="002518E2" w:rsidRPr="006D631C">
        <w:rPr>
          <w:rFonts w:asciiTheme="majorBidi" w:hAnsiTheme="majorBidi" w:cstheme="majorBidi"/>
        </w:rPr>
        <w:t>1-</w:t>
      </w:r>
      <w:r w:rsidRPr="006D631C">
        <w:rPr>
          <w:rFonts w:asciiTheme="majorBidi" w:hAnsiTheme="majorBidi" w:cstheme="majorBidi"/>
        </w:rPr>
        <w:t xml:space="preserve">7.     </w:t>
      </w:r>
    </w:p>
    <w:p w14:paraId="24606256" w14:textId="506D2509" w:rsidR="00142AB2" w:rsidRPr="006D631C" w:rsidRDefault="00142AB2" w:rsidP="00305B4E">
      <w:pPr>
        <w:tabs>
          <w:tab w:val="left" w:pos="90"/>
          <w:tab w:val="left" w:pos="360"/>
          <w:tab w:val="left" w:pos="992"/>
        </w:tabs>
        <w:rPr>
          <w:rFonts w:asciiTheme="majorBidi" w:hAnsiTheme="majorBidi" w:cstheme="majorBidi"/>
        </w:rPr>
      </w:pPr>
      <w:r w:rsidRPr="006D631C">
        <w:rPr>
          <w:rFonts w:asciiTheme="majorBidi" w:hAnsiTheme="majorBidi" w:cstheme="majorBidi"/>
        </w:rPr>
        <w:t xml:space="preserve">The interesting properties of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have promoted the LLC templating approach for a variety of organic compounds since the first trials of synergistic templating by </w:t>
      </w:r>
      <w:proofErr w:type="spellStart"/>
      <w:r w:rsidRPr="006D631C">
        <w:rPr>
          <w:rFonts w:asciiTheme="majorBidi" w:hAnsiTheme="majorBidi" w:cstheme="majorBidi"/>
        </w:rPr>
        <w:t>Luzzati</w:t>
      </w:r>
      <w:proofErr w:type="spellEnd"/>
      <w:r w:rsidRPr="006D631C">
        <w:rPr>
          <w:rFonts w:asciiTheme="majorBidi" w:hAnsiTheme="majorBidi" w:cstheme="majorBidi"/>
        </w:rPr>
        <w:t xml:space="preserve"> and coworkers in the 1960s.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10.1002/polc.5070040241","ISSN":"04492994","author":[{"dropping-particle":"","family":"Herz","given":"Jean","non-dropping-particle":"","parse-names":false,"suffix":""},{"dropping-particle":"","family":"Reiss-Husson","given":"Françoise","non-dropping-particle":"","parse-names":false,"suffix":""},{"dropping-particle":"","family":"Rempp","given":"Paul","non-dropping-particle":"","parse-names":false,"suffix":""},{"dropping-particle":"","family":"Luzzati","given":"Vittorio","non-dropping-particle":"","parse-names":false,"suffix":""}],"container-title":"Journal of Polymer Science Part C: Polymer Symposia","id":"ITEM-1","issue":"2","issued":{"date-parts":[["2007","3","7"]]},"page":"1275-1290","title":"Quelques Exemples de Polymérisation en Phase Mésomorphe","type":"article-journal","volume":"4"},"uris":["http://www.mendeley.com/documents/?uuid=d1a2c856-2c3a-4bf2-8ad8-afc5e2f554f3"]}],"mendeley":{"formattedCitation":"&lt;sup&gt;53&lt;/sup&gt;","plainTextFormattedCitation":"53","previouslyFormattedCitation":"&lt;sup&gt;53&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53</w:t>
      </w:r>
      <w:r w:rsidRPr="006D631C">
        <w:rPr>
          <w:rFonts w:asciiTheme="majorBidi" w:hAnsiTheme="majorBidi" w:cstheme="majorBidi"/>
        </w:rPr>
        <w:fldChar w:fldCharType="end"/>
      </w:r>
      <w:r w:rsidRPr="006D631C">
        <w:rPr>
          <w:rFonts w:asciiTheme="majorBidi" w:hAnsiTheme="majorBidi" w:cstheme="majorBidi"/>
        </w:rPr>
        <w:t xml:space="preserve"> In-lab synthesized reactive surfactants have been used in almost all of the synergistic templating studies. For the case of transcriptive templating, there have been several reports concerning the polymerization of widely available (co)monomers and/or cross-linkers in LLC structures created by the solution self-assembly of commercially produced non-reactive surfactant molecules. In the latter case, the cross-linker is used to prevent structure loss during polymerization by kinetically trapping the formed polymer chains and therefore avoiding phase separation/inversion.</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{"citationItems":[{"id":"ITEM-1","itemData":{"DOI":"10.1021/la00038a065","ISSN":"15205827","abstract":"The determination of five separate one-phase regions, corresponding to five distinct bicontinuous cubic phase microstructures, in the phase diagram of DDAB (didodecyldimethylammonium bromide)-waterstyrene at 20 °C, provides a unique opportunity to study progressions between distinct cubic phases. A thorough phase behavior study of this region is reported, involving hundreds of samples and aided by the NMR self-diffusion technique and small-angle X-ray scattering (SAXS) technique. Two-phase samples have been found in each of the four two-phase regions separating these different monophasic regions, as well as the required three-phase samples involving cubic, lamellar, water-rich, and microemulsion phases. The structural sequence for the four cubic regions starting at lowest water content and increasing, identified by reference to the minimal surface dividing the infinitely connected bilayer, is proposed to be G (Ia3d) → D (Pn3m) → P (Im3m) → C(P) (Im3m) (Neovius' surface). The structure of the fifth cubic phase is unknown, but it is shown that the minimal surface describing this structure has a low value of γ = -(2/π)(S/V2/3)3/XE, more specifically γ &lt; 1.7 and probably γ &lt; 1.5, where the dimensionless area and the Euler characteristic are measured over any representative patch of surface. We conjecture that the “C(D)” minimal surface describes this cubic phase. A free energy theory based on surfactant chain lengths and head group areas gives qualitative agreement with the observed phase boundaries and with lattice parameters reported in the literature with cyclohexane and octane as hydrophobe. This progression can also be qualitatively understood in terms of simple arguments focusing on the mean curvature of the polar-apolar interface and does not require the introduction of a second curvature free energy contribution such as a Gaussian curvature term; a more precise interpretation is that the mean curvature term far outweighs the “difference curvature” term. The same two theoretical approaches also explain the strong slope of the phase boundaries with respect to the lines of constant waiter content, the “slowing down” of the lattice parameter increase as the phase boundaries are approached, and the tell-tale jump in the monolayer mean curvature across each of the two-phase regions. The water self-diffusion rate plotted as a function of water volume fraction falls on five curves corresponding to the five one-phase regions, with discontinuities at the phas…","author":[{"dropping-particle":"","family":"Ström","given":"Pelle","non-dropping-particle":"","parse-names":false,"suffix":""},{"dropping-particle":"","family":"Anderson","given":"David M.","non-dropping-particle":"","parse-names":false,"suffix":""}],"container-title":"Langmuir","id":"ITEM-1","issue":"2","issued":{"date-parts":[["1992"]]},"page":"691-709","title":"The Cubic Phase Region in the System Didodecyldimethylammonium Bromide-Water-Styrene","type":"article-journal","volume":"8"},"uris":["http://www.mendeley.com/documents/?uuid=2d5adf0f-e14e-4b98-9688-13e88e40a84c"]},{"id":"ITEM-2","itemData":{"DOI":"10.1002/anie.201500305","ISSN":"15213773","abstract":"A soft chemistry synthetic strategy based on a Friedel-Crafts alkylation reaction is developed for the textural engineering of phenolic resin (PR) with a robust mesoporous framework to avoid serious framework shrinkage and maximize retention of organic functional moieties. By taking advantage of the structural benefits of molecular bridges, the resultant sample maintains a bimodal micro-mesoporous architecture with well-preserved organic functional groups, which is effective for carbon capture. Moreover, this soft chemistry synthetic protocol can be further extended to nanotexture other arene-based polymers with robust frameworks.","author":[{"dropping-particle":"","family":"Zhang","given":"Jinshui","non-dropping-particle":"","parse-names":false,"suffix":""},{"dropping-particle":"","family":"Qiao","given":"Zhen An","non-dropping-particle":"","parse-names":false,"suffix":""},{"dropping-particle":"","family":"Mahurin","given":"Shannon M.","non-dropping-particle":"","parse-names":false,"suffix":""},{"dropping-particle":"","family":"Jiang","given":"Xueguang","non-dropping-particle":"","parse-names":false,"suffix":""},{"dropping-particle":"","family":"Chai","given":"Song Hai","non-dropping-particle":"","parse-names":false,"suffix":""},{"dropping-particle":"","family":"Lu","given":"Hanfeng","non-dropping-particle":"","parse-names":false,"suffix":""},{"dropping-particle":"","family":"Nelson","given":"Kimberly","non-dropping-particle":"","parse-names":false,"suffix":""},{"dropping-particle":"","family":"Dai","given":"Sheng","non-dropping-particle":"","parse-names":false,"suffix":""}],"container-title":"Angewandte Chemie - International Edition","id":"ITEM-2","issue":"15","issued":{"date-parts":[["2015"]]},"page":"4582-4586","title":"Hypercrosslinked Phenolic Polymers with Well-Developed Mesoporous Frameworks","type":"article-journal","volume":"54"},"uris":["http://www.mendeley.com/documents/?uuid=52ccadb5-384b-42ce-bdf4-f3a9e59fbf7b"]}],"mendeley":{"formattedCitation":"&lt;sup&gt;54,55&lt;/sup&gt;","plainTextFormattedCitation":"54,55","previouslyFormattedCitation":"&lt;sup&gt;54,55&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54,55</w:t>
      </w:r>
      <w:r w:rsidRPr="006D631C">
        <w:rPr>
          <w:rFonts w:asciiTheme="majorBidi" w:hAnsiTheme="majorBidi" w:cstheme="majorBidi"/>
        </w:rPr>
        <w:fldChar w:fldCharType="end"/>
      </w:r>
      <w:r w:rsidRPr="006D631C">
        <w:rPr>
          <w:rFonts w:asciiTheme="majorBidi" w:hAnsiTheme="majorBidi" w:cstheme="majorBidi"/>
        </w:rPr>
        <w:t xml:space="preserve"> The chemistry, polarity, shape, and concentration of LLC components are not only key factors for preserving the structure, but also determine the reaction kinetics as well as the properties of the final nano-structure.</w:t>
      </w:r>
      <w:r w:rsidRPr="006D631C">
        <w:rPr>
          <w:rFonts w:asciiTheme="majorBidi" w:hAnsiTheme="majorBidi" w:cstheme="majorBidi"/>
        </w:rPr>
        <w:fldChar w:fldCharType="begin" w:fldLock="1"/>
      </w:r>
      <w:r w:rsidR="004D4E9B"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D12107"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Hence, a wide variety of reactive </w:t>
      </w:r>
      <w:proofErr w:type="spellStart"/>
      <w:r w:rsidRPr="006D631C">
        <w:rPr>
          <w:rFonts w:asciiTheme="majorBidi" w:hAnsiTheme="majorBidi" w:cstheme="majorBidi"/>
        </w:rPr>
        <w:t>amphiphiles</w:t>
      </w:r>
      <w:proofErr w:type="spellEnd"/>
      <w:r w:rsidRPr="006D631C">
        <w:rPr>
          <w:rFonts w:asciiTheme="majorBidi" w:hAnsiTheme="majorBidi" w:cstheme="majorBidi"/>
        </w:rPr>
        <w:t xml:space="preserve"> and different combinations of non-reactive surfactants</w:t>
      </w:r>
      <w:proofErr w:type="gramStart"/>
      <w:r w:rsidRPr="006D631C">
        <w:rPr>
          <w:rFonts w:asciiTheme="majorBidi" w:hAnsiTheme="majorBidi" w:cstheme="majorBidi"/>
        </w:rPr>
        <w:t>/(</w:t>
      </w:r>
      <w:proofErr w:type="gramEnd"/>
      <w:r w:rsidRPr="006D631C">
        <w:rPr>
          <w:rFonts w:asciiTheme="majorBidi" w:hAnsiTheme="majorBidi" w:cstheme="majorBidi"/>
        </w:rPr>
        <w:t xml:space="preserve">co)monomers have been used to perform successful synergistic and transcriptive LLC templating as listed in </w:t>
      </w:r>
      <w:r w:rsidR="00305B4E" w:rsidRPr="006D631C">
        <w:rPr>
          <w:rFonts w:asciiTheme="majorBidi" w:hAnsiTheme="majorBidi" w:cstheme="majorBidi"/>
        </w:rPr>
        <w:t>Figure 1-4</w:t>
      </w:r>
      <w:r w:rsidRPr="006D631C">
        <w:rPr>
          <w:rFonts w:asciiTheme="majorBidi" w:hAnsiTheme="majorBidi" w:cstheme="majorBidi"/>
        </w:rPr>
        <w:t xml:space="preserve"> and Fig</w:t>
      </w:r>
      <w:r w:rsidR="00305B4E" w:rsidRPr="006D631C">
        <w:rPr>
          <w:rFonts w:asciiTheme="majorBidi" w:hAnsiTheme="majorBidi" w:cstheme="majorBidi"/>
        </w:rPr>
        <w:t>ure 1-5</w:t>
      </w:r>
      <w:r w:rsidRPr="006D631C">
        <w:rPr>
          <w:rFonts w:asciiTheme="majorBidi" w:hAnsiTheme="majorBidi" w:cstheme="majorBidi"/>
        </w:rPr>
        <w:t xml:space="preserve">, respectively. </w:t>
      </w:r>
    </w:p>
    <w:p w14:paraId="20A947CC" w14:textId="65D91C63" w:rsidR="00142AB2" w:rsidRPr="006D631C" w:rsidRDefault="00142AB2" w:rsidP="0090028E">
      <w:pPr>
        <w:tabs>
          <w:tab w:val="left" w:pos="90"/>
          <w:tab w:val="left" w:pos="360"/>
          <w:tab w:val="left" w:pos="992"/>
        </w:tabs>
        <w:rPr>
          <w:rFonts w:asciiTheme="majorBidi" w:hAnsiTheme="majorBidi" w:cstheme="majorBidi"/>
        </w:rPr>
      </w:pPr>
      <w:r w:rsidRPr="006D631C">
        <w:rPr>
          <w:rFonts w:asciiTheme="majorBidi" w:hAnsiTheme="majorBidi" w:cstheme="majorBidi"/>
        </w:rPr>
        <w:t>Formation of polymer and thus increasing the molecular weight of the monomer phase results in an increase in the thermodynamic penalty of mixing. Additionally, surface energy of the polymerizing phase changes upon the synthesis of polymer chains. Furthermore, the density increases (shrinkage of polymerizing phase takes place) due to the formation of polymer network. The combination of these phenomena can result in a change in the domain size and even phase separation/inversion, and thus loss of the structure.</w:t>
      </w:r>
      <w:r w:rsidRPr="006D631C">
        <w:rPr>
          <w:rFonts w:asciiTheme="majorBidi" w:hAnsiTheme="majorBidi" w:cstheme="majorBidi"/>
        </w:rPr>
        <w:fldChar w:fldCharType="begin" w:fldLock="1"/>
      </w:r>
      <w:r w:rsidR="004D4E9B"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rFonts w:asciiTheme="majorBidi" w:hAnsiTheme="majorBidi" w:cstheme="majorBidi"/>
        </w:rPr>
        <w:fldChar w:fldCharType="separate"/>
      </w:r>
      <w:r w:rsidR="00D12107" w:rsidRPr="006D631C">
        <w:rPr>
          <w:rFonts w:asciiTheme="majorBidi" w:hAnsiTheme="majorBidi" w:cstheme="majorBidi"/>
          <w:noProof/>
          <w:vertAlign w:val="superscript"/>
        </w:rPr>
        <w:t>32</w:t>
      </w:r>
      <w:r w:rsidRPr="006D631C">
        <w:rPr>
          <w:rFonts w:asciiTheme="majorBidi" w:hAnsiTheme="majorBidi" w:cstheme="majorBidi"/>
        </w:rPr>
        <w:fldChar w:fldCharType="end"/>
      </w:r>
      <w:r w:rsidRPr="006D631C">
        <w:rPr>
          <w:rFonts w:asciiTheme="majorBidi" w:hAnsiTheme="majorBidi" w:cstheme="majorBidi"/>
        </w:rPr>
        <w:t xml:space="preserve"> Therefore, in addition to the surfactant,</w:t>
      </w:r>
      <w:r w:rsidR="00632B79" w:rsidRPr="006D631C">
        <w:rPr>
          <w:rFonts w:asciiTheme="majorBidi" w:hAnsiTheme="majorBidi" w:cstheme="majorBidi"/>
        </w:rPr>
        <w:t xml:space="preserve"> </w:t>
      </w:r>
      <w:r w:rsidRPr="006D631C">
        <w:rPr>
          <w:rFonts w:asciiTheme="majorBidi" w:hAnsiTheme="majorBidi" w:cstheme="majorBidi"/>
        </w:rPr>
        <w:lastRenderedPageBreak/>
        <w:t xml:space="preserve">(co)monomer and cross-linker, the polymerization initiation system has an important role on retention of the structure since it affects the polymerization kinetics and therefore controls the formation rate of cross-linked network. According to literature reports, fast polymerization rate increases the chance of structure retention due to the rapid cross-linking of polymer network. As a rule of thumb, when the reaction rate is faster than the time scale required for </w:t>
      </w:r>
      <w:proofErr w:type="spellStart"/>
      <w:r w:rsidRPr="006D631C">
        <w:rPr>
          <w:rFonts w:asciiTheme="majorBidi" w:hAnsiTheme="majorBidi" w:cstheme="majorBidi"/>
        </w:rPr>
        <w:t>demixing</w:t>
      </w:r>
      <w:proofErr w:type="spellEnd"/>
      <w:r w:rsidRPr="006D631C">
        <w:rPr>
          <w:rFonts w:asciiTheme="majorBidi" w:hAnsiTheme="majorBidi" w:cstheme="majorBidi"/>
        </w:rPr>
        <w:t xml:space="preserve"> of growing polymer chains, the structure will most probably be preserved.</w:t>
      </w:r>
      <w:r w:rsidRPr="006D631C">
        <w:rPr>
          <w:rFonts w:asciiTheme="majorBidi" w:hAnsiTheme="majorBidi" w:cstheme="majorBidi"/>
        </w:rPr>
        <w:fldChar w:fldCharType="begin" w:fldLock="1"/>
      </w:r>
      <w:r w:rsidR="004D4E9B"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D12107"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In addition, polymerization near room temperature decreases the risk of structure disturbance.</w:t>
      </w:r>
      <w:r w:rsidRPr="006D631C">
        <w:rPr>
          <w:rFonts w:asciiTheme="majorBidi" w:hAnsiTheme="majorBidi" w:cstheme="majorBidi"/>
        </w:rPr>
        <w:fldChar w:fldCharType="begin" w:fldLock="1"/>
      </w:r>
      <w:r w:rsidR="004D4E9B"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templates","type":"article-journal","volume":"55"},"uris":["http://www.mendeley.com/documents/?uuid=e84953dd-2ec0-4bed-8555-bc9ed5be609b"]},{"id":"ITEM-2","itemData":{"DOI":"10.1039/c9sm01565e","ISSN":"17446848","abstract":"This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Matter","id":"ITEM-2","issue":"41","issued":{"date-parts":[["2019"]]},"page":"8238-8250","title":"Polymerization in soft nanoconfinement of lamellar and reverse hexagonal mesophases","type":"article-journal","volume":"15"},"uris":["http://www.mendeley.com/documents/?uuid=5a774487-acd6-4203-928f-13a0a6b06e6b"]}],"mendeley":{"formattedCitation":"&lt;sup&gt;27,56&lt;/sup&gt;","plainTextFormattedCitation":"27,56","previouslyFormattedCitation":"&lt;sup&gt;27,56&lt;/sup&gt;"},"properties":{"noteIndex":0},"schema":"https://github.com/citation-style-language/schema/raw/master/csl-citation.json"}</w:instrText>
      </w:r>
      <w:r w:rsidRPr="006D631C">
        <w:rPr>
          <w:rFonts w:asciiTheme="majorBidi" w:hAnsiTheme="majorBidi" w:cstheme="majorBidi"/>
        </w:rPr>
        <w:fldChar w:fldCharType="separate"/>
      </w:r>
      <w:r w:rsidR="00D12107" w:rsidRPr="006D631C">
        <w:rPr>
          <w:rFonts w:asciiTheme="majorBidi" w:hAnsiTheme="majorBidi" w:cstheme="majorBidi"/>
          <w:noProof/>
          <w:vertAlign w:val="superscript"/>
        </w:rPr>
        <w:t>27,56</w:t>
      </w:r>
      <w:r w:rsidRPr="006D631C">
        <w:rPr>
          <w:rFonts w:asciiTheme="majorBidi" w:hAnsiTheme="majorBidi" w:cstheme="majorBidi"/>
        </w:rPr>
        <w:fldChar w:fldCharType="end"/>
      </w:r>
      <w:r w:rsidRPr="006D631C">
        <w:rPr>
          <w:rFonts w:asciiTheme="majorBidi" w:hAnsiTheme="majorBidi" w:cstheme="majorBidi"/>
        </w:rPr>
        <w:t xml:space="preserve"> Therefore, </w:t>
      </w:r>
      <w:proofErr w:type="spellStart"/>
      <w:r w:rsidRPr="006D631C">
        <w:rPr>
          <w:rFonts w:asciiTheme="majorBidi" w:hAnsiTheme="majorBidi" w:cstheme="majorBidi"/>
        </w:rPr>
        <w:t>photoinitiated</w:t>
      </w:r>
      <w:proofErr w:type="spellEnd"/>
      <w:r w:rsidRPr="006D631C">
        <w:rPr>
          <w:rFonts w:asciiTheme="majorBidi" w:hAnsiTheme="majorBidi" w:cstheme="majorBidi"/>
        </w:rPr>
        <w:t xml:space="preserve"> polymerization, which typically delivers a fast polymerization rate at room temperature, has been the top choice in most of the studies.</w:t>
      </w:r>
      <w:r w:rsidRPr="006D631C">
        <w:rPr>
          <w:rFonts w:asciiTheme="majorBidi" w:hAnsiTheme="majorBidi" w:cstheme="majorBidi"/>
        </w:rPr>
        <w:fldChar w:fldCharType="begin" w:fldLock="1"/>
      </w:r>
      <w:r w:rsidR="004D4E9B"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D12107"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A variety of </w:t>
      </w:r>
      <w:proofErr w:type="spellStart"/>
      <w:r w:rsidRPr="006D631C">
        <w:rPr>
          <w:rFonts w:asciiTheme="majorBidi" w:hAnsiTheme="majorBidi" w:cstheme="majorBidi"/>
        </w:rPr>
        <w:t>photoinitiators</w:t>
      </w:r>
      <w:proofErr w:type="spellEnd"/>
      <w:r w:rsidRPr="006D631C">
        <w:rPr>
          <w:rFonts w:asciiTheme="majorBidi" w:hAnsiTheme="majorBidi" w:cstheme="majorBidi"/>
        </w:rPr>
        <w:t xml:space="preserve"> have been employed for LLC templating, as listed in </w:t>
      </w:r>
      <w:r w:rsidR="007311AA" w:rsidRPr="006D631C">
        <w:rPr>
          <w:rFonts w:asciiTheme="majorBidi" w:hAnsiTheme="majorBidi" w:cstheme="majorBidi"/>
        </w:rPr>
        <w:t>Figure 1-6</w:t>
      </w:r>
      <w:r w:rsidRPr="006D631C">
        <w:rPr>
          <w:rFonts w:asciiTheme="majorBidi" w:hAnsiTheme="majorBidi" w:cstheme="majorBidi"/>
        </w:rPr>
        <w:t>. Nevertheless, there are some studies which have successfully carried out templating by using other initiation systems (e.g., thermal</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{"citationItems":[{"id":"ITEM-1","itemData":{"DOI":"10.1126/science.205.4406.607","ISSN":"00368075","abstract":"Optical patterns in polarized light and x-ray reflections in the low-angle region were used to detect a shift from one liquid crystalline structure to another during polymerization. The polymerization took place in a lyotropic liquid crystal of water and sodium undecenoate, with a structure consisting of cylinders in a two-dimensional hexagonal close packing. After polymerization, a lamellar liquid crystalline structure was obtained. Copyright © 1979 AAAS.","author":[{"dropping-particle":"","family":"Friberg","given":"Stig E.","non-dropping-particle":"","parse-names":false,"suffix":""},{"dropping-particle":"","family":"Thundathil","given":"Raju","non-dropping-particle":"","parse-names":false,"suffix":""},{"dropping-particle":"","family":"Stoffer","given":"James O.","non-dropping-particle":"","parse-names":false,"suffix":""}],"container-title":"Science","id":"ITEM-1","issue":"4406","issued":{"date-parts":[["1979"]]},"page":"607-608","title":"Changed lyotropic liquid crystalline structure due to polymerization of the amphiphilic component","type":"article-journal","volume":"205"},"uris":["http://www.mendeley.com/documents/?uuid=ccc757d6-44a5-48f8-b21c-153f50f420a7"]}],"mendeley":{"formattedCitation":"&lt;sup&gt;57&lt;/sup&gt;","plainTextFormattedCitation":"57","previouslyFormattedCitation":"&lt;sup&gt;57&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57</w:t>
      </w:r>
      <w:r w:rsidRPr="006D631C">
        <w:rPr>
          <w:rFonts w:asciiTheme="majorBidi" w:hAnsiTheme="majorBidi" w:cstheme="majorBidi"/>
        </w:rPr>
        <w:fldChar w:fldCharType="end"/>
      </w:r>
      <w:r w:rsidRPr="006D631C">
        <w:rPr>
          <w:rFonts w:asciiTheme="majorBidi" w:hAnsiTheme="majorBidi" w:cstheme="majorBidi"/>
        </w:rPr>
        <w:t xml:space="preserve"> and redox</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{"citationItems":[{"id":"ITEM-1","itemData":{"DOI":"10.1021/ja00125a019","ISSN":"15205126","abstract":"The formation of nonlamellar lipid structures in model lipid membranes has been extensively studied in recent years. These hydrated lipid phases include the inverted hexagonal phase and various bicontinuous cubic phases, which occur at selected lipid concentrations, temperatures, and pressures. Cubic phases that are bicontinuous with respect to the polar and nonpolar regions are especially interesting as organic analogs of zeolites. The recently developed methods used to polymerize and stabilize lamellar assemblies offer certain strategies that are applicable to nonlamellar phases. Here we report the successful stabilization of a nonlamellar phase via the polymerization of reactive amphiphiles. A 3:1 molar mixture of polymerizable mono-dienoyl-substituted phosphoethanolamine and bis-dienoyl-substituted phosphocholine were hydrated to yield bilayers. X-ray diffraction of the unpolymerized mixture at 60 °C showed the formation of an inverted hexagonal phase which on prolonged incubation changed to a bicontinuous cubic phase of Pn3m symmetry. Polymerization of the hexagonal phase produced a stabilized hexagonal structure over the range of 20 to 60 °C. The same lipids at lower concentration were characterized by 31P-NMR and transmission electron microscopy (TEM) before and after polymerization. The NMR shows the formation of a sample with isotropic symmetry as expected for a cubic phase. The polymerized sample retained a nonlamellar structure after cooling and extended storage at room temperature or near 0 °C. The TEMs show a polydomain square lattice with 6 ± 1 nm diameter aqueous channels. This stabilized nonlamellar phase is the first representative of a new family of materials with interpenetrating water channels with high surface area and potentially bicompatible lipid—water interfaces. © 1995, American Chemical Society. All rights reserved.","author":[{"dropping-particle":"","family":"Lee","given":"Youn Sik","non-dropping-particle":"","parse-names":false,"suffix":""},{"dropping-particle":"","family":"Gleeson","given":"James T.","non-dropping-particle":"","parse-names":false,"suffix":""},{"dropping-particle":"","family":"Yang","given":"Jian Zhong","non-dropping-particle":"","parse-names":false,"suffix":""},{"dropping-particle":"","family":"Sisson","given":"Thomas M.","non-dropping-particle":"","parse-names":false,"suffix":""},{"dropping-particle":"","family":"Frankel","given":"David A.","non-dropping-particle":"","parse-names":false,"suffix":""},{"dropping-particle":"","family":"O'Brien","given":"David F.","non-dropping-particle":"","parse-names":false,"suffix":""},{"dropping-particle":"","family":"Keller","given":"Sarah L.","non-dropping-particle":"","parse-names":false,"suffix":""},{"dropping-particle":"","family":"Aksay","given":"Emre","non-dropping-particle":"","parse-names":false,"suffix":""},{"dropping-particle":"","family":"Gruner","given":"Sol M.","non-dropping-particle":"","parse-names":false,"suffix":""}],"container-title":"Journal of the American Chemical Society","id":"ITEM-1","issue":"20","issued":{"date-parts":[["1995"]]},"page":"5573-5578","title":"Polymerization of Nonlamellar Lipid Assemblies","type":"article-journal","volume":"117"},"uris":["http://www.mendeley.com/documents/?uuid=48e800eb-d8de-4cfd-a687-8bddfebe435a"]}],"mendeley":{"formattedCitation":"&lt;sup&gt;58&lt;/sup&gt;","plainTextFormattedCitation":"58","previouslyFormattedCitation":"&lt;sup&gt;58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58</w:t>
      </w:r>
      <w:r w:rsidRPr="006D631C">
        <w:rPr>
          <w:rFonts w:asciiTheme="majorBidi" w:hAnsiTheme="majorBidi" w:cstheme="majorBidi"/>
        </w:rPr>
        <w:fldChar w:fldCharType="end"/>
      </w:r>
      <w:r w:rsidRPr="006D631C">
        <w:rPr>
          <w:rFonts w:asciiTheme="majorBidi" w:hAnsiTheme="majorBidi" w:cstheme="majorBidi"/>
        </w:rPr>
        <w:t xml:space="preserve">), as presented in </w:t>
      </w:r>
      <w:r w:rsidR="007147E2" w:rsidRPr="006D631C">
        <w:rPr>
          <w:rFonts w:asciiTheme="majorBidi" w:hAnsiTheme="majorBidi" w:cstheme="majorBidi"/>
        </w:rPr>
        <w:t>Figure 1-6</w:t>
      </w:r>
      <w:r w:rsidRPr="006D631C">
        <w:rPr>
          <w:rFonts w:asciiTheme="majorBidi" w:hAnsiTheme="majorBidi" w:cstheme="majorBidi"/>
        </w:rPr>
        <w:t xml:space="preserve">. For enhancing readability and simplifying chemical references throughout the paper for readers, we have coded the large variety of key components used in LLC templating (as seen in </w:t>
      </w:r>
      <w:r w:rsidR="00AF5160" w:rsidRPr="006D631C">
        <w:rPr>
          <w:rFonts w:asciiTheme="majorBidi" w:hAnsiTheme="majorBidi" w:cstheme="majorBidi"/>
        </w:rPr>
        <w:t>Figure</w:t>
      </w:r>
      <w:r w:rsidRPr="006D631C">
        <w:rPr>
          <w:rFonts w:asciiTheme="majorBidi" w:hAnsiTheme="majorBidi" w:cstheme="majorBidi"/>
        </w:rPr>
        <w:t xml:space="preserve"> </w:t>
      </w:r>
      <w:r w:rsidR="00AF5160" w:rsidRPr="006D631C">
        <w:rPr>
          <w:rFonts w:asciiTheme="majorBidi" w:hAnsiTheme="majorBidi" w:cstheme="majorBidi"/>
        </w:rPr>
        <w:t>1-</w:t>
      </w:r>
      <w:r w:rsidRPr="006D631C">
        <w:rPr>
          <w:rFonts w:asciiTheme="majorBidi" w:hAnsiTheme="majorBidi" w:cstheme="majorBidi"/>
        </w:rPr>
        <w:t>4</w:t>
      </w:r>
      <w:r w:rsidR="00AF5160" w:rsidRPr="006D631C">
        <w:rPr>
          <w:rFonts w:asciiTheme="majorBidi" w:hAnsiTheme="majorBidi" w:cstheme="majorBidi"/>
        </w:rPr>
        <w:t xml:space="preserve"> to 1-</w:t>
      </w:r>
      <w:r w:rsidRPr="006D631C">
        <w:rPr>
          <w:rFonts w:asciiTheme="majorBidi" w:hAnsiTheme="majorBidi" w:cstheme="majorBidi"/>
        </w:rPr>
        <w:t xml:space="preserve">6), with the names or chemical formulae of the component tabulated in Table </w:t>
      </w:r>
      <w:r w:rsidR="00C076F4" w:rsidRPr="006D631C">
        <w:rPr>
          <w:rFonts w:asciiTheme="majorBidi" w:hAnsiTheme="majorBidi" w:cstheme="majorBidi"/>
        </w:rPr>
        <w:t>B</w:t>
      </w:r>
      <w:r w:rsidRPr="006D631C">
        <w:rPr>
          <w:rFonts w:asciiTheme="majorBidi" w:hAnsiTheme="majorBidi" w:cstheme="majorBidi"/>
        </w:rPr>
        <w:t>1</w:t>
      </w:r>
      <w:r w:rsidR="00AE1491" w:rsidRPr="006D631C">
        <w:rPr>
          <w:rFonts w:asciiTheme="majorBidi" w:hAnsiTheme="majorBidi" w:cstheme="majorBidi"/>
        </w:rPr>
        <w:t xml:space="preserve">, </w:t>
      </w:r>
      <w:r w:rsidR="0090028E" w:rsidRPr="006D631C">
        <w:rPr>
          <w:rFonts w:asciiTheme="majorBidi" w:hAnsiTheme="majorBidi" w:cstheme="majorBidi"/>
        </w:rPr>
        <w:t xml:space="preserve">Appendix </w:t>
      </w:r>
      <w:r w:rsidR="00AE1491" w:rsidRPr="006D631C">
        <w:rPr>
          <w:rFonts w:asciiTheme="majorBidi" w:hAnsiTheme="majorBidi" w:cstheme="majorBidi"/>
        </w:rPr>
        <w:t>B</w:t>
      </w:r>
      <w:r w:rsidRPr="006D631C">
        <w:rPr>
          <w:rFonts w:asciiTheme="majorBidi" w:hAnsiTheme="majorBidi" w:cstheme="majorBidi"/>
        </w:rPr>
        <w:t>.</w:t>
      </w:r>
    </w:p>
    <w:p w14:paraId="0ACCC85E" w14:textId="458B9F87" w:rsidR="00CE7C85" w:rsidRPr="006D631C" w:rsidRDefault="00142AB2" w:rsidP="0038084A">
      <w:pPr>
        <w:tabs>
          <w:tab w:val="left" w:pos="142"/>
          <w:tab w:val="left" w:pos="360"/>
          <w:tab w:val="left" w:pos="992"/>
        </w:tabs>
        <w:ind w:firstLine="357"/>
        <w:rPr>
          <w:rFonts w:asciiTheme="majorBidi" w:hAnsiTheme="majorBidi" w:cstheme="majorBidi"/>
          <w:lang w:bidi="fa-IR"/>
        </w:rPr>
      </w:pPr>
      <w:r w:rsidRPr="006D631C">
        <w:rPr>
          <w:rFonts w:asciiTheme="majorBidi" w:hAnsiTheme="majorBidi" w:cstheme="majorBidi"/>
        </w:rPr>
        <w:t xml:space="preserve">Following the above introduction on the basic concepts of LLC templating, the remainder of this </w:t>
      </w:r>
      <w:r w:rsidR="005B3135" w:rsidRPr="006D631C">
        <w:rPr>
          <w:rFonts w:asciiTheme="majorBidi" w:hAnsiTheme="majorBidi" w:cstheme="majorBidi"/>
        </w:rPr>
        <w:t>chapter</w:t>
      </w:r>
      <w:r w:rsidRPr="006D631C">
        <w:rPr>
          <w:rFonts w:asciiTheme="majorBidi" w:hAnsiTheme="majorBidi" w:cstheme="majorBidi"/>
        </w:rPr>
        <w:t xml:space="preserve"> is outlined as follows</w:t>
      </w:r>
      <w:r w:rsidRPr="006D631C">
        <w:rPr>
          <w:rFonts w:asciiTheme="majorBidi" w:hAnsiTheme="majorBidi" w:cstheme="majorBidi"/>
          <w:lang w:bidi="fa-IR"/>
        </w:rPr>
        <w:t xml:space="preserve">. First, characteristics of common LLC structures used in LLC templating will be presented. Then, the available literature on synergistic templating will be reviewed based on the structure of the LLC template. A similar survey will be presented for transcriptive templating afterward. In each section, the efficiency of the templated products will be analyzed in the application(s) they are designed for (e.g., membranes, hydrogels, energy storage devices, light emitting components, catalyst support, tissue engineering scaffolds, and </w:t>
      </w:r>
      <w:proofErr w:type="spellStart"/>
      <w:r w:rsidRPr="006D631C">
        <w:rPr>
          <w:rFonts w:asciiTheme="majorBidi" w:hAnsiTheme="majorBidi" w:cstheme="majorBidi"/>
          <w:lang w:bidi="fa-IR"/>
        </w:rPr>
        <w:t>compatibilizers</w:t>
      </w:r>
      <w:proofErr w:type="spellEnd"/>
      <w:r w:rsidRPr="006D631C">
        <w:rPr>
          <w:rFonts w:asciiTheme="majorBidi" w:hAnsiTheme="majorBidi" w:cstheme="majorBidi"/>
          <w:lang w:bidi="fa-IR"/>
        </w:rPr>
        <w:t xml:space="preserve"> of immiscible monomers). These sections will be followed by a summary of </w:t>
      </w:r>
      <w:r w:rsidRPr="006D631C">
        <w:rPr>
          <w:rFonts w:asciiTheme="majorBidi" w:hAnsiTheme="majorBidi" w:cstheme="majorBidi"/>
          <w:lang w:bidi="fa-IR"/>
        </w:rPr>
        <w:lastRenderedPageBreak/>
        <w:t xml:space="preserve">polymerization kinetics in nanostructured LLCs as well as a concise comparison between synergistic and transcriptive templating techniques. The outlook of the field and available opportunities will be summarized at the end of the </w:t>
      </w:r>
      <w:r w:rsidR="0038084A" w:rsidRPr="006D631C">
        <w:rPr>
          <w:rFonts w:asciiTheme="majorBidi" w:hAnsiTheme="majorBidi" w:cstheme="majorBidi"/>
          <w:lang w:bidi="fa-IR"/>
        </w:rPr>
        <w:t>chapter</w:t>
      </w:r>
      <w:r w:rsidRPr="006D631C">
        <w:rPr>
          <w:rFonts w:asciiTheme="majorBidi" w:hAnsiTheme="majorBidi" w:cstheme="majorBidi"/>
          <w:lang w:bidi="fa-IR"/>
        </w:rPr>
        <w:t>.</w:t>
      </w:r>
    </w:p>
    <w:p w14:paraId="1873C873" w14:textId="1B1E28AA" w:rsidR="00A9517A" w:rsidRPr="006D631C" w:rsidRDefault="00A9517A" w:rsidP="00861405">
      <w:pPr>
        <w:pStyle w:val="TOC1"/>
        <w:rPr>
          <w:lang w:bidi="fa-IR"/>
        </w:rPr>
      </w:pPr>
    </w:p>
    <w:p w14:paraId="6F0ABF6C" w14:textId="2FBE39CE" w:rsidR="00A9517A" w:rsidRPr="006D631C" w:rsidRDefault="00A9517A" w:rsidP="00A9517A">
      <w:pPr>
        <w:rPr>
          <w:lang w:bidi="fa-IR"/>
        </w:rPr>
      </w:pPr>
    </w:p>
    <w:p w14:paraId="2FBC600A" w14:textId="19E960D1" w:rsidR="00A9517A" w:rsidRPr="006D631C" w:rsidRDefault="00A9517A" w:rsidP="00861405">
      <w:pPr>
        <w:pStyle w:val="TOC1"/>
        <w:rPr>
          <w:lang w:bidi="fa-IR"/>
        </w:rPr>
      </w:pPr>
    </w:p>
    <w:p w14:paraId="2933F583" w14:textId="58F8B715" w:rsidR="00A9517A" w:rsidRPr="006D631C" w:rsidRDefault="00A9517A" w:rsidP="00A9517A">
      <w:pPr>
        <w:rPr>
          <w:lang w:bidi="fa-IR"/>
        </w:rPr>
      </w:pPr>
    </w:p>
    <w:p w14:paraId="589477D8" w14:textId="55F59625" w:rsidR="00A9517A" w:rsidRPr="006D631C" w:rsidRDefault="00A9517A" w:rsidP="00861405">
      <w:pPr>
        <w:pStyle w:val="TOC1"/>
        <w:rPr>
          <w:lang w:bidi="fa-IR"/>
        </w:rPr>
      </w:pPr>
    </w:p>
    <w:p w14:paraId="498DF03E" w14:textId="3D3961D8" w:rsidR="00A9517A" w:rsidRPr="006D631C" w:rsidRDefault="00A9517A" w:rsidP="00A9517A">
      <w:pPr>
        <w:rPr>
          <w:lang w:bidi="fa-IR"/>
        </w:rPr>
      </w:pPr>
    </w:p>
    <w:p w14:paraId="5D6B6B91" w14:textId="5DE3C174" w:rsidR="00A9517A" w:rsidRPr="006D631C" w:rsidRDefault="00A9517A" w:rsidP="00861405">
      <w:pPr>
        <w:pStyle w:val="TOC1"/>
        <w:rPr>
          <w:lang w:bidi="fa-IR"/>
        </w:rPr>
      </w:pPr>
    </w:p>
    <w:p w14:paraId="058161FA" w14:textId="79EB5C11" w:rsidR="00A9517A" w:rsidRPr="006D631C" w:rsidRDefault="00A9517A" w:rsidP="00A9517A">
      <w:pPr>
        <w:rPr>
          <w:lang w:bidi="fa-IR"/>
        </w:rPr>
      </w:pPr>
    </w:p>
    <w:p w14:paraId="5537F7A1" w14:textId="0C5AC25D" w:rsidR="00A9517A" w:rsidRPr="006D631C" w:rsidRDefault="00A9517A" w:rsidP="00861405">
      <w:pPr>
        <w:pStyle w:val="TOC1"/>
        <w:rPr>
          <w:lang w:bidi="fa-IR"/>
        </w:rPr>
      </w:pPr>
    </w:p>
    <w:p w14:paraId="10DF1865" w14:textId="4BC07E0F" w:rsidR="00A9517A" w:rsidRPr="006D631C" w:rsidRDefault="00A9517A" w:rsidP="00A9517A">
      <w:pPr>
        <w:rPr>
          <w:lang w:bidi="fa-IR"/>
        </w:rPr>
      </w:pPr>
    </w:p>
    <w:p w14:paraId="32B0D998" w14:textId="7421D2EB" w:rsidR="00A9517A" w:rsidRPr="006D631C" w:rsidRDefault="00A9517A" w:rsidP="00861405">
      <w:pPr>
        <w:pStyle w:val="TOC1"/>
        <w:rPr>
          <w:lang w:bidi="fa-IR"/>
        </w:rPr>
      </w:pPr>
    </w:p>
    <w:p w14:paraId="50A5737C" w14:textId="300E353F" w:rsidR="00A9517A" w:rsidRPr="006D631C" w:rsidRDefault="00A9517A" w:rsidP="00A9517A">
      <w:pPr>
        <w:rPr>
          <w:lang w:bidi="fa-IR"/>
        </w:rPr>
      </w:pPr>
    </w:p>
    <w:p w14:paraId="2C1D8356" w14:textId="3D355C21" w:rsidR="00A9517A" w:rsidRPr="006D631C" w:rsidRDefault="00A9517A" w:rsidP="00861405">
      <w:pPr>
        <w:pStyle w:val="TOC1"/>
        <w:rPr>
          <w:lang w:bidi="fa-IR"/>
        </w:rPr>
      </w:pPr>
    </w:p>
    <w:p w14:paraId="431C42B1" w14:textId="5B23DF69" w:rsidR="00A9517A" w:rsidRPr="006D631C" w:rsidRDefault="00A9517A" w:rsidP="00A9517A">
      <w:pPr>
        <w:rPr>
          <w:lang w:bidi="fa-IR"/>
        </w:rPr>
      </w:pPr>
    </w:p>
    <w:p w14:paraId="0A3EA92C" w14:textId="1F153D74" w:rsidR="00A9517A" w:rsidRPr="006D631C" w:rsidRDefault="00A9517A" w:rsidP="00861405">
      <w:pPr>
        <w:pStyle w:val="TOC1"/>
        <w:rPr>
          <w:lang w:bidi="fa-IR"/>
        </w:rPr>
      </w:pPr>
    </w:p>
    <w:p w14:paraId="0CE343B7" w14:textId="2042DD92" w:rsidR="00A9517A" w:rsidRPr="006D631C" w:rsidRDefault="00A9517A" w:rsidP="00A9517A">
      <w:pPr>
        <w:rPr>
          <w:lang w:bidi="fa-IR"/>
        </w:rPr>
      </w:pPr>
    </w:p>
    <w:p w14:paraId="60A3A82E" w14:textId="2003C13A" w:rsidR="00BE6938" w:rsidRPr="006D631C" w:rsidRDefault="00A9517A" w:rsidP="00861405">
      <w:pPr>
        <w:pStyle w:val="TOC1"/>
      </w:pPr>
      <w:bookmarkStart w:id="33" w:name="_Toc148175913"/>
      <w:r w:rsidRPr="006D631C">
        <w:lastRenderedPageBreak/>
        <w:drawing>
          <wp:anchor distT="0" distB="0" distL="114300" distR="114300" simplePos="0" relativeHeight="251658240" behindDoc="0" locked="0" layoutInCell="1" allowOverlap="1" wp14:anchorId="57EC55E8" wp14:editId="7D801EA4">
            <wp:simplePos x="0" y="0"/>
            <wp:positionH relativeFrom="column">
              <wp:posOffset>632460</wp:posOffset>
            </wp:positionH>
            <wp:positionV relativeFrom="paragraph">
              <wp:posOffset>0</wp:posOffset>
            </wp:positionV>
            <wp:extent cx="4680000" cy="7376400"/>
            <wp:effectExtent l="0" t="0" r="635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0000" cy="7376400"/>
                    </a:xfrm>
                    <a:prstGeom prst="rect">
                      <a:avLst/>
                    </a:prstGeom>
                    <a:noFill/>
                  </pic:spPr>
                </pic:pic>
              </a:graphicData>
            </a:graphic>
            <wp14:sizeRelH relativeFrom="margin">
              <wp14:pctWidth>0</wp14:pctWidth>
            </wp14:sizeRelH>
            <wp14:sizeRelV relativeFrom="margin">
              <wp14:pctHeight>0</wp14:pctHeight>
            </wp14:sizeRelV>
          </wp:anchor>
        </w:drawing>
      </w:r>
      <w:r w:rsidR="00AF3715" w:rsidRPr="006D631C">
        <w:t xml:space="preserve">Figure </w:t>
      </w:r>
      <w:r w:rsidR="00B55F32" w:rsidRPr="006D631C">
        <w:fldChar w:fldCharType="begin"/>
      </w:r>
      <w:r w:rsidR="00B55F32" w:rsidRPr="006D631C">
        <w:instrText xml:space="preserve"> STYLEREF 1 \s </w:instrText>
      </w:r>
      <w:r w:rsidR="00B55F32" w:rsidRPr="006D631C">
        <w:fldChar w:fldCharType="separate"/>
      </w:r>
      <w:r w:rsidR="00B55F32" w:rsidRPr="006D631C">
        <w:rPr>
          <w:cs/>
        </w:rPr>
        <w:t>‎</w:t>
      </w:r>
      <w:r w:rsidR="00B55F32" w:rsidRPr="006D631C">
        <w:t>1</w:t>
      </w:r>
      <w:r w:rsidR="00B55F32" w:rsidRPr="006D631C">
        <w:fldChar w:fldCharType="end"/>
      </w:r>
      <w:r w:rsidR="00B55F32" w:rsidRPr="006D631C">
        <w:noBreakHyphen/>
      </w:r>
      <w:r w:rsidR="00B55F32" w:rsidRPr="006D631C">
        <w:fldChar w:fldCharType="begin"/>
      </w:r>
      <w:r w:rsidR="00B55F32" w:rsidRPr="006D631C">
        <w:instrText xml:space="preserve"> SEQ Figure \* ARABIC \s 1 </w:instrText>
      </w:r>
      <w:r w:rsidR="00B55F32" w:rsidRPr="006D631C">
        <w:fldChar w:fldCharType="separate"/>
      </w:r>
      <w:r w:rsidR="00B55F32" w:rsidRPr="006D631C">
        <w:t>4</w:t>
      </w:r>
      <w:r w:rsidR="00B55F32" w:rsidRPr="006D631C">
        <w:fldChar w:fldCharType="end"/>
      </w:r>
      <w:r w:rsidR="00AF3715" w:rsidRPr="006D631C">
        <w:t xml:space="preserve">. </w:t>
      </w:r>
      <w:r w:rsidR="00BE6938" w:rsidRPr="006D631C">
        <w:t>Chemical structure of (a</w:t>
      </w:r>
      <w:r w:rsidR="005C6885" w:rsidRPr="006D631C">
        <w:t xml:space="preserve"> and b</w:t>
      </w:r>
      <w:r w:rsidR="00BE6938" w:rsidRPr="006D631C">
        <w:t>) polymerizable ionic, (</w:t>
      </w:r>
      <w:r w:rsidR="005C6885" w:rsidRPr="006D631C">
        <w:t>c</w:t>
      </w:r>
      <w:r w:rsidR="00BE6938" w:rsidRPr="006D631C">
        <w:t>) polymerizable non-ionic and (</w:t>
      </w:r>
      <w:r w:rsidR="005C6885" w:rsidRPr="006D631C">
        <w:t>d</w:t>
      </w:r>
      <w:r w:rsidR="00BE6938" w:rsidRPr="006D631C">
        <w:t>) non-polymerizable amphiphiles used for LLC templating.</w:t>
      </w:r>
      <w:bookmarkEnd w:id="33"/>
    </w:p>
    <w:p w14:paraId="19CFEE70" w14:textId="77777777" w:rsidR="00F45652" w:rsidRPr="006D631C" w:rsidRDefault="00F45652" w:rsidP="001A73A6">
      <w:pPr>
        <w:jc w:val="center"/>
        <w:rPr>
          <w:sz w:val="22"/>
          <w:szCs w:val="22"/>
        </w:rPr>
      </w:pPr>
      <w:r w:rsidRPr="006D631C">
        <w:rPr>
          <w:noProof/>
          <w:sz w:val="22"/>
          <w:szCs w:val="22"/>
        </w:rPr>
        <w:lastRenderedPageBreak/>
        <w:drawing>
          <wp:inline distT="0" distB="0" distL="0" distR="0" wp14:anchorId="07E0CB3E" wp14:editId="26FAE8B7">
            <wp:extent cx="5400000" cy="6719304"/>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00" cy="6719304"/>
                    </a:xfrm>
                    <a:prstGeom prst="rect">
                      <a:avLst/>
                    </a:prstGeom>
                    <a:noFill/>
                  </pic:spPr>
                </pic:pic>
              </a:graphicData>
            </a:graphic>
          </wp:inline>
        </w:drawing>
      </w:r>
    </w:p>
    <w:p w14:paraId="0B9C5F4E" w14:textId="36D16301" w:rsidR="007B7EF7" w:rsidRPr="006D631C" w:rsidRDefault="00326FB6" w:rsidP="001A73A6">
      <w:pPr>
        <w:jc w:val="center"/>
        <w:rPr>
          <w:rFonts w:asciiTheme="majorBidi" w:hAnsiTheme="majorBidi" w:cstheme="majorBidi"/>
          <w:sz w:val="22"/>
          <w:szCs w:val="22"/>
        </w:rPr>
      </w:pPr>
      <w:r w:rsidRPr="006D631C">
        <w:rPr>
          <w:sz w:val="22"/>
          <w:szCs w:val="22"/>
        </w:rPr>
        <w:t>Figure 1-4.</w:t>
      </w:r>
      <w:r w:rsidR="007B7EF7" w:rsidRPr="006D631C">
        <w:rPr>
          <w:rFonts w:eastAsia="Calibri"/>
          <w:sz w:val="20"/>
          <w:szCs w:val="20"/>
        </w:rPr>
        <w:t xml:space="preserve"> </w:t>
      </w:r>
      <w:r w:rsidR="007B7EF7" w:rsidRPr="006D631C">
        <w:rPr>
          <w:rFonts w:asciiTheme="majorBidi" w:hAnsiTheme="majorBidi" w:cstheme="majorBidi"/>
          <w:i/>
          <w:iCs/>
          <w:sz w:val="22"/>
          <w:szCs w:val="22"/>
        </w:rPr>
        <w:t>(Contd.)</w:t>
      </w:r>
    </w:p>
    <w:p w14:paraId="0EA396DF" w14:textId="21B19451" w:rsidR="00A9517A" w:rsidRPr="006D631C" w:rsidRDefault="00A9517A" w:rsidP="00A9517A">
      <w:pPr>
        <w:rPr>
          <w:lang w:bidi="fa-IR"/>
        </w:rPr>
      </w:pPr>
    </w:p>
    <w:p w14:paraId="34939A74" w14:textId="17A414F9" w:rsidR="00DE2FA3" w:rsidRPr="006D631C" w:rsidRDefault="00DE2FA3" w:rsidP="00861405">
      <w:pPr>
        <w:pStyle w:val="TOC1"/>
        <w:rPr>
          <w:lang w:bidi="fa-IR"/>
        </w:rPr>
      </w:pPr>
    </w:p>
    <w:p w14:paraId="430AA835" w14:textId="77777777" w:rsidR="00523DBD" w:rsidRPr="006D631C" w:rsidRDefault="003160CB" w:rsidP="00861405">
      <w:pPr>
        <w:pStyle w:val="TOC1"/>
        <w:rPr>
          <w:noProof w:val="0"/>
        </w:rPr>
      </w:pPr>
      <w:r w:rsidRPr="006D631C">
        <w:lastRenderedPageBreak/>
        <w:drawing>
          <wp:inline distT="0" distB="0" distL="0" distR="0" wp14:anchorId="0677F4B5" wp14:editId="23C8F533">
            <wp:extent cx="4860000" cy="356350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0000" cy="3563507"/>
                    </a:xfrm>
                    <a:prstGeom prst="rect">
                      <a:avLst/>
                    </a:prstGeom>
                    <a:noFill/>
                  </pic:spPr>
                </pic:pic>
              </a:graphicData>
            </a:graphic>
          </wp:inline>
        </w:drawing>
      </w:r>
    </w:p>
    <w:p w14:paraId="6AD1513F" w14:textId="1E37BB16" w:rsidR="005602F1" w:rsidRPr="006D631C" w:rsidRDefault="00523DBD" w:rsidP="00861405">
      <w:pPr>
        <w:pStyle w:val="TOC1"/>
        <w:rPr>
          <w:noProof w:val="0"/>
        </w:rPr>
      </w:pPr>
      <w:r w:rsidRPr="006D631C">
        <w:drawing>
          <wp:inline distT="0" distB="0" distL="0" distR="0" wp14:anchorId="2D9C6201" wp14:editId="7C4D25D5">
            <wp:extent cx="4680000" cy="341568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80000" cy="3415680"/>
                    </a:xfrm>
                    <a:prstGeom prst="rect">
                      <a:avLst/>
                    </a:prstGeom>
                    <a:noFill/>
                  </pic:spPr>
                </pic:pic>
              </a:graphicData>
            </a:graphic>
          </wp:inline>
        </w:drawing>
      </w:r>
    </w:p>
    <w:p w14:paraId="67477483" w14:textId="41EE376E" w:rsidR="00A9517A" w:rsidRPr="006D631C" w:rsidRDefault="009B4E92" w:rsidP="00033B4D">
      <w:pPr>
        <w:jc w:val="center"/>
        <w:rPr>
          <w:i/>
          <w:iCs/>
          <w:sz w:val="22"/>
          <w:szCs w:val="22"/>
        </w:rPr>
      </w:pPr>
      <w:r w:rsidRPr="006D631C">
        <w:rPr>
          <w:sz w:val="22"/>
          <w:szCs w:val="22"/>
        </w:rPr>
        <w:t xml:space="preserve">Figure 1-4. </w:t>
      </w:r>
      <w:r w:rsidRPr="006D631C">
        <w:rPr>
          <w:i/>
          <w:iCs/>
          <w:sz w:val="22"/>
          <w:szCs w:val="22"/>
        </w:rPr>
        <w:t>(Contd.)</w:t>
      </w:r>
    </w:p>
    <w:p w14:paraId="3B628457" w14:textId="402B02F6" w:rsidR="00A9517A" w:rsidRPr="006D631C" w:rsidRDefault="008321CB" w:rsidP="008321CB">
      <w:pPr>
        <w:ind w:firstLine="360"/>
        <w:jc w:val="center"/>
      </w:pPr>
      <w:r w:rsidRPr="006D631C">
        <w:rPr>
          <w:noProof/>
        </w:rPr>
        <w:lastRenderedPageBreak/>
        <w:drawing>
          <wp:inline distT="0" distB="0" distL="0" distR="0" wp14:anchorId="7C07F9B2" wp14:editId="407F5E59">
            <wp:extent cx="5400000" cy="661866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6618669"/>
                    </a:xfrm>
                    <a:prstGeom prst="rect">
                      <a:avLst/>
                    </a:prstGeom>
                    <a:noFill/>
                  </pic:spPr>
                </pic:pic>
              </a:graphicData>
            </a:graphic>
          </wp:inline>
        </w:drawing>
      </w:r>
    </w:p>
    <w:p w14:paraId="6D784A16" w14:textId="4C0800BD" w:rsidR="005F23CB" w:rsidRPr="006D631C" w:rsidRDefault="00634236" w:rsidP="00861405">
      <w:pPr>
        <w:pStyle w:val="TOC1"/>
      </w:pPr>
      <w:bookmarkStart w:id="34" w:name="_Toc148175914"/>
      <w:r w:rsidRPr="006D631C">
        <w:t xml:space="preserve">Figure </w:t>
      </w:r>
      <w:r w:rsidR="00B55F32" w:rsidRPr="006D631C">
        <w:fldChar w:fldCharType="begin"/>
      </w:r>
      <w:r w:rsidR="00B55F32" w:rsidRPr="006D631C">
        <w:instrText xml:space="preserve"> STYLEREF 1 \s </w:instrText>
      </w:r>
      <w:r w:rsidR="00B55F32" w:rsidRPr="006D631C">
        <w:fldChar w:fldCharType="separate"/>
      </w:r>
      <w:r w:rsidR="00B55F32" w:rsidRPr="006D631C">
        <w:rPr>
          <w:cs/>
        </w:rPr>
        <w:t>‎</w:t>
      </w:r>
      <w:r w:rsidR="00B55F32" w:rsidRPr="006D631C">
        <w:t>1</w:t>
      </w:r>
      <w:r w:rsidR="00B55F32" w:rsidRPr="006D631C">
        <w:fldChar w:fldCharType="end"/>
      </w:r>
      <w:r w:rsidR="00B55F32" w:rsidRPr="006D631C">
        <w:noBreakHyphen/>
      </w:r>
      <w:r w:rsidR="00B55F32" w:rsidRPr="006D631C">
        <w:fldChar w:fldCharType="begin"/>
      </w:r>
      <w:r w:rsidR="00B55F32" w:rsidRPr="006D631C">
        <w:instrText xml:space="preserve"> SEQ Figure \* ARABIC \s 1 </w:instrText>
      </w:r>
      <w:r w:rsidR="00B55F32" w:rsidRPr="006D631C">
        <w:fldChar w:fldCharType="separate"/>
      </w:r>
      <w:r w:rsidR="00B55F32" w:rsidRPr="006D631C">
        <w:t>5</w:t>
      </w:r>
      <w:r w:rsidR="00B55F32" w:rsidRPr="006D631C">
        <w:fldChar w:fldCharType="end"/>
      </w:r>
      <w:r w:rsidRPr="006D631C">
        <w:t>. Chemical structure of (a) (co)monomers and (b) cross-linkers used for LLC templating.</w:t>
      </w:r>
      <w:bookmarkEnd w:id="34"/>
    </w:p>
    <w:p w14:paraId="7055DB94" w14:textId="3E87D563" w:rsidR="005F23CB" w:rsidRPr="006D631C" w:rsidRDefault="00BA3CB1" w:rsidP="007842DE">
      <w:pPr>
        <w:jc w:val="center"/>
      </w:pPr>
      <w:r w:rsidRPr="006D631C">
        <w:rPr>
          <w:noProof/>
        </w:rPr>
        <w:lastRenderedPageBreak/>
        <w:drawing>
          <wp:inline distT="0" distB="0" distL="0" distR="0" wp14:anchorId="73A49CCD" wp14:editId="05BDDEB4">
            <wp:extent cx="4680000" cy="2378356"/>
            <wp:effectExtent l="0" t="0" r="635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0000" cy="2378356"/>
                    </a:xfrm>
                    <a:prstGeom prst="rect">
                      <a:avLst/>
                    </a:prstGeom>
                    <a:noFill/>
                  </pic:spPr>
                </pic:pic>
              </a:graphicData>
            </a:graphic>
          </wp:inline>
        </w:drawing>
      </w:r>
    </w:p>
    <w:p w14:paraId="713CE163" w14:textId="00126B92" w:rsidR="007842DE" w:rsidRPr="006D631C" w:rsidRDefault="007842DE" w:rsidP="00861405">
      <w:pPr>
        <w:pStyle w:val="TOC1"/>
        <w:rPr>
          <w:i/>
          <w:iCs/>
        </w:rPr>
      </w:pPr>
      <w:r w:rsidRPr="006D631C">
        <w:t xml:space="preserve">Figure 1-5. </w:t>
      </w:r>
      <w:r w:rsidRPr="006D631C">
        <w:rPr>
          <w:i/>
          <w:iCs/>
        </w:rPr>
        <w:t>(Contd.)</w:t>
      </w:r>
    </w:p>
    <w:p w14:paraId="5DB5802D" w14:textId="77777777" w:rsidR="003F0A45" w:rsidRPr="006D631C" w:rsidRDefault="003F0A45" w:rsidP="003F0A45"/>
    <w:p w14:paraId="7DEDF697" w14:textId="503CD3EA" w:rsidR="005F23CB" w:rsidRPr="006D631C" w:rsidRDefault="000153C5" w:rsidP="00861405">
      <w:pPr>
        <w:pStyle w:val="TOC1"/>
        <w:rPr>
          <w:noProof w:val="0"/>
        </w:rPr>
      </w:pPr>
      <w:r w:rsidRPr="006D631C">
        <w:drawing>
          <wp:inline distT="0" distB="0" distL="0" distR="0" wp14:anchorId="52CF5D16" wp14:editId="25883AF4">
            <wp:extent cx="4680000" cy="3864708"/>
            <wp:effectExtent l="0" t="0" r="635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0000" cy="3864708"/>
                    </a:xfrm>
                    <a:prstGeom prst="rect">
                      <a:avLst/>
                    </a:prstGeom>
                    <a:noFill/>
                  </pic:spPr>
                </pic:pic>
              </a:graphicData>
            </a:graphic>
          </wp:inline>
        </w:drawing>
      </w:r>
    </w:p>
    <w:p w14:paraId="034B969E" w14:textId="4F8D0562" w:rsidR="00523DBD" w:rsidRPr="006D631C" w:rsidRDefault="00523DBD" w:rsidP="00861405">
      <w:pPr>
        <w:pStyle w:val="TOC1"/>
      </w:pPr>
      <w:bookmarkStart w:id="35" w:name="_Toc148175915"/>
      <w:r w:rsidRPr="006D631C">
        <w:t xml:space="preserve">Figure </w:t>
      </w:r>
      <w:r w:rsidR="00B55F32" w:rsidRPr="006D631C">
        <w:fldChar w:fldCharType="begin"/>
      </w:r>
      <w:r w:rsidR="00B55F32" w:rsidRPr="006D631C">
        <w:instrText xml:space="preserve"> STYLEREF 1 \s </w:instrText>
      </w:r>
      <w:r w:rsidR="00B55F32" w:rsidRPr="006D631C">
        <w:fldChar w:fldCharType="separate"/>
      </w:r>
      <w:r w:rsidR="00B55F32" w:rsidRPr="006D631C">
        <w:rPr>
          <w:cs/>
        </w:rPr>
        <w:t>‎</w:t>
      </w:r>
      <w:r w:rsidR="00B55F32" w:rsidRPr="006D631C">
        <w:t>1</w:t>
      </w:r>
      <w:r w:rsidR="00B55F32" w:rsidRPr="006D631C">
        <w:fldChar w:fldCharType="end"/>
      </w:r>
      <w:r w:rsidR="00B55F32" w:rsidRPr="006D631C">
        <w:noBreakHyphen/>
      </w:r>
      <w:r w:rsidR="00B55F32" w:rsidRPr="006D631C">
        <w:fldChar w:fldCharType="begin"/>
      </w:r>
      <w:r w:rsidR="00B55F32" w:rsidRPr="006D631C">
        <w:instrText xml:space="preserve"> SEQ Figure \* ARABIC \s 1 </w:instrText>
      </w:r>
      <w:r w:rsidR="00B55F32" w:rsidRPr="006D631C">
        <w:fldChar w:fldCharType="separate"/>
      </w:r>
      <w:r w:rsidR="00B55F32" w:rsidRPr="006D631C">
        <w:t>6</w:t>
      </w:r>
      <w:r w:rsidR="00B55F32" w:rsidRPr="006D631C">
        <w:fldChar w:fldCharType="end"/>
      </w:r>
      <w:r w:rsidRPr="006D631C">
        <w:t>. Chemical structure of the polymerization initiators used for LLC templating: (a) photoinitiators and (b) other (i.e. thermal and ionic) commonly used initiator.</w:t>
      </w:r>
      <w:bookmarkEnd w:id="35"/>
    </w:p>
    <w:p w14:paraId="4531B089" w14:textId="14F77C74" w:rsidR="005F23CB" w:rsidRPr="006D631C" w:rsidRDefault="005F23CB" w:rsidP="005F23CB"/>
    <w:p w14:paraId="3918D46A" w14:textId="099A5425" w:rsidR="004F2A8A" w:rsidRPr="006D631C" w:rsidRDefault="004F2A8A" w:rsidP="00AD5755">
      <w:pPr>
        <w:pStyle w:val="Heading2"/>
      </w:pPr>
      <w:bookmarkStart w:id="36" w:name="_Toc131082860"/>
      <w:bookmarkStart w:id="37" w:name="_Toc148175778"/>
      <w:r w:rsidRPr="006D631C">
        <w:lastRenderedPageBreak/>
        <w:t>1.</w:t>
      </w:r>
      <w:r w:rsidR="00234A87" w:rsidRPr="006D631C">
        <w:t>2</w:t>
      </w:r>
      <w:r w:rsidRPr="006D631C">
        <w:t xml:space="preserve"> </w:t>
      </w:r>
      <w:r w:rsidR="00CA4574" w:rsidRPr="006D631C">
        <w:t>Characteristics of LLC structures</w:t>
      </w:r>
      <w:bookmarkEnd w:id="36"/>
      <w:bookmarkEnd w:id="37"/>
      <w:r w:rsidRPr="006D631C">
        <w:t xml:space="preserve"> </w:t>
      </w:r>
    </w:p>
    <w:p w14:paraId="2EB2953F" w14:textId="2818C45E" w:rsidR="006C0350" w:rsidRPr="006D631C" w:rsidRDefault="006C0350" w:rsidP="00BD080D">
      <w:pPr>
        <w:tabs>
          <w:tab w:val="left" w:pos="90"/>
          <w:tab w:val="left" w:pos="360"/>
          <w:tab w:val="left" w:pos="992"/>
        </w:tabs>
        <w:rPr>
          <w:rFonts w:asciiTheme="majorBidi" w:hAnsiTheme="majorBidi" w:cstheme="majorBidi"/>
        </w:rPr>
      </w:pPr>
      <w:r w:rsidRPr="006D631C">
        <w:rPr>
          <w:rFonts w:asciiTheme="majorBidi" w:hAnsiTheme="majorBidi" w:cstheme="majorBidi"/>
        </w:rPr>
        <w:t xml:space="preserve">As shown in Figure 1-1, a variety of LLC nanostructured phases can be obtained from LLC templating processes. Hence, methods for distinguishing different phases/structures are central to verifying a successful templating. X-ray crystallographic studies are the primary tool of choice for LLC structure characterization. In this section, we discuss key geometric characteristics of different LLC structures, which can be revealed via X-ray crystallographic studies. The characteristic period for commonly studied LLC mesophases (~2-5 nm) is amenable to study by X-ray scattering. Both SAXS and conventional XRD are used for this purpose, though the latter is typically better suited for elucidating structures at even smaller length scales.  A summary of LLC structural characteristics is presented in Table </w:t>
      </w:r>
      <w:r w:rsidR="00DA3DEB" w:rsidRPr="006D631C">
        <w:rPr>
          <w:rFonts w:asciiTheme="majorBidi" w:hAnsiTheme="majorBidi" w:cstheme="majorBidi"/>
        </w:rPr>
        <w:t>1-1</w:t>
      </w:r>
      <w:r w:rsidRPr="006D631C">
        <w:rPr>
          <w:rFonts w:asciiTheme="majorBidi" w:hAnsiTheme="majorBidi" w:cstheme="majorBidi"/>
        </w:rPr>
        <w:t>.</w:t>
      </w:r>
    </w:p>
    <w:p w14:paraId="56937C27" w14:textId="0BCB1D96" w:rsidR="00621EE9" w:rsidRPr="006D631C" w:rsidRDefault="00621EE9" w:rsidP="00861405">
      <w:pPr>
        <w:pStyle w:val="TOC1"/>
      </w:pPr>
    </w:p>
    <w:p w14:paraId="4C64B590" w14:textId="0BCE815D" w:rsidR="00621EE9" w:rsidRPr="006D631C" w:rsidRDefault="00621EE9" w:rsidP="00AD5755">
      <w:pPr>
        <w:pStyle w:val="Heading3"/>
      </w:pPr>
      <w:bookmarkStart w:id="38" w:name="_Toc107602603"/>
      <w:bookmarkStart w:id="39" w:name="_Toc107603397"/>
      <w:bookmarkStart w:id="40" w:name="_Toc107854820"/>
      <w:bookmarkStart w:id="41" w:name="_Toc107854996"/>
      <w:bookmarkStart w:id="42" w:name="_Toc131082861"/>
      <w:bookmarkStart w:id="43" w:name="_Toc148175779"/>
      <w:r w:rsidRPr="006D631C">
        <w:t xml:space="preserve">1.2.1 </w:t>
      </w:r>
      <w:bookmarkEnd w:id="38"/>
      <w:bookmarkEnd w:id="39"/>
      <w:bookmarkEnd w:id="40"/>
      <w:bookmarkEnd w:id="41"/>
      <w:r w:rsidRPr="006D631C">
        <w:t>Hexagonal (H</w:t>
      </w:r>
      <w:r w:rsidRPr="006D631C">
        <w:rPr>
          <w:vertAlign w:val="subscript"/>
        </w:rPr>
        <w:t>α</w:t>
      </w:r>
      <w:r w:rsidRPr="006D631C">
        <w:t>)</w:t>
      </w:r>
      <w:bookmarkEnd w:id="42"/>
      <w:bookmarkEnd w:id="43"/>
    </w:p>
    <w:p w14:paraId="66903266" w14:textId="6D06DA2A" w:rsidR="000D0E6D" w:rsidRPr="006D631C" w:rsidRDefault="000D0E6D" w:rsidP="00CE08F8">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The hexagonal columnar structure is one of the most studied phases in LLC templating. H</w:t>
      </w:r>
      <w:r w:rsidRPr="006D631C">
        <w:rPr>
          <w:rFonts w:asciiTheme="majorBidi" w:hAnsiTheme="majorBidi" w:cstheme="majorBidi"/>
          <w:vertAlign w:val="subscript"/>
        </w:rPr>
        <w:t>α</w:t>
      </w:r>
      <w:r w:rsidRPr="006D631C">
        <w:rPr>
          <w:rFonts w:asciiTheme="majorBidi" w:hAnsiTheme="majorBidi" w:cstheme="majorBidi"/>
        </w:rPr>
        <w:t xml:space="preserve"> consists of closely packed cylindrical micelles arranged in a hexagonal lattice. Depending on the curvature, the hydrophilic head of the surfactant is located on the external or internal surface of the micelles to be in contact with water in H</w:t>
      </w:r>
      <w:r w:rsidRPr="006D631C">
        <w:rPr>
          <w:rFonts w:asciiTheme="majorBidi" w:hAnsiTheme="majorBidi" w:cstheme="majorBidi"/>
          <w:vertAlign w:val="subscript"/>
        </w:rPr>
        <w:t>1</w:t>
      </w:r>
      <w:r w:rsidRPr="006D631C">
        <w:rPr>
          <w:rFonts w:asciiTheme="majorBidi" w:hAnsiTheme="majorBidi" w:cstheme="majorBidi"/>
        </w:rPr>
        <w:t xml:space="preserve"> or H</w:t>
      </w:r>
      <w:r w:rsidRPr="006D631C">
        <w:rPr>
          <w:rFonts w:asciiTheme="majorBidi" w:hAnsiTheme="majorBidi" w:cstheme="majorBidi"/>
          <w:vertAlign w:val="subscript"/>
        </w:rPr>
        <w:t>2</w:t>
      </w:r>
      <w:r w:rsidRPr="006D631C">
        <w:rPr>
          <w:rFonts w:asciiTheme="majorBidi" w:hAnsiTheme="majorBidi" w:cstheme="majorBidi"/>
        </w:rPr>
        <w:t xml:space="preserve"> structure, respectively. As shown</w:t>
      </w:r>
      <w:r w:rsidR="006C08F7" w:rsidRPr="006D631C">
        <w:rPr>
          <w:rFonts w:asciiTheme="majorBidi" w:hAnsiTheme="majorBidi" w:cstheme="majorBidi"/>
        </w:rPr>
        <w:t xml:space="preserve"> in Figure 1-7</w:t>
      </w:r>
      <w:r w:rsidRPr="006D631C">
        <w:rPr>
          <w:rFonts w:asciiTheme="majorBidi" w:hAnsiTheme="majorBidi" w:cstheme="majorBidi"/>
        </w:rPr>
        <w:t xml:space="preserve">, there are multiple parameters of interest in the hexagonal phase structure: </w:t>
      </w:r>
      <w:r w:rsidRPr="006D631C">
        <w:rPr>
          <w:rFonts w:asciiTheme="majorBidi" w:hAnsiTheme="majorBidi" w:cstheme="majorBidi"/>
          <w:i/>
          <w:iCs/>
        </w:rPr>
        <w:t>d</w:t>
      </w:r>
      <w:r w:rsidRPr="006D631C">
        <w:rPr>
          <w:rFonts w:asciiTheme="majorBidi" w:hAnsiTheme="majorBidi" w:cstheme="majorBidi"/>
        </w:rPr>
        <w:t xml:space="preserve"> is the distance between the planes passing by two adjacent rows of cylinders or </w:t>
      </w:r>
      <w:r w:rsidRPr="006D631C">
        <w:rPr>
          <w:rFonts w:asciiTheme="majorBidi" w:hAnsiTheme="majorBidi" w:cstheme="majorBidi"/>
          <w:i/>
          <w:iCs/>
        </w:rPr>
        <w:t>d</w:t>
      </w:r>
      <w:r w:rsidRPr="006D631C">
        <w:rPr>
          <w:rFonts w:asciiTheme="majorBidi" w:hAnsiTheme="majorBidi" w:cstheme="majorBidi"/>
        </w:rPr>
        <w:t xml:space="preserve">-spacing, </w:t>
      </w:r>
      <w:r w:rsidRPr="006D631C">
        <w:rPr>
          <w:rFonts w:asciiTheme="majorBidi" w:hAnsiTheme="majorBidi" w:cstheme="majorBidi"/>
          <w:i/>
          <w:iCs/>
        </w:rPr>
        <w:t>a</w:t>
      </w:r>
      <w:r w:rsidRPr="006D631C">
        <w:rPr>
          <w:rFonts w:asciiTheme="majorBidi" w:hAnsiTheme="majorBidi" w:cstheme="majorBidi"/>
        </w:rPr>
        <w:t xml:space="preserve"> is the center to center distance of two adjacent cylinders or lattice parameter, </w:t>
      </w:r>
      <w:r w:rsidRPr="006D631C">
        <w:rPr>
          <w:rFonts w:asciiTheme="majorBidi" w:hAnsiTheme="majorBidi" w:cstheme="majorBidi"/>
          <w:i/>
          <w:iCs/>
        </w:rPr>
        <w:t>R</w:t>
      </w:r>
      <w:r w:rsidRPr="006D631C">
        <w:rPr>
          <w:rFonts w:asciiTheme="majorBidi" w:hAnsiTheme="majorBidi" w:cstheme="majorBidi"/>
          <w:i/>
          <w:iCs/>
          <w:vertAlign w:val="subscript"/>
        </w:rPr>
        <w:t>m</w:t>
      </w:r>
      <w:r w:rsidRPr="006D631C">
        <w:rPr>
          <w:rFonts w:asciiTheme="majorBidi" w:hAnsiTheme="majorBidi" w:cstheme="majorBidi"/>
        </w:rPr>
        <w:t xml:space="preserve"> is the radius of micelle, </w:t>
      </w:r>
      <w:proofErr w:type="spellStart"/>
      <w:r w:rsidRPr="006D631C">
        <w:rPr>
          <w:rFonts w:asciiTheme="majorBidi" w:hAnsiTheme="majorBidi" w:cstheme="majorBidi"/>
          <w:i/>
          <w:iCs/>
        </w:rPr>
        <w:t>R</w:t>
      </w:r>
      <w:r w:rsidRPr="006D631C">
        <w:rPr>
          <w:rFonts w:asciiTheme="majorBidi" w:hAnsiTheme="majorBidi" w:cstheme="majorBidi"/>
          <w:i/>
          <w:iCs/>
          <w:vertAlign w:val="subscript"/>
        </w:rPr>
        <w:t>c</w:t>
      </w:r>
      <w:proofErr w:type="spellEnd"/>
      <w:r w:rsidRPr="006D631C">
        <w:rPr>
          <w:rFonts w:asciiTheme="majorBidi" w:hAnsiTheme="majorBidi" w:cstheme="majorBidi"/>
        </w:rPr>
        <w:t xml:space="preserve"> is the radius of confined phase in micelle, </w:t>
      </w:r>
      <w:proofErr w:type="spellStart"/>
      <w:r w:rsidRPr="006D631C">
        <w:rPr>
          <w:rFonts w:asciiTheme="majorBidi" w:hAnsiTheme="majorBidi" w:cstheme="majorBidi"/>
          <w:i/>
          <w:iCs/>
        </w:rPr>
        <w:t>D</w:t>
      </w:r>
      <w:r w:rsidRPr="006D631C">
        <w:rPr>
          <w:rFonts w:asciiTheme="majorBidi" w:hAnsiTheme="majorBidi" w:cstheme="majorBidi"/>
          <w:i/>
          <w:iCs/>
          <w:vertAlign w:val="subscript"/>
        </w:rPr>
        <w:t>m</w:t>
      </w:r>
      <w:proofErr w:type="spellEnd"/>
      <w:r w:rsidRPr="006D631C">
        <w:rPr>
          <w:rFonts w:asciiTheme="majorBidi" w:hAnsiTheme="majorBidi" w:cstheme="majorBidi"/>
        </w:rPr>
        <w:t xml:space="preserve"> is the intermicellar distance, and </w:t>
      </w:r>
      <w:proofErr w:type="spellStart"/>
      <w:r w:rsidRPr="006D631C">
        <w:rPr>
          <w:rFonts w:asciiTheme="majorBidi" w:hAnsiTheme="majorBidi" w:cstheme="majorBidi"/>
          <w:i/>
          <w:iCs/>
        </w:rPr>
        <w:t>R</w:t>
      </w:r>
      <w:r w:rsidRPr="006D631C">
        <w:rPr>
          <w:rFonts w:asciiTheme="majorBidi" w:hAnsiTheme="majorBidi" w:cstheme="majorBidi"/>
          <w:i/>
          <w:iCs/>
          <w:vertAlign w:val="subscript"/>
        </w:rPr>
        <w:t>h,max</w:t>
      </w:r>
      <w:proofErr w:type="spellEnd"/>
      <w:r w:rsidRPr="006D631C">
        <w:rPr>
          <w:rFonts w:asciiTheme="majorBidi" w:hAnsiTheme="majorBidi" w:cstheme="majorBidi"/>
        </w:rPr>
        <w:t xml:space="preserve"> is the radius of the largest circle trapped between the micelles.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56</w:t>
      </w:r>
      <w:r w:rsidRPr="006D631C">
        <w:rPr>
          <w:rFonts w:asciiTheme="majorBidi" w:hAnsiTheme="majorBidi" w:cstheme="majorBidi"/>
        </w:rPr>
        <w:fldChar w:fldCharType="end"/>
      </w:r>
      <w:r w:rsidRPr="006D631C">
        <w:rPr>
          <w:rFonts w:asciiTheme="majorBidi" w:hAnsiTheme="majorBidi" w:cstheme="majorBidi"/>
        </w:rPr>
        <w:t xml:space="preserve"> Bragg peaks with relative positions at the ratios of 1:√3:2:√7:3:√12:√13… (corresponding to the d</w:t>
      </w:r>
      <w:r w:rsidRPr="006D631C">
        <w:rPr>
          <w:rFonts w:asciiTheme="majorBidi" w:hAnsiTheme="majorBidi" w:cstheme="majorBidi"/>
          <w:vertAlign w:val="subscript"/>
        </w:rPr>
        <w:t>10</w:t>
      </w:r>
      <w:r w:rsidRPr="006D631C">
        <w:rPr>
          <w:rFonts w:asciiTheme="majorBidi" w:hAnsiTheme="majorBidi" w:cstheme="majorBidi"/>
        </w:rPr>
        <w:t>, d</w:t>
      </w:r>
      <w:r w:rsidRPr="006D631C">
        <w:rPr>
          <w:rFonts w:asciiTheme="majorBidi" w:hAnsiTheme="majorBidi" w:cstheme="majorBidi"/>
          <w:vertAlign w:val="subscript"/>
        </w:rPr>
        <w:t>11</w:t>
      </w:r>
      <w:r w:rsidRPr="006D631C">
        <w:rPr>
          <w:rFonts w:asciiTheme="majorBidi" w:hAnsiTheme="majorBidi" w:cstheme="majorBidi"/>
        </w:rPr>
        <w:t>, d</w:t>
      </w:r>
      <w:r w:rsidRPr="006D631C">
        <w:rPr>
          <w:rFonts w:asciiTheme="majorBidi" w:hAnsiTheme="majorBidi" w:cstheme="majorBidi"/>
          <w:vertAlign w:val="subscript"/>
        </w:rPr>
        <w:t>20</w:t>
      </w:r>
      <w:r w:rsidRPr="006D631C">
        <w:rPr>
          <w:rFonts w:asciiTheme="majorBidi" w:hAnsiTheme="majorBidi" w:cstheme="majorBidi"/>
        </w:rPr>
        <w:t>, d</w:t>
      </w:r>
      <w:r w:rsidRPr="006D631C">
        <w:rPr>
          <w:rFonts w:asciiTheme="majorBidi" w:hAnsiTheme="majorBidi" w:cstheme="majorBidi"/>
          <w:vertAlign w:val="subscript"/>
        </w:rPr>
        <w:t>21</w:t>
      </w:r>
      <w:r w:rsidRPr="006D631C">
        <w:rPr>
          <w:rFonts w:asciiTheme="majorBidi" w:hAnsiTheme="majorBidi" w:cstheme="majorBidi"/>
        </w:rPr>
        <w:t>, d</w:t>
      </w:r>
      <w:r w:rsidRPr="006D631C">
        <w:rPr>
          <w:rFonts w:asciiTheme="majorBidi" w:hAnsiTheme="majorBidi" w:cstheme="majorBidi"/>
          <w:vertAlign w:val="subscript"/>
        </w:rPr>
        <w:t>30</w:t>
      </w:r>
      <w:r w:rsidRPr="006D631C">
        <w:rPr>
          <w:rFonts w:asciiTheme="majorBidi" w:hAnsiTheme="majorBidi" w:cstheme="majorBidi"/>
        </w:rPr>
        <w:t xml:space="preserve">, … diffraction planes) are the characteristic signature of the hexagonal structure in X-ray measurements (see </w:t>
      </w:r>
      <w:r w:rsidR="00CE08F8" w:rsidRPr="006D631C">
        <w:rPr>
          <w:rFonts w:asciiTheme="majorBidi" w:hAnsiTheme="majorBidi" w:cstheme="majorBidi"/>
        </w:rPr>
        <w:t>Figure 1-2b</w:t>
      </w:r>
      <w:r w:rsidRPr="006D631C">
        <w:rPr>
          <w:rFonts w:asciiTheme="majorBidi" w:hAnsiTheme="majorBidi" w:cstheme="majorBidi"/>
        </w:rPr>
        <w:t>).</w:t>
      </w:r>
      <w:r w:rsidRPr="006D631C">
        <w:rPr>
          <w:rFonts w:asciiTheme="majorBidi" w:hAnsiTheme="majorBidi" w:cstheme="majorBidi"/>
        </w:rPr>
        <w:fldChar w:fldCharType="begin" w:fldLock="1"/>
      </w:r>
      <w:r w:rsidR="002C79AE" w:rsidRPr="006D631C">
        <w:rPr>
          <w:rFonts w:asciiTheme="majorBidi" w:hAnsiTheme="majorBidi" w:cstheme="majorBidi"/>
        </w:rPr>
        <w:instrText>ADDIN CSL_CITATION {"citationItems":[{"id":"ITEM-1","itemData":{"DOI":"10.1021/jp062159p","ISSN":"15206106","abstract":"The ternary phase diagram of the amphiphilic triblock copolymer PEO-PPO-PEO ((EO)20(PO)70(EO)20 commercialized under the generic name P123), water, and ethanol has been investigated at constant temperature (T = 23°C) by small-angle X-ray scattering (SAXS). The microstructure resulting from the self-assembly of the PEO-PPO-PEO block copolymer varies from micelles in solution to various types of liquid crystalline phases such as cubic, 3D hexagonal close packed spheres (HCPS), 2D hexagonal, and lamellar when the concentration of the polymer is increased. In the Isotropic liquid phase, the micellar structural parameters are obtained as a function of the water-ethanol ratio and block copolymer concentration by fitting the scattering data to a model involving core-shell form factor and a hard sphere structure factor of interaction. The micellar core, the aggregation number, and the hard sphere interaction radius decrease when increasing the ethanol/water ratio in the mixed solvent. We show that the fraction of ethanol present in the core is responsible for the swelling of the PPO blocks. In the different liquid crystalline phases, structural parameters such as lattice spacing, interfacial area of PEO block, and aggregation number are also evaluated. In addition to classical phases such as lamellar, 2D hexagonal, and liquid isotropic phases, we have observed a two-phase region in which cubic Fm3m and P63mmc (hexagonally close packing of spheres (HCPS)) phases coexist. This appears at 30% (w/w) of P123 in pure water and with 5% (w/w) of ethanol. At 10% (w/w) ethanol, only the HCPS phase remains present. © 2006 American Chemical Society.","author":[{"dropping-particle":"","family":"Soni","given":"S. S.","non-dropping-particle":"","parse-names":false,"suffix":""},{"dropping-particle":"","family":"Brotons","given":"G.","non-dropping-particle":"","parse-names":false,"suffix":""},{"dropping-particle":"","family":"Bellour","given":"M.","non-dropping-particle":"","parse-names":false,"suffix":""},{"dropping-particle":"","family":"Narayanan","given":"T.","non-dropping-particle":"","parse-names":false,"suffix":""},{"dropping-particle":"","family":"Gibaud","given":"A.","non-dropping-particle":"","parse-names":false,"suffix":""}],"container-title":"Journal of Physical Chemistry B","id":"ITEM-1","issue":"31","issued":{"date-parts":[["2006"]]},"page":"15157-15165","title":"Quantitative SAXS analysis of the P123/water/ethanol ternary phase diagram","type":"article-journal","volume":"110"},"uris":["http://www.mendeley.com/documents/?uuid=43ee2138-5ca4-4a5d-8f85-1921ed16d2cc"]}],"mendeley":{"formattedCitation":"&lt;sup&gt;18&lt;/sup&gt;","plainTextFormattedCitation":"18","previouslyFormattedCitation":"&lt;sup&gt;18&lt;/sup&gt;"},"properties":{"noteIndex":0},"schema":"https://github.com/citation-style-language/schema/raw/master/csl-citation.json"}</w:instrText>
      </w:r>
      <w:r w:rsidRPr="006D631C">
        <w:rPr>
          <w:rFonts w:asciiTheme="majorBidi" w:hAnsiTheme="majorBidi" w:cstheme="majorBidi"/>
        </w:rPr>
        <w:fldChar w:fldCharType="separate"/>
      </w:r>
      <w:r w:rsidR="002C79AE" w:rsidRPr="006D631C">
        <w:rPr>
          <w:rFonts w:asciiTheme="majorBidi" w:hAnsiTheme="majorBidi" w:cstheme="majorBidi"/>
          <w:noProof/>
          <w:vertAlign w:val="superscript"/>
        </w:rPr>
        <w:t>18</w:t>
      </w:r>
      <w:r w:rsidRPr="006D631C">
        <w:rPr>
          <w:rFonts w:asciiTheme="majorBidi" w:hAnsiTheme="majorBidi" w:cstheme="majorBidi"/>
        </w:rPr>
        <w:fldChar w:fldCharType="end"/>
      </w:r>
      <w:r w:rsidRPr="006D631C">
        <w:rPr>
          <w:rFonts w:asciiTheme="majorBidi" w:hAnsiTheme="majorBidi" w:cstheme="majorBidi"/>
        </w:rPr>
        <w:t xml:space="preserve"> The </w:t>
      </w:r>
      <w:r w:rsidRPr="006D631C">
        <w:rPr>
          <w:rFonts w:asciiTheme="majorBidi" w:hAnsiTheme="majorBidi" w:cstheme="majorBidi"/>
          <w:i/>
          <w:iCs/>
        </w:rPr>
        <w:lastRenderedPageBreak/>
        <w:t>d</w:t>
      </w:r>
      <w:r w:rsidRPr="006D631C">
        <w:rPr>
          <w:rFonts w:asciiTheme="majorBidi" w:hAnsiTheme="majorBidi" w:cstheme="majorBidi"/>
        </w:rPr>
        <w:t xml:space="preserve"> is calculated from Eq. (</w:t>
      </w:r>
      <w:r w:rsidR="00CF072C" w:rsidRPr="006D631C">
        <w:rPr>
          <w:rFonts w:asciiTheme="majorBidi" w:hAnsiTheme="majorBidi" w:cstheme="majorBidi"/>
        </w:rPr>
        <w:t>1-</w:t>
      </w:r>
      <w:r w:rsidRPr="006D631C">
        <w:rPr>
          <w:rFonts w:asciiTheme="majorBidi" w:hAnsiTheme="majorBidi" w:cstheme="majorBidi"/>
        </w:rPr>
        <w:t xml:space="preserve">2) by using the position of the first Bragg peak from SAXS measurement, </w:t>
      </w:r>
      <w:r w:rsidRPr="006D631C">
        <w:rPr>
          <w:rFonts w:asciiTheme="majorBidi" w:hAnsiTheme="majorBidi" w:cstheme="majorBidi"/>
          <w:i/>
          <w:iCs/>
        </w:rPr>
        <w:t>q</w:t>
      </w:r>
      <w:r w:rsidRPr="006D631C">
        <w:rPr>
          <w:rFonts w:asciiTheme="majorBidi" w:hAnsiTheme="majorBidi" w:cstheme="majorBidi"/>
          <w:vertAlign w:val="subscript"/>
        </w:rPr>
        <w:t>10</w:t>
      </w:r>
      <w:r w:rsidR="006E66B2" w:rsidRPr="006D631C">
        <w:rPr>
          <w:rFonts w:asciiTheme="majorBidi" w:hAnsiTheme="majorBidi" w:cstheme="majorBidi"/>
        </w:rPr>
        <w:t xml:space="preserve"> or </w:t>
      </w:r>
      <w:r w:rsidR="006E66B2" w:rsidRPr="006D631C">
        <w:rPr>
          <w:rFonts w:asciiTheme="majorBidi" w:hAnsiTheme="majorBidi" w:cstheme="majorBidi"/>
          <w:i/>
          <w:iCs/>
        </w:rPr>
        <w:t>q*</w:t>
      </w:r>
      <w:r w:rsidRPr="006D631C">
        <w:rPr>
          <w:rFonts w:asciiTheme="majorBidi" w:hAnsiTheme="majorBidi" w:cstheme="majorBidi"/>
        </w:rPr>
        <w:t>. The lattice parameter can be calculated from Eq. (</w:t>
      </w:r>
      <w:r w:rsidR="00CF072C" w:rsidRPr="006D631C">
        <w:rPr>
          <w:rFonts w:asciiTheme="majorBidi" w:hAnsiTheme="majorBidi" w:cstheme="majorBidi"/>
        </w:rPr>
        <w:t>1-</w:t>
      </w:r>
      <w:r w:rsidRPr="006D631C">
        <w:rPr>
          <w:rFonts w:asciiTheme="majorBidi" w:hAnsiTheme="majorBidi" w:cstheme="majorBidi"/>
        </w:rPr>
        <w:t xml:space="preserve">3) based on the obtained value of </w:t>
      </w:r>
      <w:r w:rsidRPr="006D631C">
        <w:rPr>
          <w:rFonts w:asciiTheme="majorBidi" w:hAnsiTheme="majorBidi" w:cstheme="majorBidi"/>
          <w:i/>
          <w:iCs/>
        </w:rPr>
        <w:t>d</w:t>
      </w:r>
      <w:r w:rsidRPr="006D631C">
        <w:rPr>
          <w:rFonts w:asciiTheme="majorBidi" w:hAnsiTheme="majorBidi" w:cstheme="majorBidi"/>
        </w:rPr>
        <w:t>.</w:t>
      </w:r>
      <w:r w:rsidRPr="006D631C">
        <w:rPr>
          <w:rFonts w:asciiTheme="majorBidi" w:hAnsiTheme="majorBidi" w:cstheme="majorBidi"/>
        </w:rPr>
        <w:fldChar w:fldCharType="begin" w:fldLock="1"/>
      </w:r>
      <w:r w:rsidR="002C79AE" w:rsidRPr="006D631C">
        <w:rPr>
          <w:rFonts w:asciiTheme="majorBidi" w:hAnsiTheme="majorBidi" w:cstheme="majorBidi"/>
        </w:rPr>
        <w:instrText>ADDIN CSL_CITATION {"citationItems":[{"id":"ITEM-1","itemData":{"DOI":"10.1021/jp062159p","ISSN":"15206106","abstract":"The ternary phase diagram of the amphiphilic triblock copolymer PEO-PPO-PEO ((EO)20(PO)70(EO)20 commercialized under the generic name P123), water, and ethanol has been investigated at constant temperature (T = 23°C) by small-angle X-ray scattering (SAXS). The microstructure resulting from the self-assembly of the PEO-PPO-PEO block copolymer varies from micelles in solution to various types of liquid crystalline phases such as cubic, 3D hexagonal close packed spheres (HCPS), 2D hexagonal, and lamellar when the concentration of the polymer is increased. In the Isotropic liquid phase, the micellar structural parameters are obtained as a function of the water-ethanol ratio and block copolymer concentration by fitting the scattering data to a model involving core-shell form factor and a hard sphere structure factor of interaction. The micellar core, the aggregation number, and the hard sphere interaction radius decrease when increasing the ethanol/water ratio in the mixed solvent. We show that the fraction of ethanol present in the core is responsible for the swelling of the PPO blocks. In the different liquid crystalline phases, structural parameters such as lattice spacing, interfacial area of PEO block, and aggregation number are also evaluated. In addition to classical phases such as lamellar, 2D hexagonal, and liquid isotropic phases, we have observed a two-phase region in which cubic Fm3m and P63mmc (hexagonally close packing of spheres (HCPS)) phases coexist. This appears at 30% (w/w) of P123 in pure water and with 5% (w/w) of ethanol. At 10% (w/w) ethanol, only the HCPS phase remains present. © 2006 American Chemical Society.","author":[{"dropping-particle":"","family":"Soni","given":"S. S.","non-dropping-particle":"","parse-names":false,"suffix":""},{"dropping-particle":"","family":"Brotons","given":"G.","non-dropping-particle":"","parse-names":false,"suffix":""},{"dropping-particle":"","family":"Bellour","given":"M.","non-dropping-particle":"","parse-names":false,"suffix":""},{"dropping-particle":"","family":"Narayanan","given":"T.","non-dropping-particle":"","parse-names":false,"suffix":""},{"dropping-particle":"","family":"Gibaud","given":"A.","non-dropping-particle":"","parse-names":false,"suffix":""}],"container-title":"Journal of Physical Chemistry B","id":"ITEM-1","issue":"31","issued":{"date-parts":[["2006"]]},"page":"15157-15165","title":"Quantitative SAXS analysis of the P123/water/ethanol ternary phase diagram","type":"article-journal","volume":"110"},"uris":["http://www.mendeley.com/documents/?uuid=43ee2138-5ca4-4a5d-8f85-1921ed16d2cc"]}],"mendeley":{"formattedCitation":"&lt;sup&gt;18&lt;/sup&gt;","plainTextFormattedCitation":"18","previouslyFormattedCitation":"&lt;sup&gt;18&lt;/sup&gt;"},"properties":{"noteIndex":0},"schema":"https://github.com/citation-style-language/schema/raw/master/csl-citation.json"}</w:instrText>
      </w:r>
      <w:r w:rsidRPr="006D631C">
        <w:rPr>
          <w:rFonts w:asciiTheme="majorBidi" w:hAnsiTheme="majorBidi" w:cstheme="majorBidi"/>
        </w:rPr>
        <w:fldChar w:fldCharType="separate"/>
      </w:r>
      <w:r w:rsidR="002C79AE" w:rsidRPr="006D631C">
        <w:rPr>
          <w:rFonts w:asciiTheme="majorBidi" w:hAnsiTheme="majorBidi" w:cstheme="majorBidi"/>
          <w:noProof/>
          <w:vertAlign w:val="superscript"/>
        </w:rPr>
        <w:t>18</w:t>
      </w:r>
      <w:r w:rsidRPr="006D631C">
        <w:rPr>
          <w:rFonts w:asciiTheme="majorBidi" w:hAnsiTheme="majorBidi" w:cstheme="majorBidi"/>
        </w:rPr>
        <w:fldChar w:fldCharType="end"/>
      </w:r>
      <w:r w:rsidRPr="006D631C">
        <w:rPr>
          <w:rFonts w:asciiTheme="majorBidi" w:hAnsiTheme="majorBidi" w:cstheme="majorBidi"/>
        </w:rPr>
        <w:t xml:space="preserve"> </w:t>
      </w:r>
    </w:p>
    <w:p w14:paraId="248338A6" w14:textId="5D6A0A9D" w:rsidR="00DB2C14" w:rsidRPr="006D631C" w:rsidRDefault="00F036FC" w:rsidP="00F036FC">
      <w:pPr>
        <w:pStyle w:val="Caption"/>
        <w:spacing w:after="0"/>
        <w:jc w:val="center"/>
        <w:rPr>
          <w:rFonts w:asciiTheme="majorBidi" w:hAnsiTheme="majorBidi" w:cstheme="majorBidi"/>
          <w:sz w:val="22"/>
          <w:szCs w:val="22"/>
        </w:rPr>
      </w:pPr>
      <w:bookmarkStart w:id="44" w:name="_Toc148175965"/>
      <w:r w:rsidRPr="006D631C">
        <w:rPr>
          <w:sz w:val="22"/>
          <w:szCs w:val="22"/>
        </w:rPr>
        <w:t xml:space="preserve">Table </w:t>
      </w:r>
      <w:r w:rsidR="0093296F" w:rsidRPr="006D631C">
        <w:rPr>
          <w:sz w:val="22"/>
          <w:szCs w:val="22"/>
        </w:rPr>
        <w:fldChar w:fldCharType="begin"/>
      </w:r>
      <w:r w:rsidR="0093296F" w:rsidRPr="006D631C">
        <w:rPr>
          <w:sz w:val="22"/>
          <w:szCs w:val="22"/>
        </w:rPr>
        <w:instrText xml:space="preserve"> STYLEREF 1 \s </w:instrText>
      </w:r>
      <w:r w:rsidR="0093296F" w:rsidRPr="006D631C">
        <w:rPr>
          <w:sz w:val="22"/>
          <w:szCs w:val="22"/>
        </w:rPr>
        <w:fldChar w:fldCharType="separate"/>
      </w:r>
      <w:r w:rsidR="0093296F" w:rsidRPr="006D631C">
        <w:rPr>
          <w:sz w:val="22"/>
          <w:szCs w:val="22"/>
          <w:cs/>
        </w:rPr>
        <w:t>‎</w:t>
      </w:r>
      <w:r w:rsidR="0093296F" w:rsidRPr="006D631C">
        <w:rPr>
          <w:sz w:val="22"/>
          <w:szCs w:val="22"/>
        </w:rPr>
        <w:t>1</w:t>
      </w:r>
      <w:r w:rsidR="0093296F" w:rsidRPr="006D631C">
        <w:rPr>
          <w:sz w:val="22"/>
          <w:szCs w:val="22"/>
        </w:rPr>
        <w:fldChar w:fldCharType="end"/>
      </w:r>
      <w:r w:rsidR="0093296F" w:rsidRPr="006D631C">
        <w:rPr>
          <w:sz w:val="22"/>
          <w:szCs w:val="22"/>
        </w:rPr>
        <w:noBreakHyphen/>
      </w:r>
      <w:r w:rsidR="0093296F" w:rsidRPr="006D631C">
        <w:rPr>
          <w:sz w:val="22"/>
          <w:szCs w:val="22"/>
        </w:rPr>
        <w:fldChar w:fldCharType="begin"/>
      </w:r>
      <w:r w:rsidR="0093296F" w:rsidRPr="006D631C">
        <w:rPr>
          <w:sz w:val="22"/>
          <w:szCs w:val="22"/>
        </w:rPr>
        <w:instrText xml:space="preserve"> SEQ Table \* ARABIC \s 1 </w:instrText>
      </w:r>
      <w:r w:rsidR="0093296F" w:rsidRPr="006D631C">
        <w:rPr>
          <w:sz w:val="22"/>
          <w:szCs w:val="22"/>
        </w:rPr>
        <w:fldChar w:fldCharType="separate"/>
      </w:r>
      <w:r w:rsidR="0093296F" w:rsidRPr="006D631C">
        <w:rPr>
          <w:sz w:val="22"/>
          <w:szCs w:val="22"/>
        </w:rPr>
        <w:t>1</w:t>
      </w:r>
      <w:r w:rsidR="0093296F" w:rsidRPr="006D631C">
        <w:rPr>
          <w:sz w:val="22"/>
          <w:szCs w:val="22"/>
        </w:rPr>
        <w:fldChar w:fldCharType="end"/>
      </w:r>
      <w:r w:rsidRPr="006D631C">
        <w:rPr>
          <w:sz w:val="22"/>
          <w:szCs w:val="22"/>
        </w:rPr>
        <w:t xml:space="preserve">. </w:t>
      </w:r>
      <w:r w:rsidR="00DB2C14" w:rsidRPr="006D631C">
        <w:rPr>
          <w:rFonts w:asciiTheme="majorBidi" w:hAnsiTheme="majorBidi" w:cstheme="majorBidi"/>
          <w:sz w:val="22"/>
          <w:szCs w:val="22"/>
        </w:rPr>
        <w:t>Characteristics of LLC structures used is LLC templating.</w:t>
      </w:r>
      <w:bookmarkEnd w:id="44"/>
    </w:p>
    <w:tbl>
      <w:tblPr>
        <w:tblStyle w:val="TableGrid"/>
        <w:tblW w:w="83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69"/>
        <w:gridCol w:w="3436"/>
        <w:gridCol w:w="1928"/>
      </w:tblGrid>
      <w:tr w:rsidR="00DB2C14" w:rsidRPr="006D631C" w14:paraId="3761699F" w14:textId="77777777" w:rsidTr="009607EA">
        <w:trPr>
          <w:trHeight w:val="680"/>
          <w:jc w:val="center"/>
        </w:trPr>
        <w:tc>
          <w:tcPr>
            <w:tcW w:w="1701" w:type="dxa"/>
            <w:tcBorders>
              <w:top w:val="single" w:sz="8" w:space="0" w:color="auto"/>
              <w:bottom w:val="single" w:sz="8" w:space="0" w:color="auto"/>
            </w:tcBorders>
            <w:vAlign w:val="center"/>
          </w:tcPr>
          <w:p w14:paraId="5920ED21" w14:textId="77777777" w:rsidR="00DB2C14" w:rsidRPr="006D631C" w:rsidRDefault="00DB2C14" w:rsidP="009607EA">
            <w:pPr>
              <w:tabs>
                <w:tab w:val="left" w:pos="90"/>
                <w:tab w:val="left" w:pos="360"/>
                <w:tab w:val="left" w:pos="992"/>
              </w:tabs>
              <w:spacing w:line="276" w:lineRule="auto"/>
              <w:rPr>
                <w:rFonts w:asciiTheme="majorBidi" w:hAnsiTheme="majorBidi" w:cstheme="majorBidi"/>
                <w:b/>
                <w:bCs/>
              </w:rPr>
            </w:pPr>
            <w:r w:rsidRPr="006D631C">
              <w:rPr>
                <w:rFonts w:asciiTheme="majorBidi" w:hAnsiTheme="majorBidi" w:cstheme="majorBidi"/>
                <w:b/>
                <w:bCs/>
              </w:rPr>
              <w:t>LLC structure</w:t>
            </w:r>
          </w:p>
        </w:tc>
        <w:tc>
          <w:tcPr>
            <w:tcW w:w="1269" w:type="dxa"/>
            <w:tcBorders>
              <w:top w:val="single" w:sz="8" w:space="0" w:color="auto"/>
              <w:bottom w:val="single" w:sz="8" w:space="0" w:color="auto"/>
            </w:tcBorders>
            <w:vAlign w:val="center"/>
          </w:tcPr>
          <w:p w14:paraId="5F35E700" w14:textId="77777777" w:rsidR="00DB2C14" w:rsidRPr="006D631C" w:rsidRDefault="00DB2C14" w:rsidP="009607EA">
            <w:pPr>
              <w:tabs>
                <w:tab w:val="left" w:pos="90"/>
                <w:tab w:val="left" w:pos="360"/>
                <w:tab w:val="left" w:pos="992"/>
              </w:tabs>
              <w:spacing w:line="276" w:lineRule="auto"/>
              <w:rPr>
                <w:rFonts w:asciiTheme="majorBidi" w:hAnsiTheme="majorBidi" w:cstheme="majorBidi"/>
                <w:b/>
                <w:bCs/>
              </w:rPr>
            </w:pPr>
            <w:r w:rsidRPr="006D631C">
              <w:rPr>
                <w:rFonts w:asciiTheme="majorBidi" w:hAnsiTheme="majorBidi" w:cstheme="majorBidi"/>
                <w:b/>
                <w:bCs/>
              </w:rPr>
              <w:t>CPLM</w:t>
            </w:r>
          </w:p>
        </w:tc>
        <w:tc>
          <w:tcPr>
            <w:tcW w:w="3436" w:type="dxa"/>
            <w:tcBorders>
              <w:top w:val="single" w:sz="8" w:space="0" w:color="auto"/>
              <w:bottom w:val="single" w:sz="8" w:space="0" w:color="auto"/>
            </w:tcBorders>
            <w:vAlign w:val="center"/>
          </w:tcPr>
          <w:p w14:paraId="31EBC6F0" w14:textId="77777777" w:rsidR="00DB2C14" w:rsidRPr="006D631C" w:rsidRDefault="00DB2C14" w:rsidP="009607EA">
            <w:pPr>
              <w:tabs>
                <w:tab w:val="left" w:pos="90"/>
                <w:tab w:val="left" w:pos="360"/>
                <w:tab w:val="left" w:pos="992"/>
              </w:tabs>
              <w:spacing w:line="276" w:lineRule="auto"/>
              <w:rPr>
                <w:rFonts w:asciiTheme="majorBidi" w:hAnsiTheme="majorBidi" w:cstheme="majorBidi"/>
                <w:b/>
                <w:bCs/>
              </w:rPr>
            </w:pPr>
            <w:r w:rsidRPr="006D631C">
              <w:rPr>
                <w:rFonts w:asciiTheme="majorBidi" w:hAnsiTheme="majorBidi" w:cstheme="majorBidi"/>
                <w:b/>
                <w:bCs/>
              </w:rPr>
              <w:t>X-ray Bragg Peak Ratios</w:t>
            </w:r>
          </w:p>
        </w:tc>
        <w:tc>
          <w:tcPr>
            <w:tcW w:w="1928" w:type="dxa"/>
            <w:tcBorders>
              <w:top w:val="single" w:sz="8" w:space="0" w:color="auto"/>
              <w:bottom w:val="single" w:sz="8" w:space="0" w:color="auto"/>
            </w:tcBorders>
            <w:vAlign w:val="center"/>
          </w:tcPr>
          <w:p w14:paraId="3D3BBA28" w14:textId="77777777" w:rsidR="00DB2C14" w:rsidRPr="006D631C" w:rsidRDefault="00DB2C14" w:rsidP="009607EA">
            <w:pPr>
              <w:tabs>
                <w:tab w:val="left" w:pos="90"/>
                <w:tab w:val="left" w:pos="360"/>
                <w:tab w:val="left" w:pos="992"/>
              </w:tabs>
              <w:spacing w:line="276" w:lineRule="auto"/>
              <w:rPr>
                <w:rFonts w:asciiTheme="majorBidi" w:hAnsiTheme="majorBidi" w:cstheme="majorBidi"/>
                <w:b/>
                <w:bCs/>
              </w:rPr>
            </w:pPr>
            <w:r w:rsidRPr="006D631C">
              <w:rPr>
                <w:rFonts w:asciiTheme="majorBidi" w:hAnsiTheme="majorBidi" w:cstheme="majorBidi"/>
                <w:b/>
                <w:bCs/>
              </w:rPr>
              <w:t>Lattice parameter</w:t>
            </w:r>
          </w:p>
        </w:tc>
      </w:tr>
      <w:tr w:rsidR="00DB2C14" w:rsidRPr="006D631C" w14:paraId="443C95E4" w14:textId="77777777" w:rsidTr="009607EA">
        <w:trPr>
          <w:trHeight w:val="510"/>
          <w:jc w:val="center"/>
        </w:trPr>
        <w:tc>
          <w:tcPr>
            <w:tcW w:w="1701" w:type="dxa"/>
            <w:tcBorders>
              <w:top w:val="single" w:sz="8" w:space="0" w:color="auto"/>
            </w:tcBorders>
            <w:vAlign w:val="center"/>
          </w:tcPr>
          <w:p w14:paraId="2F1DD17A"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Hexagonal</w:t>
            </w:r>
          </w:p>
        </w:tc>
        <w:tc>
          <w:tcPr>
            <w:tcW w:w="1269" w:type="dxa"/>
            <w:tcBorders>
              <w:top w:val="single" w:sz="8" w:space="0" w:color="auto"/>
            </w:tcBorders>
            <w:vAlign w:val="center"/>
          </w:tcPr>
          <w:p w14:paraId="25FA118F"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Fan-like texture</w:t>
            </w:r>
          </w:p>
        </w:tc>
        <w:tc>
          <w:tcPr>
            <w:tcW w:w="3436" w:type="dxa"/>
            <w:tcBorders>
              <w:top w:val="single" w:sz="8" w:space="0" w:color="auto"/>
            </w:tcBorders>
            <w:vAlign w:val="center"/>
          </w:tcPr>
          <w:p w14:paraId="0580656F"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1:√3:2:√7:3:√12:√13…</w:t>
            </w:r>
          </w:p>
        </w:tc>
        <w:tc>
          <w:tcPr>
            <w:tcW w:w="1928" w:type="dxa"/>
            <w:tcBorders>
              <w:top w:val="single" w:sz="8" w:space="0" w:color="auto"/>
            </w:tcBorders>
            <w:vAlign w:val="center"/>
          </w:tcPr>
          <w:p w14:paraId="29BFF591" w14:textId="53A997A6"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position w:val="-28"/>
                <w:sz w:val="24"/>
                <w:szCs w:val="24"/>
              </w:rPr>
              <w:object w:dxaOrig="940" w:dyaOrig="660" w14:anchorId="1A0183FE">
                <v:shape id="_x0000_i1026" type="#_x0000_t75" style="width:42pt;height:30pt" o:ole="">
                  <v:imagedata r:id="rId21" o:title=""/>
                </v:shape>
                <o:OLEObject Type="Embed" ProgID="Equation.DSMT4" ShapeID="_x0000_i1026" DrawAspect="Content" ObjectID="_1760013294" r:id="rId22"/>
              </w:object>
            </w:r>
            <w:r w:rsidRPr="006D631C">
              <w:t xml:space="preserve">, </w:t>
            </w:r>
            <w:r w:rsidR="004A3F61" w:rsidRPr="006D631C">
              <w:rPr>
                <w:position w:val="-28"/>
                <w:sz w:val="24"/>
                <w:szCs w:val="24"/>
              </w:rPr>
              <w:object w:dxaOrig="780" w:dyaOrig="660" w14:anchorId="47316504">
                <v:shape id="_x0000_i1027" type="#_x0000_t75" style="width:36pt;height:29.4pt" o:ole="">
                  <v:imagedata r:id="rId23" o:title=""/>
                </v:shape>
                <o:OLEObject Type="Embed" ProgID="Equation.DSMT4" ShapeID="_x0000_i1027" DrawAspect="Content" ObjectID="_1760013295" r:id="rId24"/>
              </w:object>
            </w:r>
          </w:p>
        </w:tc>
      </w:tr>
      <w:tr w:rsidR="00DB2C14" w:rsidRPr="006D631C" w14:paraId="14F97EB0" w14:textId="77777777" w:rsidTr="009607EA">
        <w:trPr>
          <w:trHeight w:val="510"/>
          <w:jc w:val="center"/>
        </w:trPr>
        <w:tc>
          <w:tcPr>
            <w:tcW w:w="1701" w:type="dxa"/>
            <w:vAlign w:val="center"/>
          </w:tcPr>
          <w:p w14:paraId="634F19FA"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Lamellar</w:t>
            </w:r>
          </w:p>
        </w:tc>
        <w:tc>
          <w:tcPr>
            <w:tcW w:w="1269" w:type="dxa"/>
            <w:vAlign w:val="center"/>
          </w:tcPr>
          <w:p w14:paraId="6CA476F7"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Oily-streak texture</w:t>
            </w:r>
          </w:p>
        </w:tc>
        <w:tc>
          <w:tcPr>
            <w:tcW w:w="3436" w:type="dxa"/>
            <w:vAlign w:val="center"/>
          </w:tcPr>
          <w:p w14:paraId="7C74D830"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1:2:3:4:5:6…</w:t>
            </w:r>
          </w:p>
        </w:tc>
        <w:tc>
          <w:tcPr>
            <w:tcW w:w="1928" w:type="dxa"/>
            <w:vAlign w:val="center"/>
          </w:tcPr>
          <w:p w14:paraId="2996B063" w14:textId="5A24600C" w:rsidR="00DB2C14" w:rsidRPr="006D631C" w:rsidRDefault="004A3F61" w:rsidP="009607EA">
            <w:pPr>
              <w:tabs>
                <w:tab w:val="left" w:pos="90"/>
                <w:tab w:val="left" w:pos="360"/>
                <w:tab w:val="left" w:pos="992"/>
              </w:tabs>
              <w:spacing w:line="276" w:lineRule="auto"/>
              <w:rPr>
                <w:rFonts w:asciiTheme="majorBidi" w:hAnsiTheme="majorBidi" w:cstheme="majorBidi"/>
              </w:rPr>
            </w:pPr>
            <w:r w:rsidRPr="006D631C">
              <w:rPr>
                <w:position w:val="-28"/>
                <w:sz w:val="24"/>
                <w:szCs w:val="24"/>
              </w:rPr>
              <w:object w:dxaOrig="780" w:dyaOrig="660" w14:anchorId="4CFD17B4">
                <v:shape id="_x0000_i1028" type="#_x0000_t75" style="width:36pt;height:29.4pt" o:ole="">
                  <v:imagedata r:id="rId25" o:title=""/>
                </v:shape>
                <o:OLEObject Type="Embed" ProgID="Equation.DSMT4" ShapeID="_x0000_i1028" DrawAspect="Content" ObjectID="_1760013296" r:id="rId26"/>
              </w:object>
            </w:r>
          </w:p>
        </w:tc>
      </w:tr>
      <w:tr w:rsidR="00DB2C14" w:rsidRPr="006D631C" w14:paraId="5B8C3575" w14:textId="77777777" w:rsidTr="009607EA">
        <w:trPr>
          <w:trHeight w:val="1134"/>
          <w:jc w:val="center"/>
        </w:trPr>
        <w:tc>
          <w:tcPr>
            <w:tcW w:w="1701" w:type="dxa"/>
            <w:vAlign w:val="center"/>
          </w:tcPr>
          <w:p w14:paraId="427DECAC"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w:t>
            </w:r>
          </w:p>
        </w:tc>
        <w:tc>
          <w:tcPr>
            <w:tcW w:w="1269" w:type="dxa"/>
            <w:vAlign w:val="center"/>
          </w:tcPr>
          <w:p w14:paraId="73ED47F1"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Not birefringent</w:t>
            </w:r>
          </w:p>
        </w:tc>
        <w:tc>
          <w:tcPr>
            <w:tcW w:w="3436" w:type="dxa"/>
            <w:vAlign w:val="center"/>
          </w:tcPr>
          <w:p w14:paraId="70EDD100"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i/>
                <w:iCs/>
              </w:rPr>
              <w:t>Im3m</w:t>
            </w:r>
            <w:r w:rsidRPr="006D631C">
              <w:rPr>
                <w:rFonts w:asciiTheme="majorBidi" w:hAnsiTheme="majorBidi" w:cstheme="majorBidi"/>
              </w:rPr>
              <w:t>: √2:√4:√6:√8:√10…</w:t>
            </w:r>
          </w:p>
          <w:p w14:paraId="6E77CEEE"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i/>
                <w:iCs/>
              </w:rPr>
              <w:t>Pn3m</w:t>
            </w:r>
            <w:r w:rsidRPr="006D631C">
              <w:rPr>
                <w:rFonts w:asciiTheme="majorBidi" w:hAnsiTheme="majorBidi" w:cstheme="majorBidi"/>
              </w:rPr>
              <w:t>: √2:√3:√4:√6:√8:√9…</w:t>
            </w:r>
          </w:p>
          <w:p w14:paraId="054A69E4"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i/>
                <w:iCs/>
              </w:rPr>
              <w:t>Ia3d</w:t>
            </w:r>
            <w:r w:rsidRPr="006D631C">
              <w:rPr>
                <w:rFonts w:asciiTheme="majorBidi" w:hAnsiTheme="majorBidi" w:cstheme="majorBidi"/>
              </w:rPr>
              <w:t>: √6:√8:√14:√16:√18:√20…</w:t>
            </w:r>
          </w:p>
        </w:tc>
        <w:tc>
          <w:tcPr>
            <w:tcW w:w="1928" w:type="dxa"/>
            <w:vAlign w:val="center"/>
          </w:tcPr>
          <w:p w14:paraId="12CCF2D3"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1/</w:t>
            </w:r>
            <w:r w:rsidRPr="006D631C">
              <w:rPr>
                <w:rFonts w:asciiTheme="majorBidi" w:hAnsiTheme="majorBidi" w:cstheme="majorBidi"/>
                <w:i/>
                <w:iCs/>
              </w:rPr>
              <w:t>a</w:t>
            </w:r>
            <w:r w:rsidRPr="006D631C">
              <w:rPr>
                <w:rFonts w:asciiTheme="majorBidi" w:hAnsiTheme="majorBidi" w:cstheme="majorBidi"/>
              </w:rPr>
              <w:t xml:space="preserve"> = Slope of 1/</w:t>
            </w:r>
            <w:proofErr w:type="spellStart"/>
            <w:r w:rsidRPr="006D631C">
              <w:rPr>
                <w:rFonts w:asciiTheme="majorBidi" w:hAnsiTheme="majorBidi" w:cstheme="majorBidi"/>
              </w:rPr>
              <w:t>d</w:t>
            </w:r>
            <w:r w:rsidRPr="006D631C">
              <w:rPr>
                <w:rFonts w:asciiTheme="majorBidi" w:hAnsiTheme="majorBidi" w:cstheme="majorBidi"/>
                <w:vertAlign w:val="subscript"/>
              </w:rPr>
              <w:t>hkl</w:t>
            </w:r>
            <w:proofErr w:type="spellEnd"/>
            <w:r w:rsidRPr="006D631C">
              <w:rPr>
                <w:rFonts w:asciiTheme="majorBidi" w:hAnsiTheme="majorBidi" w:cstheme="majorBidi"/>
              </w:rPr>
              <w:t xml:space="preserve"> vs (h</w:t>
            </w:r>
            <w:r w:rsidRPr="006D631C">
              <w:rPr>
                <w:rFonts w:asciiTheme="majorBidi" w:hAnsiTheme="majorBidi" w:cstheme="majorBidi"/>
                <w:vertAlign w:val="superscript"/>
              </w:rPr>
              <w:t xml:space="preserve">2 </w:t>
            </w:r>
            <w:r w:rsidRPr="006D631C">
              <w:rPr>
                <w:rFonts w:asciiTheme="majorBidi" w:hAnsiTheme="majorBidi" w:cstheme="majorBidi"/>
              </w:rPr>
              <w:t>+ k</w:t>
            </w:r>
            <w:r w:rsidRPr="006D631C">
              <w:rPr>
                <w:rFonts w:asciiTheme="majorBidi" w:hAnsiTheme="majorBidi" w:cstheme="majorBidi"/>
                <w:vertAlign w:val="superscript"/>
              </w:rPr>
              <w:t xml:space="preserve">2 </w:t>
            </w:r>
            <w:r w:rsidRPr="006D631C">
              <w:rPr>
                <w:rFonts w:asciiTheme="majorBidi" w:hAnsiTheme="majorBidi" w:cstheme="majorBidi"/>
              </w:rPr>
              <w:t>+ l</w:t>
            </w:r>
            <w:r w:rsidRPr="006D631C">
              <w:rPr>
                <w:rFonts w:asciiTheme="majorBidi" w:hAnsiTheme="majorBidi" w:cstheme="majorBidi"/>
                <w:vertAlign w:val="superscript"/>
              </w:rPr>
              <w:t>2</w:t>
            </w:r>
            <w:r w:rsidRPr="006D631C">
              <w:rPr>
                <w:rFonts w:asciiTheme="majorBidi" w:hAnsiTheme="majorBidi" w:cstheme="majorBidi"/>
              </w:rPr>
              <w:t>)</w:t>
            </w:r>
            <w:r w:rsidRPr="006D631C">
              <w:rPr>
                <w:rFonts w:asciiTheme="majorBidi" w:hAnsiTheme="majorBidi" w:cstheme="majorBidi"/>
                <w:vertAlign w:val="superscript"/>
              </w:rPr>
              <w:t>1/2</w:t>
            </w:r>
          </w:p>
        </w:tc>
      </w:tr>
      <w:tr w:rsidR="00DB2C14" w:rsidRPr="006D631C" w14:paraId="4C4DE9B9" w14:textId="77777777" w:rsidTr="00717837">
        <w:trPr>
          <w:trHeight w:val="1134"/>
          <w:jc w:val="center"/>
        </w:trPr>
        <w:tc>
          <w:tcPr>
            <w:tcW w:w="1701" w:type="dxa"/>
            <w:vAlign w:val="center"/>
          </w:tcPr>
          <w:p w14:paraId="2CEBBB2C"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Discontinuous cubic</w:t>
            </w:r>
          </w:p>
        </w:tc>
        <w:tc>
          <w:tcPr>
            <w:tcW w:w="1269" w:type="dxa"/>
            <w:vAlign w:val="center"/>
          </w:tcPr>
          <w:p w14:paraId="6A784F83"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Not birefringent</w:t>
            </w:r>
          </w:p>
        </w:tc>
        <w:tc>
          <w:tcPr>
            <w:tcW w:w="3436" w:type="dxa"/>
            <w:vAlign w:val="center"/>
          </w:tcPr>
          <w:p w14:paraId="248F4E33"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i/>
                <w:iCs/>
              </w:rPr>
              <w:t>BCC</w:t>
            </w:r>
            <w:r w:rsidRPr="006D631C">
              <w:rPr>
                <w:rFonts w:asciiTheme="majorBidi" w:hAnsiTheme="majorBidi" w:cstheme="majorBidi"/>
              </w:rPr>
              <w:t>:</w:t>
            </w:r>
            <w:r w:rsidRPr="006D631C">
              <w:t xml:space="preserve"> 1:</w:t>
            </w:r>
            <w:r w:rsidRPr="006D631C">
              <w:rPr>
                <w:rFonts w:asciiTheme="majorBidi" w:hAnsiTheme="majorBidi" w:cstheme="majorBidi"/>
              </w:rPr>
              <w:t>√2:√4:√6:√8:√10…</w:t>
            </w:r>
          </w:p>
          <w:p w14:paraId="28B7CCCD"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i/>
                <w:iCs/>
              </w:rPr>
              <w:t>FCC</w:t>
            </w:r>
            <w:r w:rsidRPr="006D631C">
              <w:rPr>
                <w:rFonts w:asciiTheme="majorBidi" w:hAnsiTheme="majorBidi" w:cstheme="majorBidi"/>
              </w:rPr>
              <w:t>:</w:t>
            </w:r>
            <w:r w:rsidRPr="006D631C">
              <w:t xml:space="preserve"> 1:</w:t>
            </w:r>
            <w:r w:rsidRPr="006D631C">
              <w:rPr>
                <w:rFonts w:asciiTheme="majorBidi" w:hAnsiTheme="majorBidi" w:cstheme="majorBidi"/>
              </w:rPr>
              <w:t>√3:√4:√8:√11:√12…</w:t>
            </w:r>
          </w:p>
        </w:tc>
        <w:tc>
          <w:tcPr>
            <w:tcW w:w="1928" w:type="dxa"/>
            <w:vAlign w:val="center"/>
          </w:tcPr>
          <w:p w14:paraId="2E3898E2"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1/</w:t>
            </w:r>
            <w:r w:rsidRPr="006D631C">
              <w:rPr>
                <w:rFonts w:asciiTheme="majorBidi" w:hAnsiTheme="majorBidi" w:cstheme="majorBidi"/>
                <w:i/>
                <w:iCs/>
              </w:rPr>
              <w:t>a</w:t>
            </w:r>
            <w:r w:rsidRPr="006D631C">
              <w:rPr>
                <w:rFonts w:asciiTheme="majorBidi" w:hAnsiTheme="majorBidi" w:cstheme="majorBidi"/>
              </w:rPr>
              <w:t xml:space="preserve"> = Slope of 1/</w:t>
            </w:r>
            <w:proofErr w:type="spellStart"/>
            <w:r w:rsidRPr="006D631C">
              <w:rPr>
                <w:rFonts w:asciiTheme="majorBidi" w:hAnsiTheme="majorBidi" w:cstheme="majorBidi"/>
              </w:rPr>
              <w:t>d</w:t>
            </w:r>
            <w:r w:rsidRPr="006D631C">
              <w:rPr>
                <w:rFonts w:asciiTheme="majorBidi" w:hAnsiTheme="majorBidi" w:cstheme="majorBidi"/>
                <w:vertAlign w:val="subscript"/>
              </w:rPr>
              <w:t>hkl</w:t>
            </w:r>
            <w:proofErr w:type="spellEnd"/>
            <w:r w:rsidRPr="006D631C">
              <w:rPr>
                <w:rFonts w:asciiTheme="majorBidi" w:hAnsiTheme="majorBidi" w:cstheme="majorBidi"/>
              </w:rPr>
              <w:t xml:space="preserve"> vs (h</w:t>
            </w:r>
            <w:r w:rsidRPr="006D631C">
              <w:rPr>
                <w:rFonts w:asciiTheme="majorBidi" w:hAnsiTheme="majorBidi" w:cstheme="majorBidi"/>
                <w:vertAlign w:val="superscript"/>
              </w:rPr>
              <w:t xml:space="preserve">2 </w:t>
            </w:r>
            <w:r w:rsidRPr="006D631C">
              <w:rPr>
                <w:rFonts w:asciiTheme="majorBidi" w:hAnsiTheme="majorBidi" w:cstheme="majorBidi"/>
              </w:rPr>
              <w:t>+ k</w:t>
            </w:r>
            <w:r w:rsidRPr="006D631C">
              <w:rPr>
                <w:rFonts w:asciiTheme="majorBidi" w:hAnsiTheme="majorBidi" w:cstheme="majorBidi"/>
                <w:vertAlign w:val="superscript"/>
              </w:rPr>
              <w:t xml:space="preserve">2 </w:t>
            </w:r>
            <w:r w:rsidRPr="006D631C">
              <w:rPr>
                <w:rFonts w:asciiTheme="majorBidi" w:hAnsiTheme="majorBidi" w:cstheme="majorBidi"/>
              </w:rPr>
              <w:t>+ l</w:t>
            </w:r>
            <w:r w:rsidRPr="006D631C">
              <w:rPr>
                <w:rFonts w:asciiTheme="majorBidi" w:hAnsiTheme="majorBidi" w:cstheme="majorBidi"/>
                <w:vertAlign w:val="superscript"/>
              </w:rPr>
              <w:t>2</w:t>
            </w:r>
            <w:r w:rsidRPr="006D631C">
              <w:rPr>
                <w:rFonts w:asciiTheme="majorBidi" w:hAnsiTheme="majorBidi" w:cstheme="majorBidi"/>
              </w:rPr>
              <w:t>)</w:t>
            </w:r>
            <w:r w:rsidRPr="006D631C">
              <w:rPr>
                <w:rFonts w:asciiTheme="majorBidi" w:hAnsiTheme="majorBidi" w:cstheme="majorBidi"/>
                <w:vertAlign w:val="superscript"/>
              </w:rPr>
              <w:t>1/2</w:t>
            </w:r>
          </w:p>
        </w:tc>
      </w:tr>
      <w:tr w:rsidR="00DB2C14" w:rsidRPr="006D631C" w14:paraId="64CB2A8E" w14:textId="77777777" w:rsidTr="00717837">
        <w:trPr>
          <w:trHeight w:val="1134"/>
          <w:jc w:val="center"/>
        </w:trPr>
        <w:tc>
          <w:tcPr>
            <w:tcW w:w="1701" w:type="dxa"/>
            <w:tcBorders>
              <w:bottom w:val="single" w:sz="4" w:space="0" w:color="auto"/>
            </w:tcBorders>
            <w:vAlign w:val="center"/>
          </w:tcPr>
          <w:p w14:paraId="640C2CF4"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sz w:val="24"/>
                <w:szCs w:val="24"/>
              </w:rPr>
              <w:t>Frank-Kasper phases</w:t>
            </w:r>
          </w:p>
        </w:tc>
        <w:tc>
          <w:tcPr>
            <w:tcW w:w="1269" w:type="dxa"/>
            <w:tcBorders>
              <w:bottom w:val="single" w:sz="4" w:space="0" w:color="auto"/>
            </w:tcBorders>
            <w:vAlign w:val="center"/>
          </w:tcPr>
          <w:p w14:paraId="4225892C"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Not birefringent</w:t>
            </w:r>
          </w:p>
        </w:tc>
        <w:tc>
          <w:tcPr>
            <w:tcW w:w="3436" w:type="dxa"/>
            <w:tcBorders>
              <w:bottom w:val="single" w:sz="4" w:space="0" w:color="auto"/>
            </w:tcBorders>
            <w:vAlign w:val="center"/>
          </w:tcPr>
          <w:p w14:paraId="350C327B"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A15:1:√2:√4:√5:√6:√8:√10:√12…</w:t>
            </w:r>
          </w:p>
          <w:p w14:paraId="2FF955D4" w14:textId="77777777" w:rsidR="00DB2C14" w:rsidRPr="006D631C" w:rsidRDefault="00DB2C14" w:rsidP="009607EA">
            <w:pPr>
              <w:tabs>
                <w:tab w:val="left" w:pos="90"/>
                <w:tab w:val="left" w:pos="360"/>
                <w:tab w:val="left" w:pos="992"/>
              </w:tabs>
              <w:spacing w:line="276" w:lineRule="auto"/>
              <w:rPr>
                <w:rFonts w:asciiTheme="majorBidi" w:hAnsiTheme="majorBidi" w:cstheme="majorBidi"/>
                <w:sz w:val="8"/>
                <w:szCs w:val="8"/>
              </w:rPr>
            </w:pPr>
          </w:p>
          <w:p w14:paraId="0B5E61E3"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C15:1:√3:√8:√11:√12:√16:√19…</w:t>
            </w:r>
            <w:r w:rsidRPr="006D631C" w:rsidDel="00F66568">
              <w:rPr>
                <w:rFonts w:asciiTheme="majorBidi" w:hAnsiTheme="majorBidi" w:cstheme="majorBidi"/>
              </w:rPr>
              <w:t xml:space="preserve"> </w:t>
            </w:r>
          </w:p>
        </w:tc>
        <w:tc>
          <w:tcPr>
            <w:tcW w:w="1928" w:type="dxa"/>
            <w:tcBorders>
              <w:bottom w:val="single" w:sz="4" w:space="0" w:color="auto"/>
            </w:tcBorders>
            <w:vAlign w:val="center"/>
          </w:tcPr>
          <w:p w14:paraId="3EDDF9F6" w14:textId="77777777" w:rsidR="00DB2C14" w:rsidRPr="006D631C" w:rsidRDefault="00DB2C14" w:rsidP="009607EA">
            <w:pPr>
              <w:tabs>
                <w:tab w:val="left" w:pos="90"/>
                <w:tab w:val="left" w:pos="360"/>
                <w:tab w:val="left" w:pos="992"/>
              </w:tabs>
              <w:spacing w:line="276" w:lineRule="auto"/>
              <w:rPr>
                <w:rFonts w:asciiTheme="majorBidi" w:hAnsiTheme="majorBidi" w:cstheme="majorBidi"/>
              </w:rPr>
            </w:pPr>
            <w:r w:rsidRPr="006D631C">
              <w:rPr>
                <w:rFonts w:asciiTheme="majorBidi" w:hAnsiTheme="majorBidi" w:cstheme="majorBidi"/>
              </w:rPr>
              <w:t>1/</w:t>
            </w:r>
            <w:r w:rsidRPr="006D631C">
              <w:rPr>
                <w:rFonts w:asciiTheme="majorBidi" w:hAnsiTheme="majorBidi" w:cstheme="majorBidi"/>
                <w:i/>
                <w:iCs/>
              </w:rPr>
              <w:t>a</w:t>
            </w:r>
            <w:r w:rsidRPr="006D631C">
              <w:rPr>
                <w:rFonts w:asciiTheme="majorBidi" w:hAnsiTheme="majorBidi" w:cstheme="majorBidi"/>
              </w:rPr>
              <w:t xml:space="preserve"> = Slope of 1/</w:t>
            </w:r>
            <w:proofErr w:type="spellStart"/>
            <w:r w:rsidRPr="006D631C">
              <w:rPr>
                <w:rFonts w:asciiTheme="majorBidi" w:hAnsiTheme="majorBidi" w:cstheme="majorBidi"/>
              </w:rPr>
              <w:t>d</w:t>
            </w:r>
            <w:r w:rsidRPr="006D631C">
              <w:rPr>
                <w:rFonts w:asciiTheme="majorBidi" w:hAnsiTheme="majorBidi" w:cstheme="majorBidi"/>
                <w:vertAlign w:val="subscript"/>
              </w:rPr>
              <w:t>hkl</w:t>
            </w:r>
            <w:proofErr w:type="spellEnd"/>
            <w:r w:rsidRPr="006D631C">
              <w:rPr>
                <w:rFonts w:asciiTheme="majorBidi" w:hAnsiTheme="majorBidi" w:cstheme="majorBidi"/>
              </w:rPr>
              <w:t xml:space="preserve"> vs (h</w:t>
            </w:r>
            <w:r w:rsidRPr="006D631C">
              <w:rPr>
                <w:rFonts w:asciiTheme="majorBidi" w:hAnsiTheme="majorBidi" w:cstheme="majorBidi"/>
                <w:vertAlign w:val="superscript"/>
              </w:rPr>
              <w:t xml:space="preserve">2 </w:t>
            </w:r>
            <w:r w:rsidRPr="006D631C">
              <w:rPr>
                <w:rFonts w:asciiTheme="majorBidi" w:hAnsiTheme="majorBidi" w:cstheme="majorBidi"/>
              </w:rPr>
              <w:t>+ k</w:t>
            </w:r>
            <w:r w:rsidRPr="006D631C">
              <w:rPr>
                <w:rFonts w:asciiTheme="majorBidi" w:hAnsiTheme="majorBidi" w:cstheme="majorBidi"/>
                <w:vertAlign w:val="superscript"/>
              </w:rPr>
              <w:t xml:space="preserve">2 </w:t>
            </w:r>
            <w:r w:rsidRPr="006D631C">
              <w:rPr>
                <w:rFonts w:asciiTheme="majorBidi" w:hAnsiTheme="majorBidi" w:cstheme="majorBidi"/>
              </w:rPr>
              <w:t>+ l</w:t>
            </w:r>
            <w:r w:rsidRPr="006D631C">
              <w:rPr>
                <w:rFonts w:asciiTheme="majorBidi" w:hAnsiTheme="majorBidi" w:cstheme="majorBidi"/>
                <w:vertAlign w:val="superscript"/>
              </w:rPr>
              <w:t>2</w:t>
            </w:r>
            <w:r w:rsidRPr="006D631C">
              <w:rPr>
                <w:rFonts w:asciiTheme="majorBidi" w:hAnsiTheme="majorBidi" w:cstheme="majorBidi"/>
              </w:rPr>
              <w:t>)</w:t>
            </w:r>
            <w:r w:rsidRPr="006D631C">
              <w:rPr>
                <w:rFonts w:asciiTheme="majorBidi" w:hAnsiTheme="majorBidi" w:cstheme="majorBidi"/>
                <w:vertAlign w:val="superscript"/>
              </w:rPr>
              <w:t>1/2</w:t>
            </w:r>
          </w:p>
        </w:tc>
      </w:tr>
    </w:tbl>
    <w:p w14:paraId="6E9DE70F" w14:textId="1E15E042" w:rsidR="0075795A" w:rsidRPr="006D631C" w:rsidRDefault="004A3F61" w:rsidP="00717837">
      <w:pPr>
        <w:pStyle w:val="Caption"/>
        <w:spacing w:before="240"/>
        <w:rPr>
          <w:rFonts w:asciiTheme="majorBidi" w:hAnsiTheme="majorBidi" w:cstheme="majorBidi"/>
        </w:rPr>
      </w:pPr>
      <w:r w:rsidRPr="006D631C">
        <w:rPr>
          <w:position w:val="-28"/>
        </w:rPr>
        <w:object w:dxaOrig="780" w:dyaOrig="660" w14:anchorId="0212FE33">
          <v:shape id="_x0000_i1029" type="#_x0000_t75" style="width:42pt;height:34.8pt" o:ole="">
            <v:imagedata r:id="rId27" o:title=""/>
          </v:shape>
          <o:OLEObject Type="Embed" ProgID="Equation.DSMT4" ShapeID="_x0000_i1029" DrawAspect="Content" ObjectID="_1760013297" r:id="rId28"/>
        </w:object>
      </w:r>
      <w:r w:rsidR="0075795A" w:rsidRPr="006D631C">
        <w:rPr>
          <w:rFonts w:asciiTheme="majorBidi" w:hAnsiTheme="majorBidi" w:cstheme="majorBidi"/>
        </w:rPr>
        <w:tab/>
      </w:r>
      <w:r w:rsidR="0075795A" w:rsidRPr="006D631C">
        <w:rPr>
          <w:rFonts w:asciiTheme="majorBidi" w:hAnsiTheme="majorBidi" w:cstheme="majorBidi"/>
        </w:rPr>
        <w:tab/>
      </w:r>
      <w:r w:rsidR="0075795A" w:rsidRPr="006D631C">
        <w:rPr>
          <w:rFonts w:asciiTheme="majorBidi" w:hAnsiTheme="majorBidi" w:cstheme="majorBidi"/>
        </w:rPr>
        <w:tab/>
      </w:r>
      <w:r w:rsidR="0075795A" w:rsidRPr="006D631C">
        <w:rPr>
          <w:rFonts w:asciiTheme="majorBidi" w:hAnsiTheme="majorBidi" w:cstheme="majorBidi"/>
        </w:rPr>
        <w:tab/>
      </w:r>
      <w:r w:rsidR="0075795A" w:rsidRPr="006D631C">
        <w:rPr>
          <w:rFonts w:asciiTheme="majorBidi" w:hAnsiTheme="majorBidi" w:cstheme="majorBidi"/>
        </w:rPr>
        <w:tab/>
      </w:r>
      <w:r w:rsidR="0075795A" w:rsidRPr="006D631C">
        <w:rPr>
          <w:rFonts w:asciiTheme="majorBidi" w:hAnsiTheme="majorBidi" w:cstheme="majorBidi"/>
        </w:rPr>
        <w:tab/>
      </w:r>
      <w:r w:rsidR="0075795A" w:rsidRPr="006D631C">
        <w:rPr>
          <w:rFonts w:asciiTheme="majorBidi" w:hAnsiTheme="majorBidi" w:cstheme="majorBidi"/>
        </w:rPr>
        <w:tab/>
      </w:r>
      <w:r w:rsidR="0075795A" w:rsidRPr="006D631C">
        <w:rPr>
          <w:rFonts w:asciiTheme="majorBidi" w:hAnsiTheme="majorBidi" w:cstheme="majorBidi"/>
        </w:rPr>
        <w:tab/>
      </w:r>
      <w:r w:rsidR="0075795A" w:rsidRPr="006D631C">
        <w:rPr>
          <w:rFonts w:asciiTheme="majorBidi" w:hAnsiTheme="majorBidi" w:cstheme="majorBidi"/>
        </w:rPr>
        <w:tab/>
      </w:r>
      <w:r w:rsidR="0075795A" w:rsidRPr="006D631C">
        <w:rPr>
          <w:rFonts w:asciiTheme="majorBidi" w:hAnsiTheme="majorBidi" w:cstheme="majorBidi"/>
        </w:rPr>
        <w:tab/>
      </w:r>
      <w:r w:rsidR="0075795A"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2</w:t>
      </w:r>
      <w:r w:rsidR="006A54D9" w:rsidRPr="006D631C">
        <w:rPr>
          <w:rFonts w:asciiTheme="majorBidi" w:hAnsiTheme="majorBidi" w:cstheme="majorBidi"/>
        </w:rPr>
        <w:fldChar w:fldCharType="end"/>
      </w:r>
      <w:r w:rsidR="0075795A" w:rsidRPr="006D631C">
        <w:rPr>
          <w:rFonts w:asciiTheme="majorBidi" w:hAnsiTheme="majorBidi" w:cstheme="majorBidi"/>
        </w:rPr>
        <w:t>)</w:t>
      </w:r>
    </w:p>
    <w:p w14:paraId="4A670420" w14:textId="717DB2BB" w:rsidR="00C21600" w:rsidRPr="006D631C" w:rsidRDefault="00C21600" w:rsidP="00C21600">
      <w:pPr>
        <w:pStyle w:val="Caption"/>
        <w:rPr>
          <w:rFonts w:asciiTheme="majorBidi" w:hAnsiTheme="majorBidi" w:cstheme="majorBidi"/>
        </w:rPr>
      </w:pPr>
      <w:r w:rsidRPr="006D631C">
        <w:rPr>
          <w:position w:val="-28"/>
        </w:rPr>
        <w:object w:dxaOrig="940" w:dyaOrig="660" w14:anchorId="75ED06BF">
          <v:shape id="_x0000_i1030" type="#_x0000_t75" style="width:48pt;height:36pt" o:ole="">
            <v:imagedata r:id="rId21" o:title=""/>
          </v:shape>
          <o:OLEObject Type="Embed" ProgID="Equation.DSMT4" ShapeID="_x0000_i1030" DrawAspect="Content" ObjectID="_1760013298" r:id="rId29"/>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3</w:t>
      </w:r>
      <w:r w:rsidR="006A54D9" w:rsidRPr="006D631C">
        <w:rPr>
          <w:rFonts w:asciiTheme="majorBidi" w:hAnsiTheme="majorBidi" w:cstheme="majorBidi"/>
        </w:rPr>
        <w:fldChar w:fldCharType="end"/>
      </w:r>
      <w:r w:rsidRPr="006D631C">
        <w:rPr>
          <w:rFonts w:asciiTheme="majorBidi" w:hAnsiTheme="majorBidi" w:cstheme="majorBidi"/>
        </w:rPr>
        <w:t>)</w:t>
      </w:r>
    </w:p>
    <w:p w14:paraId="550F7EF3" w14:textId="1B74642A" w:rsidR="00101FAB" w:rsidRPr="006D631C" w:rsidRDefault="00101FAB" w:rsidP="00101FAB">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To calculate </w:t>
      </w:r>
      <w:proofErr w:type="spellStart"/>
      <w:proofErr w:type="gramStart"/>
      <w:r w:rsidRPr="006D631C">
        <w:rPr>
          <w:rFonts w:asciiTheme="majorBidi" w:hAnsiTheme="majorBidi" w:cstheme="majorBidi"/>
          <w:i/>
          <w:iCs/>
        </w:rPr>
        <w:t>R</w:t>
      </w:r>
      <w:r w:rsidRPr="006D631C">
        <w:rPr>
          <w:rFonts w:asciiTheme="majorBidi" w:hAnsiTheme="majorBidi" w:cstheme="majorBidi"/>
          <w:i/>
          <w:iCs/>
          <w:vertAlign w:val="subscript"/>
        </w:rPr>
        <w:t>c</w:t>
      </w:r>
      <w:proofErr w:type="spellEnd"/>
      <w:proofErr w:type="gramEnd"/>
      <w:r w:rsidRPr="006D631C">
        <w:rPr>
          <w:rFonts w:asciiTheme="majorBidi" w:hAnsiTheme="majorBidi" w:cstheme="majorBidi"/>
        </w:rPr>
        <w:t xml:space="preserve">, the following equation is used. In this equation, </w:t>
      </w:r>
      <w:r w:rsidRPr="006D631C">
        <w:rPr>
          <w:rFonts w:asciiTheme="majorBidi" w:hAnsiTheme="majorBidi" w:cstheme="majorBidi"/>
          <w:i/>
          <w:iCs/>
        </w:rPr>
        <w:t xml:space="preserve">ϕ </w:t>
      </w:r>
      <w:r w:rsidRPr="006D631C">
        <w:rPr>
          <w:rFonts w:asciiTheme="majorBidi" w:hAnsiTheme="majorBidi" w:cstheme="majorBidi"/>
        </w:rPr>
        <w:t>is the volume fraction of the dispersed phase (i.e., the phase confined in the cylindrical micelles).</w:t>
      </w:r>
      <w:r w:rsidRPr="006D631C">
        <w:rPr>
          <w:rFonts w:asciiTheme="majorBidi" w:hAnsiTheme="majorBidi" w:cstheme="majorBidi"/>
        </w:rPr>
        <w:fldChar w:fldCharType="begin" w:fldLock="1"/>
      </w:r>
      <w:r w:rsidR="002E0984" w:rsidRPr="006D631C">
        <w:rPr>
          <w:rFonts w:asciiTheme="majorBidi" w:hAnsiTheme="majorBidi" w:cstheme="majorBidi"/>
        </w:rPr>
        <w:instrText>ADDIN CSL_CITATION {"citationItems":[{"id":"ITEM-1","itemData":{"DOI":"10.1021/jp062159p","ISSN":"15206106","abstract":"The ternary phase diagram of the amphiphilic triblock copolymer PEO-PPO-PEO ((EO)20(PO)70(EO)20 commercialized under the generic name P123), water, and ethanol has been investigated at constant temperature (T = 23°C) by small-angle X-ray scattering (SAXS). The microstructure resulting from the self-assembly of the PEO-PPO-PEO block copolymer varies from micelles in solution to various types of liquid crystalline phases such as cubic, 3D hexagonal close packed spheres (HCPS), 2D hexagonal, and lamellar when the concentration of the polymer is increased. In the Isotropic liquid phase, the micellar structural parameters are obtained as a function of the water-ethanol ratio and block copolymer concentration by fitting the scattering data to a model involving core-shell form factor and a hard sphere structure factor of interaction. The micellar core, the aggregation number, and the hard sphere interaction radius decrease when increasing the ethanol/water ratio in the mixed solvent. We show that the fraction of ethanol present in the core is responsible for the swelling of the PPO blocks. In the different liquid crystalline phases, structural parameters such as lattice spacing, interfacial area of PEO block, and aggregation number are also evaluated. In addition to classical phases such as lamellar, 2D hexagonal, and liquid isotropic phases, we have observed a two-phase region in which cubic Fm3m and P63mmc (hexagonally close packing of spheres (HCPS)) phases coexist. This appears at 30% (w/w) of P123 in pure water and with 5% (w/w) of ethanol. At 10% (w/w) ethanol, only the HCPS phase remains present. © 2006 American Chemical Society.","author":[{"dropping-particle":"","family":"Soni","given":"S. S.","non-dropping-particle":"","parse-names":false,"suffix":""},{"dropping-particle":"","family":"Brotons","given":"G.","non-dropping-particle":"","parse-names":false,"suffix":""},{"dropping-particle":"","family":"Bellour","given":"M.","non-dropping-particle":"","parse-names":false,"suffix":""},{"dropping-particle":"","family":"Narayanan","given":"T.","non-dropping-particle":"","parse-names":false,"suffix":""},{"dropping-particle":"","family":"Gibaud","given":"A.","non-dropping-particle":"","parse-names":false,"suffix":""}],"container-title":"Journal of Physical Chemistry B","id":"ITEM-1","issue":"31","issued":{"date-parts":[["2006"]]},"page":"15157-15165","title":"Quantitative SAXS analysis of the P123/water/ethanol ternary phase diagram","type":"article-journal","volume":"110"},"uris":["http://www.mendeley.com/documents/?uuid=43ee2138-5ca4-4a5d-8f85-1921ed16d2cc"]}],"mendeley":{"formattedCitation":"&lt;sup&gt;18&lt;/sup&gt;","plainTextFormattedCitation":"18","previouslyFormattedCitation":"&lt;sup&gt;18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18</w:t>
      </w:r>
      <w:r w:rsidRPr="006D631C">
        <w:rPr>
          <w:rFonts w:asciiTheme="majorBidi" w:hAnsiTheme="majorBidi" w:cstheme="majorBidi"/>
        </w:rPr>
        <w:fldChar w:fldCharType="end"/>
      </w:r>
    </w:p>
    <w:p w14:paraId="57A25CE1" w14:textId="053E1264" w:rsidR="002D42F3" w:rsidRPr="006D631C" w:rsidRDefault="002D42F3" w:rsidP="002D42F3">
      <w:pPr>
        <w:pStyle w:val="Caption"/>
        <w:rPr>
          <w:rFonts w:asciiTheme="majorBidi" w:hAnsiTheme="majorBidi" w:cstheme="majorBidi"/>
        </w:rPr>
      </w:pPr>
      <w:r w:rsidRPr="006D631C">
        <w:rPr>
          <w:rFonts w:asciiTheme="majorBidi" w:hAnsiTheme="majorBidi" w:cstheme="majorBidi"/>
          <w:position w:val="-34"/>
          <w:szCs w:val="24"/>
        </w:rPr>
        <w:object w:dxaOrig="1600" w:dyaOrig="840" w14:anchorId="5A7FBDE6">
          <v:shape id="_x0000_i1031" type="#_x0000_t75" style="width:78pt;height:42pt" o:ole="">
            <v:imagedata r:id="rId30" o:title=""/>
          </v:shape>
          <o:OLEObject Type="Embed" ProgID="Equation.DSMT4" ShapeID="_x0000_i1031" DrawAspect="Content" ObjectID="_1760013299" r:id="rId31"/>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4</w:t>
      </w:r>
      <w:r w:rsidR="006A54D9" w:rsidRPr="006D631C">
        <w:rPr>
          <w:rFonts w:asciiTheme="majorBidi" w:hAnsiTheme="majorBidi" w:cstheme="majorBidi"/>
        </w:rPr>
        <w:fldChar w:fldCharType="end"/>
      </w:r>
      <w:r w:rsidRPr="006D631C">
        <w:rPr>
          <w:rFonts w:asciiTheme="majorBidi" w:hAnsiTheme="majorBidi" w:cstheme="majorBidi"/>
        </w:rPr>
        <w:t>)</w:t>
      </w:r>
    </w:p>
    <w:p w14:paraId="523B8045" w14:textId="29E668CD" w:rsidR="00350320" w:rsidRPr="006D631C" w:rsidRDefault="00350320" w:rsidP="00350320">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lastRenderedPageBreak/>
        <w:t xml:space="preserve">The radius of micelle </w:t>
      </w:r>
      <w:r w:rsidRPr="006D631C">
        <w:rPr>
          <w:rFonts w:asciiTheme="majorBidi" w:hAnsiTheme="majorBidi" w:cstheme="majorBidi"/>
          <w:i/>
          <w:iCs/>
        </w:rPr>
        <w:t>R</w:t>
      </w:r>
      <w:r w:rsidRPr="006D631C">
        <w:rPr>
          <w:rFonts w:asciiTheme="majorBidi" w:hAnsiTheme="majorBidi" w:cstheme="majorBidi"/>
          <w:i/>
          <w:iCs/>
          <w:vertAlign w:val="subscript"/>
        </w:rPr>
        <w:t>m</w:t>
      </w:r>
      <w:r w:rsidRPr="006D631C">
        <w:rPr>
          <w:rFonts w:asciiTheme="majorBidi" w:hAnsiTheme="majorBidi" w:cstheme="majorBidi"/>
        </w:rPr>
        <w:t xml:space="preserve"> is calculated using Eq. (</w:t>
      </w:r>
      <w:r w:rsidR="00DF38DB" w:rsidRPr="006D631C">
        <w:rPr>
          <w:rFonts w:asciiTheme="majorBidi" w:hAnsiTheme="majorBidi" w:cstheme="majorBidi"/>
        </w:rPr>
        <w:t>1-</w:t>
      </w:r>
      <w:r w:rsidRPr="006D631C">
        <w:rPr>
          <w:rFonts w:asciiTheme="majorBidi" w:hAnsiTheme="majorBidi" w:cstheme="majorBidi"/>
        </w:rPr>
        <w:t xml:space="preserve">5). Here, </w:t>
      </w:r>
      <w:proofErr w:type="spellStart"/>
      <w:r w:rsidRPr="006D631C">
        <w:rPr>
          <w:rFonts w:asciiTheme="majorBidi" w:hAnsiTheme="majorBidi" w:cstheme="majorBidi"/>
          <w:i/>
          <w:iCs/>
        </w:rPr>
        <w:t>ϕ</w:t>
      </w:r>
      <w:r w:rsidRPr="006D631C">
        <w:rPr>
          <w:rFonts w:asciiTheme="majorBidi" w:hAnsiTheme="majorBidi" w:cstheme="majorBidi"/>
          <w:i/>
          <w:iCs/>
          <w:vertAlign w:val="subscript"/>
        </w:rPr>
        <w:t>t</w:t>
      </w:r>
      <w:proofErr w:type="spellEnd"/>
      <w:r w:rsidRPr="006D631C">
        <w:rPr>
          <w:rFonts w:asciiTheme="majorBidi" w:hAnsiTheme="majorBidi" w:cstheme="majorBidi"/>
          <w:i/>
          <w:iCs/>
        </w:rPr>
        <w:t xml:space="preserve"> </w:t>
      </w:r>
      <w:r w:rsidRPr="006D631C">
        <w:rPr>
          <w:rFonts w:asciiTheme="majorBidi" w:hAnsiTheme="majorBidi" w:cstheme="majorBidi"/>
        </w:rPr>
        <w:t xml:space="preserve">is the volume fraction of the confined phase plus the volume fraction of the surfactant. </w:t>
      </w:r>
    </w:p>
    <w:p w14:paraId="7EC42683" w14:textId="12A11EC0" w:rsidR="00CD69CD" w:rsidRPr="006D631C" w:rsidRDefault="00CD69CD" w:rsidP="00CD69CD">
      <w:pPr>
        <w:pStyle w:val="Caption"/>
        <w:rPr>
          <w:rFonts w:asciiTheme="majorBidi" w:hAnsiTheme="majorBidi" w:cstheme="majorBidi"/>
        </w:rPr>
      </w:pPr>
      <w:r w:rsidRPr="006D631C">
        <w:rPr>
          <w:rFonts w:asciiTheme="majorBidi" w:hAnsiTheme="majorBidi" w:cstheme="majorBidi"/>
          <w:position w:val="-34"/>
          <w:szCs w:val="24"/>
        </w:rPr>
        <w:object w:dxaOrig="1700" w:dyaOrig="840" w14:anchorId="04960AE5">
          <v:shape id="_x0000_i1032" type="#_x0000_t75" style="width:84pt;height:42pt" o:ole="">
            <v:imagedata r:id="rId32" o:title=""/>
          </v:shape>
          <o:OLEObject Type="Embed" ProgID="Equation.DSMT4" ShapeID="_x0000_i1032" DrawAspect="Content" ObjectID="_1760013300" r:id="rId33"/>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5</w:t>
      </w:r>
      <w:r w:rsidR="006A54D9" w:rsidRPr="006D631C">
        <w:rPr>
          <w:rFonts w:asciiTheme="majorBidi" w:hAnsiTheme="majorBidi" w:cstheme="majorBidi"/>
        </w:rPr>
        <w:fldChar w:fldCharType="end"/>
      </w:r>
      <w:r w:rsidRPr="006D631C">
        <w:rPr>
          <w:rFonts w:asciiTheme="majorBidi" w:hAnsiTheme="majorBidi" w:cstheme="majorBidi"/>
        </w:rPr>
        <w:t>)</w:t>
      </w:r>
    </w:p>
    <w:p w14:paraId="378F3636" w14:textId="2403E696" w:rsidR="006235EA" w:rsidRPr="006D631C" w:rsidRDefault="006235EA" w:rsidP="006235EA">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The intermicellar distance for H</w:t>
      </w:r>
      <w:r w:rsidRPr="006D631C">
        <w:rPr>
          <w:rFonts w:asciiTheme="majorBidi" w:hAnsiTheme="majorBidi" w:cstheme="majorBidi"/>
          <w:vertAlign w:val="subscript"/>
        </w:rPr>
        <w:t>2</w:t>
      </w:r>
      <w:r w:rsidRPr="006D631C">
        <w:rPr>
          <w:rFonts w:asciiTheme="majorBidi" w:hAnsiTheme="majorBidi" w:cstheme="majorBidi"/>
        </w:rPr>
        <w:t xml:space="preserve"> phase </w:t>
      </w:r>
      <w:proofErr w:type="spellStart"/>
      <w:r w:rsidRPr="006D631C">
        <w:rPr>
          <w:rFonts w:asciiTheme="majorBidi" w:hAnsiTheme="majorBidi" w:cstheme="majorBidi"/>
          <w:i/>
          <w:iCs/>
        </w:rPr>
        <w:t>D</w:t>
      </w:r>
      <w:r w:rsidRPr="006D631C">
        <w:rPr>
          <w:rFonts w:asciiTheme="majorBidi" w:hAnsiTheme="majorBidi" w:cstheme="majorBidi"/>
          <w:i/>
          <w:iCs/>
          <w:vertAlign w:val="subscript"/>
        </w:rPr>
        <w:t>m</w:t>
      </w:r>
      <w:proofErr w:type="spellEnd"/>
      <w:r w:rsidRPr="006D631C">
        <w:rPr>
          <w:rFonts w:asciiTheme="majorBidi" w:hAnsiTheme="majorBidi" w:cstheme="majorBidi"/>
        </w:rPr>
        <w:t xml:space="preserve">, is obtained using Eq. (1-6). Moreover, the size of the </w:t>
      </w:r>
      <w:proofErr w:type="spellStart"/>
      <w:r w:rsidRPr="006D631C">
        <w:rPr>
          <w:rFonts w:asciiTheme="majorBidi" w:hAnsiTheme="majorBidi" w:cstheme="majorBidi"/>
        </w:rPr>
        <w:t>nanoconfinement</w:t>
      </w:r>
      <w:proofErr w:type="spellEnd"/>
      <w:r w:rsidRPr="006D631C">
        <w:rPr>
          <w:rFonts w:asciiTheme="majorBidi" w:hAnsiTheme="majorBidi" w:cstheme="majorBidi"/>
        </w:rPr>
        <w:t xml:space="preserve"> cavity between micelles can be estimated from the radius of the biggest circle trapped between the micelles </w:t>
      </w:r>
      <w:proofErr w:type="spellStart"/>
      <w:r w:rsidRPr="006D631C">
        <w:rPr>
          <w:rFonts w:asciiTheme="majorBidi" w:hAnsiTheme="majorBidi" w:cstheme="majorBidi"/>
          <w:i/>
          <w:iCs/>
        </w:rPr>
        <w:t>R</w:t>
      </w:r>
      <w:r w:rsidRPr="006D631C">
        <w:rPr>
          <w:rFonts w:asciiTheme="majorBidi" w:hAnsiTheme="majorBidi" w:cstheme="majorBidi"/>
          <w:i/>
          <w:iCs/>
          <w:vertAlign w:val="subscript"/>
        </w:rPr>
        <w:t>h</w:t>
      </w:r>
      <w:proofErr w:type="gramStart"/>
      <w:r w:rsidRPr="006D631C">
        <w:rPr>
          <w:rFonts w:asciiTheme="majorBidi" w:hAnsiTheme="majorBidi" w:cstheme="majorBidi"/>
          <w:i/>
          <w:iCs/>
          <w:vertAlign w:val="subscript"/>
        </w:rPr>
        <w:t>,max</w:t>
      </w:r>
      <w:proofErr w:type="spellEnd"/>
      <w:proofErr w:type="gramEnd"/>
      <w:r w:rsidRPr="006D631C">
        <w:rPr>
          <w:rFonts w:asciiTheme="majorBidi" w:hAnsiTheme="majorBidi" w:cstheme="majorBidi"/>
        </w:rPr>
        <w:t>. Eq. (1-7) and (1-8) can be used for this estimation.</w:t>
      </w:r>
    </w:p>
    <w:p w14:paraId="361BF27A" w14:textId="64076F7A" w:rsidR="00133F15" w:rsidRPr="006D631C" w:rsidRDefault="009E06AA" w:rsidP="00133F15">
      <w:pPr>
        <w:pStyle w:val="Caption"/>
        <w:rPr>
          <w:rFonts w:asciiTheme="majorBidi" w:hAnsiTheme="majorBidi" w:cstheme="majorBidi"/>
        </w:rPr>
      </w:pPr>
      <w:r w:rsidRPr="006D631C">
        <w:rPr>
          <w:rFonts w:asciiTheme="majorBidi" w:hAnsiTheme="majorBidi" w:cstheme="majorBidi"/>
          <w:position w:val="-12"/>
          <w:szCs w:val="24"/>
        </w:rPr>
        <w:object w:dxaOrig="1320" w:dyaOrig="360" w14:anchorId="6DA7C984">
          <v:shape id="_x0000_i1033" type="#_x0000_t75" style="width:66pt;height:18pt" o:ole="">
            <v:imagedata r:id="rId34" o:title=""/>
          </v:shape>
          <o:OLEObject Type="Embed" ProgID="Equation.DSMT4" ShapeID="_x0000_i1033" DrawAspect="Content" ObjectID="_1760013301" r:id="rId35"/>
        </w:object>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Pr="006D631C">
        <w:rPr>
          <w:rFonts w:asciiTheme="majorBidi" w:hAnsiTheme="majorBidi" w:cstheme="majorBidi"/>
        </w:rPr>
        <w:t xml:space="preserve">                       </w:t>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6</w:t>
      </w:r>
      <w:r w:rsidR="006A54D9" w:rsidRPr="006D631C">
        <w:rPr>
          <w:rFonts w:asciiTheme="majorBidi" w:hAnsiTheme="majorBidi" w:cstheme="majorBidi"/>
        </w:rPr>
        <w:fldChar w:fldCharType="end"/>
      </w:r>
      <w:r w:rsidR="00133F15" w:rsidRPr="006D631C">
        <w:rPr>
          <w:rFonts w:asciiTheme="majorBidi" w:hAnsiTheme="majorBidi" w:cstheme="majorBidi"/>
        </w:rPr>
        <w:t>)</w:t>
      </w:r>
    </w:p>
    <w:p w14:paraId="65DC696B" w14:textId="0B27F6DA" w:rsidR="00133F15" w:rsidRPr="006D631C" w:rsidRDefault="00574628" w:rsidP="00133F15">
      <w:pPr>
        <w:pStyle w:val="Caption"/>
        <w:rPr>
          <w:rFonts w:asciiTheme="majorBidi" w:hAnsiTheme="majorBidi" w:cstheme="majorBidi"/>
        </w:rPr>
      </w:pPr>
      <w:r w:rsidRPr="006D631C">
        <w:rPr>
          <w:position w:val="-26"/>
        </w:rPr>
        <w:object w:dxaOrig="1320" w:dyaOrig="700" w14:anchorId="72BBE49E">
          <v:shape id="_x0000_i1034" type="#_x0000_t75" style="width:66pt;height:36pt" o:ole="">
            <v:imagedata r:id="rId36" o:title=""/>
          </v:shape>
          <o:OLEObject Type="Embed" ProgID="Equation.DSMT4" ShapeID="_x0000_i1034" DrawAspect="Content" ObjectID="_1760013302" r:id="rId37"/>
        </w:object>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Pr="006D631C">
        <w:rPr>
          <w:rFonts w:asciiTheme="majorBidi" w:hAnsiTheme="majorBidi" w:cstheme="majorBidi"/>
        </w:rPr>
        <w:t xml:space="preserve">            </w:t>
      </w:r>
      <w:r w:rsidR="00133F15" w:rsidRPr="006D631C">
        <w:rPr>
          <w:rFonts w:asciiTheme="majorBidi" w:hAnsiTheme="majorBidi" w:cstheme="majorBidi"/>
        </w:rPr>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7</w:t>
      </w:r>
      <w:r w:rsidR="006A54D9" w:rsidRPr="006D631C">
        <w:rPr>
          <w:rFonts w:asciiTheme="majorBidi" w:hAnsiTheme="majorBidi" w:cstheme="majorBidi"/>
        </w:rPr>
        <w:fldChar w:fldCharType="end"/>
      </w:r>
      <w:r w:rsidR="00133F15" w:rsidRPr="006D631C">
        <w:rPr>
          <w:rFonts w:asciiTheme="majorBidi" w:hAnsiTheme="majorBidi" w:cstheme="majorBidi"/>
        </w:rPr>
        <w:t>)</w:t>
      </w:r>
    </w:p>
    <w:p w14:paraId="5E9A15B9" w14:textId="05141B6E" w:rsidR="00133F15" w:rsidRPr="006D631C" w:rsidRDefault="00574628" w:rsidP="00574628">
      <w:pPr>
        <w:pStyle w:val="Caption"/>
        <w:rPr>
          <w:rFonts w:asciiTheme="majorBidi" w:hAnsiTheme="majorBidi" w:cstheme="majorBidi"/>
        </w:rPr>
      </w:pPr>
      <w:r w:rsidRPr="006D631C">
        <w:rPr>
          <w:position w:val="-24"/>
        </w:rPr>
        <w:object w:dxaOrig="2120" w:dyaOrig="680" w14:anchorId="4310A646">
          <v:shape id="_x0000_i1035" type="#_x0000_t75" style="width:108pt;height:36pt" o:ole="">
            <v:imagedata r:id="rId38" o:title=""/>
          </v:shape>
          <o:OLEObject Type="Embed" ProgID="Equation.DSMT4" ShapeID="_x0000_i1035" DrawAspect="Content" ObjectID="_1760013303" r:id="rId39"/>
        </w:object>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r>
      <w:r w:rsidR="00133F15"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8</w:t>
      </w:r>
      <w:r w:rsidR="006A54D9" w:rsidRPr="006D631C">
        <w:rPr>
          <w:rFonts w:asciiTheme="majorBidi" w:hAnsiTheme="majorBidi" w:cstheme="majorBidi"/>
        </w:rPr>
        <w:fldChar w:fldCharType="end"/>
      </w:r>
      <w:r w:rsidR="00133F15" w:rsidRPr="006D631C">
        <w:rPr>
          <w:rFonts w:asciiTheme="majorBidi" w:hAnsiTheme="majorBidi" w:cstheme="majorBidi"/>
        </w:rPr>
        <w:t>)</w:t>
      </w:r>
    </w:p>
    <w:p w14:paraId="495E4AEE" w14:textId="27AAA8AF" w:rsidR="00CD69CD" w:rsidRPr="006D631C" w:rsidRDefault="002F697F" w:rsidP="002F697F">
      <w:pPr>
        <w:jc w:val="center"/>
      </w:pPr>
      <w:r w:rsidRPr="006D631C">
        <w:rPr>
          <w:rFonts w:asciiTheme="majorBidi" w:hAnsiTheme="majorBidi" w:cstheme="majorBidi"/>
          <w:noProof/>
        </w:rPr>
        <w:drawing>
          <wp:inline distT="0" distB="0" distL="0" distR="0" wp14:anchorId="59160A7A" wp14:editId="3D9CE068">
            <wp:extent cx="3200400" cy="27711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00400" cy="2771105"/>
                    </a:xfrm>
                    <a:prstGeom prst="rect">
                      <a:avLst/>
                    </a:prstGeom>
                    <a:noFill/>
                  </pic:spPr>
                </pic:pic>
              </a:graphicData>
            </a:graphic>
          </wp:inline>
        </w:drawing>
      </w:r>
    </w:p>
    <w:p w14:paraId="57746EDF" w14:textId="13478341" w:rsidR="00D50C77" w:rsidRPr="006D631C" w:rsidRDefault="00D50C77" w:rsidP="00D50C77">
      <w:pPr>
        <w:tabs>
          <w:tab w:val="left" w:pos="90"/>
          <w:tab w:val="left" w:pos="360"/>
          <w:tab w:val="left" w:pos="992"/>
        </w:tabs>
        <w:spacing w:line="360" w:lineRule="auto"/>
        <w:jc w:val="center"/>
        <w:rPr>
          <w:rFonts w:asciiTheme="majorBidi" w:hAnsiTheme="majorBidi" w:cstheme="majorBidi"/>
          <w:sz w:val="22"/>
          <w:szCs w:val="22"/>
        </w:rPr>
      </w:pPr>
      <w:bookmarkStart w:id="45" w:name="_Toc148175916"/>
      <w:r w:rsidRPr="006D631C">
        <w:t xml:space="preserve">Figure </w:t>
      </w:r>
      <w:r w:rsidR="00A37C6F">
        <w:fldChar w:fldCharType="begin"/>
      </w:r>
      <w:r w:rsidR="00A37C6F">
        <w:instrText xml:space="preserve"> STYLEREF 1 \s </w:instrText>
      </w:r>
      <w:r w:rsidR="00A37C6F">
        <w:fldChar w:fldCharType="separate"/>
      </w:r>
      <w:r w:rsidR="00B55F32" w:rsidRPr="006D631C">
        <w:rPr>
          <w:cs/>
        </w:rPr>
        <w:t>‎</w:t>
      </w:r>
      <w:r w:rsidR="00B55F32" w:rsidRPr="006D631C">
        <w:t>1</w:t>
      </w:r>
      <w:r w:rsidR="00A37C6F">
        <w:fldChar w:fldCharType="end"/>
      </w:r>
      <w:r w:rsidR="00B55F32" w:rsidRPr="006D631C">
        <w:noBreakHyphen/>
      </w:r>
      <w:fldSimple w:instr=" SEQ Figure \* ARABIC \s 1 ">
        <w:r w:rsidR="00B55F32" w:rsidRPr="006D631C">
          <w:t>7</w:t>
        </w:r>
      </w:fldSimple>
      <w:r w:rsidRPr="006D631C">
        <w:t>.</w:t>
      </w:r>
      <w:r w:rsidRPr="006D631C">
        <w:rPr>
          <w:rFonts w:eastAsia="Calibri"/>
          <w:sz w:val="20"/>
          <w:szCs w:val="20"/>
        </w:rPr>
        <w:t xml:space="preserve"> </w:t>
      </w:r>
      <w:r w:rsidRPr="006D631C">
        <w:rPr>
          <w:rFonts w:asciiTheme="majorBidi" w:hAnsiTheme="majorBidi" w:cstheme="majorBidi"/>
          <w:sz w:val="22"/>
          <w:szCs w:val="22"/>
        </w:rPr>
        <w:t>Typical schematic of H</w:t>
      </w:r>
      <w:r w:rsidRPr="006D631C">
        <w:rPr>
          <w:rFonts w:asciiTheme="majorBidi" w:hAnsiTheme="majorBidi" w:cstheme="majorBidi"/>
          <w:sz w:val="22"/>
          <w:szCs w:val="22"/>
          <w:vertAlign w:val="subscript"/>
        </w:rPr>
        <w:t>2</w:t>
      </w:r>
      <w:r w:rsidRPr="006D631C">
        <w:rPr>
          <w:rFonts w:asciiTheme="majorBidi" w:hAnsiTheme="majorBidi" w:cstheme="majorBidi"/>
          <w:sz w:val="22"/>
          <w:szCs w:val="22"/>
        </w:rPr>
        <w:t xml:space="preserve"> structure with </w:t>
      </w:r>
      <w:r w:rsidRPr="006D631C">
        <w:rPr>
          <w:rFonts w:asciiTheme="majorBidi" w:hAnsiTheme="majorBidi" w:cstheme="majorBidi"/>
          <w:i/>
          <w:iCs/>
          <w:sz w:val="22"/>
          <w:szCs w:val="22"/>
        </w:rPr>
        <w:t>d</w:t>
      </w:r>
      <w:r w:rsidRPr="006D631C">
        <w:rPr>
          <w:rFonts w:asciiTheme="majorBidi" w:hAnsiTheme="majorBidi" w:cstheme="majorBidi"/>
          <w:sz w:val="22"/>
          <w:szCs w:val="22"/>
        </w:rPr>
        <w:t>-spacing (</w:t>
      </w:r>
      <w:r w:rsidRPr="006D631C">
        <w:rPr>
          <w:rFonts w:asciiTheme="majorBidi" w:hAnsiTheme="majorBidi" w:cstheme="majorBidi"/>
          <w:i/>
          <w:iCs/>
          <w:sz w:val="22"/>
          <w:szCs w:val="22"/>
        </w:rPr>
        <w:t>d</w:t>
      </w:r>
      <w:r w:rsidRPr="006D631C">
        <w:rPr>
          <w:rFonts w:asciiTheme="majorBidi" w:hAnsiTheme="majorBidi" w:cstheme="majorBidi"/>
          <w:sz w:val="22"/>
          <w:szCs w:val="22"/>
        </w:rPr>
        <w:t>), lattice parameter (</w:t>
      </w:r>
      <w:r w:rsidRPr="006D631C">
        <w:rPr>
          <w:rFonts w:asciiTheme="majorBidi" w:hAnsiTheme="majorBidi" w:cstheme="majorBidi"/>
          <w:i/>
          <w:iCs/>
          <w:sz w:val="22"/>
          <w:szCs w:val="22"/>
        </w:rPr>
        <w:t>a</w:t>
      </w:r>
      <w:r w:rsidRPr="006D631C">
        <w:rPr>
          <w:rFonts w:asciiTheme="majorBidi" w:hAnsiTheme="majorBidi" w:cstheme="majorBidi"/>
          <w:sz w:val="22"/>
          <w:szCs w:val="22"/>
        </w:rPr>
        <w:t>), radius of micelle (</w:t>
      </w:r>
      <w:r w:rsidRPr="006D631C">
        <w:rPr>
          <w:rFonts w:asciiTheme="majorBidi" w:hAnsiTheme="majorBidi" w:cstheme="majorBidi"/>
          <w:i/>
          <w:iCs/>
          <w:sz w:val="22"/>
          <w:szCs w:val="22"/>
        </w:rPr>
        <w:t>R</w:t>
      </w:r>
      <w:r w:rsidRPr="006D631C">
        <w:rPr>
          <w:rFonts w:asciiTheme="majorBidi" w:hAnsiTheme="majorBidi" w:cstheme="majorBidi"/>
          <w:i/>
          <w:iCs/>
          <w:sz w:val="22"/>
          <w:szCs w:val="22"/>
          <w:vertAlign w:val="subscript"/>
        </w:rPr>
        <w:t>m</w:t>
      </w:r>
      <w:r w:rsidRPr="006D631C">
        <w:rPr>
          <w:rFonts w:asciiTheme="majorBidi" w:hAnsiTheme="majorBidi" w:cstheme="majorBidi"/>
          <w:sz w:val="22"/>
          <w:szCs w:val="22"/>
        </w:rPr>
        <w:t>), radius of confined phase in micelle (</w:t>
      </w:r>
      <w:proofErr w:type="spellStart"/>
      <w:r w:rsidRPr="006D631C">
        <w:rPr>
          <w:rFonts w:asciiTheme="majorBidi" w:hAnsiTheme="majorBidi" w:cstheme="majorBidi"/>
          <w:i/>
          <w:iCs/>
          <w:sz w:val="22"/>
          <w:szCs w:val="22"/>
        </w:rPr>
        <w:t>R</w:t>
      </w:r>
      <w:r w:rsidRPr="006D631C">
        <w:rPr>
          <w:rFonts w:asciiTheme="majorBidi" w:hAnsiTheme="majorBidi" w:cstheme="majorBidi"/>
          <w:i/>
          <w:iCs/>
          <w:sz w:val="22"/>
          <w:szCs w:val="22"/>
          <w:vertAlign w:val="subscript"/>
        </w:rPr>
        <w:t>c</w:t>
      </w:r>
      <w:proofErr w:type="spellEnd"/>
      <w:r w:rsidRPr="006D631C">
        <w:rPr>
          <w:rFonts w:asciiTheme="majorBidi" w:hAnsiTheme="majorBidi" w:cstheme="majorBidi"/>
          <w:sz w:val="22"/>
          <w:szCs w:val="22"/>
        </w:rPr>
        <w:t>), intermicellar distance (</w:t>
      </w:r>
      <w:proofErr w:type="spellStart"/>
      <w:r w:rsidRPr="006D631C">
        <w:rPr>
          <w:rFonts w:asciiTheme="majorBidi" w:hAnsiTheme="majorBidi" w:cstheme="majorBidi"/>
          <w:i/>
          <w:iCs/>
          <w:sz w:val="22"/>
          <w:szCs w:val="22"/>
        </w:rPr>
        <w:t>D</w:t>
      </w:r>
      <w:r w:rsidRPr="006D631C">
        <w:rPr>
          <w:rFonts w:asciiTheme="majorBidi" w:hAnsiTheme="majorBidi" w:cstheme="majorBidi"/>
          <w:i/>
          <w:iCs/>
          <w:sz w:val="22"/>
          <w:szCs w:val="22"/>
          <w:vertAlign w:val="subscript"/>
        </w:rPr>
        <w:t>m</w:t>
      </w:r>
      <w:proofErr w:type="spellEnd"/>
      <w:r w:rsidRPr="006D631C">
        <w:rPr>
          <w:rFonts w:asciiTheme="majorBidi" w:hAnsiTheme="majorBidi" w:cstheme="majorBidi"/>
          <w:sz w:val="22"/>
          <w:szCs w:val="22"/>
        </w:rPr>
        <w:t xml:space="preserve">), and radius of the biggest circle </w:t>
      </w:r>
      <w:r w:rsidRPr="006D631C">
        <w:rPr>
          <w:rFonts w:asciiTheme="majorBidi" w:hAnsiTheme="majorBidi" w:cstheme="majorBidi"/>
          <w:sz w:val="22"/>
          <w:szCs w:val="22"/>
        </w:rPr>
        <w:lastRenderedPageBreak/>
        <w:t>trapped between the micelles (</w:t>
      </w:r>
      <w:proofErr w:type="spellStart"/>
      <w:r w:rsidRPr="006D631C">
        <w:rPr>
          <w:rFonts w:asciiTheme="majorBidi" w:hAnsiTheme="majorBidi" w:cstheme="majorBidi"/>
          <w:i/>
          <w:iCs/>
          <w:sz w:val="22"/>
          <w:szCs w:val="22"/>
        </w:rPr>
        <w:t>R</w:t>
      </w:r>
      <w:r w:rsidRPr="006D631C">
        <w:rPr>
          <w:rFonts w:asciiTheme="majorBidi" w:hAnsiTheme="majorBidi" w:cstheme="majorBidi"/>
          <w:i/>
          <w:iCs/>
          <w:sz w:val="22"/>
          <w:szCs w:val="22"/>
          <w:vertAlign w:val="subscript"/>
        </w:rPr>
        <w:t>h,max</w:t>
      </w:r>
      <w:proofErr w:type="spellEnd"/>
      <w:r w:rsidRPr="006D631C">
        <w:rPr>
          <w:rFonts w:asciiTheme="majorBidi" w:hAnsiTheme="majorBidi" w:cstheme="majorBidi"/>
          <w:sz w:val="22"/>
          <w:szCs w:val="22"/>
        </w:rPr>
        <w:t xml:space="preserve">). In this case, </w:t>
      </w:r>
      <w:r w:rsidRPr="006D631C">
        <w:rPr>
          <w:rFonts w:asciiTheme="majorBidi" w:hAnsiTheme="majorBidi" w:cstheme="majorBidi"/>
          <w:i/>
          <w:iCs/>
          <w:sz w:val="22"/>
          <w:szCs w:val="22"/>
        </w:rPr>
        <w:t xml:space="preserve">ϕ </w:t>
      </w:r>
      <w:r w:rsidRPr="006D631C">
        <w:rPr>
          <w:rFonts w:asciiTheme="majorBidi" w:hAnsiTheme="majorBidi" w:cstheme="majorBidi"/>
          <w:sz w:val="22"/>
          <w:szCs w:val="22"/>
        </w:rPr>
        <w:t>is the volume fraction of the polar phase.</w:t>
      </w:r>
      <w:r w:rsidR="004A6CCE" w:rsidRPr="006D631C">
        <w:rPr>
          <w:rFonts w:asciiTheme="majorBidi" w:hAnsiTheme="majorBidi" w:cstheme="majorBidi"/>
          <w:sz w:val="22"/>
          <w:szCs w:val="22"/>
        </w:rPr>
        <w:t xml:space="preserve"> In the case of H</w:t>
      </w:r>
      <w:r w:rsidR="004A6CCE" w:rsidRPr="006D631C">
        <w:rPr>
          <w:rFonts w:asciiTheme="majorBidi" w:hAnsiTheme="majorBidi" w:cstheme="majorBidi"/>
          <w:sz w:val="22"/>
          <w:szCs w:val="22"/>
          <w:vertAlign w:val="subscript"/>
        </w:rPr>
        <w:t>1</w:t>
      </w:r>
      <w:r w:rsidR="004A6CCE" w:rsidRPr="006D631C">
        <w:rPr>
          <w:rFonts w:asciiTheme="majorBidi" w:hAnsiTheme="majorBidi" w:cstheme="majorBidi"/>
          <w:sz w:val="22"/>
          <w:szCs w:val="22"/>
        </w:rPr>
        <w:t xml:space="preserve"> structure, </w:t>
      </w:r>
      <w:r w:rsidR="004A6CCE" w:rsidRPr="006D631C">
        <w:rPr>
          <w:rFonts w:asciiTheme="majorBidi" w:hAnsiTheme="majorBidi" w:cstheme="majorBidi"/>
          <w:i/>
          <w:iCs/>
          <w:sz w:val="22"/>
          <w:szCs w:val="22"/>
        </w:rPr>
        <w:t xml:space="preserve">ϕ </w:t>
      </w:r>
      <w:r w:rsidR="004A6CCE" w:rsidRPr="006D631C">
        <w:rPr>
          <w:rFonts w:asciiTheme="majorBidi" w:hAnsiTheme="majorBidi" w:cstheme="majorBidi"/>
          <w:sz w:val="22"/>
          <w:szCs w:val="22"/>
        </w:rPr>
        <w:t>is the volume fraction of the apolar phase.</w:t>
      </w:r>
      <w:bookmarkEnd w:id="45"/>
      <w:r w:rsidR="004A6CCE" w:rsidRPr="006D631C">
        <w:rPr>
          <w:rFonts w:asciiTheme="majorBidi" w:hAnsiTheme="majorBidi" w:cstheme="majorBidi"/>
          <w:sz w:val="22"/>
          <w:szCs w:val="22"/>
        </w:rPr>
        <w:t xml:space="preserve"> </w:t>
      </w:r>
    </w:p>
    <w:p w14:paraId="6694A6A1" w14:textId="70E9E38E" w:rsidR="00C21600" w:rsidRPr="006D631C" w:rsidRDefault="00635070" w:rsidP="00635070">
      <w:pPr>
        <w:ind w:firstLine="357"/>
        <w:rPr>
          <w:rFonts w:asciiTheme="majorBidi" w:hAnsiTheme="majorBidi" w:cstheme="majorBidi"/>
        </w:rPr>
      </w:pPr>
      <w:r w:rsidRPr="006D631C">
        <w:rPr>
          <w:rFonts w:asciiTheme="majorBidi" w:hAnsiTheme="majorBidi" w:cstheme="majorBidi"/>
        </w:rPr>
        <w:t xml:space="preserve">In the broader mesophase literature, other columnar mesophases have been studied which exhibit non-circular cross-sections and/or non-hexagonal packing of the columns. These LLC phases are sometimes termed ‘ribbon’ phases, and include lattices of </w:t>
      </w:r>
      <w:proofErr w:type="spellStart"/>
      <w:r w:rsidRPr="006D631C">
        <w:rPr>
          <w:rFonts w:asciiTheme="majorBidi" w:hAnsiTheme="majorBidi" w:cstheme="majorBidi"/>
        </w:rPr>
        <w:t>rectangularly</w:t>
      </w:r>
      <w:proofErr w:type="spellEnd"/>
      <w:r w:rsidRPr="006D631C">
        <w:rPr>
          <w:rFonts w:asciiTheme="majorBidi" w:hAnsiTheme="majorBidi" w:cstheme="majorBidi"/>
        </w:rPr>
        <w:t xml:space="preserve"> or obliquely packed </w:t>
      </w:r>
      <w:proofErr w:type="spellStart"/>
      <w:r w:rsidRPr="006D631C">
        <w:rPr>
          <w:rFonts w:asciiTheme="majorBidi" w:hAnsiTheme="majorBidi" w:cstheme="majorBidi"/>
        </w:rPr>
        <w:t>mesogen</w:t>
      </w:r>
      <w:proofErr w:type="spellEnd"/>
      <w:r w:rsidRPr="006D631C">
        <w:rPr>
          <w:rFonts w:asciiTheme="majorBidi" w:hAnsiTheme="majorBidi" w:cstheme="majorBidi"/>
        </w:rPr>
        <w:t xml:space="preserve"> columns.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{"citationItems":[{"id":"ITEM-1","itemData":{"DOI":"10.1039/D0SM01506G","ISSN":"1744-683X","abstract":"Positively charged PAMAM G4 dendrimer acted as an effective structure-mediating agent for the mesophase of an anionic surfactant. Their electrostatic complexes self-assembled into body-centered cubic spheres and four types of 2D columnar mesophase.","author":[{"dropping-particle":"","family":"Young","given":"Chih-Mei","non-dropping-particle":"","parse-names":false,"suffix":""},{"dropping-particle":"","family":"Chang","given":"Chia Lun","non-dropping-particle":"","parse-names":false,"suffix":""},{"dropping-particle":"","family":"Chen","given":"Yu-Hsiang","non-dropping-particle":"","parse-names":false,"suffix":""},{"dropping-particle":"","family":"Chen","given":"Chun-Yu","non-dropping-particle":"","parse-names":false,"suffix":""},{"dropping-particle":"","family":"Chang","given":"Yu-Fan","non-dropping-particle":"","parse-names":false,"suffix":""},{"dropping-particle":"","family":"Chen","given":"Hsin-Lung","non-dropping-particle":"","parse-names":false,"suffix":""}],"container-title":"Soft Matter","id":"ITEM-1","issue":"2","issued":{"date-parts":[["2021"]]},"page":"397-409","title":"Dendrimer-mediated columnar mesophase of surfactants","type":"article-journal","volume":"17"},"uris":["http://www.mendeley.com/documents/?uuid=45fff2ff-81e5-4332-86be-3a9b89d45db9"]}],"mendeley":{"formattedCitation":"&lt;sup&gt;59&lt;/sup&gt;","plainTextFormattedCitation":"59","previouslyFormattedCitation":"&lt;sup&gt;59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59</w:t>
      </w:r>
      <w:r w:rsidRPr="006D631C">
        <w:rPr>
          <w:rFonts w:asciiTheme="majorBidi" w:hAnsiTheme="majorBidi" w:cstheme="majorBidi"/>
        </w:rPr>
        <w:fldChar w:fldCharType="end"/>
      </w:r>
      <w:r w:rsidRPr="006D631C">
        <w:rPr>
          <w:rFonts w:asciiTheme="majorBidi" w:hAnsiTheme="majorBidi" w:cstheme="majorBidi"/>
        </w:rPr>
        <w:t xml:space="preserve"> However, they have generally not been studied in the polyLLC context. There are studies of rectangular columnar phases for </w:t>
      </w:r>
      <w:proofErr w:type="spellStart"/>
      <w:r w:rsidRPr="006D631C">
        <w:rPr>
          <w:rFonts w:asciiTheme="majorBidi" w:hAnsiTheme="majorBidi" w:cstheme="majorBidi"/>
        </w:rPr>
        <w:t>thermotropic</w:t>
      </w:r>
      <w:proofErr w:type="spellEnd"/>
      <w:r w:rsidRPr="006D631C">
        <w:rPr>
          <w:rFonts w:asciiTheme="majorBidi" w:hAnsiTheme="majorBidi" w:cstheme="majorBidi"/>
        </w:rPr>
        <w:t xml:space="preserve"> LCs,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cs.5b09076","ISSN":"0002-7863","author":[{"dropping-particle":"","family":"Soberats","given":"Bartolome","non-dropping-particle":"","parse-names":false,"suffix":""},{"dropping-particle":"","family":"Yoshio","given":"Masafumi","non-dropping-particle":"","parse-names":false,"suffix":""},{"dropping-particle":"","family":"Ichikawa","given":"Takahiro","non-dropping-particle":"","parse-names":false,"suffix":""},{"dropping-particle":"","family":"Zeng","given":"Xiangbing","non-dropping-particle":"","parse-names":false,"suffix":""},{"dropping-particle":"","family":"Ohno","given":"Hiroyuki","non-dropping-particle":"","parse-names":false,"suffix":""},{"dropping-particle":"","family":"Ungar","given":"Goran","non-dropping-particle":"","parse-names":false,"suffix":""},{"dropping-particle":"","family":"Kato","given":"Takashi","non-dropping-particle":"","parse-names":false,"suffix":""}],"container-title":"Journal of the American Chemical Society","id":"ITEM-1","issue":"41","issued":{"date-parts":[["2015","10","21"]]},"page":"13212-13215","title":"Ionic Switch Induced by a Rectangular–Hexagonal Phase Transition in Benzenammonium Columnar Liquid Crystals","type":"article-journal","volume":"137"},"uris":["http://www.mendeley.com/documents/?uuid=f33a5581-4113-4619-af60-3f9c8dcf3c2e"]}],"mendeley":{"formattedCitation":"&lt;sup&gt;60&lt;/sup&gt;","plainTextFormattedCitation":"60","previouslyFormattedCitation":"&lt;sup&gt;60&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60</w:t>
      </w:r>
      <w:r w:rsidRPr="006D631C">
        <w:rPr>
          <w:rFonts w:asciiTheme="majorBidi" w:hAnsiTheme="majorBidi" w:cstheme="majorBidi"/>
        </w:rPr>
        <w:fldChar w:fldCharType="end"/>
      </w:r>
      <w:r w:rsidRPr="006D631C">
        <w:rPr>
          <w:rFonts w:asciiTheme="majorBidi" w:hAnsiTheme="majorBidi" w:cstheme="majorBidi"/>
        </w:rPr>
        <w:t xml:space="preserve"> but for lyotropic LCs hexagonal columns are the predominantly observed and studied columnar mesophase.</w:t>
      </w:r>
    </w:p>
    <w:p w14:paraId="783B15F7" w14:textId="16CF725B" w:rsidR="00A554C9" w:rsidRPr="006D631C" w:rsidRDefault="00A554C9" w:rsidP="008424F1">
      <w:pPr>
        <w:pStyle w:val="Heading3"/>
      </w:pPr>
      <w:bookmarkStart w:id="46" w:name="_Toc131082862"/>
      <w:bookmarkStart w:id="47" w:name="_Toc148175780"/>
      <w:r w:rsidRPr="006D631C">
        <w:t>1.2.2 Lamellar (L</w:t>
      </w:r>
      <w:r w:rsidRPr="006D631C">
        <w:rPr>
          <w:vertAlign w:val="subscript"/>
        </w:rPr>
        <w:t>α</w:t>
      </w:r>
      <w:r w:rsidRPr="006D631C">
        <w:t>)</w:t>
      </w:r>
      <w:bookmarkEnd w:id="46"/>
      <w:bookmarkEnd w:id="47"/>
      <w:r w:rsidRPr="006D631C">
        <w:t xml:space="preserve"> </w:t>
      </w:r>
    </w:p>
    <w:p w14:paraId="057D410F" w14:textId="35692926" w:rsidR="00A554C9" w:rsidRPr="006D631C" w:rsidRDefault="00A554C9" w:rsidP="00603F52">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The lamellar phase is formed under zero mean curvature. The hydrophilic heads of the </w:t>
      </w:r>
      <w:proofErr w:type="spellStart"/>
      <w:r w:rsidRPr="006D631C">
        <w:rPr>
          <w:rFonts w:asciiTheme="majorBidi" w:hAnsiTheme="majorBidi" w:cstheme="majorBidi"/>
        </w:rPr>
        <w:t>amphiphile</w:t>
      </w:r>
      <w:proofErr w:type="spellEnd"/>
      <w:r w:rsidRPr="006D631C">
        <w:rPr>
          <w:rFonts w:asciiTheme="majorBidi" w:hAnsiTheme="majorBidi" w:cstheme="majorBidi"/>
        </w:rPr>
        <w:t xml:space="preserve"> molecules assemble toward the water, while lipophilic tails remain away from water. As shown in </w:t>
      </w:r>
      <w:r w:rsidR="00464A79" w:rsidRPr="006D631C">
        <w:rPr>
          <w:rFonts w:asciiTheme="majorBidi" w:hAnsiTheme="majorBidi" w:cstheme="majorBidi"/>
        </w:rPr>
        <w:t>Figure</w:t>
      </w:r>
      <w:r w:rsidRPr="006D631C">
        <w:rPr>
          <w:rFonts w:asciiTheme="majorBidi" w:hAnsiTheme="majorBidi" w:cstheme="majorBidi"/>
        </w:rPr>
        <w:t xml:space="preserve"> </w:t>
      </w:r>
      <w:r w:rsidR="00464A79" w:rsidRPr="006D631C">
        <w:rPr>
          <w:rFonts w:asciiTheme="majorBidi" w:hAnsiTheme="majorBidi" w:cstheme="majorBidi"/>
        </w:rPr>
        <w:t>1-</w:t>
      </w:r>
      <w:r w:rsidRPr="006D631C">
        <w:rPr>
          <w:rFonts w:asciiTheme="majorBidi" w:hAnsiTheme="majorBidi" w:cstheme="majorBidi"/>
        </w:rPr>
        <w:t>8, L</w:t>
      </w:r>
      <w:r w:rsidRPr="006D631C">
        <w:rPr>
          <w:rFonts w:asciiTheme="majorBidi" w:hAnsiTheme="majorBidi" w:cstheme="majorBidi"/>
          <w:vertAlign w:val="subscript"/>
        </w:rPr>
        <w:t>α</w:t>
      </w:r>
      <w:r w:rsidRPr="006D631C">
        <w:rPr>
          <w:rFonts w:asciiTheme="majorBidi" w:hAnsiTheme="majorBidi" w:cstheme="majorBidi"/>
        </w:rPr>
        <w:t xml:space="preserve"> has various characteristic dimensions; </w:t>
      </w:r>
      <w:r w:rsidRPr="006D631C">
        <w:rPr>
          <w:rFonts w:asciiTheme="majorBidi" w:hAnsiTheme="majorBidi" w:cstheme="majorBidi"/>
          <w:i/>
          <w:iCs/>
        </w:rPr>
        <w:t>d</w:t>
      </w:r>
      <w:r w:rsidRPr="006D631C">
        <w:rPr>
          <w:rFonts w:asciiTheme="majorBidi" w:hAnsiTheme="majorBidi" w:cstheme="majorBidi"/>
        </w:rPr>
        <w:t xml:space="preserve"> is the repeating distance of bilayers or lattice parameter, </w:t>
      </w:r>
      <w:r w:rsidRPr="006D631C">
        <w:rPr>
          <w:rFonts w:asciiTheme="majorBidi" w:hAnsiTheme="majorBidi" w:cstheme="majorBidi"/>
          <w:i/>
          <w:iCs/>
        </w:rPr>
        <w:t>δ</w:t>
      </w:r>
      <w:r w:rsidRPr="006D631C">
        <w:rPr>
          <w:rFonts w:asciiTheme="majorBidi" w:hAnsiTheme="majorBidi" w:cstheme="majorBidi"/>
          <w:i/>
          <w:iCs/>
          <w:vertAlign w:val="subscript"/>
        </w:rPr>
        <w:t>1</w:t>
      </w:r>
      <w:r w:rsidRPr="006D631C">
        <w:rPr>
          <w:rFonts w:asciiTheme="majorBidi" w:hAnsiTheme="majorBidi" w:cstheme="majorBidi"/>
        </w:rPr>
        <w:t xml:space="preserve"> is the thickness of the apolar domain, </w:t>
      </w:r>
      <w:r w:rsidRPr="006D631C">
        <w:rPr>
          <w:rFonts w:asciiTheme="majorBidi" w:hAnsiTheme="majorBidi" w:cstheme="majorBidi"/>
          <w:i/>
          <w:iCs/>
        </w:rPr>
        <w:t>δ</w:t>
      </w:r>
      <w:r w:rsidRPr="006D631C">
        <w:rPr>
          <w:rFonts w:asciiTheme="majorBidi" w:hAnsiTheme="majorBidi" w:cstheme="majorBidi"/>
          <w:i/>
          <w:iCs/>
          <w:vertAlign w:val="subscript"/>
        </w:rPr>
        <w:t>2</w:t>
      </w:r>
      <w:r w:rsidRPr="006D631C">
        <w:rPr>
          <w:rFonts w:asciiTheme="majorBidi" w:hAnsiTheme="majorBidi" w:cstheme="majorBidi"/>
        </w:rPr>
        <w:t xml:space="preserve"> is the thickness of the polar domain, </w:t>
      </w:r>
      <w:r w:rsidRPr="006D631C">
        <w:rPr>
          <w:rFonts w:asciiTheme="majorBidi" w:hAnsiTheme="majorBidi" w:cstheme="majorBidi"/>
          <w:i/>
          <w:iCs/>
        </w:rPr>
        <w:t>D</w:t>
      </w:r>
      <w:r w:rsidRPr="006D631C">
        <w:rPr>
          <w:rFonts w:asciiTheme="majorBidi" w:hAnsiTheme="majorBidi" w:cstheme="majorBidi"/>
          <w:i/>
          <w:iCs/>
          <w:vertAlign w:val="subscript"/>
        </w:rPr>
        <w:t>1</w:t>
      </w:r>
      <w:r w:rsidRPr="006D631C">
        <w:rPr>
          <w:rFonts w:asciiTheme="majorBidi" w:hAnsiTheme="majorBidi" w:cstheme="majorBidi"/>
        </w:rPr>
        <w:t xml:space="preserve"> is the intermicellar distance in apolar phase, </w:t>
      </w:r>
      <w:r w:rsidRPr="006D631C">
        <w:rPr>
          <w:rFonts w:asciiTheme="majorBidi" w:hAnsiTheme="majorBidi" w:cstheme="majorBidi"/>
          <w:i/>
          <w:iCs/>
        </w:rPr>
        <w:t>D</w:t>
      </w:r>
      <w:r w:rsidRPr="006D631C">
        <w:rPr>
          <w:rFonts w:asciiTheme="majorBidi" w:hAnsiTheme="majorBidi" w:cstheme="majorBidi"/>
          <w:i/>
          <w:iCs/>
          <w:vertAlign w:val="subscript"/>
        </w:rPr>
        <w:t>2</w:t>
      </w:r>
      <w:r w:rsidRPr="006D631C">
        <w:rPr>
          <w:rFonts w:asciiTheme="majorBidi" w:hAnsiTheme="majorBidi" w:cstheme="majorBidi"/>
        </w:rPr>
        <w:t xml:space="preserve"> is the intermicellar distance in polar domain, and </w:t>
      </w:r>
      <w:r w:rsidRPr="006D631C">
        <w:rPr>
          <w:rFonts w:asciiTheme="majorBidi" w:hAnsiTheme="majorBidi" w:cstheme="majorBidi"/>
          <w:i/>
          <w:iCs/>
        </w:rPr>
        <w:t>R</w:t>
      </w:r>
      <w:r w:rsidRPr="006D631C">
        <w:rPr>
          <w:rFonts w:asciiTheme="majorBidi" w:hAnsiTheme="majorBidi" w:cstheme="majorBidi"/>
          <w:i/>
          <w:iCs/>
          <w:vertAlign w:val="subscript"/>
        </w:rPr>
        <w:t>1,max</w:t>
      </w:r>
      <w:r w:rsidRPr="006D631C">
        <w:rPr>
          <w:rFonts w:asciiTheme="majorBidi" w:hAnsiTheme="majorBidi" w:cstheme="majorBidi"/>
        </w:rPr>
        <w:t xml:space="preserve"> and </w:t>
      </w:r>
      <w:r w:rsidRPr="006D631C">
        <w:rPr>
          <w:rFonts w:asciiTheme="majorBidi" w:hAnsiTheme="majorBidi" w:cstheme="majorBidi"/>
          <w:i/>
          <w:iCs/>
        </w:rPr>
        <w:t>R</w:t>
      </w:r>
      <w:r w:rsidRPr="006D631C">
        <w:rPr>
          <w:rFonts w:asciiTheme="majorBidi" w:hAnsiTheme="majorBidi" w:cstheme="majorBidi"/>
          <w:i/>
          <w:iCs/>
          <w:vertAlign w:val="subscript"/>
        </w:rPr>
        <w:t>2,max</w:t>
      </w:r>
      <w:r w:rsidRPr="006D631C">
        <w:rPr>
          <w:rFonts w:asciiTheme="majorBidi" w:hAnsiTheme="majorBidi" w:cstheme="majorBidi"/>
        </w:rPr>
        <w:t xml:space="preserve"> are the radii of the largest circles trapped between the micelles in apolar and polar domains, respectively.</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56</w:t>
      </w:r>
      <w:r w:rsidRPr="006D631C">
        <w:rPr>
          <w:rFonts w:asciiTheme="majorBidi" w:hAnsiTheme="majorBidi" w:cstheme="majorBidi"/>
        </w:rPr>
        <w:fldChar w:fldCharType="end"/>
      </w:r>
      <w:r w:rsidRPr="006D631C">
        <w:rPr>
          <w:rFonts w:asciiTheme="majorBidi" w:hAnsiTheme="majorBidi" w:cstheme="majorBidi"/>
        </w:rPr>
        <w:t xml:space="preserve"> As shown in Fig</w:t>
      </w:r>
      <w:r w:rsidR="00125FC6" w:rsidRPr="006D631C">
        <w:rPr>
          <w:rFonts w:asciiTheme="majorBidi" w:hAnsiTheme="majorBidi" w:cstheme="majorBidi"/>
        </w:rPr>
        <w:t>ure</w:t>
      </w:r>
      <w:r w:rsidRPr="006D631C">
        <w:rPr>
          <w:rFonts w:asciiTheme="majorBidi" w:hAnsiTheme="majorBidi" w:cstheme="majorBidi"/>
        </w:rPr>
        <w:t xml:space="preserve"> </w:t>
      </w:r>
      <w:r w:rsidR="00125FC6" w:rsidRPr="006D631C">
        <w:rPr>
          <w:rFonts w:asciiTheme="majorBidi" w:hAnsiTheme="majorBidi" w:cstheme="majorBidi"/>
        </w:rPr>
        <w:t>1-</w:t>
      </w:r>
      <w:r w:rsidRPr="006D631C">
        <w:rPr>
          <w:rFonts w:asciiTheme="majorBidi" w:hAnsiTheme="majorBidi" w:cstheme="majorBidi"/>
        </w:rPr>
        <w:t>2b,The lamellar structure shows a sequence of Bragg peaks in integer ratios of 1:2:3:4:5:6…</w:t>
      </w:r>
      <w:r w:rsidRPr="006D631C">
        <w:rPr>
          <w:rFonts w:asciiTheme="majorBidi" w:hAnsiTheme="majorBidi" w:cstheme="majorBidi"/>
        </w:rPr>
        <w:fldChar w:fldCharType="begin" w:fldLock="1"/>
      </w:r>
      <w:r w:rsidR="002433D3" w:rsidRPr="006D631C">
        <w:rPr>
          <w:rFonts w:asciiTheme="majorBidi" w:hAnsiTheme="majorBidi" w:cstheme="majorBidi"/>
        </w:rPr>
        <w:instrText>ADDIN CSL_CITATION {"citationItems":[{"id":"ITEM-1","itemData":{"DOI":"10.1021/jp062159p","ISSN":"15206106","abstract":"The ternary phase diagram of the amphiphilic triblock copolymer PEO-PPO-PEO ((EO)20(PO)70(EO)20 commercialized under the generic name P123), water, and ethanol has been investigated at constant temperature (T = 23°C) by small-angle X-ray scattering (SAXS). The microstructure resulting from the self-assembly of the PEO-PPO-PEO block copolymer varies from micelles in solution to various types of liquid crystalline phases such as cubic, 3D hexagonal close packed spheres (HCPS), 2D hexagonal, and lamellar when the concentration of the polymer is increased. In the Isotropic liquid phase, the micellar structural parameters are obtained as a function of the water-ethanol ratio and block copolymer concentration by fitting the scattering data to a model involving core-shell form factor and a hard sphere structure factor of interaction. The micellar core, the aggregation number, and the hard sphere interaction radius decrease when increasing the ethanol/water ratio in the mixed solvent. We show that the fraction of ethanol present in the core is responsible for the swelling of the PPO blocks. In the different liquid crystalline phases, structural parameters such as lattice spacing, interfacial area of PEO block, and aggregation number are also evaluated. In addition to classical phases such as lamellar, 2D hexagonal, and liquid isotropic phases, we have observed a two-phase region in which cubic Fm3m and P63mmc (hexagonally close packing of spheres (HCPS)) phases coexist. This appears at 30% (w/w) of P123 in pure water and with 5% (w/w) of ethanol. At 10% (w/w) ethanol, only the HCPS phase remains present. © 2006 American Chemical Society.","author":[{"dropping-particle":"","family":"Soni","given":"S. S.","non-dropping-particle":"","parse-names":false,"suffix":""},{"dropping-particle":"","family":"Brotons","given":"G.","non-dropping-particle":"","parse-names":false,"suffix":""},{"dropping-particle":"","family":"Bellour","given":"M.","non-dropping-particle":"","parse-names":false,"suffix":""},{"dropping-particle":"","family":"Narayanan","given":"T.","non-dropping-particle":"","parse-names":false,"suffix":""},{"dropping-particle":"","family":"Gibaud","given":"A.","non-dropping-particle":"","parse-names":false,"suffix":""}],"container-title":"Journal of Physical Chemistry B","id":"ITEM-1","issue":"31","issued":{"date-parts":[["2006"]]},"page":"15157-15165","title":"Quantitative SAXS analysis of the P123/water/ethanol ternary phase diagram","type":"article-journal","volume":"110"},"uris":["http://www.mendeley.com/documents/?uuid=43ee2138-5ca4-4a5d-8f85-1921ed16d2cc"]}],"mendeley":{"formattedCitation":"&lt;sup&gt;18&lt;/sup&gt;","plainTextFormattedCitation":"18","previouslyFormattedCitation":"&lt;sup&gt;18&lt;/sup&gt;"},"properties":{"noteIndex":0},"schema":"https://github.com/citation-style-language/schema/raw/master/csl-citation.json"}</w:instrText>
      </w:r>
      <w:r w:rsidRPr="006D631C">
        <w:rPr>
          <w:rFonts w:asciiTheme="majorBidi" w:hAnsiTheme="majorBidi" w:cstheme="majorBidi"/>
        </w:rPr>
        <w:fldChar w:fldCharType="separate"/>
      </w:r>
      <w:r w:rsidR="00125FC6" w:rsidRPr="006D631C">
        <w:rPr>
          <w:rFonts w:asciiTheme="majorBidi" w:hAnsiTheme="majorBidi" w:cstheme="majorBidi"/>
          <w:noProof/>
          <w:vertAlign w:val="superscript"/>
        </w:rPr>
        <w:t>18</w:t>
      </w:r>
      <w:r w:rsidRPr="006D631C">
        <w:rPr>
          <w:rFonts w:asciiTheme="majorBidi" w:hAnsiTheme="majorBidi" w:cstheme="majorBidi"/>
        </w:rPr>
        <w:fldChar w:fldCharType="end"/>
      </w:r>
      <w:r w:rsidRPr="006D631C">
        <w:rPr>
          <w:rFonts w:asciiTheme="majorBidi" w:hAnsiTheme="majorBidi" w:cstheme="majorBidi"/>
        </w:rPr>
        <w:t xml:space="preserve"> (corresponding to the d</w:t>
      </w:r>
      <w:r w:rsidRPr="006D631C">
        <w:rPr>
          <w:rFonts w:asciiTheme="majorBidi" w:hAnsiTheme="majorBidi" w:cstheme="majorBidi"/>
          <w:vertAlign w:val="subscript"/>
        </w:rPr>
        <w:t>001</w:t>
      </w:r>
      <w:r w:rsidRPr="006D631C">
        <w:rPr>
          <w:rFonts w:asciiTheme="majorBidi" w:hAnsiTheme="majorBidi" w:cstheme="majorBidi"/>
        </w:rPr>
        <w:t>, d</w:t>
      </w:r>
      <w:r w:rsidRPr="006D631C">
        <w:rPr>
          <w:rFonts w:asciiTheme="majorBidi" w:hAnsiTheme="majorBidi" w:cstheme="majorBidi"/>
          <w:vertAlign w:val="subscript"/>
        </w:rPr>
        <w:t>002</w:t>
      </w:r>
      <w:r w:rsidRPr="006D631C">
        <w:rPr>
          <w:rFonts w:asciiTheme="majorBidi" w:hAnsiTheme="majorBidi" w:cstheme="majorBidi"/>
        </w:rPr>
        <w:t>, d</w:t>
      </w:r>
      <w:r w:rsidRPr="006D631C">
        <w:rPr>
          <w:rFonts w:asciiTheme="majorBidi" w:hAnsiTheme="majorBidi" w:cstheme="majorBidi"/>
          <w:vertAlign w:val="subscript"/>
        </w:rPr>
        <w:t>003</w:t>
      </w:r>
      <w:r w:rsidRPr="006D631C">
        <w:rPr>
          <w:rFonts w:asciiTheme="majorBidi" w:hAnsiTheme="majorBidi" w:cstheme="majorBidi"/>
        </w:rPr>
        <w:t>, d</w:t>
      </w:r>
      <w:r w:rsidRPr="006D631C">
        <w:rPr>
          <w:rFonts w:asciiTheme="majorBidi" w:hAnsiTheme="majorBidi" w:cstheme="majorBidi"/>
          <w:vertAlign w:val="subscript"/>
        </w:rPr>
        <w:t>004</w:t>
      </w:r>
      <w:r w:rsidRPr="006D631C">
        <w:rPr>
          <w:rFonts w:asciiTheme="majorBidi" w:hAnsiTheme="majorBidi" w:cstheme="majorBidi"/>
        </w:rPr>
        <w:t>, d</w:t>
      </w:r>
      <w:r w:rsidRPr="006D631C">
        <w:rPr>
          <w:rFonts w:asciiTheme="majorBidi" w:hAnsiTheme="majorBidi" w:cstheme="majorBidi"/>
          <w:vertAlign w:val="subscript"/>
        </w:rPr>
        <w:t>005</w:t>
      </w:r>
      <w:r w:rsidRPr="006D631C">
        <w:rPr>
          <w:rFonts w:asciiTheme="majorBidi" w:hAnsiTheme="majorBidi" w:cstheme="majorBidi"/>
        </w:rPr>
        <w:t>, d</w:t>
      </w:r>
      <w:r w:rsidRPr="006D631C">
        <w:rPr>
          <w:rFonts w:asciiTheme="majorBidi" w:hAnsiTheme="majorBidi" w:cstheme="majorBidi"/>
          <w:vertAlign w:val="subscript"/>
        </w:rPr>
        <w:t>006</w:t>
      </w:r>
      <w:r w:rsidRPr="006D631C">
        <w:rPr>
          <w:rFonts w:asciiTheme="majorBidi" w:hAnsiTheme="majorBidi" w:cstheme="majorBidi"/>
        </w:rPr>
        <w:t>, … diffraction planes) in X-ray crystallographic studies. The position of the first Bragg peak in SAXS measurement (</w:t>
      </w:r>
      <w:r w:rsidRPr="006D631C">
        <w:rPr>
          <w:rFonts w:asciiTheme="majorBidi" w:hAnsiTheme="majorBidi" w:cstheme="majorBidi"/>
          <w:i/>
          <w:iCs/>
        </w:rPr>
        <w:t>q</w:t>
      </w:r>
      <w:r w:rsidRPr="006D631C">
        <w:rPr>
          <w:rFonts w:asciiTheme="majorBidi" w:hAnsiTheme="majorBidi" w:cstheme="majorBidi"/>
          <w:vertAlign w:val="subscript"/>
        </w:rPr>
        <w:t>1</w:t>
      </w:r>
      <w:r w:rsidR="000C3FEF" w:rsidRPr="006D631C">
        <w:rPr>
          <w:rFonts w:asciiTheme="majorBidi" w:hAnsiTheme="majorBidi" w:cstheme="majorBidi"/>
        </w:rPr>
        <w:t xml:space="preserve"> or </w:t>
      </w:r>
      <w:r w:rsidR="000C3FEF" w:rsidRPr="006D631C">
        <w:rPr>
          <w:rFonts w:asciiTheme="majorBidi" w:hAnsiTheme="majorBidi" w:cstheme="majorBidi"/>
          <w:i/>
          <w:iCs/>
        </w:rPr>
        <w:t>q*</w:t>
      </w:r>
      <w:r w:rsidRPr="006D631C">
        <w:rPr>
          <w:rFonts w:asciiTheme="majorBidi" w:hAnsiTheme="majorBidi" w:cstheme="majorBidi"/>
        </w:rPr>
        <w:t xml:space="preserve">) is used to calculate </w:t>
      </w:r>
      <w:r w:rsidRPr="006D631C">
        <w:rPr>
          <w:rFonts w:asciiTheme="majorBidi" w:hAnsiTheme="majorBidi" w:cstheme="majorBidi"/>
          <w:i/>
          <w:iCs/>
        </w:rPr>
        <w:t>d</w:t>
      </w:r>
      <w:r w:rsidRPr="006D631C">
        <w:rPr>
          <w:rFonts w:asciiTheme="majorBidi" w:hAnsiTheme="majorBidi" w:cstheme="majorBidi"/>
        </w:rPr>
        <w:t xml:space="preserve">, </w:t>
      </w:r>
      <w:r w:rsidRPr="006D631C">
        <w:rPr>
          <w:rFonts w:asciiTheme="majorBidi" w:hAnsiTheme="majorBidi" w:cstheme="majorBidi"/>
          <w:i/>
          <w:iCs/>
        </w:rPr>
        <w:t>δ</w:t>
      </w:r>
      <w:r w:rsidRPr="006D631C">
        <w:rPr>
          <w:rFonts w:asciiTheme="majorBidi" w:hAnsiTheme="majorBidi" w:cstheme="majorBidi"/>
          <w:i/>
          <w:iCs/>
          <w:vertAlign w:val="subscript"/>
        </w:rPr>
        <w:t xml:space="preserve">1 </w:t>
      </w:r>
      <w:r w:rsidRPr="006D631C">
        <w:rPr>
          <w:rFonts w:asciiTheme="majorBidi" w:hAnsiTheme="majorBidi" w:cstheme="majorBidi"/>
        </w:rPr>
        <w:t>and</w:t>
      </w:r>
      <w:r w:rsidRPr="006D631C">
        <w:rPr>
          <w:rFonts w:asciiTheme="majorBidi" w:hAnsiTheme="majorBidi" w:cstheme="majorBidi"/>
          <w:i/>
          <w:iCs/>
          <w:vertAlign w:val="subscript"/>
        </w:rPr>
        <w:t xml:space="preserve"> </w:t>
      </w:r>
      <w:r w:rsidRPr="006D631C">
        <w:rPr>
          <w:rFonts w:asciiTheme="majorBidi" w:hAnsiTheme="majorBidi" w:cstheme="majorBidi"/>
          <w:i/>
          <w:iCs/>
        </w:rPr>
        <w:t>δ</w:t>
      </w:r>
      <w:r w:rsidRPr="006D631C">
        <w:rPr>
          <w:rFonts w:asciiTheme="majorBidi" w:hAnsiTheme="majorBidi" w:cstheme="majorBidi"/>
          <w:i/>
          <w:iCs/>
          <w:vertAlign w:val="subscript"/>
        </w:rPr>
        <w:t>2</w:t>
      </w:r>
      <w:r w:rsidRPr="006D631C">
        <w:rPr>
          <w:rFonts w:asciiTheme="majorBidi" w:hAnsiTheme="majorBidi" w:cstheme="majorBidi"/>
        </w:rPr>
        <w:t xml:space="preserve"> via the following equations, respectively. In these equations, </w:t>
      </w:r>
      <w:r w:rsidRPr="006D631C">
        <w:rPr>
          <w:rFonts w:asciiTheme="majorBidi" w:hAnsiTheme="majorBidi" w:cstheme="majorBidi"/>
          <w:i/>
          <w:iCs/>
        </w:rPr>
        <w:t>ϕ</w:t>
      </w:r>
      <w:r w:rsidRPr="006D631C">
        <w:rPr>
          <w:rFonts w:asciiTheme="majorBidi" w:hAnsiTheme="majorBidi" w:cstheme="majorBidi"/>
          <w:i/>
          <w:iCs/>
          <w:vertAlign w:val="subscript"/>
        </w:rPr>
        <w:t>1</w:t>
      </w:r>
      <w:r w:rsidRPr="006D631C">
        <w:rPr>
          <w:rFonts w:asciiTheme="majorBidi" w:hAnsiTheme="majorBidi" w:cstheme="majorBidi"/>
          <w:i/>
          <w:iCs/>
        </w:rPr>
        <w:t xml:space="preserve"> </w:t>
      </w:r>
      <w:r w:rsidRPr="006D631C">
        <w:rPr>
          <w:rFonts w:asciiTheme="majorBidi" w:hAnsiTheme="majorBidi" w:cstheme="majorBidi"/>
        </w:rPr>
        <w:t xml:space="preserve">and </w:t>
      </w:r>
      <w:r w:rsidRPr="006D631C">
        <w:rPr>
          <w:rFonts w:asciiTheme="majorBidi" w:hAnsiTheme="majorBidi" w:cstheme="majorBidi"/>
          <w:i/>
          <w:iCs/>
        </w:rPr>
        <w:t>ϕ</w:t>
      </w:r>
      <w:r w:rsidRPr="006D631C">
        <w:rPr>
          <w:rFonts w:asciiTheme="majorBidi" w:hAnsiTheme="majorBidi" w:cstheme="majorBidi"/>
          <w:i/>
          <w:iCs/>
          <w:vertAlign w:val="subscript"/>
        </w:rPr>
        <w:t>2</w:t>
      </w:r>
      <w:r w:rsidRPr="006D631C">
        <w:rPr>
          <w:rFonts w:asciiTheme="majorBidi" w:hAnsiTheme="majorBidi" w:cstheme="majorBidi"/>
          <w:i/>
          <w:iCs/>
        </w:rPr>
        <w:t xml:space="preserve"> </w:t>
      </w:r>
      <w:r w:rsidRPr="006D631C">
        <w:rPr>
          <w:rFonts w:asciiTheme="majorBidi" w:hAnsiTheme="majorBidi" w:cstheme="majorBidi"/>
        </w:rPr>
        <w:t xml:space="preserve">are the volume fraction of the apolar and polar domains, respectively. In other words, </w:t>
      </w:r>
      <w:r w:rsidRPr="006D631C">
        <w:rPr>
          <w:rFonts w:asciiTheme="majorBidi" w:hAnsiTheme="majorBidi" w:cstheme="majorBidi"/>
          <w:i/>
          <w:iCs/>
        </w:rPr>
        <w:t>ϕ</w:t>
      </w:r>
      <w:r w:rsidRPr="006D631C">
        <w:rPr>
          <w:rFonts w:asciiTheme="majorBidi" w:hAnsiTheme="majorBidi" w:cstheme="majorBidi"/>
          <w:i/>
          <w:iCs/>
          <w:vertAlign w:val="subscript"/>
        </w:rPr>
        <w:t>1</w:t>
      </w:r>
      <w:r w:rsidRPr="006D631C">
        <w:rPr>
          <w:rFonts w:asciiTheme="majorBidi" w:hAnsiTheme="majorBidi" w:cstheme="majorBidi"/>
        </w:rPr>
        <w:t xml:space="preserve"> is the volume fraction of oil phase plus surfactant hydrophobic moiety, whereas </w:t>
      </w:r>
      <w:r w:rsidRPr="006D631C">
        <w:rPr>
          <w:rFonts w:asciiTheme="majorBidi" w:hAnsiTheme="majorBidi" w:cstheme="majorBidi"/>
          <w:i/>
          <w:iCs/>
        </w:rPr>
        <w:t>ϕ</w:t>
      </w:r>
      <w:r w:rsidRPr="006D631C">
        <w:rPr>
          <w:rFonts w:asciiTheme="majorBidi" w:hAnsiTheme="majorBidi" w:cstheme="majorBidi"/>
          <w:i/>
          <w:iCs/>
          <w:vertAlign w:val="subscript"/>
        </w:rPr>
        <w:t>2</w:t>
      </w:r>
      <w:r w:rsidRPr="006D631C">
        <w:rPr>
          <w:rFonts w:asciiTheme="majorBidi" w:hAnsiTheme="majorBidi" w:cstheme="majorBidi"/>
        </w:rPr>
        <w:t xml:space="preserve"> is the volume fraction of aqueous phase plus the surfactant hydrophilic segment.</w:t>
      </w:r>
    </w:p>
    <w:p w14:paraId="78E6195D" w14:textId="244EA4A9" w:rsidR="00A70373" w:rsidRPr="006D631C" w:rsidRDefault="00CA4FD1" w:rsidP="00A70373">
      <w:pPr>
        <w:pStyle w:val="Caption"/>
        <w:rPr>
          <w:rFonts w:asciiTheme="majorBidi" w:hAnsiTheme="majorBidi" w:cstheme="majorBidi"/>
        </w:rPr>
      </w:pPr>
      <w:r w:rsidRPr="006D631C">
        <w:rPr>
          <w:position w:val="-28"/>
        </w:rPr>
        <w:object w:dxaOrig="780" w:dyaOrig="660" w14:anchorId="7A091C98">
          <v:shape id="_x0000_i1036" type="#_x0000_t75" style="width:42pt;height:34.8pt" o:ole="">
            <v:imagedata r:id="rId41" o:title=""/>
          </v:shape>
          <o:OLEObject Type="Embed" ProgID="Equation.DSMT4" ShapeID="_x0000_i1036" DrawAspect="Content" ObjectID="_1760013304" r:id="rId42"/>
        </w:object>
      </w:r>
      <w:r w:rsidR="00A70373" w:rsidRPr="006D631C">
        <w:rPr>
          <w:rFonts w:asciiTheme="majorBidi" w:hAnsiTheme="majorBidi" w:cstheme="majorBidi"/>
        </w:rPr>
        <w:tab/>
      </w:r>
      <w:r w:rsidR="00A70373" w:rsidRPr="006D631C">
        <w:rPr>
          <w:rFonts w:asciiTheme="majorBidi" w:hAnsiTheme="majorBidi" w:cstheme="majorBidi"/>
        </w:rPr>
        <w:tab/>
      </w:r>
      <w:r w:rsidR="00A70373" w:rsidRPr="006D631C">
        <w:rPr>
          <w:rFonts w:asciiTheme="majorBidi" w:hAnsiTheme="majorBidi" w:cstheme="majorBidi"/>
        </w:rPr>
        <w:tab/>
      </w:r>
      <w:r w:rsidR="00A70373" w:rsidRPr="006D631C">
        <w:rPr>
          <w:rFonts w:asciiTheme="majorBidi" w:hAnsiTheme="majorBidi" w:cstheme="majorBidi"/>
        </w:rPr>
        <w:tab/>
      </w:r>
      <w:r w:rsidR="00A70373" w:rsidRPr="006D631C">
        <w:rPr>
          <w:rFonts w:asciiTheme="majorBidi" w:hAnsiTheme="majorBidi" w:cstheme="majorBidi"/>
        </w:rPr>
        <w:tab/>
      </w:r>
      <w:r w:rsidR="00A70373" w:rsidRPr="006D631C">
        <w:rPr>
          <w:rFonts w:asciiTheme="majorBidi" w:hAnsiTheme="majorBidi" w:cstheme="majorBidi"/>
        </w:rPr>
        <w:tab/>
      </w:r>
      <w:r w:rsidR="00A70373" w:rsidRPr="006D631C">
        <w:rPr>
          <w:rFonts w:asciiTheme="majorBidi" w:hAnsiTheme="majorBidi" w:cstheme="majorBidi"/>
        </w:rPr>
        <w:tab/>
      </w:r>
      <w:r w:rsidR="00A70373" w:rsidRPr="006D631C">
        <w:rPr>
          <w:rFonts w:asciiTheme="majorBidi" w:hAnsiTheme="majorBidi" w:cstheme="majorBidi"/>
        </w:rPr>
        <w:tab/>
      </w:r>
      <w:r w:rsidR="00A70373" w:rsidRPr="006D631C">
        <w:rPr>
          <w:rFonts w:asciiTheme="majorBidi" w:hAnsiTheme="majorBidi" w:cstheme="majorBidi"/>
        </w:rPr>
        <w:tab/>
      </w:r>
      <w:r w:rsidR="00A70373" w:rsidRPr="006D631C">
        <w:rPr>
          <w:rFonts w:asciiTheme="majorBidi" w:hAnsiTheme="majorBidi" w:cstheme="majorBidi"/>
        </w:rPr>
        <w:tab/>
      </w:r>
      <w:r w:rsidR="00A70373"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9</w:t>
      </w:r>
      <w:r w:rsidR="006A54D9" w:rsidRPr="006D631C">
        <w:rPr>
          <w:rFonts w:asciiTheme="majorBidi" w:hAnsiTheme="majorBidi" w:cstheme="majorBidi"/>
        </w:rPr>
        <w:fldChar w:fldCharType="end"/>
      </w:r>
      <w:r w:rsidR="00A70373" w:rsidRPr="006D631C">
        <w:rPr>
          <w:rFonts w:asciiTheme="majorBidi" w:hAnsiTheme="majorBidi" w:cstheme="majorBidi"/>
        </w:rPr>
        <w:t>)</w:t>
      </w:r>
    </w:p>
    <w:p w14:paraId="13CA1872" w14:textId="52A416A2" w:rsidR="001376FF" w:rsidRPr="006D631C" w:rsidRDefault="001376FF" w:rsidP="001376FF">
      <w:pPr>
        <w:pStyle w:val="Caption"/>
        <w:rPr>
          <w:rFonts w:asciiTheme="majorBidi" w:hAnsiTheme="majorBidi" w:cstheme="majorBidi"/>
          <w:szCs w:val="24"/>
        </w:rPr>
      </w:pPr>
      <w:r w:rsidRPr="006D631C">
        <w:rPr>
          <w:rFonts w:asciiTheme="majorBidi" w:hAnsiTheme="majorBidi" w:cstheme="majorBidi"/>
          <w:position w:val="-12"/>
          <w:szCs w:val="24"/>
        </w:rPr>
        <w:object w:dxaOrig="800" w:dyaOrig="360" w14:anchorId="0DEF2C45">
          <v:shape id="_x0000_i1037" type="#_x0000_t75" style="width:42pt;height:18pt" o:ole="">
            <v:imagedata r:id="rId43" o:title=""/>
          </v:shape>
          <o:OLEObject Type="Embed" ProgID="Equation.DSMT4" ShapeID="_x0000_i1037" DrawAspect="Content" ObjectID="_1760013305" r:id="rId44"/>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10</w:t>
      </w:r>
      <w:r w:rsidR="006A54D9" w:rsidRPr="006D631C">
        <w:rPr>
          <w:rFonts w:asciiTheme="majorBidi" w:hAnsiTheme="majorBidi" w:cstheme="majorBidi"/>
        </w:rPr>
        <w:fldChar w:fldCharType="end"/>
      </w:r>
      <w:r w:rsidRPr="006D631C">
        <w:rPr>
          <w:rFonts w:asciiTheme="majorBidi" w:hAnsiTheme="majorBidi" w:cstheme="majorBidi"/>
        </w:rPr>
        <w:t>)</w:t>
      </w:r>
      <w:r w:rsidRPr="006D631C">
        <w:rPr>
          <w:rFonts w:asciiTheme="majorBidi" w:hAnsiTheme="majorBidi" w:cstheme="majorBidi"/>
          <w:szCs w:val="24"/>
        </w:rPr>
        <w:t xml:space="preserve"> </w:t>
      </w:r>
    </w:p>
    <w:p w14:paraId="22824858" w14:textId="67C72A15" w:rsidR="001376FF" w:rsidRPr="006D631C" w:rsidRDefault="001376FF" w:rsidP="001376FF">
      <w:pPr>
        <w:pStyle w:val="Caption"/>
        <w:rPr>
          <w:rFonts w:asciiTheme="majorBidi" w:hAnsiTheme="majorBidi" w:cstheme="majorBidi"/>
        </w:rPr>
      </w:pPr>
      <w:r w:rsidRPr="006D631C">
        <w:rPr>
          <w:rFonts w:asciiTheme="majorBidi" w:hAnsiTheme="majorBidi" w:cstheme="majorBidi"/>
          <w:position w:val="-12"/>
          <w:szCs w:val="24"/>
        </w:rPr>
        <w:object w:dxaOrig="859" w:dyaOrig="360" w14:anchorId="153C7862">
          <v:shape id="_x0000_i1038" type="#_x0000_t75" style="width:42pt;height:18pt" o:ole="">
            <v:imagedata r:id="rId45" o:title=""/>
          </v:shape>
          <o:OLEObject Type="Embed" ProgID="Equation.DSMT4" ShapeID="_x0000_i1038" DrawAspect="Content" ObjectID="_1760013306" r:id="rId46"/>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11</w:t>
      </w:r>
      <w:r w:rsidR="006A54D9" w:rsidRPr="006D631C">
        <w:rPr>
          <w:rFonts w:asciiTheme="majorBidi" w:hAnsiTheme="majorBidi" w:cstheme="majorBidi"/>
        </w:rPr>
        <w:fldChar w:fldCharType="end"/>
      </w:r>
      <w:r w:rsidRPr="006D631C">
        <w:rPr>
          <w:rFonts w:asciiTheme="majorBidi" w:hAnsiTheme="majorBidi" w:cstheme="majorBidi"/>
        </w:rPr>
        <w:t>)</w:t>
      </w:r>
    </w:p>
    <w:p w14:paraId="06266941" w14:textId="3289CAEC" w:rsidR="001376FF" w:rsidRPr="006D631C" w:rsidRDefault="001376FF" w:rsidP="001376FF">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To calculate </w:t>
      </w:r>
      <w:r w:rsidRPr="006D631C">
        <w:rPr>
          <w:rFonts w:asciiTheme="majorBidi" w:hAnsiTheme="majorBidi" w:cstheme="majorBidi"/>
          <w:i/>
          <w:iCs/>
        </w:rPr>
        <w:t>D</w:t>
      </w:r>
      <w:r w:rsidRPr="006D631C">
        <w:rPr>
          <w:rFonts w:asciiTheme="majorBidi" w:hAnsiTheme="majorBidi" w:cstheme="majorBidi"/>
          <w:i/>
          <w:iCs/>
          <w:vertAlign w:val="subscript"/>
        </w:rPr>
        <w:t>1</w:t>
      </w:r>
      <w:r w:rsidRPr="006D631C">
        <w:rPr>
          <w:rFonts w:asciiTheme="majorBidi" w:hAnsiTheme="majorBidi" w:cstheme="majorBidi"/>
        </w:rPr>
        <w:t xml:space="preserve"> and </w:t>
      </w:r>
      <w:r w:rsidRPr="006D631C">
        <w:rPr>
          <w:rFonts w:asciiTheme="majorBidi" w:hAnsiTheme="majorBidi" w:cstheme="majorBidi"/>
          <w:i/>
          <w:iCs/>
        </w:rPr>
        <w:t>D</w:t>
      </w:r>
      <w:r w:rsidRPr="006D631C">
        <w:rPr>
          <w:rFonts w:asciiTheme="majorBidi" w:hAnsiTheme="majorBidi" w:cstheme="majorBidi"/>
          <w:i/>
          <w:iCs/>
          <w:vertAlign w:val="subscript"/>
        </w:rPr>
        <w:t>2</w:t>
      </w:r>
      <w:r w:rsidRPr="006D631C">
        <w:rPr>
          <w:rFonts w:asciiTheme="majorBidi" w:hAnsiTheme="majorBidi" w:cstheme="majorBidi"/>
        </w:rPr>
        <w:t xml:space="preserve">, Eq. (1-12) and (1-13) can be used. The average intermicellar distance in lamellar structure </w:t>
      </w:r>
      <w:r w:rsidRPr="006D631C">
        <w:rPr>
          <w:rFonts w:asciiTheme="majorBidi" w:hAnsiTheme="majorBidi" w:cstheme="majorBidi"/>
          <w:i/>
          <w:iCs/>
        </w:rPr>
        <w:t>D</w:t>
      </w:r>
      <w:r w:rsidRPr="006D631C">
        <w:rPr>
          <w:rFonts w:asciiTheme="majorBidi" w:hAnsiTheme="majorBidi" w:cstheme="majorBidi"/>
          <w:i/>
          <w:iCs/>
          <w:vertAlign w:val="subscript"/>
        </w:rPr>
        <w:t>L</w:t>
      </w:r>
      <w:r w:rsidRPr="006D631C">
        <w:rPr>
          <w:rFonts w:asciiTheme="majorBidi" w:hAnsiTheme="majorBidi" w:cstheme="majorBidi"/>
        </w:rPr>
        <w:t xml:space="preserve"> is obtained via Eq. (</w:t>
      </w:r>
      <w:r w:rsidR="00862A9E" w:rsidRPr="006D631C">
        <w:rPr>
          <w:rFonts w:asciiTheme="majorBidi" w:hAnsiTheme="majorBidi" w:cstheme="majorBidi"/>
        </w:rPr>
        <w:t>1-</w:t>
      </w:r>
      <w:r w:rsidRPr="006D631C">
        <w:rPr>
          <w:rFonts w:asciiTheme="majorBidi" w:hAnsiTheme="majorBidi" w:cstheme="majorBidi"/>
        </w:rPr>
        <w:t xml:space="preserve">14). In these equations, </w:t>
      </w:r>
      <w:r w:rsidRPr="006D631C">
        <w:rPr>
          <w:rFonts w:asciiTheme="majorBidi" w:hAnsiTheme="majorBidi" w:cstheme="majorBidi"/>
          <w:i/>
          <w:iCs/>
        </w:rPr>
        <w:t>ϕ</w:t>
      </w:r>
      <w:r w:rsidRPr="006D631C">
        <w:rPr>
          <w:rFonts w:asciiTheme="majorBidi" w:hAnsiTheme="majorBidi" w:cstheme="majorBidi"/>
          <w:i/>
          <w:iCs/>
          <w:vertAlign w:val="superscript"/>
        </w:rPr>
        <w:t xml:space="preserve">' </w:t>
      </w:r>
      <w:r w:rsidRPr="006D631C">
        <w:rPr>
          <w:rFonts w:asciiTheme="majorBidi" w:hAnsiTheme="majorBidi" w:cstheme="majorBidi"/>
        </w:rPr>
        <w:t xml:space="preserve">and </w:t>
      </w:r>
      <w:r w:rsidRPr="006D631C">
        <w:rPr>
          <w:rFonts w:asciiTheme="majorBidi" w:hAnsiTheme="majorBidi" w:cstheme="majorBidi"/>
          <w:i/>
          <w:iCs/>
        </w:rPr>
        <w:t>ϕ</w:t>
      </w:r>
      <w:r w:rsidRPr="006D631C">
        <w:rPr>
          <w:rFonts w:asciiTheme="majorBidi" w:hAnsiTheme="majorBidi" w:cstheme="majorBidi"/>
          <w:i/>
          <w:iCs/>
          <w:vertAlign w:val="superscript"/>
        </w:rPr>
        <w:t xml:space="preserve">" </w:t>
      </w:r>
      <w:r w:rsidRPr="006D631C">
        <w:rPr>
          <w:rFonts w:asciiTheme="majorBidi" w:hAnsiTheme="majorBidi" w:cstheme="majorBidi"/>
        </w:rPr>
        <w:t>are the volume fraction of the phases confined in the apolar and polar domains, respectively</w:t>
      </w:r>
    </w:p>
    <w:p w14:paraId="37A3DB06" w14:textId="7D24B010" w:rsidR="001376FF" w:rsidRPr="006D631C" w:rsidRDefault="00862A9E" w:rsidP="001376FF">
      <w:pPr>
        <w:pStyle w:val="Caption"/>
        <w:rPr>
          <w:rFonts w:asciiTheme="majorBidi" w:hAnsiTheme="majorBidi" w:cstheme="majorBidi"/>
        </w:rPr>
      </w:pPr>
      <w:r w:rsidRPr="006D631C">
        <w:rPr>
          <w:rFonts w:asciiTheme="majorBidi" w:hAnsiTheme="majorBidi" w:cstheme="majorBidi"/>
          <w:position w:val="-12"/>
          <w:szCs w:val="24"/>
        </w:rPr>
        <w:object w:dxaOrig="880" w:dyaOrig="380" w14:anchorId="3A7CED73">
          <v:shape id="_x0000_i1039" type="#_x0000_t75" style="width:42pt;height:18pt" o:ole="">
            <v:imagedata r:id="rId47" o:title=""/>
          </v:shape>
          <o:OLEObject Type="Embed" ProgID="Equation.DSMT4" ShapeID="_x0000_i1039" DrawAspect="Content" ObjectID="_1760013307" r:id="rId48"/>
        </w:object>
      </w:r>
      <w:r w:rsidR="001376FF" w:rsidRPr="006D631C">
        <w:rPr>
          <w:rFonts w:asciiTheme="majorBidi" w:hAnsiTheme="majorBidi" w:cstheme="majorBidi"/>
        </w:rPr>
        <w:tab/>
      </w:r>
      <w:r w:rsidR="001376FF" w:rsidRPr="006D631C">
        <w:rPr>
          <w:rFonts w:asciiTheme="majorBidi" w:hAnsiTheme="majorBidi" w:cstheme="majorBidi"/>
        </w:rPr>
        <w:tab/>
      </w:r>
      <w:r w:rsidR="001376FF" w:rsidRPr="006D631C">
        <w:rPr>
          <w:rFonts w:asciiTheme="majorBidi" w:hAnsiTheme="majorBidi" w:cstheme="majorBidi"/>
        </w:rPr>
        <w:tab/>
      </w:r>
      <w:r w:rsidR="001376FF" w:rsidRPr="006D631C">
        <w:rPr>
          <w:rFonts w:asciiTheme="majorBidi" w:hAnsiTheme="majorBidi" w:cstheme="majorBidi"/>
        </w:rPr>
        <w:tab/>
      </w:r>
      <w:r w:rsidR="001376FF" w:rsidRPr="006D631C">
        <w:rPr>
          <w:rFonts w:asciiTheme="majorBidi" w:hAnsiTheme="majorBidi" w:cstheme="majorBidi"/>
        </w:rPr>
        <w:tab/>
      </w:r>
      <w:r w:rsidR="001376FF" w:rsidRPr="006D631C">
        <w:rPr>
          <w:rFonts w:asciiTheme="majorBidi" w:hAnsiTheme="majorBidi" w:cstheme="majorBidi"/>
        </w:rPr>
        <w:tab/>
      </w:r>
      <w:r w:rsidR="001376FF" w:rsidRPr="006D631C">
        <w:rPr>
          <w:rFonts w:asciiTheme="majorBidi" w:hAnsiTheme="majorBidi" w:cstheme="majorBidi"/>
        </w:rPr>
        <w:tab/>
      </w:r>
      <w:r w:rsidR="001376FF" w:rsidRPr="006D631C">
        <w:rPr>
          <w:rFonts w:asciiTheme="majorBidi" w:hAnsiTheme="majorBidi" w:cstheme="majorBidi"/>
        </w:rPr>
        <w:tab/>
      </w:r>
      <w:r w:rsidR="001376FF" w:rsidRPr="006D631C">
        <w:rPr>
          <w:rFonts w:asciiTheme="majorBidi" w:hAnsiTheme="majorBidi" w:cstheme="majorBidi"/>
        </w:rPr>
        <w:tab/>
      </w:r>
      <w:r w:rsidR="001376FF" w:rsidRPr="006D631C">
        <w:rPr>
          <w:rFonts w:asciiTheme="majorBidi" w:hAnsiTheme="majorBidi" w:cstheme="majorBidi"/>
        </w:rPr>
        <w:tab/>
      </w:r>
      <w:r w:rsidR="001376FF"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12</w:t>
      </w:r>
      <w:r w:rsidR="006A54D9" w:rsidRPr="006D631C">
        <w:rPr>
          <w:rFonts w:asciiTheme="majorBidi" w:hAnsiTheme="majorBidi" w:cstheme="majorBidi"/>
        </w:rPr>
        <w:fldChar w:fldCharType="end"/>
      </w:r>
      <w:r w:rsidR="001376FF" w:rsidRPr="006D631C">
        <w:rPr>
          <w:rFonts w:asciiTheme="majorBidi" w:hAnsiTheme="majorBidi" w:cstheme="majorBidi"/>
        </w:rPr>
        <w:t>)</w:t>
      </w:r>
    </w:p>
    <w:p w14:paraId="294DB651" w14:textId="7A89D2A3" w:rsidR="00862A9E" w:rsidRPr="006D631C" w:rsidRDefault="00862A9E" w:rsidP="00862A9E">
      <w:pPr>
        <w:pStyle w:val="Caption"/>
        <w:rPr>
          <w:rFonts w:asciiTheme="majorBidi" w:hAnsiTheme="majorBidi" w:cstheme="majorBidi"/>
        </w:rPr>
      </w:pPr>
      <w:r w:rsidRPr="006D631C">
        <w:rPr>
          <w:rFonts w:asciiTheme="majorBidi" w:hAnsiTheme="majorBidi" w:cstheme="majorBidi"/>
          <w:position w:val="-12"/>
          <w:szCs w:val="24"/>
        </w:rPr>
        <w:object w:dxaOrig="880" w:dyaOrig="380" w14:anchorId="03ED3DCA">
          <v:shape id="_x0000_i1040" type="#_x0000_t75" style="width:42pt;height:18pt" o:ole="">
            <v:imagedata r:id="rId49" o:title=""/>
          </v:shape>
          <o:OLEObject Type="Embed" ProgID="Equation.DSMT4" ShapeID="_x0000_i1040" DrawAspect="Content" ObjectID="_1760013308" r:id="rId50"/>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13</w:t>
      </w:r>
      <w:r w:rsidR="006A54D9" w:rsidRPr="006D631C">
        <w:rPr>
          <w:rFonts w:asciiTheme="majorBidi" w:hAnsiTheme="majorBidi" w:cstheme="majorBidi"/>
        </w:rPr>
        <w:fldChar w:fldCharType="end"/>
      </w:r>
      <w:r w:rsidRPr="006D631C">
        <w:rPr>
          <w:rFonts w:asciiTheme="majorBidi" w:hAnsiTheme="majorBidi" w:cstheme="majorBidi"/>
        </w:rPr>
        <w:t>)</w:t>
      </w:r>
    </w:p>
    <w:p w14:paraId="7B929EE9" w14:textId="664FDD84" w:rsidR="00862A9E" w:rsidRPr="006D631C" w:rsidRDefault="00862A9E" w:rsidP="00862A9E">
      <w:pPr>
        <w:pStyle w:val="Caption"/>
        <w:rPr>
          <w:rFonts w:asciiTheme="majorBidi" w:hAnsiTheme="majorBidi" w:cstheme="majorBidi"/>
        </w:rPr>
      </w:pPr>
      <w:r w:rsidRPr="006D631C">
        <w:rPr>
          <w:rFonts w:asciiTheme="majorBidi" w:hAnsiTheme="majorBidi" w:cstheme="majorBidi"/>
          <w:position w:val="-30"/>
          <w:szCs w:val="24"/>
        </w:rPr>
        <w:object w:dxaOrig="1480" w:dyaOrig="680" w14:anchorId="11C1096E">
          <v:shape id="_x0000_i1041" type="#_x0000_t75" style="width:78pt;height:36pt" o:ole="">
            <v:imagedata r:id="rId51" o:title=""/>
          </v:shape>
          <o:OLEObject Type="Embed" ProgID="Equation.DSMT4" ShapeID="_x0000_i1041" DrawAspect="Content" ObjectID="_1760013309" r:id="rId52"/>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14</w:t>
      </w:r>
      <w:r w:rsidR="006A54D9" w:rsidRPr="006D631C">
        <w:rPr>
          <w:rFonts w:asciiTheme="majorBidi" w:hAnsiTheme="majorBidi" w:cstheme="majorBidi"/>
        </w:rPr>
        <w:fldChar w:fldCharType="end"/>
      </w:r>
      <w:r w:rsidRPr="006D631C">
        <w:rPr>
          <w:rFonts w:asciiTheme="majorBidi" w:hAnsiTheme="majorBidi" w:cstheme="majorBidi"/>
        </w:rPr>
        <w:t>)</w:t>
      </w:r>
    </w:p>
    <w:p w14:paraId="42D27D9A" w14:textId="402607BA" w:rsidR="00413B1A" w:rsidRPr="006D631C" w:rsidRDefault="00413B1A" w:rsidP="00413B1A">
      <w:pPr>
        <w:tabs>
          <w:tab w:val="left" w:pos="90"/>
          <w:tab w:val="left" w:pos="360"/>
          <w:tab w:val="left" w:pos="992"/>
        </w:tabs>
        <w:rPr>
          <w:rFonts w:asciiTheme="majorBidi" w:hAnsiTheme="majorBidi" w:cstheme="majorBidi"/>
        </w:rPr>
      </w:pPr>
      <w:r w:rsidRPr="006D631C">
        <w:rPr>
          <w:rFonts w:asciiTheme="majorBidi" w:hAnsiTheme="majorBidi" w:cstheme="majorBidi"/>
          <w:i/>
          <w:iCs/>
        </w:rPr>
        <w:t>R</w:t>
      </w:r>
      <w:r w:rsidRPr="006D631C">
        <w:rPr>
          <w:rFonts w:asciiTheme="majorBidi" w:hAnsiTheme="majorBidi" w:cstheme="majorBidi"/>
          <w:i/>
          <w:iCs/>
          <w:vertAlign w:val="subscript"/>
        </w:rPr>
        <w:t>1</w:t>
      </w:r>
      <w:proofErr w:type="gramStart"/>
      <w:r w:rsidRPr="006D631C">
        <w:rPr>
          <w:rFonts w:asciiTheme="majorBidi" w:hAnsiTheme="majorBidi" w:cstheme="majorBidi"/>
          <w:i/>
          <w:iCs/>
          <w:vertAlign w:val="subscript"/>
        </w:rPr>
        <w:t>,max</w:t>
      </w:r>
      <w:proofErr w:type="gramEnd"/>
      <w:r w:rsidRPr="006D631C">
        <w:rPr>
          <w:rFonts w:asciiTheme="majorBidi" w:hAnsiTheme="majorBidi" w:cstheme="majorBidi"/>
        </w:rPr>
        <w:t xml:space="preserve"> and </w:t>
      </w:r>
      <w:r w:rsidRPr="006D631C">
        <w:rPr>
          <w:rFonts w:asciiTheme="majorBidi" w:hAnsiTheme="majorBidi" w:cstheme="majorBidi"/>
          <w:i/>
          <w:iCs/>
        </w:rPr>
        <w:t>R</w:t>
      </w:r>
      <w:r w:rsidRPr="006D631C">
        <w:rPr>
          <w:rFonts w:asciiTheme="majorBidi" w:hAnsiTheme="majorBidi" w:cstheme="majorBidi"/>
          <w:i/>
          <w:iCs/>
          <w:vertAlign w:val="subscript"/>
        </w:rPr>
        <w:t xml:space="preserve">2,max </w:t>
      </w:r>
      <w:r w:rsidRPr="006D631C">
        <w:rPr>
          <w:rFonts w:asciiTheme="majorBidi" w:hAnsiTheme="majorBidi" w:cstheme="majorBidi"/>
        </w:rPr>
        <w:t>are obtained using Eq. (1-15) and (1-16).</w:t>
      </w:r>
    </w:p>
    <w:p w14:paraId="68638F13" w14:textId="6AEF2319" w:rsidR="00413B1A" w:rsidRPr="006D631C" w:rsidRDefault="00413B1A" w:rsidP="00413B1A">
      <w:pPr>
        <w:pStyle w:val="Caption"/>
        <w:rPr>
          <w:rFonts w:asciiTheme="majorBidi" w:hAnsiTheme="majorBidi" w:cstheme="majorBidi"/>
        </w:rPr>
      </w:pPr>
      <w:r w:rsidRPr="006D631C">
        <w:rPr>
          <w:position w:val="-24"/>
        </w:rPr>
        <w:object w:dxaOrig="1100" w:dyaOrig="620" w14:anchorId="382860D6">
          <v:shape id="_x0000_i1042" type="#_x0000_t75" style="width:54pt;height:30pt" o:ole="">
            <v:imagedata r:id="rId53" o:title=""/>
          </v:shape>
          <o:OLEObject Type="Embed" ProgID="Equation.DSMT4" ShapeID="_x0000_i1042" DrawAspect="Content" ObjectID="_1760013310" r:id="rId54"/>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 xml:space="preserve">             </w:t>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15</w:t>
      </w:r>
      <w:r w:rsidR="006A54D9" w:rsidRPr="006D631C">
        <w:rPr>
          <w:rFonts w:asciiTheme="majorBidi" w:hAnsiTheme="majorBidi" w:cstheme="majorBidi"/>
        </w:rPr>
        <w:fldChar w:fldCharType="end"/>
      </w:r>
      <w:r w:rsidRPr="006D631C">
        <w:rPr>
          <w:rFonts w:asciiTheme="majorBidi" w:hAnsiTheme="majorBidi" w:cstheme="majorBidi"/>
        </w:rPr>
        <w:t>)</w:t>
      </w:r>
    </w:p>
    <w:p w14:paraId="35DA322C" w14:textId="015A60D3" w:rsidR="00413B1A" w:rsidRPr="006D631C" w:rsidRDefault="00413B1A" w:rsidP="00413B1A">
      <w:pPr>
        <w:pStyle w:val="Caption"/>
        <w:rPr>
          <w:rFonts w:asciiTheme="majorBidi" w:hAnsiTheme="majorBidi" w:cstheme="majorBidi"/>
        </w:rPr>
      </w:pPr>
      <w:r w:rsidRPr="006D631C">
        <w:rPr>
          <w:position w:val="-24"/>
        </w:rPr>
        <w:object w:dxaOrig="1160" w:dyaOrig="620" w14:anchorId="361CD1AE">
          <v:shape id="_x0000_i1043" type="#_x0000_t75" style="width:60pt;height:30pt" o:ole="">
            <v:imagedata r:id="rId55" o:title=""/>
          </v:shape>
          <o:OLEObject Type="Embed" ProgID="Equation.DSMT4" ShapeID="_x0000_i1043" DrawAspect="Content" ObjectID="_1760013311" r:id="rId56"/>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 xml:space="preserve">             </w:t>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16</w:t>
      </w:r>
      <w:r w:rsidR="006A54D9" w:rsidRPr="006D631C">
        <w:rPr>
          <w:rFonts w:asciiTheme="majorBidi" w:hAnsiTheme="majorBidi" w:cstheme="majorBidi"/>
        </w:rPr>
        <w:fldChar w:fldCharType="end"/>
      </w:r>
      <w:r w:rsidRPr="006D631C">
        <w:rPr>
          <w:rFonts w:asciiTheme="majorBidi" w:hAnsiTheme="majorBidi" w:cstheme="majorBidi"/>
        </w:rPr>
        <w:t>)</w:t>
      </w:r>
    </w:p>
    <w:p w14:paraId="0341350E" w14:textId="5DC4846F" w:rsidR="00A522EF" w:rsidRPr="006D631C" w:rsidRDefault="00A522EF" w:rsidP="00A522EF"/>
    <w:p w14:paraId="571970B0" w14:textId="77777777" w:rsidR="00A522EF" w:rsidRPr="006D631C" w:rsidRDefault="00A522EF" w:rsidP="00A522EF">
      <w:pPr>
        <w:pStyle w:val="TOC1"/>
      </w:pPr>
    </w:p>
    <w:p w14:paraId="4683D7E5" w14:textId="64A8DB31" w:rsidR="00133E9E" w:rsidRPr="006D631C" w:rsidRDefault="00133E9E" w:rsidP="00133E9E">
      <w:pPr>
        <w:jc w:val="center"/>
      </w:pPr>
      <w:r w:rsidRPr="006D631C">
        <w:rPr>
          <w:rFonts w:asciiTheme="majorBidi" w:hAnsiTheme="majorBidi" w:cstheme="majorBidi"/>
          <w:noProof/>
        </w:rPr>
        <w:lastRenderedPageBreak/>
        <w:drawing>
          <wp:inline distT="0" distB="0" distL="0" distR="0" wp14:anchorId="5E4664C9" wp14:editId="4D955852">
            <wp:extent cx="3657600" cy="1811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57600" cy="1811290"/>
                    </a:xfrm>
                    <a:prstGeom prst="rect">
                      <a:avLst/>
                    </a:prstGeom>
                    <a:noFill/>
                  </pic:spPr>
                </pic:pic>
              </a:graphicData>
            </a:graphic>
          </wp:inline>
        </w:drawing>
      </w:r>
    </w:p>
    <w:p w14:paraId="2F3D4ABC" w14:textId="562763C7" w:rsidR="008E37F9" w:rsidRPr="006D631C" w:rsidRDefault="008E37F9" w:rsidP="00A73599">
      <w:pPr>
        <w:tabs>
          <w:tab w:val="left" w:pos="90"/>
          <w:tab w:val="left" w:pos="360"/>
          <w:tab w:val="left" w:pos="992"/>
        </w:tabs>
        <w:spacing w:line="360" w:lineRule="auto"/>
        <w:jc w:val="center"/>
        <w:rPr>
          <w:rFonts w:asciiTheme="majorBidi" w:hAnsiTheme="majorBidi" w:cstheme="majorBidi"/>
          <w:sz w:val="20"/>
          <w:szCs w:val="20"/>
        </w:rPr>
      </w:pPr>
      <w:bookmarkStart w:id="48" w:name="_Toc148175917"/>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8</w:t>
      </w:r>
      <w:r w:rsidR="00B55F32" w:rsidRPr="006D631C">
        <w:rPr>
          <w:sz w:val="22"/>
          <w:szCs w:val="22"/>
        </w:rPr>
        <w:fldChar w:fldCharType="end"/>
      </w:r>
      <w:r w:rsidRPr="006D631C">
        <w:rPr>
          <w:sz w:val="22"/>
          <w:szCs w:val="22"/>
        </w:rPr>
        <w:t>.</w:t>
      </w:r>
      <w:r w:rsidRPr="006D631C">
        <w:rPr>
          <w:rFonts w:eastAsia="Calibri"/>
          <w:sz w:val="18"/>
          <w:szCs w:val="18"/>
        </w:rPr>
        <w:t xml:space="preserve"> </w:t>
      </w:r>
      <w:r w:rsidR="00A73599" w:rsidRPr="006D631C">
        <w:rPr>
          <w:rFonts w:asciiTheme="majorBidi" w:hAnsiTheme="majorBidi" w:cstheme="majorBidi"/>
          <w:sz w:val="22"/>
          <w:szCs w:val="22"/>
        </w:rPr>
        <w:t>Typical schematic of L</w:t>
      </w:r>
      <w:r w:rsidR="00A73599" w:rsidRPr="006D631C">
        <w:rPr>
          <w:rFonts w:asciiTheme="majorBidi" w:hAnsiTheme="majorBidi" w:cstheme="majorBidi"/>
          <w:sz w:val="22"/>
          <w:szCs w:val="22"/>
          <w:vertAlign w:val="subscript"/>
        </w:rPr>
        <w:t>α</w:t>
      </w:r>
      <w:r w:rsidR="00A73599" w:rsidRPr="006D631C">
        <w:rPr>
          <w:rFonts w:asciiTheme="majorBidi" w:hAnsiTheme="majorBidi" w:cstheme="majorBidi"/>
          <w:sz w:val="22"/>
          <w:szCs w:val="22"/>
        </w:rPr>
        <w:t xml:space="preserve"> structure showing lattice parameter </w:t>
      </w:r>
      <w:r w:rsidR="00A73599" w:rsidRPr="006D631C">
        <w:rPr>
          <w:rFonts w:asciiTheme="majorBidi" w:hAnsiTheme="majorBidi" w:cstheme="majorBidi"/>
          <w:i/>
          <w:iCs/>
          <w:sz w:val="22"/>
          <w:szCs w:val="22"/>
        </w:rPr>
        <w:t>d</w:t>
      </w:r>
      <w:r w:rsidR="00A73599" w:rsidRPr="006D631C">
        <w:rPr>
          <w:rFonts w:asciiTheme="majorBidi" w:hAnsiTheme="majorBidi" w:cstheme="majorBidi"/>
          <w:sz w:val="22"/>
          <w:szCs w:val="22"/>
        </w:rPr>
        <w:t xml:space="preserve">, </w:t>
      </w:r>
      <w:r w:rsidR="00A73599" w:rsidRPr="006D631C">
        <w:rPr>
          <w:rFonts w:asciiTheme="majorBidi" w:hAnsiTheme="majorBidi" w:cstheme="majorBidi"/>
          <w:i/>
          <w:iCs/>
          <w:sz w:val="22"/>
          <w:szCs w:val="22"/>
        </w:rPr>
        <w:t>δ</w:t>
      </w:r>
      <w:r w:rsidR="00A73599" w:rsidRPr="006D631C">
        <w:rPr>
          <w:rFonts w:asciiTheme="majorBidi" w:hAnsiTheme="majorBidi" w:cstheme="majorBidi"/>
          <w:sz w:val="22"/>
          <w:szCs w:val="22"/>
          <w:vertAlign w:val="subscript"/>
        </w:rPr>
        <w:t>1</w:t>
      </w:r>
      <w:r w:rsidR="00A73599" w:rsidRPr="006D631C">
        <w:rPr>
          <w:rFonts w:asciiTheme="majorBidi" w:hAnsiTheme="majorBidi" w:cstheme="majorBidi"/>
          <w:sz w:val="22"/>
          <w:szCs w:val="22"/>
        </w:rPr>
        <w:t xml:space="preserve"> is the thickness of the apolar domain, </w:t>
      </w:r>
      <w:r w:rsidR="00A73599" w:rsidRPr="006D631C">
        <w:rPr>
          <w:rFonts w:asciiTheme="majorBidi" w:hAnsiTheme="majorBidi" w:cstheme="majorBidi"/>
          <w:i/>
          <w:iCs/>
          <w:sz w:val="22"/>
          <w:szCs w:val="22"/>
        </w:rPr>
        <w:t>δ</w:t>
      </w:r>
      <w:r w:rsidR="00A73599" w:rsidRPr="006D631C">
        <w:rPr>
          <w:rFonts w:asciiTheme="majorBidi" w:hAnsiTheme="majorBidi" w:cstheme="majorBidi"/>
          <w:i/>
          <w:iCs/>
          <w:sz w:val="22"/>
          <w:szCs w:val="22"/>
          <w:vertAlign w:val="subscript"/>
        </w:rPr>
        <w:t>2</w:t>
      </w:r>
      <w:r w:rsidR="00A73599" w:rsidRPr="006D631C">
        <w:rPr>
          <w:rFonts w:asciiTheme="majorBidi" w:hAnsiTheme="majorBidi" w:cstheme="majorBidi"/>
          <w:sz w:val="22"/>
          <w:szCs w:val="22"/>
        </w:rPr>
        <w:t xml:space="preserve"> is the thickness of the polar domain, </w:t>
      </w:r>
      <w:r w:rsidR="00A73599" w:rsidRPr="006D631C">
        <w:rPr>
          <w:rFonts w:asciiTheme="majorBidi" w:hAnsiTheme="majorBidi" w:cstheme="majorBidi"/>
          <w:i/>
          <w:iCs/>
          <w:sz w:val="22"/>
          <w:szCs w:val="22"/>
        </w:rPr>
        <w:t>D</w:t>
      </w:r>
      <w:r w:rsidR="00A73599" w:rsidRPr="006D631C">
        <w:rPr>
          <w:rFonts w:asciiTheme="majorBidi" w:hAnsiTheme="majorBidi" w:cstheme="majorBidi"/>
          <w:i/>
          <w:iCs/>
          <w:sz w:val="22"/>
          <w:szCs w:val="22"/>
          <w:vertAlign w:val="subscript"/>
        </w:rPr>
        <w:t>1</w:t>
      </w:r>
      <w:r w:rsidR="00A73599" w:rsidRPr="006D631C">
        <w:rPr>
          <w:rFonts w:asciiTheme="majorBidi" w:hAnsiTheme="majorBidi" w:cstheme="majorBidi"/>
          <w:sz w:val="22"/>
          <w:szCs w:val="22"/>
        </w:rPr>
        <w:t xml:space="preserve"> is the intermicellar distance in apolar phase, </w:t>
      </w:r>
      <w:r w:rsidR="00A73599" w:rsidRPr="006D631C">
        <w:rPr>
          <w:rFonts w:asciiTheme="majorBidi" w:hAnsiTheme="majorBidi" w:cstheme="majorBidi"/>
          <w:i/>
          <w:iCs/>
          <w:sz w:val="22"/>
          <w:szCs w:val="22"/>
        </w:rPr>
        <w:t>D</w:t>
      </w:r>
      <w:r w:rsidR="00A73599" w:rsidRPr="006D631C">
        <w:rPr>
          <w:rFonts w:asciiTheme="majorBidi" w:hAnsiTheme="majorBidi" w:cstheme="majorBidi"/>
          <w:i/>
          <w:iCs/>
          <w:sz w:val="22"/>
          <w:szCs w:val="22"/>
          <w:vertAlign w:val="subscript"/>
        </w:rPr>
        <w:t>2</w:t>
      </w:r>
      <w:r w:rsidR="00A73599" w:rsidRPr="006D631C">
        <w:rPr>
          <w:rFonts w:asciiTheme="majorBidi" w:hAnsiTheme="majorBidi" w:cstheme="majorBidi"/>
          <w:sz w:val="22"/>
          <w:szCs w:val="22"/>
        </w:rPr>
        <w:t xml:space="preserve"> is the intermicellar distance in polar domain, and </w:t>
      </w:r>
      <w:r w:rsidR="00A73599" w:rsidRPr="006D631C">
        <w:rPr>
          <w:rFonts w:asciiTheme="majorBidi" w:hAnsiTheme="majorBidi" w:cstheme="majorBidi"/>
          <w:i/>
          <w:iCs/>
          <w:sz w:val="22"/>
          <w:szCs w:val="22"/>
        </w:rPr>
        <w:t>R</w:t>
      </w:r>
      <w:r w:rsidR="00A73599" w:rsidRPr="006D631C">
        <w:rPr>
          <w:rFonts w:asciiTheme="majorBidi" w:hAnsiTheme="majorBidi" w:cstheme="majorBidi"/>
          <w:i/>
          <w:iCs/>
          <w:sz w:val="22"/>
          <w:szCs w:val="22"/>
          <w:vertAlign w:val="subscript"/>
        </w:rPr>
        <w:t>1</w:t>
      </w:r>
      <w:proofErr w:type="gramStart"/>
      <w:r w:rsidR="00A73599" w:rsidRPr="006D631C">
        <w:rPr>
          <w:rFonts w:asciiTheme="majorBidi" w:hAnsiTheme="majorBidi" w:cstheme="majorBidi"/>
          <w:i/>
          <w:iCs/>
          <w:sz w:val="22"/>
          <w:szCs w:val="22"/>
          <w:vertAlign w:val="subscript"/>
        </w:rPr>
        <w:t>,max</w:t>
      </w:r>
      <w:proofErr w:type="gramEnd"/>
      <w:r w:rsidR="00A73599" w:rsidRPr="006D631C">
        <w:rPr>
          <w:rFonts w:asciiTheme="majorBidi" w:hAnsiTheme="majorBidi" w:cstheme="majorBidi"/>
          <w:i/>
          <w:iCs/>
          <w:sz w:val="22"/>
          <w:szCs w:val="22"/>
          <w:vertAlign w:val="subscript"/>
        </w:rPr>
        <w:t xml:space="preserve"> </w:t>
      </w:r>
      <w:r w:rsidR="00A73599" w:rsidRPr="006D631C">
        <w:rPr>
          <w:rFonts w:asciiTheme="majorBidi" w:hAnsiTheme="majorBidi" w:cstheme="majorBidi"/>
          <w:sz w:val="22"/>
          <w:szCs w:val="22"/>
        </w:rPr>
        <w:t xml:space="preserve">and </w:t>
      </w:r>
      <w:r w:rsidR="00A73599" w:rsidRPr="006D631C">
        <w:rPr>
          <w:rFonts w:asciiTheme="majorBidi" w:hAnsiTheme="majorBidi" w:cstheme="majorBidi"/>
          <w:i/>
          <w:iCs/>
          <w:sz w:val="22"/>
          <w:szCs w:val="22"/>
        </w:rPr>
        <w:t>R</w:t>
      </w:r>
      <w:r w:rsidR="00A73599" w:rsidRPr="006D631C">
        <w:rPr>
          <w:rFonts w:asciiTheme="majorBidi" w:hAnsiTheme="majorBidi" w:cstheme="majorBidi"/>
          <w:i/>
          <w:iCs/>
          <w:sz w:val="22"/>
          <w:szCs w:val="22"/>
          <w:vertAlign w:val="subscript"/>
        </w:rPr>
        <w:t>2,max</w:t>
      </w:r>
      <w:r w:rsidR="00A73599" w:rsidRPr="006D631C">
        <w:rPr>
          <w:rFonts w:asciiTheme="majorBidi" w:hAnsiTheme="majorBidi" w:cstheme="majorBidi"/>
          <w:sz w:val="22"/>
          <w:szCs w:val="22"/>
          <w:vertAlign w:val="subscript"/>
        </w:rPr>
        <w:t xml:space="preserve"> </w:t>
      </w:r>
      <w:r w:rsidR="00A73599" w:rsidRPr="006D631C">
        <w:rPr>
          <w:rFonts w:asciiTheme="majorBidi" w:hAnsiTheme="majorBidi" w:cstheme="majorBidi"/>
          <w:sz w:val="22"/>
          <w:szCs w:val="22"/>
        </w:rPr>
        <w:t>are the radii of the biggest circles trapped between the micelles in apolar and polar domains, respectively.</w:t>
      </w:r>
      <w:bookmarkEnd w:id="48"/>
    </w:p>
    <w:p w14:paraId="184D0C0C" w14:textId="47B389E4" w:rsidR="00206B33" w:rsidRPr="006D631C" w:rsidRDefault="00206B33" w:rsidP="008424F1">
      <w:pPr>
        <w:pStyle w:val="Heading3"/>
      </w:pPr>
      <w:bookmarkStart w:id="49" w:name="_Toc131082863"/>
      <w:bookmarkStart w:id="50" w:name="_Toc148175781"/>
      <w:r w:rsidRPr="006D631C">
        <w:t xml:space="preserve">1.2.3 </w:t>
      </w:r>
      <w:proofErr w:type="spellStart"/>
      <w:r w:rsidRPr="006D631C">
        <w:t>Bicontinuous</w:t>
      </w:r>
      <w:proofErr w:type="spellEnd"/>
      <w:r w:rsidRPr="006D631C">
        <w:t xml:space="preserve"> cubic (Q</w:t>
      </w:r>
      <w:r w:rsidRPr="006D631C">
        <w:rPr>
          <w:vertAlign w:val="subscript"/>
        </w:rPr>
        <w:t>α</w:t>
      </w:r>
      <w:r w:rsidRPr="006D631C">
        <w:t>)</w:t>
      </w:r>
      <w:bookmarkEnd w:id="49"/>
      <w:bookmarkEnd w:id="50"/>
      <w:r w:rsidRPr="006D631C">
        <w:t xml:space="preserve"> </w:t>
      </w:r>
    </w:p>
    <w:p w14:paraId="3CEDCE21" w14:textId="23443C35" w:rsidR="00133E9E" w:rsidRPr="006D631C" w:rsidRDefault="009607EA" w:rsidP="0003006F">
      <w:pPr>
        <w:tabs>
          <w:tab w:val="left" w:pos="90"/>
          <w:tab w:val="left" w:pos="360"/>
          <w:tab w:val="left" w:pos="992"/>
        </w:tabs>
        <w:ind w:firstLine="357"/>
      </w:pPr>
      <w:proofErr w:type="spellStart"/>
      <w:r w:rsidRPr="006D631C">
        <w:rPr>
          <w:rFonts w:asciiTheme="majorBidi" w:hAnsiTheme="majorBidi" w:cstheme="majorBidi"/>
        </w:rPr>
        <w:t>Bicontinuous</w:t>
      </w:r>
      <w:proofErr w:type="spellEnd"/>
      <w:r w:rsidRPr="006D631C">
        <w:rPr>
          <w:rFonts w:eastAsia="Calibri"/>
        </w:rPr>
        <w:t xml:space="preserve"> cubic phases are some of the more interesting but uncommon LLC structures which have been studied for LLC templating. These structures, which are usually obtained by using precisely designed </w:t>
      </w:r>
      <w:proofErr w:type="spellStart"/>
      <w:r w:rsidRPr="006D631C">
        <w:rPr>
          <w:rFonts w:eastAsia="Calibri"/>
        </w:rPr>
        <w:t>amphiphiles</w:t>
      </w:r>
      <w:proofErr w:type="spellEnd"/>
      <w:r w:rsidRPr="006D631C">
        <w:rPr>
          <w:rFonts w:eastAsia="Calibri"/>
        </w:rPr>
        <w:t xml:space="preserve"> in typically very narrow </w:t>
      </w:r>
      <w:proofErr w:type="spellStart"/>
      <w:r w:rsidRPr="006D631C">
        <w:rPr>
          <w:rFonts w:eastAsia="Calibri"/>
        </w:rPr>
        <w:t>amphiphile</w:t>
      </w:r>
      <w:proofErr w:type="spellEnd"/>
      <w:r w:rsidRPr="006D631C">
        <w:rPr>
          <w:rFonts w:eastAsia="Calibri"/>
        </w:rPr>
        <w:t xml:space="preserve">/water weight ratio ranges, consist of continuous but non-intersecting </w:t>
      </w:r>
      <w:proofErr w:type="spellStart"/>
      <w:r w:rsidRPr="006D631C">
        <w:rPr>
          <w:rFonts w:eastAsia="Calibri"/>
        </w:rPr>
        <w:t>nanochannels</w:t>
      </w:r>
      <w:proofErr w:type="spellEnd"/>
      <w:r w:rsidRPr="006D631C">
        <w:rPr>
          <w:rFonts w:eastAsia="Calibri"/>
        </w:rPr>
        <w:t xml:space="preserve"> separated by a curved </w:t>
      </w:r>
      <w:proofErr w:type="spellStart"/>
      <w:r w:rsidRPr="006D631C">
        <w:rPr>
          <w:rFonts w:eastAsia="Calibri"/>
        </w:rPr>
        <w:t>bicontinuous</w:t>
      </w:r>
      <w:proofErr w:type="spellEnd"/>
      <w:r w:rsidRPr="006D631C">
        <w:rPr>
          <w:rFonts w:eastAsia="Calibri"/>
        </w:rPr>
        <w:t xml:space="preserve"> layer. Depending on the mean curvature, the </w:t>
      </w:r>
      <w:proofErr w:type="spellStart"/>
      <w:r w:rsidRPr="006D631C">
        <w:rPr>
          <w:rFonts w:eastAsia="Calibri"/>
        </w:rPr>
        <w:t>bicontinuous</w:t>
      </w:r>
      <w:proofErr w:type="spellEnd"/>
      <w:r w:rsidRPr="006D631C">
        <w:rPr>
          <w:rFonts w:eastAsia="Calibri"/>
        </w:rPr>
        <w:t xml:space="preserve"> bilayer can be hydropho</w:t>
      </w:r>
      <w:r w:rsidR="00C770BE" w:rsidRPr="006D631C">
        <w:rPr>
          <w:rFonts w:eastAsia="Calibri"/>
        </w:rPr>
        <w:t>bic tail or polar head (see Figure</w:t>
      </w:r>
      <w:r w:rsidRPr="006D631C">
        <w:rPr>
          <w:rFonts w:eastAsia="Calibri"/>
        </w:rPr>
        <w:t xml:space="preserve"> 1</w:t>
      </w:r>
      <w:r w:rsidR="00C770BE" w:rsidRPr="006D631C">
        <w:rPr>
          <w:rFonts w:eastAsia="Calibri"/>
        </w:rPr>
        <w:t>-1</w:t>
      </w:r>
      <w:r w:rsidRPr="006D631C">
        <w:rPr>
          <w:rFonts w:eastAsia="Calibri"/>
        </w:rPr>
        <w:t>).</w:t>
      </w:r>
      <w:r w:rsidRPr="006D631C">
        <w:rPr>
          <w:rFonts w:eastAsia="Calibri"/>
        </w:rPr>
        <w:fldChar w:fldCharType="begin" w:fldLock="1"/>
      </w:r>
      <w:r w:rsidR="007B3C1A" w:rsidRPr="006D631C">
        <w:rPr>
          <w:rFonts w:eastAsia="Calibri"/>
        </w:rPr>
        <w:instrText>ADDIN CSL_CITATION {"citationItems":[{"id":"ITEM-1","itemData":{"DOI":"10.1039/c7ra12008g","ISSN":"20462069","abstract":"Lyotropic liquid crystals (LLCs) formed by the self-assembly of amphiphilic molecules in a solvent (usually water) have attracted increasingly greater attention in the last few decades, especially the lamellar phase (Lα), the reversed bicontinuous cubic phase (Q2) and the reversed hexagonal phase (H2). Such phases offer promising prospects for encapsulation of a wide range of target molecules with various sizes and polarities owing to the unique internal structures. Also, different structures of mesophases can give rise to different diffusion coefficients. The bicontinuous cubic phase and the hexagonal phase have been demonstrated to control and sustain the release of active molecules. Furthermore, the structures are susceptible to many factors such as water content, temperature, pH, the presence of additives etc. Many researchers have been studying these influencing factors in order to accurately fabricate the desired phase. In this paper, we give a review of the characteristics of different structures of liquid crystalline phases, the influencing factors on the phase transition of liquid crystals and the relationship between structures of LLC and drug diffusion. We hope our review will provide some insights into how to manipulate in a controlled manner the rate of incorporating and transferring molecules by altering the structure of lyotropic mesophases.","author":[{"dropping-particle":"","family":"Huang","given":"Yiming","non-dropping-particle":"","parse-names":false,"suffix":""},{"dropping-particle":"","family":"Gui","given":"Shuangying","non-dropping-particle":"","parse-names":false,"suffix":""}],"container-title":"RSC Advances","id":"ITEM-1","issue":"13","issued":{"date-parts":[["2018"]]},"page":"6978-6987","title":"Factors affecting the structure of lyotropic liquid crystals and the correlation between structure and drug diffusion","type":"article-journal","volume":"8"},"uris":["http://www.mendeley.com/documents/?uuid=b7851437-718b-4625-8b35-1207b0977622"]}],"mendeley":{"formattedCitation":"&lt;sup&gt;17&lt;/sup&gt;","plainTextFormattedCitation":"17","previouslyFormattedCitation":"&lt;sup&gt;17&lt;/sup&gt;"},"properties":{"noteIndex":0},"schema":"https://github.com/citation-style-language/schema/raw/master/csl-citation.json"}</w:instrText>
      </w:r>
      <w:r w:rsidRPr="006D631C">
        <w:rPr>
          <w:rFonts w:eastAsia="Calibri"/>
        </w:rPr>
        <w:fldChar w:fldCharType="separate"/>
      </w:r>
      <w:r w:rsidR="002433D3" w:rsidRPr="006D631C">
        <w:rPr>
          <w:rFonts w:eastAsia="Calibri"/>
          <w:noProof/>
          <w:vertAlign w:val="superscript"/>
        </w:rPr>
        <w:t>17</w:t>
      </w:r>
      <w:r w:rsidRPr="006D631C">
        <w:rPr>
          <w:rFonts w:eastAsia="Calibri"/>
        </w:rPr>
        <w:fldChar w:fldCharType="end"/>
      </w:r>
      <w:r w:rsidRPr="006D631C">
        <w:rPr>
          <w:rFonts w:eastAsia="Calibri"/>
        </w:rPr>
        <w:t xml:space="preserve"> Interconnected pores make these structures perfect candidates for a variety of applications, particularly molecular separations because the pores/channels do not require structural alignment. X-ray crystallographic studies typically encounter Q</w:t>
      </w:r>
      <w:r w:rsidRPr="006D631C">
        <w:rPr>
          <w:rFonts w:eastAsia="Calibri"/>
          <w:vertAlign w:val="subscript"/>
        </w:rPr>
        <w:t>α</w:t>
      </w:r>
      <w:r w:rsidRPr="006D631C">
        <w:rPr>
          <w:rFonts w:eastAsia="Calibri"/>
        </w:rPr>
        <w:t xml:space="preserve"> structures of three main types, namely the primitive lattice (</w:t>
      </w:r>
      <w:r w:rsidRPr="006D631C">
        <w:rPr>
          <w:rFonts w:eastAsia="Calibri"/>
          <w:i/>
          <w:iCs/>
        </w:rPr>
        <w:t>Im3m</w:t>
      </w:r>
      <w:r w:rsidRPr="006D631C">
        <w:rPr>
          <w:rFonts w:eastAsia="Calibri"/>
        </w:rPr>
        <w:t>, Q</w:t>
      </w:r>
      <w:r w:rsidRPr="006D631C">
        <w:rPr>
          <w:rFonts w:eastAsia="Calibri"/>
          <w:vertAlign w:val="subscript"/>
        </w:rPr>
        <w:t>229</w:t>
      </w:r>
      <w:r w:rsidRPr="006D631C">
        <w:rPr>
          <w:rFonts w:eastAsia="Calibri"/>
        </w:rPr>
        <w:t>), the double-diamond lattice (</w:t>
      </w:r>
      <w:r w:rsidRPr="006D631C">
        <w:rPr>
          <w:rFonts w:eastAsia="Calibri"/>
          <w:i/>
          <w:iCs/>
        </w:rPr>
        <w:t>Pn3m</w:t>
      </w:r>
      <w:r w:rsidRPr="006D631C">
        <w:rPr>
          <w:rFonts w:eastAsia="Calibri"/>
        </w:rPr>
        <w:t>, Q</w:t>
      </w:r>
      <w:r w:rsidRPr="006D631C">
        <w:rPr>
          <w:rFonts w:eastAsia="Calibri"/>
          <w:vertAlign w:val="subscript"/>
        </w:rPr>
        <w:t>224</w:t>
      </w:r>
      <w:r w:rsidRPr="006D631C">
        <w:rPr>
          <w:rFonts w:eastAsia="Calibri"/>
        </w:rPr>
        <w:t xml:space="preserve">) and the </w:t>
      </w:r>
      <w:proofErr w:type="spellStart"/>
      <w:r w:rsidRPr="006D631C">
        <w:rPr>
          <w:rFonts w:eastAsia="Calibri"/>
        </w:rPr>
        <w:t>gyroid</w:t>
      </w:r>
      <w:proofErr w:type="spellEnd"/>
      <w:r w:rsidRPr="006D631C">
        <w:rPr>
          <w:rFonts w:eastAsia="Calibri"/>
        </w:rPr>
        <w:t xml:space="preserve"> lattice (</w:t>
      </w:r>
      <w:r w:rsidRPr="006D631C">
        <w:rPr>
          <w:rFonts w:eastAsia="Calibri"/>
          <w:i/>
          <w:iCs/>
        </w:rPr>
        <w:t>Ia3d</w:t>
      </w:r>
      <w:r w:rsidRPr="006D631C">
        <w:rPr>
          <w:rFonts w:eastAsia="Calibri"/>
        </w:rPr>
        <w:t>, Q</w:t>
      </w:r>
      <w:r w:rsidRPr="006D631C">
        <w:rPr>
          <w:rFonts w:eastAsia="Calibri"/>
          <w:i/>
          <w:iCs/>
          <w:vertAlign w:val="subscript"/>
        </w:rPr>
        <w:t>230</w:t>
      </w:r>
      <w:r w:rsidRPr="006D631C">
        <w:rPr>
          <w:rFonts w:eastAsia="Calibri"/>
        </w:rPr>
        <w:t>), as schematically shown in Fig</w:t>
      </w:r>
      <w:r w:rsidR="000E0AD0" w:rsidRPr="006D631C">
        <w:rPr>
          <w:rFonts w:eastAsia="Calibri"/>
        </w:rPr>
        <w:t>ure</w:t>
      </w:r>
      <w:r w:rsidRPr="006D631C">
        <w:rPr>
          <w:rFonts w:eastAsia="Calibri"/>
        </w:rPr>
        <w:t xml:space="preserve"> 1</w:t>
      </w:r>
      <w:r w:rsidR="000E0AD0" w:rsidRPr="006D631C">
        <w:rPr>
          <w:rFonts w:eastAsia="Calibri"/>
        </w:rPr>
        <w:t>-1</w:t>
      </w:r>
      <w:r w:rsidRPr="006D631C">
        <w:rPr>
          <w:rFonts w:eastAsia="Calibri"/>
        </w:rPr>
        <w:t>.</w:t>
      </w:r>
      <w:r w:rsidRPr="006D631C">
        <w:rPr>
          <w:rFonts w:eastAsia="Calibri"/>
        </w:rPr>
        <w:fldChar w:fldCharType="begin" w:fldLock="1"/>
      </w:r>
      <w:r w:rsidR="007B3C1A" w:rsidRPr="006D631C">
        <w:rPr>
          <w:rFonts w:eastAsia="Calibri"/>
        </w:rPr>
        <w:instrText>ADDIN CSL_CITATION {"citationItems":[{"id":"ITEM-1","itemData":{"DOI":"10.2147/DDDT.S103505","ISSN":"1177-8881","abstract":"Liquid crystal (LC) dosage forms, particularly those using lipid-based lyotropic LCs (LLCs), have generated considerable interest as potential drug delivery systems. LCs have the physical properties of liquids but retain some of the structural characteristics of crystalline solids. They are compatible with hydrophobic and hydrophilic compounds of many different classes and can protect even biologicals and nucleic acids from degradation. This review, focused on research conducted over the past 5 years, discusses the structural evaluation of LCs and their effects in drug formulations. The structural classification of LLCs into lamellar, hexagonal and micellar cubic phases is described. The structures of these phases are influenced by the addition of surfactants, which include a variety of nontoxic, biodegradable lipids; these also enhance drug solubility. LLC structure influences drug localization, particle size and viscosity, which, in turn, determine drug delivery properties. Through several specific examples, we describe the applications of LLCs in oral and topical drug formulations, the latter including transdermal and ocular delivery. In oral LLC formulations, micelle compositions and the resulting LLC structures can determine drug solubilization and stability as well as intestinal transport and absorption. Similarly, in topical LLC formulations, composition can influence whether the drug is retained in the skin or delivered transdermally. Owing to their enhancement of drug stability and promotion of controlled drug delivery, LLCs are becoming increasingly popular in pharmaceutical formulations.","author":[{"dropping-particle":"","family":"Rajabalaya","given":"Rajan","non-dropping-particle":"","parse-names":false,"suffix":""},{"dropping-particle":"","family":"Musa","given":"Muhammad Nuh","non-dropping-particle":"","parse-names":false,"suffix":""},{"dropping-particle":"","family":"Kifli","given":"Nurolaini","non-dropping-particle":"","parse-names":false,"suffix":""},{"dropping-particle":"","family":"David","given":"Sheba R.","non-dropping-particle":"","parse-names":false,"suffix":""}],"container-title":"Drug Design, Development and Therapy","id":"ITEM-1","issued":{"date-parts":[["2017","2"]]},"page":"393-406","title":"Oral and transdermal drug delivery systems: role of lipid-based lyotropic liquid crystals","type":"article-journal","volume":"Volume11"},"uris":["http://www.mendeley.com/documents/?uuid=807f0d6b-ac7a-4d53-95fa-cb28556270d0"]},{"id":"ITEM-2","itemData":{"ISBN":"0471 490830","abstract":"The article discusses how alcohol and other drugs impact the child welfare system in the U.S. In a survey conducted by the Child Welfare League of America of its member agencies, it was revealed that the impact is more pronounced in the system in cases of shortages in the number of child welfare personnel and foster homes. In October 1990, the Child Welfare League of America set up the North American Commission on Chemical Dependency and Child Welfare to study the problem. However, the measure suffered from the lack of data on problems related to the impact of drugs and alcohol on the child welfare system.","author":[{"dropping-particle":"","family":"Hyde","given":"Stephen T","non-dropping-particle":"","parse-names":false,"suffix":""}],"container-title":"Handbook of Applied Surface and Colloid Chemistry","id":"ITEM-2","issued":{"date-parts":[["2001"]]},"page":"299-332","title":"Identification of Lyotropic Liquid Crystalline Mesophases","type":"chapter"},"uris":["http://www.mendeley.com/documents/?uuid=5045f285-eb10-482d-a0bd-0d9f8f2925b5"]},{"id":"ITEM-3","itemData":{"DOI":"10.1039/c7ra12008g","ISSN":"20462069","abstract":"Lyotropic liquid crystals (LLCs) formed by the self-assembly of amphiphilic molecules in a solvent (usually water) have attracted increasingly greater attention in the last few decades, especially the lamellar phase (Lα), the reversed bicontinuous cubic phase (Q2) and the reversed hexagonal phase (H2). Such phases offer promising prospects for encapsulation of a wide range of target molecules with various sizes and polarities owing to the unique internal structures. Also, different structures of mesophases can give rise to different diffusion coefficients. The bicontinuous cubic phase and the hexagonal phase have been demonstrated to control and sustain the release of active molecules. Furthermore, the structures are susceptible to many factors such as water content, temperature, pH, the presence of additives etc. Many researchers have been studying these influencing factors in order to accurately fabricate the desired phase. In this paper, we give a review of the characteristics of different structures of liquid crystalline phases, the influencing factors on the phase transition of liquid crystals and the relationship between structures of LLC and drug diffusion. We hope our review will provide some insights into how to manipulate in a controlled manner the rate of incorporating and transferring molecules by altering the structure of lyotropic mesophases.","author":[{"dropping-particle":"","family":"Huang","given":"Yiming","non-dropping-particle":"","parse-names":false,"suffix":""},{"dropping-particle":"","family":"Gui","given":"Shuangying","non-dropping-particle":"","parse-names":false,"suffix":""}],"container-title":"RSC Advances","id":"ITEM-3","issue":"13","issued":{"date-parts":[["2018"]]},"page":"6978-6987","title":"Factors affecting the structure of lyotropic liquid crystals and the correlation between structure and drug diffusion","type":"article-journal","volume":"8"},"uris":["http://www.mendeley.com/documents/?uuid=b7851437-718b-4625-8b35-1207b0977622"]}],"mendeley":{"formattedCitation":"&lt;sup&gt;9,17,19&lt;/sup&gt;","plainTextFormattedCitation":"9,17,19","previouslyFormattedCitation":"&lt;sup&gt;9,17,19&lt;/sup&gt;"},"properties":{"noteIndex":0},"schema":"https://github.com/citation-style-language/schema/raw/master/csl-citation.json"}</w:instrText>
      </w:r>
      <w:r w:rsidRPr="006D631C">
        <w:rPr>
          <w:rFonts w:eastAsia="Calibri"/>
        </w:rPr>
        <w:fldChar w:fldCharType="separate"/>
      </w:r>
      <w:r w:rsidR="002433D3" w:rsidRPr="006D631C">
        <w:rPr>
          <w:rFonts w:eastAsia="Calibri"/>
          <w:noProof/>
          <w:vertAlign w:val="superscript"/>
        </w:rPr>
        <w:t>9,17,19</w:t>
      </w:r>
      <w:r w:rsidRPr="006D631C">
        <w:rPr>
          <w:rFonts w:eastAsia="Calibri"/>
        </w:rPr>
        <w:fldChar w:fldCharType="end"/>
      </w:r>
      <w:r w:rsidRPr="006D631C">
        <w:rPr>
          <w:rFonts w:eastAsia="Calibri"/>
        </w:rPr>
        <w:t xml:space="preserve"> </w:t>
      </w:r>
      <w:proofErr w:type="gramStart"/>
      <w:r w:rsidRPr="006D631C">
        <w:rPr>
          <w:rFonts w:eastAsia="Calibri"/>
        </w:rPr>
        <w:t>The</w:t>
      </w:r>
      <w:proofErr w:type="gramEnd"/>
      <w:r w:rsidRPr="006D631C">
        <w:rPr>
          <w:rFonts w:eastAsia="Calibri"/>
        </w:rPr>
        <w:t xml:space="preserve"> important dimensional parameters of the primitive type are </w:t>
      </w:r>
      <w:r w:rsidR="007B3C1A" w:rsidRPr="006D631C">
        <w:rPr>
          <w:rFonts w:eastAsia="Calibri"/>
        </w:rPr>
        <w:t>presented schematically in Figure 1-</w:t>
      </w:r>
      <w:r w:rsidRPr="006D631C">
        <w:rPr>
          <w:rFonts w:eastAsia="Calibri"/>
        </w:rPr>
        <w:t>9. 2</w:t>
      </w:r>
      <w:r w:rsidRPr="006D631C">
        <w:rPr>
          <w:rFonts w:eastAsia="Calibri"/>
          <w:i/>
          <w:iCs/>
        </w:rPr>
        <w:t>l</w:t>
      </w:r>
      <w:r w:rsidRPr="006D631C">
        <w:rPr>
          <w:rFonts w:eastAsia="Calibri"/>
        </w:rPr>
        <w:t xml:space="preserve"> represents the thickness of the apolar domain (including the surfactant tail), 2</w:t>
      </w:r>
      <w:r w:rsidRPr="006D631C">
        <w:rPr>
          <w:rFonts w:eastAsia="Calibri"/>
          <w:i/>
          <w:iCs/>
        </w:rPr>
        <w:t>t</w:t>
      </w:r>
      <w:r w:rsidRPr="006D631C">
        <w:rPr>
          <w:rFonts w:eastAsia="Calibri"/>
          <w:i/>
          <w:iCs/>
          <w:vertAlign w:val="subscript"/>
        </w:rPr>
        <w:t>polar</w:t>
      </w:r>
      <w:r w:rsidRPr="006D631C">
        <w:rPr>
          <w:rFonts w:eastAsia="Calibri"/>
        </w:rPr>
        <w:t xml:space="preserve"> is the polar domain thickness (including the surfactant </w:t>
      </w:r>
      <w:proofErr w:type="spellStart"/>
      <w:r w:rsidRPr="006D631C">
        <w:rPr>
          <w:rFonts w:eastAsia="Calibri"/>
        </w:rPr>
        <w:t>headgroup</w:t>
      </w:r>
      <w:proofErr w:type="spellEnd"/>
      <w:r w:rsidRPr="006D631C">
        <w:rPr>
          <w:rFonts w:eastAsia="Calibri"/>
        </w:rPr>
        <w:t xml:space="preserve">), and </w:t>
      </w:r>
      <w:r w:rsidRPr="006D631C">
        <w:rPr>
          <w:rFonts w:eastAsia="Calibri"/>
          <w:i/>
          <w:iCs/>
        </w:rPr>
        <w:t>a</w:t>
      </w:r>
      <w:r w:rsidRPr="006D631C">
        <w:rPr>
          <w:rFonts w:eastAsia="Calibri"/>
        </w:rPr>
        <w:t xml:space="preserve"> is the lattice parameter.</w:t>
      </w:r>
      <w:r w:rsidRPr="006D631C">
        <w:rPr>
          <w:rFonts w:eastAsia="Calibri"/>
        </w:rPr>
        <w:fldChar w:fldCharType="begin" w:fldLock="1"/>
      </w:r>
      <w:r w:rsidRPr="006D631C">
        <w:rPr>
          <w:rFonts w:eastAsia="Calibri"/>
        </w:rPr>
        <w:instrText>ADDIN CSL_CITATION {"citationItems":[{"id":"ITEM-1","itemData":{"ISBN":"0471 490830","abstract":"The article discusses how alcohol and other drugs impact the child welfare system in the U.S. In a survey conducted by the Child Welfare League of America of its member agencies, it was revealed that the impact is more pronounced in the system in cases of shortages in the number of child welfare personnel and foster homes. In October 1990, the Child Welfare League of America set up the North American Commission on Chemical Dependency and Child Welfare to study the problem. However, the measure suffered from the lack of data on problems related to the impact of drugs and alcohol on the child welfare system.","author":[{"dropping-particle":"","family":"Hyde","given":"Stephen T","non-dropping-particle":"","parse-names":false,"suffix":""}],"container-title":"Handbook of Applied Surface and Colloid Chemistry","id":"ITEM-1","issued":{"date-parts":[["2001"]]},"page":"299-332","title":"Identification of Lyotropic Liquid Crystalline Mesophases","type":"chapter"},"uris":["http://www.mendeley.com/documents/?uuid=5045f285-eb10-482d-a0bd-0d9f8f2925b5"]}],"mendeley":{"formattedCitation":"&lt;sup&gt;9&lt;/sup&gt;","plainTextFormattedCitation":"9","previouslyFormattedCitation":"&lt;sup&gt;9&lt;/sup&gt;"},"properties":{"noteIndex":0},"schema":"https://github.com/citation-style-language/schema/raw/master/csl-citation.json"}</w:instrText>
      </w:r>
      <w:r w:rsidRPr="006D631C">
        <w:rPr>
          <w:rFonts w:eastAsia="Calibri"/>
        </w:rPr>
        <w:fldChar w:fldCharType="separate"/>
      </w:r>
      <w:r w:rsidRPr="006D631C">
        <w:rPr>
          <w:rFonts w:eastAsia="Calibri"/>
          <w:noProof/>
          <w:vertAlign w:val="superscript"/>
        </w:rPr>
        <w:t>9</w:t>
      </w:r>
      <w:r w:rsidRPr="006D631C">
        <w:rPr>
          <w:rFonts w:eastAsia="Calibri"/>
        </w:rPr>
        <w:fldChar w:fldCharType="end"/>
      </w:r>
      <w:r w:rsidRPr="006D631C">
        <w:rPr>
          <w:rFonts w:eastAsia="Calibri"/>
        </w:rPr>
        <w:t xml:space="preserve"> </w:t>
      </w:r>
      <w:r w:rsidRPr="006D631C">
        <w:rPr>
          <w:rFonts w:eastAsia="Calibri"/>
        </w:rPr>
        <w:lastRenderedPageBreak/>
        <w:t xml:space="preserve">In X-ray crystallographic studies, the peak ratios for </w:t>
      </w:r>
      <w:r w:rsidRPr="006D631C">
        <w:rPr>
          <w:rFonts w:eastAsia="Calibri"/>
          <w:i/>
          <w:iCs/>
        </w:rPr>
        <w:t>Im3m</w:t>
      </w:r>
      <w:r w:rsidRPr="006D631C">
        <w:rPr>
          <w:rFonts w:eastAsia="Calibri"/>
        </w:rPr>
        <w:t xml:space="preserve">, </w:t>
      </w:r>
      <w:r w:rsidRPr="006D631C">
        <w:rPr>
          <w:rFonts w:eastAsia="Calibri"/>
          <w:i/>
          <w:iCs/>
        </w:rPr>
        <w:t>Pn3m</w:t>
      </w:r>
      <w:r w:rsidRPr="006D631C">
        <w:rPr>
          <w:rFonts w:eastAsia="Calibri"/>
        </w:rPr>
        <w:t xml:space="preserve"> and </w:t>
      </w:r>
      <w:r w:rsidRPr="006D631C">
        <w:rPr>
          <w:rFonts w:eastAsia="Calibri"/>
          <w:i/>
          <w:iCs/>
        </w:rPr>
        <w:t>Ia3d</w:t>
      </w:r>
      <w:r w:rsidRPr="006D631C">
        <w:rPr>
          <w:rFonts w:eastAsia="Calibri"/>
        </w:rPr>
        <w:t xml:space="preserve"> are √2:√4:√6:√8:√10… (corresponding to the d</w:t>
      </w:r>
      <w:r w:rsidRPr="006D631C">
        <w:rPr>
          <w:rFonts w:eastAsia="Calibri"/>
          <w:vertAlign w:val="subscript"/>
        </w:rPr>
        <w:t>110</w:t>
      </w:r>
      <w:r w:rsidRPr="006D631C">
        <w:rPr>
          <w:rFonts w:eastAsia="Calibri"/>
        </w:rPr>
        <w:t>, d</w:t>
      </w:r>
      <w:r w:rsidRPr="006D631C">
        <w:rPr>
          <w:rFonts w:eastAsia="Calibri"/>
          <w:vertAlign w:val="subscript"/>
        </w:rPr>
        <w:t>200</w:t>
      </w:r>
      <w:r w:rsidRPr="006D631C">
        <w:rPr>
          <w:rFonts w:eastAsia="Calibri"/>
        </w:rPr>
        <w:t>, d</w:t>
      </w:r>
      <w:r w:rsidRPr="006D631C">
        <w:rPr>
          <w:rFonts w:eastAsia="Calibri"/>
          <w:vertAlign w:val="subscript"/>
        </w:rPr>
        <w:t>211</w:t>
      </w:r>
      <w:r w:rsidRPr="006D631C">
        <w:rPr>
          <w:rFonts w:eastAsia="Calibri"/>
        </w:rPr>
        <w:t>, d</w:t>
      </w:r>
      <w:r w:rsidRPr="006D631C">
        <w:rPr>
          <w:rFonts w:eastAsia="Calibri"/>
          <w:vertAlign w:val="subscript"/>
        </w:rPr>
        <w:t>220</w:t>
      </w:r>
      <w:r w:rsidRPr="006D631C">
        <w:rPr>
          <w:rFonts w:eastAsia="Calibri"/>
        </w:rPr>
        <w:t>, d</w:t>
      </w:r>
      <w:r w:rsidRPr="006D631C">
        <w:rPr>
          <w:rFonts w:eastAsia="Calibri"/>
          <w:vertAlign w:val="subscript"/>
        </w:rPr>
        <w:t>310</w:t>
      </w:r>
      <w:r w:rsidRPr="006D631C">
        <w:rPr>
          <w:rFonts w:eastAsia="Calibri"/>
        </w:rPr>
        <w:t>, … diffraction planes),</w:t>
      </w:r>
      <w:r w:rsidRPr="006D631C">
        <w:rPr>
          <w:rFonts w:eastAsia="Calibri"/>
        </w:rPr>
        <w:fldChar w:fldCharType="begin" w:fldLock="1"/>
      </w:r>
      <w:r w:rsidRPr="006D631C">
        <w:rPr>
          <w:rFonts w:eastAsia="Calibri"/>
        </w:rPr>
        <w:instrText>ADDIN CSL_CITATION {"citationItems":[{"id":"ITEM-1","itemData":{"DOI":"10.1021/ja0208106","ISSN":"0002-7863","abstract":"The synthesis and lyotropic liquid-crystalline (LLC) phase behavior of a homologous series of intrinsically cross-linkable gemini surfactants are described. These novel bis(alkyl-1,3-diene)-based phosphonium gemini amphiphiles exhibit \"normal\" hexagonal (HI), Type I bicontinuous cubic (QI), and lamellar (Lα) phases in water, and can be photocross-linked with retention of phase architecture in each case. On the basis of their locations on the phase diagram, their powder X-ray diffraction profiles, and the physical properties of the cross-linked materials, the QI phases formed by these gemini monomers are consistent with four possible bicontinuous cubic architectures with P or I space group symmetry that have been identified previously for small molecule amphiphiles. The extent of polymerization (i.e., the degree of diene conversion) achieved in the LLC phases was determined to be in the 23% to 71% range using UV-vis spectrometry, which is more than sufficient to extensively stabilize the systems. The resulting cross-linked HI, Lα, and QI phases are stable up to 300 °C in air. To our knowledge, these reactive amphiphiles constitute the first example of a polymerizable gemini surfactant, and the first example of a cross-linkable amphiphile system that can be polymerized in both the HI and a QI mesophase with retention of phase microstructure.","author":[{"dropping-particle":"","family":"Pindzola","given":"Brad A.","non-dropping-particle":"","parse-names":false,"suffix":""},{"dropping-particle":"","family":"Jin","given":"Jizhu","non-dropping-particle":"","parse-names":false,"suffix":""},{"dropping-particle":"","family":"Gin","given":"Douglas L.","non-dropping-particle":"","parse-names":false,"suffix":""}],"container-title":"Journal of the American Chemical Society","id":"ITEM-1","issue":"10","issued":{"date-parts":[["2003","3"]]},"page":"2940-2949","title":"Cross-Linked Normal Hexagonal and Bicontinuous Cubic Assemblies via Polymerizable Gemini Amphiphiles","type":"article-journal","volume":"125"},"uris":["http://www.mendeley.com/documents/?uuid=cc6d4576-822b-42ed-b4d8-a32080f95537"]}],"mendeley":{"formattedCitation":"&lt;sup&gt;61&lt;/sup&gt;","plainTextFormattedCitation":"61","previouslyFormattedCitation":"&lt;sup&gt;61&lt;/sup&gt;"},"properties":{"noteIndex":0},"schema":"https://github.com/citation-style-language/schema/raw/master/csl-citation.json"}</w:instrText>
      </w:r>
      <w:r w:rsidRPr="006D631C">
        <w:rPr>
          <w:rFonts w:eastAsia="Calibri"/>
        </w:rPr>
        <w:fldChar w:fldCharType="separate"/>
      </w:r>
      <w:r w:rsidRPr="006D631C">
        <w:rPr>
          <w:rFonts w:eastAsia="Calibri"/>
          <w:noProof/>
          <w:vertAlign w:val="superscript"/>
        </w:rPr>
        <w:t>61</w:t>
      </w:r>
      <w:r w:rsidRPr="006D631C">
        <w:rPr>
          <w:rFonts w:eastAsia="Calibri"/>
        </w:rPr>
        <w:fldChar w:fldCharType="end"/>
      </w:r>
      <w:r w:rsidRPr="006D631C">
        <w:rPr>
          <w:rFonts w:eastAsia="Calibri"/>
        </w:rPr>
        <w:t xml:space="preserve"> √2:√3:√4:√6:√8:√9… (corresponding to the d</w:t>
      </w:r>
      <w:r w:rsidRPr="006D631C">
        <w:rPr>
          <w:rFonts w:eastAsia="Calibri"/>
          <w:vertAlign w:val="subscript"/>
        </w:rPr>
        <w:t>110</w:t>
      </w:r>
      <w:r w:rsidRPr="006D631C">
        <w:rPr>
          <w:rFonts w:eastAsia="Calibri"/>
        </w:rPr>
        <w:t>, d</w:t>
      </w:r>
      <w:r w:rsidRPr="006D631C">
        <w:rPr>
          <w:rFonts w:eastAsia="Calibri"/>
          <w:vertAlign w:val="subscript"/>
        </w:rPr>
        <w:t>111</w:t>
      </w:r>
      <w:r w:rsidRPr="006D631C">
        <w:rPr>
          <w:rFonts w:eastAsia="Calibri"/>
        </w:rPr>
        <w:t>, d</w:t>
      </w:r>
      <w:r w:rsidRPr="006D631C">
        <w:rPr>
          <w:rFonts w:eastAsia="Calibri"/>
          <w:vertAlign w:val="subscript"/>
        </w:rPr>
        <w:t>200</w:t>
      </w:r>
      <w:r w:rsidRPr="006D631C">
        <w:rPr>
          <w:rFonts w:eastAsia="Calibri"/>
        </w:rPr>
        <w:t>, d</w:t>
      </w:r>
      <w:r w:rsidRPr="006D631C">
        <w:rPr>
          <w:rFonts w:eastAsia="Calibri"/>
          <w:vertAlign w:val="subscript"/>
        </w:rPr>
        <w:t>211</w:t>
      </w:r>
      <w:r w:rsidRPr="006D631C">
        <w:rPr>
          <w:rFonts w:eastAsia="Calibri"/>
        </w:rPr>
        <w:t>, d</w:t>
      </w:r>
      <w:r w:rsidRPr="006D631C">
        <w:rPr>
          <w:rFonts w:eastAsia="Calibri"/>
          <w:vertAlign w:val="subscript"/>
        </w:rPr>
        <w:t>220</w:t>
      </w:r>
      <w:r w:rsidRPr="006D631C">
        <w:rPr>
          <w:rFonts w:eastAsia="Calibri"/>
        </w:rPr>
        <w:t>, d</w:t>
      </w:r>
      <w:r w:rsidRPr="006D631C">
        <w:rPr>
          <w:rFonts w:eastAsia="Calibri"/>
          <w:vertAlign w:val="subscript"/>
        </w:rPr>
        <w:t xml:space="preserve">221 </w:t>
      </w:r>
      <w:r w:rsidRPr="006D631C">
        <w:rPr>
          <w:rFonts w:eastAsia="Calibri"/>
        </w:rPr>
        <w:t>(or d</w:t>
      </w:r>
      <w:r w:rsidRPr="006D631C">
        <w:rPr>
          <w:rFonts w:eastAsia="Calibri"/>
          <w:vertAlign w:val="subscript"/>
        </w:rPr>
        <w:t>300</w:t>
      </w:r>
      <w:r w:rsidRPr="006D631C">
        <w:rPr>
          <w:rFonts w:eastAsia="Calibri"/>
        </w:rPr>
        <w:t>), … diffraction planes),</w:t>
      </w:r>
      <w:r w:rsidRPr="006D631C">
        <w:rPr>
          <w:rFonts w:eastAsia="Calibri"/>
        </w:rPr>
        <w:fldChar w:fldCharType="begin" w:fldLock="1"/>
      </w:r>
      <w:r w:rsidRPr="006D631C">
        <w:rPr>
          <w:rFonts w:eastAsia="Calibri"/>
        </w:rPr>
        <w:instrText>ADDIN CSL_CITATION {"citationItems":[{"id":"ITEM-1","itemData":{"DOI":"10.1021/ja0208106","ISSN":"0002-7863","abstract":"The synthesis and lyotropic liquid-crystalline (LLC) phase behavior of a homologous series of intrinsically cross-linkable gemini surfactants are described. These novel bis(alkyl-1,3-diene)-based phosphonium gemini amphiphiles exhibit \"normal\" hexagonal (HI), Type I bicontinuous cubic (QI), and lamellar (Lα) phases in water, and can be photocross-linked with retention of phase architecture in each case. On the basis of their locations on the phase diagram, their powder X-ray diffraction profiles, and the physical properties of the cross-linked materials, the QI phases formed by these gemini monomers are consistent with four possible bicontinuous cubic architectures with P or I space group symmetry that have been identified previously for small molecule amphiphiles. The extent of polymerization (i.e., the degree of diene conversion) achieved in the LLC phases was determined to be in the 23% to 71% range using UV-vis spectrometry, which is more than sufficient to extensively stabilize the systems. The resulting cross-linked HI, Lα, and QI phases are stable up to 300 °C in air. To our knowledge, these reactive amphiphiles constitute the first example of a polymerizable gemini surfactant, and the first example of a cross-linkable amphiphile system that can be polymerized in both the HI and a QI mesophase with retention of phase microstructure.","author":[{"dropping-particle":"","family":"Pindzola","given":"Brad A.","non-dropping-particle":"","parse-names":false,"suffix":""},{"dropping-particle":"","family":"Jin","given":"Jizhu","non-dropping-particle":"","parse-names":false,"suffix":""},{"dropping-particle":"","family":"Gin","given":"Douglas L.","non-dropping-particle":"","parse-names":false,"suffix":""}],"container-title":"Journal of the American Chemical Society","id":"ITEM-1","issue":"10","issued":{"date-parts":[["2003","3"]]},"page":"2940-2949","title":"Cross-Linked Normal Hexagonal and Bicontinuous Cubic Assemblies via Polymerizable Gemini Amphiphiles","type":"article-journal","volume":"125"},"uris":["http://www.mendeley.com/documents/?uuid=cc6d4576-822b-42ed-b4d8-a32080f95537"]}],"mendeley":{"formattedCitation":"&lt;sup&gt;61&lt;/sup&gt;","plainTextFormattedCitation":"61","previouslyFormattedCitation":"&lt;sup&gt;61&lt;/sup&gt;"},"properties":{"noteIndex":0},"schema":"https://github.com/citation-style-language/schema/raw/master/csl-citation.json"}</w:instrText>
      </w:r>
      <w:r w:rsidRPr="006D631C">
        <w:rPr>
          <w:rFonts w:eastAsia="Calibri"/>
        </w:rPr>
        <w:fldChar w:fldCharType="separate"/>
      </w:r>
      <w:r w:rsidRPr="006D631C">
        <w:rPr>
          <w:rFonts w:eastAsia="Calibri"/>
          <w:noProof/>
          <w:vertAlign w:val="superscript"/>
        </w:rPr>
        <w:t>61</w:t>
      </w:r>
      <w:r w:rsidRPr="006D631C">
        <w:rPr>
          <w:rFonts w:eastAsia="Calibri"/>
        </w:rPr>
        <w:fldChar w:fldCharType="end"/>
      </w:r>
      <w:r w:rsidRPr="006D631C">
        <w:rPr>
          <w:rFonts w:eastAsia="Calibri"/>
        </w:rPr>
        <w:t xml:space="preserve">  and √6:√8:√14:√16:√18:√20… (corresponding to the d</w:t>
      </w:r>
      <w:r w:rsidRPr="006D631C">
        <w:rPr>
          <w:rFonts w:eastAsia="Calibri"/>
          <w:vertAlign w:val="subscript"/>
        </w:rPr>
        <w:t>211</w:t>
      </w:r>
      <w:r w:rsidRPr="006D631C">
        <w:rPr>
          <w:rFonts w:eastAsia="Calibri"/>
        </w:rPr>
        <w:t>, d</w:t>
      </w:r>
      <w:r w:rsidRPr="006D631C">
        <w:rPr>
          <w:rFonts w:eastAsia="Calibri"/>
          <w:vertAlign w:val="subscript"/>
        </w:rPr>
        <w:t>220</w:t>
      </w:r>
      <w:r w:rsidRPr="006D631C">
        <w:rPr>
          <w:rFonts w:eastAsia="Calibri"/>
        </w:rPr>
        <w:t>, d</w:t>
      </w:r>
      <w:r w:rsidRPr="006D631C">
        <w:rPr>
          <w:rFonts w:eastAsia="Calibri"/>
          <w:vertAlign w:val="subscript"/>
        </w:rPr>
        <w:t>321</w:t>
      </w:r>
      <w:r w:rsidRPr="006D631C">
        <w:rPr>
          <w:rFonts w:eastAsia="Calibri"/>
        </w:rPr>
        <w:t>, d</w:t>
      </w:r>
      <w:r w:rsidRPr="006D631C">
        <w:rPr>
          <w:rFonts w:eastAsia="Calibri"/>
          <w:vertAlign w:val="subscript"/>
        </w:rPr>
        <w:t>400</w:t>
      </w:r>
      <w:r w:rsidRPr="006D631C">
        <w:rPr>
          <w:rFonts w:eastAsia="Calibri"/>
        </w:rPr>
        <w:t>, d</w:t>
      </w:r>
      <w:r w:rsidRPr="006D631C">
        <w:rPr>
          <w:rFonts w:eastAsia="Calibri"/>
          <w:vertAlign w:val="subscript"/>
        </w:rPr>
        <w:t>411</w:t>
      </w:r>
      <w:r w:rsidRPr="006D631C">
        <w:rPr>
          <w:rFonts w:eastAsia="Calibri"/>
        </w:rPr>
        <w:t xml:space="preserve"> (or d</w:t>
      </w:r>
      <w:r w:rsidRPr="006D631C">
        <w:rPr>
          <w:rFonts w:eastAsia="Calibri"/>
          <w:vertAlign w:val="subscript"/>
        </w:rPr>
        <w:t>330</w:t>
      </w:r>
      <w:r w:rsidRPr="006D631C">
        <w:rPr>
          <w:rFonts w:eastAsia="Calibri"/>
        </w:rPr>
        <w:t>), d</w:t>
      </w:r>
      <w:r w:rsidRPr="006D631C">
        <w:rPr>
          <w:rFonts w:eastAsia="Calibri"/>
          <w:vertAlign w:val="subscript"/>
        </w:rPr>
        <w:t>420</w:t>
      </w:r>
      <w:r w:rsidRPr="006D631C">
        <w:rPr>
          <w:rFonts w:eastAsia="Calibri"/>
        </w:rPr>
        <w:t>, … diffraction planes),</w:t>
      </w:r>
      <w:r w:rsidRPr="006D631C">
        <w:rPr>
          <w:rFonts w:eastAsia="Calibri"/>
        </w:rPr>
        <w:fldChar w:fldCharType="begin" w:fldLock="1"/>
      </w:r>
      <w:r w:rsidRPr="006D631C">
        <w:rPr>
          <w:rFonts w:eastAsia="Calibri"/>
        </w:rPr>
        <w:instrText>ADDIN CSL_CITATION {"citationItems":[{"id":"ITEM-1","itemData":{"DOI":"10.1021/ja0208106","ISSN":"0002-7863","abstract":"The synthesis and lyotropic liquid-crystalline (LLC) phase behavior of a homologous series of intrinsically cross-linkable gemini surfactants are described. These novel bis(alkyl-1,3-diene)-based phosphonium gemini amphiphiles exhibit \"normal\" hexagonal (HI), Type I bicontinuous cubic (QI), and lamellar (Lα) phases in water, and can be photocross-linked with retention of phase architecture in each case. On the basis of their locations on the phase diagram, their powder X-ray diffraction profiles, and the physical properties of the cross-linked materials, the QI phases formed by these gemini monomers are consistent with four possible bicontinuous cubic architectures with P or I space group symmetry that have been identified previously for small molecule amphiphiles. The extent of polymerization (i.e., the degree of diene conversion) achieved in the LLC phases was determined to be in the 23% to 71% range using UV-vis spectrometry, which is more than sufficient to extensively stabilize the systems. The resulting cross-linked HI, Lα, and QI phases are stable up to 300 °C in air. To our knowledge, these reactive amphiphiles constitute the first example of a polymerizable gemini surfactant, and the first example of a cross-linkable amphiphile system that can be polymerized in both the HI and a QI mesophase with retention of phase microstructure.","author":[{"dropping-particle":"","family":"Pindzola","given":"Brad A.","non-dropping-particle":"","parse-names":false,"suffix":""},{"dropping-particle":"","family":"Jin","given":"Jizhu","non-dropping-particle":"","parse-names":false,"suffix":""},{"dropping-particle":"","family":"Gin","given":"Douglas L.","non-dropping-particle":"","parse-names":false,"suffix":""}],"container-title":"Journal of the American Chemical Society","id":"ITEM-1","issue":"10","issued":{"date-parts":[["2003","3"]]},"page":"2940-2949","title":"Cross-Linked Normal Hexagonal and Bicontinuous Cubic Assemblies via Polymerizable Gemini Amphiphiles","type":"article-journal","volume":"125"},"uris":["http://www.mendeley.com/documents/?uuid=cc6d4576-822b-42ed-b4d8-a32080f95537"]}],"mendeley":{"formattedCitation":"&lt;sup&gt;61&lt;/sup&gt;","plainTextFormattedCitation":"61","previouslyFormattedCitation":"&lt;sup&gt;61&lt;/sup&gt;"},"properties":{"noteIndex":0},"schema":"https://github.com/citation-style-language/schema/raw/master/csl-citation.json"}</w:instrText>
      </w:r>
      <w:r w:rsidRPr="006D631C">
        <w:rPr>
          <w:rFonts w:eastAsia="Calibri"/>
        </w:rPr>
        <w:fldChar w:fldCharType="separate"/>
      </w:r>
      <w:r w:rsidRPr="006D631C">
        <w:rPr>
          <w:rFonts w:eastAsia="Calibri"/>
          <w:noProof/>
          <w:vertAlign w:val="superscript"/>
        </w:rPr>
        <w:t>61</w:t>
      </w:r>
      <w:r w:rsidRPr="006D631C">
        <w:rPr>
          <w:rFonts w:eastAsia="Calibri"/>
        </w:rPr>
        <w:fldChar w:fldCharType="end"/>
      </w:r>
      <w:r w:rsidRPr="006D631C">
        <w:rPr>
          <w:rFonts w:eastAsia="Calibri"/>
        </w:rPr>
        <w:t xml:space="preserve"> respectively.</w:t>
      </w:r>
      <w:r w:rsidRPr="006D631C">
        <w:rPr>
          <w:rFonts w:eastAsia="Calibri"/>
        </w:rPr>
        <w:fldChar w:fldCharType="begin" w:fldLock="1"/>
      </w:r>
      <w:r w:rsidR="007B3C1A" w:rsidRPr="006D631C">
        <w:rPr>
          <w:rFonts w:eastAsia="Calibri"/>
        </w:rPr>
        <w:instrText>ADDIN CSL_CITATION {"citationItems":[{"id":"ITEM-1","itemData":{"ISBN":"0471 490830","abstract":"The article discusses how alcohol and other drugs impact the child welfare system in the U.S. In a survey conducted by the Child Welfare League of America of its member agencies, it was revealed that the impact is more pronounced in the system in cases of shortages in the number of child welfare personnel and foster homes. In October 1990, the Child Welfare League of America set up the North American Commission on Chemical Dependency and Child Welfare to study the problem. However, the measure suffered from the lack of data on problems related to the impact of drugs and alcohol on the child welfare system.","author":[{"dropping-particle":"","family":"Hyde","given":"Stephen T","non-dropping-particle":"","parse-names":false,"suffix":""}],"container-title":"Handbook of Applied Surface and Colloid Chemistry","id":"ITEM-1","issued":{"date-parts":[["2001"]]},"page":"299-332","title":"Identification of Lyotropic Liquid Crystalline Mesophases","type":"chapter"},"uris":["http://www.mendeley.com/documents/?uuid=5045f285-eb10-482d-a0bd-0d9f8f2925b5"]},{"id":"ITEM-2","itemData":{"DOI":"10.1039/c7ra12008g","ISSN":"20462069","abstract":"Lyotropic liquid crystals (LLCs) formed by the self-assembly of amphiphilic molecules in a solvent (usually water) have attracted increasingly greater attention in the last few decades, especially the lamellar phase (Lα), the reversed bicontinuous cubic phase (Q2) and the reversed hexagonal phase (H2). Such phases offer promising prospects for encapsulation of a wide range of target molecules with various sizes and polarities owing to the unique internal structures. Also, different structures of mesophases can give rise to different diffusion coefficients. The bicontinuous cubic phase and the hexagonal phase have been demonstrated to control and sustain the release of active molecules. Furthermore, the structures are susceptible to many factors such as water content, temperature, pH, the presence of additives etc. Many researchers have been studying these influencing factors in order to accurately fabricate the desired phase. In this paper, we give a review of the characteristics of different structures of liquid crystalline phases, the influencing factors on the phase transition of liquid crystals and the relationship between structures of LLC and drug diffusion. We hope our review will provide some insights into how to manipulate in a controlled manner the rate of incorporating and transferring molecules by altering the structure of lyotropic mesophases.","author":[{"dropping-particle":"","family":"Huang","given":"Yiming","non-dropping-particle":"","parse-names":false,"suffix":""},{"dropping-particle":"","family":"Gui","given":"Shuangying","non-dropping-particle":"","parse-names":false,"suffix":""}],"container-title":"RSC Advances","id":"ITEM-2","issue":"13","issued":{"date-parts":[["2018"]]},"page":"6978-6987","title":"Factors affecting the structure of lyotropic liquid crystals and the correlation between structure and drug diffusion","type":"article-journal","volume":"8"},"uris":["http://www.mendeley.com/documents/?uuid=b7851437-718b-4625-8b35-1207b0977622"]}],"mendeley":{"formattedCitation":"&lt;sup&gt;9,17&lt;/sup&gt;","plainTextFormattedCitation":"9,17","previouslyFormattedCitation":"&lt;sup&gt;9,17&lt;/sup&gt;"},"properties":{"noteIndex":0},"schema":"https://github.com/citation-style-language/schema/raw/master/csl-citation.json"}</w:instrText>
      </w:r>
      <w:r w:rsidRPr="006D631C">
        <w:rPr>
          <w:rFonts w:eastAsia="Calibri"/>
        </w:rPr>
        <w:fldChar w:fldCharType="separate"/>
      </w:r>
      <w:r w:rsidR="002433D3" w:rsidRPr="006D631C">
        <w:rPr>
          <w:rFonts w:eastAsia="Calibri"/>
          <w:noProof/>
          <w:vertAlign w:val="superscript"/>
        </w:rPr>
        <w:t>9,17</w:t>
      </w:r>
      <w:r w:rsidRPr="006D631C">
        <w:rPr>
          <w:rFonts w:eastAsia="Calibri"/>
        </w:rPr>
        <w:fldChar w:fldCharType="end"/>
      </w:r>
      <w:r w:rsidRPr="006D631C">
        <w:rPr>
          <w:rFonts w:eastAsia="Calibri"/>
        </w:rPr>
        <w:t xml:space="preserve"> Typical SAXS profiles for different Q</w:t>
      </w:r>
      <w:r w:rsidRPr="006D631C">
        <w:rPr>
          <w:rFonts w:eastAsia="Calibri"/>
          <w:vertAlign w:val="subscript"/>
        </w:rPr>
        <w:t>α</w:t>
      </w:r>
      <w:r w:rsidRPr="006D631C">
        <w:rPr>
          <w:rFonts w:eastAsia="Calibri"/>
        </w:rPr>
        <w:t xml:space="preserve"> structures are shown in Fig</w:t>
      </w:r>
      <w:r w:rsidR="006B76F0" w:rsidRPr="006D631C">
        <w:rPr>
          <w:rFonts w:eastAsia="Calibri"/>
        </w:rPr>
        <w:t>ure</w:t>
      </w:r>
      <w:r w:rsidRPr="006D631C">
        <w:rPr>
          <w:rFonts w:eastAsia="Calibri"/>
        </w:rPr>
        <w:t xml:space="preserve"> </w:t>
      </w:r>
      <w:r w:rsidR="006B76F0" w:rsidRPr="006D631C">
        <w:rPr>
          <w:rFonts w:eastAsia="Calibri"/>
        </w:rPr>
        <w:t>1-</w:t>
      </w:r>
      <w:r w:rsidRPr="006D631C">
        <w:rPr>
          <w:rFonts w:eastAsia="Calibri"/>
        </w:rPr>
        <w:t>2b. Calculation of these parameters for Q</w:t>
      </w:r>
      <w:r w:rsidRPr="006D631C">
        <w:rPr>
          <w:rFonts w:eastAsia="Calibri"/>
          <w:vertAlign w:val="subscript"/>
        </w:rPr>
        <w:t>α</w:t>
      </w:r>
      <w:r w:rsidRPr="006D631C">
        <w:rPr>
          <w:rFonts w:eastAsia="Calibri"/>
        </w:rPr>
        <w:t xml:space="preserve"> structure from X-ray studies is not as simple as for H</w:t>
      </w:r>
      <w:r w:rsidRPr="006D631C">
        <w:rPr>
          <w:rFonts w:eastAsia="Calibri"/>
          <w:vertAlign w:val="subscript"/>
        </w:rPr>
        <w:t>α</w:t>
      </w:r>
      <w:r w:rsidRPr="006D631C">
        <w:rPr>
          <w:rFonts w:eastAsia="Calibri"/>
        </w:rPr>
        <w:t xml:space="preserve"> and L</w:t>
      </w:r>
      <w:r w:rsidRPr="006D631C">
        <w:rPr>
          <w:rFonts w:eastAsia="Calibri"/>
          <w:vertAlign w:val="subscript"/>
        </w:rPr>
        <w:t>α</w:t>
      </w:r>
      <w:r w:rsidRPr="006D631C">
        <w:rPr>
          <w:rFonts w:eastAsia="Calibri"/>
        </w:rPr>
        <w:t xml:space="preserve">. To calculate the lattice parameter </w:t>
      </w:r>
      <w:r w:rsidRPr="006D631C">
        <w:rPr>
          <w:rFonts w:eastAsia="Calibri"/>
          <w:i/>
          <w:iCs/>
        </w:rPr>
        <w:t>a</w:t>
      </w:r>
      <w:r w:rsidRPr="006D631C">
        <w:rPr>
          <w:rFonts w:eastAsia="Calibri"/>
        </w:rPr>
        <w:t xml:space="preserve">,  the reciprocal </w:t>
      </w:r>
      <w:proofErr w:type="spellStart"/>
      <w:r w:rsidRPr="006D631C">
        <w:rPr>
          <w:rFonts w:eastAsia="Calibri"/>
        </w:rPr>
        <w:t>spacings</w:t>
      </w:r>
      <w:proofErr w:type="spellEnd"/>
      <w:r w:rsidRPr="006D631C">
        <w:rPr>
          <w:rFonts w:eastAsia="Calibri"/>
        </w:rPr>
        <w:t>, 1/</w:t>
      </w:r>
      <w:proofErr w:type="spellStart"/>
      <w:r w:rsidRPr="006D631C">
        <w:rPr>
          <w:rFonts w:eastAsia="Calibri"/>
        </w:rPr>
        <w:t>d</w:t>
      </w:r>
      <w:r w:rsidRPr="006D631C">
        <w:rPr>
          <w:rFonts w:eastAsia="Calibri"/>
          <w:vertAlign w:val="subscript"/>
        </w:rPr>
        <w:t>hkl</w:t>
      </w:r>
      <w:proofErr w:type="spellEnd"/>
      <w:r w:rsidRPr="006D631C">
        <w:rPr>
          <w:rFonts w:eastAsia="Calibri"/>
        </w:rPr>
        <w:t>, of the peaks in the X-ray measurement are plotted versus the sum of the Miller indices, (h</w:t>
      </w:r>
      <w:r w:rsidRPr="006D631C">
        <w:rPr>
          <w:rFonts w:eastAsia="Calibri"/>
          <w:vertAlign w:val="superscript"/>
        </w:rPr>
        <w:t xml:space="preserve">2 </w:t>
      </w:r>
      <w:r w:rsidRPr="006D631C">
        <w:rPr>
          <w:rFonts w:eastAsia="Calibri"/>
        </w:rPr>
        <w:t>+ k</w:t>
      </w:r>
      <w:r w:rsidRPr="006D631C">
        <w:rPr>
          <w:rFonts w:eastAsia="Calibri"/>
          <w:vertAlign w:val="superscript"/>
        </w:rPr>
        <w:t xml:space="preserve">2 </w:t>
      </w:r>
      <w:r w:rsidRPr="006D631C">
        <w:rPr>
          <w:rFonts w:eastAsia="Calibri"/>
        </w:rPr>
        <w:t>+ l</w:t>
      </w:r>
      <w:r w:rsidRPr="006D631C">
        <w:rPr>
          <w:rFonts w:eastAsia="Calibri"/>
          <w:vertAlign w:val="superscript"/>
        </w:rPr>
        <w:t>2</w:t>
      </w:r>
      <w:r w:rsidRPr="006D631C">
        <w:rPr>
          <w:rFonts w:eastAsia="Calibri"/>
        </w:rPr>
        <w:t>)</w:t>
      </w:r>
      <w:r w:rsidRPr="006D631C">
        <w:rPr>
          <w:rFonts w:eastAsia="Calibri"/>
          <w:vertAlign w:val="superscript"/>
        </w:rPr>
        <w:t>1/2</w:t>
      </w:r>
      <w:r w:rsidRPr="006D631C">
        <w:rPr>
          <w:rFonts w:eastAsia="Calibri"/>
        </w:rPr>
        <w:t>.</w:t>
      </w:r>
      <w:r w:rsidRPr="006D631C">
        <w:rPr>
          <w:rFonts w:eastAsia="Calibri"/>
        </w:rPr>
        <w:fldChar w:fldCharType="begin" w:fldLock="1"/>
      </w:r>
      <w:r w:rsidR="007B3C1A" w:rsidRPr="006D631C">
        <w:rPr>
          <w:rFonts w:eastAsia="Calibri"/>
        </w:rPr>
        <w:instrText>ADDIN CSL_CITATION {"citationItems":[{"id":"ITEM-1","itemData":{"DOI":"10.1021/jp062159p","ISSN":"15206106","abstract":"The ternary phase diagram of the amphiphilic triblock copolymer PEO-PPO-PEO ((EO)20(PO)70(EO)20 commercialized under the generic name P123), water, and ethanol has been investigated at constant temperature (T = 23°C) by small-angle X-ray scattering (SAXS). The microstructure resulting from the self-assembly of the PEO-PPO-PEO block copolymer varies from micelles in solution to various types of liquid crystalline phases such as cubic, 3D hexagonal close packed spheres (HCPS), 2D hexagonal, and lamellar when the concentration of the polymer is increased. In the Isotropic liquid phase, the micellar structural parameters are obtained as a function of the water-ethanol ratio and block copolymer concentration by fitting the scattering data to a model involving core-shell form factor and a hard sphere structure factor of interaction. The micellar core, the aggregation number, and the hard sphere interaction radius decrease when increasing the ethanol/water ratio in the mixed solvent. We show that the fraction of ethanol present in the core is responsible for the swelling of the PPO blocks. In the different liquid crystalline phases, structural parameters such as lattice spacing, interfacial area of PEO block, and aggregation number are also evaluated. In addition to classical phases such as lamellar, 2D hexagonal, and liquid isotropic phases, we have observed a two-phase region in which cubic Fm3m and P63mmc (hexagonally close packing of spheres (HCPS)) phases coexist. This appears at 30% (w/w) of P123 in pure water and with 5% (w/w) of ethanol. At 10% (w/w) ethanol, only the HCPS phase remains present. © 2006 American Chemical Society.","author":[{"dropping-particle":"","family":"Soni","given":"S. S.","non-dropping-particle":"","parse-names":false,"suffix":""},{"dropping-particle":"","family":"Brotons","given":"G.","non-dropping-particle":"","parse-names":false,"suffix":""},{"dropping-particle":"","family":"Bellour","given":"M.","non-dropping-particle":"","parse-names":false,"suffix":""},{"dropping-particle":"","family":"Narayanan","given":"T.","non-dropping-particle":"","parse-names":false,"suffix":""},{"dropping-particle":"","family":"Gibaud","given":"A.","non-dropping-particle":"","parse-names":false,"suffix":""}],"container-title":"Journal of Physical Chemistry B","id":"ITEM-1","issue":"31","issued":{"date-parts":[["2006"]]},"page":"15157-15165","title":"Quantitative SAXS analysis of the P123/water/ethanol ternary phase diagram","type":"article-journal","volume":"110"},"uris":["http://www.mendeley.com/documents/?uuid=43ee2138-5ca4-4a5d-8f85-1921ed16d2cc"]}],"mendeley":{"formattedCitation":"&lt;sup&gt;18&lt;/sup&gt;","plainTextFormattedCitation":"18","previouslyFormattedCitation":"&lt;sup&gt;18&lt;/sup&gt;"},"properties":{"noteIndex":0},"schema":"https://github.com/citation-style-language/schema/raw/master/csl-citation.json"}</w:instrText>
      </w:r>
      <w:r w:rsidRPr="006D631C">
        <w:rPr>
          <w:rFonts w:eastAsia="Calibri"/>
        </w:rPr>
        <w:fldChar w:fldCharType="separate"/>
      </w:r>
      <w:r w:rsidR="002433D3" w:rsidRPr="006D631C">
        <w:rPr>
          <w:rFonts w:eastAsia="Calibri"/>
          <w:noProof/>
          <w:vertAlign w:val="superscript"/>
        </w:rPr>
        <w:t>18</w:t>
      </w:r>
      <w:r w:rsidRPr="006D631C">
        <w:rPr>
          <w:rFonts w:eastAsia="Calibri"/>
        </w:rPr>
        <w:fldChar w:fldCharType="end"/>
      </w:r>
      <w:r w:rsidRPr="006D631C">
        <w:rPr>
          <w:rFonts w:eastAsia="Calibri"/>
        </w:rPr>
        <w:t xml:space="preserve"> The 1/</w:t>
      </w:r>
      <w:proofErr w:type="gramStart"/>
      <w:r w:rsidRPr="006D631C">
        <w:rPr>
          <w:rFonts w:eastAsia="Calibri"/>
          <w:i/>
          <w:iCs/>
        </w:rPr>
        <w:t>a</w:t>
      </w:r>
      <w:r w:rsidRPr="006D631C">
        <w:rPr>
          <w:rFonts w:eastAsia="Calibri"/>
        </w:rPr>
        <w:t xml:space="preserve"> is</w:t>
      </w:r>
      <w:proofErr w:type="gramEnd"/>
      <w:r w:rsidRPr="006D631C">
        <w:rPr>
          <w:rFonts w:eastAsia="Calibri"/>
        </w:rPr>
        <w:t xml:space="preserve"> equal to the slope of the line passing through the data points.</w:t>
      </w:r>
    </w:p>
    <w:p w14:paraId="089AF74E" w14:textId="4831B501" w:rsidR="00413B1A" w:rsidRPr="006D631C" w:rsidRDefault="00CB52C8" w:rsidP="00413B1A">
      <w:r w:rsidRPr="006D631C">
        <w:rPr>
          <w:rFonts w:asciiTheme="majorBidi" w:hAnsiTheme="majorBidi" w:cstheme="majorBidi"/>
          <w:noProof/>
        </w:rPr>
        <w:drawing>
          <wp:inline distT="0" distB="0" distL="0" distR="0" wp14:anchorId="35F9B61D" wp14:editId="797A7389">
            <wp:extent cx="5943600" cy="20783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2078355"/>
                    </a:xfrm>
                    <a:prstGeom prst="rect">
                      <a:avLst/>
                    </a:prstGeom>
                    <a:noFill/>
                  </pic:spPr>
                </pic:pic>
              </a:graphicData>
            </a:graphic>
          </wp:inline>
        </w:drawing>
      </w:r>
    </w:p>
    <w:p w14:paraId="5AE5215C" w14:textId="7CA8598F" w:rsidR="00CB52C8" w:rsidRPr="006D631C" w:rsidRDefault="00CB52C8" w:rsidP="00D238DA">
      <w:pPr>
        <w:tabs>
          <w:tab w:val="left" w:pos="90"/>
          <w:tab w:val="left" w:pos="360"/>
          <w:tab w:val="left" w:pos="992"/>
        </w:tabs>
        <w:spacing w:line="360" w:lineRule="auto"/>
        <w:jc w:val="center"/>
        <w:rPr>
          <w:rFonts w:asciiTheme="majorBidi" w:hAnsiTheme="majorBidi" w:cstheme="majorBidi"/>
          <w:sz w:val="22"/>
          <w:szCs w:val="22"/>
        </w:rPr>
      </w:pPr>
      <w:bookmarkStart w:id="51" w:name="_Toc148175918"/>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9</w:t>
      </w:r>
      <w:r w:rsidR="00B55F32" w:rsidRPr="006D631C">
        <w:rPr>
          <w:sz w:val="22"/>
          <w:szCs w:val="22"/>
        </w:rPr>
        <w:fldChar w:fldCharType="end"/>
      </w:r>
      <w:r w:rsidRPr="006D631C">
        <w:rPr>
          <w:sz w:val="22"/>
          <w:szCs w:val="22"/>
        </w:rPr>
        <w:t>.</w:t>
      </w:r>
      <w:r w:rsidRPr="006D631C">
        <w:rPr>
          <w:rFonts w:eastAsia="Calibri"/>
          <w:sz w:val="22"/>
          <w:szCs w:val="22"/>
        </w:rPr>
        <w:t xml:space="preserve"> </w:t>
      </w:r>
      <w:r w:rsidR="00D238DA" w:rsidRPr="006D631C">
        <w:rPr>
          <w:rFonts w:asciiTheme="majorBidi" w:hAnsiTheme="majorBidi" w:cstheme="majorBidi"/>
          <w:sz w:val="22"/>
          <w:szCs w:val="22"/>
        </w:rPr>
        <w:t>Typical schematic of (a) normal and (b) reverse primitive Q</w:t>
      </w:r>
      <w:r w:rsidR="00D238DA" w:rsidRPr="006D631C">
        <w:rPr>
          <w:rFonts w:asciiTheme="majorBidi" w:hAnsiTheme="majorBidi" w:cstheme="majorBidi"/>
          <w:sz w:val="22"/>
          <w:szCs w:val="22"/>
          <w:vertAlign w:val="subscript"/>
        </w:rPr>
        <w:t>α</w:t>
      </w:r>
      <w:r w:rsidR="00D238DA" w:rsidRPr="006D631C">
        <w:rPr>
          <w:rFonts w:asciiTheme="majorBidi" w:hAnsiTheme="majorBidi" w:cstheme="majorBidi"/>
          <w:sz w:val="22"/>
          <w:szCs w:val="22"/>
        </w:rPr>
        <w:t xml:space="preserve"> structure with lattice parameter (</w:t>
      </w:r>
      <w:r w:rsidR="00D238DA" w:rsidRPr="006D631C">
        <w:rPr>
          <w:rFonts w:asciiTheme="majorBidi" w:hAnsiTheme="majorBidi" w:cstheme="majorBidi"/>
          <w:i/>
          <w:iCs/>
          <w:sz w:val="22"/>
          <w:szCs w:val="22"/>
        </w:rPr>
        <w:t>a</w:t>
      </w:r>
      <w:r w:rsidR="00D238DA" w:rsidRPr="006D631C">
        <w:rPr>
          <w:rFonts w:asciiTheme="majorBidi" w:hAnsiTheme="majorBidi" w:cstheme="majorBidi"/>
          <w:sz w:val="22"/>
          <w:szCs w:val="22"/>
        </w:rPr>
        <w:t>) and the thickness of the polar (2</w:t>
      </w:r>
      <w:r w:rsidR="00D238DA" w:rsidRPr="006D631C">
        <w:rPr>
          <w:rFonts w:asciiTheme="majorBidi" w:hAnsiTheme="majorBidi" w:cstheme="majorBidi"/>
          <w:i/>
          <w:iCs/>
          <w:sz w:val="22"/>
          <w:szCs w:val="22"/>
        </w:rPr>
        <w:t>t</w:t>
      </w:r>
      <w:r w:rsidR="00D238DA" w:rsidRPr="006D631C">
        <w:rPr>
          <w:rFonts w:asciiTheme="majorBidi" w:hAnsiTheme="majorBidi" w:cstheme="majorBidi"/>
          <w:i/>
          <w:iCs/>
          <w:sz w:val="22"/>
          <w:szCs w:val="22"/>
          <w:vertAlign w:val="subscript"/>
        </w:rPr>
        <w:t>polar</w:t>
      </w:r>
      <w:r w:rsidR="00D238DA" w:rsidRPr="006D631C">
        <w:rPr>
          <w:rFonts w:asciiTheme="majorBidi" w:hAnsiTheme="majorBidi" w:cstheme="majorBidi"/>
          <w:sz w:val="22"/>
          <w:szCs w:val="22"/>
        </w:rPr>
        <w:t>) and apolar domains (2</w:t>
      </w:r>
      <w:r w:rsidR="00D238DA" w:rsidRPr="006D631C">
        <w:rPr>
          <w:rFonts w:asciiTheme="majorBidi" w:hAnsiTheme="majorBidi" w:cstheme="majorBidi"/>
          <w:i/>
          <w:iCs/>
          <w:sz w:val="22"/>
          <w:szCs w:val="22"/>
        </w:rPr>
        <w:t>l</w:t>
      </w:r>
      <w:r w:rsidR="00D238DA" w:rsidRPr="006D631C">
        <w:rPr>
          <w:rFonts w:asciiTheme="majorBidi" w:hAnsiTheme="majorBidi" w:cstheme="majorBidi"/>
          <w:sz w:val="22"/>
          <w:szCs w:val="22"/>
        </w:rPr>
        <w:t>).</w:t>
      </w:r>
      <w:bookmarkEnd w:id="51"/>
    </w:p>
    <w:p w14:paraId="201AA5B3" w14:textId="017BBA03" w:rsidR="007F2B53" w:rsidRPr="006D631C" w:rsidRDefault="007F2B53" w:rsidP="008424F1">
      <w:pPr>
        <w:pStyle w:val="Heading3"/>
      </w:pPr>
      <w:bookmarkStart w:id="52" w:name="_Toc131082864"/>
      <w:bookmarkStart w:id="53" w:name="_Toc148175782"/>
      <w:r w:rsidRPr="006D631C">
        <w:t>1.2.4 Discontinuous cubic (I</w:t>
      </w:r>
      <w:r w:rsidRPr="006D631C">
        <w:rPr>
          <w:vertAlign w:val="subscript"/>
        </w:rPr>
        <w:t>α</w:t>
      </w:r>
      <w:r w:rsidRPr="006D631C">
        <w:t>)</w:t>
      </w:r>
      <w:bookmarkEnd w:id="52"/>
      <w:bookmarkEnd w:id="53"/>
      <w:r w:rsidRPr="006D631C">
        <w:t xml:space="preserve"> </w:t>
      </w:r>
    </w:p>
    <w:p w14:paraId="5EBEA0C0" w14:textId="428B4BE4" w:rsidR="00413B1A" w:rsidRPr="006D631C" w:rsidRDefault="007F2B53" w:rsidP="00F36D17">
      <w:pPr>
        <w:ind w:firstLine="357"/>
      </w:pPr>
      <w:r w:rsidRPr="006D631C">
        <w:rPr>
          <w:rFonts w:asciiTheme="majorBidi" w:hAnsiTheme="majorBidi" w:cstheme="majorBidi"/>
        </w:rPr>
        <w:t>The discontinuous cubic phases, which are also called micellar cubic, consist of micelles arranged in a cubic lattice. There are two types of cubic lattices for this structure, body-centered cubic (</w:t>
      </w:r>
      <w:r w:rsidRPr="006D631C">
        <w:rPr>
          <w:rFonts w:asciiTheme="majorBidi" w:hAnsiTheme="majorBidi" w:cstheme="majorBidi"/>
          <w:i/>
          <w:iCs/>
        </w:rPr>
        <w:t>BCC</w:t>
      </w:r>
      <w:r w:rsidRPr="006D631C">
        <w:rPr>
          <w:rFonts w:asciiTheme="majorBidi" w:hAnsiTheme="majorBidi" w:cstheme="majorBidi"/>
        </w:rPr>
        <w:t>) and face-centered cubic (</w:t>
      </w:r>
      <w:r w:rsidRPr="006D631C">
        <w:rPr>
          <w:rFonts w:asciiTheme="majorBidi" w:hAnsiTheme="majorBidi" w:cstheme="majorBidi"/>
          <w:i/>
          <w:iCs/>
        </w:rPr>
        <w:t>FCC</w:t>
      </w:r>
      <w:r w:rsidRPr="006D631C">
        <w:rPr>
          <w:rFonts w:asciiTheme="majorBidi" w:hAnsiTheme="majorBidi" w:cstheme="majorBidi"/>
        </w:rPr>
        <w:t>), as presented in Fig</w:t>
      </w:r>
      <w:r w:rsidR="00F36D17" w:rsidRPr="006D631C">
        <w:rPr>
          <w:rFonts w:asciiTheme="majorBidi" w:hAnsiTheme="majorBidi" w:cstheme="majorBidi"/>
        </w:rPr>
        <w:t>ure</w:t>
      </w:r>
      <w:r w:rsidRPr="006D631C">
        <w:rPr>
          <w:rFonts w:asciiTheme="majorBidi" w:hAnsiTheme="majorBidi" w:cstheme="majorBidi"/>
        </w:rPr>
        <w:t xml:space="preserve"> 1</w:t>
      </w:r>
      <w:r w:rsidR="00F36D17" w:rsidRPr="006D631C">
        <w:rPr>
          <w:rFonts w:asciiTheme="majorBidi" w:hAnsiTheme="majorBidi" w:cstheme="majorBidi"/>
        </w:rPr>
        <w:t>-1</w:t>
      </w:r>
      <w:r w:rsidRPr="006D631C">
        <w:rPr>
          <w:rFonts w:asciiTheme="majorBidi" w:hAnsiTheme="majorBidi" w:cstheme="majorBidi"/>
        </w:rPr>
        <w:t>. In the X-ray measurements, the characteristic peak ratio for BCC and FCC phases are 1:√2:√4:√6:√8:√10… (corresponding to the d</w:t>
      </w:r>
      <w:r w:rsidRPr="006D631C">
        <w:rPr>
          <w:rFonts w:asciiTheme="majorBidi" w:hAnsiTheme="majorBidi" w:cstheme="majorBidi"/>
          <w:vertAlign w:val="subscript"/>
        </w:rPr>
        <w:t>100</w:t>
      </w:r>
      <w:r w:rsidRPr="006D631C">
        <w:rPr>
          <w:rFonts w:asciiTheme="majorBidi" w:hAnsiTheme="majorBidi" w:cstheme="majorBidi"/>
        </w:rPr>
        <w:t>, d</w:t>
      </w:r>
      <w:r w:rsidRPr="006D631C">
        <w:rPr>
          <w:rFonts w:asciiTheme="majorBidi" w:hAnsiTheme="majorBidi" w:cstheme="majorBidi"/>
          <w:vertAlign w:val="subscript"/>
        </w:rPr>
        <w:t>110</w:t>
      </w:r>
      <w:r w:rsidRPr="006D631C">
        <w:rPr>
          <w:rFonts w:asciiTheme="majorBidi" w:hAnsiTheme="majorBidi" w:cstheme="majorBidi"/>
        </w:rPr>
        <w:t>, d</w:t>
      </w:r>
      <w:r w:rsidRPr="006D631C">
        <w:rPr>
          <w:rFonts w:asciiTheme="majorBidi" w:hAnsiTheme="majorBidi" w:cstheme="majorBidi"/>
          <w:vertAlign w:val="subscript"/>
        </w:rPr>
        <w:t>200</w:t>
      </w:r>
      <w:r w:rsidRPr="006D631C">
        <w:rPr>
          <w:rFonts w:asciiTheme="majorBidi" w:hAnsiTheme="majorBidi" w:cstheme="majorBidi"/>
        </w:rPr>
        <w:t>, d</w:t>
      </w:r>
      <w:r w:rsidRPr="006D631C">
        <w:rPr>
          <w:rFonts w:asciiTheme="majorBidi" w:hAnsiTheme="majorBidi" w:cstheme="majorBidi"/>
          <w:vertAlign w:val="subscript"/>
        </w:rPr>
        <w:t>211</w:t>
      </w:r>
      <w:r w:rsidRPr="006D631C">
        <w:rPr>
          <w:rFonts w:asciiTheme="majorBidi" w:hAnsiTheme="majorBidi" w:cstheme="majorBidi"/>
        </w:rPr>
        <w:t>, d</w:t>
      </w:r>
      <w:r w:rsidRPr="006D631C">
        <w:rPr>
          <w:rFonts w:asciiTheme="majorBidi" w:hAnsiTheme="majorBidi" w:cstheme="majorBidi"/>
          <w:vertAlign w:val="subscript"/>
        </w:rPr>
        <w:t>220</w:t>
      </w:r>
      <w:r w:rsidRPr="006D631C">
        <w:rPr>
          <w:rFonts w:asciiTheme="majorBidi" w:hAnsiTheme="majorBidi" w:cstheme="majorBidi"/>
        </w:rPr>
        <w:t>, d</w:t>
      </w:r>
      <w:r w:rsidRPr="006D631C">
        <w:rPr>
          <w:rFonts w:asciiTheme="majorBidi" w:hAnsiTheme="majorBidi" w:cstheme="majorBidi"/>
          <w:vertAlign w:val="subscript"/>
        </w:rPr>
        <w:t>310</w:t>
      </w:r>
      <w:r w:rsidRPr="006D631C">
        <w:rPr>
          <w:rFonts w:asciiTheme="majorBidi" w:hAnsiTheme="majorBidi" w:cstheme="majorBidi"/>
        </w:rPr>
        <w:t>,… diffraction planes)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{"citationItems":[{"id":"ITEM-1","itemData":{"DOI":"10.1039/c8sm02336k","ISSN":"17446848","abstract":"Amphiphilic block copolymers self-assemble at the water/oil interface to form different mesomorphic structures, such as lamellar, micellar cubic, normal hexagonal, and reverse hexagonal structures. Usually, these structures are polycrystalline and the value of their elastic modulus depends on the average orientation of their constituent's single crystals. We provide a model to predict the elastic modulus and yielding of mesophases from their characteristic length and intermicellar interactions. Shear modulus of each structure is calculated as a function of deformation (strain). Zero-shear modulus, G0, depends on the inverse of the intermicellar distance with a power law model. The power law index for each structure is approximately n + 2 where n is the degree of confinement in the mesophase: 1 for lamellar, 2 for both normal and reverse hexagonal, and 3 for micellar cubic structures. Rheological properties of different mesophases of Pluronic P84 in the presence of water and p-xylene are used as a case study. The model is found to be in good agreement with experimental data in the linear viscoelastic region. When compared to experimental data, the yield strain value obtained from the model is one order of magnitude higher than the limit of the linear viscoelastic regime and close to the strain at the cross-over point of storage and loss moduli. Frequency sweep measurements are done to characterize the relaxation and cooperative model behaviors of each mesophase structure.","author":[{"dropping-particle":"","family":"Qavi","given":"Sahar","non-dropping-particle":"","parse-names":false,"suffix":""},{"dropping-particle":"","family":"Firestone","given":"Millicent A.","non-dropping-particle":"","parse-names":false,"suffix":""},{"dropping-particle":"","family":"Foudazi","given":"Reza","non-dropping-particle":"","parse-names":false,"suffix":""}],"container-title":"Soft Matter","id":"ITEM-1","issue":"28","issued":{"date-parts":[["2019"]]},"page":"5626-5637","title":"Elasticity and yielding of mesophases of block copolymers in water-oil mixtures","type":"article-journal","volume":"15"},"uris":["http://www.mendeley.com/documents/?uuid=d6b996a8-3b15-449b-bf48-5adc680fb63c"]}],"mendeley":{"formattedCitation":"&lt;sup&gt;62&lt;/sup&gt;","plainTextFormattedCitation":"62","previouslyFormattedCitation":"&lt;sup&gt;62&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62</w:t>
      </w:r>
      <w:r w:rsidRPr="006D631C">
        <w:rPr>
          <w:rFonts w:asciiTheme="majorBidi" w:hAnsiTheme="majorBidi" w:cstheme="majorBidi"/>
        </w:rPr>
        <w:fldChar w:fldCharType="end"/>
      </w:r>
      <w:r w:rsidRPr="006D631C">
        <w:rPr>
          <w:rFonts w:asciiTheme="majorBidi" w:hAnsiTheme="majorBidi" w:cstheme="majorBidi"/>
        </w:rPr>
        <w:t xml:space="preserve"> and </w:t>
      </w:r>
      <w:r w:rsidRPr="006D631C">
        <w:rPr>
          <w:rFonts w:asciiTheme="majorBidi" w:hAnsiTheme="majorBidi" w:cstheme="majorBidi"/>
        </w:rPr>
        <w:lastRenderedPageBreak/>
        <w:t>1:√3:√4:√8:√11:√12… (corresponding to the d</w:t>
      </w:r>
      <w:r w:rsidRPr="006D631C">
        <w:rPr>
          <w:rFonts w:asciiTheme="majorBidi" w:hAnsiTheme="majorBidi" w:cstheme="majorBidi"/>
          <w:vertAlign w:val="subscript"/>
        </w:rPr>
        <w:t>100</w:t>
      </w:r>
      <w:r w:rsidRPr="006D631C">
        <w:rPr>
          <w:rFonts w:asciiTheme="majorBidi" w:hAnsiTheme="majorBidi" w:cstheme="majorBidi"/>
        </w:rPr>
        <w:t>, d</w:t>
      </w:r>
      <w:r w:rsidRPr="006D631C">
        <w:rPr>
          <w:rFonts w:asciiTheme="majorBidi" w:hAnsiTheme="majorBidi" w:cstheme="majorBidi"/>
          <w:vertAlign w:val="subscript"/>
        </w:rPr>
        <w:t>111</w:t>
      </w:r>
      <w:r w:rsidRPr="006D631C">
        <w:rPr>
          <w:rFonts w:asciiTheme="majorBidi" w:hAnsiTheme="majorBidi" w:cstheme="majorBidi"/>
        </w:rPr>
        <w:t>, d</w:t>
      </w:r>
      <w:r w:rsidRPr="006D631C">
        <w:rPr>
          <w:rFonts w:asciiTheme="majorBidi" w:hAnsiTheme="majorBidi" w:cstheme="majorBidi"/>
          <w:vertAlign w:val="subscript"/>
        </w:rPr>
        <w:t>200</w:t>
      </w:r>
      <w:r w:rsidRPr="006D631C">
        <w:rPr>
          <w:rFonts w:asciiTheme="majorBidi" w:hAnsiTheme="majorBidi" w:cstheme="majorBidi"/>
        </w:rPr>
        <w:t>, d</w:t>
      </w:r>
      <w:r w:rsidRPr="006D631C">
        <w:rPr>
          <w:rFonts w:asciiTheme="majorBidi" w:hAnsiTheme="majorBidi" w:cstheme="majorBidi"/>
          <w:vertAlign w:val="subscript"/>
        </w:rPr>
        <w:t>220</w:t>
      </w:r>
      <w:r w:rsidRPr="006D631C">
        <w:rPr>
          <w:rFonts w:asciiTheme="majorBidi" w:hAnsiTheme="majorBidi" w:cstheme="majorBidi"/>
        </w:rPr>
        <w:t>, d</w:t>
      </w:r>
      <w:r w:rsidRPr="006D631C">
        <w:rPr>
          <w:rFonts w:asciiTheme="majorBidi" w:hAnsiTheme="majorBidi" w:cstheme="majorBidi"/>
          <w:vertAlign w:val="subscript"/>
        </w:rPr>
        <w:t>311</w:t>
      </w:r>
      <w:r w:rsidRPr="006D631C">
        <w:rPr>
          <w:rFonts w:asciiTheme="majorBidi" w:hAnsiTheme="majorBidi" w:cstheme="majorBidi"/>
        </w:rPr>
        <w:t>, d</w:t>
      </w:r>
      <w:r w:rsidRPr="006D631C">
        <w:rPr>
          <w:rFonts w:asciiTheme="majorBidi" w:hAnsiTheme="majorBidi" w:cstheme="majorBidi"/>
          <w:vertAlign w:val="subscript"/>
        </w:rPr>
        <w:t>222</w:t>
      </w:r>
      <w:r w:rsidRPr="006D631C">
        <w:rPr>
          <w:rFonts w:asciiTheme="majorBidi" w:hAnsiTheme="majorBidi" w:cstheme="majorBidi"/>
        </w:rPr>
        <w:t>,… diffraction planes),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{"citationItems":[{"id":"ITEM-1","itemData":{"DOI":"10.1039/c8sm02336k","ISSN":"17446848","abstract":"Amphiphilic block copolymers self-assemble at the water/oil interface to form different mesomorphic structures, such as lamellar, micellar cubic, normal hexagonal, and reverse hexagonal structures. Usually, these structures are polycrystalline and the value of their elastic modulus depends on the average orientation of their constituent's single crystals. We provide a model to predict the elastic modulus and yielding of mesophases from their characteristic length and intermicellar interactions. Shear modulus of each structure is calculated as a function of deformation (strain). Zero-shear modulus, G0, depends on the inverse of the intermicellar distance with a power law model. The power law index for each structure is approximately n + 2 where n is the degree of confinement in the mesophase: 1 for lamellar, 2 for both normal and reverse hexagonal, and 3 for micellar cubic structures. Rheological properties of different mesophases of Pluronic P84 in the presence of water and p-xylene are used as a case study. The model is found to be in good agreement with experimental data in the linear viscoelastic region. When compared to experimental data, the yield strain value obtained from the model is one order of magnitude higher than the limit of the linear viscoelastic regime and close to the strain at the cross-over point of storage and loss moduli. Frequency sweep measurements are done to characterize the relaxation and cooperative model behaviors of each mesophase structure.","author":[{"dropping-particle":"","family":"Qavi","given":"Sahar","non-dropping-particle":"","parse-names":false,"suffix":""},{"dropping-particle":"","family":"Firestone","given":"Millicent A.","non-dropping-particle":"","parse-names":false,"suffix":""},{"dropping-particle":"","family":"Foudazi","given":"Reza","non-dropping-particle":"","parse-names":false,"suffix":""}],"container-title":"Soft Matter","id":"ITEM-1","issue":"28","issued":{"date-parts":[["2019"]]},"page":"5626-5637","title":"Elasticity and yielding of mesophases of block copolymers in water-oil mixtures","type":"article-journal","volume":"15"},"uris":["http://www.mendeley.com/documents/?uuid=d6b996a8-3b15-449b-bf48-5adc680fb63c"]}],"mendeley":{"formattedCitation":"&lt;sup&gt;62&lt;/sup&gt;","plainTextFormattedCitation":"62","previouslyFormattedCitation":"&lt;sup&gt;62&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62</w:t>
      </w:r>
      <w:r w:rsidRPr="006D631C">
        <w:rPr>
          <w:rFonts w:asciiTheme="majorBidi" w:hAnsiTheme="majorBidi" w:cstheme="majorBidi"/>
        </w:rPr>
        <w:fldChar w:fldCharType="end"/>
      </w:r>
      <w:r w:rsidRPr="006D631C">
        <w:rPr>
          <w:rFonts w:asciiTheme="majorBidi" w:hAnsiTheme="majorBidi" w:cstheme="majorBidi"/>
        </w:rPr>
        <w:t xml:space="preserve">  respectively</w:t>
      </w:r>
      <w:r w:rsidR="00281BC4" w:rsidRPr="006D631C">
        <w:rPr>
          <w:rFonts w:asciiTheme="majorBidi" w:hAnsiTheme="majorBidi" w:cstheme="majorBidi"/>
        </w:rPr>
        <w:t xml:space="preserve"> (see Figure</w:t>
      </w:r>
      <w:r w:rsidRPr="006D631C">
        <w:rPr>
          <w:rFonts w:asciiTheme="majorBidi" w:hAnsiTheme="majorBidi" w:cstheme="majorBidi"/>
        </w:rPr>
        <w:t xml:space="preserve"> </w:t>
      </w:r>
      <w:r w:rsidR="00281BC4" w:rsidRPr="006D631C">
        <w:rPr>
          <w:rFonts w:asciiTheme="majorBidi" w:hAnsiTheme="majorBidi" w:cstheme="majorBidi"/>
        </w:rPr>
        <w:t>1-</w:t>
      </w:r>
      <w:r w:rsidRPr="006D631C">
        <w:rPr>
          <w:rFonts w:asciiTheme="majorBidi" w:hAnsiTheme="majorBidi" w:cstheme="majorBidi"/>
        </w:rPr>
        <w:t>2b).</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{"citationItems":[{"id":"ITEM-1","itemData":{"ISBN":"0471 490830","abstract":"The article discusses how alcohol and other drugs impact the child welfare system in the U.S. In a survey conducted by the Child Welfare League of America of its member agencies, it was revealed that the impact is more pronounced in the system in cases of shortages in the number of child welfare personnel and foster homes. In October 1990, the Child Welfare League of America set up the North American Commission on Chemical Dependency and Child Welfare to study the problem. However, the measure suffered from the lack of data on problems related to the impact of drugs and alcohol on the child welfare system.","author":[{"dropping-particle":"","family":"Hyde","given":"Stephen T","non-dropping-particle":"","parse-names":false,"suffix":""}],"container-title":"Handbook of Applied Surface and Colloid Chemistry","id":"ITEM-1","issued":{"date-parts":[["2001"]]},"page":"299-332","title":"Identification of Lyotropic Liquid Crystalline Mesophases","type":"chapter"},"uris":["http://www.mendeley.com/documents/?uuid=5045f285-eb10-482d-a0bd-0d9f8f2925b5"]}],"mendeley":{"formattedCitation":"&lt;sup&gt;9&lt;/sup&gt;","plainTextFormattedCitation":"9","previouslyFormattedCitation":"&lt;sup&gt;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9</w:t>
      </w:r>
      <w:r w:rsidRPr="006D631C">
        <w:rPr>
          <w:rFonts w:asciiTheme="majorBidi" w:hAnsiTheme="majorBidi" w:cstheme="majorBidi"/>
        </w:rPr>
        <w:fldChar w:fldCharType="end"/>
      </w:r>
      <w:r w:rsidRPr="006D631C">
        <w:rPr>
          <w:rFonts w:asciiTheme="majorBidi" w:hAnsiTheme="majorBidi" w:cstheme="majorBidi"/>
        </w:rPr>
        <w:t xml:space="preserve"> To calculate</w:t>
      </w:r>
      <w:r w:rsidR="00281BC4" w:rsidRPr="006D631C">
        <w:rPr>
          <w:rFonts w:asciiTheme="majorBidi" w:hAnsiTheme="majorBidi" w:cstheme="majorBidi"/>
        </w:rPr>
        <w:t xml:space="preserve"> the lattice parameter (see Figure</w:t>
      </w:r>
      <w:r w:rsidRPr="006D631C">
        <w:rPr>
          <w:rFonts w:asciiTheme="majorBidi" w:hAnsiTheme="majorBidi" w:cstheme="majorBidi"/>
        </w:rPr>
        <w:t xml:space="preserve"> </w:t>
      </w:r>
      <w:r w:rsidR="00281BC4" w:rsidRPr="006D631C">
        <w:rPr>
          <w:rFonts w:asciiTheme="majorBidi" w:hAnsiTheme="majorBidi" w:cstheme="majorBidi"/>
        </w:rPr>
        <w:t>1-</w:t>
      </w:r>
      <w:r w:rsidRPr="006D631C">
        <w:rPr>
          <w:rFonts w:asciiTheme="majorBidi" w:hAnsiTheme="majorBidi" w:cstheme="majorBidi"/>
        </w:rPr>
        <w:t xml:space="preserve">10), a procedure similar to the one for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structures is used.</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{"citationItems":[{"id":"ITEM-1","itemData":{"DOI":"10.1039/c8sm02336k","ISSN":"17446848","abstract":"Amphiphilic block copolymers self-assemble at the water/oil interface to form different mesomorphic structures, such as lamellar, micellar cubic, normal hexagonal, and reverse hexagonal structures. Usually, these structures are polycrystalline and the value of their elastic modulus depends on the average orientation of their constituent's single crystals. We provide a model to predict the elastic modulus and yielding of mesophases from their characteristic length and intermicellar interactions. Shear modulus of each structure is calculated as a function of deformation (strain). Zero-shear modulus, G0, depends on the inverse of the intermicellar distance with a power law model. The power law index for each structure is approximately n + 2 where n is the degree of confinement in the mesophase: 1 for lamellar, 2 for both normal and reverse hexagonal, and 3 for micellar cubic structures. Rheological properties of different mesophases of Pluronic P84 in the presence of water and p-xylene are used as a case study. The model is found to be in good agreement with experimental data in the linear viscoelastic region. When compared to experimental data, the yield strain value obtained from the model is one order of magnitude higher than the limit of the linear viscoelastic regime and close to the strain at the cross-over point of storage and loss moduli. Frequency sweep measurements are done to characterize the relaxation and cooperative model behaviors of each mesophase structure.","author":[{"dropping-particle":"","family":"Qavi","given":"Sahar","non-dropping-particle":"","parse-names":false,"suffix":""},{"dropping-particle":"","family":"Firestone","given":"Millicent A.","non-dropping-particle":"","parse-names":false,"suffix":""},{"dropping-particle":"","family":"Foudazi","given":"Reza","non-dropping-particle":"","parse-names":false,"suffix":""}],"container-title":"Soft Matter","id":"ITEM-1","issue":"28","issued":{"date-parts":[["2019"]]},"page":"5626-5637","title":"Elasticity and yielding of mesophases of block copolymers in water-oil mixtures","type":"article-journal","volume":"15"},"uris":["http://www.mendeley.com/documents/?uuid=d6b996a8-3b15-449b-bf48-5adc680fb63c"]}],"mendeley":{"formattedCitation":"&lt;sup&gt;62&lt;/sup&gt;","plainTextFormattedCitation":"62","previouslyFormattedCitation":"&lt;sup&gt;62&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62</w:t>
      </w:r>
      <w:r w:rsidRPr="006D631C">
        <w:rPr>
          <w:rFonts w:asciiTheme="majorBidi" w:hAnsiTheme="majorBidi" w:cstheme="majorBidi"/>
        </w:rPr>
        <w:fldChar w:fldCharType="end"/>
      </w:r>
      <w:r w:rsidRPr="006D631C">
        <w:rPr>
          <w:rFonts w:asciiTheme="majorBidi" w:hAnsiTheme="majorBidi" w:cstheme="majorBidi"/>
        </w:rPr>
        <w:t xml:space="preserve"> Polar domain size </w:t>
      </w:r>
      <w:r w:rsidRPr="006D631C">
        <w:rPr>
          <w:rFonts w:asciiTheme="majorBidi" w:hAnsiTheme="majorBidi" w:cstheme="majorBidi"/>
          <w:i/>
          <w:iCs/>
        </w:rPr>
        <w:t>α</w:t>
      </w:r>
      <w:r w:rsidRPr="006D631C">
        <w:rPr>
          <w:rFonts w:asciiTheme="majorBidi" w:hAnsiTheme="majorBidi" w:cstheme="majorBidi"/>
          <w:i/>
          <w:iCs/>
          <w:vertAlign w:val="subscript"/>
        </w:rPr>
        <w:t>1</w:t>
      </w:r>
      <w:r w:rsidRPr="006D631C">
        <w:rPr>
          <w:rFonts w:asciiTheme="majorBidi" w:hAnsiTheme="majorBidi" w:cstheme="majorBidi"/>
        </w:rPr>
        <w:t xml:space="preserve"> and apolar domain size </w:t>
      </w:r>
      <w:r w:rsidRPr="006D631C">
        <w:rPr>
          <w:rFonts w:asciiTheme="majorBidi" w:hAnsiTheme="majorBidi" w:cstheme="majorBidi"/>
          <w:i/>
          <w:iCs/>
        </w:rPr>
        <w:t>α</w:t>
      </w:r>
      <w:r w:rsidRPr="006D631C">
        <w:rPr>
          <w:rFonts w:asciiTheme="majorBidi" w:hAnsiTheme="majorBidi" w:cstheme="majorBidi"/>
          <w:i/>
          <w:iCs/>
          <w:vertAlign w:val="subscript"/>
        </w:rPr>
        <w:t>2</w:t>
      </w:r>
      <w:r w:rsidRPr="006D631C">
        <w:rPr>
          <w:rFonts w:asciiTheme="majorBidi" w:hAnsiTheme="majorBidi" w:cstheme="majorBidi"/>
        </w:rPr>
        <w:t xml:space="preserve"> of </w:t>
      </w:r>
      <w:r w:rsidRPr="006D631C">
        <w:rPr>
          <w:rFonts w:asciiTheme="majorBidi" w:hAnsiTheme="majorBidi" w:cstheme="majorBidi"/>
          <w:i/>
          <w:iCs/>
        </w:rPr>
        <w:t>BCC</w:t>
      </w:r>
      <w:r w:rsidRPr="006D631C">
        <w:rPr>
          <w:rFonts w:asciiTheme="majorBidi" w:hAnsiTheme="majorBidi" w:cstheme="majorBidi"/>
        </w:rPr>
        <w:t xml:space="preserve"> lattice can be estimated via Eq. (</w:t>
      </w:r>
      <w:r w:rsidR="00E65C9D" w:rsidRPr="006D631C">
        <w:rPr>
          <w:rFonts w:asciiTheme="majorBidi" w:hAnsiTheme="majorBidi" w:cstheme="majorBidi"/>
        </w:rPr>
        <w:t>1-</w:t>
      </w:r>
      <w:r w:rsidRPr="006D631C">
        <w:rPr>
          <w:rFonts w:asciiTheme="majorBidi" w:hAnsiTheme="majorBidi" w:cstheme="majorBidi"/>
        </w:rPr>
        <w:t>17) and Eq. (</w:t>
      </w:r>
      <w:r w:rsidR="00E65C9D" w:rsidRPr="006D631C">
        <w:rPr>
          <w:rFonts w:asciiTheme="majorBidi" w:hAnsiTheme="majorBidi" w:cstheme="majorBidi"/>
        </w:rPr>
        <w:t>1-</w:t>
      </w:r>
      <w:r w:rsidRPr="006D631C">
        <w:rPr>
          <w:rFonts w:asciiTheme="majorBidi" w:hAnsiTheme="majorBidi" w:cstheme="majorBidi"/>
        </w:rPr>
        <w:t>18), respectively.</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{"citationItems":[{"id":"ITEM-1","itemData":{"author":[{"dropping-particle":"","family":"Marquez Garcia","given":"Maria Guadalupe","non-dropping-particle":"","parse-names":false,"suffix":""}],"id":"ITEM-1","issued":{"date-parts":[["2020"]]},"number-of-pages":"132","publisher":"New Mexico State University","title":"LYOTROPIC LIQUID CRYSTALS CONTAINING IONIC LIQUIDS FOR CO2 CAPTURE","type":"thesis"},"uris":["http://www.mendeley.com/documents/?uuid=ea5cd11a-5583-427f-ae06-8b6666cb505a"]}],"mendeley":{"formattedCitation":"&lt;sup&gt;63&lt;/sup&gt;","plainTextFormattedCitation":"63","previouslyFormattedCitation":"&lt;sup&gt;63&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63</w:t>
      </w:r>
      <w:r w:rsidRPr="006D631C">
        <w:rPr>
          <w:rFonts w:asciiTheme="majorBidi" w:hAnsiTheme="majorBidi" w:cstheme="majorBidi"/>
        </w:rPr>
        <w:fldChar w:fldCharType="end"/>
      </w:r>
      <w:r w:rsidRPr="006D631C">
        <w:rPr>
          <w:rFonts w:asciiTheme="majorBidi" w:hAnsiTheme="majorBidi" w:cstheme="majorBidi"/>
        </w:rPr>
        <w:t xml:space="preserve"> In these equations, </w:t>
      </w:r>
      <w:proofErr w:type="spellStart"/>
      <w:proofErr w:type="gramStart"/>
      <w:r w:rsidRPr="006D631C">
        <w:rPr>
          <w:rFonts w:asciiTheme="majorBidi" w:hAnsiTheme="majorBidi" w:cstheme="majorBidi"/>
          <w:i/>
          <w:iCs/>
        </w:rPr>
        <w:t>R</w:t>
      </w:r>
      <w:r w:rsidRPr="006D631C">
        <w:rPr>
          <w:rFonts w:asciiTheme="majorBidi" w:hAnsiTheme="majorBidi" w:cstheme="majorBidi"/>
          <w:i/>
          <w:iCs/>
          <w:vertAlign w:val="subscript"/>
        </w:rPr>
        <w:t>c</w:t>
      </w:r>
      <w:proofErr w:type="spellEnd"/>
      <w:proofErr w:type="gramEnd"/>
      <w:r w:rsidRPr="006D631C">
        <w:rPr>
          <w:rFonts w:asciiTheme="majorBidi" w:hAnsiTheme="majorBidi" w:cstheme="majorBidi"/>
        </w:rPr>
        <w:t xml:space="preserve"> is the radius of the spherical micelles and </w:t>
      </w:r>
      <w:r w:rsidRPr="006D631C">
        <w:rPr>
          <w:rFonts w:asciiTheme="majorBidi" w:hAnsiTheme="majorBidi" w:cstheme="majorBidi"/>
          <w:i/>
          <w:iCs/>
        </w:rPr>
        <w:t>ϕ</w:t>
      </w:r>
      <w:r w:rsidRPr="006D631C">
        <w:rPr>
          <w:rFonts w:asciiTheme="majorBidi" w:hAnsiTheme="majorBidi" w:cstheme="majorBidi"/>
        </w:rPr>
        <w:t>, which is obtained by Eq. (</w:t>
      </w:r>
      <w:r w:rsidR="005E6021" w:rsidRPr="006D631C">
        <w:rPr>
          <w:rFonts w:asciiTheme="majorBidi" w:hAnsiTheme="majorBidi" w:cstheme="majorBidi"/>
        </w:rPr>
        <w:t>1-</w:t>
      </w:r>
      <w:r w:rsidRPr="006D631C">
        <w:rPr>
          <w:rFonts w:asciiTheme="majorBidi" w:hAnsiTheme="majorBidi" w:cstheme="majorBidi"/>
        </w:rPr>
        <w:t>19), is the volume fraction of continuous domain.</w:t>
      </w:r>
    </w:p>
    <w:p w14:paraId="3B57F758" w14:textId="6DBF373C" w:rsidR="00A62A92" w:rsidRPr="006D631C" w:rsidRDefault="00A62A92" w:rsidP="00A62A92">
      <w:pPr>
        <w:pStyle w:val="Caption"/>
        <w:rPr>
          <w:rFonts w:asciiTheme="majorBidi" w:hAnsiTheme="majorBidi" w:cstheme="majorBidi"/>
        </w:rPr>
      </w:pPr>
      <w:r w:rsidRPr="006D631C">
        <w:rPr>
          <w:rFonts w:asciiTheme="majorBidi" w:hAnsiTheme="majorBidi" w:cstheme="majorBidi"/>
          <w:position w:val="-12"/>
          <w:szCs w:val="24"/>
        </w:rPr>
        <w:object w:dxaOrig="880" w:dyaOrig="360" w14:anchorId="7A6C08A2">
          <v:shape id="_x0000_i1044" type="#_x0000_t75" style="width:42pt;height:18pt" o:ole="">
            <v:imagedata r:id="rId59" o:title=""/>
          </v:shape>
          <o:OLEObject Type="Embed" ProgID="Equation.DSMT4" ShapeID="_x0000_i1044" DrawAspect="Content" ObjectID="_1760013312" r:id="rId60"/>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 xml:space="preserve">             </w:t>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17</w:t>
      </w:r>
      <w:r w:rsidR="006A54D9" w:rsidRPr="006D631C">
        <w:rPr>
          <w:rFonts w:asciiTheme="majorBidi" w:hAnsiTheme="majorBidi" w:cstheme="majorBidi"/>
        </w:rPr>
        <w:fldChar w:fldCharType="end"/>
      </w:r>
      <w:r w:rsidRPr="006D631C">
        <w:rPr>
          <w:rFonts w:asciiTheme="majorBidi" w:hAnsiTheme="majorBidi" w:cstheme="majorBidi"/>
        </w:rPr>
        <w:t>)</w:t>
      </w:r>
    </w:p>
    <w:p w14:paraId="316CAFF6" w14:textId="65392891" w:rsidR="00A62A92" w:rsidRPr="006D631C" w:rsidRDefault="00A62A92" w:rsidP="00A62A92">
      <w:pPr>
        <w:pStyle w:val="Caption"/>
        <w:rPr>
          <w:rFonts w:asciiTheme="majorBidi" w:hAnsiTheme="majorBidi" w:cstheme="majorBidi"/>
        </w:rPr>
      </w:pPr>
      <w:r w:rsidRPr="006D631C">
        <w:rPr>
          <w:rFonts w:asciiTheme="majorBidi" w:hAnsiTheme="majorBidi" w:cstheme="majorBidi"/>
          <w:position w:val="-24"/>
          <w:szCs w:val="24"/>
        </w:rPr>
        <w:object w:dxaOrig="1380" w:dyaOrig="660" w14:anchorId="1B27235E">
          <v:shape id="_x0000_i1045" type="#_x0000_t75" style="width:1in;height:36pt" o:ole="">
            <v:imagedata r:id="rId61" o:title=""/>
          </v:shape>
          <o:OLEObject Type="Embed" ProgID="Equation.DSMT4" ShapeID="_x0000_i1045" DrawAspect="Content" ObjectID="_1760013313" r:id="rId62"/>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 xml:space="preserve">             </w:t>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18</w:t>
      </w:r>
      <w:r w:rsidR="006A54D9" w:rsidRPr="006D631C">
        <w:rPr>
          <w:rFonts w:asciiTheme="majorBidi" w:hAnsiTheme="majorBidi" w:cstheme="majorBidi"/>
        </w:rPr>
        <w:fldChar w:fldCharType="end"/>
      </w:r>
      <w:r w:rsidRPr="006D631C">
        <w:rPr>
          <w:rFonts w:asciiTheme="majorBidi" w:hAnsiTheme="majorBidi" w:cstheme="majorBidi"/>
        </w:rPr>
        <w:t>)</w:t>
      </w:r>
    </w:p>
    <w:p w14:paraId="09BFDA2B" w14:textId="110230E1" w:rsidR="00A62A92" w:rsidRPr="006D631C" w:rsidRDefault="00A62A92" w:rsidP="00A62A92">
      <w:pPr>
        <w:pStyle w:val="Caption"/>
        <w:rPr>
          <w:rFonts w:asciiTheme="majorBidi" w:hAnsiTheme="majorBidi" w:cstheme="majorBidi"/>
        </w:rPr>
      </w:pPr>
      <w:r w:rsidRPr="006D631C">
        <w:rPr>
          <w:rFonts w:asciiTheme="majorBidi" w:hAnsiTheme="majorBidi" w:cstheme="majorBidi"/>
          <w:position w:val="-24"/>
          <w:szCs w:val="24"/>
        </w:rPr>
        <w:object w:dxaOrig="1560" w:dyaOrig="900" w14:anchorId="34FCADC0">
          <v:shape id="_x0000_i1046" type="#_x0000_t75" style="width:78pt;height:48pt" o:ole="">
            <v:imagedata r:id="rId63" o:title=""/>
          </v:shape>
          <o:OLEObject Type="Embed" ProgID="Equation.DSMT4" ShapeID="_x0000_i1046" DrawAspect="Content" ObjectID="_1760013314" r:id="rId64"/>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 xml:space="preserve">             </w:t>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1</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19</w:t>
      </w:r>
      <w:r w:rsidR="006A54D9" w:rsidRPr="006D631C">
        <w:rPr>
          <w:rFonts w:asciiTheme="majorBidi" w:hAnsiTheme="majorBidi" w:cstheme="majorBidi"/>
        </w:rPr>
        <w:fldChar w:fldCharType="end"/>
      </w:r>
      <w:r w:rsidRPr="006D631C">
        <w:rPr>
          <w:rFonts w:asciiTheme="majorBidi" w:hAnsiTheme="majorBidi" w:cstheme="majorBidi"/>
        </w:rPr>
        <w:t>)</w:t>
      </w:r>
    </w:p>
    <w:p w14:paraId="2D0C8E66" w14:textId="7CF0FC73" w:rsidR="00AA77A0" w:rsidRPr="006D631C" w:rsidRDefault="00214C7B" w:rsidP="00214C7B">
      <w:pPr>
        <w:jc w:val="center"/>
      </w:pPr>
      <w:r w:rsidRPr="006D631C">
        <w:rPr>
          <w:rFonts w:asciiTheme="majorBidi" w:hAnsiTheme="majorBidi" w:cstheme="majorBidi"/>
          <w:noProof/>
        </w:rPr>
        <w:drawing>
          <wp:inline distT="0" distB="0" distL="0" distR="0" wp14:anchorId="4411B0AD" wp14:editId="75B3C213">
            <wp:extent cx="2286000" cy="1820068"/>
            <wp:effectExtent l="0" t="0" r="0" b="889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86000" cy="1820068"/>
                    </a:xfrm>
                    <a:prstGeom prst="rect">
                      <a:avLst/>
                    </a:prstGeom>
                    <a:noFill/>
                  </pic:spPr>
                </pic:pic>
              </a:graphicData>
            </a:graphic>
          </wp:inline>
        </w:drawing>
      </w:r>
    </w:p>
    <w:p w14:paraId="342A756C" w14:textId="7812B8FB" w:rsidR="00214C7B" w:rsidRPr="006D631C" w:rsidRDefault="00214C7B" w:rsidP="00214C7B">
      <w:pPr>
        <w:tabs>
          <w:tab w:val="left" w:pos="90"/>
          <w:tab w:val="left" w:pos="360"/>
          <w:tab w:val="left" w:pos="992"/>
        </w:tabs>
        <w:spacing w:line="360" w:lineRule="auto"/>
        <w:jc w:val="center"/>
        <w:rPr>
          <w:rFonts w:asciiTheme="majorBidi" w:hAnsiTheme="majorBidi" w:cstheme="majorBidi"/>
          <w:sz w:val="22"/>
          <w:szCs w:val="22"/>
        </w:rPr>
      </w:pPr>
      <w:bookmarkStart w:id="54" w:name="_Toc148175919"/>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10</w:t>
      </w:r>
      <w:r w:rsidR="00B55F32" w:rsidRPr="006D631C">
        <w:rPr>
          <w:sz w:val="22"/>
          <w:szCs w:val="22"/>
        </w:rPr>
        <w:fldChar w:fldCharType="end"/>
      </w:r>
      <w:r w:rsidRPr="006D631C">
        <w:rPr>
          <w:sz w:val="22"/>
          <w:szCs w:val="22"/>
        </w:rPr>
        <w:t>.</w:t>
      </w:r>
      <w:r w:rsidRPr="006D631C">
        <w:rPr>
          <w:rFonts w:eastAsia="Calibri"/>
          <w:sz w:val="22"/>
          <w:szCs w:val="22"/>
        </w:rPr>
        <w:t xml:space="preserve"> </w:t>
      </w:r>
      <w:r w:rsidRPr="006D631C">
        <w:rPr>
          <w:rFonts w:asciiTheme="majorBidi" w:hAnsiTheme="majorBidi" w:cstheme="majorBidi"/>
          <w:sz w:val="22"/>
          <w:szCs w:val="22"/>
        </w:rPr>
        <w:t xml:space="preserve">Typical schematic of inverse </w:t>
      </w:r>
      <w:r w:rsidRPr="006D631C">
        <w:rPr>
          <w:rFonts w:asciiTheme="majorBidi" w:hAnsiTheme="majorBidi" w:cstheme="majorBidi"/>
          <w:i/>
          <w:iCs/>
          <w:sz w:val="22"/>
          <w:szCs w:val="22"/>
        </w:rPr>
        <w:t>BCC</w:t>
      </w:r>
      <w:r w:rsidRPr="006D631C">
        <w:rPr>
          <w:rFonts w:asciiTheme="majorBidi" w:hAnsiTheme="majorBidi" w:cstheme="majorBidi"/>
          <w:sz w:val="22"/>
          <w:szCs w:val="22"/>
        </w:rPr>
        <w:t xml:space="preserve"> discontinuous cubic structure with lattice parameter (</w:t>
      </w:r>
      <w:r w:rsidRPr="006D631C">
        <w:rPr>
          <w:rFonts w:asciiTheme="majorBidi" w:hAnsiTheme="majorBidi" w:cstheme="majorBidi"/>
          <w:i/>
          <w:iCs/>
          <w:sz w:val="22"/>
          <w:szCs w:val="22"/>
        </w:rPr>
        <w:t>a</w:t>
      </w:r>
      <w:r w:rsidRPr="006D631C">
        <w:rPr>
          <w:rFonts w:asciiTheme="majorBidi" w:hAnsiTheme="majorBidi" w:cstheme="majorBidi"/>
          <w:sz w:val="22"/>
          <w:szCs w:val="22"/>
        </w:rPr>
        <w:t>), radius of spherical micelles (</w:t>
      </w:r>
      <w:proofErr w:type="spellStart"/>
      <w:r w:rsidRPr="006D631C">
        <w:rPr>
          <w:rFonts w:asciiTheme="majorBidi" w:hAnsiTheme="majorBidi" w:cstheme="majorBidi"/>
          <w:i/>
          <w:iCs/>
          <w:sz w:val="22"/>
          <w:szCs w:val="22"/>
        </w:rPr>
        <w:t>R</w:t>
      </w:r>
      <w:r w:rsidRPr="006D631C">
        <w:rPr>
          <w:rFonts w:asciiTheme="majorBidi" w:hAnsiTheme="majorBidi" w:cstheme="majorBidi"/>
          <w:i/>
          <w:iCs/>
          <w:sz w:val="22"/>
          <w:szCs w:val="22"/>
          <w:vertAlign w:val="subscript"/>
        </w:rPr>
        <w:t>c</w:t>
      </w:r>
      <w:proofErr w:type="spellEnd"/>
      <w:r w:rsidRPr="006D631C">
        <w:rPr>
          <w:rFonts w:asciiTheme="majorBidi" w:hAnsiTheme="majorBidi" w:cstheme="majorBidi"/>
          <w:sz w:val="22"/>
          <w:szCs w:val="22"/>
        </w:rPr>
        <w:t>), polar domain size (</w:t>
      </w:r>
      <w:r w:rsidRPr="006D631C">
        <w:rPr>
          <w:rFonts w:asciiTheme="majorBidi" w:hAnsiTheme="majorBidi" w:cstheme="majorBidi"/>
          <w:i/>
          <w:iCs/>
          <w:sz w:val="22"/>
          <w:szCs w:val="22"/>
        </w:rPr>
        <w:t>α</w:t>
      </w:r>
      <w:r w:rsidRPr="006D631C">
        <w:rPr>
          <w:rFonts w:asciiTheme="majorBidi" w:hAnsiTheme="majorBidi" w:cstheme="majorBidi"/>
          <w:i/>
          <w:iCs/>
          <w:sz w:val="22"/>
          <w:szCs w:val="22"/>
          <w:vertAlign w:val="subscript"/>
        </w:rPr>
        <w:t>1</w:t>
      </w:r>
      <w:r w:rsidRPr="006D631C">
        <w:rPr>
          <w:rFonts w:asciiTheme="majorBidi" w:hAnsiTheme="majorBidi" w:cstheme="majorBidi"/>
          <w:sz w:val="22"/>
          <w:szCs w:val="22"/>
        </w:rPr>
        <w:t>) and apolar domain size (</w:t>
      </w:r>
      <w:r w:rsidRPr="006D631C">
        <w:rPr>
          <w:rFonts w:asciiTheme="majorBidi" w:hAnsiTheme="majorBidi" w:cstheme="majorBidi"/>
          <w:i/>
          <w:iCs/>
          <w:sz w:val="22"/>
          <w:szCs w:val="22"/>
        </w:rPr>
        <w:t>α</w:t>
      </w:r>
      <w:r w:rsidRPr="006D631C">
        <w:rPr>
          <w:rFonts w:asciiTheme="majorBidi" w:hAnsiTheme="majorBidi" w:cstheme="majorBidi"/>
          <w:i/>
          <w:iCs/>
          <w:sz w:val="22"/>
          <w:szCs w:val="22"/>
          <w:vertAlign w:val="subscript"/>
        </w:rPr>
        <w:t>2</w:t>
      </w:r>
      <w:r w:rsidRPr="006D631C">
        <w:rPr>
          <w:rFonts w:asciiTheme="majorBidi" w:hAnsiTheme="majorBidi" w:cstheme="majorBidi"/>
          <w:sz w:val="22"/>
          <w:szCs w:val="22"/>
        </w:rPr>
        <w:t>).</w:t>
      </w:r>
      <w:bookmarkEnd w:id="54"/>
    </w:p>
    <w:p w14:paraId="241BB4D6" w14:textId="70616864" w:rsidR="002324AB" w:rsidRPr="006D631C" w:rsidRDefault="002324AB" w:rsidP="008424F1">
      <w:pPr>
        <w:pStyle w:val="Heading3"/>
      </w:pPr>
      <w:bookmarkStart w:id="55" w:name="_Toc131082865"/>
      <w:bookmarkStart w:id="56" w:name="_Toc148175783"/>
      <w:r w:rsidRPr="006D631C">
        <w:t>1.2.5 Other LLC structures</w:t>
      </w:r>
      <w:bookmarkEnd w:id="55"/>
      <w:bookmarkEnd w:id="56"/>
      <w:r w:rsidRPr="006D631C">
        <w:t xml:space="preserve"> </w:t>
      </w:r>
    </w:p>
    <w:p w14:paraId="1E03D010" w14:textId="2E724731" w:rsidR="00A62A92" w:rsidRPr="006D631C" w:rsidRDefault="00980486" w:rsidP="00375199">
      <w:pPr>
        <w:ind w:firstLine="357"/>
      </w:pPr>
      <w:r w:rsidRPr="006D631C">
        <w:rPr>
          <w:rFonts w:asciiTheme="majorBidi" w:hAnsiTheme="majorBidi" w:cstheme="majorBidi"/>
        </w:rPr>
        <w:t>So far, we have discussed the LLC structures which are commonly observed in different LLC formulations. However, quasi-crystal structures, such as Frank-Kasper (F-K) phases, are also reported for lyotropic systems.</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10.1021/acscentsci.8b00903","ISSN":"2374-7943","author":[{"dropping-particle":"","family":"Jayaraman","given":"Ashish","non-dropping-particle":"","parse-names":false,"suffix":""},{"dropping-particle":"","family":"Zhang","given":"Diana Y.","non-dropping-particle":"","parse-names":false,"suffix":""},{"dropping-particle":"","family":"Dewing","given":"Beth L.","non-dropping-particle":"","parse-names":false,"suffix":""},{"dropping-particle":"","family":"Mahanthappa","given":"Mahesh K.","non-dropping-particle":"","parse-names":false,"suffix":""}],"container-title":"ACS Central Science","id":"ITEM-1","issue":"4","issued":{"date-parts":[["2019","4","24"]]},"page":"619-628","title":"Path-Dependent Preparation of Complex Micelle Packings of a Hydrated Diblock Oligomer","type":"article-journal","volume":"5"},"uris":["http://www.mendeley.com/documents/?uuid=4211ca9a-4807-4a6f-8325-f07e29be07b5"]},{"id":"ITEM-2","itemData":{"DOI":"10.1021/acsnano.7b07475","ISSN":"1936-0851","author":[{"dropping-particle":"","family":"Baez-Cotto","given":"Carlos M.","non-dropping-particle":"","parse-names":false,"suffix":""},{"dropping-particle":"","family":"Mahanthappa","given":"Mahesh K.","non-dropping-particle":"","parse-names":false,"suffix":""}],"container-title":"ACS Nano","id":"ITEM-2","issue":"4","issued":{"date-parts":[["2018","4","24"]]},"page":"3226-3234","title":"Micellar Mimicry of Intermetallic C14 and C15 Laves Phases by Aqueous Lyotropic Self-Assembly","type":"article-journal","volume":"12"},"uris":["http://www.mendeley.com/documents/?uuid=2bc3dd4a-24cb-4741-bc63-1f5cb1afe767"]},{"id":"ITEM-3","itemData":{"DOI":"10.1073/pnas.1701608114","ISSN":"0027-8424","abstract":"Supramolecular self-assembly enables access to designer soft materials that typically exhibit high-symmetry packing arrangements, which optimize the interactions between their mesoscopic constituents over multiple length scales. We report the discovery of an ionic small molecule surfactant that undergoes water-induced self-assembly into spherical micelles, which pack into a previously unknown, low-symmetry lyotropic liquid crystalline Frank–Kasper σ phase. Small-angle X-ray scattering studies reveal that this complex phase is characterized by a gigantic tetragonal unit cell, in which 30 sub-2-nm quasispherical micelles of five discrete sizes are arranged into a tetrahedral close packing, with exceptional translational order over length scales exceeding 100 nm. Varying the relative concentrations of water and surfactant in these lyotropic phases also triggers formation of the related Frank–Kasper A15 sphere packing as well as a common body-centered cubic structure. Molecular dynamics simulations reveal that the symmetry breaking that drives the formation of the σ and A15 phases arises from minimization of local deviations in surfactant headgroup and counterion solvation to maintain a nearly spherical counterion atmosphere around each micelle, while maximizing counterion-mediated electrostatic cohesion among the ensemble of charged particles.","author":[{"dropping-particle":"","family":"Kim","given":"Sung A","non-dropping-particle":"","parse-names":false,"suffix":""},{"dropping-particle":"","family":"Jeong","given":"Kyeong-Jun","non-dropping-particle":"","parse-names":false,"suffix":""},{"dropping-particle":"","family":"Yethiraj","given":"Arun","non-dropping-particle":"","parse-names":false,"suffix":""},{"dropping-particle":"","family":"Mahanthappa","given":"Mahesh K.","non-dropping-particle":"","parse-names":false,"suffix":""}],"container-title":"Proceedings of the National Academy of Sciences","id":"ITEM-3","issue":"16","issued":{"date-parts":[["2017","4","18"]]},"page":"4072-4077","title":"Low-symmetry sphere packings of simple surfactant micelles induced by ionic sphericity","type":"article-journal","volume":"114"},"uris":["http://www.mendeley.com/documents/?uuid=405399cb-d5a0-4e0d-8e6b-eb98595c5a8f"]},{"id":"ITEM-4","itemData":{"DOI":"10.1021/acs.langmuir.7b03833","ISSN":"0743-7463","author":[{"dropping-particle":"","family":"Jayaraman","given":"Ashish","non-dropping-particle":"","parse-names":false,"suffix":""},{"dropping-particle":"","family":"Mahanthappa","given":"Mahesh K.","non-dropping-particle":"","parse-names":false,"suffix":""}],"container-title":"Langmuir","id":"ITEM-4","issue":"6","issued":{"date-parts":[["2018","2","13"]]},"page":"2290-2301","title":"Counterion-Dependent Access to Low-Symmetry Lyotropic Sphere Packings of Ionic Surfactant Micelles","type":"article-journal","volume":"34"},"uris":["http://www.mendeley.com/documents/?uuid=ec33ca08-81ad-438f-a7b4-d768846c1bef"]}],"mendeley":{"formattedCitation":"&lt;sup&gt;21,22,24,64&lt;/sup&gt;","plainTextFormattedCitation":"21,22,24,64","previouslyFormattedCitation":"&lt;sup&gt;21,22,24,64&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21,22,24,64</w:t>
      </w:r>
      <w:r w:rsidRPr="006D631C">
        <w:rPr>
          <w:rFonts w:asciiTheme="majorBidi" w:hAnsiTheme="majorBidi" w:cstheme="majorBidi"/>
        </w:rPr>
        <w:fldChar w:fldCharType="end"/>
      </w:r>
      <w:r w:rsidRPr="006D631C">
        <w:rPr>
          <w:rFonts w:asciiTheme="majorBidi" w:hAnsiTheme="majorBidi" w:cstheme="majorBidi"/>
        </w:rPr>
        <w:t xml:space="preserve"> F-K phases, which exhibit </w:t>
      </w:r>
      <w:proofErr w:type="spellStart"/>
      <w:r w:rsidRPr="006D631C">
        <w:rPr>
          <w:rFonts w:asciiTheme="majorBidi" w:hAnsiTheme="majorBidi" w:cstheme="majorBidi"/>
        </w:rPr>
        <w:t>tetrahedrally</w:t>
      </w:r>
      <w:proofErr w:type="spellEnd"/>
      <w:r w:rsidRPr="006D631C">
        <w:rPr>
          <w:rFonts w:asciiTheme="majorBidi" w:hAnsiTheme="majorBidi" w:cstheme="majorBidi"/>
        </w:rPr>
        <w:t xml:space="preserve"> close-packed </w:t>
      </w:r>
      <w:r w:rsidRPr="006D631C">
        <w:rPr>
          <w:rFonts w:asciiTheme="majorBidi" w:hAnsiTheme="majorBidi" w:cstheme="majorBidi"/>
        </w:rPr>
        <w:lastRenderedPageBreak/>
        <w:t>structures, were discovered for metal alloys more than 50 years ago.</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{"citationItems":[{"id":"ITEM-1","itemData":{"DOI":"10.1107/S0365110X58000487","ISSN":"0365110X","author":[{"dropping-particle":"","family":"Frank","given":"F. C.","non-dropping-particle":"","parse-names":false,"suffix":""},{"dropping-particle":"","family":"Kasper","given":"J. S.","non-dropping-particle":"","parse-names":false,"suffix":""}],"container-title":"Acta Crystallographica","id":"ITEM-1","issue":"3","issued":{"date-parts":[["1958","3","10"]]},"page":"184-190","title":"Complex alloy structures regarded as sphere packings. I. Definitions and basic principles","type":"article-journal","volume":"11"},"uris":["http://www.mendeley.com/documents/?uuid=32b76d24-fc9f-49e0-9ec7-27957b31de47"]},{"id":"ITEM-2","itemData":{"DOI":"10.1107/S0365110X59001499","ISSN":"0365110X","author":[{"dropping-particle":"","family":"Frank","given":"F. C.","non-dropping-particle":"","parse-names":false,"suffix":""},{"dropping-particle":"","family":"Kasper","given":"J. S.","non-dropping-particle":"","parse-names":false,"suffix":""}],"container-title":"Acta Crystallographica","id":"ITEM-2","issue":"7","issued":{"date-parts":[["1959","7","10"]]},"page":"483-499","title":"Complex alloy structures regarded as sphere packings. II. Analysis and classification of representative structures","type":"article-journal","volume":"12"},"uris":["http://www.mendeley.com/documents/?uuid=9a9c12aa-d42a-442a-9bef-a83a97d462e1"]}],"mendeley":{"formattedCitation":"&lt;sup&gt;65,66&lt;/sup&gt;","plainTextFormattedCitation":"65,66","previouslyFormattedCitation":"&lt;sup&gt;65,66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65,66</w:t>
      </w:r>
      <w:r w:rsidRPr="006D631C">
        <w:rPr>
          <w:rFonts w:asciiTheme="majorBidi" w:hAnsiTheme="majorBidi" w:cstheme="majorBidi"/>
        </w:rPr>
        <w:fldChar w:fldCharType="end"/>
      </w:r>
      <w:r w:rsidRPr="006D631C">
        <w:rPr>
          <w:rFonts w:asciiTheme="majorBidi" w:hAnsiTheme="majorBidi" w:cstheme="majorBidi"/>
        </w:rPr>
        <w:t xml:space="preserve"> </w:t>
      </w:r>
      <w:proofErr w:type="gramStart"/>
      <w:r w:rsidRPr="006D631C">
        <w:rPr>
          <w:rFonts w:asciiTheme="majorBidi" w:hAnsiTheme="majorBidi" w:cstheme="majorBidi"/>
        </w:rPr>
        <w:t>Since</w:t>
      </w:r>
      <w:proofErr w:type="gramEnd"/>
      <w:r w:rsidRPr="006D631C">
        <w:rPr>
          <w:rFonts w:asciiTheme="majorBidi" w:hAnsiTheme="majorBidi" w:cstheme="majorBidi"/>
        </w:rPr>
        <w:t xml:space="preserve"> then, more than twenty different types of F-K phases have been experimentally observed in metal alloys. Amongst such variety, A15, Laves, σ, µ, M, P, R, and Z phases are the most common ones.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10.1007/s11426-017-9140-8","ISSN":"1674-7291","author":[{"dropping-particle":"","family":"Huang","given":"Mingjun","non-dropping-particle":"","parse-names":false,"suffix":""},{"dropping-particle":"","family":"Yue","given":"Kan","non-dropping-particle":"","parse-names":false,"suffix":""},{"dropping-particle":"","family":"Wang","given":"Jing","non-dropping-particle":"","parse-names":false,"suffix":""},{"dropping-particle":"","family":"Hsu","given":"Chih-Hao","non-dropping-particle":"","parse-names":false,"suffix":""},{"dropping-particle":"","family":"Wang","given":"Linge","non-dropping-particle":"","parse-names":false,"suffix":""},{"dropping-particle":"","family":"Cheng","given":"Stephen Z. D.","non-dropping-particle":"","parse-names":false,"suffix":""}],"container-title":"Science China Chemistry","id":"ITEM-1","issue":"1","issued":{"date-parts":[["2018","1","13"]]},"page":"33-45","title":"Frank-Kasper and related quasicrystal spherical phases in macromolecules","type":"article-journal","volume":"61"},"uris":["http://www.mendeley.com/documents/?uuid=e575202b-569d-4f10-8808-51ee40f1c61d"]}],"mendeley":{"formattedCitation":"&lt;sup&gt;67&lt;/sup&gt;","plainTextFormattedCitation":"67","previouslyFormattedCitation":"&lt;sup&gt;67&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67</w:t>
      </w:r>
      <w:r w:rsidRPr="006D631C">
        <w:rPr>
          <w:rFonts w:asciiTheme="majorBidi" w:hAnsiTheme="majorBidi" w:cstheme="majorBidi"/>
        </w:rPr>
        <w:fldChar w:fldCharType="end"/>
      </w:r>
      <w:r w:rsidRPr="006D631C">
        <w:rPr>
          <w:rFonts w:asciiTheme="majorBidi" w:hAnsiTheme="majorBidi" w:cstheme="majorBidi"/>
        </w:rPr>
        <w:t xml:space="preserve"> In the case of LLCs, formation of A15,</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10.1021/acscentsci.8b00903","ISSN":"2374-7943","author":[{"dropping-particle":"","family":"Jayaraman","given":"Ashish","non-dropping-particle":"","parse-names":false,"suffix":""},{"dropping-particle":"","family":"Zhang","given":"Diana Y.","non-dropping-particle":"","parse-names":false,"suffix":""},{"dropping-particle":"","family":"Dewing","given":"Beth L.","non-dropping-particle":"","parse-names":false,"suffix":""},{"dropping-particle":"","family":"Mahanthappa","given":"Mahesh K.","non-dropping-particle":"","parse-names":false,"suffix":""}],"container-title":"ACS Central Science","id":"ITEM-1","issue":"4","issued":{"date-parts":[["2019","4","24"]]},"page":"619-628","title":"Path-Dependent Preparation of Complex Micelle Packings of a Hydrated Diblock Oligomer","type":"article-journal","volume":"5"},"uris":["http://www.mendeley.com/documents/?uuid=4211ca9a-4807-4a6f-8325-f07e29be07b5"]},{"id":"ITEM-2","itemData":{"DOI":"10.1073/pnas.1701608114","ISSN":"0027-8424","abstract":"Supramolecular self-assembly enables access to designer soft materials that typically exhibit high-symmetry packing arrangements, which optimize the interactions between their mesoscopic constituents over multiple length scales. We report the discovery of an ionic small molecule surfactant that undergoes water-induced self-assembly into spherical micelles, which pack into a previously unknown, low-symmetry lyotropic liquid crystalline Frank–Kasper σ phase. Small-angle X-ray scattering studies reveal that this complex phase is characterized by a gigantic tetragonal unit cell, in which 30 sub-2-nm quasispherical micelles of five discrete sizes are arranged into a tetrahedral close packing, with exceptional translational order over length scales exceeding 100 nm. Varying the relative concentrations of water and surfactant in these lyotropic phases also triggers formation of the related Frank–Kasper A15 sphere packing as well as a common body-centered cubic structure. Molecular dynamics simulations reveal that the symmetry breaking that drives the formation of the σ and A15 phases arises from minimization of local deviations in surfactant headgroup and counterion solvation to maintain a nearly spherical counterion atmosphere around each micelle, while maximizing counterion-mediated electrostatic cohesion among the ensemble of charged particles.","author":[{"dropping-particle":"","family":"Kim","given":"Sung A","non-dropping-particle":"","parse-names":false,"suffix":""},{"dropping-particle":"","family":"Jeong","given":"Kyeong-Jun","non-dropping-particle":"","parse-names":false,"suffix":""},{"dropping-particle":"","family":"Yethiraj","given":"Arun","non-dropping-particle":"","parse-names":false,"suffix":""},{"dropping-particle":"","family":"Mahanthappa","given":"Mahesh K.","non-dropping-particle":"","parse-names":false,"suffix":""}],"container-title":"Proceedings of the National Academy of Sciences","id":"ITEM-2","issue":"16","issued":{"date-parts":[["2017","4","18"]]},"page":"4072-4077","title":"Low-symmetry sphere packings of simple surfactant micelles induced by ionic sphericity","type":"article-journal","volume":"114"},"uris":["http://www.mendeley.com/documents/?uuid=405399cb-d5a0-4e0d-8e6b-eb98595c5a8f"]},{"id":"ITEM-3","itemData":{"DOI":"10.1021/acs.langmuir.7b03833","ISSN":"0743-7463","author":[{"dropping-particle":"","family":"Jayaraman","given":"Ashish","non-dropping-particle":"","parse-names":false,"suffix":""},{"dropping-particle":"","family":"Mahanthappa","given":"Mahesh K.","non-dropping-particle":"","parse-names":false,"suffix":""}],"container-title":"Langmuir","id":"ITEM-3","issue":"6","issued":{"date-parts":[["2018","2","13"]]},"page":"2290-2301","title":"Counterion-Dependent Access to Low-Symmetry Lyotropic Sphere Packings of Ionic Surfactant Micelles","type":"article-journal","volume":"34"},"uris":["http://www.mendeley.com/documents/?uuid=ec33ca08-81ad-438f-a7b4-d768846c1bef"]}],"mendeley":{"formattedCitation":"&lt;sup&gt;21,24,64&lt;/sup&gt;","plainTextFormattedCitation":"21,24,64","previouslyFormattedCitation":"&lt;sup&gt;21,24,64&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21,24,64</w:t>
      </w:r>
      <w:r w:rsidRPr="006D631C">
        <w:rPr>
          <w:rFonts w:asciiTheme="majorBidi" w:hAnsiTheme="majorBidi" w:cstheme="majorBidi"/>
        </w:rPr>
        <w:fldChar w:fldCharType="end"/>
      </w:r>
      <w:r w:rsidRPr="006D631C">
        <w:rPr>
          <w:rFonts w:asciiTheme="majorBidi" w:hAnsiTheme="majorBidi" w:cstheme="majorBidi"/>
        </w:rPr>
        <w:t xml:space="preserve"> Laves (e.g., C14 and C15)</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{"citationItems":[{"id":"ITEM-1","itemData":{"DOI":"10.1021/acsnano.7b07475","ISSN":"1936-0851","author":[{"dropping-particle":"","family":"Baez-Cotto","given":"Carlos M.","non-dropping-particle":"","parse-names":false,"suffix":""},{"dropping-particle":"","family":"Mahanthappa","given":"Mahesh K.","non-dropping-particle":"","parse-names":false,"suffix":""}],"container-title":"ACS Nano","id":"ITEM-1","issue":"4","issued":{"date-parts":[["2018","4","24"]]},"page":"3226-3234","title":"Micellar Mimicry of Intermetallic C14 and C15 Laves Phases by Aqueous Lyotropic Self-Assembly","type":"article-journal","volume":"12"},"uris":["http://www.mendeley.com/documents/?uuid=2bc3dd4a-24cb-4741-bc63-1f5cb1afe767"]}],"mendeley":{"formattedCitation":"&lt;sup&gt;22&lt;/sup&gt;","plainTextFormattedCitation":"22","previouslyFormattedCitation":"&lt;sup&gt;22&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22</w:t>
      </w:r>
      <w:r w:rsidRPr="006D631C">
        <w:rPr>
          <w:rFonts w:asciiTheme="majorBidi" w:hAnsiTheme="majorBidi" w:cstheme="majorBidi"/>
        </w:rPr>
        <w:fldChar w:fldCharType="end"/>
      </w:r>
      <w:r w:rsidRPr="006D631C">
        <w:rPr>
          <w:rFonts w:asciiTheme="majorBidi" w:hAnsiTheme="majorBidi" w:cstheme="majorBidi"/>
        </w:rPr>
        <w:t xml:space="preserve"> and σ</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{"citationItems":[{"id":"ITEM-1","itemData":{"DOI":"10.1073/pnas.1701608114","ISSN":"0027-8424","abstract":"Supramolecular self-assembly enables access to designer soft materials that typically exhibit high-symmetry packing arrangements, which optimize the interactions between their mesoscopic constituents over multiple length scales. We report the discovery of an ionic small molecule surfactant that undergoes water-induced self-assembly into spherical micelles, which pack into a previously unknown, low-symmetry lyotropic liquid crystalline Frank–Kasper σ phase. Small-angle X-ray scattering studies reveal that this complex phase is characterized by a gigantic tetragonal unit cell, in which 30 sub-2-nm quasispherical micelles of five discrete sizes are arranged into a tetrahedral close packing, with exceptional translational order over length scales exceeding 100 nm. Varying the relative concentrations of water and surfactant in these lyotropic phases also triggers formation of the related Frank–Kasper A15 sphere packing as well as a common body-centered cubic structure. Molecular dynamics simulations reveal that the symmetry breaking that drives the formation of the σ and A15 phases arises from minimization of local deviations in surfactant headgroup and counterion solvation to maintain a nearly spherical counterion atmosphere around each micelle, while maximizing counterion-mediated electrostatic cohesion among the ensemble of charged particles.","author":[{"dropping-particle":"","family":"Kim","given":"Sung A","non-dropping-particle":"","parse-names":false,"suffix":""},{"dropping-particle":"","family":"Jeong","given":"Kyeong-Jun","non-dropping-particle":"","parse-names":false,"suffix":""},{"dropping-particle":"","family":"Yethiraj","given":"Arun","non-dropping-particle":"","parse-names":false,"suffix":""},{"dropping-particle":"","family":"Mahanthappa","given":"Mahesh K.","non-dropping-particle":"","parse-names":false,"suffix":""}],"container-title":"Proceedings of the National Academy of Sciences","id":"ITEM-1","issue":"16","issued":{"date-parts":[["2017","4","18"]]},"page":"4072-4077","title":"Low-symmetry sphere packings of simple surfactant micelles induced by ionic sphericity","type":"article-journal","volume":"114"},"uris":["http://www.mendeley.com/documents/?uuid=405399cb-d5a0-4e0d-8e6b-eb98595c5a8f"]},{"id":"ITEM-2","itemData":{"DOI":"10.1021/acs.langmuir.7b03833","ISSN":"0743-7463","author":[{"dropping-particle":"","family":"Jayaraman","given":"Ashish","non-dropping-particle":"","parse-names":false,"suffix":""},{"dropping-particle":"","family":"Mahanthappa","given":"Mahesh K.","non-dropping-particle":"","parse-names":false,"suffix":""}],"container-title":"Langmuir","id":"ITEM-2","issue":"6","issued":{"date-parts":[["2018","2","13"]]},"page":"2290-2301","title":"Counterion-Dependent Access to Low-Symmetry Lyotropic Sphere Packings of Ionic Surfactant Micelles","type":"article-journal","volume":"34"},"uris":["http://www.mendeley.com/documents/?uuid=ec33ca08-81ad-438f-a7b4-d768846c1bef"]}],"mendeley":{"formattedCitation":"&lt;sup&gt;24,64&lt;/sup&gt;","plainTextFormattedCitation":"24,64","previouslyFormattedCitation":"&lt;sup&gt;24,64&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24,64</w:t>
      </w:r>
      <w:r w:rsidRPr="006D631C">
        <w:rPr>
          <w:rFonts w:asciiTheme="majorBidi" w:hAnsiTheme="majorBidi" w:cstheme="majorBidi"/>
        </w:rPr>
        <w:fldChar w:fldCharType="end"/>
      </w:r>
      <w:r w:rsidRPr="006D631C">
        <w:rPr>
          <w:rFonts w:asciiTheme="majorBidi" w:hAnsiTheme="majorBidi" w:cstheme="majorBidi"/>
        </w:rPr>
        <w:t xml:space="preserve"> phases have been reported in the literature. The LLC with A15 structure contains 8 </w:t>
      </w:r>
      <w:proofErr w:type="spellStart"/>
      <w:r w:rsidRPr="006D631C">
        <w:rPr>
          <w:rFonts w:asciiTheme="majorBidi" w:hAnsiTheme="majorBidi" w:cstheme="majorBidi"/>
        </w:rPr>
        <w:t>quasispherical</w:t>
      </w:r>
      <w:proofErr w:type="spellEnd"/>
      <w:r w:rsidRPr="006D631C">
        <w:rPr>
          <w:rFonts w:asciiTheme="majorBidi" w:hAnsiTheme="majorBidi" w:cstheme="majorBidi"/>
        </w:rPr>
        <w:t xml:space="preserve"> micelles per unit cell with two different types of coordination environments.</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10.1021/acscentsci.8b00903","ISSN":"2374-7943","author":[{"dropping-particle":"","family":"Jayaraman","given":"Ashish","non-dropping-particle":"","parse-names":false,"suffix":""},{"dropping-particle":"","family":"Zhang","given":"Diana Y.","non-dropping-particle":"","parse-names":false,"suffix":""},{"dropping-particle":"","family":"Dewing","given":"Beth L.","non-dropping-particle":"","parse-names":false,"suffix":""},{"dropping-particle":"","family":"Mahanthappa","given":"Mahesh K.","non-dropping-particle":"","parse-names":false,"suffix":""}],"container-title":"ACS Central Science","id":"ITEM-1","issue":"4","issued":{"date-parts":[["2019","4","24"]]},"page":"619-628","title":"Path-Dependent Preparation of Complex Micelle Packings of a Hydrated Diblock Oligomer","type":"article-journal","volume":"5"},"uris":["http://www.mendeley.com/documents/?uuid=4211ca9a-4807-4a6f-8325-f07e29be07b5"]},{"id":"ITEM-2","itemData":{"DOI":"10.1073/pnas.1701608114","ISSN":"0027-8424","abstract":"Supramolecular self-assembly enables access to designer soft materials that typically exhibit high-symmetry packing arrangements, which optimize the interactions between their mesoscopic constituents over multiple length scales. We report the discovery of an ionic small molecule surfactant that undergoes water-induced self-assembly into spherical micelles, which pack into a previously unknown, low-symmetry lyotropic liquid crystalline Frank–Kasper σ phase. Small-angle X-ray scattering studies reveal that this complex phase is characterized by a gigantic tetragonal unit cell, in which 30 sub-2-nm quasispherical micelles of five discrete sizes are arranged into a tetrahedral close packing, with exceptional translational order over length scales exceeding 100 nm. Varying the relative concentrations of water and surfactant in these lyotropic phases also triggers formation of the related Frank–Kasper A15 sphere packing as well as a common body-centered cubic structure. Molecular dynamics simulations reveal that the symmetry breaking that drives the formation of the σ and A15 phases arises from minimization of local deviations in surfactant headgroup and counterion solvation to maintain a nearly spherical counterion atmosphere around each micelle, while maximizing counterion-mediated electrostatic cohesion among the ensemble of charged particles.","author":[{"dropping-particle":"","family":"Kim","given":"Sung A","non-dropping-particle":"","parse-names":false,"suffix":""},{"dropping-particle":"","family":"Jeong","given":"Kyeong-Jun","non-dropping-particle":"","parse-names":false,"suffix":""},{"dropping-particle":"","family":"Yethiraj","given":"Arun","non-dropping-particle":"","parse-names":false,"suffix":""},{"dropping-particle":"","family":"Mahanthappa","given":"Mahesh K.","non-dropping-particle":"","parse-names":false,"suffix":""}],"container-title":"Proceedings of the National Academy of Sciences","id":"ITEM-2","issue":"16","issued":{"date-parts":[["2017","4","18"]]},"page":"4072-4077","title":"Low-symmetry sphere packings of simple surfactant micelles induced by ionic sphericity","type":"article-journal","volume":"114"},"uris":["http://www.mendeley.com/documents/?uuid=405399cb-d5a0-4e0d-8e6b-eb98595c5a8f"]},{"id":"ITEM-3","itemData":{"DOI":"10.1021/acs.langmuir.7b03833","ISSN":"0743-7463","author":[{"dropping-particle":"","family":"Jayaraman","given":"Ashish","non-dropping-particle":"","parse-names":false,"suffix":""},{"dropping-particle":"","family":"Mahanthappa","given":"Mahesh K.","non-dropping-particle":"","parse-names":false,"suffix":""}],"container-title":"Langmuir","id":"ITEM-3","issue":"6","issued":{"date-parts":[["2018","2","13"]]},"page":"2290-2301","title":"Counterion-Dependent Access to Low-Symmetry Lyotropic Sphere Packings of Ionic Surfactant Micelles","type":"article-journal","volume":"34"},"uris":["http://www.mendeley.com/documents/?uuid=ec33ca08-81ad-438f-a7b4-d768846c1bef"]}],"mendeley":{"formattedCitation":"&lt;sup&gt;21,24,64&lt;/sup&gt;","plainTextFormattedCitation":"21,24,64","previouslyFormattedCitation":"&lt;sup&gt;21,24,64&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21,24,64</w:t>
      </w:r>
      <w:r w:rsidRPr="006D631C">
        <w:rPr>
          <w:rFonts w:asciiTheme="majorBidi" w:hAnsiTheme="majorBidi" w:cstheme="majorBidi"/>
        </w:rPr>
        <w:fldChar w:fldCharType="end"/>
      </w:r>
      <w:r w:rsidRPr="006D631C">
        <w:rPr>
          <w:rFonts w:asciiTheme="majorBidi" w:hAnsiTheme="majorBidi" w:cstheme="majorBidi"/>
        </w:rPr>
        <w:t xml:space="preserve"> The C15 Laves phase includes eight </w:t>
      </w:r>
      <w:proofErr w:type="spellStart"/>
      <w:r w:rsidRPr="006D631C">
        <w:rPr>
          <w:rFonts w:asciiTheme="majorBidi" w:hAnsiTheme="majorBidi" w:cstheme="majorBidi"/>
        </w:rPr>
        <w:t>quasispherical</w:t>
      </w:r>
      <w:proofErr w:type="spellEnd"/>
      <w:r w:rsidRPr="006D631C">
        <w:rPr>
          <w:rFonts w:asciiTheme="majorBidi" w:hAnsiTheme="majorBidi" w:cstheme="majorBidi"/>
        </w:rPr>
        <w:t xml:space="preserve"> micelles located at the positions of a cubic diamond lattice and tetrahedral groupings of smaller micelles fill the remaining tetrahedral interstitial sites.</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{"citationItems":[{"id":"ITEM-1","itemData":{"DOI":"10.1021/acsnano.7b07475","ISSN":"1936-0851","author":[{"dropping-particle":"","family":"Baez-Cotto","given":"Carlos M.","non-dropping-particle":"","parse-names":false,"suffix":""},{"dropping-particle":"","family":"Mahanthappa","given":"Mahesh K.","non-dropping-particle":"","parse-names":false,"suffix":""}],"container-title":"ACS Nano","id":"ITEM-1","issue":"4","issued":{"date-parts":[["2018","4","24"]]},"page":"3226-3234","title":"Micellar Mimicry of Intermetallic C14 and C15 Laves Phases by Aqueous Lyotropic Self-Assembly","type":"article-journal","volume":"12"},"uris":["http://www.mendeley.com/documents/?uuid=2bc3dd4a-24cb-4741-bc63-1f5cb1afe767"]}],"mendeley":{"formattedCitation":"&lt;sup&gt;22&lt;/sup&gt;","plainTextFormattedCitation":"22","previouslyFormattedCitation":"&lt;sup&gt;22&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22</w:t>
      </w:r>
      <w:r w:rsidRPr="006D631C">
        <w:rPr>
          <w:rFonts w:asciiTheme="majorBidi" w:hAnsiTheme="majorBidi" w:cstheme="majorBidi"/>
        </w:rPr>
        <w:fldChar w:fldCharType="end"/>
      </w:r>
      <w:r w:rsidRPr="006D631C">
        <w:rPr>
          <w:rFonts w:asciiTheme="majorBidi" w:hAnsiTheme="majorBidi" w:cstheme="majorBidi"/>
        </w:rPr>
        <w:t xml:space="preserve"> In the case of C14 Laves phase, the micelles are located on the sites of the hexagonal diamond structure.</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{"citationItems":[{"id":"ITEM-1","itemData":{"DOI":"10.1021/acsnano.7b07475","ISSN":"1936-0851","author":[{"dropping-particle":"","family":"Baez-Cotto","given":"Carlos M.","non-dropping-particle":"","parse-names":false,"suffix":""},{"dropping-particle":"","family":"Mahanthappa","given":"Mahesh K.","non-dropping-particle":"","parse-names":false,"suffix":""}],"container-title":"ACS Nano","id":"ITEM-1","issue":"4","issued":{"date-parts":[["2018","4","24"]]},"page":"3226-3234","title":"Micellar Mimicry of Intermetallic C14 and C15 Laves Phases by Aqueous Lyotropic Self-Assembly","type":"article-journal","volume":"12"},"uris":["http://www.mendeley.com/documents/?uuid=2bc3dd4a-24cb-4741-bc63-1f5cb1afe767"]}],"mendeley":{"formattedCitation":"&lt;sup&gt;22&lt;/sup&gt;","plainTextFormattedCitation":"22","previouslyFormattedCitation":"&lt;sup&gt;22&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22</w:t>
      </w:r>
      <w:r w:rsidRPr="006D631C">
        <w:rPr>
          <w:rFonts w:asciiTheme="majorBidi" w:hAnsiTheme="majorBidi" w:cstheme="majorBidi"/>
        </w:rPr>
        <w:fldChar w:fldCharType="end"/>
      </w:r>
      <w:r w:rsidRPr="006D631C">
        <w:rPr>
          <w:rFonts w:asciiTheme="majorBidi" w:hAnsiTheme="majorBidi" w:cstheme="majorBidi"/>
        </w:rPr>
        <w:t xml:space="preserve"> The lyotropic σ mesophase consists of a primitive tetragonal unit cell with 30 </w:t>
      </w:r>
      <w:proofErr w:type="spellStart"/>
      <w:r w:rsidRPr="006D631C">
        <w:rPr>
          <w:rFonts w:asciiTheme="majorBidi" w:hAnsiTheme="majorBidi" w:cstheme="majorBidi"/>
        </w:rPr>
        <w:t>quasispherical</w:t>
      </w:r>
      <w:proofErr w:type="spellEnd"/>
      <w:r w:rsidRPr="006D631C">
        <w:rPr>
          <w:rFonts w:asciiTheme="majorBidi" w:hAnsiTheme="majorBidi" w:cstheme="majorBidi"/>
        </w:rPr>
        <w:t xml:space="preserve"> micelles which belong to five different symmetry-equivalent classes.</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{"citationItems":[{"id":"ITEM-1","itemData":{"DOI":"10.1073/pnas.1701608114","ISSN":"0027-8424","abstract":"Supramolecular self-assembly enables access to designer soft materials that typically exhibit high-symmetry packing arrangements, which optimize the interactions between their mesoscopic constituents over multiple length scales. We report the discovery of an ionic small molecule surfactant that undergoes water-induced self-assembly into spherical micelles, which pack into a previously unknown, low-symmetry lyotropic liquid crystalline Frank–Kasper σ phase. Small-angle X-ray scattering studies reveal that this complex phase is characterized by a gigantic tetragonal unit cell, in which 30 sub-2-nm quasispherical micelles of five discrete sizes are arranged into a tetrahedral close packing, with exceptional translational order over length scales exceeding 100 nm. Varying the relative concentrations of water and surfactant in these lyotropic phases also triggers formation of the related Frank–Kasper A15 sphere packing as well as a common body-centered cubic structure. Molecular dynamics simulations reveal that the symmetry breaking that drives the formation of the σ and A15 phases arises from minimization of local deviations in surfactant headgroup and counterion solvation to maintain a nearly spherical counterion atmosphere around each micelle, while maximizing counterion-mediated electrostatic cohesion among the ensemble of charged particles.","author":[{"dropping-particle":"","family":"Kim","given":"Sung A","non-dropping-particle":"","parse-names":false,"suffix":""},{"dropping-particle":"","family":"Jeong","given":"Kyeong-Jun","non-dropping-particle":"","parse-names":false,"suffix":""},{"dropping-particle":"","family":"Yethiraj","given":"Arun","non-dropping-particle":"","parse-names":false,"suffix":""},{"dropping-particle":"","family":"Mahanthappa","given":"Mahesh K.","non-dropping-particle":"","parse-names":false,"suffix":""}],"container-title":"Proceedings of the National Academy of Sciences","id":"ITEM-1","issue":"16","issued":{"date-parts":[["2017","4","18"]]},"page":"4072-4077","title":"Low-symmetry sphere packings of simple surfactant micelles induced by ionic sphericity","type":"article-journal","volume":"114"},"uris":["http://www.mendeley.com/documents/?uuid=405399cb-d5a0-4e0d-8e6b-eb98595c5a8f"]},{"id":"ITEM-2","itemData":{"DOI":"10.1021/acs.langmuir.7b03833","ISSN":"0743-7463","author":[{"dropping-particle":"","family":"Jayaraman","given":"Ashish","non-dropping-particle":"","parse-names":false,"suffix":""},{"dropping-particle":"","family":"Mahanthappa","given":"Mahesh K.","non-dropping-particle":"","parse-names":false,"suffix":""}],"container-title":"Langmuir","id":"ITEM-2","issue":"6","issued":{"date-parts":[["2018","2","13"]]},"page":"2290-2301","title":"Counterion-Dependent Access to Low-Symmetry Lyotropic Sphere Packings of Ionic Surfactant Micelles","type":"article-journal","volume":"34"},"uris":["http://www.mendeley.com/documents/?uuid=ec33ca08-81ad-438f-a7b4-d768846c1bef"]}],"mendeley":{"formattedCitation":"&lt;sup&gt;24,64&lt;/sup&gt;","plainTextFormattedCitation":"24,64","previouslyFormattedCitation":"&lt;sup&gt;24,64&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24,64</w:t>
      </w:r>
      <w:r w:rsidRPr="006D631C">
        <w:rPr>
          <w:rFonts w:asciiTheme="majorBidi" w:hAnsiTheme="majorBidi" w:cstheme="majorBidi"/>
        </w:rPr>
        <w:fldChar w:fldCharType="end"/>
      </w:r>
      <w:r w:rsidRPr="006D631C">
        <w:rPr>
          <w:rFonts w:asciiTheme="majorBidi" w:hAnsiTheme="majorBidi" w:cstheme="majorBidi"/>
        </w:rPr>
        <w:t xml:space="preserve"> </w:t>
      </w:r>
      <w:proofErr w:type="gramStart"/>
      <w:r w:rsidRPr="006D631C">
        <w:rPr>
          <w:rFonts w:asciiTheme="majorBidi" w:hAnsiTheme="majorBidi" w:cstheme="majorBidi"/>
        </w:rPr>
        <w:t>The</w:t>
      </w:r>
      <w:proofErr w:type="gramEnd"/>
      <w:r w:rsidRPr="006D631C">
        <w:rPr>
          <w:rFonts w:asciiTheme="majorBidi" w:hAnsiTheme="majorBidi" w:cstheme="majorBidi"/>
        </w:rPr>
        <w:t xml:space="preserve"> common F-K phase reported for LLCs</w:t>
      </w:r>
      <w:r w:rsidR="00375199" w:rsidRPr="006D631C">
        <w:rPr>
          <w:rFonts w:asciiTheme="majorBidi" w:hAnsiTheme="majorBidi" w:cstheme="majorBidi"/>
        </w:rPr>
        <w:t xml:space="preserve"> are schematically shown in Figure</w:t>
      </w:r>
      <w:r w:rsidRPr="006D631C">
        <w:rPr>
          <w:rFonts w:asciiTheme="majorBidi" w:hAnsiTheme="majorBidi" w:cstheme="majorBidi"/>
        </w:rPr>
        <w:t xml:space="preserve"> </w:t>
      </w:r>
      <w:r w:rsidR="00375199" w:rsidRPr="006D631C">
        <w:rPr>
          <w:rFonts w:asciiTheme="majorBidi" w:hAnsiTheme="majorBidi" w:cstheme="majorBidi"/>
        </w:rPr>
        <w:t>1-</w:t>
      </w:r>
      <w:r w:rsidRPr="006D631C">
        <w:rPr>
          <w:rFonts w:asciiTheme="majorBidi" w:hAnsiTheme="majorBidi" w:cstheme="majorBidi"/>
        </w:rPr>
        <w:t xml:space="preserve">11. As with other mesophases, X-ray analysis is used to characterize these structures. Accordingly, </w:t>
      </w:r>
      <w:r w:rsidR="005D633F" w:rsidRPr="006D631C">
        <w:rPr>
          <w:rFonts w:asciiTheme="majorBidi" w:hAnsiTheme="majorBidi" w:cstheme="majorBidi"/>
        </w:rPr>
        <w:t>as presented in Figure</w:t>
      </w:r>
      <w:r w:rsidRPr="006D631C">
        <w:rPr>
          <w:rFonts w:asciiTheme="majorBidi" w:hAnsiTheme="majorBidi" w:cstheme="majorBidi"/>
        </w:rPr>
        <w:t xml:space="preserve"> </w:t>
      </w:r>
      <w:r w:rsidR="005D633F" w:rsidRPr="006D631C">
        <w:rPr>
          <w:rFonts w:asciiTheme="majorBidi" w:hAnsiTheme="majorBidi" w:cstheme="majorBidi"/>
        </w:rPr>
        <w:t>1-</w:t>
      </w:r>
      <w:r w:rsidRPr="006D631C">
        <w:rPr>
          <w:rFonts w:asciiTheme="majorBidi" w:hAnsiTheme="majorBidi" w:cstheme="majorBidi"/>
        </w:rPr>
        <w:t>2b, the characteristic peak ratio of 1:√2:√4:√5:√6:√8:√10:√12… (</w:t>
      </w:r>
      <w:proofErr w:type="gramStart"/>
      <w:r w:rsidRPr="006D631C">
        <w:rPr>
          <w:rFonts w:asciiTheme="majorBidi" w:hAnsiTheme="majorBidi" w:cstheme="majorBidi"/>
        </w:rPr>
        <w:t>corresponding</w:t>
      </w:r>
      <w:proofErr w:type="gramEnd"/>
      <w:r w:rsidRPr="006D631C">
        <w:rPr>
          <w:rFonts w:asciiTheme="majorBidi" w:hAnsiTheme="majorBidi" w:cstheme="majorBidi"/>
        </w:rPr>
        <w:t xml:space="preserve"> to the d</w:t>
      </w:r>
      <w:r w:rsidRPr="006D631C">
        <w:rPr>
          <w:rFonts w:asciiTheme="majorBidi" w:hAnsiTheme="majorBidi" w:cstheme="majorBidi"/>
          <w:vertAlign w:val="subscript"/>
        </w:rPr>
        <w:t>100</w:t>
      </w:r>
      <w:r w:rsidRPr="006D631C">
        <w:rPr>
          <w:rFonts w:asciiTheme="majorBidi" w:hAnsiTheme="majorBidi" w:cstheme="majorBidi"/>
        </w:rPr>
        <w:t>, d</w:t>
      </w:r>
      <w:r w:rsidRPr="006D631C">
        <w:rPr>
          <w:rFonts w:asciiTheme="majorBidi" w:hAnsiTheme="majorBidi" w:cstheme="majorBidi"/>
          <w:vertAlign w:val="subscript"/>
        </w:rPr>
        <w:t>110</w:t>
      </w:r>
      <w:r w:rsidRPr="006D631C">
        <w:rPr>
          <w:rFonts w:asciiTheme="majorBidi" w:hAnsiTheme="majorBidi" w:cstheme="majorBidi"/>
        </w:rPr>
        <w:t>, d</w:t>
      </w:r>
      <w:r w:rsidRPr="006D631C">
        <w:rPr>
          <w:rFonts w:asciiTheme="majorBidi" w:hAnsiTheme="majorBidi" w:cstheme="majorBidi"/>
          <w:vertAlign w:val="subscript"/>
        </w:rPr>
        <w:t>200</w:t>
      </w:r>
      <w:r w:rsidRPr="006D631C">
        <w:rPr>
          <w:rFonts w:asciiTheme="majorBidi" w:hAnsiTheme="majorBidi" w:cstheme="majorBidi"/>
        </w:rPr>
        <w:t>, d</w:t>
      </w:r>
      <w:r w:rsidRPr="006D631C">
        <w:rPr>
          <w:rFonts w:asciiTheme="majorBidi" w:hAnsiTheme="majorBidi" w:cstheme="majorBidi"/>
          <w:vertAlign w:val="subscript"/>
        </w:rPr>
        <w:t>210</w:t>
      </w:r>
      <w:r w:rsidRPr="006D631C">
        <w:rPr>
          <w:rFonts w:asciiTheme="majorBidi" w:hAnsiTheme="majorBidi" w:cstheme="majorBidi"/>
        </w:rPr>
        <w:t>, d</w:t>
      </w:r>
      <w:r w:rsidRPr="006D631C">
        <w:rPr>
          <w:rFonts w:asciiTheme="majorBidi" w:hAnsiTheme="majorBidi" w:cstheme="majorBidi"/>
          <w:vertAlign w:val="subscript"/>
        </w:rPr>
        <w:t>211</w:t>
      </w:r>
      <w:r w:rsidRPr="006D631C">
        <w:rPr>
          <w:rFonts w:asciiTheme="majorBidi" w:hAnsiTheme="majorBidi" w:cstheme="majorBidi"/>
        </w:rPr>
        <w:t>, d</w:t>
      </w:r>
      <w:r w:rsidRPr="006D631C">
        <w:rPr>
          <w:rFonts w:asciiTheme="majorBidi" w:hAnsiTheme="majorBidi" w:cstheme="majorBidi"/>
          <w:vertAlign w:val="subscript"/>
        </w:rPr>
        <w:t>220</w:t>
      </w:r>
      <w:r w:rsidRPr="006D631C">
        <w:rPr>
          <w:rFonts w:asciiTheme="majorBidi" w:hAnsiTheme="majorBidi" w:cstheme="majorBidi"/>
        </w:rPr>
        <w:t>, d</w:t>
      </w:r>
      <w:r w:rsidRPr="006D631C">
        <w:rPr>
          <w:rFonts w:asciiTheme="majorBidi" w:hAnsiTheme="majorBidi" w:cstheme="majorBidi"/>
          <w:vertAlign w:val="subscript"/>
        </w:rPr>
        <w:t>310</w:t>
      </w:r>
      <w:r w:rsidRPr="006D631C">
        <w:rPr>
          <w:rFonts w:asciiTheme="majorBidi" w:hAnsiTheme="majorBidi" w:cstheme="majorBidi"/>
        </w:rPr>
        <w:t>, d</w:t>
      </w:r>
      <w:r w:rsidRPr="006D631C">
        <w:rPr>
          <w:rFonts w:asciiTheme="majorBidi" w:hAnsiTheme="majorBidi" w:cstheme="majorBidi"/>
          <w:vertAlign w:val="subscript"/>
        </w:rPr>
        <w:t>222</w:t>
      </w:r>
      <w:r w:rsidRPr="006D631C">
        <w:rPr>
          <w:rFonts w:asciiTheme="majorBidi" w:hAnsiTheme="majorBidi" w:cstheme="majorBidi"/>
        </w:rPr>
        <w:t>,… diffraction planes) and 1:√3:√8:√11:√12:√16:√19… (corresponding to the d</w:t>
      </w:r>
      <w:r w:rsidRPr="006D631C">
        <w:rPr>
          <w:rFonts w:asciiTheme="majorBidi" w:hAnsiTheme="majorBidi" w:cstheme="majorBidi"/>
          <w:vertAlign w:val="subscript"/>
        </w:rPr>
        <w:t>100</w:t>
      </w:r>
      <w:r w:rsidRPr="006D631C">
        <w:rPr>
          <w:rFonts w:asciiTheme="majorBidi" w:hAnsiTheme="majorBidi" w:cstheme="majorBidi"/>
        </w:rPr>
        <w:t>, d</w:t>
      </w:r>
      <w:r w:rsidRPr="006D631C">
        <w:rPr>
          <w:rFonts w:asciiTheme="majorBidi" w:hAnsiTheme="majorBidi" w:cstheme="majorBidi"/>
          <w:vertAlign w:val="subscript"/>
        </w:rPr>
        <w:t>111</w:t>
      </w:r>
      <w:r w:rsidRPr="006D631C">
        <w:rPr>
          <w:rFonts w:asciiTheme="majorBidi" w:hAnsiTheme="majorBidi" w:cstheme="majorBidi"/>
        </w:rPr>
        <w:t>, d</w:t>
      </w:r>
      <w:r w:rsidRPr="006D631C">
        <w:rPr>
          <w:rFonts w:asciiTheme="majorBidi" w:hAnsiTheme="majorBidi" w:cstheme="majorBidi"/>
          <w:vertAlign w:val="subscript"/>
        </w:rPr>
        <w:t>220</w:t>
      </w:r>
      <w:r w:rsidRPr="006D631C">
        <w:rPr>
          <w:rFonts w:asciiTheme="majorBidi" w:hAnsiTheme="majorBidi" w:cstheme="majorBidi"/>
        </w:rPr>
        <w:t>, d</w:t>
      </w:r>
      <w:r w:rsidRPr="006D631C">
        <w:rPr>
          <w:rFonts w:asciiTheme="majorBidi" w:hAnsiTheme="majorBidi" w:cstheme="majorBidi"/>
          <w:vertAlign w:val="subscript"/>
        </w:rPr>
        <w:t>311</w:t>
      </w:r>
      <w:r w:rsidRPr="006D631C">
        <w:rPr>
          <w:rFonts w:asciiTheme="majorBidi" w:hAnsiTheme="majorBidi" w:cstheme="majorBidi"/>
        </w:rPr>
        <w:t>, d</w:t>
      </w:r>
      <w:r w:rsidRPr="006D631C">
        <w:rPr>
          <w:rFonts w:asciiTheme="majorBidi" w:hAnsiTheme="majorBidi" w:cstheme="majorBidi"/>
          <w:vertAlign w:val="subscript"/>
        </w:rPr>
        <w:t>222</w:t>
      </w:r>
      <w:r w:rsidRPr="006D631C">
        <w:rPr>
          <w:rFonts w:asciiTheme="majorBidi" w:hAnsiTheme="majorBidi" w:cstheme="majorBidi"/>
        </w:rPr>
        <w:t>, d</w:t>
      </w:r>
      <w:r w:rsidRPr="006D631C">
        <w:rPr>
          <w:rFonts w:asciiTheme="majorBidi" w:hAnsiTheme="majorBidi" w:cstheme="majorBidi"/>
          <w:vertAlign w:val="subscript"/>
        </w:rPr>
        <w:t>400</w:t>
      </w:r>
      <w:r w:rsidRPr="006D631C">
        <w:rPr>
          <w:rFonts w:asciiTheme="majorBidi" w:hAnsiTheme="majorBidi" w:cstheme="majorBidi"/>
        </w:rPr>
        <w:t>, d</w:t>
      </w:r>
      <w:r w:rsidRPr="006D631C">
        <w:rPr>
          <w:rFonts w:asciiTheme="majorBidi" w:hAnsiTheme="majorBidi" w:cstheme="majorBidi"/>
          <w:vertAlign w:val="subscript"/>
        </w:rPr>
        <w:t>331</w:t>
      </w:r>
      <w:r w:rsidRPr="006D631C">
        <w:rPr>
          <w:rFonts w:asciiTheme="majorBidi" w:hAnsiTheme="majorBidi" w:cstheme="majorBidi"/>
        </w:rPr>
        <w:t>, … diffraction planes) is observed for A15</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10.1021/acscentsci.8b00903","ISSN":"2374-7943","author":[{"dropping-particle":"","family":"Jayaraman","given":"Ashish","non-dropping-particle":"","parse-names":false,"suffix":""},{"dropping-particle":"","family":"Zhang","given":"Diana Y.","non-dropping-particle":"","parse-names":false,"suffix":""},{"dropping-particle":"","family":"Dewing","given":"Beth L.","non-dropping-particle":"","parse-names":false,"suffix":""},{"dropping-particle":"","family":"Mahanthappa","given":"Mahesh K.","non-dropping-particle":"","parse-names":false,"suffix":""}],"container-title":"ACS Central Science","id":"ITEM-1","issue":"4","issued":{"date-parts":[["2019","4","24"]]},"page":"619-628","title":"Path-Dependent Preparation of Complex Micelle Packings of a Hydrated Diblock Oligomer","type":"article-journal","volume":"5"},"uris":["http://www.mendeley.com/documents/?uuid=4211ca9a-4807-4a6f-8325-f07e29be07b5"]},{"id":"ITEM-2","itemData":{"DOI":"10.1073/pnas.1701608114","ISSN":"0027-8424","abstract":"Supramolecular self-assembly enables access to designer soft materials that typically exhibit high-symmetry packing arrangements, which optimize the interactions between their mesoscopic constituents over multiple length scales. We report the discovery of an ionic small molecule surfactant that undergoes water-induced self-assembly into spherical micelles, which pack into a previously unknown, low-symmetry lyotropic liquid crystalline Frank–Kasper σ phase. Small-angle X-ray scattering studies reveal that this complex phase is characterized by a gigantic tetragonal unit cell, in which 30 sub-2-nm quasispherical micelles of five discrete sizes are arranged into a tetrahedral close packing, with exceptional translational order over length scales exceeding 100 nm. Varying the relative concentrations of water and surfactant in these lyotropic phases also triggers formation of the related Frank–Kasper A15 sphere packing as well as a common body-centered cubic structure. Molecular dynamics simulations reveal that the symmetry breaking that drives the formation of the σ and A15 phases arises from minimization of local deviations in surfactant headgroup and counterion solvation to maintain a nearly spherical counterion atmosphere around each micelle, while maximizing counterion-mediated electrostatic cohesion among the ensemble of charged particles.","author":[{"dropping-particle":"","family":"Kim","given":"Sung A","non-dropping-particle":"","parse-names":false,"suffix":""},{"dropping-particle":"","family":"Jeong","given":"Kyeong-Jun","non-dropping-particle":"","parse-names":false,"suffix":""},{"dropping-particle":"","family":"Yethiraj","given":"Arun","non-dropping-particle":"","parse-names":false,"suffix":""},{"dropping-particle":"","family":"Mahanthappa","given":"Mahesh K.","non-dropping-particle":"","parse-names":false,"suffix":""}],"container-title":"Proceedings of the National Academy of Sciences","id":"ITEM-2","issue":"16","issued":{"date-parts":[["2017","4","18"]]},"page":"4072-4077","title":"Low-symmetry sphere packings of simple surfactant micelles induced by ionic sphericity","type":"article-journal","volume":"114"},"uris":["http://www.mendeley.com/documents/?uuid=405399cb-d5a0-4e0d-8e6b-eb98595c5a8f"]},{"id":"ITEM-3","itemData":{"DOI":"10.1021/acs.langmuir.7b03833","ISSN":"0743-7463","author":[{"dropping-particle":"","family":"Jayaraman","given":"Ashish","non-dropping-particle":"","parse-names":false,"suffix":""},{"dropping-particle":"","family":"Mahanthappa","given":"Mahesh K.","non-dropping-particle":"","parse-names":false,"suffix":""}],"container-title":"Langmuir","id":"ITEM-3","issue":"6","issued":{"date-parts":[["2018","2","13"]]},"page":"2290-2301","title":"Counterion-Dependent Access to Low-Symmetry Lyotropic Sphere Packings of Ionic Surfactant Micelles","type":"article-journal","volume":"34"},"uris":["http://www.mendeley.com/documents/?uuid=ec33ca08-81ad-438f-a7b4-d768846c1bef"]}],"mendeley":{"formattedCitation":"&lt;sup&gt;21,24,64&lt;/sup&gt;","plainTextFormattedCitation":"21,24,64","previouslyFormattedCitation":"&lt;sup&gt;21,24,64&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21,24,64</w:t>
      </w:r>
      <w:r w:rsidRPr="006D631C">
        <w:rPr>
          <w:rFonts w:asciiTheme="majorBidi" w:hAnsiTheme="majorBidi" w:cstheme="majorBidi"/>
        </w:rPr>
        <w:fldChar w:fldCharType="end"/>
      </w:r>
      <w:r w:rsidRPr="006D631C">
        <w:rPr>
          <w:rFonts w:asciiTheme="majorBidi" w:hAnsiTheme="majorBidi" w:cstheme="majorBidi"/>
        </w:rPr>
        <w:t xml:space="preserve"> and C15</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{"citationItems":[{"id":"ITEM-1","itemData":{"DOI":"10.1021/acsnano.7b07475","ISSN":"1936-0851","author":[{"dropping-particle":"","family":"Baez-Cotto","given":"Carlos M.","non-dropping-particle":"","parse-names":false,"suffix":""},{"dropping-particle":"","family":"Mahanthappa","given":"Mahesh K.","non-dropping-particle":"","parse-names":false,"suffix":""}],"container-title":"ACS Nano","id":"ITEM-1","issue":"4","issued":{"date-parts":[["2018","4","24"]]},"page":"3226-3234","title":"Micellar Mimicry of Intermetallic C14 and C15 Laves Phases by Aqueous Lyotropic Self-Assembly","type":"article-journal","volume":"12"},"uris":["http://www.mendeley.com/documents/?uuid=2bc3dd4a-24cb-4741-bc63-1f5cb1afe767"]}],"mendeley":{"formattedCitation":"&lt;sup&gt;22&lt;/sup&gt;","plainTextFormattedCitation":"22","previouslyFormattedCitation":"&lt;sup&gt;22&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22</w:t>
      </w:r>
      <w:r w:rsidRPr="006D631C">
        <w:rPr>
          <w:rFonts w:asciiTheme="majorBidi" w:hAnsiTheme="majorBidi" w:cstheme="majorBidi"/>
        </w:rPr>
        <w:fldChar w:fldCharType="end"/>
      </w:r>
      <w:r w:rsidRPr="006D631C">
        <w:rPr>
          <w:rFonts w:asciiTheme="majorBidi" w:hAnsiTheme="majorBidi" w:cstheme="majorBidi"/>
        </w:rPr>
        <w:t xml:space="preserve"> Laves phases, respectively. In the case of  C14 Laves</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{"citationItems":[{"id":"ITEM-1","itemData":{"DOI":"10.1021/acsnano.7b07475","ISSN":"1936-0851","author":[{"dropping-particle":"","family":"Baez-Cotto","given":"Carlos M.","non-dropping-particle":"","parse-names":false,"suffix":""},{"dropping-particle":"","family":"Mahanthappa","given":"Mahesh K.","non-dropping-particle":"","parse-names":false,"suffix":""}],"container-title":"ACS Nano","id":"ITEM-1","issue":"4","issued":{"date-parts":[["2018","4","24"]]},"page":"3226-3234","title":"Micellar Mimicry of Intermetallic C14 and C15 Laves Phases by Aqueous Lyotropic Self-Assembly","type":"article-journal","volume":"12"},"uris":["http://www.mendeley.com/documents/?uuid=2bc3dd4a-24cb-4741-bc63-1f5cb1afe767"]}],"mendeley":{"formattedCitation":"&lt;sup&gt;22&lt;/sup&gt;","plainTextFormattedCitation":"22","previouslyFormattedCitation":"&lt;sup&gt;22&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22</w:t>
      </w:r>
      <w:r w:rsidRPr="006D631C">
        <w:rPr>
          <w:rFonts w:asciiTheme="majorBidi" w:hAnsiTheme="majorBidi" w:cstheme="majorBidi"/>
        </w:rPr>
        <w:fldChar w:fldCharType="end"/>
      </w:r>
      <w:r w:rsidRPr="006D631C">
        <w:rPr>
          <w:rFonts w:asciiTheme="majorBidi" w:hAnsiTheme="majorBidi" w:cstheme="majorBidi"/>
        </w:rPr>
        <w:t xml:space="preserve"> and σ</w:t>
      </w:r>
      <w:r w:rsidRPr="006D631C">
        <w:rPr>
          <w:rFonts w:asciiTheme="majorBidi" w:hAnsiTheme="majorBidi" w:cstheme="majorBidi"/>
        </w:rPr>
        <w:fldChar w:fldCharType="begin" w:fldLock="1"/>
      </w:r>
      <w:r w:rsidR="00396023" w:rsidRPr="006D631C">
        <w:rPr>
          <w:rFonts w:asciiTheme="majorBidi" w:hAnsiTheme="majorBidi" w:cstheme="majorBidi"/>
        </w:rPr>
        <w:instrText>ADDIN CSL_CITATION {"citationItems":[{"id":"ITEM-1","itemData":{"DOI":"10.1073/pnas.1701608114","ISSN":"0027-8424","abstract":"Supramolecular self-assembly enables access to designer soft materials that typically exhibit high-symmetry packing arrangements, which optimize the interactions between their mesoscopic constituents over multiple length scales. We report the discovery of an ionic small molecule surfactant that undergoes water-induced self-assembly into spherical micelles, which pack into a previously unknown, low-symmetry lyotropic liquid crystalline Frank–Kasper σ phase. Small-angle X-ray scattering studies reveal that this complex phase is characterized by a gigantic tetragonal unit cell, in which 30 sub-2-nm quasispherical micelles of five discrete sizes are arranged into a tetrahedral close packing, with exceptional translational order over length scales exceeding 100 nm. Varying the relative concentrations of water and surfactant in these lyotropic phases also triggers formation of the related Frank–Kasper A15 sphere packing as well as a common body-centered cubic structure. Molecular dynamics simulations reveal that the symmetry breaking that drives the formation of the σ and A15 phases arises from minimization of local deviations in surfactant headgroup and counterion solvation to maintain a nearly spherical counterion atmosphere around each micelle, while maximizing counterion-mediated electrostatic cohesion among the ensemble of charged particles.","author":[{"dropping-particle":"","family":"Kim","given":"Sung A","non-dropping-particle":"","parse-names":false,"suffix":""},{"dropping-particle":"","family":"Jeong","given":"Kyeong-Jun","non-dropping-particle":"","parse-names":false,"suffix":""},{"dropping-particle":"","family":"Yethiraj","given":"Arun","non-dropping-particle":"","parse-names":false,"suffix":""},{"dropping-particle":"","family":"Mahanthappa","given":"Mahesh K.","non-dropping-particle":"","parse-names":false,"suffix":""}],"container-title":"Proceedings of the National Academy of Sciences","id":"ITEM-1","issue":"16","issued":{"date-parts":[["2017","4","18"]]},"page":"4072-4077","title":"Low-symmetry sphere packings of simple surfactant micelles induced by ionic sphericity","type":"article-journal","volume":"114"},"uris":["http://www.mendeley.com/documents/?uuid=405399cb-d5a0-4e0d-8e6b-eb98595c5a8f"]},{"id":"ITEM-2","itemData":{"DOI":"10.1021/acs.langmuir.7b03833","ISSN":"0743-7463","author":[{"dropping-particle":"","family":"Jayaraman","given":"Ashish","non-dropping-particle":"","parse-names":false,"suffix":""},{"dropping-particle":"","family":"Mahanthappa","given":"Mahesh K.","non-dropping-particle":"","parse-names":false,"suffix":""}],"container-title":"Langmuir","id":"ITEM-2","issue":"6","issued":{"date-parts":[["2018","2","13"]]},"page":"2290-2301","title":"Counterion-Dependent Access to Low-Symmetry Lyotropic Sphere Packings of Ionic Surfactant Micelles","type":"article-journal","volume":"34"},"uris":["http://www.mendeley.com/documents/?uuid=ec33ca08-81ad-438f-a7b4-d768846c1bef"]}],"mendeley":{"formattedCitation":"&lt;sup&gt;24,64&lt;/sup&gt;","plainTextFormattedCitation":"24,64","previouslyFormattedCitation":"&lt;sup&gt;24,64&lt;/sup&gt;"},"properties":{"noteIndex":0},"schema":"https://github.com/citation-style-language/schema/raw/master/csl-citation.json"}</w:instrText>
      </w:r>
      <w:r w:rsidRPr="006D631C">
        <w:rPr>
          <w:rFonts w:asciiTheme="majorBidi" w:hAnsiTheme="majorBidi" w:cstheme="majorBidi"/>
        </w:rPr>
        <w:fldChar w:fldCharType="separate"/>
      </w:r>
      <w:r w:rsidR="00375199" w:rsidRPr="006D631C">
        <w:rPr>
          <w:rFonts w:asciiTheme="majorBidi" w:hAnsiTheme="majorBidi" w:cstheme="majorBidi"/>
          <w:noProof/>
          <w:vertAlign w:val="superscript"/>
        </w:rPr>
        <w:t>24,64</w:t>
      </w:r>
      <w:r w:rsidRPr="006D631C">
        <w:rPr>
          <w:rFonts w:asciiTheme="majorBidi" w:hAnsiTheme="majorBidi" w:cstheme="majorBidi"/>
        </w:rPr>
        <w:fldChar w:fldCharType="end"/>
      </w:r>
      <w:r w:rsidRPr="006D631C">
        <w:rPr>
          <w:rFonts w:asciiTheme="majorBidi" w:hAnsiTheme="majorBidi" w:cstheme="majorBidi"/>
        </w:rPr>
        <w:t xml:space="preserve"> phases, Bragg peaks corresponding to the d</w:t>
      </w:r>
      <w:r w:rsidRPr="006D631C">
        <w:rPr>
          <w:rFonts w:asciiTheme="majorBidi" w:hAnsiTheme="majorBidi" w:cstheme="majorBidi"/>
          <w:vertAlign w:val="subscript"/>
        </w:rPr>
        <w:t>100</w:t>
      </w:r>
      <w:r w:rsidRPr="006D631C">
        <w:rPr>
          <w:rFonts w:asciiTheme="majorBidi" w:hAnsiTheme="majorBidi" w:cstheme="majorBidi"/>
        </w:rPr>
        <w:t>, d</w:t>
      </w:r>
      <w:r w:rsidRPr="006D631C">
        <w:rPr>
          <w:rFonts w:asciiTheme="majorBidi" w:hAnsiTheme="majorBidi" w:cstheme="majorBidi"/>
          <w:vertAlign w:val="subscript"/>
        </w:rPr>
        <w:t>002</w:t>
      </w:r>
      <w:r w:rsidRPr="006D631C">
        <w:rPr>
          <w:rFonts w:asciiTheme="majorBidi" w:hAnsiTheme="majorBidi" w:cstheme="majorBidi"/>
        </w:rPr>
        <w:t>, d</w:t>
      </w:r>
      <w:r w:rsidRPr="006D631C">
        <w:rPr>
          <w:rFonts w:asciiTheme="majorBidi" w:hAnsiTheme="majorBidi" w:cstheme="majorBidi"/>
          <w:vertAlign w:val="subscript"/>
        </w:rPr>
        <w:t>101</w:t>
      </w:r>
      <w:r w:rsidRPr="006D631C">
        <w:rPr>
          <w:rFonts w:asciiTheme="majorBidi" w:hAnsiTheme="majorBidi" w:cstheme="majorBidi"/>
        </w:rPr>
        <w:t>, d</w:t>
      </w:r>
      <w:r w:rsidRPr="006D631C">
        <w:rPr>
          <w:rFonts w:asciiTheme="majorBidi" w:hAnsiTheme="majorBidi" w:cstheme="majorBidi"/>
          <w:vertAlign w:val="subscript"/>
        </w:rPr>
        <w:t>102</w:t>
      </w:r>
      <w:r w:rsidRPr="006D631C">
        <w:rPr>
          <w:rFonts w:asciiTheme="majorBidi" w:hAnsiTheme="majorBidi" w:cstheme="majorBidi"/>
        </w:rPr>
        <w:t>, d</w:t>
      </w:r>
      <w:r w:rsidRPr="006D631C">
        <w:rPr>
          <w:rFonts w:asciiTheme="majorBidi" w:hAnsiTheme="majorBidi" w:cstheme="majorBidi"/>
          <w:vertAlign w:val="subscript"/>
        </w:rPr>
        <w:t>110</w:t>
      </w:r>
      <w:r w:rsidRPr="006D631C">
        <w:rPr>
          <w:rFonts w:asciiTheme="majorBidi" w:hAnsiTheme="majorBidi" w:cstheme="majorBidi"/>
        </w:rPr>
        <w:t>, d</w:t>
      </w:r>
      <w:r w:rsidRPr="006D631C">
        <w:rPr>
          <w:rFonts w:asciiTheme="majorBidi" w:hAnsiTheme="majorBidi" w:cstheme="majorBidi"/>
          <w:vertAlign w:val="subscript"/>
        </w:rPr>
        <w:t>103</w:t>
      </w:r>
      <w:r w:rsidRPr="006D631C">
        <w:rPr>
          <w:rFonts w:asciiTheme="majorBidi" w:hAnsiTheme="majorBidi" w:cstheme="majorBidi"/>
        </w:rPr>
        <w:t>, d</w:t>
      </w:r>
      <w:r w:rsidRPr="006D631C">
        <w:rPr>
          <w:rFonts w:asciiTheme="majorBidi" w:hAnsiTheme="majorBidi" w:cstheme="majorBidi"/>
          <w:vertAlign w:val="subscript"/>
        </w:rPr>
        <w:t>200</w:t>
      </w:r>
      <w:r w:rsidRPr="006D631C">
        <w:rPr>
          <w:rFonts w:asciiTheme="majorBidi" w:hAnsiTheme="majorBidi" w:cstheme="majorBidi"/>
        </w:rPr>
        <w:t>, d</w:t>
      </w:r>
      <w:r w:rsidRPr="006D631C">
        <w:rPr>
          <w:rFonts w:asciiTheme="majorBidi" w:hAnsiTheme="majorBidi" w:cstheme="majorBidi"/>
          <w:vertAlign w:val="subscript"/>
        </w:rPr>
        <w:t>112</w:t>
      </w:r>
      <w:r w:rsidRPr="006D631C">
        <w:rPr>
          <w:rFonts w:asciiTheme="majorBidi" w:hAnsiTheme="majorBidi" w:cstheme="majorBidi"/>
        </w:rPr>
        <w:t>, d</w:t>
      </w:r>
      <w:r w:rsidRPr="006D631C">
        <w:rPr>
          <w:rFonts w:asciiTheme="majorBidi" w:hAnsiTheme="majorBidi" w:cstheme="majorBidi"/>
          <w:vertAlign w:val="subscript"/>
        </w:rPr>
        <w:t>201</w:t>
      </w:r>
      <w:r w:rsidRPr="006D631C">
        <w:rPr>
          <w:rFonts w:asciiTheme="majorBidi" w:hAnsiTheme="majorBidi" w:cstheme="majorBidi"/>
        </w:rPr>
        <w:t>, d</w:t>
      </w:r>
      <w:r w:rsidRPr="006D631C">
        <w:rPr>
          <w:rFonts w:asciiTheme="majorBidi" w:hAnsiTheme="majorBidi" w:cstheme="majorBidi"/>
          <w:vertAlign w:val="subscript"/>
        </w:rPr>
        <w:t>004</w:t>
      </w:r>
      <w:r w:rsidRPr="006D631C">
        <w:rPr>
          <w:rFonts w:asciiTheme="majorBidi" w:hAnsiTheme="majorBidi" w:cstheme="majorBidi"/>
        </w:rPr>
        <w:t>,… and the d</w:t>
      </w:r>
      <w:r w:rsidRPr="006D631C">
        <w:rPr>
          <w:rFonts w:asciiTheme="majorBidi" w:hAnsiTheme="majorBidi" w:cstheme="majorBidi"/>
          <w:vertAlign w:val="subscript"/>
        </w:rPr>
        <w:t>310</w:t>
      </w:r>
      <w:r w:rsidRPr="006D631C">
        <w:rPr>
          <w:rFonts w:asciiTheme="majorBidi" w:hAnsiTheme="majorBidi" w:cstheme="majorBidi"/>
        </w:rPr>
        <w:t>, d</w:t>
      </w:r>
      <w:r w:rsidRPr="006D631C">
        <w:rPr>
          <w:rFonts w:asciiTheme="majorBidi" w:hAnsiTheme="majorBidi" w:cstheme="majorBidi"/>
          <w:vertAlign w:val="subscript"/>
        </w:rPr>
        <w:t>221</w:t>
      </w:r>
      <w:r w:rsidRPr="006D631C">
        <w:rPr>
          <w:rFonts w:asciiTheme="majorBidi" w:hAnsiTheme="majorBidi" w:cstheme="majorBidi"/>
        </w:rPr>
        <w:t>, d</w:t>
      </w:r>
      <w:r w:rsidRPr="006D631C">
        <w:rPr>
          <w:rFonts w:asciiTheme="majorBidi" w:hAnsiTheme="majorBidi" w:cstheme="majorBidi"/>
          <w:vertAlign w:val="subscript"/>
        </w:rPr>
        <w:t>301</w:t>
      </w:r>
      <w:r w:rsidRPr="006D631C">
        <w:rPr>
          <w:rFonts w:asciiTheme="majorBidi" w:hAnsiTheme="majorBidi" w:cstheme="majorBidi"/>
        </w:rPr>
        <w:t>, d</w:t>
      </w:r>
      <w:r w:rsidRPr="006D631C">
        <w:rPr>
          <w:rFonts w:asciiTheme="majorBidi" w:hAnsiTheme="majorBidi" w:cstheme="majorBidi"/>
          <w:vertAlign w:val="subscript"/>
        </w:rPr>
        <w:t>320</w:t>
      </w:r>
      <w:r w:rsidRPr="006D631C">
        <w:rPr>
          <w:rFonts w:asciiTheme="majorBidi" w:hAnsiTheme="majorBidi" w:cstheme="majorBidi"/>
        </w:rPr>
        <w:t>, d</w:t>
      </w:r>
      <w:r w:rsidRPr="006D631C">
        <w:rPr>
          <w:rFonts w:asciiTheme="majorBidi" w:hAnsiTheme="majorBidi" w:cstheme="majorBidi"/>
          <w:vertAlign w:val="subscript"/>
        </w:rPr>
        <w:t>311</w:t>
      </w:r>
      <w:r w:rsidRPr="006D631C">
        <w:rPr>
          <w:rFonts w:asciiTheme="majorBidi" w:hAnsiTheme="majorBidi" w:cstheme="majorBidi"/>
        </w:rPr>
        <w:t>, d</w:t>
      </w:r>
      <w:r w:rsidRPr="006D631C">
        <w:rPr>
          <w:rFonts w:asciiTheme="majorBidi" w:hAnsiTheme="majorBidi" w:cstheme="majorBidi"/>
          <w:vertAlign w:val="subscript"/>
        </w:rPr>
        <w:t>002</w:t>
      </w:r>
      <w:r w:rsidRPr="006D631C">
        <w:rPr>
          <w:rFonts w:asciiTheme="majorBidi" w:hAnsiTheme="majorBidi" w:cstheme="majorBidi"/>
        </w:rPr>
        <w:t>, d</w:t>
      </w:r>
      <w:r w:rsidRPr="006D631C">
        <w:rPr>
          <w:rFonts w:asciiTheme="majorBidi" w:hAnsiTheme="majorBidi" w:cstheme="majorBidi"/>
          <w:vertAlign w:val="subscript"/>
        </w:rPr>
        <w:t>400</w:t>
      </w:r>
      <w:r w:rsidRPr="006D631C">
        <w:rPr>
          <w:rFonts w:asciiTheme="majorBidi" w:hAnsiTheme="majorBidi" w:cstheme="majorBidi"/>
        </w:rPr>
        <w:t>, d</w:t>
      </w:r>
      <w:r w:rsidRPr="006D631C">
        <w:rPr>
          <w:rFonts w:asciiTheme="majorBidi" w:hAnsiTheme="majorBidi" w:cstheme="majorBidi"/>
          <w:vertAlign w:val="subscript"/>
        </w:rPr>
        <w:t xml:space="preserve">112 </w:t>
      </w:r>
      <w:r w:rsidRPr="006D631C">
        <w:rPr>
          <w:rFonts w:asciiTheme="majorBidi" w:hAnsiTheme="majorBidi" w:cstheme="majorBidi"/>
        </w:rPr>
        <w:t>or</w:t>
      </w:r>
      <w:r w:rsidRPr="006D631C">
        <w:rPr>
          <w:rFonts w:asciiTheme="majorBidi" w:hAnsiTheme="majorBidi" w:cstheme="majorBidi"/>
          <w:vertAlign w:val="subscript"/>
        </w:rPr>
        <w:t xml:space="preserve"> </w:t>
      </w:r>
      <w:r w:rsidRPr="006D631C">
        <w:rPr>
          <w:rFonts w:asciiTheme="majorBidi" w:hAnsiTheme="majorBidi" w:cstheme="majorBidi"/>
        </w:rPr>
        <w:t>d</w:t>
      </w:r>
      <w:r w:rsidRPr="006D631C">
        <w:rPr>
          <w:rFonts w:asciiTheme="majorBidi" w:hAnsiTheme="majorBidi" w:cstheme="majorBidi"/>
          <w:vertAlign w:val="subscript"/>
        </w:rPr>
        <w:t>321</w:t>
      </w:r>
      <w:r w:rsidRPr="006D631C">
        <w:rPr>
          <w:rFonts w:asciiTheme="majorBidi" w:hAnsiTheme="majorBidi" w:cstheme="majorBidi"/>
        </w:rPr>
        <w:t>, d</w:t>
      </w:r>
      <w:r w:rsidRPr="006D631C">
        <w:rPr>
          <w:rFonts w:asciiTheme="majorBidi" w:hAnsiTheme="majorBidi" w:cstheme="majorBidi"/>
          <w:vertAlign w:val="subscript"/>
        </w:rPr>
        <w:t>410</w:t>
      </w:r>
      <w:r w:rsidRPr="006D631C">
        <w:rPr>
          <w:rFonts w:asciiTheme="majorBidi" w:hAnsiTheme="majorBidi" w:cstheme="majorBidi"/>
        </w:rPr>
        <w:t>, d</w:t>
      </w:r>
      <w:r w:rsidRPr="006D631C">
        <w:rPr>
          <w:rFonts w:asciiTheme="majorBidi" w:hAnsiTheme="majorBidi" w:cstheme="majorBidi"/>
          <w:vertAlign w:val="subscript"/>
        </w:rPr>
        <w:t>330</w:t>
      </w:r>
      <w:r w:rsidRPr="006D631C">
        <w:rPr>
          <w:rFonts w:asciiTheme="majorBidi" w:hAnsiTheme="majorBidi" w:cstheme="majorBidi"/>
        </w:rPr>
        <w:t xml:space="preserve">,…diffraction planes have been reported, respectively. Although these LLC phases have not yet been applied in LLC templating, they seem to have excellent potential in fabrication of nanostructured species with unique properties (see the discussion in section </w:t>
      </w:r>
      <w:r w:rsidR="006515D0" w:rsidRPr="006D631C">
        <w:rPr>
          <w:rFonts w:asciiTheme="majorBidi" w:hAnsiTheme="majorBidi" w:cstheme="majorBidi"/>
        </w:rPr>
        <w:t>1.</w:t>
      </w:r>
      <w:r w:rsidRPr="006D631C">
        <w:rPr>
          <w:rFonts w:asciiTheme="majorBidi" w:hAnsiTheme="majorBidi" w:cstheme="majorBidi"/>
        </w:rPr>
        <w:t>3.4).</w:t>
      </w:r>
    </w:p>
    <w:p w14:paraId="339BE223" w14:textId="76A3EC69" w:rsidR="00862A9E" w:rsidRPr="006D631C" w:rsidRDefault="00117CE5" w:rsidP="00117CE5">
      <w:pPr>
        <w:jc w:val="center"/>
      </w:pPr>
      <w:r w:rsidRPr="006D631C">
        <w:rPr>
          <w:rFonts w:asciiTheme="majorBidi" w:hAnsiTheme="majorBidi" w:cstheme="majorBidi"/>
          <w:b/>
          <w:noProof/>
        </w:rPr>
        <w:lastRenderedPageBreak/>
        <w:drawing>
          <wp:inline distT="0" distB="0" distL="0" distR="0" wp14:anchorId="2C70100E" wp14:editId="6224A27B">
            <wp:extent cx="5029200" cy="5040694"/>
            <wp:effectExtent l="0" t="0" r="0" b="762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29200" cy="5040694"/>
                    </a:xfrm>
                    <a:prstGeom prst="rect">
                      <a:avLst/>
                    </a:prstGeom>
                    <a:noFill/>
                  </pic:spPr>
                </pic:pic>
              </a:graphicData>
            </a:graphic>
          </wp:inline>
        </w:drawing>
      </w:r>
    </w:p>
    <w:p w14:paraId="786FBEEE" w14:textId="48ABF3B3" w:rsidR="000A56A6" w:rsidRPr="006D631C" w:rsidRDefault="000A56A6" w:rsidP="000A56A6">
      <w:pPr>
        <w:tabs>
          <w:tab w:val="left" w:pos="90"/>
          <w:tab w:val="left" w:pos="360"/>
          <w:tab w:val="left" w:pos="992"/>
        </w:tabs>
        <w:spacing w:line="360" w:lineRule="auto"/>
        <w:jc w:val="center"/>
        <w:rPr>
          <w:rFonts w:asciiTheme="majorBidi" w:hAnsiTheme="majorBidi" w:cstheme="majorBidi"/>
          <w:sz w:val="22"/>
          <w:szCs w:val="22"/>
        </w:rPr>
      </w:pPr>
      <w:bookmarkStart w:id="57" w:name="_Toc148175920"/>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11</w:t>
      </w:r>
      <w:r w:rsidR="00B55F32" w:rsidRPr="006D631C">
        <w:rPr>
          <w:sz w:val="22"/>
          <w:szCs w:val="22"/>
        </w:rPr>
        <w:fldChar w:fldCharType="end"/>
      </w:r>
      <w:r w:rsidRPr="006D631C">
        <w:rPr>
          <w:sz w:val="22"/>
          <w:szCs w:val="22"/>
        </w:rPr>
        <w:t>.</w:t>
      </w:r>
      <w:r w:rsidRPr="006D631C">
        <w:rPr>
          <w:rFonts w:eastAsia="Calibri"/>
          <w:sz w:val="22"/>
          <w:szCs w:val="22"/>
        </w:rPr>
        <w:t xml:space="preserve"> </w:t>
      </w:r>
      <w:r w:rsidRPr="006D631C">
        <w:rPr>
          <w:rFonts w:asciiTheme="majorBidi" w:hAnsiTheme="majorBidi" w:cstheme="majorBidi"/>
          <w:sz w:val="22"/>
          <w:szCs w:val="22"/>
        </w:rPr>
        <w:t>Typical schematics of different F-K phases observed for LLCs including A15, C14 and C15 Laves, and σ phases.</w:t>
      </w:r>
      <w:bookmarkEnd w:id="57"/>
    </w:p>
    <w:p w14:paraId="289E40B2" w14:textId="12F032B7" w:rsidR="00396023" w:rsidRPr="006D631C" w:rsidRDefault="005C0E7D" w:rsidP="00A14B8F">
      <w:pPr>
        <w:ind w:firstLine="357"/>
      </w:pPr>
      <w:r w:rsidRPr="006D631C">
        <w:t xml:space="preserve">For the sake of </w:t>
      </w:r>
      <w:r w:rsidRPr="006D631C">
        <w:rPr>
          <w:rFonts w:asciiTheme="majorBidi" w:hAnsiTheme="majorBidi" w:cstheme="majorBidi"/>
        </w:rPr>
        <w:t>completeness</w:t>
      </w:r>
      <w:r w:rsidRPr="006D631C">
        <w:t>, it should be mentioned that there are other occasionally observed LLC structures which are variously described as ‘intermediate’, ‘transition’ or ‘irregular’ mesophases. One such mesophase is the L</w:t>
      </w:r>
      <w:r w:rsidRPr="006D631C">
        <w:rPr>
          <w:vertAlign w:val="subscript"/>
        </w:rPr>
        <w:t>3</w:t>
      </w:r>
      <w:r w:rsidRPr="006D631C">
        <w:t xml:space="preserve"> ‘sponge’ phase, which has an overall lamellar structural motif, but the spacing of solvent domains is irregular. This </w:t>
      </w:r>
      <w:proofErr w:type="spellStart"/>
      <w:r w:rsidRPr="006D631C">
        <w:t>polydispersity</w:t>
      </w:r>
      <w:proofErr w:type="spellEnd"/>
      <w:r w:rsidRPr="006D631C">
        <w:t xml:space="preserve"> in feature spacing manifests itself as a broad primary peak in L</w:t>
      </w:r>
      <w:r w:rsidRPr="006D631C">
        <w:rPr>
          <w:vertAlign w:val="subscript"/>
        </w:rPr>
        <w:t xml:space="preserve">3 </w:t>
      </w:r>
      <w:r w:rsidRPr="006D631C">
        <w:t>X-ray diffractograms.</w:t>
      </w:r>
      <w:r w:rsidRPr="006D631C">
        <w:fldChar w:fldCharType="begin" w:fldLock="1"/>
      </w:r>
      <w:r w:rsidRPr="006D631C">
        <w:instrText>ADDIN CSL_CITATION {"citationItems":[{"id":"ITEM-1","itemData":{"DOI":"10.1021/j100190a017","ISSN":"0022-3654","author":[{"dropping-particle":"","family":"Roux","given":"D.","non-dropping-particle":"","parse-names":false,"suffix":""},{"dropping-particle":"","family":"Coulon","given":"C.","non-dropping-particle":"","parse-names":false,"suffix":""},{"dropping-particle":"","family":"Cates","given":"M. E.","non-dropping-particle":"","parse-names":false,"suffix":""}],"container-title":"The Journal of Physical Chemistry","id":"ITEM-1","issue":"11","issued":{"date-parts":[["1992","5"]]},"page":"4174-4187","title":"Sponge phases in surfactant solutions","type":"article-journal","volume":"96"},"uris":["http://www.mendeley.com/documents/?uuid=fa19c77e-a500-43f9-9252-2be7303bf4e0"]},{"id":"ITEM-2","itemData":{"DOI":"10.1039/C0CP01029D","ISSN":"1463-9076","author":[{"dropping-particle":"","family":"Angelov","given":"Borislav","non-dropping-particle":"","parse-names":false,"suffix":""},{"dropping-particle":"","family":"Angelova","given":"Angelina","non-dropping-particle":"","parse-names":false,"suffix":""},{"dropping-particle":"","family":"Mutafchieva","given":"Rada","non-dropping-particle":"","parse-names":false,"suffix":""},{"dropping-particle":"","family":"Lesieur","given":"Sylviane","non-dropping-particle":"","parse-names":false,"suffix":""},{"dropping-particle":"","family":"Vainio","given":"Ulla","non-dropping-particle":"","parse-names":false,"suffix":""},{"dropping-particle":"","family":"Garamus","given":"Vasil M.","non-dropping-particle":"","parse-names":false,"suffix":""},{"dropping-particle":"V.","family":"Jensen","given":"Grethe","non-dropping-particle":"","parse-names":false,"suffix":""},{"dropping-particle":"","family":"Pedersen","given":"Jan Skov","non-dropping-particle":"","parse-names":false,"suffix":""}],"container-title":"Phys. Chem. Chem. Phys.","id":"ITEM-2","issue":"8","issued":{"date-parts":[["2011"]]},"page":"3073-3081","title":"SAXS investigation of a cubic to a sponge (L 3 ) phase transition in self-assembled lipid nanocarriers","type":"article-journal","volume":"13"},"uris":["http://www.mendeley.com/documents/?uuid=7c18ef86-9a8c-4771-8995-36e7024dfbab"]}],"mendeley":{"formattedCitation":"&lt;sup&gt;68,69&lt;/sup&gt;","plainTextFormattedCitation":"68,69","previouslyFormattedCitation":"&lt;sup&gt;68,69&lt;/sup&gt;"},"properties":{"noteIndex":0},"schema":"https://github.com/citation-style-language/schema/raw/master/csl-citation.json"}</w:instrText>
      </w:r>
      <w:r w:rsidRPr="006D631C">
        <w:fldChar w:fldCharType="separate"/>
      </w:r>
      <w:r w:rsidRPr="006D631C">
        <w:rPr>
          <w:noProof/>
          <w:vertAlign w:val="superscript"/>
        </w:rPr>
        <w:t>68,69</w:t>
      </w:r>
      <w:r w:rsidRPr="006D631C">
        <w:fldChar w:fldCharType="end"/>
      </w:r>
      <w:r w:rsidRPr="006D631C">
        <w:t xml:space="preserve"> Another example are the ‘ribbon’ phases, which are transition/intermediate structures typically observed between hexagonal and lamellar phases.</w:t>
      </w:r>
      <w:r w:rsidRPr="006D631C">
        <w:fldChar w:fldCharType="begin" w:fldLock="1"/>
      </w:r>
      <w:r w:rsidRPr="006D631C">
        <w:instrText>ADDIN CSL_CITATION {"citationItems":[{"id":"ITEM-1","itemData":{"DOI":"10.1016/j.chemphyslip.2008.10.003","ISSN":"00093084","author":[{"dropping-particle":"","family":"Kent","given":"Ben","non-dropping-particle":"","parse-names":false,"suffix":""},{"dropping-particle":"","family":"Garvey","given":"Christopher J.","non-dropping-particle":"","parse-names":false,"suffix":""},{"dropping-particle":"","family":"Cookson","given":"David","non-dropping-particle":"","parse-names":false,"suffix":""},{"dropping-particle":"","family":"Bryant","given":"Gary","non-dropping-particle":"","parse-names":false,"suffix":""}],"container-title":"Chemistry and Physics of Lipids","id":"ITEM-1","issue":"1","issued":{"date-parts":[["2009","1"]]},"page":"56-60","title":"The inverse hexagonal – inverse ribbon – lamellar gel phase transition sequence in low hydration DOPC:DOPE phospholipid mixtures","type":"article-journal","volume":"157"},"uris":["http://www.mendeley.com/documents/?uuid=71cf49e1-d86b-48d9-a86a-24356132b16b"]}],"mendeley":{"formattedCitation":"&lt;sup&gt;70&lt;/sup&gt;","plainTextFormattedCitation":"70","previouslyFormattedCitation":"&lt;sup&gt;70&lt;/sup&gt;"},"properties":{"noteIndex":0},"schema":"https://github.com/citation-style-language/schema/raw/master/csl-citation.json"}</w:instrText>
      </w:r>
      <w:r w:rsidRPr="006D631C">
        <w:fldChar w:fldCharType="separate"/>
      </w:r>
      <w:r w:rsidRPr="006D631C">
        <w:rPr>
          <w:noProof/>
          <w:vertAlign w:val="superscript"/>
        </w:rPr>
        <w:t>70</w:t>
      </w:r>
      <w:r w:rsidRPr="006D631C">
        <w:fldChar w:fldCharType="end"/>
      </w:r>
      <w:r w:rsidRPr="006D631C">
        <w:t xml:space="preserve"> As the focus of this </w:t>
      </w:r>
      <w:r w:rsidR="0057137F" w:rsidRPr="006D631C">
        <w:t>work</w:t>
      </w:r>
      <w:r w:rsidRPr="006D631C">
        <w:t xml:space="preserve">, and of polyLLC focused research </w:t>
      </w:r>
      <w:r w:rsidRPr="006D631C">
        <w:lastRenderedPageBreak/>
        <w:t xml:space="preserve">efforts in general, is to obtain regular and well-ordered </w:t>
      </w:r>
      <w:proofErr w:type="spellStart"/>
      <w:r w:rsidRPr="006D631C">
        <w:t>nanofeatures</w:t>
      </w:r>
      <w:proofErr w:type="spellEnd"/>
      <w:r w:rsidRPr="006D631C">
        <w:t>, these miscellaneous mesophases are understudied in polyLLC literature, likely because they lack any immediately apparent utility because of their non-uniform order and/or transitory nature.</w:t>
      </w:r>
    </w:p>
    <w:p w14:paraId="45F1EDDA" w14:textId="7E13C1BC" w:rsidR="003452EA" w:rsidRPr="006D631C" w:rsidRDefault="003452EA" w:rsidP="008424F1">
      <w:pPr>
        <w:pStyle w:val="Heading2"/>
      </w:pPr>
      <w:bookmarkStart w:id="58" w:name="_Toc131082866"/>
      <w:bookmarkStart w:id="59" w:name="_Toc148175784"/>
      <w:r w:rsidRPr="006D631C">
        <w:t>1.3 Synergistic LLC templating</w:t>
      </w:r>
      <w:bookmarkEnd w:id="58"/>
      <w:bookmarkEnd w:id="59"/>
      <w:r w:rsidRPr="006D631C">
        <w:t xml:space="preserve"> </w:t>
      </w:r>
    </w:p>
    <w:p w14:paraId="20DB9EB6" w14:textId="656DA7CD" w:rsidR="00862A9E" w:rsidRPr="006D631C" w:rsidRDefault="003D4A51" w:rsidP="00396023">
      <w:pPr>
        <w:ind w:firstLine="357"/>
      </w:pPr>
      <w:r w:rsidRPr="006D631C">
        <w:rPr>
          <w:rFonts w:asciiTheme="majorBidi" w:hAnsiTheme="majorBidi" w:cstheme="majorBidi"/>
        </w:rPr>
        <w:t>Since the first works on synergistic LLC templating in 1960s,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10.1002/polc.5070040241","ISSN":"04492994","author":[{"dropping-particle":"","family":"Herz","given":"Jean","non-dropping-particle":"","parse-names":false,"suffix":""},{"dropping-particle":"","family":"Reiss-Husson","given":"Françoise","non-dropping-particle":"","parse-names":false,"suffix":""},{"dropping-particle":"","family":"Rempp","given":"Paul","non-dropping-particle":"","parse-names":false,"suffix":""},{"dropping-particle":"","family":"Luzzati","given":"Vittorio","non-dropping-particle":"","parse-names":false,"suffix":""}],"container-title":"Journal of Polymer Science Part C: Polymer Symposia","id":"ITEM-1","issue":"2","issued":{"date-parts":[["2007","3","7"]]},"page":"1275-1290","title":"Quelques Exemples de Polymérisation en Phase Mésomorphe","type":"article-journal","volume":"4"},"uris":["http://www.mendeley.com/documents/?uuid=d1a2c856-2c3a-4bf2-8ad8-afc5e2f554f3"]}],"mendeley":{"formattedCitation":"&lt;sup&gt;53&lt;/sup&gt;","plainTextFormattedCitation":"53","previouslyFormattedCitation":"&lt;sup&gt;53&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53</w:t>
      </w:r>
      <w:r w:rsidRPr="006D631C">
        <w:rPr>
          <w:rFonts w:asciiTheme="majorBidi" w:hAnsiTheme="majorBidi" w:cstheme="majorBidi"/>
        </w:rPr>
        <w:fldChar w:fldCharType="end"/>
      </w:r>
      <w:r w:rsidRPr="006D631C">
        <w:rPr>
          <w:rFonts w:asciiTheme="majorBidi" w:hAnsiTheme="majorBidi" w:cstheme="majorBidi"/>
        </w:rPr>
        <w:t xml:space="preserve"> there have been several successful LLC templating efforts. Early studies suffered from the inability to retain the parent LLC structures after polymerization and/or rather low extents of polymerization/conversion.</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{"citationItems":[{"id":"ITEM-1","itemData":{"DOI":"10.1126/science.205.4406.607","ISSN":"00368075","abstract":"Optical patterns in polarized light and x-ray reflections in the low-angle region were used to detect a shift from one liquid crystalline structure to another during polymerization. The polymerization took place in a lyotropic liquid crystal of water and sodium undecenoate, with a structure consisting of cylinders in a two-dimensional hexagonal close packing. After polymerization, a lamellar liquid crystalline structure was obtained. Copyright © 1979 AAAS.","author":[{"dropping-particle":"","family":"Friberg","given":"Stig E.","non-dropping-particle":"","parse-names":false,"suffix":""},{"dropping-particle":"","family":"Thundathil","given":"Raju","non-dropping-particle":"","parse-names":false,"suffix":""},{"dropping-particle":"","family":"Stoffer","given":"James O.","non-dropping-particle":"","parse-names":false,"suffix":""}],"container-title":"Science","id":"ITEM-1","issue":"4406","issued":{"date-parts":[["1979"]]},"page":"607-608","title":"Changed lyotropic liquid crystalline structure due to polymerization of the amphiphilic component","type":"article-journal","volume":"205"},"uris":["http://www.mendeley.com/documents/?uuid=ccc757d6-44a5-48f8-b21c-153f50f420a7"]},{"id":"ITEM-2","itemData":{"DOI":"10.1002/pol.1980.170180821","ISSN":"0449296X","abstract":"In the reported experiments, the polymerization was made at 60 degree C in a lyotropic liquid crystal of sodium undecenoate and water. The liquid crystalline structure prior to polymerization was identified by optical microscopy and low-angle x-ray diffraction as an array of hexagonal closely packed cylinders with the hydrophobic part of the soap in the center of the cylinders. During polymerization the structure became isotropic at 60 degree C. Cooling to 20 degree C transformed the structure to a lamellar liquid crystal - a reversible transition. The structure of the lamellar phase was interpreted as a polyethylene backbone from which deformed decanoate chains reached toward the aqueous layer. Molecular models showed the model to accept head-tail, head-head, and tail-tail configurations in cis and trans conformations with the exception of the cis tail-tail configuration.","author":[{"dropping-particle":"","family":"Thundathil","given":"Raju","non-dropping-particle":"","parse-names":false,"suffix":""},{"dropping-particle":"","family":"Stoffer","given":"James O.","non-dropping-particle":"","parse-names":false,"suffix":""},{"dropping-particle":"","family":"Friberg","given":"Stig E.","non-dropping-particle":"","parse-names":false,"suffix":""}],"container-title":"Journal of polymer science. Part A-1, Polymer chemistry","id":"ITEM-2","issue":"8","issued":{"date-parts":[["1980"]]},"page":"2629-2640","title":"Polymerization in Lyotropic Liquid Crystals - 1. Change of Structure During Polymerization.","type":"article-journal","volume":"18"},"uris":["http://www.mendeley.com/documents/?uuid=42917833-42bb-4665-83d4-006bf0b4e118"]},{"id":"ITEM-3","itemData":{"DOI":"10.1016/0166-6622(92)80298-G","ISSN":"01666622","abstract":"Molecular aggregation states of sodium and zinc 10-undecenoates in aqueous systems with different water contents were investigated in relation to their polymerizabilities. The aggregation states were examined by thermal analysis, and γ-ray-initiated post-polymerization in various states was monitored by IR spectral changes. In the case of sodium 10-undecenoate, coagel and gel states with lamellar structures and a liquid crystal state consisting of a regular hexagonal array of cylindrical aggregates of the molecules can appear, depending on the temperature in the range of water contents of 30-60%. However, zinc 10-undecenoate exhibits coagel, gel-I, gel-II and lamellar liquid crystal states in a wide range of water contents. The polymerizability of the sodium salt increased in the order coagel, gel and liquid crystal with a hexagonal structure, whereas the zinc salt polymerized most effectively in the gel-I phase with a regular lamellar structure. It is concluded that the regular arrangement of the monomer molecules together with conformational freedom is an important factor for the polymerization. © 1992.","author":[{"dropping-particle":"","family":"Shibasaki","given":"Yoshio","non-dropping-particle":"","parse-names":false,"suffix":""},{"dropping-particle":"","family":"Fukuda","given":"Kiyoshige","non-dropping-particle":"","parse-names":false,"suffix":""}],"container-title":"Colloids and Surfaces","id":"ITEM-3","issue":"C","issued":{"date-parts":[["1992"]]},"page":"195-201","title":"Aggregation states and polymerizabilities of amphiphilic monomer molecules in aqueous systems with different water contents","type":"article-journal","volume":"67"},"uris":["http://www.mendeley.com/documents/?uuid=aea71756-8636-45e5-9e1f-f65916558b5f"]},{"id":"ITEM-4","itemData":{"DOI":"10.1007/BF00654052","ISSN":"0303402X","abstract":"The binary phase behaviour of two potentially polymerisable quaternary ammonium surfactants in water has been investigated. Allyldodecyldimethylammonium bromide (ADAB) a single-chain surfactant displays a conventional phase progression upon increasing concentration. Whereas the double-chain analogue allyldidodecylmethylammonium bromide (ADDAB) forms two lamellar liquid crystalline phases built from surfactant bilayers, which transform via a first order phase transition. The formation of two distinct lamellar phases and their coexistence has been evidenced by optical microscopy, small-angle x-ray scattering and D2O deuterium quadrupolar nuclear magnetic resonance spectroscopy. The lamellar phase formed at higher surfactant compositions is a normal lamellar phase (type Lα), consisting of bilayers which are on average parallel and flat. The lower compositional lamellar phase (type Lχ) in contrast may not be comprised of planar bilayers but rather aggregates having a high degree of curvature in comparison to those of the Lα phase. The presence of the allyl polymerisable moiety in the head group position of these surfactants has the effect of reducing the rigidity of the surfactant and increasing its solubility in comparison to non-polymerisable analogues. Polymerisation of the surfactants was attempted by using thermal and photochemical initiation in isotropic and self-assembled systems. Polymerisation occurred to approximately 30% for ADAB but did not occur for ADDAB. Where polymerisation did occur the polymer was incorporated into the monomer matrix by interweaving between the surfactant aggregates. The polymers had a molecular weight not greater than 8000 Daltons, independent of the monomer concentration of the original solution and type of polymerisation.","author":[{"dropping-particle":"","family":"McGrath","given":"K. M.","non-dropping-particle":"","parse-names":false,"suffix":""},{"dropping-particle":"","family":"Drummond","given":"C. J.","non-dropping-particle":"","parse-names":false,"suffix":""}],"container-title":"Colloid and Polymer Science","id":"ITEM-4","issue":"4","issued":{"date-parts":[["1996"]]},"page":"316-333","title":"Polymerisation of liquid crystalline phases in binary surfactant/water systems: Part 1. Allyldodecyldimethylammonium bromide and allyldidodecylmethylammonium bromide","type":"article-journal","volume":"274"},"uris":["http://www.mendeley.com/documents/?uuid=ed4e82e4-cdff-4e40-b053-9c3883e498e6"]},{"id":"ITEM-5","itemData":{"DOI":"10.1007/BF00655224","ISSN":"0303402X","abstract":"The polymerisation of a polymerisable fatty acid surfactant (sodium 10-undecenoate) has been studied in both its self-assembled and non self-assembled forms. Polymerisation in non self-assembled solution was achieved to near completion. The polymerisation produces a surface active polymer. The self-assembling behaviour of this pre-polymerised form differs markedly from that observed for the monomeric surfactant [1]. A lamellar phase only is formed in the polymeric phase diagram with no hexagonal or lamellar gel phases being observed. Polymerisation in the different self-assembled forms of sodium 10-undecenoate reached a limit of approximately 30% only, i.e., the surfactant aggregates act to inhibit the polymerisation. The nature of the hydrocarbon chain was found to play a critical role in determining the effect that polymerisation had on the underlying geometry of the surfactant molecules. When the chains are in a fluid-like state (as for the micellar and hexagonal phases) the original monomeric matrix remains largely unchanged. Whereas partial polymerisation of the lamellar gel phase results in a phase transformation. In addition the hydrolysis of the fatty acid soap at low concentrations (close to the critical micelle concentration) has been investigated. Hydrolysis was shown to produce both the parent fatty acid and an acid soap dimer. The presence of these species greatly affects the solution behaviour in this region of the phase diagram shifting the critical micelle concentration to very high concentrations of sodium 10-undecenoate (ca. 0.4 M).","author":[{"dropping-particle":"","family":"McGrath","given":"K. M.","non-dropping-particle":"","parse-names":false,"suffix":""}],"container-title":"Colloid and Polymer Science","id":"ITEM-5","issue":"6","issued":{"date-parts":[["1996"]]},"page":"499-512","title":"Polymerisation of liquid crystalline phases in binary surfactant/water systems. Part 3. Sodium 10-undecenoate","type":"article-journal","volume":"274"},"uris":["http://www.mendeley.com/documents/?uuid=3426744b-5b1b-482a-bbb1-d6064c89d3fc"]},{"id":"ITEM-6","itemData":{"DOI":"10.1007/BF00652461","ISSN":"0303402X","abstract":"The self-assembly behaviour of the polymerisable surfactant ω-undecenyltrimethylammonium bromide (ω-UTAB) both before and after polymerisation has been investigated. In addition polymerisation of the liquid crystalline phases formed by this surfactant in aqueous solution has been studied. Introduction of the carbon-carbon double bond at the end of the hydrocarbon chain increases the rigidity of the paraffinic chains such that the Krafft curve is shifted to higher temperatures compared with that of dodecyltrimethylammonium bromide, a non-polymerisable analogue. Both the polymerised and non-polymerised forms have been observed to have the same phase progression, with the polymer being more soluble in water such that the liquid crystalline phases formed at high surfactant concentration are accessible at room temperature. Polymerisation of the liquid crystalline phases of ω-UTAB indicate that polymerisation proceeds to approximately 40% (in comparison with 80% in a non-aggregated form) and that the original monomeric matrix is undisturbed upon partial polymerisation.","author":[{"dropping-particle":"","family":"McGrath","given":"K. M.","non-dropping-particle":"","parse-names":false,"suffix":""}],"container-title":"Colloid and Polymer Science","id":"ITEM-6","issue":"5","issued":{"date-parts":[["1996"]]},"page":"399-409","title":"Polymerisation of liquid crystalline phases in binary surfactant/water systems. Part 2. ω-undecenyltrimethylammonium bromide","type":"article-journal","volume":"274"},"uris":["http://www.mendeley.com/documents/?uuid=544f7c54-23f1-4dd5-a90e-54cc478ed69c"]},{"id":"ITEM-7","itemData":{"DOI":"10.1002/bbpc.19981021217","ISSN":"0940483X","abstract":"The γ-ray polymerization of (2-meihacryloyethyl)dodecyldimethyl, larnonium bromide 1 and (11-mcthaeryloylundecyl) trirnethylammonkim bromide 2 in lyotropic mesophase is described, 1 forms hexagonal (H), cubic (Qu) and lamellar phases as indicated by polarizing microscopy and small jngle X-ray scattering (SAXS). Dose versus conversion curves indicate a complete polymerization of 1 in organized aqueous phases, the reaction rate being highest in the Hu phase. 2 is less reactive and polymerization in the Hu phase ceases at about 60% conversion to polymer. Both surfactants polymerize under retention of the macroscopic order of the mesophase. N'anostructured gel-like materials with hydrophilic and hydrophobic compartments arc obtained, which after removal of water can be swollen in polar and nonpolar solvents. © WILEY-VCH Veriag GmbH. 1998.","author":[{"dropping-particle":"","family":"Pawlowski","given":"Dirk","non-dropping-particle":"","parse-names":false,"suffix":""},{"dropping-particle":"","family":"Haibel","given":"Astrid","non-dropping-particle":"","parse-names":false,"suffix":""},{"dropping-particle":"","family":"Tieke","given":"M.","non-dropping-particle":"","parse-names":false,"suffix":""}],"container-title":"Berichte der Bunsengesellschaft/Physical Chemistry Chemical Physics","id":"ITEM-7","issue":"12","issued":{"date-parts":[["1998"]]},"page":"1865-1869","title":"Γ-Ray Polymerization of Cationic Surfactant Methacrylates in Lyotropic Mesopnases","type":"article-journal","volume":"102"},"uris":["http://www.mendeley.com/documents/?uuid=89432008-783e-48ea-9812-82cb8bb6c544"]}],"mendeley":{"formattedCitation":"&lt;sup&gt;57,71–76&lt;/sup&gt;","plainTextFormattedCitation":"57,71–76","previouslyFormattedCitation":"&lt;sup&gt;57,71–76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57,71–76</w:t>
      </w:r>
      <w:r w:rsidRPr="006D631C">
        <w:rPr>
          <w:rFonts w:asciiTheme="majorBidi" w:hAnsiTheme="majorBidi" w:cstheme="majorBidi"/>
        </w:rPr>
        <w:fldChar w:fldCharType="end"/>
      </w:r>
      <w:r w:rsidRPr="006D631C">
        <w:rPr>
          <w:rFonts w:asciiTheme="majorBidi" w:hAnsiTheme="majorBidi" w:cstheme="majorBidi"/>
        </w:rPr>
        <w:t xml:space="preserve"> These issues were partly resolved by the introduction of novel reactive </w:t>
      </w:r>
      <w:proofErr w:type="spellStart"/>
      <w:r w:rsidRPr="006D631C">
        <w:rPr>
          <w:rFonts w:asciiTheme="majorBidi" w:hAnsiTheme="majorBidi" w:cstheme="majorBidi"/>
        </w:rPr>
        <w:t>amphiphiles</w:t>
      </w:r>
      <w:proofErr w:type="spellEnd"/>
      <w:r w:rsidRPr="006D631C">
        <w:rPr>
          <w:rFonts w:asciiTheme="majorBidi" w:hAnsiTheme="majorBidi" w:cstheme="majorBidi"/>
        </w:rPr>
        <w:t>, employing highly efficient polymerization initiation systems, and developing new LLC formulations.</w:t>
      </w:r>
      <w:r w:rsidRPr="006D631C">
        <w:rPr>
          <w:rFonts w:asciiTheme="majorBidi" w:hAnsiTheme="majorBidi" w:cstheme="majorBidi"/>
        </w:rPr>
        <w:fldChar w:fldCharType="begin" w:fldLock="1"/>
      </w:r>
      <w:r w:rsidR="000C51E8" w:rsidRPr="006D631C">
        <w:rPr>
          <w:rFonts w:asciiTheme="majorBidi" w:hAnsiTheme="majorBidi" w:cstheme="majorBidi"/>
        </w:rPr>
        <w:instrText>ADDIN CSL_CITATION {"citationItems":[{"id":"ITEM-1","itemData":{"DOI":"10.1002/adfm.200500280","ISSN":"1616301X","abstract":"Organic lyotropic liquid-crystal (LLC) assemblies mimic molecular sieves in their nanoporous structures and their ability to incorporate catalytic functional groups. This article focuses on recent advances made by our research group in incorporating new catalytic properties into polymerizable LLC assemblies and studying the moleculartransport properties of the crosslinked networks. © 2006 WILEY-VCH Verlag GmbH &amp; Co. KGaA.","author":[{"dropping-particle":"","family":"Gin","given":"Douglas L.","non-dropping-particle":"","parse-names":false,"suffix":""},{"dropping-particle":"","family":"Lu","given":"Xiaoyun","non-dropping-particle":"","parse-names":false,"suffix":""},{"dropping-particle":"","family":"Nemade","given":"Parag R.","non-dropping-particle":"","parse-names":false,"suffix":""},{"dropping-particle":"","family":"Pecinovsky","given":"Cory S.","non-dropping-particle":"","parse-names":false,"suffix":""},{"dropping-particle":"","family":"Xu","given":"Yanjie","non-dropping-particle":"","parse-names":false,"suffix":""},{"dropping-particle":"","family":"Zhou","given":"Meijuan","non-dropping-particle":"","parse-names":false,"suffix":""}],"container-title":"Advanced Functional Materials","id":"ITEM-1","issue":"7","issued":{"date-parts":[["2006"]]},"page":"865-878","title":"Recent advances in the design of polymerizable lyotropic liquid-crystal assemblies for heterogeneous catalysis and selective separations","type":"article-journal","volume":"16"},"uris":["http://www.mendeley.com/documents/?uuid=5644969e-40c5-4a9a-a335-7f5fc820bdeb"]},{"id":"ITEM-2","itemData":{"DOI":"10.1002/polb.24296","ISSN":"10990488","abstract":"Photopolymerization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Physics","id":"ITEM-2","issue":"6","issued":{"date-parts":[["2017","3","15"]]},"page":"471-489","title":"Photopolymerization kinetics in and of self-assembling lyotropic liquid crystal templates","type":"article-journal","volume":"55"},"uris":["http://www.mendeley.com/documents/?uuid=e84953dd-2ec0-4bed-8555-bc9ed5be609b"]}],"mendeley":{"formattedCitation":"&lt;sup&gt;7,27&lt;/sup&gt;","plainTextFormattedCitation":"7,27","previouslyFormattedCitation":"&lt;sup&gt;7,27&lt;/sup&gt;"},"properties":{"noteIndex":0},"schema":"https://github.com/citation-style-language/schema/raw/master/csl-citation.json"}</w:instrText>
      </w:r>
      <w:r w:rsidRPr="006D631C">
        <w:rPr>
          <w:rFonts w:asciiTheme="majorBidi" w:hAnsiTheme="majorBidi" w:cstheme="majorBidi"/>
        </w:rPr>
        <w:fldChar w:fldCharType="separate"/>
      </w:r>
      <w:r w:rsidR="00396023" w:rsidRPr="006D631C">
        <w:rPr>
          <w:rFonts w:asciiTheme="majorBidi" w:hAnsiTheme="majorBidi" w:cstheme="majorBidi"/>
          <w:noProof/>
          <w:vertAlign w:val="superscript"/>
        </w:rPr>
        <w:t>7,27</w:t>
      </w:r>
      <w:r w:rsidRPr="006D631C">
        <w:rPr>
          <w:rFonts w:asciiTheme="majorBidi" w:hAnsiTheme="majorBidi" w:cstheme="majorBidi"/>
        </w:rPr>
        <w:fldChar w:fldCharType="end"/>
      </w:r>
      <w:r w:rsidRPr="006D631C">
        <w:rPr>
          <w:rFonts w:asciiTheme="majorBidi" w:hAnsiTheme="majorBidi" w:cstheme="majorBidi"/>
        </w:rPr>
        <w:t xml:space="preserve"> However, the major concern was still to expand the available variety of LLC nanostructures accessible for a successful templating. The performance of different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in desired applications is highly dependent on the structures. For instance, in molecular separation applications (e.g., water filtration), permeability, selectivity,  and fouling resistance have to be optimized simultaneously.</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{"citationItems":[{"id":"ITEM-1","itemData":{"DOI":"10.1038/natrevmats.2016.18","ISSN":"2058-8437","abstract":"Membrane-based separations for water purification and desalination have been increasingly applied to address the global challenges of water scarcity and the pollution of aquatic environments. However, progress in water purification membranes has been constrained by the inherent limitations of conventional membrane materials. Recent advances in methods for controlling the structure and chemical functionality in polymer films can potentially lead to new classes of membranes for water purification. In this Review, we first discuss the state of the art of existing membrane technologies for water purification and desalination, highlight their inherent limitations and establish the urgent requirements for next-generation membranes. We then describe molecular-level design approaches towards fabricating highly selective membranes, focusing on novel materials such as aquaporin, synthetic nanochannels, graphene and self-assembled block copolymers and small molecules. Finally, we highlight promising membrane surface modification approaches that minimize interfacial interactions and enhance fouling resistance.","author":[{"dropping-particle":"","family":"Werber","given":"Jay R.","non-dropping-particle":"","parse-names":false,"suffix":""},{"dropping-particle":"","family":"Osuji","given":"Chinedum O.","non-dropping-particle":"","parse-names":false,"suffix":""},{"dropping-particle":"","family":"Elimelech","given":"Menachem","non-dropping-particle":"","parse-names":false,"suffix":""}],"container-title":"Nature Reviews Materials","id":"ITEM-1","issue":"5","issued":{"date-parts":[["2016","5","5"]]},"page":"16018","title":"Materials for next-generation desalination and water purification membranes","type":"article-journal","volume":"1"},"uris":["http://www.mendeley.com/documents/?uuid=b49e3af6-02cf-439a-9ef2-9d16fc16993b"]}],"mendeley":{"formattedCitation":"&lt;sup&gt;4&lt;/sup&gt;","plainTextFormattedCitation":"4","previouslyFormattedCitation":"&lt;sup&gt;4&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4</w:t>
      </w:r>
      <w:r w:rsidRPr="006D631C">
        <w:rPr>
          <w:rFonts w:asciiTheme="majorBidi" w:hAnsiTheme="majorBidi" w:cstheme="majorBidi"/>
        </w:rPr>
        <w:fldChar w:fldCharType="end"/>
      </w:r>
      <w:r w:rsidRPr="006D631C">
        <w:rPr>
          <w:rFonts w:asciiTheme="majorBidi" w:hAnsiTheme="majorBidi" w:cstheme="majorBidi"/>
        </w:rPr>
        <w:t xml:space="preserve"> While Q</w:t>
      </w:r>
      <w:r w:rsidRPr="006D631C">
        <w:rPr>
          <w:rFonts w:asciiTheme="majorBidi" w:hAnsiTheme="majorBidi" w:cstheme="majorBidi"/>
          <w:vertAlign w:val="subscript"/>
        </w:rPr>
        <w:t>2</w:t>
      </w:r>
      <w:r w:rsidRPr="006D631C">
        <w:rPr>
          <w:rFonts w:asciiTheme="majorBidi" w:hAnsiTheme="majorBidi" w:cstheme="majorBidi"/>
        </w:rPr>
        <w:t xml:space="preserve"> structures offer such opportunity, they are not easily accessible. Moreover, due to the high tortuosity of this structure, cleaning the </w:t>
      </w:r>
      <w:proofErr w:type="spellStart"/>
      <w:r w:rsidRPr="006D631C">
        <w:rPr>
          <w:rFonts w:asciiTheme="majorBidi" w:hAnsiTheme="majorBidi" w:cstheme="majorBidi"/>
        </w:rPr>
        <w:t>nanochannels</w:t>
      </w:r>
      <w:proofErr w:type="spellEnd"/>
      <w:r w:rsidRPr="006D631C">
        <w:rPr>
          <w:rFonts w:asciiTheme="majorBidi" w:hAnsiTheme="majorBidi" w:cstheme="majorBidi"/>
        </w:rPr>
        <w:t xml:space="preserve"> blocked by </w:t>
      </w:r>
      <w:proofErr w:type="spellStart"/>
      <w:r w:rsidRPr="006D631C">
        <w:rPr>
          <w:rFonts w:asciiTheme="majorBidi" w:hAnsiTheme="majorBidi" w:cstheme="majorBidi"/>
        </w:rPr>
        <w:t>foulants</w:t>
      </w:r>
      <w:proofErr w:type="spellEnd"/>
      <w:r w:rsidRPr="006D631C">
        <w:rPr>
          <w:rFonts w:asciiTheme="majorBidi" w:hAnsiTheme="majorBidi" w:cstheme="majorBidi"/>
        </w:rPr>
        <w:t xml:space="preserve"> is highly challenging. On the other hand, H</w:t>
      </w:r>
      <w:r w:rsidRPr="006D631C">
        <w:rPr>
          <w:rFonts w:asciiTheme="majorBidi" w:hAnsiTheme="majorBidi" w:cstheme="majorBidi"/>
          <w:vertAlign w:val="subscript"/>
        </w:rPr>
        <w:t>2</w:t>
      </w:r>
      <w:r w:rsidRPr="006D631C">
        <w:rPr>
          <w:rFonts w:asciiTheme="majorBidi" w:hAnsiTheme="majorBidi" w:cstheme="majorBidi"/>
        </w:rPr>
        <w:t xml:space="preserve"> and L</w:t>
      </w:r>
      <w:r w:rsidRPr="006D631C">
        <w:rPr>
          <w:rFonts w:asciiTheme="majorBidi" w:hAnsiTheme="majorBidi" w:cstheme="majorBidi"/>
          <w:vertAlign w:val="subscript"/>
        </w:rPr>
        <w:t>α</w:t>
      </w:r>
      <w:r w:rsidRPr="006D631C">
        <w:rPr>
          <w:rFonts w:asciiTheme="majorBidi" w:hAnsiTheme="majorBidi" w:cstheme="majorBidi"/>
        </w:rPr>
        <w:t xml:space="preserve"> phases, while easily achievable LLC structures, need further processing steps (e.g., pore/channel alignment by magnetic field) to decrease the tortuosity, thus optimizing the aforementioned membrane characteristics.</w:t>
      </w:r>
      <w:r w:rsidRPr="006D631C">
        <w:rPr>
          <w:rFonts w:asciiTheme="majorBidi" w:hAnsiTheme="majorBidi" w:cstheme="majorBidi"/>
        </w:rPr>
        <w:fldChar w:fldCharType="begin" w:fldLock="1"/>
      </w:r>
      <w:r w:rsidR="000C51E8"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rFonts w:asciiTheme="majorBidi" w:hAnsiTheme="majorBidi" w:cstheme="majorBidi"/>
        </w:rPr>
        <w:fldChar w:fldCharType="separate"/>
      </w:r>
      <w:r w:rsidR="00396023" w:rsidRPr="006D631C">
        <w:rPr>
          <w:rFonts w:asciiTheme="majorBidi" w:hAnsiTheme="majorBidi" w:cstheme="majorBidi"/>
          <w:noProof/>
          <w:vertAlign w:val="superscript"/>
        </w:rPr>
        <w:t>31</w:t>
      </w:r>
      <w:r w:rsidRPr="006D631C">
        <w:rPr>
          <w:rFonts w:asciiTheme="majorBidi" w:hAnsiTheme="majorBidi" w:cstheme="majorBidi"/>
        </w:rPr>
        <w:fldChar w:fldCharType="end"/>
      </w:r>
      <w:r w:rsidRPr="006D631C">
        <w:rPr>
          <w:rFonts w:asciiTheme="majorBidi" w:hAnsiTheme="majorBidi" w:cstheme="majorBidi"/>
        </w:rPr>
        <w:t xml:space="preserve"> Similar examples concerning the differences among LLC structures and obtained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provide the motivation to classify the following discussion based on the LLC nanostructures.</w:t>
      </w:r>
    </w:p>
    <w:p w14:paraId="2892CD67" w14:textId="6D89124A" w:rsidR="000C51E8" w:rsidRPr="006D631C" w:rsidRDefault="000C51E8" w:rsidP="00920A30">
      <w:pPr>
        <w:pStyle w:val="Heading3"/>
      </w:pPr>
      <w:bookmarkStart w:id="60" w:name="_Toc131082867"/>
      <w:bookmarkStart w:id="61" w:name="_Toc148175785"/>
      <w:r w:rsidRPr="006D631C">
        <w:lastRenderedPageBreak/>
        <w:t>1.3.1 Hexagonal (H</w:t>
      </w:r>
      <w:r w:rsidRPr="006D631C">
        <w:rPr>
          <w:vertAlign w:val="subscript"/>
        </w:rPr>
        <w:t>α</w:t>
      </w:r>
      <w:r w:rsidRPr="006D631C">
        <w:t>)</w:t>
      </w:r>
      <w:bookmarkEnd w:id="60"/>
      <w:bookmarkEnd w:id="61"/>
      <w:r w:rsidRPr="006D631C">
        <w:t xml:space="preserve"> </w:t>
      </w:r>
    </w:p>
    <w:p w14:paraId="20D691D1" w14:textId="16732B76" w:rsidR="00B91F99" w:rsidRPr="006D631C" w:rsidRDefault="00B91F99"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A summary of reports in the current literature on synergistic templating of H</w:t>
      </w:r>
      <w:r w:rsidRPr="006D631C">
        <w:rPr>
          <w:rFonts w:asciiTheme="majorBidi" w:hAnsiTheme="majorBidi" w:cstheme="majorBidi"/>
          <w:vertAlign w:val="subscript"/>
        </w:rPr>
        <w:t>α</w:t>
      </w:r>
      <w:r w:rsidRPr="006D631C">
        <w:rPr>
          <w:rFonts w:asciiTheme="majorBidi" w:hAnsiTheme="majorBidi" w:cstheme="majorBidi"/>
        </w:rPr>
        <w:t xml:space="preserve"> structures is listed in Table </w:t>
      </w:r>
      <w:r w:rsidR="00147459" w:rsidRPr="006D631C">
        <w:rPr>
          <w:rFonts w:asciiTheme="majorBidi" w:hAnsiTheme="majorBidi" w:cstheme="majorBidi"/>
        </w:rPr>
        <w:t>1-</w:t>
      </w:r>
      <w:r w:rsidRPr="006D631C">
        <w:rPr>
          <w:rFonts w:asciiTheme="majorBidi" w:hAnsiTheme="majorBidi" w:cstheme="majorBidi"/>
        </w:rPr>
        <w:t xml:space="preserve">2. As shown in the table, the lattice parameter reported for this structure typically ranges from ~ 3 to ~ 11 nm. The lattice parameter is controlled by the geometric characteristics of the employed reactive </w:t>
      </w:r>
      <w:proofErr w:type="spellStart"/>
      <w:r w:rsidRPr="006D631C">
        <w:rPr>
          <w:rFonts w:asciiTheme="majorBidi" w:hAnsiTheme="majorBidi" w:cstheme="majorBidi"/>
        </w:rPr>
        <w:t>amphiphile</w:t>
      </w:r>
      <w:proofErr w:type="spellEnd"/>
      <w:r w:rsidRPr="006D631C">
        <w:rPr>
          <w:rFonts w:asciiTheme="majorBidi" w:hAnsiTheme="majorBidi" w:cstheme="majorBidi"/>
        </w:rPr>
        <w:t xml:space="preserve"> such as the molecular size and shape, ionic charge, the position of the polymerizable group, and so forth. As an example, P-A-16 which has a 3-head/3-tail structure, results in a larger lattice parameter compared to P-A-15 and P-A-17 with 1-head/3-tail and 3-head/2-tail structures, respectively.</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{"citationItems":[{"id":"ITEM-1","itemData":{"DOI":"10.1002/pola.21573","ISSN":"0887624X","abstract":"A group of polymerizable amphiphiles, with their critical packing parameters systematically varied, were studied with respect to the phase behavior and immobilization of their lyotropic liquid-crystalline phase structures. Small-angle X-ray scattering and polarized light microscopy were used to study their liquid-crystalline phases before and after photopolymerization. The liquid crystallinity of the amphiphiles depended on the contents of both oil and water in the ternary systems. Through photopolymerization, hexagonal phases could generally be immobilized, with the structural order reduced to various degrees. However, the cubic phases evolved with polymerization into another structural pattern, which was possibly related to the lamellar struc ture. © 2006 Wiley Periodicals, Inc.","author":[{"dropping-particle":"","family":"Li","given":"Minghe","non-dropping-particle":"","parse-names":false,"suffix":""},{"dropping-particle":"","family":"Yang","given":"Wuli","non-dropping-particle":"","parse-names":false,"suffix":""},{"dropping-particle":"","family":"Chen","given":"Zhenxia","non-dropping-particle":"","parse-names":false,"suffix":""},{"dropping-particle":"","family":"Qian","given":"J.","non-dropping-particle":"","parse-names":false,"suffix":""},{"dropping-particle":"","family":"Wang","given":"Changchun","non-dropping-particle":"","parse-names":false,"suffix":""},{"dropping-particle":"","family":"Fu","given":"Shoukuan","non-dropping-particle":"","parse-names":false,"suffix":""}],"container-title":"Journal of Polymer Science, Part A: Polymer Chemistry","id":"ITEM-1","issue":"20","issued":{"date-parts":[["2006"]]},"page":"5887-5897","title":"Phase behavior and polymerization of lyotropic phases. II. A series of polymerizable amphiphiles with systematically varied critical packing parameters","type":"article-journal","volume":"44"},"uris":["http://www.mendeley.com/documents/?uuid=d8bc8fea-d2e2-41f4-bfa9-cd862f16ff03"]}],"mendeley":{"formattedCitation":"&lt;sup&gt;77&lt;/sup&gt;","plainTextFormattedCitation":"77","previouslyFormattedCitation":"&lt;sup&gt;77&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77</w:t>
      </w:r>
      <w:r w:rsidRPr="006D631C">
        <w:rPr>
          <w:rFonts w:asciiTheme="majorBidi" w:hAnsiTheme="majorBidi" w:cstheme="majorBidi"/>
        </w:rPr>
        <w:fldChar w:fldCharType="end"/>
      </w:r>
      <w:r w:rsidRPr="006D631C">
        <w:rPr>
          <w:rFonts w:asciiTheme="majorBidi" w:hAnsiTheme="majorBidi" w:cstheme="majorBidi"/>
        </w:rPr>
        <w:t xml:space="preserve"> P-A-29 is another example for which the </w:t>
      </w:r>
      <w:r w:rsidRPr="006D631C">
        <w:rPr>
          <w:rFonts w:asciiTheme="majorBidi" w:hAnsiTheme="majorBidi" w:cstheme="majorBidi"/>
          <w:i/>
          <w:iCs/>
        </w:rPr>
        <w:t>d</w:t>
      </w:r>
      <w:r w:rsidRPr="006D631C">
        <w:rPr>
          <w:rFonts w:asciiTheme="majorBidi" w:hAnsiTheme="majorBidi" w:cstheme="majorBidi"/>
        </w:rPr>
        <w:t>-spacing decreases when the hydrophilic head contains trivalent lanthanide salts instead of sodium ion.</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{"citationItems":[{"id":"ITEM-1","itemData":{"DOI":"10.1021/ja9743654","ISSN":"00027863","abstract":"The effect of transition-metal and lanthanide ions polymerizable lyotropic liquid crystal system is studied by synthesizing the Co(II), Ni(II), Cd(II), Eu(III), and Ce(III) analogues of monomers using ion-exchange. Elemental analysis of the neat salts indicates the presence of coordinated water molecules in all the compounds. This is confirm by the presence of a weak O-H band in the 3300-3500 cm -1 region of their FT-IR spectra.","author":[{"dropping-particle":"","family":"Deng","given":"Hai","non-dropping-particle":"","parse-names":false,"suffix":""},{"dropping-particle":"","family":"Gin","given":"Douglas L.","non-dropping-particle":"","parse-names":false,"suffix":""},{"dropping-particle":"","family":"Smith","given":"Ryan C.","non-dropping-particle":"","parse-names":false,"suffix":""}],"container-title":"Journal of the American Chemical Society","id":"ITEM-1","issue":"14","issued":{"date-parts":[["1998"]]},"page":"3522-3523","title":"Polymerizable lyotropic liquid crystals containing transition-metal and lanthanide ions: architectural control and introduction of new properties into nanostructured polymers","type":"article-journal","volume":"120"},"uris":["http://www.mendeley.com/documents/?uuid=0b3c308f-bafc-4cd1-96f3-59c32038b699"]}],"mendeley":{"formattedCitation":"&lt;sup&gt;78&lt;/sup&gt;","plainTextFormattedCitation":"78","previouslyFormattedCitation":"&lt;sup&gt;78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78</w:t>
      </w:r>
      <w:r w:rsidRPr="006D631C">
        <w:rPr>
          <w:rFonts w:asciiTheme="majorBidi" w:hAnsiTheme="majorBidi" w:cstheme="majorBidi"/>
        </w:rPr>
        <w:fldChar w:fldCharType="end"/>
      </w:r>
      <w:r w:rsidRPr="006D631C">
        <w:rPr>
          <w:rFonts w:asciiTheme="majorBidi" w:hAnsiTheme="majorBidi" w:cstheme="majorBidi"/>
        </w:rPr>
        <w:t xml:space="preserve"> In addition to the lattice parameter, the accessibility of H</w:t>
      </w:r>
      <w:r w:rsidRPr="006D631C">
        <w:rPr>
          <w:rFonts w:asciiTheme="majorBidi" w:hAnsiTheme="majorBidi" w:cstheme="majorBidi"/>
          <w:vertAlign w:val="subscript"/>
        </w:rPr>
        <w:t>α</w:t>
      </w:r>
      <w:r w:rsidRPr="006D631C">
        <w:rPr>
          <w:rFonts w:asciiTheme="majorBidi" w:hAnsiTheme="majorBidi" w:cstheme="majorBidi"/>
        </w:rPr>
        <w:t xml:space="preserve"> is also determined by the type of the surfactant. For instance, to form LLC from the mixture of P-A-32 and P-A-33 in water, addition of P-A-54 is crucial.</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{"citationItems":[{"id":"ITEM-1","itemData":{"DOI":"10.1039/c8cc05661g","ISSN":"1364548X","PMID":"30295692","abstract":"An ordered, nanoporous, TEMPO-based polymer resin formed from lyotropic liquid crystal monomers catalyzes the hetereogeneous oxidation of alcohols with high activity and substrate size selectivity under transition-metal-free, aerobic conditions.","author":[{"dropping-particle":"","family":"Dwulet","given":"Gregory E.","non-dropping-particle":"","parse-names":false,"suffix":""},{"dropping-particle":"","family":"Gin","given":"Douglas L.","non-dropping-particle":"","parse-names":false,"suffix":""}],"container-title":"Chemical Communications","id":"ITEM-1","issue":"85","issued":{"date-parts":[["2018"]]},"page":"12053-12056","title":"Ordered nanoporous lyotropic liquid crystal polymer resin for heterogeneous catalytic aerobic oxidation of alcohols","type":"article-journal","volume":"54"},"uris":["http://www.mendeley.com/documents/?uuid=078e1556-69aa-4fdc-b1f6-85992c937663"]}],"mendeley":{"formattedCitation":"&lt;sup&gt;79&lt;/sup&gt;","plainTextFormattedCitation":"79","previouslyFormattedCitation":"&lt;sup&gt;79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79</w:t>
      </w:r>
      <w:r w:rsidRPr="006D631C">
        <w:rPr>
          <w:rFonts w:asciiTheme="majorBidi" w:hAnsiTheme="majorBidi" w:cstheme="majorBidi"/>
        </w:rPr>
        <w:fldChar w:fldCharType="end"/>
      </w:r>
      <w:r w:rsidRPr="006D631C">
        <w:rPr>
          <w:rFonts w:asciiTheme="majorBidi" w:hAnsiTheme="majorBidi" w:cstheme="majorBidi"/>
        </w:rPr>
        <w:t xml:space="preserve"> Moreover, specific compositions of </w:t>
      </w:r>
      <w:proofErr w:type="spellStart"/>
      <w:r w:rsidRPr="006D631C">
        <w:rPr>
          <w:rFonts w:asciiTheme="majorBidi" w:hAnsiTheme="majorBidi" w:cstheme="majorBidi"/>
        </w:rPr>
        <w:t>amphiphiles</w:t>
      </w:r>
      <w:proofErr w:type="spellEnd"/>
      <w:r w:rsidRPr="006D631C">
        <w:rPr>
          <w:rFonts w:asciiTheme="majorBidi" w:hAnsiTheme="majorBidi" w:cstheme="majorBidi"/>
        </w:rPr>
        <w:t xml:space="preserve"> in mixture are required to obtain the intended structure. Change in the lattice parameter after polymerization is another important result in most of the studied cases. If the structure is retained, dimensional changes due to the formation of the polymer network</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Matter","id":"ITEM-1","issue":"31","issued":{"date-parts":[["2013"]]},"page":"7458-7467","title":"Improved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templates","type":"article-journal","volume":"9"},"uris":["http://www.mendeley.com/documents/?uuid=1744ca1d-c40e-4c6d-aa09-30d94aee5e9f"]},{"id":"ITEM-2","itemData":{"DOI":"10.1039/c9sm01565e","ISSN":"17446848","abstract":"This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Matter","id":"ITEM-2","issue":"41","issued":{"date-parts":[["2019"]]},"page":"8238-8250","title":"Polymerization in soft nanoconfinement of lamellar and reverse hexagonal mesophases","type":"article-journal","volume":"15"},"uris":["http://www.mendeley.com/documents/?uuid=5a774487-acd6-4203-928f-13a0a6b06e6b"]}],"mendeley":{"formattedCitation":"&lt;sup&gt;42,56&lt;/sup&gt;","plainTextFormattedCitation":"42,56","previouslyFormattedCitation":"&lt;sup&gt;42,56&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42,56</w:t>
      </w:r>
      <w:r w:rsidRPr="006D631C">
        <w:rPr>
          <w:rFonts w:asciiTheme="majorBidi" w:hAnsiTheme="majorBidi" w:cstheme="majorBidi"/>
        </w:rPr>
        <w:fldChar w:fldCharType="end"/>
      </w:r>
      <w:r w:rsidRPr="006D631C">
        <w:rPr>
          <w:rFonts w:asciiTheme="majorBidi" w:hAnsiTheme="majorBidi" w:cstheme="majorBidi"/>
        </w:rPr>
        <w:t xml:space="preserve"> and formation of a hexagonal structure with different </w:t>
      </w:r>
      <w:r w:rsidRPr="006D631C">
        <w:rPr>
          <w:rFonts w:asciiTheme="majorBidi" w:hAnsiTheme="majorBidi" w:cstheme="majorBidi"/>
          <w:i/>
          <w:iCs/>
        </w:rPr>
        <w:t>d</w:t>
      </w:r>
      <w:r w:rsidRPr="006D631C">
        <w:rPr>
          <w:rFonts w:asciiTheme="majorBidi" w:hAnsiTheme="majorBidi" w:cstheme="majorBidi"/>
        </w:rPr>
        <w:t xml:space="preserve">-spacing are believed to be the main reasons for changes in the lattice parameter. </w:t>
      </w:r>
    </w:p>
    <w:p w14:paraId="62A4BD30" w14:textId="79A87C37" w:rsidR="00B91F99" w:rsidRPr="006D631C" w:rsidRDefault="00B91F99" w:rsidP="002E14E4">
      <w:pPr>
        <w:tabs>
          <w:tab w:val="left" w:pos="90"/>
          <w:tab w:val="left" w:pos="360"/>
          <w:tab w:val="left" w:pos="992"/>
        </w:tabs>
        <w:rPr>
          <w:rFonts w:asciiTheme="majorBidi" w:hAnsiTheme="majorBidi" w:cstheme="majorBidi"/>
        </w:rPr>
      </w:pPr>
      <w:r w:rsidRPr="006D631C">
        <w:rPr>
          <w:rFonts w:asciiTheme="majorBidi" w:hAnsiTheme="majorBidi" w:cstheme="majorBidi"/>
        </w:rPr>
        <w:t>Enhanced thermal stability,</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{"citationItems":[{"id":"ITEM-1","itemData":{"DOI":"10.1007/BF00654052","ISSN":"0303402X","abstract":"The binary phase behaviour of two potentially polymerisable quaternary ammonium surfactants in water has been investigated. Allyldodecyldimethylammonium bromide (ADAB) a single-chain surfactant displays a conventional phase progression upon increasing concentration. Whereas the double-chain analogue allyldidodecylmethylammonium bromide (ADDAB) forms two lamellar liquid crystalline phases built from surfactant bilayers, which transform via a first order phase transition. The formation of two distinct lamellar phases and their coexistence has been evidenced by optical microscopy, small-angle x-ray scattering and D2O deuterium quadrupolar nuclear magnetic resonance spectroscopy. The lamellar phase formed at higher surfactant compositions is a normal lamellar phase (type Lα), consisting of bilayers which are on average parallel and flat. The lower compositional lamellar phase (type Lχ) in contrast may not be comprised of planar bilayers but rather aggregates having a high degree of curvature in comparison to those of the Lα phase. The presence of the allyl polymerisable moiety in the head group position of these surfactants has the effect of reducing the rigidity of the surfactant and increasing its solubility in comparison to non-polymerisable analogues. Polymerisation of the surfactants was attempted by using thermal and photochemical initiation in isotropic and self-assembled systems. Polymerisation occurred to approximately 30% for ADAB but did not occur for ADDAB. Where polymerisation did occur the polymer was incorporated into the monomer matrix by interweaving between the surfactant aggregates. The polymers had a molecular weight not greater than 8000 Daltons, independent of the monomer concentration of the original solution and type of polymerisation.","author":[{"dropping-particle":"","family":"McGrath","given":"K. M.","non-dropping-particle":"","parse-names":false,"suffix":""},{"dropping-particle":"","family":"Drummond","given":"C. J.","non-dropping-particle":"","parse-names":false,"suffix":""}],"container-title":"Colloid and Polymer Science","id":"ITEM-1","issue":"4","issued":{"date-parts":[["1996"]]},"page":"316-333","title":"Polymerisation of liquid crystalline phases in binary surfactant/water systems: Part 1. Allyldodecyldimethylammonium bromide and allyldidodecylmethylammonium bromide","type":"article-journal","volume":"274"},"uris":["http://www.mendeley.com/documents/?uuid=ed4e82e4-cdff-4e40-b053-9c3883e498e6"]},{"id":"ITEM-2","itemData":{"DOI":"10.1021/ja00125a019","ISSN":"15205126","abstract":"The formation of nonlamellar lipid structures in model lipid membranes has been extensively studied in recent years. These hydrated lipid phases include the inverted hexagonal phase and various bicontinuous cubic phases, which occur at selected lipid concentrations, temperatures, and pressures. Cubic phases that are bicontinuous with respect to the polar and nonpolar regions are especially interesting as organic analogs of zeolites. The recently developed methods used to polymerize and stabilize lamellar assemblies offer certain strategies that are applicable to nonlamellar phases. Here we report the successful stabilization of a nonlamellar phase via the polymerization of reactive amphiphiles. A 3:1 molar mixture of polymerizable mono-dienoyl-substituted phosphoethanolamine and bis-dienoyl-substituted phosphocholine were hydrated to yield bilayers. X-ray diffraction of the unpolymerized mixture at 60 °C showed the formation of an inverted hexagonal phase which on prolonged incubation changed to a bicontinuous cubic phase of Pn3m symmetry. Polymerization of the hexagonal phase produced a stabilized hexagonal structure over the range of 20 to 60 °C. The same lipids at lower concentration were characterized by 31P-NMR and transmission electron microscopy (TEM) before and after polymerization. The NMR shows the formation of a sample with isotropic symmetry as expected for a cubic phase. The polymerized sample retained a nonlamellar structure after cooling and extended storage at room temperature or near 0 °C. The TEMs show a polydomain square lattice with 6 ± 1 nm diameter aqueous channels. This stabilized nonlamellar phase is the first representative of a new family of materials with interpenetrating water channels with high surface area and potentially bicompatible lipid—water interfaces. © 1995, American Chemical Society. All rights reserved.","author":[{"dropping-particle":"","family":"Lee","given":"Youn Sik","non-dropping-particle":"","parse-names":false,"suffix":""},{"dropping-particle":"","family":"Gleeson","given":"James T.","non-dropping-particle":"","parse-names":false,"suffix":""},{"dropping-particle":"","family":"Yang","given":"Jian Zhong","non-dropping-particle":"","parse-names":false,"suffix":""},{"dropping-particle":"","family":"Sisson","given":"Thomas M.","non-dropping-particle":"","parse-names":false,"suffix":""},{"dropping-particle":"","family":"Frankel","given":"David A.","non-dropping-particle":"","parse-names":false,"suffix":""},{"dropping-particle":"","family":"O'Brien","given":"David F.","non-dropping-particle":"","parse-names":false,"suffix":""},{"dropping-particle":"","family":"Keller","given":"Sarah L.","non-dropping-particle":"","parse-names":false,"suffix":""},{"dropping-particle":"","family":"Aksay","given":"Emre","non-dropping-particle":"","parse-names":false,"suffix":""},{"dropping-particle":"","family":"Gruner","given":"Sol M.","non-dropping-particle":"","parse-names":false,"suffix":""}],"container-title":"Journal of the American Chemical Society","id":"ITEM-2","issue":"20","issued":{"date-parts":[["1995"]]},"page":"5573-5578","title":"Polymerization of Nonlamellar Lipid Assemblies","type":"article-journal","volume":"117"},"uris":["http://www.mendeley.com/documents/?uuid=48e800eb-d8de-4cfd-a687-8bddfebe435a"]},{"id":"ITEM-3","itemData":{"DOI":"10.1021/ja970052x","ISSN":"00027863","abstract":"The hydration of polar natural and synthetic lipids yields a variety of lipid phases including various inverted cubic phases and the inverted hexagonal (H(II)) phase. The H(II) phase can be considered as aqueous columns encased with a monolayer of lipids and arranged in a hexagonal pattern. The polar head groups are well-ordered at the water interface, whereas the lipid tails are disordered to fill the volume between the tubes of water. A particularly interesting characteristic of the H(II) phase is the large temperature effect on the basis vector length d of the hexagonal lattice. Previous studies indicate that polymerization of the lipid region of the H(II) phase might reduce the sensitivity of the basis vector to temperature. A phosphoethanolamine (PE) was designed and synthesized with dienoyl groups in each lipid tail in an attempt to cross-link the lipids around and along the water core of the H(II) phase. The synthesis of the the PE was accomplished by acylation of 3-(4-methoxybenzyl)-sn-glycerol with 2,4,13- (E,E,Z)-docosatrienoic acid, followed by deprotection, then phosphorylation with dichloro-[[N-[(2,2,2- trichloroethoxy)carbonyl]-2-aminolethyl]phosphinic acid to give the Troc-PE, which was converted to the PE with activated zinc and acetic acid. The hydrated PE (1/1 weight lipid/water) formed the H(II) phase over an extended temperature range. Polymerization to high conversion was accomplished at 60 °C with the aid of redox initiators. Polymerization was followed in-situ using X-ray diffraction over a period of 48 h. The scattering, which weakened over the course of the reaction, remained consistent with a hexagonal phase. Temperature cycling of the polymerized H(II) phase showed an unaltered pattern on decreasing temperature while maintaining the same lattice parameter, unlike that of the unpolymerized phase where the value increased with decreasing temperature. Thus it is possible to fix the dimensions of the H(II) phase by cross-linking polymerization of appropriately designed reactive lipids.","author":[{"dropping-particle":"","family":"Srisiri","given":"Warunee","non-dropping-particle":"","parse-names":false,"suffix":""},{"dropping-particle":"","family":"Sisson","given":"Thomas M.","non-dropping-particle":"","parse-names":false,"suffix":""},{"dropping-particle":"","family":"O'Brien","given":"David F.","non-dropping-particle":"","parse-names":false,"suffix":""},{"dropping-particle":"","family":"McGrath","given":"K. M.","non-dropping-particle":"","parse-names":false,"suffix":""},{"dropping-particle":"","family":"Han","given":"Yuqi","non-dropping-particle":"","parse-names":false,"suffix":""},{"dropping-particle":"","family":"Gruner","given":"Sol M.","non-dropping-particle":"","parse-names":false,"suffix":""}],"container-title":"Journal of the American Chemical Society","id":"ITEM-3","issue":"21","issued":{"date-parts":[["1997"]]},"page":"4866-4873","title":"Polymerization of the inverted hexagonal phase","type":"article-journal","volume":"119"},"uris":["http://www.mendeley.com/documents/?uuid=2ccf410a-38de-43d0-810c-16bb0ef1d8a4"]},{"id":"ITEM-4","itemData":{"DOI":"10.1021/ja002462i","ISSN":"0002-7863","abstract":"An efficient and versatile synthesis of a series of polymerizable amphiphilic mesogens that affords control over tail length and position of the polymerizable group is described. The synthesis employs a novel and facile method of preparing styrene ethers. The monomers are sodium salts of styrene ether-modified fatty acids that can be used to form cross-linkable inverted hexagonal (HII) lyotropic liquid crystal (LLC) phases at ambient temperature with controllable nanometer-scale dimensions. Examination of a series of regioisomers with the same alkyl chain length but with the styrene ether group at different locations along the chain revealed that the position of the styrene ether has a profound effect on the dimensions of the resulting HII phase at a fixed temperature and composition. Increasing overall monomer tail length also has a significant, although smaller, effect on the unit cell dimensions of the LLC phase. By controlling the structure of the LLC monomer in this manner, cross-linked HII phases with interchannel distances (ICD) ranging from 29 to 54 Å can be obtained. Furthermore, changing the counterion from Na+ to tetraalkylammonium ions leads to further expansion of the HII unit cell to a maximum ICD of 65 Å, as well as to the production of a lamellar phase. Use of these monomers affords a new and unparalleled degree of control over phase structure and dimensions for the production of nanostructured organic materials.","author":[{"dropping-particle":"","family":"Reppy","given":"Mary A.","non-dropping-particle":"","parse-names":false,"suffix":""},{"dropping-particle":"","family":"Gray","given":"David H.","non-dropping-particle":"","parse-names":false,"suffix":""},{"dropping-particle":"","family":"Pindzola","given":"Brad A.","non-dropping-particle":"","parse-names":false,"suffix":""},{"dropping-particle":"","family":"Smithers","given":"Juston L.","non-dropping-particle":"","parse-names":false,"suffix":""},{"dropping-particle":"","family":"Gin","given":"Douglas L.","non-dropping-particle":"","parse-names":false,"suffix":""}],"container-title":"Journal of the American Chemical Society","id":"ITEM-4","issue":"3","issued":{"date-parts":[["2001","1"]]},"page":"363-371","title":"A New Family of Polymerizable Lyotropic Liquid Crystals: Control of Feature Size in Cross-Linked Inverted Hexagonal Assemblies via Monomer Structure","type":"article-journal","volume":"123"},"uris":["http://www.mendeley.com/documents/?uuid=9cf7e8db-5e3a-4b16-ad9e-3fecf29d5c0a"]},{"id":"ITEM-5","itemData":{"DOI":"10.1021/ma000812f","ISSN":"00249297","abstract":"The unprecedented use of polymerizable hydrocarbon tail systems containing 1,3-diene groups for the design of thermotropic and lyotropic liquid crystal (LC) monomers is described. Cross-linkable LC dienes are synthesized by attaching LC core units to modular ω-bromoalka-1,3-diene tails of variable length. These modular diene tails are synthesized by the oxidation of long chain ω-bromoalkan-1-ols to the corresponding ω-bromoalkanals. Reaction of the ω-bromoalkanals with Matteson's reagent, followed by treatment with triethanolamine and deoxysilylation under Peterson elimination conditions, affords the desired ω-bromoalka-1,3-diene tails. The effect of the 1,3-diene group on the mesogenic behavior of certain thermotropic and lyotropic LC systems was determined by examining 1,3-diene analogues of a thermotropic calamitic LC diacrylate and a taper-shaped lyotropic LC triacrylate. Compared to their diacrylate analogues, the thermotropic LC bis(1,3-diene)s exhibit the same progression of nematic and smectic' phases but with higher smectic C to nematic transition temperatures and higher clearing temperatures. Replacement of the three acrylate groups in the tapered-shaped lyotropic LC monomer with 1,3-diene moieties had little effect on its tendency to form the inverted hexagonal phase at room temperature in the presence of water. The lyotropic LC diene phases also exhibit higher clearing temperatures than the corresponding LC triacrylate. The 1,3-diene group was found to be an efficient cross-linking unit for the photopolymerization of lyotropic LC phases at ambient temperature because of its hydrophobicity, minimal phase perturbation, and the high degree of photopolymerization. With thermotropic LC systems, however, Diels-Alder dimerization of adjacent diene units was found to occur upon heating the thermotropic LC bis(diene) monomers to ca. 90 °C or higher. Thus, as a photopolymerizable group in LC monomer design, the practical utility of the 1,3-diene group appears to be limited to temperature regimes below 90 °C.","author":[{"dropping-particle":"","family":"Hoag","given":"Benjamin P.","non-dropping-particle":"","parse-names":false,"suffix":""},{"dropping-particle":"","family":"Gin","given":"Douglas L.","non-dropping-particle":"","parse-names":false,"suffix":""}],"container-title":"Macromolecules","id":"ITEM-5","issue":"23","issued":{"date-parts":[["2000"]]},"page":"8549-8558","title":"Cross-linkable liquid crystal monomers containing hydrocarbon 1,3-diene tail systems","type":"article-journal","volume":"33"},"uris":["http://www.mendeley.com/documents/?uuid=a6f20395-312f-4d40-b921-83eb818d626f"]},{"id":"ITEM-6","itemData":{"DOI":"10.1021/ja0058583","ISSN":"0002-7863","author":[{"dropping-particle":"","family":"Pindzola","given":"Bradford A.","non-dropping-particle":"","parse-names":false,"suffix":""},{"dropping-particle":"","family":"Hoag","given":"Benjamin P.","non-dropping-particle":"","parse-names":false,"suffix":""},{"dropping-particle":"","family":"Gin","given":"Douglas L.","non-dropping-particle":"","parse-names":false,"suffix":""}],"container-title":"Journal of the American Chemical Society","id":"ITEM-6","issue":"19","issued":{"date-parts":[["2001","5"]]},"page":"4617-4618","title":"Polymerization of a Phosphonium Diene Amphiphile in the Regular Hexagonal Phase with Retention of Mesostructure","type":"article-journal","volume":"123"},"uris":["http://www.mendeley.com/documents/?uuid=672a9819-fdde-4fa4-9c26-f7f8b10dec48"]},{"id":"ITEM-7","itemData":{"DOI":"10.1021/ja0208106","ISSN":"0002-7863","abstract":"The synthesis and lyotropic liquid-crystalline (LLC) phase behavior of a homologous series of intrinsically cross-linkable gemini surfactants are described. These novel bis(alkyl-1,3-diene)-based phosphonium gemini amphiphiles exhibit \"normal\" hexagonal (HI), Type I bicontinuous cubic (QI), and lamellar (Lα) phases in water, and can be photocross-linked with retention of phase architecture in each case. On the basis of their locations on the phase diagram, their powder X-ray diffraction profiles, and the physical properties of the cross-linked materials, the QI phases formed by these gemini monomers are consistent with four possible bicontinuous cubic architectures with P or I space group symmetry that have been identified previously for small molecule amphiphiles. The extent of polymerization (i.e., the degree of diene conversion) achieved in the LLC phases was determined to be in the 23% to 71% range using UV-vis spectrometry, which is more than sufficient to extensively stabilize the systems. The resulting cross-linked HI, Lα, and QI phases are stable up to 300 °C in air. To our knowledge, these reactive amphiphiles constitute the first example of a polymerizable gemini surfactant, and the first example of a cross-linkable amphiphile system that can be polymerized in both the HI and a QI mesophase with retention of phase microstructure.","author":[{"dropping-particle":"","family":"Pindzola","given":"Brad A.","non-dropping-particle":"","parse-names":false,"suffix":""},{"dropping-particle":"","family":"Jin","given":"Jizhu","non-dropping-particle":"","parse-names":false,"suffix":""},{"dropping-particle":"","family":"Gin","given":"Douglas L.","non-dropping-particle":"","parse-names":false,"suffix":""}],"container-title":"Journal of the American Chemical Society","id":"ITEM-7","issue":"10","issued":{"date-parts":[["2003","3"]]},"page":"2940-2949","title":"Cross-Linked Normal Hexagonal and Bicontinuous Cubic Assemblies via Polymerizable Gemini Amphiphiles","type":"article-journal","volume":"125"},"uris":["http://www.mendeley.com/documents/?uuid=cc6d4576-822b-42ed-b4d8-a32080f95537"]},{"id":"ITEM-8","itemData":{"DOI":"10.1021/cm062992z","ISSN":"08974756","abstract":"Preparation and polymerization of a methylimidazolium-based ionic liquid (IL) that incorporates an acryloyl moiety at the terminus of a C8 alkyl chain is described. The IL monomer weakly self-assembles upon addition of water and oligomerizes on mild heating. Initiator-free polymerization (as evidenced by FT-IR spectroscopy) can be achieved by UV irradiation, forming an elastic, self-supporting hydrogel. Small-angle X-ray scattering (SAXS) studies on the unsupported polymer demonstrate that the hydrogel adopts an ordered lamellar structure. The polymer can absorb large quantities of water, swelling to nearly 200 times its original volume and, in the process, becoming a highly disordered lamellar structure. Swelling studies conducted using a range of organic solvents demonstrate that the polymer can also be swollen (albeit to a lesser extent) by polar, hydrogen-bonding solvents such as ethanol. © 2007 American Chemical Society.","author":[{"dropping-particle":"","family":"Batra","given":"Dolly","non-dropping-particle":"","parse-names":false,"suffix":""},{"dropping-particle":"","family":"Hay","given":"Daniel N.T.","non-dropping-particle":"","parse-names":false,"suffix":""},{"dropping-particle":"","family":"Firestone","given":"Millicent A.","non-dropping-particle":"","parse-names":false,"suffix":""}],"container-title":"Chemistry of Materials","id":"ITEM-8","issue":"18","issued":{"date-parts":[["2007"]]},"page":"4423-4431","title":"Formation of a biomimetic, liquid-crystalline hydrogel by self-assembly and polymerization of an ionic liquid","type":"article-journal","volume":"19"},"uris":["http://www.mendeley.com/documents/?uuid=096fded3-48dd-4649-844d-9bed47afa9c2"]},{"id":"ITEM-9","itemData":{"DOI":"10.1002/macp.200700174","ISSN":"10221352","abstract":"The binary phase behavior of a series of imidazolium-based ionic liquids (ILs) has been investigated. In particular, the effect of two structural modifications of the imidazolium cation, alkyl chain length, and the introduction of a polymerizable acryloyl group at the alkyl chain terminus, has been studied using small angle X-ray scattering. Upon increasing water content, the non-polymerizable IL, 1-decyl-3-methylimidazolium chloride, adopts mesophase structures of predominately two-dimensional (2D) hexagonal symmetry, including structures intermediate in character between lamellae and 2D hexagonal micelles. Introduction of a photopolymerizable acryloyl functional group to form l-(10-(acryloyloxy)decyl)-3-methylimidazolium chloride produces a rod-coil IL cation that yields self-assembled mesophases in which the formation of tetragonal morphologies is favored. Covalent linking of the IL cations by UV-induced polymerization converts the lyotropic mesophase into three-dimensional biocontinuous chemical gels. Reducing the alkyl chain length, as in the polymerizable IL cation 1-(8-(acryloyloxy)octyl)-3-methylimidazolium chloride, severely reduces the self-assembled mesophase order, and triggers the formation of only weakly ordered one-dimensional lamellar structures. © 2007 WILEY-VCH Verlag GmbH &amp; Co. KGaA.","author":[{"dropping-particle":"","family":"Batra","given":"Dolly","non-dropping-particle":"","parse-names":false,"suffix":""},{"dropping-particle":"","family":"Seifert","given":"Sönke","non-dropping-particle":"","parse-names":false,"suffix":""},{"dropping-particle":"","family":"Firestone","given":"Millicent A.","non-dropping-particle":"","parse-names":false,"suffix":""}],"container-title":"Macromolecular Chemistry and Physics","id":"ITEM-9","issue":"13","issued":{"date-parts":[["2007","7","3"]]},"page":"1416-1427","title":"The Effect of Cation Structure on the Mesophase Architecture of Self-Assembled and Polymerized Imidazolium-Based Ionic Liquids","type":"article-journal","volume":"208"},"uris":["http://www.mendeley.com/documents/?uuid=9841d302-c27a-4d6a-8fe2-cfeb23969c30"]},{"id":"ITEM-10","itemData":{"DOI":"10.1021/ma900905k","ISSN":"0024-9297","abstract":"Preparation and photopolymerization of a decylmethylimidazolium ionic liquid (IL) that possesses an acrylate counteranion are described. This IL monomer self-assembles upon addition of water and can be copolymerized with poly(ethylene glycol) diacrylate (PEGDA) in the presence of a photoinitiator, forming a mechanically durable material that adopts a lamellar structure with in-plane hexagonally ordered pores, as evidenced by small-angle X-ray scattering (SAXS). Thermogravimetric analysis, the extent of polymerization, and solubility-swelling studies indicate the formation of a network copolymer of the IL monomer and the PEGDA. Additional evidence for the formation of a nanostructured copolymer is provided by evaluating the product formed by replacement of the IL monomer with the nonpolymerizable analogue, decylmethylimidazolium chloride. The results demonstrate the possibility of designing a self-assembled amiphiphilic bilayer architecture that is reinforced by polymerization and cross-linking. © 2009 American Chemical Society.","author":[{"dropping-particle":"","family":"Grubjesic","given":"Simonida","non-dropping-particle":"","parse-names":false,"suffix":""},{"dropping-particle":"","family":"Seifert","given":"Sönke","non-dropping-particle":"","parse-names":false,"suffix":""},{"dropping-particle":"","family":"Firestone","given":"Millicent A.","non-dropping-particle":"","parse-names":false,"suffix":""}],"container-title":"Macromolecules","id":"ITEM-10","issue":"15","issued":{"date-parts":[["2009","8","11"]]},"page":"5461-5470","title":"Cytoskeleton Mimetic Reinforcement of a Self-Assembled N,N ′-Dialkylimidazolium Ionic Liquid Monomer by Copolymerization","type":"article-journal","volume":"42"},"uris":["http://www.mendeley.com/documents/?uuid=0c05cc39-4d14-4423-86a9-10540979c3c5"]},{"id":"ITEM-11","itemData":{"DOI":"10.1002/marc.201600070","ISSN":"15213927","abstract":"The UV-initiated free radical polymerization of a lyotropic mesophase prepared by co-assembly of an aqueous mixture of an ionic liquid (IL) monomer, 3-decyl-1-vinylimidazolium chloride, in a dimethyl sulfoxide dispersion of an IL-monomer nanodiamond conjugate yields a well-ordered 2D hexagonally structured network-polymer composite. The IL monomer is covalently bound to carboxylated detonation diamond via ester-linked 3-decyl-1-vinylimidazolium bromide. Successful preparation of the amphiphile-functionalized nanodiamond is determined by ATR/FT-IR, thermogravimetric analysis, and small-angle X-ray scattering (SAXS). Mesophase and composite structure are evaluated by SAXS, revealing a columnar architecture composed of amphiphilic ionic liquid cylinders containing solvent-rich cores. Self-assembly directed site localization of the nanodiamond positions the particles in the alkyl chain continuum upon polymerization. The composite reversibly swells in ethanol allowing structural variation and modulation of the nanoparticle internal packing arrangement. This work demonstrates that through careful molecular design, self-organization and site-directed assembly of nanodiamond into chemically distinct regions of a nanostructured organogel can be achieved.","author":[{"dropping-particle":"","family":"Ringstrand","given":"Bryan S.","non-dropping-particle":"","parse-names":false,"suffix":""},{"dropping-particle":"","family":"Seifert","given":"Sönke","non-dropping-particle":"","parse-names":false,"suffix":""},{"dropping-particle":"","family":"Podlesak","given":"David W.","non-dropping-particle":"","parse-names":false,"suffix":""},{"dropping-particle":"","family":"Firestone","given":"Millicent A.","non-dropping-particle":"","parse-names":false,"suffix":""}],"container-title":"Macromolecular rapid communications","id":"ITEM-11","issue":"14","issued":{"date-parts":[["2016"]]},"page":"1155-1167","title":"Self-Assembly Directed Organization of Nanodiamond During Ionic Liquid Crystalline Polymer Formation","type":"article-journal","volume":"37"},"uris":["http://www.mendeley.com/documents/?uuid=840f9fb6-b00a-45cf-8149-2292653eb71c"]},{"id":"ITEM-12","itemData":{"DOI":"10.1039/c5sm01646k","ISSN":"17446848","abstract":"We present a facile method to prepare thermally stable and mechanically robust crosslinked lyotropic liquid crystals (LLCs) through incorporation of a polymerizable amphiphile into a binary LLC system comprising commercially available surfactant Brij 97 and water. Thermal stability and mechanical properties of the polymerized LLCs were significantly enhanced after polymerization of the incorporated polymerizable surfactant. The effect of incorporating a polymerizable amphiphile on the phase behavior of the LLC system was studied in detail. In situ photo-rheology was used to monitor the change in the mechanical properties of the LLCs, namely the storage modulus, loss modulus, and viscosity, upon polymerization. The retention of the LLC nanostructures was evaluated by small angle X-ray scattering (SAXS). The ability to control the thermal stability and mechanical strength of LLCs simply by adding a polymerizable amphiphile, without tedious organic synthesis or harsh polymerization conditions, could prove highly advantageous in the preparation of robust nanomaterials with well-defined periodic structures.","author":[{"dropping-particle":"","family":"Peng","given":"Shuhua","non-dropping-particle":"","parse-names":false,"suffix":""},{"dropping-particle":"","family":"Hartley","given":"Patrick G.","non-dropping-particle":"","parse-names":false,"suffix":""},{"dropping-particle":"","family":"Hughes","given":"Timothy C.","non-dropping-particle":"","parse-names":false,"suffix":""},{"dropping-particle":"","family":"Guo","given":"Qipeng","non-dropping-particle":"","parse-names":false,"suffix":""}],"container-title":"Soft Matter","id":"ITEM-12","issue":"31","issued":{"date-parts":[["2015"]]},"page":"6318-6326","title":"Enhancing thermal stability and mechanical properties of lyotropic liquid crystals through incorporation of a polymerizable surfactant","type":"article-journal","volume":"11"},"uris":["http://www.mendeley.com/documents/?uuid=e592e5f5-580a-420c-aef7-38efdb7c8860"]}],"mendeley":{"formattedCitation":"&lt;sup&gt;58,61,73,80–88&lt;/sup&gt;","plainTextFormattedCitation":"58,61,73,80–88","previouslyFormattedCitation":"&lt;sup&gt;58,61,73,80–88&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58,61,73,80–88</w:t>
      </w:r>
      <w:r w:rsidRPr="006D631C">
        <w:rPr>
          <w:rFonts w:asciiTheme="majorBidi" w:hAnsiTheme="majorBidi" w:cstheme="majorBidi"/>
        </w:rPr>
        <w:fldChar w:fldCharType="end"/>
      </w:r>
      <w:r w:rsidRPr="006D631C">
        <w:rPr>
          <w:rFonts w:asciiTheme="majorBidi" w:hAnsiTheme="majorBidi" w:cstheme="majorBidi"/>
        </w:rPr>
        <w:t xml:space="preserve"> swelling behavior,</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{"citationItems":[{"id":"ITEM-1","itemData":{"DOI":"10.1002/bbpc.19981021217","ISSN":"0940483X","abstract":"The γ-ray polymerization of (2-meihacryloyethyl)dodecyldimethyl, larnonium bromide 1 and (11-mcthaeryloylundecyl) trirnethylammonkim bromide 2 in lyotropic mesophase is described, 1 forms hexagonal (H), cubic (Qu) and lamellar phases as indicated by polarizing microscopy and small jngle X-ray scattering (SAXS). Dose versus conversion curves indicate a complete polymerization of 1 in organized aqueous phases, the reaction rate being highest in the Hu phase. 2 is less reactive and polymerization in the Hu phase ceases at about 60% conversion to polymer. Both surfactants polymerize under retention of the macroscopic order of the mesophase. N'anostructured gel-like materials with hydrophilic and hydrophobic compartments arc obtained, which after removal of water can be swollen in polar and nonpolar solvents. © WILEY-VCH Veriag GmbH. 1998.","author":[{"dropping-particle":"","family":"Pawlowski","given":"Dirk","non-dropping-particle":"","parse-names":false,"suffix":""},{"dropping-particle":"","family":"Haibel","given":"Astrid","non-dropping-particle":"","parse-names":false,"suffix":""},{"dropping-particle":"","family":"Tieke","given":"M.","non-dropping-particle":"","parse-names":false,"suffix":""}],"container-title":"Berichte der Bunsengesellschaft/Physical Chemistry Chemical Physics","id":"ITEM-1","issue":"12","issued":{"date-parts":[["1998"]]},"page":"1865-1869","title":"Γ-Ray Polymerization of Cationic Surfactant Methacrylates in Lyotropic Mesopnases","type":"article-journal","volume":"102"},"uris":["http://www.mendeley.com/documents/?uuid=89432008-783e-48ea-9812-82cb8bb6c544"]},{"id":"ITEM-2","itemData":{"DOI":"10.1021/cm803383d","ISSN":"08974756","abstract":"In applications requiring nanoscale order, control over the structure formation is critical for appropriate function. Reactive surfactants forming reactive lyotropic liquid crystals (LLC) enable the formation of nanotructured polymers that exhibit enhanced physical properties when the original order is retained after polymerization. In this work, the use of a cross-linker to retain the LLC order for a monomethacrylate quaternary ammonium surfactant monomer in water during polymerization was explored. The cross-linker segregates to the polar regions of the surfactant assembly, likely near the quaternary ammonium group of the reactive surfactant. The use of a cross-linker enables the retention of the original LLC order after polymerization for hexagonal LLC phases that are not retained by other means. Increased polymerization rates are observed at low cross-linker concentrations. At higher cross-linker concentrations, the polymerization rates decrease because of a decrease in LLC order. More regular ordered morphologies are observed for systems that retain the hexagonal LLC order during polymerization. The resulting LLC order is also present after drying and swelling the polymer in water, therefore producing a polymer with robust LLC order. Enhancements in water uptake were also observed for polymers that retain the original order through cross-linking compared to systems that exhibit change in order. This behavior is directly related to the retention of the original LLC order. © 2009 American Chemical Society.","author":[{"dropping-particle":"","family":"Sievens-Figueroa","given":"Lucas","non-dropping-particle":"","parse-names":false,"suffix":""},{"dropping-particle":"","family":"Guymon","given":"C. Allan","non-dropping-particle":"","parse-names":false,"suffix":""}],"container-title":"Chemistry of Materials","id":"ITEM-2","issue":"6","issued":{"date-parts":[["2009"]]},"page":"1060-1068","title":"Cross-linking of reactive lyotropic liquid crystals for nanostrueture retention","type":"article-journal","volume":"21"},"uris":["http://www.mendeley.com/documents/?uuid=6aacfd18-62db-4cc9-925f-9fb614d08f5a"]},{"id":"ITEM-3","itemData":{"DOI":"10.1021/ja00125a019","ISSN":"15205126","abstract":"The formation of nonlamellar lipid structures in model lipid membranes has been extensively studied in recent years. These hydrated lipid phases include the inverted hexagonal phase and various bicontinuous cubic phases, which occur at selected lipid concentrations, temperatures, and pressures. Cubic phases that are bicontinuous with respect to the polar and nonpolar regions are especially interesting as organic analogs of zeolites. The recently developed methods used to polymerize and stabilize lamellar assemblies offer certain strategies that are applicable to nonlamellar phases. Here we report the successful stabilization of a nonlamellar phase via the polymerization of reactive amphiphiles. A 3:1 molar mixture of polymerizable mono-dienoyl-substituted phosphoethanolamine and bis-dienoyl-substituted phosphocholine were hydrated to yield bilayers. X-ray diffraction of the unpolymerized mixture at 60 °C showed the formation of an inverted hexagonal phase which on prolonged incubation changed to a bicontinuous cubic phase of Pn3m symmetry. Polymerization of the hexagonal phase produced a stabilized hexagonal structure over the range of 20 to 60 °C. The same lipids at lower concentration were characterized by 31P-NMR and transmission electron microscopy (TEM) before and after polymerization. The NMR shows the formation of a sample with isotropic symmetry as expected for a cubic phase. The polymerized sample retained a nonlamellar structure after cooling and extended storage at room temperature or near 0 °C. The TEMs show a polydomain square lattice with 6 ± 1 nm diameter aqueous channels. This stabilized nonlamellar phase is the first representative of a new family of materials with interpenetrating water channels with high surface area and potentially bicompatible lipid—water interfaces. © 1995, American Chemical Society. All rights reserved.","author":[{"dropping-particle":"","family":"Lee","given":"Youn Sik","non-dropping-particle":"","parse-names":false,"suffix":""},{"dropping-particle":"","family":"Gleeson","given":"James T.","non-dropping-particle":"","parse-names":false,"suffix":""},{"dropping-particle":"","family":"Yang","given":"Jian Zhong","non-dropping-particle":"","parse-names":false,"suffix":""},{"dropping-particle":"","family":"Sisson","given":"Thomas M.","non-dropping-particle":"","parse-names":false,"suffix":""},{"dropping-particle":"","family":"Frankel","given":"David A.","non-dropping-particle":"","parse-names":false,"suffix":""},{"dropping-particle":"","family":"O'Brien","given":"David F.","non-dropping-particle":"","parse-names":false,"suffix":""},{"dropping-particle":"","family":"Keller","given":"Sarah L.","non-dropping-particle":"","parse-names":false,"suffix":""},{"dropping-particle":"","family":"Aksay","given":"Emre","non-dropping-particle":"","parse-names":false,"suffix":""},{"dropping-particle":"","family":"Gruner","given":"Sol M.","non-dropping-particle":"","parse-names":false,"suffix":""}],"container-title":"Journal of the American Chemical Society","id":"ITEM-3","issue":"20","issued":{"date-parts":[["1995"]]},"page":"5573-5578","title":"Polymerization of Nonlamellar Lipid Assemblies","type":"article-journal","volume":"117"},"uris":["http://www.mendeley.com/documents/?uuid=48e800eb-d8de-4cfd-a687-8bddfebe435a"]},{"id":"ITEM-4","itemData":{"DOI":"10.1021/cm062992z","ISSN":"08974756","abstract":"Preparation and polymerization of a methylimidazolium-based ionic liquid (IL) that incorporates an acryloyl moiety at the terminus of a C8 alkyl chain is described. The IL monomer weakly self-assembles upon addition of water and oligomerizes on mild heating. Initiator-free polymerization (as evidenced by FT-IR spectroscopy) can be achieved by UV irradiation, forming an elastic, self-supporting hydrogel. Small-angle X-ray scattering (SAXS) studies on the unsupported polymer demonstrate that the hydrogel adopts an ordered lamellar structure. The polymer can absorb large quantities of water, swelling to nearly 200 times its original volume and, in the process, becoming a highly disordered lamellar structure. Swelling studies conducted using a range of organic solvents demonstrate that the polymer can also be swollen (albeit to a lesser extent) by polar, hydrogen-bonding solvents such as ethanol. © 2007 American Chemical Society.","author":[{"dropping-particle":"","family":"Batra","given":"Dolly","non-dropping-particle":"","parse-names":false,"suffix":""},{"dropping-particle":"","family":"Hay","given":"Daniel N.T.","non-dropping-particle":"","parse-names":false,"suffix":""},{"dropping-particle":"","family":"Firestone","given":"Millicent A.","non-dropping-particle":"","parse-names":false,"suffix":""}],"container-title":"Chemistry of Materials","id":"ITEM-4","issue":"18","issued":{"date-parts":[["2007"]]},"page":"4423-4431","title":"Formation of a biomimetic, liquid-crystalline hydrogel by self-assembly and polymerization of an ionic liquid","type":"article-journal","volume":"19"},"uris":["http://www.mendeley.com/documents/?uuid=096fded3-48dd-4649-844d-9bed47afa9c2"]},{"id":"ITEM-5","itemData":{"DOI":"10.1002/macp.200700174","ISSN":"10221352","abstract":"The binary phase behavior of a series of imidazolium-based ionic liquids (ILs) has been investigated. In particular, the effect of two structural modifications of the imidazolium cation, alkyl chain length, and the introduction of a polymerizable acryloyl group at the alkyl chain terminus, has been studied using small angle X-ray scattering. Upon increasing water content, the non-polymerizable IL, 1-decyl-3-methylimidazolium chloride, adopts mesophase structures of predominately two-dimensional (2D) hexagonal symmetry, including structures intermediate in character between lamellae and 2D hexagonal micelles. Introduction of a photopolymerizable acryloyl functional group to form l-(10-(acryloyloxy)decyl)-3-methylimidazolium chloride produces a rod-coil IL cation that yields self-assembled mesophases in which the formation of tetragonal morphologies is favored. Covalent linking of the IL cations by UV-induced polymerization converts the lyotropic mesophase into three-dimensional biocontinuous chemical gels. Reducing the alkyl chain length, as in the polymerizable IL cation 1-(8-(acryloyloxy)octyl)-3-methylimidazolium chloride, severely reduces the self-assembled mesophase order, and triggers the formation of only weakly ordered one-dimensional lamellar structures. © 2007 WILEY-VCH Verlag GmbH &amp; Co. KGaA.","author":[{"dropping-particle":"","family":"Batra","given":"Dolly","non-dropping-particle":"","parse-names":false,"suffix":""},{"dropping-particle":"","family":"Seifert","given":"Sönke","non-dropping-particle":"","parse-names":false,"suffix":""},{"dropping-particle":"","family":"Firestone","given":"Millicent A.","non-dropping-particle":"","parse-names":false,"suffix":""}],"container-title":"Macromolecular Chemistry and Physics","id":"ITEM-5","issue":"13","issued":{"date-parts":[["2007","7","3"]]},"page":"1416-1427","title":"The Effect of Cation Structure on the Mesophase Architecture of Self-Assembled and Polymerized Imidazolium-Based Ionic Liquids","type":"article-journal","volume":"208"},"uris":["http://www.mendeley.com/documents/?uuid=9841d302-c27a-4d6a-8fe2-cfeb23969c30"]},{"id":"ITEM-6","itemData":{"DOI":"10.1021/ma900905k","ISSN":"0024-9297","abstract":"Preparation and photopolymerization of a decylmethylimidazolium ionic liquid (IL) that possesses an acrylate counteranion are described. This IL monomer self-assembles upon addition of water and can be copolymerized with poly(ethylene glycol) diacrylate (PEGDA) in the presence of a photoinitiator, forming a mechanically durable material that adopts a lamellar structure with in-plane hexagonally ordered pores, as evidenced by small-angle X-ray scattering (SAXS). Thermogravimetric analysis, the extent of polymerization, and solubility-swelling studies indicate the formation of a network copolymer of the IL monomer and the PEGDA. Additional evidence for the formation of a nanostructured copolymer is provided by evaluating the product formed by replacement of the IL monomer with the nonpolymerizable analogue, decylmethylimidazolium chloride. The results demonstrate the possibility of designing a self-assembled amiphiphilic bilayer architecture that is reinforced by polymerization and cross-linking. © 2009 American Chemical Society.","author":[{"dropping-particle":"","family":"Grubjesic","given":"Simonida","non-dropping-particle":"","parse-names":false,"suffix":""},{"dropping-particle":"","family":"Seifert","given":"Sönke","non-dropping-particle":"","parse-names":false,"suffix":""},{"dropping-particle":"","family":"Firestone","given":"Millicent A.","non-dropping-particle":"","parse-names":false,"suffix":""}],"container-title":"Macromolecules","id":"ITEM-6","issue":"15","issued":{"date-parts":[["2009","8","11"]]},"page":"5461-5470","title":"Cytoskeleton Mimetic Reinforcement of a Self-Assembled N,N ′-Dialkylimidazolium Ionic Liquid Monomer by Copolymerization","type":"article-journal","volume":"42"},"uris":["http://www.mendeley.com/documents/?uuid=0c05cc39-4d14-4423-86a9-10540979c3c5"]},{"id":"ITEM-7","itemData":{"DOI":"10.1021/ma102146r","ISSN":"00249297","abstract":"Preparation of a liquid-crystalline ionic-liquid (IL)-based interpenetrating polymer network (IPN) is described. The IPN is prepared sequentially by first photopolymerizing a self-assembled aqueous mixture of an IL monomer (1-(10-(acryloyloxy)decyl)-3-methylimidazolium chloride) that possesses an acryloyl moiety at the terminus of a C10 alkyl chain of the IL cation. In the second step, an acrylate counteranion is introduced and then photopolymerized to yield a durable self-supporting network polymer. Thermal analysis indicates the formation of a homogeneous (well-blended constituent polymers) IPN. The IPN adopts a lamellar structure possessing some residual in-plane tetragonal perforations, as evidenced by small-angle X-ray scattering (SAXS). The IPN can absorb large quantities of water, swelling to nearly 60 times its original volume, but retains mechanical integrity making it a durable hydrogel. © 2011 American Chemical Society.","author":[{"dropping-particle":"","family":"Becht","given":"Gregory A.","non-dropping-particle":"","parse-names":false,"suffix":""},{"dropping-particle":"","family":"Sofos","given":"Marina","non-dropping-particle":"","parse-names":false,"suffix":""},{"dropping-particle":"","family":"Seifert","given":"Sönke","non-dropping-particle":"","parse-names":false,"suffix":""},{"dropping-particle":"","family":"Firestone","given":"Millicent A.","non-dropping-particle":"","parse-names":false,"suffix":""}],"container-title":"Macromolecules","id":"ITEM-7","issue":"6","issued":{"date-parts":[["2011"]]},"page":"1421-1428","title":"Formation of a liquid-crystalline interpenetrating poly(ionic liquid) network hydrogel","type":"article-journal","volume":"44"},"uris":["http://www.mendeley.com/documents/?uuid=9f6d22ba-2b83-43af-83e2-773d0062421f"]}],"mendeley":{"formattedCitation":"&lt;sup&gt;58,76,86–90&lt;/sup&gt;","plainTextFormattedCitation":"58,76,86–90","previouslyFormattedCitation":"&lt;sup&gt;58,76,86–90&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58,76,86–90</w:t>
      </w:r>
      <w:r w:rsidRPr="006D631C">
        <w:rPr>
          <w:rFonts w:asciiTheme="majorBidi" w:hAnsiTheme="majorBidi" w:cstheme="majorBidi"/>
        </w:rPr>
        <w:fldChar w:fldCharType="end"/>
      </w:r>
      <w:r w:rsidRPr="006D631C">
        <w:rPr>
          <w:rFonts w:asciiTheme="majorBidi" w:hAnsiTheme="majorBidi" w:cstheme="majorBidi"/>
        </w:rPr>
        <w:t xml:space="preserve"> and mechanical properties</w:t>
      </w:r>
      <w:r w:rsidRPr="006D631C">
        <w:rPr>
          <w:rFonts w:asciiTheme="majorBidi" w:hAnsiTheme="majorBidi" w:cstheme="majorBidi"/>
        </w:rPr>
        <w:fldChar w:fldCharType="begin" w:fldLock="1"/>
      </w:r>
      <w:r w:rsidR="005C60C1" w:rsidRPr="006D631C">
        <w:rPr>
          <w:rFonts w:asciiTheme="majorBidi" w:hAnsiTheme="majorBidi" w:cstheme="majorBidi"/>
        </w:rPr>
        <w:instrText xml:space="preserve">ADDIN CSL_CITATION {"citationItems":[{"id":"ITEM-1","itemData":{"DOI":"10.1021/ma102146r","ISSN":"00249297","abstract":"Preparation of a liquid-crystalline ionic-liquid (IL)-based interpenetrating polymer network (IPN) is described. The IPN is prepared sequentially by first photopolymerizing a self-assembled aqueous mixture of an IL monomer (1-(10-(acryloyloxy)decyl)-3-methylimidazolium chloride) that possesses an acryloyl moiety at the terminus of a C10 alkyl chain of the IL cation. In the second step, an acrylate counteranion is introduced and then photopolymerized to yield a durable self-supporting network polymer. Thermal analysis indicates the formation of a homogeneous (well-blended constituent polymers) IPN. The IPN adopts a lamellar structure possessing some residual in-plane tetragonal perforations, as evidenced by small-angle X-ray scattering (SAXS). The IPN can absorb large quantities of water, swelling to nearly 60 times its original volume, but retains mechanical integrity making it a durable hydrogel. © 2011 American Chemical Society.","author":[{"dropping-particle":"","family":"Becht","given":"Gregory A.","non-dropping-particle":"","parse-names":false,"suffix":""},{"dropping-particle":"","family":"Sofos","given":"Marina","non-dropping-particle":"","parse-names":false,"suffix":""},{"dropping-particle":"","family":"Seifert","given":"Sönke","non-dropping-particle":"","parse-names":false,"suffix":""},{"dropping-particle":"","family":"Firestone","given":"Millicent A.","non-dropping-particle":"","parse-names":false,"suffix":""}],"container-title":"Macromolecules","id":"ITEM-1","issue":"6","issued":{"date-parts":[["2011"]]},"page":"1421-1428","title":"Formation of a liquid-crystalline interpenetrating poly(ionic liquid) network hydrogel","type":"article-journal","volume":"44"},"uris":["http://www.mendeley.com/documents/?uuid=9f6d22ba-2b83-43af-83e2-773d0062421f"]},{"id":"ITEM-2","itemData":{"DOI":"10.1002/macp.200700174","ISSN":"10221352","abstract":"The binary phase behavior of a series of imidazolium-based ionic liquids (ILs) has been investigated. In particular, the effect of two structural modifications of the imidazolium cation, alkyl chain length, and the introduction of a polymerizable acryloyl group at the alkyl chain terminus, has been studied using small angle X-ray scattering. Upon increasing water content, the non-polymerizable IL, 1-decyl-3-methylimidazolium chloride, adopts mesophase structures of predominately two-dimensional (2D) hexagonal symmetry, including structures intermediate in character between lamellae and 2D hexagonal micelles. Introduction of a photopolymerizable acryloyl functional group to form l-(10-(acryloyloxy)decyl)-3-methylimidazolium chloride produces a rod-coil IL cation that yields self-assembled mesophases in which the formation of tetragonal morphologies is favored. Covalent linking of the IL cations by UV-induced polymerization converts the lyotropic mesophase into three-dimensional biocontinuous chemical gels. Reducing the alkyl chain length, as in the polymerizable IL cation 1-(8-(acryloyloxy)octyl)-3-methylimidazolium chloride, severely reduces the self-assembled mesophase order, and triggers the formation of only weakly ordered one-dimensional lamellar structures. © 2007 WILEY-VCH Verlag GmbH &amp; Co. KGaA.","author":[{"dropping-particle":"","family":"Batra","given":"Dolly","non-dropping-particle":"","parse-names":false,"suffix":""},{"dropping-particle":"","family":"Seifert","given":"Sönke","non-dropping-particle":"","parse-names":false,"suffix":""},{"dropping-particle":"","family":"Firestone","given":"Millicent A.","non-dropping-particle":"","parse-names":false,"suffix":""}],"container-title":"Macromolecular Chemistry and Physics","id":"ITEM-2","issue":"13","issued":{"date-parts":[["2007","7","3"]]},"page":"1416-1427","title":"The Effect of Cation Structure on the Mesophase Architecture of Self-Assembled and Polymerized Imidazolium-Based Ionic Liquids","type":"article-journal","volume":"208"},"uris":["http://www.mendeley.com/documents/?uuid=9841d302-c27a-4d6a-8fe2-cfeb23969c30"]},{"id":"ITEM-3","itemData":{"DOI":"10.1039/c8me00106e","ISSN":"20589689","abstract":"3D photoprinting of a self-assembled ionic liquid (IL) monomer based liquid-crystalline mesophase introduces high-resolution nanoscale features (2-5 nm) into otherwise low-resolution (microscale features) polymer builds. A wide variety of geometric builds possessing internal hexagonal perforated lamellar (HPL) nanostructure containing </w:instrText>
      </w:r>
      <w:r w:rsidR="005C60C1" w:rsidRPr="006D631C">
        <w:rPr>
          <w:rFonts w:ascii="Cambria Math" w:hAnsi="Cambria Math" w:cs="Cambria Math"/>
        </w:rPr>
        <w:instrText>∼</w:instrText>
      </w:r>
      <w:r w:rsidR="005C60C1" w:rsidRPr="006D631C">
        <w:rPr>
          <w:rFonts w:asciiTheme="majorBidi" w:hAnsiTheme="majorBidi" w:cstheme="majorBidi"/>
        </w:rPr>
        <w:instrText>2.4 nm diameter pores are fabricated by the digital light processing 3D printing of an aqueous mixture (61(w/w%)) of an ionic liquid monomer, 1-decyl-3-vinylimidazolium chloride, a co-monomer, polyethylene diacrylate (PEGDA, Mn 575), and a visible light photo-initiator (eosin Y and triethanolamine). Vibrational spectroscopy and thermal analysis proves acrylate moiety polymerization occurs during printing but incomplete consumption of the IL vinyl groups. Post-printing exposure to UV light (λ 350 nm) completes vinyl polymerization serving to further improve nanostructure ordering as determined by SAXS. Solvent swelling (ethanol) induces a structural transformation to a body center cubic architecture accompanied by slight pore expansion (to 3.2 nm). The introduction of nanoscale features into low-resolution photo-printed polymers establishes a low-cost strategy for the additive manufacturing of multi-scale, structured nanoporous polymer membranes.","author":[{"dropping-particle":"","family":"Ndefru","given":"Bineh G.","non-dropping-particle":"","parse-names":false,"suffix":""},{"dropping-particle":"","family":"Ringstrand","given":"Bryan S.","non-dropping-particle":"","parse-names":false,"suffix":""},{"dropping-particle":"","family":"Diouf","given":"Sokhna I.Y.","non-dropping-particle":"","parse-names":false,"suffix":""},{"dropping-particle":"","family":"Seifert","given":"Sönke","non-dropping-particle":"","parse-names":false,"suffix":""},{"dropping-particle":"","family":"Leal","given":"Juan H.","non-dropping-particle":"","parse-names":false,"suffix":""},{"dropping-particle":"","family":"Semelsberger","given":"Troy A.","non-dropping-particle":"","parse-names":false,"suffix":""},{"dropping-particle":"","family":"Dreier","given":"Timothy A.","non-dropping-particle":"","parse-names":false,"suffix":""},{"dropping-particle":"","family":"Firestone","given":"Millicent A.","non-dropping-particle":"","parse-names":false,"suffix":""}],"container-title":"Molecular Systems Design and Engineering","id":"ITEM-3","issue":"3","issued":{"date-parts":[["2019"]]},"page":"580-585","title":"Multiscale additive manufacturing of polymers using 3D photo-printable self-assembling ionic liquid monomers","type":"article-journal","volume":"4"},"uris":["http://www.mendeley.com/documents/?uuid=0116b4e7-74d5-49fe-901e-280f72e15944"]},{"id":"ITEM-4","itemData":{"DOI":"10.1039/c5sm01646k","ISSN":"17446848","abstract":"We present a facile method to prepare thermally stable and mechanically robust crosslinked lyotropic liquid crystals (LLCs) through incorporation of a polymerizable amphiphile into a binary LLC system comprising commercially available surfactant Brij 97 and water. Thermal stability and mechanical properties of the polymerized LLCs were significantly enhanced after polymerization of the incorporated polymerizable surfactant. The effect of incorporating a polymerizable amphiphile on the phase behavior of the LLC system was studied in detail. In situ photo-rheology was used to monitor the change in the mechanical properties of the LLCs, namely the storage modulus, loss modulus, and viscosity, upon polymerization. The retention of the LLC nanostructures was evaluated by small angle X-ray scattering (SAXS). The ability to control the thermal stability and mechanical strength of LLCs simply by adding a polymerizable amphiphile, without tedious organic synthesis or harsh polymerization conditions, could prove highly advantageous in the preparation of robust nanomaterials with well-defined periodic structures.","author":[{"dropping-particle":"","family":"Peng","given":"Shuhua","non-dropping-particle":"","parse-names":false,"suffix":""},{"dropping-particle":"","family":"Hartley","given":"Patrick G.","non-dropping-particle":"","parse-names":false,"suffix":""},{"dropping-particle":"","family":"Hughes","given":"Timothy C.","non-dropping-particle":"","parse-names":false,"suffix":""},{"dropping-particle":"","family":"Guo","given":"Qipeng","non-dropping-particle":"","parse-names":false,"suffix":""}],"container-title":"Soft Matter","id":"ITEM-4","issue":"31","issued":{"date-parts":[["2015"]]},"page":"6318-6326","title":"Enhancing thermal stability and mechanical properties of lyotropic liquid crystals through incorporation of a polymerizable surfactant","type":"article-journal","volume":"11"},"uris":["http://www.mendeley.com/documents/?uuid=e592e5f5-580a-420c-aef7-38efdb7c8860"]}],"mendeley":{"formattedCitation":"&lt;sup&gt;81,87,90,91&lt;/sup&gt;","plainTextFormattedCitation":"81,87,90,91","previouslyFormattedCitation":"&lt;sup&gt;81,87,90,91&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81,87,90,91</w:t>
      </w:r>
      <w:r w:rsidRPr="006D631C">
        <w:rPr>
          <w:rFonts w:asciiTheme="majorBidi" w:hAnsiTheme="majorBidi" w:cstheme="majorBidi"/>
        </w:rPr>
        <w:fldChar w:fldCharType="end"/>
      </w:r>
      <w:r w:rsidRPr="006D631C">
        <w:rPr>
          <w:rFonts w:asciiTheme="majorBidi" w:hAnsiTheme="majorBidi" w:cstheme="majorBidi"/>
        </w:rPr>
        <w:t xml:space="preserve"> of polyLLC are the common outcomes of a successful synergistic templating process. However, as listed in Table </w:t>
      </w:r>
      <w:r w:rsidR="00BE4C06" w:rsidRPr="006D631C">
        <w:rPr>
          <w:rFonts w:asciiTheme="majorBidi" w:hAnsiTheme="majorBidi" w:cstheme="majorBidi"/>
        </w:rPr>
        <w:t>1-</w:t>
      </w:r>
      <w:r w:rsidRPr="006D631C">
        <w:rPr>
          <w:rFonts w:asciiTheme="majorBidi" w:hAnsiTheme="majorBidi" w:cstheme="majorBidi"/>
        </w:rPr>
        <w:t xml:space="preserve">2, there are some reports on the enhanced properties of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in particular applications such as molecular separation membrane,</w:t>
      </w:r>
      <w:r w:rsidRPr="006D631C">
        <w:rPr>
          <w:rFonts w:asciiTheme="majorBidi" w:hAnsiTheme="majorBidi" w:cstheme="majorBidi"/>
        </w:rPr>
        <w:fldChar w:fldCharType="begin" w:fldLock="1"/>
      </w:r>
      <w:r w:rsidR="00BE4C06"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rFonts w:asciiTheme="majorBidi" w:hAnsiTheme="majorBidi" w:cstheme="majorBidi"/>
        </w:rPr>
        <w:fldChar w:fldCharType="separate"/>
      </w:r>
      <w:r w:rsidR="00BE4C06" w:rsidRPr="006D631C">
        <w:rPr>
          <w:rFonts w:asciiTheme="majorBidi" w:hAnsiTheme="majorBidi" w:cstheme="majorBidi"/>
          <w:noProof/>
          <w:vertAlign w:val="superscript"/>
        </w:rPr>
        <w:t>31</w:t>
      </w:r>
      <w:r w:rsidRPr="006D631C">
        <w:rPr>
          <w:rFonts w:asciiTheme="majorBidi" w:hAnsiTheme="majorBidi" w:cstheme="majorBidi"/>
        </w:rPr>
        <w:fldChar w:fldCharType="end"/>
      </w:r>
      <w:r w:rsidRPr="006D631C">
        <w:rPr>
          <w:rFonts w:asciiTheme="majorBidi" w:hAnsiTheme="majorBidi" w:cstheme="majorBidi"/>
          <w:vertAlign w:val="superscript"/>
        </w:rPr>
        <w:t>,</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{"citationItems":[{"id":"ITEM-1","itemData":{"DOI":"10.1021/cm040342u","ISSN":"08974756","abstract":"A lyotropic liquid crystal (LLC) monomer was successfully blended and cross-linked with commercial butyl rubber (BR) to afford ordered, nanoporous polymer composites. These materials retain much of the excellent chemical resistance of BR but also provide a measure of water vapor permeability, which is lacking in pure BR materials but essential for protective garment applications.","author":[{"dropping-particle":"","family":"Jin","given":"Jizhu","non-dropping-particle":"","parse-names":false,"suffix":""},{"dropping-particle":"","family":"Nguyen","given":"Vinh","non-dropping-particle":"","parse-names":false,"suffix":""},{"dropping-particle":"","family":"Gu","given":"Weiqiang","non-dropping-particle":"","parse-names":false,"suffix":""},{"dropping-particle":"","family":"Lu","given":"Xiaoyun","non-dropping-particle":"","parse-names":false,"suffix":""},{"dropping-particle":"","family":"Elliott","given":"Brian J.","non-dropping-particle":"","parse-names":false,"suffix":""},{"dropping-particle":"","family":"Gin","given":"Douglas L.","non-dropping-particle":"","parse-names":false,"suffix":""}],"container-title":"Chemistry of Materials","id":"ITEM-1","issue":"2","issued":{"date-parts":[["2005"]]},"page":"224-226","title":"Cross-linked lyotropic liquid crystal-butyl rubber composites: Promising \"breathable\" barrier materials for chemical protection applications","type":"article-journal","volume":"17"},"uris":["http://www.mendeley.com/documents/?uuid=3bf1dae8-032c-42ef-b5bc-d44216d9d282"]},{"id":"ITEM-2","itemData":{"DOI":"10.1002/adma.200500444","ISSN":"09359648","author":[{"dropping-particle":"","family":"Zhou","given":"Meijuan","non-dropping-particle":"","parse-names":false,"suffix":""},{"dropping-particle":"","family":"Kidd","given":"Timothy J.","non-dropping-particle":"","parse-names":false,"suffix":""},{"dropping-particle":"","family":"Noble","given":"Richard D.","non-dropping-particle":"","parse-names":false,"suffix":""},{"dropping-particle":"","family":"Gin","given":"Douglas L.","non-dropping-particle":"","parse-names":false,"suffix":""}],"container-title":"Advanced Materials","id":"ITEM-2","issue":"15","issued":{"date-parts":[["2005"]]},"page":"1850-1853","title":"Supported lyotropic liquid-crystal polymer membranes: Promising materials for molecular-size-selective aqueous nanofiltration","type":"article-journal","volume":"17"},"uris":["http://www.mendeley.com/documents/?uuid=4cf52e9a-3ab4-4b73-be33-440fbf61c3fa"]},{"id":"ITEM-3","itemData":{"DOI":"10.1016/j.memsci.2006.09.023","ISSN":"03767388","abstract":"Novel, nanostructured lyotropic liquid crystal polymer membranes were fabricated, characterized and tested for their performance in separations involving CO2, N2, O2, CH4 and H2. Freestanding, cross-linked films with and without an ordered hexagonal nanostructure, but with the same chemical composition, exhibit different gas solubility, diffusion and permeability properties. The presence of an ordered nanostructure was observed to slow diffusion of all gases, but increase solubility and permselectivity in CO2-based separations. In systems with an ordered nanostructure, CO2 permeability was 5.2 Barrers and CO2/N2 separation selectivity was 27. For membranes with the same chemical composition, but lacking an ordered hexagonal nanostructure, permeability rose slightly to 6.9 Barrers, but CO2/N2 separation selectivity dropped to 21. A similar trend was also observed for CO2/CH4 separation. In separations with gases other than CO2, no permselectivity differences were observed between the two membranes. A model explaining these trends is also presented. © 2006 Elsevier B.V. All rights reserved.","author":[{"dropping-particle":"","family":"Bara","given":"Jason E.","non-dropping-particle":"","parse-names":false,"suffix":""},{"dropping-particle":"","family":"Kaminski","given":"Alice K.","non-dropping-particle":"","parse-names":false,"suffix":""},{"dropping-particle":"","family":"Noble","given":"Richard D.","non-dropping-particle":"","parse-names":false,"suffix":""},{"dropping-particle":"","family":"Gin","given":"Douglas L.","non-dropping-particle":"","parse-names":false,"suffix":""}],"container-title":"Journal of Membrane Science","id":"ITEM-3","issue":"1-2","issued":{"date-parts":[["2007"]]},"page":"13-19","title":"Influence of nanostructure on light gas separations in cross-linked lyotropic liquid crystal membranes","type":"article-journal","volume":"288"},"uris":["http://www.mendeley.com/documents/?uuid=b2e9b6f2-e9fb-47ad-8622-56cd70886b30"]}],"mendeley":{"formattedCitation":"&lt;sup&gt;92–94&lt;/sup&gt;","plainTextFormattedCitation":"92–94","previouslyFormattedCitation":"&lt;sup&gt;92–94&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92–94</w:t>
      </w:r>
      <w:r w:rsidRPr="006D631C">
        <w:rPr>
          <w:rFonts w:asciiTheme="majorBidi" w:hAnsiTheme="majorBidi" w:cstheme="majorBidi"/>
        </w:rPr>
        <w:fldChar w:fldCharType="end"/>
      </w:r>
      <w:r w:rsidRPr="006D631C">
        <w:rPr>
          <w:rFonts w:asciiTheme="majorBidi" w:hAnsiTheme="majorBidi" w:cstheme="majorBidi"/>
          <w:vertAlign w:val="superscript"/>
        </w:rPr>
        <w:t xml:space="preserve"> </w:t>
      </w:r>
      <w:r w:rsidRPr="006D631C">
        <w:rPr>
          <w:rFonts w:asciiTheme="majorBidi" w:hAnsiTheme="majorBidi" w:cstheme="majorBidi"/>
        </w:rPr>
        <w:t>catalysis,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038501i","ISSN":"00027863","author":[{"dropping-particle":"","family":"Xu","given":"Yanjie","non-dropping-particle":"","parse-names":false,"suffix":""},{"dropping-particle":"","family":"Gu","given":"Weiqiang","non-dropping-particle":"","parse-names":false,"suffix":""},{"dropping-particle":"","family":"Gin","given":"Douglas L.","non-dropping-particle":"","parse-names":false,"suffix":""}],"container-title":"Journal of the American Chemical Society","id":"ITEM-1","issue":"6","issued":{"date-parts":[["2004"]]},"page":"1616-1617","title":"Heterogeneous Catalysis Using a Nanostructured Solid Acid Resin Based on Lyotropic Liquid Crystals","type":"article-journal","volume":"126"},"uris":["http://www.mendeley.com/documents/?uuid=7b50099a-36a3-49f2-8fc1-6fd89bda31f3"]},{"id":"ITEM-2","itemData":{"DOI":"10.1021/cm0101531","ISSN":"08974756","abstract":"A nanostructured, polymer-supported Sc(III) catalyst for heterogeneous Lewis acid catalysis in water was prepared by quantitative Sc(III) exchange of a cross-linked inverted hexagonal assembly containing sodium sulfonate groups. The material was found to catalyze Mukaiyama aldol and Mannich reactions with a syn/anti product ratio of ca. 2/1, whereas Sc(III) catalysts in solution and on amorphous polymer supports do not show any significant syn/anti diastereo-selectivity under similar conditions.","author":[{"dropping-particle":"","family":"Gu","given":"W.","non-dropping-particle":"","parse-names":false,"suffix":""},{"dropping-particle":"","family":"Zhou","given":"W. J.","non-dropping-particle":"","parse-names":false,"suffix":""},{"dropping-particle":"","family":"Gin","given":"D. L.","non-dropping-particle":"","parse-names":false,"suffix":""}],"container-title":"Chemistry of Materials","id":"ITEM-2","issue":"6","issued":{"date-parts":[["2001"]]},"page":"1949-1951","title":"A nanostructured, scandium-containing polymer for heterogeneous Lewis acid catalysis in water","type":"article-journal","volume":"13"},"uris":["http://www.mendeley.com/documents/?uuid=e814ccd6-4e46-428f-bf7e-6d8e300b9d2f"]},{"id":"ITEM-3","itemData":{"DOI":"10.1039/c8cc05661g","ISSN":"1364548X","PMID":"30295692","abstract":"An ordered, nanoporous, TEMPO-based polymer resin formed from lyotropic liquid crystal monomers catalyzes the hetereogeneous oxidation of alcohols with high activity and substrate size selectivity under transition-metal-free, aerobic conditions.","author":[{"dropping-particle":"","family":"Dwulet","given":"Gregory E.","non-dropping-particle":"","parse-names":false,"suffix":""},{"dropping-particle":"","family":"Gin","given":"Douglas L.","non-dropping-particle":"","parse-names":false,"suffix":""}],"container-title":"Chemical Communications","id":"ITEM-3","issue":"85","issued":{"date-parts":[["2018"]]},"page":"12053-12056","title":"Ordered nanoporous lyotropic liquid crystal polymer resin for heterogeneous catalytic aerobic oxidation of alcohols","type":"article-journal","volume":"54"},"uris":["http://www.mendeley.com/documents/?uuid=078e1556-69aa-4fdc-b1f6-85992c937663"]}],"mendeley":{"formattedCitation":"&lt;sup&gt;49,79,95&lt;/sup&gt;","plainTextFormattedCitation":"49,79,95","previouslyFormattedCitation":"&lt;sup&gt;49,79,95&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49,79,95</w:t>
      </w:r>
      <w:r w:rsidRPr="006D631C">
        <w:rPr>
          <w:rFonts w:asciiTheme="majorBidi" w:hAnsiTheme="majorBidi" w:cstheme="majorBidi"/>
        </w:rPr>
        <w:fldChar w:fldCharType="end"/>
      </w:r>
      <w:r w:rsidRPr="006D631C">
        <w:rPr>
          <w:rFonts w:asciiTheme="majorBidi" w:hAnsiTheme="majorBidi" w:cstheme="majorBidi"/>
        </w:rPr>
        <w:t xml:space="preserve">  and light emitting materials.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{"citationItems":[{"id":"ITEM-1","itemData":{"DOI":"10.1021/ja963837w","ISSN":"00027863","author":[{"dropping-particle":"","family":"Smith","given":"R. C.","non-dropping-particle":"","parse-names":false,"suffix":""},{"dropping-particle":"","family":"Fischer","given":"W. M.","non-dropping-particle":"","parse-names":false,"suffix":""},{"dropping-particle":"","family":"Gin","given":"D. L.","non-dropping-particle":"","parse-names":false,"suffix":""}],"container-title":"Journal of the American Chemical Society","id":"ITEM-1","issue":"17","issued":{"date-parts":[["1997"]]},"page":"4092-4093","title":"Ordered poly(p-phenylenevinylene) matrix nanocomposites via lyotropic liquid-crystalline monomers","type":"article-journal","volume":"119"},"uris":["http://www.mendeley.com/documents/?uuid=09a9c592-287e-474f-98ab-faed43f1cc64"]},{"id":"ITEM-2","itemData":{"DOI":"10.1021/ja9743654","ISSN":"00027863","abstract":"The effect of transition-metal and lanthanide ions polymerizable lyotropic liquid crystal system is studied by synthesizing the Co(II), Ni(II), Cd(II), Eu(III), and Ce(III) analogues of monomers using ion-exchange. Elemental analysis of the neat salts indicates the presence of coordinated water molecules in all the compounds. This is confirm by the presence of a weak O-H band in the 3300-3500 cm -1 region of their FT-IR spectra.","author":[{"dropping-particle":"","family":"Deng","given":"Hai","non-dropping-particle":"","parse-names":false,"suffix":""},{"dropping-particle":"","family":"Gin","given":"Douglas L.","non-dropping-particle":"","parse-names":false,"suffix":""},{"dropping-particle":"","family":"Smith","given":"Ryan C.","non-dropping-particle":"","parse-names":false,"suffix":""}],"container-title":"Journal of the American Chemical Society","id":"ITEM-2","issue":"14","issued":{"date-parts":[["1998"]]},"page":"3522-3523","title":"Polymerizable lyotropic liquid crystals containing transition-metal and lanthanide ions: architectural control and introduction of new properties into nanostructured polymers","type":"article-journal","volume":"120"},"uris":["http://www.mendeley.com/documents/?uuid=0b3c308f-bafc-4cd1-96f3-59c32038b699"]}],"mendeley":{"formattedCitation":"&lt;sup&gt;50,78&lt;/sup&gt;","plainTextFormattedCitation":"50,78","previouslyFormattedCitation":"&lt;sup&gt;50,78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50,78</w:t>
      </w:r>
      <w:r w:rsidRPr="006D631C">
        <w:rPr>
          <w:rFonts w:asciiTheme="majorBidi" w:hAnsiTheme="majorBidi" w:cstheme="majorBidi"/>
        </w:rPr>
        <w:fldChar w:fldCharType="end"/>
      </w:r>
      <w:r w:rsidRPr="006D631C">
        <w:rPr>
          <w:rFonts w:asciiTheme="majorBidi" w:hAnsiTheme="majorBidi" w:cstheme="majorBidi"/>
        </w:rPr>
        <w:t xml:space="preserve"> As described by Osuji and co-workers, synergistic LLC templating by polymerization of H</w:t>
      </w:r>
      <w:r w:rsidRPr="006D631C">
        <w:rPr>
          <w:rFonts w:asciiTheme="majorBidi" w:hAnsiTheme="majorBidi" w:cstheme="majorBidi"/>
          <w:vertAlign w:val="subscript"/>
        </w:rPr>
        <w:t>1</w:t>
      </w:r>
      <w:r w:rsidRPr="006D631C">
        <w:rPr>
          <w:rFonts w:asciiTheme="majorBidi" w:hAnsiTheme="majorBidi" w:cstheme="majorBidi"/>
        </w:rPr>
        <w:t xml:space="preserve"> structure has outstanding potential as membranes in water purification application because such polyLLC membranes offer low tortuosity without requiring </w:t>
      </w:r>
      <w:r w:rsidRPr="006D631C">
        <w:rPr>
          <w:rFonts w:asciiTheme="majorBidi" w:hAnsiTheme="majorBidi" w:cstheme="majorBidi"/>
        </w:rPr>
        <w:lastRenderedPageBreak/>
        <w:t>any structural alignment. According to their results,</w:t>
      </w:r>
      <w:r w:rsidRPr="006D631C">
        <w:rPr>
          <w:rFonts w:asciiTheme="majorBidi" w:hAnsiTheme="majorBidi" w:cstheme="majorBidi"/>
        </w:rPr>
        <w:fldChar w:fldCharType="begin" w:fldLock="1"/>
      </w:r>
      <w:r w:rsidR="00BE4C06"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rFonts w:asciiTheme="majorBidi" w:hAnsiTheme="majorBidi" w:cstheme="majorBidi"/>
        </w:rPr>
        <w:fldChar w:fldCharType="separate"/>
      </w:r>
      <w:r w:rsidR="00BE4C06" w:rsidRPr="006D631C">
        <w:rPr>
          <w:rFonts w:asciiTheme="majorBidi" w:hAnsiTheme="majorBidi" w:cstheme="majorBidi"/>
          <w:noProof/>
          <w:vertAlign w:val="superscript"/>
        </w:rPr>
        <w:t>31</w:t>
      </w:r>
      <w:r w:rsidRPr="006D631C">
        <w:rPr>
          <w:rFonts w:asciiTheme="majorBidi" w:hAnsiTheme="majorBidi" w:cstheme="majorBidi"/>
        </w:rPr>
        <w:fldChar w:fldCharType="end"/>
      </w:r>
      <w:r w:rsidRPr="006D631C">
        <w:rPr>
          <w:rFonts w:asciiTheme="majorBidi" w:hAnsiTheme="majorBidi" w:cstheme="majorBidi"/>
        </w:rPr>
        <w:t xml:space="preserve"> it is possible to fabricate a membrane with an excellent permeability coupled with proper selectivity and biofouling resistance by polymerizing H</w:t>
      </w:r>
      <w:r w:rsidRPr="006D631C">
        <w:rPr>
          <w:rFonts w:asciiTheme="majorBidi" w:hAnsiTheme="majorBidi" w:cstheme="majorBidi"/>
          <w:vertAlign w:val="subscript"/>
        </w:rPr>
        <w:t>1</w:t>
      </w:r>
      <w:r w:rsidRPr="006D631C">
        <w:rPr>
          <w:rFonts w:asciiTheme="majorBidi" w:hAnsiTheme="majorBidi" w:cstheme="majorBidi"/>
        </w:rPr>
        <w:t xml:space="preserve"> template created from self-assembly of P-A-6 in water. Using one oil- and one water-soluble cross-linker simultaneously in the mesophase formulation is one promising technique for creating an interconnected network among </w:t>
      </w:r>
      <w:proofErr w:type="spellStart"/>
      <w:r w:rsidRPr="006D631C">
        <w:rPr>
          <w:rFonts w:asciiTheme="majorBidi" w:hAnsiTheme="majorBidi" w:cstheme="majorBidi"/>
        </w:rPr>
        <w:t>nanocylinders</w:t>
      </w:r>
      <w:proofErr w:type="spellEnd"/>
      <w:r w:rsidRPr="006D631C">
        <w:rPr>
          <w:rFonts w:asciiTheme="majorBidi" w:hAnsiTheme="majorBidi" w:cstheme="majorBidi"/>
        </w:rPr>
        <w:t xml:space="preserve"> and therefore fabricating a mechanically robust membrane. </w:t>
      </w:r>
    </w:p>
    <w:p w14:paraId="3826D474" w14:textId="64FAD877" w:rsidR="001376FF" w:rsidRPr="006D631C" w:rsidRDefault="00B91F99" w:rsidP="00B91F99">
      <w:r w:rsidRPr="006D631C">
        <w:rPr>
          <w:rFonts w:asciiTheme="majorBidi" w:hAnsiTheme="majorBidi" w:cstheme="majorBidi"/>
        </w:rPr>
        <w:t>Gin and co-workers have focused on the preparation of molecular separation membranes (e.g., for water purification and gas separation) based on synergistic LLC templating with H</w:t>
      </w:r>
      <w:r w:rsidRPr="006D631C">
        <w:rPr>
          <w:rFonts w:asciiTheme="majorBidi" w:hAnsiTheme="majorBidi" w:cstheme="majorBidi"/>
          <w:vertAlign w:val="subscript"/>
        </w:rPr>
        <w:t>2</w:t>
      </w:r>
      <w:r w:rsidRPr="006D631C">
        <w:rPr>
          <w:rFonts w:asciiTheme="majorBidi" w:hAnsiTheme="majorBidi" w:cstheme="majorBidi"/>
        </w:rPr>
        <w:t xml:space="preserve"> structure.</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{"citationItems":[{"id":"ITEM-1","itemData":{"DOI":"10.1021/cm040342u","ISSN":"08974756","abstract":"A lyotropic liquid crystal (LLC) monomer was successfully blended and cross-linked with commercial butyl rubber (BR) to afford ordered, nanoporous polymer composites. These materials retain much of the excellent chemical resistance of BR but also provide a measure of water vapor permeability, which is lacking in pure BR materials but essential for protective garment applications.","author":[{"dropping-particle":"","family":"Jin","given":"Jizhu","non-dropping-particle":"","parse-names":false,"suffix":""},{"dropping-particle":"","family":"Nguyen","given":"Vinh","non-dropping-particle":"","parse-names":false,"suffix":""},{"dropping-particle":"","family":"Gu","given":"Weiqiang","non-dropping-particle":"","parse-names":false,"suffix":""},{"dropping-particle":"","family":"Lu","given":"Xiaoyun","non-dropping-particle":"","parse-names":false,"suffix":""},{"dropping-particle":"","family":"Elliott","given":"Brian J.","non-dropping-particle":"","parse-names":false,"suffix":""},{"dropping-particle":"","family":"Gin","given":"Douglas L.","non-dropping-particle":"","parse-names":false,"suffix":""}],"container-title":"Chemistry of Materials","id":"ITEM-1","issue":"2","issued":{"date-parts":[["2005"]]},"page":"224-226","title":"Cross-linked lyotropic liquid crystal-butyl rubber composites: Promising \"breathable\" barrier materials for chemical protection applications","type":"article-journal","volume":"17"},"uris":["http://www.mendeley.com/documents/?uuid=3bf1dae8-032c-42ef-b5bc-d44216d9d282"]},{"id":"ITEM-2","itemData":{"DOI":"10.1002/adma.200500444","ISSN":"09359648","author":[{"dropping-particle":"","family":"Zhou","given":"Meijuan","non-dropping-particle":"","parse-names":false,"suffix":""},{"dropping-particle":"","family":"Kidd","given":"Timothy J.","non-dropping-particle":"","parse-names":false,"suffix":""},{"dropping-particle":"","family":"Noble","given":"Richard D.","non-dropping-particle":"","parse-names":false,"suffix":""},{"dropping-particle":"","family":"Gin","given":"Douglas L.","non-dropping-particle":"","parse-names":false,"suffix":""}],"container-title":"Advanced Materials","id":"ITEM-2","issue":"15","issued":{"date-parts":[["2005"]]},"page":"1850-1853","title":"Supported lyotropic liquid-crystal polymer membranes: Promising materials for molecular-size-selective aqueous nanofiltration","type":"article-journal","volume":"17"},"uris":["http://www.mendeley.com/documents/?uuid=4cf52e9a-3ab4-4b73-be33-440fbf61c3fa"]},{"id":"ITEM-3","itemData":{"DOI":"10.1016/j.memsci.2006.09.023","ISSN":"03767388","abstract":"Novel, nanostructured lyotropic liquid crystal polymer membranes were fabricated, characterized and tested for their performance in separations involving CO2, N2, O2, CH4 and H2. Freestanding, cross-linked films with and without an ordered hexagonal nanostructure, but with the same chemical composition, exhibit different gas solubility, diffusion and permeability properties. The presence of an ordered nanostructure was observed to slow diffusion of all gases, but increase solubility and permselectivity in CO2-based separations. In systems with an ordered nanostructure, CO2 permeability was 5.2 Barrers and CO2/N2 separation selectivity was 27. For membranes with the same chemical composition, but lacking an ordered hexagonal nanostructure, permeability rose slightly to 6.9 Barrers, but CO2/N2 separation selectivity dropped to 21. A similar trend was also observed for CO2/CH4 separation. In separations with gases other than CO2, no permselectivity differences were observed between the two membranes. A model explaining these trends is also presented. © 2006 Elsevier B.V. All rights reserved.","author":[{"dropping-particle":"","family":"Bara","given":"Jason E.","non-dropping-particle":"","parse-names":false,"suffix":""},{"dropping-particle":"","family":"Kaminski","given":"Alice K.","non-dropping-particle":"","parse-names":false,"suffix":""},{"dropping-particle":"","family":"Noble","given":"Richard D.","non-dropping-particle":"","parse-names":false,"suffix":""},{"dropping-particle":"","family":"Gin","given":"Douglas L.","non-dropping-particle":"","parse-names":false,"suffix":""}],"container-title":"Journal of Membrane Science","id":"ITEM-3","issue":"1-2","issued":{"date-parts":[["2007"]]},"page":"13-19","title":"Influence of nanostructure on light gas separations in cross-linked lyotropic liquid crystal membranes","type":"article-journal","volume":"288"},"uris":["http://www.mendeley.com/documents/?uuid=b2e9b6f2-e9fb-47ad-8622-56cd70886b30"]}],"mendeley":{"formattedCitation":"&lt;sup&gt;92–94&lt;/sup&gt;","plainTextFormattedCitation":"92–94","previouslyFormattedCitation":"&lt;sup&gt;92–94&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92–94</w:t>
      </w:r>
      <w:r w:rsidRPr="006D631C">
        <w:rPr>
          <w:rFonts w:asciiTheme="majorBidi" w:hAnsiTheme="majorBidi" w:cstheme="majorBidi"/>
        </w:rPr>
        <w:fldChar w:fldCharType="end"/>
      </w:r>
      <w:r w:rsidRPr="006D631C">
        <w:rPr>
          <w:rFonts w:asciiTheme="majorBidi" w:hAnsiTheme="majorBidi" w:cstheme="majorBidi"/>
        </w:rPr>
        <w:t xml:space="preserve"> </w:t>
      </w:r>
      <w:proofErr w:type="gramStart"/>
      <w:r w:rsidRPr="006D631C">
        <w:rPr>
          <w:rFonts w:asciiTheme="majorBidi" w:hAnsiTheme="majorBidi" w:cstheme="majorBidi"/>
        </w:rPr>
        <w:t>Although</w:t>
      </w:r>
      <w:proofErr w:type="gramEnd"/>
      <w:r w:rsidRPr="006D631C">
        <w:rPr>
          <w:rFonts w:asciiTheme="majorBidi" w:hAnsiTheme="majorBidi" w:cstheme="majorBidi"/>
        </w:rPr>
        <w:t xml:space="preserve"> they have obtained promising results demonstrating the higher efficiency of the polyLLC specimens over non-LLC ones, there are still some modifications required (e.g., alignment of the </w:t>
      </w:r>
      <w:proofErr w:type="spellStart"/>
      <w:r w:rsidRPr="006D631C">
        <w:rPr>
          <w:rFonts w:asciiTheme="majorBidi" w:hAnsiTheme="majorBidi" w:cstheme="majorBidi"/>
        </w:rPr>
        <w:t>nanochannels</w:t>
      </w:r>
      <w:proofErr w:type="spellEnd"/>
      <w:r w:rsidRPr="006D631C">
        <w:rPr>
          <w:rFonts w:asciiTheme="majorBidi" w:hAnsiTheme="majorBidi" w:cstheme="majorBidi"/>
        </w:rPr>
        <w:t xml:space="preserve">) due to the performance mismatch between permeability and selectivity metrics. In addition to the membrane applications,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from synergistic H</w:t>
      </w:r>
      <w:r w:rsidRPr="006D631C">
        <w:rPr>
          <w:rFonts w:asciiTheme="majorBidi" w:hAnsiTheme="majorBidi" w:cstheme="majorBidi"/>
          <w:vertAlign w:val="subscript"/>
        </w:rPr>
        <w:t>2</w:t>
      </w:r>
      <w:r w:rsidRPr="006D631C">
        <w:rPr>
          <w:rFonts w:asciiTheme="majorBidi" w:hAnsiTheme="majorBidi" w:cstheme="majorBidi"/>
        </w:rPr>
        <w:t xml:space="preserve"> templating have been used as  catalyst support in reactions, such as alcohol oxidation</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{"citationItems":[{"id":"ITEM-1","itemData":{"DOI":"10.1039/c8cc05661g","ISSN":"1364548X","PMID":"30295692","abstract":"An ordered, nanoporous, TEMPO-based polymer resin formed from lyotropic liquid crystal monomers catalyzes the hetereogeneous oxidation of alcohols with high activity and substrate size selectivity under transition-metal-free, aerobic conditions.","author":[{"dropping-particle":"","family":"Dwulet","given":"Gregory E.","non-dropping-particle":"","parse-names":false,"suffix":""},{"dropping-particle":"","family":"Gin","given":"Douglas L.","non-dropping-particle":"","parse-names":false,"suffix":""}],"container-title":"Chemical Communications","id":"ITEM-1","issue":"85","issued":{"date-parts":[["2018"]]},"page":"12053-12056","title":"Ordered nanoporous lyotropic liquid crystal polymer resin for heterogeneous catalytic aerobic oxidation of alcohols","type":"article-journal","volume":"54"},"uris":["http://www.mendeley.com/documents/?uuid=078e1556-69aa-4fdc-b1f6-85992c937663"]}],"mendeley":{"formattedCitation":"&lt;sup&gt;79&lt;/sup&gt;","plainTextFormattedCitation":"79","previouslyFormattedCitation":"&lt;sup&gt;79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79</w:t>
      </w:r>
      <w:r w:rsidRPr="006D631C">
        <w:rPr>
          <w:rFonts w:asciiTheme="majorBidi" w:hAnsiTheme="majorBidi" w:cstheme="majorBidi"/>
        </w:rPr>
        <w:fldChar w:fldCharType="end"/>
      </w:r>
      <w:r w:rsidRPr="006D631C">
        <w:rPr>
          <w:rFonts w:asciiTheme="majorBidi" w:hAnsiTheme="majorBidi" w:cstheme="majorBidi"/>
        </w:rPr>
        <w:t xml:space="preserve"> and esterification.</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038501i","ISSN":"00027863","author":[{"dropping-particle":"","family":"Xu","given":"Yanjie","non-dropping-particle":"","parse-names":false,"suffix":""},{"dropping-particle":"","family":"Gu","given":"Weiqiang","non-dropping-particle":"","parse-names":false,"suffix":""},{"dropping-particle":"","family":"Gin","given":"Douglas L.","non-dropping-particle":"","parse-names":false,"suffix":""}],"container-title":"Journal of the American Chemical Society","id":"ITEM-1","issue":"6","issued":{"date-parts":[["2004"]]},"page":"1616-1617","title":"Heterogeneous Catalysis Using a Nanostructured Solid Acid Resin Based on Lyotropic Liquid Crystals","type":"article-journal","volume":"126"},"uris":["http://www.mendeley.com/documents/?uuid=7b50099a-36a3-49f2-8fc1-6fd89bda31f3"]}],"mendeley":{"formattedCitation":"&lt;sup&gt;95&lt;/sup&gt;","plainTextFormattedCitation":"95","previouslyFormattedCitation":"&lt;sup&gt;95&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95</w:t>
      </w:r>
      <w:r w:rsidRPr="006D631C">
        <w:rPr>
          <w:rFonts w:asciiTheme="majorBidi" w:hAnsiTheme="majorBidi" w:cstheme="majorBidi"/>
        </w:rPr>
        <w:fldChar w:fldCharType="end"/>
      </w:r>
      <w:r w:rsidRPr="006D631C">
        <w:rPr>
          <w:rFonts w:asciiTheme="majorBidi" w:hAnsiTheme="majorBidi" w:cstheme="majorBidi"/>
        </w:rPr>
        <w:t xml:space="preserve"> The reported results show that polyLLC-based catalysts exhibit an improved selectivity and activity comparable to the industrially used catalysts.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038501i","ISSN":"00027863","author":[{"dropping-particle":"","family":"Xu","given":"Yanjie","non-dropping-particle":"","parse-names":false,"suffix":""},{"dropping-particle":"","family":"Gu","given":"Weiqiang","non-dropping-particle":"","parse-names":false,"suffix":""},{"dropping-particle":"","family":"Gin","given":"Douglas L.","non-dropping-particle":"","parse-names":false,"suffix":""}],"container-title":"Journal of the American Chemical Society","id":"ITEM-1","issue":"6","issued":{"date-parts":[["2004"]]},"page":"1616-1617","title":"Heterogeneous Catalysis Using a Nanostructured Solid Acid Resin Based on Lyotropic Liquid Crystals","type":"article-journal","volume":"126"},"uris":["http://www.mendeley.com/documents/?uuid=7b50099a-36a3-49f2-8fc1-6fd89bda31f3"]},{"id":"ITEM-2","itemData":{"DOI":"10.1021/cm0101531","ISSN":"08974756","abstract":"A nanostructured, polymer-supported Sc(III) catalyst for heterogeneous Lewis acid catalysis in water was prepared by quantitative Sc(III) exchange of a cross-linked inverted hexagonal assembly containing sodium sulfonate groups. The material was found to catalyze Mukaiyama aldol and Mannich reactions with a syn/anti product ratio of ca. 2/1, whereas Sc(III) catalysts in solution and on amorphous polymer supports do not show any significant syn/anti diastereo-selectivity under similar conditions.","author":[{"dropping-particle":"","family":"Gu","given":"W.","non-dropping-particle":"","parse-names":false,"suffix":""},{"dropping-particle":"","family":"Zhou","given":"W. J.","non-dropping-particle":"","parse-names":false,"suffix":""},{"dropping-particle":"","family":"Gin","given":"D. L.","non-dropping-particle":"","parse-names":false,"suffix":""}],"container-title":"Chemistry of Materials","id":"ITEM-2","issue":"6","issued":{"date-parts":[["2001"]]},"page":"1949-1951","title":"A nanostructured, scandium-containing polymer for heterogeneous Lewis acid catalysis in water","type":"article-journal","volume":"13"},"uris":["http://www.mendeley.com/documents/?uuid=e814ccd6-4e46-428f-bf7e-6d8e300b9d2f"]},{"id":"ITEM-3","itemData":{"DOI":"10.1039/c8cc05661g","ISSN":"1364548X","PMID":"30295692","abstract":"An ordered, nanoporous, TEMPO-based polymer resin formed from lyotropic liquid crystal monomers catalyzes the hetereogeneous oxidation of alcohols with high activity and substrate size selectivity under transition-metal-free, aerobic conditions.","author":[{"dropping-particle":"","family":"Dwulet","given":"Gregory E.","non-dropping-particle":"","parse-names":false,"suffix":""},{"dropping-particle":"","family":"Gin","given":"Douglas L.","non-dropping-particle":"","parse-names":false,"suffix":""}],"container-title":"Chemical Communications","id":"ITEM-3","issue":"85","issued":{"date-parts":[["2018"]]},"page":"12053-12056","title":"Ordered nanoporous lyotropic liquid crystal polymer resin for heterogeneous catalytic aerobic oxidation of alcohols","type":"article-journal","volume":"54"},"uris":["http://www.mendeley.com/documents/?uuid=078e1556-69aa-4fdc-b1f6-85992c937663"]}],"mendeley":{"formattedCitation":"&lt;sup&gt;49,79,95&lt;/sup&gt;","plainTextFormattedCitation":"49,79,95","previouslyFormattedCitation":"&lt;sup&gt;49,79,95&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49,79,95</w:t>
      </w:r>
      <w:r w:rsidRPr="006D631C">
        <w:rPr>
          <w:rFonts w:asciiTheme="majorBidi" w:hAnsiTheme="majorBidi" w:cstheme="majorBidi"/>
        </w:rPr>
        <w:fldChar w:fldCharType="end"/>
      </w:r>
      <w:r w:rsidRPr="006D631C">
        <w:rPr>
          <w:rFonts w:asciiTheme="majorBidi" w:hAnsiTheme="majorBidi" w:cstheme="majorBidi"/>
        </w:rPr>
        <w:t xml:space="preserve"> In another application, a H</w:t>
      </w:r>
      <w:r w:rsidRPr="006D631C">
        <w:rPr>
          <w:rFonts w:asciiTheme="majorBidi" w:hAnsiTheme="majorBidi" w:cstheme="majorBidi"/>
          <w:vertAlign w:val="subscript"/>
        </w:rPr>
        <w:t>2</w:t>
      </w:r>
      <w:r w:rsidRPr="006D631C">
        <w:rPr>
          <w:rFonts w:asciiTheme="majorBidi" w:hAnsiTheme="majorBidi" w:cstheme="majorBidi"/>
        </w:rPr>
        <w:t xml:space="preserve"> template has been used to fabricate a nanocomposite containing poly(</w:t>
      </w:r>
      <w:r w:rsidRPr="006D631C">
        <w:rPr>
          <w:rFonts w:asciiTheme="majorBidi" w:hAnsiTheme="majorBidi" w:cstheme="majorBidi"/>
          <w:i/>
          <w:iCs/>
        </w:rPr>
        <w:t>p</w:t>
      </w:r>
      <w:r w:rsidRPr="006D631C">
        <w:rPr>
          <w:rFonts w:asciiTheme="majorBidi" w:hAnsiTheme="majorBidi" w:cstheme="majorBidi"/>
        </w:rPr>
        <w:t>-</w:t>
      </w:r>
      <w:proofErr w:type="spellStart"/>
      <w:r w:rsidRPr="006D631C">
        <w:rPr>
          <w:rFonts w:asciiTheme="majorBidi" w:hAnsiTheme="majorBidi" w:cstheme="majorBidi"/>
        </w:rPr>
        <w:t>phenylenevinylene</w:t>
      </w:r>
      <w:proofErr w:type="spellEnd"/>
      <w:r w:rsidRPr="006D631C">
        <w:rPr>
          <w:rFonts w:asciiTheme="majorBidi" w:hAnsiTheme="majorBidi" w:cstheme="majorBidi"/>
        </w:rPr>
        <w:t xml:space="preserve">) (PPV) inside the </w:t>
      </w:r>
      <w:proofErr w:type="spellStart"/>
      <w:r w:rsidRPr="006D631C">
        <w:rPr>
          <w:rFonts w:asciiTheme="majorBidi" w:hAnsiTheme="majorBidi" w:cstheme="majorBidi"/>
        </w:rPr>
        <w:t>nanochannels</w:t>
      </w:r>
      <w:proofErr w:type="spellEnd"/>
      <w:r w:rsidRPr="006D631C">
        <w:rPr>
          <w:rFonts w:asciiTheme="majorBidi" w:hAnsiTheme="majorBidi" w:cstheme="majorBidi"/>
        </w:rPr>
        <w:t>, resulting in a durable material with higher light emission capabilities compared to pure PPV.</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{"citationItems":[{"id":"ITEM-1","itemData":{"DOI":"10.1021/ja963837w","ISSN":"00027863","author":[{"dropping-particle":"","family":"Smith","given":"R. C.","non-dropping-particle":"","parse-names":false,"suffix":""},{"dropping-particle":"","family":"Fischer","given":"W. M.","non-dropping-particle":"","parse-names":false,"suffix":""},{"dropping-particle":"","family":"Gin","given":"D. L.","non-dropping-particle":"","parse-names":false,"suffix":""}],"container-title":"Journal of the American Chemical Society","id":"ITEM-1","issue":"17","issued":{"date-parts":[["1997"]]},"page":"4092-4093","title":"Ordered poly(p-phenylenevinylene) matrix nanocomposites via lyotropic liquid-crystalline monomers","type":"article-journal","volume":"119"},"uris":["http://www.mendeley.com/documents/?uuid=09a9c592-287e-474f-98ab-faed43f1cc64"]},{"id":"ITEM-2","itemData":{"DOI":"10.1021/ja9743654","ISSN":"00027863","abstract":"The effect of transition-metal and lanthanide ions polymerizable lyotropic liquid crystal system is studied by synthesizing the Co(II), Ni(II), Cd(II), Eu(III), and Ce(III) analogues of monomers using ion-exchange. Elemental analysis of the neat salts indicates the presence of coordinated water molecules in all the compounds. This is confirm by the presence of a weak O-H band in the 3300-3500 cm -1 region of their FT-IR spectra.","author":[{"dropping-particle":"","family":"Deng","given":"Hai","non-dropping-particle":"","parse-names":false,"suffix":""},{"dropping-particle":"","family":"Gin","given":"Douglas L.","non-dropping-particle":"","parse-names":false,"suffix":""},{"dropping-particle":"","family":"Smith","given":"Ryan C.","non-dropping-particle":"","parse-names":false,"suffix":""}],"container-title":"Journal of the American Chemical Society","id":"ITEM-2","issue":"14","issued":{"date-parts":[["1998"]]},"page":"3522-3523","title":"Polymerizable lyotropic liquid crystals containing transition-metal and lanthanide ions: architectural control and introduction of new properties into nanostructured polymers","type":"article-journal","volume":"120"},"uris":["http://www.mendeley.com/documents/?uuid=0b3c308f-bafc-4cd1-96f3-59c32038b699"]}],"mendeley":{"formattedCitation":"&lt;sup&gt;50,78&lt;/sup&gt;","plainTextFormattedCitation":"50,78","previouslyFormattedCitation":"&lt;sup&gt;50,78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50,78</w:t>
      </w:r>
      <w:r w:rsidRPr="006D631C">
        <w:rPr>
          <w:rFonts w:asciiTheme="majorBidi" w:hAnsiTheme="majorBidi" w:cstheme="majorBidi"/>
        </w:rPr>
        <w:fldChar w:fldCharType="end"/>
      </w:r>
    </w:p>
    <w:p w14:paraId="137448B3" w14:textId="3FE3D00F" w:rsidR="00732A45" w:rsidRPr="006D631C" w:rsidRDefault="00732A45" w:rsidP="00CB7643">
      <w:pPr>
        <w:pStyle w:val="Heading3"/>
      </w:pPr>
      <w:bookmarkStart w:id="62" w:name="_Toc131082868"/>
      <w:bookmarkStart w:id="63" w:name="_Toc148175786"/>
      <w:r w:rsidRPr="006D631C">
        <w:t>1.3</w:t>
      </w:r>
      <w:r w:rsidR="00406219" w:rsidRPr="006D631C">
        <w:t>.2</w:t>
      </w:r>
      <w:r w:rsidRPr="006D631C">
        <w:t xml:space="preserve"> Lamellar (L</w:t>
      </w:r>
      <w:r w:rsidRPr="006D631C">
        <w:rPr>
          <w:vertAlign w:val="subscript"/>
        </w:rPr>
        <w:t>α</w:t>
      </w:r>
      <w:r w:rsidRPr="006D631C">
        <w:t>)</w:t>
      </w:r>
      <w:bookmarkEnd w:id="62"/>
      <w:bookmarkEnd w:id="63"/>
      <w:r w:rsidRPr="006D631C">
        <w:t xml:space="preserve"> </w:t>
      </w:r>
    </w:p>
    <w:p w14:paraId="0FEC0653" w14:textId="64D0CF2B" w:rsidR="00D451E5" w:rsidRPr="006D631C" w:rsidRDefault="00D451E5"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As summarized in Table 1-2, several studies have used L</w:t>
      </w:r>
      <w:r w:rsidRPr="006D631C">
        <w:rPr>
          <w:rFonts w:asciiTheme="majorBidi" w:hAnsiTheme="majorBidi" w:cstheme="majorBidi"/>
          <w:vertAlign w:val="subscript"/>
        </w:rPr>
        <w:t>α</w:t>
      </w:r>
      <w:r w:rsidRPr="006D631C" w:rsidDel="00F54142">
        <w:rPr>
          <w:rFonts w:asciiTheme="majorBidi" w:hAnsiTheme="majorBidi" w:cstheme="majorBidi"/>
        </w:rPr>
        <w:t xml:space="preserve"> </w:t>
      </w:r>
      <w:r w:rsidRPr="006D631C">
        <w:rPr>
          <w:rFonts w:asciiTheme="majorBidi" w:hAnsiTheme="majorBidi" w:cstheme="majorBidi"/>
        </w:rPr>
        <w:t xml:space="preserve">structures in synergistic templating. Depending on the </w:t>
      </w:r>
      <w:proofErr w:type="spellStart"/>
      <w:r w:rsidRPr="006D631C">
        <w:rPr>
          <w:rFonts w:asciiTheme="majorBidi" w:hAnsiTheme="majorBidi" w:cstheme="majorBidi"/>
        </w:rPr>
        <w:t>amphiphile</w:t>
      </w:r>
      <w:proofErr w:type="spellEnd"/>
      <w:r w:rsidRPr="006D631C">
        <w:rPr>
          <w:rFonts w:asciiTheme="majorBidi" w:hAnsiTheme="majorBidi" w:cstheme="majorBidi"/>
        </w:rPr>
        <w:t>(s) and LLC formulation, latti</w:t>
      </w:r>
      <w:r w:rsidR="00136A56" w:rsidRPr="006D631C">
        <w:rPr>
          <w:rFonts w:asciiTheme="majorBidi" w:hAnsiTheme="majorBidi" w:cstheme="majorBidi"/>
        </w:rPr>
        <w:t>ce parameters in the range of ~</w:t>
      </w:r>
      <w:r w:rsidRPr="006D631C">
        <w:rPr>
          <w:rFonts w:asciiTheme="majorBidi" w:hAnsiTheme="majorBidi" w:cstheme="majorBidi"/>
        </w:rPr>
        <w:t>3 to ~12 nm have been obtained. In addition, in most of the cases, L</w:t>
      </w:r>
      <w:r w:rsidRPr="006D631C">
        <w:rPr>
          <w:rFonts w:asciiTheme="majorBidi" w:hAnsiTheme="majorBidi" w:cstheme="majorBidi"/>
          <w:vertAlign w:val="subscript"/>
        </w:rPr>
        <w:t>α</w:t>
      </w:r>
      <w:r w:rsidRPr="006D631C">
        <w:rPr>
          <w:rFonts w:asciiTheme="majorBidi" w:hAnsiTheme="majorBidi" w:cstheme="majorBidi"/>
        </w:rPr>
        <w:t xml:space="preserve"> is obtained at relatively hig</w:t>
      </w:r>
      <w:r w:rsidR="00136A56" w:rsidRPr="006D631C">
        <w:rPr>
          <w:rFonts w:asciiTheme="majorBidi" w:hAnsiTheme="majorBidi" w:cstheme="majorBidi"/>
        </w:rPr>
        <w:t>h surfactant concentrations (~ &gt;</w:t>
      </w:r>
      <w:r w:rsidRPr="006D631C">
        <w:rPr>
          <w:rFonts w:asciiTheme="majorBidi" w:hAnsiTheme="majorBidi" w:cstheme="majorBidi"/>
        </w:rPr>
        <w:t xml:space="preserve">70 </w:t>
      </w:r>
      <w:proofErr w:type="spellStart"/>
      <w:r w:rsidRPr="006D631C">
        <w:rPr>
          <w:rFonts w:asciiTheme="majorBidi" w:hAnsiTheme="majorBidi" w:cstheme="majorBidi"/>
        </w:rPr>
        <w:t>wt</w:t>
      </w:r>
      <w:proofErr w:type="spellEnd"/>
      <w:r w:rsidRPr="006D631C">
        <w:rPr>
          <w:rFonts w:asciiTheme="majorBidi" w:hAnsiTheme="majorBidi" w:cstheme="majorBidi"/>
        </w:rPr>
        <w:t>%).</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{"citationItems":[{"id":"ITEM-1","itemData":{"DOI":"10.1007/BF00654052","ISSN":"0303402X","abstract":"The binary phase behaviour of two potentially polymerisable quaternary ammonium surfactants in water has been investigated. Allyldodecyldimethylammonium bromide (ADAB) a single-chain surfactant displays a conventional phase progression upon increasing concentration. Whereas the double-chain analogue allyldidodecylmethylammonium bromide (ADDAB) forms two lamellar liquid crystalline phases built from surfactant bilayers, which transform via a first order phase transition. The formation of two distinct lamellar phases and their coexistence has been evidenced by optical microscopy, small-angle x-ray scattering and D2O deuterium quadrupolar nuclear magnetic resonance spectroscopy. The lamellar phase formed at higher surfactant compositions is a normal lamellar phase (type Lα), consisting of bilayers which are on average parallel and flat. The lower compositional lamellar phase (type Lχ) in contrast may not be comprised of planar bilayers but rather aggregates having a high degree of curvature in comparison to those of the Lα phase. The presence of the allyl polymerisable moiety in the head group position of these surfactants has the effect of reducing the rigidity of the surfactant and increasing its solubility in comparison to non-polymerisable analogues. Polymerisation of the surfactants was attempted by using thermal and photochemical initiation in isotropic and self-assembled systems. Polymerisation occurred to approximately 30% for ADAB but did not occur for ADDAB. Where polymerisation did occur the polymer was incorporated into the monomer matrix by interweaving between the surfactant aggregates. The polymers had a molecular weight not greater than 8000 Daltons, independent of the monomer concentration of the original solution and type of polymerisation.","author":[{"dropping-particle":"","family":"McGrath","given":"K. M.","non-dropping-particle":"","parse-names":false,"suffix":""},{"dropping-particle":"","family":"Drummond","given":"C. J.","non-dropping-particle":"","parse-names":false,"suffix":""}],"container-title":"Colloid and Polymer Science","id":"ITEM-1","issue":"4","issued":{"date-parts":[["1996"]]},"page":"316-333","title":"Polymerisation of liquid crystalline phases in binary surfactant/water systems: Part 1. Allyldodecyldimethylammonium bromide and allyldidodecylmethylammonium bromide","type":"article-journal","volume":"274"},"uris":["http://www.mendeley.com/documents/?uuid=ed4e82e4-cdff-4e40-b053-9c3883e498e6"]},{"id":"ITEM-2","itemData":{"DOI":"10.1021/ma901318f","ISSN":"00249297","abstract":"The synthesis of polymers with inherent nanostructure has recently received much attention because of the wide range of potential application in which these materials could be used. To understand thefactors that affect the nanoscopic order preservation upon polymerization, this work examines the influenceof reactive group position in polymerizable surfactants that form reactive lyotropic liquid crystals (LLCs) onpolymerization kinetics and order before and after polymerization. Less ordered LLCphases are formed withreactive surfactants bearing reactive groups in the nonpolar tail compared to reactive surfactants withreactive groups near the polar head. The polymerization kinetics are influenced by both the LLC order andthe position of the reactive group. Higher polymerization rates are observed for reactive surfactants with thereactive group near the polar head with increasing surfactant concentration and LLC order. On the other hand, lower polymerization rates are observed for the reactive surfactant with the reactive group in thealiphatic tail at higher surfactant concentrations and LLC order. This behavior is mainly due to segregation of the reactive groups in different regions of the LLC phases as indicated by an apparent increase in both the prates, greater LLC order preservation is observed after polymerization. Also, by using higher light intensities, the resulting polymer exhibits higher degrees of LLC order retention than that observed when polymerization is initiated with lower light intensities and corresponding lower polymerization rate. © 2009 American Chemical Society.","author":[{"dropping-particle":"","family":"Sievens-Figueroa","given":"Lucas","non-dropping-particle":"","parse-names":false,"suffix":""},{"dropping-particle":"","family":"Guymon","given":"C. Allan","non-dropping-particle":"","parse-names":false,"suffix":""}],"container-title":"Macromolecules","id":"ITEM-2","issue":"23","issued":{"date-parts":[["2009"]]},"page":"9243-9250","title":"Polymerization kinetics and nanostructure evolution of reactive lyotropic liquid crystals with different reactive group position","type":"article-journal","volume":"42"},"uris":["http://www.mendeley.com/documents/?uuid=e6dcbf22-504d-4d17-bd09-02e76fa55c8b"]},{"id":"ITEM-3","itemData":{"DOI":"10.1016/S0032-3861(02)00188-X","ISSN":"00323861","abstract":"The synthesis of polymers bearing the highly ordered nanostructure of lyotropic liquid crystal (LLC) phases has recently been of great interest. This work describes the polymerization behavior and structural evolution of a cationic amphiphile in various LLC phases. The type and degree of LLC phases formed from this monomer depend strongly on the composition and temperature. By adding a nonpolymerizable surfactant a variety of LLC phases are formed including hexagonal, bicontinuous cubic, and lamellar morphologies while maintaining a constant monomer concentration. The highly ordered lamellar LLC phase exhibits the fastest polymerization rate with the slowest occurring in the hexagonal phase. The polymerization rates of the bicontinuous morphology were intermediate to the lamellar and hexagonal phases. The faster polymerization kinetics is due to diffusional limitations imposed on the propagating polymer by the highly ordered lamellar LLC phase. Also, the order of this LLC system has a strong dependence on temperature. At higher temperatures, the degree of LLC order and correspondingly the polymerization rate decrease. The original LLC phase morphology appears to be retained to the greatest extent in the faster polymerizing lamellar phase. The original nanostructure is also retained in the hexagonal and cubic LLC phases but with some slight changes in structure. This LLC structure is preserved at temperatures well exceeding the thermal phase transitions of the unpolymerized LLC samples. © 2002 Elsevier Science Ltd. All rights reserved.","author":[{"dropping-particle":"","family":"Lester","given":"Christopher L.","non-dropping-particle":"","parse-names":false,"suffix":""},{"dropping-particle":"","family":"Guymon","given":"C. Allan","non-dropping-particle":"","parse-names":false,"suffix":""}],"container-title":"Polymer","id":"ITEM-3","issue":"13","issued":{"date-parts":[["2002"]]},"page":"3707-3715","title":"Ordering effects on the photopolymerization of a lyotropic liquid crystal","type":"article-journal","volume":"43"},"uris":["http://www.mendeley.com/documents/?uuid=bfccc03e-b091-49b5-8ab2-f734ea0b8c75"]},{"id":"ITEM-4","itemData":{"DOI":"10.1016/j.polymer.2008.02.047","ISSN":"00323861","abstract":"Polymerizable lyotropic liquid crystals (LLCs) have the potential advantage of producing materials with anisotropic morphologies and nanometer size dimensions with potential in applications, such as drug delivery, catalysis, and tissue engineering. With the goal of more clearly understanding the factors involved in LLC phase retention after polymerization, this work describes the effect of aliphatic tail length in the amphiphilic molecule on order, polymerization kinetics, and structural evolution of reactive LLC systems. The polymerization kinetics are influenced by the LLC phase morphology with increases in the polymerization rate as the LLC phase increases in order. Enhanced polymerization rates are a result of an apparent increase in the termination and propagation rate parameters, induced by a local increase in monomer concentration due to segregation effects in the LLC phases. Polymerization in hexagonal phases formed from reactive amphiphiles with longer aliphatic tails exhibit lower polymerization rates when compared to systems with shorter aliphatic tails, suggesting that the order of the hexagonal phase decreases as the aliphatic tail increases. Two peaks are observed in the polymerization rate profiles when polymerizing in the hexagonal and cubic phases, with the second peak becoming more pronounced as the aliphatic tail length increases and the order of the LLC phase decreases. This effect appears to be due to changes in morphology during the polymerization process as the hexagonal phase morphology changes significantly during the polymer formation. Different behavior is observed for polymerizations in the lamellar phase for which the LLC phase is retained after polymerization. © 2008 Elsevier Ltd. All rights reserved.","author":[{"dropping-particle":"","family":"Sievens-Figueroa","given":"Lucas","non-dropping-particle":"","parse-names":false,"suffix":""},{"dropping-particle":"","family":"Allan Guymon","given":"C.","non-dropping-particle":"","parse-names":false,"suffix":""}],"container-title":"Polymer","id":"ITEM-4","issue":"9","issued":{"date-parts":[["2008"]]},"page":"2260-2267","title":"Aliphatic chain length effects on photopolymerization kinetics and structural evolution of polymerizable lyotropic liquid crystals","type":"article-journal","volume":"49"},"uris":["http://www.mendeley.com/documents/?uuid=cd771cc5-ac8d-47fc-855f-a5387035dea7"]},{"id":"ITEM-5","itemData":{"DOI":"10.1002/pola.27783","ISSN":"10990518","abstract":"Polymerization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Chemistry","id":"ITEM-5","issue":"1","issued":{"date-parts":[["2016","1","1"]]},"page":"144-154","title":"Radical polymerization behavior and molecular weight development of homologous monoacrylate monomers in lyotropic liquid crystal phases","type":"article-journal","volume":"54"},"uris":["http://www.mendeley.com/documents/?uuid=4f7b9c95-7916-4292-a0f1-82a611583a7f"]},{"id":"ITEM-6","itemData":{"DOI":"10.1002/adma.19970090912","ISSN":"09359648","author":[{"dropping-particle":"","family":"Gray","given":"David H.","non-dropping-particle":"","parse-names":false,"suffix":""},{"dropping-particle":"","family":"Hu","given":"Sanlin","non-dropping-particle":"","parse-names":false,"suffix":""},{"dropping-particle":"","family":"Juang","given":"Elizabeth","non-dropping-particle":"","parse-names":false,"suffix":""},{"dropping-particle":"","family":"Gin","given":"Douglas L.","non-dropping-particle":"","parse-names":false,"suffix":""}],"container-title":"Advanced Materials","id":"ITEM-6","issue":"9","issued":{"date-parts":[["1997"]]},"page":"731-736","title":"Highly ordered polymer-inorganic nanocomposites via monomer self-assembly: In situ condensation approach","type":"article-journal","volume":"9"},"uris":["http://www.mendeley.com/documents/?uuid=c5bc288b-d158-44a6-a5a3-96a73666ff96"]},{"id":"ITEM-7","itemData":{"DOI":"10.1021/cm970830k","ISSN":"08974756","abstract":"Transition-metal-containing analogues of a polymerizable lyotropic liquid crystal were prepared from sodium p-styryloctadecanoate by ion exchange with water-soluble metal chlorides, nitrates, and acetates. The mesophases of these amphiphilic monomers were investigated by polarized light microscopy, low-angle X-ray diffraction, and infrared spectroscopy. It was found that cadmium(II), manganese(II), and cobalt(II)p-styryloctadecanoate form an inverted hexagonal lyotropic phase at ambient temperature (22 °C), while the copper(II) salt forms a columnar hexagonal thermotropic phase. The monomers can be cross-linked photolytically in their respective liquid crystal phases with retention of phase architecture to yield polymer networks containing ordered microdomains of transition-metal ions. The relationship between the dimensions of the hexagonal mesophase formed and the identity of the counterion present in each salt is discussed. The polymerized inverted hexagonal phase of the cadmium salt was also used as a template for the formation of CdS nanoparticles, affording a novel, nanostructured composite.","author":[{"dropping-particle":"","family":"Gray","given":"David H.","non-dropping-particle":"","parse-names":false,"suffix":""},{"dropping-particle":"","family":"Gin","given":"Douglas L.","non-dropping-particle":"","parse-names":false,"suffix":""}],"container-title":"Chemistry of Materials","id":"ITEM-7","issue":"7","issued":{"date-parts":[["1998"]]},"page":"1827-1832","title":"Polymerizable Lyotropic Liquid Crystals Containing Transition-Metal Ions as Building Blocks for Nanostructured Polymers and Composites","type":"article-journal","volume":"10"},"uris":["http://www.mendeley.com/documents/?uuid=67814830-0b8f-4a8e-9fe4-fb6f1a4ff77e"]},{"id":"ITEM-8","itemData":{"DOI":"10.1021/ma9904058","ISSN":"00249297","abstract":"This study reports the lyotropic phase behavior of two poly(ethylene oxide)-b-poly(butadiene) diblock copolymers and their cross-linking in the mesophase under retention of the mesoscopic order. The lyotropic phase behavior in water was characterized by polarized light microscopy and small-angle X-ray scattering (SAXS) in the concentration range from 0 to 100 wt % and in a temperature range between 20 and 100 C. Depending on polymer composition and concentration micellar, hexagonal, lamellar, and cubic phases are found. Their ranges as well as pronounced coexisting phase regions were determined. Several of these mesophases were cross-linked via y-irradiation to form mesostructured hydrogels. It is shown that the cross-linked polymer gel essentially maintains the parental lyotropic order, as proven by SAXS, polarized light microscopy, and transmission electron microscopy (TEM). TEM enables imaging of the polymer gel structure and thereby the visualization of the liquid-crystalline mesophase morphologies in themselves. The lyotropic mesophases as well as the lyotropic gels were used as templates for the synthesis of mesoporous silica, which is expected to give a negative solid copy of the ordered soft matter structure. The influence of the different templates on the silica structure formation is discussed. © 1999 American Chemical Society.","author":[{"dropping-particle":"","family":"Hentze","given":"H. P.","non-dropping-particle":"","parse-names":false,"suffix":""},{"dropping-particle":"","family":"Krämer","given":"E.","non-dropping-particle":"","parse-names":false,"suffix":""},{"dropping-particle":"","family":"Berton","given":"B.","non-dropping-particle":"","parse-names":false,"suffix":""},{"dropping-particle":"","family":"Förster","given":"S.","non-dropping-particle":"","parse-names":false,"suffix":""},{"dropping-particle":"","family":"Antonietti","given":"M.","non-dropping-particle":"","parse-names":false,"suffix":""},{"dropping-particle":"","family":"Dreja","given":"M.","non-dropping-particle":"","parse-names":false,"suffix":""}],"container-title":"Macromolecules","id":"ITEM-8","issue":"18","issued":{"date-parts":[["1999"]]},"page":"5803-5809","title":"Lyotropic mesophases of poly(ethylene oxide)-O-poly(butadiene) diblock copolymers and their cross-linking to generate ordered gels","type":"article-journal","volume":"32"},"uris":["http://www.mendeley.com/documents/?uuid=b307574d-954a-481f-b26f-5b53cd644727"]},{"id":"ITEM-9","itemData":{"DOI":"10.1039/c5sm01646k","ISSN":"17446848","abstract":"We present a facile method to prepare thermally stable and mechanically robust crosslinked lyotropic liquid crystals (LLCs) through incorporation of a polymerizable amphiphile into a binary LLC system comprising commercially available surfactant Brij 97 and water. Thermal stability and mechanical properties of the polymerized LLCs were significantly enhanced after polymerization of the incorporated polymerizable surfactant. The effect of incorporating a polymerizable amphiphile on the phase behavior of the LLC system was studied in detail. In situ photo-rheology was used to monitor the change in the mechanical properties of the LLCs, namely the storage modulus, loss modulus, and viscosity, upon polymerization. The retention of the LLC nanostructures was evaluated by small angle X-ray scattering (SAXS). The ability to control the thermal stability and mechanical strength of LLCs simply by adding a polymerizable amphiphile, without tedious organic synthesis or harsh polymerization conditions, could prove highly advantageous in the preparation of robust nanomaterials with well-defined periodic structures.","author":[{"dropping-particle":"","family":"Peng","given":"Shuhua","non-dropping-particle":"","parse-names":false,"suffix":""},{"dropping-particle":"","family":"Hartley","given":"Patrick G.","non-dropping-particle":"","parse-names":false,"suffix":""},{"dropping-particle":"","family":"Hughes","given":"Timothy C.","non-dropping-particle":"","parse-names":false,"suffix":""},{"dropping-particle":"","family":"Guo","given":"Qipeng","non-dropping-particle":"","parse-names":false,"suffix":""}],"container-title":"Soft Matter","id":"ITEM-9","issue":"31","issued":{"date-parts":[["2015"]]},"page":"6318-6326","title":"Enhancing thermal stability and mechanical properties of lyotropic liquid crystals through incorporation of a polymerizable surfactant","type":"article-journal","volume":"11"},"uris":["http://www.mendeley.com/documents/?uuid=e592e5f5-580a-420c-aef7-38efdb7c8860"]},{"id":"ITEM-10","itemData":{"DOI":"10.1021/ma00032a027","ISSN":"15205835","abstract":"Photo-cross-linkable ethylene oxide‒dimethylsiloxane PEO‒PDMS‒PEO‒cinnamate triblock copolymers were prepared via Pt-catalyzed hydrosilyation of α,ω-dihydropoly(dimethylsiloxane) with bifunctional propargyl-terminated poly(ethylene oxide)-monomethyl ethers and subsequent esterification with cinnamoyl chloride. Lyotropic mesophases of the copolymer/water system were photo-cross-linked by using UV radiation. The supermolecular structures were retained after photo-cross-linking but could be destroyed by swelling with organic solvents. After the evaporation of the solvent, the films showed the original mesophases by addition of water. © 1992, American Chemical Society. All rights reserved.","author":[{"dropping-particle":"","family":"Yang","given":"Jianling","non-dropping-particle":"","parse-names":false,"suffix":""},{"dropping-particle":"","family":"Wegner","given":"Gerhard","non-dropping-particle":"","parse-names":false,"suffix":""}],"container-title":"Macromolecules","id":"ITEM-10","issue":"6","issued":{"date-parts":[["1992"]]},"page":"1791-1795","title":"Polymerization in Lyotropic Liquid Crystals. 2. Synthesis of Photo-Cross-Linkable PEO-PDMS-PEO Triblock Copolymers and Permanent Stabilization of Their Supermolecular Structures in Lyotropic Mesophases","type":"article-journal","volume":"25"},"uris":["http://www.mendeley.com/documents/?uuid=1504391b-f6a4-4a01-9ba9-2b1dd2fa4d76"]}],"mendeley":{"formattedCitation":"&lt;sup&gt;51,73,81,96–102&lt;/sup&gt;","plainTextFormattedCitation":"51,73,81,96–102","previouslyFormattedCitation":"&lt;sup&gt;51,73,81,96–102&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51,73,81,96–102</w:t>
      </w:r>
      <w:r w:rsidRPr="006D631C">
        <w:rPr>
          <w:rFonts w:asciiTheme="majorBidi" w:hAnsiTheme="majorBidi" w:cstheme="majorBidi"/>
        </w:rPr>
        <w:fldChar w:fldCharType="end"/>
      </w:r>
      <w:r w:rsidRPr="006D631C">
        <w:rPr>
          <w:rFonts w:asciiTheme="majorBidi" w:hAnsiTheme="majorBidi" w:cstheme="majorBidi"/>
        </w:rPr>
        <w:t xml:space="preserve"> Similar to the hexagonal structure, changes in the lattice dimension are typically observed after polymerization, attributed to the formation of a polymer </w:t>
      </w:r>
      <w:r w:rsidRPr="006D631C">
        <w:rPr>
          <w:rFonts w:asciiTheme="majorBidi" w:hAnsiTheme="majorBidi" w:cstheme="majorBidi"/>
        </w:rPr>
        <w:lastRenderedPageBreak/>
        <w:t>network as well as the production of L</w:t>
      </w:r>
      <w:r w:rsidRPr="006D631C">
        <w:rPr>
          <w:rFonts w:asciiTheme="majorBidi" w:hAnsiTheme="majorBidi" w:cstheme="majorBidi"/>
          <w:vertAlign w:val="subscript"/>
        </w:rPr>
        <w:t>α</w:t>
      </w:r>
      <w:r w:rsidRPr="006D631C" w:rsidDel="00DE05C5">
        <w:rPr>
          <w:rFonts w:asciiTheme="majorBidi" w:hAnsiTheme="majorBidi" w:cstheme="majorBidi"/>
        </w:rPr>
        <w:t xml:space="preserve"> </w:t>
      </w:r>
      <w:r w:rsidRPr="006D631C">
        <w:rPr>
          <w:rFonts w:asciiTheme="majorBidi" w:hAnsiTheme="majorBidi" w:cstheme="majorBidi"/>
        </w:rPr>
        <w:t xml:space="preserve">structures with different </w:t>
      </w:r>
      <w:r w:rsidRPr="006D631C">
        <w:rPr>
          <w:rFonts w:asciiTheme="majorBidi" w:hAnsiTheme="majorBidi" w:cstheme="majorBidi"/>
          <w:i/>
          <w:iCs/>
        </w:rPr>
        <w:t>d</w:t>
      </w:r>
      <w:r w:rsidRPr="006D631C">
        <w:rPr>
          <w:rFonts w:asciiTheme="majorBidi" w:hAnsiTheme="majorBidi" w:cstheme="majorBidi"/>
        </w:rPr>
        <w:t>-</w:t>
      </w:r>
      <w:proofErr w:type="spellStart"/>
      <w:r w:rsidRPr="006D631C">
        <w:rPr>
          <w:rFonts w:asciiTheme="majorBidi" w:hAnsiTheme="majorBidi" w:cstheme="majorBidi"/>
        </w:rPr>
        <w:t>spacings</w:t>
      </w:r>
      <w:proofErr w:type="spellEnd"/>
      <w:r w:rsidRPr="006D631C">
        <w:rPr>
          <w:rFonts w:asciiTheme="majorBidi" w:hAnsiTheme="majorBidi" w:cstheme="majorBidi"/>
        </w:rPr>
        <w:t>. Another notable point here is the formation of a unique structure called hexagonal perforated lamellar (HPL) which is a hybrid lamellar-hexagonal structure made from sheets that have in-plane aqueous perforations arranged on a hexagonal lattice. HPL is formed when structural changes from L</w:t>
      </w:r>
      <w:r w:rsidRPr="006D631C">
        <w:rPr>
          <w:rFonts w:asciiTheme="majorBidi" w:hAnsiTheme="majorBidi" w:cstheme="majorBidi"/>
          <w:vertAlign w:val="subscript"/>
        </w:rPr>
        <w:t>α</w:t>
      </w:r>
      <w:r w:rsidRPr="006D631C">
        <w:rPr>
          <w:rFonts w:asciiTheme="majorBidi" w:hAnsiTheme="majorBidi" w:cstheme="majorBidi"/>
        </w:rPr>
        <w:t xml:space="preserve"> to Q</w:t>
      </w:r>
      <w:r w:rsidRPr="006D631C">
        <w:rPr>
          <w:rFonts w:asciiTheme="majorBidi" w:hAnsiTheme="majorBidi" w:cstheme="majorBidi"/>
          <w:vertAlign w:val="subscript"/>
        </w:rPr>
        <w:t>α</w:t>
      </w:r>
      <w:r w:rsidRPr="006D631C">
        <w:rPr>
          <w:rFonts w:asciiTheme="majorBidi" w:hAnsiTheme="majorBidi" w:cstheme="majorBidi"/>
        </w:rPr>
        <w:t xml:space="preserve"> takes place during LLC formation or after the polymerization. HPL has been commonly observed in LLCs based on amphiphilic </w:t>
      </w:r>
      <w:proofErr w:type="spellStart"/>
      <w:r w:rsidRPr="006D631C">
        <w:rPr>
          <w:rFonts w:asciiTheme="majorBidi" w:hAnsiTheme="majorBidi" w:cstheme="majorBidi"/>
        </w:rPr>
        <w:t>imidazolium</w:t>
      </w:r>
      <w:proofErr w:type="spellEnd"/>
      <w:r w:rsidRPr="006D631C">
        <w:rPr>
          <w:rFonts w:asciiTheme="majorBidi" w:hAnsiTheme="majorBidi" w:cstheme="majorBidi"/>
        </w:rPr>
        <w:t>-based ionic liquids.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{"citationItems":[{"id":"ITEM-1","itemData":{"DOI":"10.1002/polb.23321","ISSN":"08876266","abstract":"Polymerization of a self-assembled 1-dodecyl-3-propargylimidazolium bromide ionic liquid (IL) yields a nanostructured ionic polyacetylene. A 1:1 aqueous mixture of the amphiphilic IL produces an ordered lyotropic mesophase that adopts a hexagonal perforated lamellar structure. Rh (I)-mediated polymerization of the assembled mixture yields a hexagonal modulated lamellar structured polymer. FTIR spectroscopy reveals that the polymer was self n-doped. The polymer was fractioned into three components with the majority product, possessing an intermediate molecular weight that is soluble in polar organic solvents. In methanol, the optical band gap of the main fraction was determined to be 2.38 eV and was nonemissive. The solution-processable polymer was airbrush sprayed onto glass substrates to give a liquid-crystalline, lamellar structured semiconductive film (7.02 × 10-5 S cm-1). The polymer resisted oxidation (degradation) upon storage in air as monitored by vibrational spectroscopy. © 2013 Wiley Periodicals, Inc.","author":[{"dropping-particle":"","family":"Ringstrand","given":"Bryan","non-dropping-particle":"","parse-names":false,"suffix":""},{"dropping-particle":"","family":"Seifert","given":"Sönke","non-dropping-particle":"","parse-names":false,"suffix":""},{"dropping-particle":"","family":"Firestone","given":"Millicent A.","non-dropping-particle":"","parse-names":false,"suffix":""}],"container-title":"Journal of Polymer Science, Part B: Polymer Physics","id":"ITEM-1","issue":"16","issued":{"date-parts":[["2013"]]},"page":"1215-1227","title":"Preparation of a solution-processable, nanostructured ionic polyacetylene","type":"article-journal","volume":"51"},"uris":["http://www.mendeley.com/documents/?uuid=cd7d4345-3b1a-4ede-a60c-08304352c736"]}],"mendeley":{"formattedCitation":"&lt;sup&gt;103&lt;/sup&gt;","plainTextFormattedCitation":"103","previouslyFormattedCitation":"&lt;sup&gt;103&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103</w:t>
      </w:r>
      <w:r w:rsidRPr="006D631C">
        <w:rPr>
          <w:rFonts w:asciiTheme="majorBidi" w:hAnsiTheme="majorBidi" w:cstheme="majorBidi"/>
        </w:rPr>
        <w:fldChar w:fldCharType="end"/>
      </w:r>
      <w:r w:rsidRPr="006D631C">
        <w:rPr>
          <w:rFonts w:asciiTheme="majorBidi" w:hAnsiTheme="majorBidi" w:cstheme="majorBidi"/>
        </w:rPr>
        <w:t xml:space="preserve"> HPL is considered to be a necessary kinetic pathway for the existence of Q</w:t>
      </w:r>
      <w:r w:rsidRPr="006D631C">
        <w:rPr>
          <w:rFonts w:asciiTheme="majorBidi" w:hAnsiTheme="majorBidi" w:cstheme="majorBidi"/>
          <w:vertAlign w:val="subscript"/>
        </w:rPr>
        <w:t xml:space="preserve">α </w:t>
      </w:r>
      <w:r w:rsidRPr="006D631C">
        <w:rPr>
          <w:rFonts w:asciiTheme="majorBidi" w:hAnsiTheme="majorBidi" w:cstheme="majorBidi"/>
        </w:rPr>
        <w:t>phase.</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10.1063/1.1905585","ISSN":"0021-9606","author":[{"dropping-particle":"","family":"Imai","given":"M.","non-dropping-particle":"","parse-names":false,"suffix":""},{"dropping-particle":"","family":"Sakai","given":"K.","non-dropping-particle":"","parse-names":false,"suffix":""},{"dropping-particle":"","family":"Kikuchi","given":"M.","non-dropping-particle":"","parse-names":false,"suffix":""},{"dropping-particle":"","family":"Nakaya","given":"K.","non-dropping-particle":"","parse-names":false,"suffix":""},{"dropping-particle":"","family":"Saeki","given":"A.","non-dropping-particle":"","parse-names":false,"suffix":""},{"dropping-particle":"","family":"Teramoto","given":"T.","non-dropping-particle":"","parse-names":false,"suffix":""}],"container-title":"The Journal of Chemical Physics","id":"ITEM-1","issue":"21","issued":{"date-parts":[["2005","6"]]},"page":"214906","title":"Kinetic pathway to double-gyroid structure","type":"article-journal","volume":"122"},"uris":["http://www.mendeley.com/documents/?uuid=cceb58da-1af7-4522-a84f-8bec70d3abcd"]}],"mendeley":{"formattedCitation":"&lt;sup&gt;104&lt;/sup&gt;","plainTextFormattedCitation":"104","previouslyFormattedCitation":"&lt;sup&gt;104&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104</w:t>
      </w:r>
      <w:r w:rsidRPr="006D631C">
        <w:rPr>
          <w:rFonts w:asciiTheme="majorBidi" w:hAnsiTheme="majorBidi" w:cstheme="majorBidi"/>
        </w:rPr>
        <w:fldChar w:fldCharType="end"/>
      </w:r>
      <w:r w:rsidRPr="006D631C">
        <w:rPr>
          <w:rFonts w:asciiTheme="majorBidi" w:hAnsiTheme="majorBidi" w:cstheme="majorBidi"/>
        </w:rPr>
        <w:t xml:space="preserve"> </w:t>
      </w:r>
    </w:p>
    <w:p w14:paraId="6CBB66C1" w14:textId="0AB90787" w:rsidR="00D451E5" w:rsidRPr="006D631C" w:rsidRDefault="00D451E5" w:rsidP="002E14E4">
      <w:pPr>
        <w:tabs>
          <w:tab w:val="left" w:pos="90"/>
          <w:tab w:val="left" w:pos="360"/>
          <w:tab w:val="left" w:pos="992"/>
        </w:tabs>
        <w:rPr>
          <w:rFonts w:asciiTheme="majorBidi" w:hAnsiTheme="majorBidi" w:cstheme="majorBidi"/>
        </w:rPr>
      </w:pPr>
      <w:r w:rsidRPr="006D631C">
        <w:rPr>
          <w:rFonts w:asciiTheme="majorBidi" w:hAnsiTheme="majorBidi" w:cstheme="majorBidi"/>
        </w:rPr>
        <w:t>As mentioned in section</w:t>
      </w:r>
      <w:r w:rsidR="00286A6D" w:rsidRPr="006D631C">
        <w:rPr>
          <w:rFonts w:asciiTheme="majorBidi" w:hAnsiTheme="majorBidi" w:cstheme="majorBidi"/>
        </w:rPr>
        <w:t xml:space="preserve"> 1.1</w:t>
      </w:r>
      <w:r w:rsidRPr="006D631C">
        <w:rPr>
          <w:rFonts w:asciiTheme="majorBidi" w:hAnsiTheme="majorBidi" w:cstheme="majorBidi"/>
        </w:rPr>
        <w:t>, improving the thermal, mechanical, and physical properties of nanostructured polymers are the primary goals of polymerization of LLC phases. Therefore, the majority of the reported works on synergistic templating of the L</w:t>
      </w:r>
      <w:r w:rsidRPr="006D631C">
        <w:rPr>
          <w:rFonts w:asciiTheme="majorBidi" w:hAnsiTheme="majorBidi" w:cstheme="majorBidi"/>
          <w:vertAlign w:val="subscript"/>
        </w:rPr>
        <w:t>α</w:t>
      </w:r>
      <w:r w:rsidRPr="006D631C" w:rsidDel="00E53C37">
        <w:rPr>
          <w:rFonts w:asciiTheme="majorBidi" w:hAnsiTheme="majorBidi" w:cstheme="majorBidi"/>
        </w:rPr>
        <w:t xml:space="preserve"> </w:t>
      </w:r>
      <w:r w:rsidRPr="006D631C">
        <w:rPr>
          <w:rFonts w:asciiTheme="majorBidi" w:hAnsiTheme="majorBidi" w:cstheme="majorBidi"/>
        </w:rPr>
        <w:t>phase have focused on proving this concept in addition to studying the polymerization kinetics, which will be discussed in a later section.</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{"citationItems":[{"id":"ITEM-1","itemData":{"DOI":"10.1007/BF00654052","ISSN":"0303402X","abstract":"The binary phase behaviour of two potentially polymerisable quaternary ammonium surfactants in water has been investigated. Allyldodecyldimethylammonium bromide (ADAB) a single-chain surfactant displays a conventional phase progression upon increasing concentration. Whereas the double-chain analogue allyldidodecylmethylammonium bromide (ADDAB) forms two lamellar liquid crystalline phases built from surfactant bilayers, which transform via a first order phase transition. The formation of two distinct lamellar phases and their coexistence has been evidenced by optical microscopy, small-angle x-ray scattering and D2O deuterium quadrupolar nuclear magnetic resonance spectroscopy. The lamellar phase formed at higher surfactant compositions is a normal lamellar phase (type Lα), consisting of bilayers which are on average parallel and flat. The lower compositional lamellar phase (type Lχ) in contrast may not be comprised of planar bilayers but rather aggregates having a high degree of curvature in comparison to those of the Lα phase. The presence of the allyl polymerisable moiety in the head group position of these surfactants has the effect of reducing the rigidity of the surfactant and increasing its solubility in comparison to non-polymerisable analogues. Polymerisation of the surfactants was attempted by using thermal and photochemical initiation in isotropic and self-assembled systems. Polymerisation occurred to approximately 30% for ADAB but did not occur for ADDAB. Where polymerisation did occur the polymer was incorporated into the monomer matrix by interweaving between the surfactant aggregates. The polymers had a molecular weight not greater than 8000 Daltons, independent of the monomer concentration of the original solution and type of polymerisation.","author":[{"dropping-particle":"","family":"McGrath","given":"K. M.","non-dropping-particle":"","parse-names":false,"suffix":""},{"dropping-particle":"","family":"Drummond","given":"C. J.","non-dropping-particle":"","parse-names":false,"suffix":""}],"container-title":"Colloid and Polymer Science","id":"ITEM-1","issue":"4","issued":{"date-parts":[["1996"]]},"page":"316-333","title":"Polymerisation of liquid crystalline phases in binary surfactant/water systems: Part 1. Allyldodecyldimethylammonium bromide and allyldidodecylmethylammonium bromide","type":"article-journal","volume":"274"},"uris":["http://www.mendeley.com/documents/?uuid=ed4e82e4-cdff-4e40-b053-9c3883e498e6"]},{"id":"ITEM-2","itemData":{"DOI":"10.1002/masy.200550718","ISSN":"1022-1360","abstract":"Both dodecylammonium acrylate (I) and dodecylammonium methacrylate (II) are reactive surfactants in which the polymerizable group is the organic counterion. Templating polymerization of I and II from the lyotropic liquid crystalline (LLC) lamellar phase was successfully performed with conservation of the supramolecular structure. A 20 wt% aqueous solution of II formed cubic bicontinuous phases, even upon addition of divinyl benzene (DVB). Polymerization from the cubic phases was attempted without and with DVB (3 wt%). Bicontinuous cubic phases always evolved toward lamellar structures upon polymerization. © 2005 International Union of Pure and Applied Chemistry.","author":[{"dropping-particle":"","family":"Hartmann","given":"Patrice C.","non-dropping-particle":"","parse-names":false,"suffix":""},{"dropping-particle":"","family":"Sanderson","given":"Ronald D.","non-dropping-particle":"","parse-names":false,"suffix":""}],"container-title":"Macromolecular Symposia","id":"ITEM-2","issue":"1","issued":{"date-parts":[["2005","5"]]},"page":"229-237","title":"Templating Polymerization of Dodecylammonium Surfactants with Polymerizable (Meth)acrylate Counter Ions","type":"article-journal","volume":"225"},"uris":["http://www.mendeley.com/documents/?uuid=8719a8b4-478d-44d0-aaf0-2d652cfddc3b"]},{"id":"ITEM-3","itemData":{"DOI":"10.1021/ja00125a019","ISSN":"15205126","abstract":"The formation of nonlamellar lipid structures in model lipid membranes has been extensively studied in recent years. These hydrated lipid phases include the inverted hexagonal phase and various bicontinuous cubic phases, which occur at selected lipid concentrations, temperatures, and pressures. Cubic phases that are bicontinuous with respect to the polar and nonpolar regions are especially interesting as organic analogs of zeolites. The recently developed methods used to polymerize and stabilize lamellar assemblies offer certain strategies that are applicable to nonlamellar phases. Here we report the successful stabilization of a nonlamellar phase via the polymerization of reactive amphiphiles. A 3:1 molar mixture of polymerizable mono-dienoyl-substituted phosphoethanolamine and bis-dienoyl-substituted phosphocholine were hydrated to yield bilayers. X-ray diffraction of the unpolymerized mixture at 60 °C showed the formation of an inverted hexagonal phase which on prolonged incubation changed to a bicontinuous cubic phase of Pn3m symmetry. Polymerization of the hexagonal phase produced a stabilized hexagonal structure over the range of 20 to 60 °C. The same lipids at lower concentration were characterized by 31P-NMR and transmission electron microscopy (TEM) before and after polymerization. The NMR shows the formation of a sample with isotropic symmetry as expected for a cubic phase. The polymerized sample retained a nonlamellar structure after cooling and extended storage at room temperature or near 0 °C. The TEMs show a polydomain square lattice with 6 ± 1 nm diameter aqueous channels. This stabilized nonlamellar phase is the first representative of a new family of materials with interpenetrating water channels with high surface area and potentially bicompatible lipid—water interfaces. © 1995, American Chemical Society. All rights reserved.","author":[{"dropping-particle":"","family":"Lee","given":"Youn Sik","non-dropping-particle":"","parse-names":false,"suffix":""},{"dropping-particle":"","family":"Gleeson","given":"James T.","non-dropping-particle":"","parse-names":false,"suffix":""},{"dropping-particle":"","family":"Yang","given":"Jian Zhong","non-dropping-particle":"","parse-names":false,"suffix":""},{"dropping-particle":"","family":"Sisson","given":"Thomas M.","non-dropping-particle":"","parse-names":false,"suffix":""},{"dropping-particle":"","family":"Frankel","given":"David A.","non-dropping-particle":"","parse-names":false,"suffix":""},{"dropping-particle":"","family":"O'Brien","given":"David F.","non-dropping-particle":"","parse-names":false,"suffix":""},{"dropping-particle":"","family":"Keller","given":"Sarah L.","non-dropping-particle":"","parse-names":false,"suffix":""},{"dropping-particle":"","family":"Aksay","given":"Emre","non-dropping-particle":"","parse-names":false,"suffix":""},{"dropping-particle":"","family":"Gruner","given":"Sol M.","non-dropping-particle":"","parse-names":false,"suffix":""}],"container-title":"Journal of the American Chemical Society","id":"ITEM-3","issue":"20","issued":{"date-parts":[["1995"]]},"page":"5573-5578","title":"Polymerization of Nonlamellar Lipid Assemblies","type":"article-journal","volume":"117"},"uris":["http://www.mendeley.com/documents/?uuid=48e800eb-d8de-4cfd-a687-8bddfebe435a"]},{"id":"ITEM-4","itemData":{"DOI":"10.1021/ja0208106","ISSN":"0002-7863","abstract":"The synthesis and lyotropic liquid-crystalline (LLC) phase behavior of a homologous series of intrinsically cross-linkable gemini surfactants are described. These novel bis(alkyl-1,3-diene)-based phosphonium gemini amphiphiles exhibit \"normal\" hexagonal (HI), Type I bicontinuous cubic (QI), and lamellar (Lα) phases in water, and can be photocross-linked with retention of phase architecture in each case. On the basis of their locations on the phase diagram, their powder X-ray diffraction profiles, and the physical properties of the cross-linked materials, the QI phases formed by these gemini monomers are consistent with four possible bicontinuous cubic architectures with P or I space group symmetry that have been identified previously for small molecule amphiphiles. The extent of polymerization (i.e., the degree of diene conversion) achieved in the LLC phases was determined to be in the 23% to 71% range using UV-vis spectrometry, which is more than sufficient to extensively stabilize the systems. The resulting cross-linked HI, Lα, and QI phases are stable up to 300 °C in air. To our knowledge, these reactive amphiphiles constitute the first example of a polymerizable gemini surfactant, and the first example of a cross-linkable amphiphile system that can be polymerized in both the HI and a QI mesophase with retention of phase microstructure.","author":[{"dropping-particle":"","family":"Pindzola","given":"Brad A.","non-dropping-particle":"","parse-names":false,"suffix":""},{"dropping-particle":"","family":"Jin","given":"Jizhu","non-dropping-particle":"","parse-names":false,"suffix":""},{"dropping-particle":"","family":"Gin","given":"Douglas L.","non-dropping-particle":"","parse-names":false,"suffix":""}],"container-title":"Journal of the American Chemical Society","id":"ITEM-4","issue":"10","issued":{"date-parts":[["2003","3"]]},"page":"2940-2949","title":"Cross-Linked Normal Hexagonal and Bicontinuous Cubic Assemblies via Polymerizable Gemini Amphiphiles","type":"article-journal","volume":"125"},"uris":["http://www.mendeley.com/documents/?uuid=cc6d4576-822b-42ed-b4d8-a32080f95537"]},{"id":"ITEM-5","itemData":{"DOI":"10.1021/cm062992z","ISSN":"08974756","abstract":"Preparation and polymerization of a methylimidazolium-based ionic liquid (IL) that incorporates an acryloyl moiety at the terminus of a C8 alkyl chain is described. The IL monomer weakly self-assembles upon addition of water and oligomerizes on mild heating. Initiator-free polymerization (as evidenced by FT-IR spectroscopy) can be achieved by UV irradiation, forming an elastic, self-supporting hydrogel. Small-angle X-ray scattering (SAXS) studies on the unsupported polymer demonstrate that the hydrogel adopts an ordered lamellar structure. The polymer can absorb large quantities of water, swelling to nearly 200 times its original volume and, in the process, becoming a highly disordered lamellar structure. Swelling studies conducted using a range of organic solvents demonstrate that the polymer can also be swollen (albeit to a lesser extent) by polar, hydrogen-bonding solvents such as ethanol. © 2007 American Chemical Society.","author":[{"dropping-particle":"","family":"Batra","given":"Dolly","non-dropping-particle":"","parse-names":false,"suffix":""},{"dropping-particle":"","family":"Hay","given":"Daniel N.T.","non-dropping-particle":"","parse-names":false,"suffix":""},{"dropping-particle":"","family":"Firestone","given":"Millicent A.","non-dropping-particle":"","parse-names":false,"suffix":""}],"container-title":"Chemistry of Materials","id":"ITEM-5","issue":"18","issued":{"date-parts":[["2007"]]},"page":"4423-4431","title":"Formation of a biomimetic, liquid-crystalline hydrogel by self-assembly and polymerization of an ionic liquid","type":"article-journal","volume":"19"},"uris":["http://www.mendeley.com/documents/?uuid=096fded3-48dd-4649-844d-9bed47afa9c2"]},{"id":"ITEM-6","itemData":{"DOI":"10.1002/macp.200700174","ISSN":"10221352","abstract":"The binary phase behavior of a series of imidazolium-based ionic liquids (ILs) has been investigated. In particular, the effect of two structural modifications of the imidazolium cation, alkyl chain length, and the introduction of a polymerizable acryloyl group at the alkyl chain terminus, has been studied using small angle X-ray scattering. Upon increasing water content, the non-polymerizable IL, 1-decyl-3-methylimidazolium chloride, adopts mesophase structures of predominately two-dimensional (2D) hexagonal symmetry, including structures intermediate in character between lamellae and 2D hexagonal micelles. Introduction of a photopolymerizable acryloyl functional group to form l-(10-(acryloyloxy)decyl)-3-methylimidazolium chloride produces a rod-coil IL cation that yields self-assembled mesophases in which the formation of tetragonal morphologies is favored. Covalent linking of the IL cations by UV-induced polymerization converts the lyotropic mesophase into three-dimensional biocontinuous chemical gels. Reducing the alkyl chain length, as in the polymerizable IL cation 1-(8-(acryloyloxy)octyl)-3-methylimidazolium chloride, severely reduces the self-assembled mesophase order, and triggers the formation of only weakly ordered one-dimensional lamellar structures. © 2007 WILEY-VCH Verlag GmbH &amp; Co. KGaA.","author":[{"dropping-particle":"","family":"Batra","given":"Dolly","non-dropping-particle":"","parse-names":false,"suffix":""},{"dropping-particle":"","family":"Seifert","given":"Sönke","non-dropping-particle":"","parse-names":false,"suffix":""},{"dropping-particle":"","family":"Firestone","given":"Millicent A.","non-dropping-particle":"","parse-names":false,"suffix":""}],"container-title":"Macromolecular Chemistry and Physics","id":"ITEM-6","issue":"13","issued":{"date-parts":[["2007","7","3"]]},"page":"1416-1427","title":"The Effect of Cation Structure on the Mesophase Architecture of Self-Assembled and Polymerized Imidazolium-Based Ionic Liquids","type":"article-journal","volume":"208"},"uris":["http://www.mendeley.com/documents/?uuid=9841d302-c27a-4d6a-8fe2-cfeb23969c30"]},{"id":"ITEM-7","itemData":{"DOI":"10.1002/polb.23321","ISSN":"08876266","abstract":"Polymerization of a self-assembled 1-dodecyl-3-propargylimidazolium bromide ionic liquid (IL) yields a nanostructured ionic polyacetylene. A 1:1 aqueous mixture of the amphiphilic IL produces an ordered lyotropic mesophase that adopts a hexagonal perforated lamellar structure. Rh (I)-mediated polymerization of the assembled mixture yields a hexagonal modulated lamellar structured polymer. FTIR spectroscopy reveals that the polymer was self n-doped. The polymer was fractioned into three components with the majority product, possessing an intermediate molecular weight that is soluble in polar organic solvents. In methanol, the optical band gap of the main fraction was determined to be 2.38 eV and was nonemissive. The solution-processable polymer was airbrush sprayed onto glass substrates to give a liquid-crystalline, lamellar structured semiconductive film (7.02 × 10-5 S cm-1). The polymer resisted oxidation (degradation) upon storage in air as monitored by vibrational spectroscopy. © 2013 Wiley Periodicals, Inc.","author":[{"dropping-particle":"","family":"Ringstrand","given":"Bryan","non-dropping-particle":"","parse-names":false,"suffix":""},{"dropping-particle":"","family":"Seifert","given":"Sönke","non-dropping-particle":"","parse-names":false,"suffix":""},{"dropping-particle":"","family":"Firestone","given":"Millicent A.","non-dropping-particle":"","parse-names":false,"suffix":""}],"container-title":"Journal of Polymer Science, Part B: Polymer Physics","id":"ITEM-7","issue":"16","issued":{"date-parts":[["2013"]]},"page":"1215-1227","title":"Preparation of a solution-processable, nanostructured ionic polyacetylene","type":"article-journal","volume":"51"},"uris":["http://www.mendeley.com/documents/?uuid=cd7d4345-3b1a-4ede-a60c-08304352c736"]},{"id":"ITEM-8","itemData":{"DOI":"10.1002/marc.201600070","ISSN":"15213927","abstract":"The UV-initiated free radical polymerization of a lyotropic mesophase prepared by co-assembly of an aqueous mixture of an ionic liquid (IL) monomer, 3-decyl-1-vinylimidazolium chloride, in a dimethyl sulfoxide dispersion of an IL-monomer nanodiamond conjugate yields a well-ordered 2D hexagonally structured network-polymer composite. The IL monomer is covalently bound to carboxylated detonation diamond via ester-linked 3-decyl-1-vinylimidazolium bromide. Successful preparation of the amphiphile-functionalized nanodiamond is determined by ATR/FT-IR, thermogravimetric analysis, and small-angle X-ray scattering (SAXS). Mesophase and composite structure are evaluated by SAXS, revealing a columnar architecture composed of amphiphilic ionic liquid cylinders containing solvent-rich cores. Self-assembly directed site localization of the nanodiamond positions the particles in the alkyl chain continuum upon polymerization. The composite reversibly swells in ethanol allowing structural variation and modulation of the nanoparticle internal packing arrangement. This work demonstrates that through careful molecular design, self-organization and site-directed assembly of nanodiamond into chemically distinct regions of a nanostructured organogel can be achieved.","author":[{"dropping-particle":"","family":"Ringstrand","given":"Bryan S.","non-dropping-particle":"","parse-names":false,"suffix":""},{"dropping-particle":"","family":"Seifert","given":"Sönke","non-dropping-particle":"","parse-names":false,"suffix":""},{"dropping-particle":"","family":"Podlesak","given":"David W.","non-dropping-particle":"","parse-names":false,"suffix":""},{"dropping-particle":"","family":"Firestone","given":"Millicent A.","non-dropping-particle":"","parse-names":false,"suffix":""}],"container-title":"Macromolecular rapid communications","id":"ITEM-8","issue":"14","issued":{"date-parts":[["2016"]]},"page":"1155-1167","title":"Self-Assembly Directed Organization of Nanodiamond During Ionic Liquid Crystalline Polymer Formation","type":"article-journal","volume":"37"},"uris":["http://www.mendeley.com/documents/?uuid=840f9fb6-b00a-45cf-8149-2292653eb71c"]},{"id":"ITEM-9","itemData":{"DOI":"10.1021/ma9904058","ISSN":"00249297","abstract":"This study reports the lyotropic phase behavior of two poly(ethylene oxide)-b-poly(butadiene) diblock copolymers and their cross-linking in the mesophase under retention of the mesoscopic order. The lyotropic phase behavior in water was characterized by polarized light microscopy and small-angle X-ray scattering (SAXS) in the concentration range from 0 to 100 wt % and in a temperature range between 20 and 100 C. Depending on polymer composition and concentration micellar, hexagonal, lamellar, and cubic phases are found. Their ranges as well as pronounced coexisting phase regions were determined. Several of these mesophases were cross-linked via y-irradiation to form mesostructured hydrogels. It is shown that the cross-linked polymer gel essentially maintains the parental lyotropic order, as proven by SAXS, polarized light microscopy, and transmission electron microscopy (TEM). TEM enables imaging of the polymer gel structure and thereby the visualization of the liquid-crystalline mesophase morphologies in themselves. The lyotropic mesophases as well as the lyotropic gels were used as templates for the synthesis of mesoporous silica, which is expected to give a negative solid copy of the ordered soft matter structure. The influence of the different templates on the silica structure formation is discussed. © 1999 American Chemical Society.","author":[{"dropping-particle":"","family":"Hentze","given":"H. P.","non-dropping-particle":"","parse-names":false,"suffix":""},{"dropping-particle":"","family":"Krämer","given":"E.","non-dropping-particle":"","parse-names":false,"suffix":""},{"dropping-particle":"","family":"Berton","given":"B.","non-dropping-particle":"","parse-names":false,"suffix":""},{"dropping-particle":"","family":"Förster","given":"S.","non-dropping-particle":"","parse-names":false,"suffix":""},{"dropping-particle":"","family":"Antonietti","given":"M.","non-dropping-particle":"","parse-names":false,"suffix":""},{"dropping-particle":"","family":"Dreja","given":"M.","non-dropping-particle":"","parse-names":false,"suffix":""}],"container-title":"Macromolecules","id":"ITEM-9","issue":"18","issued":{"date-parts":[["1999"]]},"page":"5803-5809","title":"Lyotropic mesophases of poly(ethylene oxide)-O-poly(butadiene) diblock copolymers and their cross-linking to generate ordered gels","type":"article-journal","volume":"32"},"uris":["http://www.mendeley.com/documents/?uuid=b307574d-954a-481f-b26f-5b53cd644727"]},{"id":"ITEM-10","itemData":{"DOI":"10.1039/c5sm01646k","ISSN":"17446848","abstract":"We present a facile method to prepare thermally stable and mechanically robust crosslinked lyotropic liquid crystals (LLCs) through incorporation of a polymerizable amphiphile into a binary LLC system comprising commercially available surfactant Brij 97 and water. Thermal stability and mechanical properties of the polymerized LLCs were significantly enhanced after polymerization of the incorporated polymerizable surfactant. The effect of incorporating a polymerizable amphiphile on the phase behavior of the LLC system was studied in detail. In situ photo-rheology was used to monitor the change in the mechanical properties of the LLCs, namely the storage modulus, loss modulus, and viscosity, upon polymerization. The retention of the LLC nanostructures was evaluated by small angle X-ray scattering (SAXS). The ability to control the thermal stability and mechanical strength of LLCs simply by adding a polymerizable amphiphile, without tedious organic synthesis or harsh polymerization conditions, could prove highly advantageous in the preparation of robust nanomaterials with well-defined periodic structures.","author":[{"dropping-particle":"","family":"Peng","given":"Shuhua","non-dropping-particle":"","parse-names":false,"suffix":""},{"dropping-particle":"","family":"Hartley","given":"Patrick G.","non-dropping-particle":"","parse-names":false,"suffix":""},{"dropping-particle":"","family":"Hughes","given":"Timothy C.","non-dropping-particle":"","parse-names":false,"suffix":""},{"dropping-particle":"","family":"Guo","given":"Qipeng","non-dropping-particle":"","parse-names":false,"suffix":""}],"container-title":"Soft Matter","id":"ITEM-10","issue":"31","issued":{"date-parts":[["2015"]]},"page":"6318-6326","title":"Enhancing thermal stability and mechanical properties of lyotropic liquid crystals through incorporation of a polymerizable surfactant","type":"article-journal","volume":"11"},"uris":["http://www.mendeley.com/documents/?uuid=e592e5f5-580a-420c-aef7-38efdb7c8860"]},{"id":"ITEM-11","itemData":{"DOI":"10.1039/c1sm06364b","ISSN":"1744-683X","abstract":"A self-supporting biomimetic chemical hydrogel that can be reversibly swollen in water is described. An aqueous dispersion of a diacrylate end-derivatized PEO-PPO-PEO macromer, a saturated phospholipid, and a zwitterionic co-surfactant self-assembles into a multilamellar-structured physical gel at room temperature as determined by SAXS. The addition of a water soluble PEGDA co-monomer and photoinitiator within the water layers does not alter the self-assembled structure. ATR/FT-IR spectroscopy reveals that photoirradiation initiates the crosslinking between the acrylate end groups on the macromer with the PEGDA, forming a polymeric network within the aqueous domains. The primitive cytoskeleton mimic serves to stabilize the amphiphile bilayer, converting the physical gel into an elastic self-supporting chemical gel. Storage under ambient conditions causes dehydration of the hydrogel to 5 wt % water which can be reversed by swelling in water. The fully water swollen gel (85 wt % water) remains self-supporting but converts to a non-lamellar structure. As water is lost the chemical gel regains its lamellar structure. Incubation of the hydrogel in nonpolar organic solvents that do not dissolve the uncrosslinked lipid component (hexane) allow for swelling without loss of structural integrity. Chloroform, which readily solubilizes the lipid, causes irreversible loss of the lamellar structure. © 2011 The Royal Society of Chemistry.","author":[{"dropping-particle":"","family":"Grubjesic","given":"Simonida","non-dropping-particle":"","parse-names":false,"suffix":""},{"dropping-particle":"","family":"Lee","given":"Byeongdu","non-dropping-particle":"","parse-names":false,"suffix":""},{"dropping-particle":"","family":"Seifert","given":"Sönke","non-dropping-particle":"","parse-names":false,"suffix":""},{"dropping-particle":"","family":"Firestone","given":"Millicent A.","non-dropping-particle":"","parse-names":false,"suffix":""}],"container-title":"Soft Matter","id":"ITEM-11","issue":"20","issued":{"date-parts":[["2011"]]},"page":"9695","title":"Preparation of a self-supporting cell architecture mimic by water channel confined photocrosslinking within a lamellar structured hydrogel","type":"article-journal","volume":"7"},"uris":["http://www.mendeley.com/documents/?uuid=6ea39c6f-9a66-47d2-9f3e-f7229ea48288"]}],"mendeley":{"formattedCitation":"&lt;sup&gt;58,61,73,80,81,86,87,101,103,105,106&lt;/sup&gt;","plainTextFormattedCitation":"58,61,73,80,81,86,87,101,103,105,106","previouslyFormattedCitation":"&lt;sup&gt;58,61,73,80,81,86,87,101,103,105,106&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58,61,73,80,81,86,87,101,103,105,106</w:t>
      </w:r>
      <w:r w:rsidRPr="006D631C">
        <w:rPr>
          <w:rFonts w:asciiTheme="majorBidi" w:hAnsiTheme="majorBidi" w:cstheme="majorBidi"/>
        </w:rPr>
        <w:fldChar w:fldCharType="end"/>
      </w:r>
      <w:r w:rsidRPr="006D631C">
        <w:rPr>
          <w:rFonts w:asciiTheme="majorBidi" w:hAnsiTheme="majorBidi" w:cstheme="majorBidi"/>
        </w:rPr>
        <w:t xml:space="preserve"> As an example, Firestone </w:t>
      </w:r>
      <w:r w:rsidRPr="006D631C">
        <w:rPr>
          <w:rFonts w:asciiTheme="majorBidi" w:hAnsiTheme="majorBidi" w:cstheme="majorBidi"/>
          <w:i/>
          <w:iCs/>
        </w:rPr>
        <w:t>et al.</w:t>
      </w:r>
      <w:r w:rsidRPr="006D631C">
        <w:rPr>
          <w:rFonts w:asciiTheme="majorBidi" w:hAnsiTheme="majorBidi" w:cstheme="majorBidi"/>
        </w:rPr>
        <w:t xml:space="preserve"> have performed several studies to cure L</w:t>
      </w:r>
      <w:r w:rsidRPr="006D631C">
        <w:rPr>
          <w:rFonts w:asciiTheme="majorBidi" w:hAnsiTheme="majorBidi" w:cstheme="majorBidi"/>
          <w:vertAlign w:val="subscript"/>
        </w:rPr>
        <w:t>α</w:t>
      </w:r>
      <w:r w:rsidRPr="006D631C">
        <w:rPr>
          <w:rFonts w:asciiTheme="majorBidi" w:hAnsiTheme="majorBidi" w:cstheme="majorBidi"/>
        </w:rPr>
        <w:t xml:space="preserve"> and HPL structures made by reactive amphiphilic </w:t>
      </w:r>
      <w:proofErr w:type="spellStart"/>
      <w:r w:rsidRPr="006D631C">
        <w:rPr>
          <w:rFonts w:asciiTheme="majorBidi" w:hAnsiTheme="majorBidi" w:cstheme="majorBidi"/>
        </w:rPr>
        <w:t>imidazolium</w:t>
      </w:r>
      <w:proofErr w:type="spellEnd"/>
      <w:r w:rsidRPr="006D631C">
        <w:rPr>
          <w:rFonts w:asciiTheme="majorBidi" w:hAnsiTheme="majorBidi" w:cstheme="majorBidi"/>
        </w:rPr>
        <w:t>-based ionic liquids to produce a robust ion gels without sacrificing the conductivity of the parent LLC phases.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{"citationItems":[{"id":"ITEM-1","itemData":{"DOI":"10.1021/cm062992z","ISSN":"08974756","abstract":"Preparation and polymerization of a methylimidazolium-based ionic liquid (IL) that incorporates an acryloyl moiety at the terminus of a C8 alkyl chain is described. The IL monomer weakly self-assembles upon addition of water and oligomerizes on mild heating. Initiator-free polymerization (as evidenced by FT-IR spectroscopy) can be achieved by UV irradiation, forming an elastic, self-supporting hydrogel. Small-angle X-ray scattering (SAXS) studies on the unsupported polymer demonstrate that the hydrogel adopts an ordered lamellar structure. The polymer can absorb large quantities of water, swelling to nearly 200 times its original volume and, in the process, becoming a highly disordered lamellar structure. Swelling studies conducted using a range of organic solvents demonstrate that the polymer can also be swollen (albeit to a lesser extent) by polar, hydrogen-bonding solvents such as ethanol. © 2007 American Chemical Society.","author":[{"dropping-particle":"","family":"Batra","given":"Dolly","non-dropping-particle":"","parse-names":false,"suffix":""},{"dropping-particle":"","family":"Hay","given":"Daniel N.T.","non-dropping-particle":"","parse-names":false,"suffix":""},{"dropping-particle":"","family":"Firestone","given":"Millicent A.","non-dropping-particle":"","parse-names":false,"suffix":""}],"container-title":"Chemistry of Materials","id":"ITEM-1","issue":"18","issued":{"date-parts":[["2007"]]},"page":"4423-4431","title":"Formation of a biomimetic, liquid-crystalline hydrogel by self-assembly and polymerization of an ionic liquid","type":"article-journal","volume":"19"},"uris":["http://www.mendeley.com/documents/?uuid=096fded3-48dd-4649-844d-9bed47afa9c2"]},{"id":"ITEM-2","itemData":{"DOI":"10.1002/macp.200700174","ISSN":"10221352","abstract":"The binary phase behavior of a series of imidazolium-based ionic liquids (ILs) has been investigated. In particular, the effect of two structural modifications of the imidazolium cation, alkyl chain length, and the introduction of a polymerizable acryloyl group at the alkyl chain terminus, has been studied using small angle X-ray scattering. Upon increasing water content, the non-polymerizable IL, 1-decyl-3-methylimidazolium chloride, adopts mesophase structures of predominately two-dimensional (2D) hexagonal symmetry, including structures intermediate in character between lamellae and 2D hexagonal micelles. Introduction of a photopolymerizable acryloyl functional group to form l-(10-(acryloyloxy)decyl)-3-methylimidazolium chloride produces a rod-coil IL cation that yields self-assembled mesophases in which the formation of tetragonal morphologies is favored. Covalent linking of the IL cations by UV-induced polymerization converts the lyotropic mesophase into three-dimensional biocontinuous chemical gels. Reducing the alkyl chain length, as in the polymerizable IL cation 1-(8-(acryloyloxy)octyl)-3-methylimidazolium chloride, severely reduces the self-assembled mesophase order, and triggers the formation of only weakly ordered one-dimensional lamellar structures. © 2007 WILEY-VCH Verlag GmbH &amp; Co. KGaA.","author":[{"dropping-particle":"","family":"Batra","given":"Dolly","non-dropping-particle":"","parse-names":false,"suffix":""},{"dropping-particle":"","family":"Seifert","given":"Sönke","non-dropping-particle":"","parse-names":false,"suffix":""},{"dropping-particle":"","family":"Firestone","given":"Millicent A.","non-dropping-particle":"","parse-names":false,"suffix":""}],"container-title":"Macromolecular Chemistry and Physics","id":"ITEM-2","issue":"13","issued":{"date-parts":[["2007","7","3"]]},"page":"1416-1427","title":"The Effect of Cation Structure on the Mesophase Architecture of Self-Assembled and Polymerized Imidazolium-Based Ionic Liquids","type":"article-journal","volume":"208"},"uris":["http://www.mendeley.com/documents/?uuid=9841d302-c27a-4d6a-8fe2-cfeb23969c30"]},{"id":"ITEM-3","itemData":{"DOI":"10.1002/polb.23321","ISSN":"08876266","abstract":"Polymerization of a self-assembled 1-dodecyl-3-propargylimidazolium bromide ionic liquid (IL) yields a nanostructured ionic polyacetylene. A 1:1 aqueous mixture of the amphiphilic IL produces an ordered lyotropic mesophase that adopts a hexagonal perforated lamellar structure. Rh (I)-mediated polymerization of the assembled mixture yields a hexagonal modulated lamellar structured polymer. FTIR spectroscopy reveals that the polymer was self n-doped. The polymer was fractioned into three components with the majority product, possessing an intermediate molecular weight that is soluble in polar organic solvents. In methanol, the optical band gap of the main fraction was determined to be 2.38 eV and was nonemissive. The solution-processable polymer was airbrush sprayed onto glass substrates to give a liquid-crystalline, lamellar structured semiconductive film (7.02 × 10-5 S cm-1). The polymer resisted oxidation (degradation) upon storage in air as monitored by vibrational spectroscopy. © 2013 Wiley Periodicals, Inc.","author":[{"dropping-particle":"","family":"Ringstrand","given":"Bryan","non-dropping-particle":"","parse-names":false,"suffix":""},{"dropping-particle":"","family":"Seifert","given":"Sönke","non-dropping-particle":"","parse-names":false,"suffix":""},{"dropping-particle":"","family":"Firestone","given":"Millicent A.","non-dropping-particle":"","parse-names":false,"suffix":""}],"container-title":"Journal of Polymer Science, Part B: Polymer Physics","id":"ITEM-3","issue":"16","issued":{"date-parts":[["2013"]]},"page":"1215-1227","title":"Preparation of a solution-processable, nanostructured ionic polyacetylene","type":"article-journal","volume":"51"},"uris":["http://www.mendeley.com/documents/?uuid=cd7d4345-3b1a-4ede-a60c-08304352c736"]},{"id":"ITEM-4","itemData":{"DOI":"10.1039/c1sm06364b","ISSN":"1744-683X","abstract":"A self-supporting biomimetic chemical hydrogel that can be reversibly swollen in water is described. An aqueous dispersion of a diacrylate end-derivatized PEO-PPO-PEO macromer, a saturated phospholipid, and a zwitterionic co-surfactant self-assembles into a multilamellar-structured physical gel at room temperature as determined by SAXS. The addition of a water soluble PEGDA co-monomer and photoinitiator within the water layers does not alter the self-assembled structure. ATR/FT-IR spectroscopy reveals that photoirradiation initiates the crosslinking between the acrylate end groups on the macromer with the PEGDA, forming a polymeric network within the aqueous domains. The primitive cytoskeleton mimic serves to stabilize the amphiphile bilayer, converting the physical gel into an elastic self-supporting chemical gel. Storage under ambient conditions causes dehydration of the hydrogel to 5 wt % water which can be reversed by swelling in water. The fully water swollen gel (85 wt % water) remains self-supporting but converts to a non-lamellar structure. As water is lost the chemical gel regains its lamellar structure. Incubation of the hydrogel in nonpolar organic solvents that do not dissolve the uncrosslinked lipid component (hexane) allow for swelling without loss of structural integrity. Chloroform, which readily solubilizes the lipid, causes irreversible loss of the lamellar structure. © 2011 The Royal Society of Chemistry.","author":[{"dropping-particle":"","family":"Grubjesic","given":"Simonida","non-dropping-particle":"","parse-names":false,"suffix":""},{"dropping-particle":"","family":"Lee","given":"Byeongdu","non-dropping-particle":"","parse-names":false,"suffix":""},{"dropping-particle":"","family":"Seifert","given":"Sönke","non-dropping-particle":"","parse-names":false,"suffix":""},{"dropping-particle":"","family":"Firestone","given":"Millicent A.","non-dropping-particle":"","parse-names":false,"suffix":""}],"container-title":"Soft Matter","id":"ITEM-4","issue":"20","issued":{"date-parts":[["2011"]]},"page":"9695","title":"Preparation of a self-supporting cell architecture mimic by water channel confined photocrosslinking within a lamellar structured hydrogel","type":"article-journal","volume":"7"},"uris":["http://www.mendeley.com/documents/?uuid=6ea39c6f-9a66-47d2-9f3e-f7229ea48288"]}],"mendeley":{"formattedCitation":"&lt;sup&gt;86,87,103,105&lt;/sup&gt;","plainTextFormattedCitation":"86,87,103,105","previouslyFormattedCitation":"&lt;sup&gt;86,87,103,105&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86,87,103,105</w:t>
      </w:r>
      <w:r w:rsidRPr="006D631C">
        <w:rPr>
          <w:rFonts w:asciiTheme="majorBidi" w:hAnsiTheme="majorBidi" w:cstheme="majorBidi"/>
        </w:rPr>
        <w:fldChar w:fldCharType="end"/>
      </w:r>
      <w:r w:rsidRPr="006D631C">
        <w:rPr>
          <w:rFonts w:asciiTheme="majorBidi" w:hAnsiTheme="majorBidi" w:cstheme="majorBidi"/>
        </w:rPr>
        <w:t xml:space="preserve">  </w:t>
      </w:r>
    </w:p>
    <w:p w14:paraId="0E854C75" w14:textId="315430C8" w:rsidR="00C2494A" w:rsidRPr="006D631C" w:rsidRDefault="00C2494A" w:rsidP="00CB7643">
      <w:pPr>
        <w:pStyle w:val="Heading3"/>
      </w:pPr>
      <w:bookmarkStart w:id="64" w:name="_Toc131082869"/>
      <w:bookmarkStart w:id="65" w:name="_Toc148175787"/>
      <w:r w:rsidRPr="006D631C">
        <w:t xml:space="preserve">1.3.3 </w:t>
      </w:r>
      <w:proofErr w:type="spellStart"/>
      <w:r w:rsidRPr="006D631C">
        <w:t>Bicontinuous</w:t>
      </w:r>
      <w:proofErr w:type="spellEnd"/>
      <w:r w:rsidRPr="006D631C">
        <w:t xml:space="preserve"> cubic (Q</w:t>
      </w:r>
      <w:r w:rsidRPr="006D631C">
        <w:rPr>
          <w:vertAlign w:val="subscript"/>
        </w:rPr>
        <w:t>α</w:t>
      </w:r>
      <w:r w:rsidRPr="006D631C">
        <w:t>)</w:t>
      </w:r>
      <w:bookmarkEnd w:id="64"/>
      <w:bookmarkEnd w:id="65"/>
      <w:r w:rsidRPr="006D631C">
        <w:t xml:space="preserve"> </w:t>
      </w:r>
    </w:p>
    <w:p w14:paraId="47C2D9A5" w14:textId="5615C2F4" w:rsidR="001D21F8" w:rsidRPr="006D631C" w:rsidRDefault="001D21F8"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LLCs with Q</w:t>
      </w:r>
      <w:r w:rsidRPr="006D631C">
        <w:rPr>
          <w:rFonts w:asciiTheme="majorBidi" w:hAnsiTheme="majorBidi" w:cstheme="majorBidi"/>
          <w:vertAlign w:val="subscript"/>
        </w:rPr>
        <w:t>α</w:t>
      </w:r>
      <w:r w:rsidRPr="006D631C">
        <w:rPr>
          <w:rFonts w:asciiTheme="majorBidi" w:hAnsiTheme="majorBidi" w:cstheme="majorBidi"/>
        </w:rPr>
        <w:t xml:space="preserve"> structures</w:t>
      </w:r>
      <w:r w:rsidR="00F12F77" w:rsidRPr="006D631C">
        <w:rPr>
          <w:rFonts w:asciiTheme="majorBidi" w:hAnsiTheme="majorBidi" w:cstheme="majorBidi"/>
        </w:rPr>
        <w:t xml:space="preserve"> having lattice parameters of ~5 to ~</w:t>
      </w:r>
      <w:r w:rsidRPr="006D631C">
        <w:rPr>
          <w:rFonts w:asciiTheme="majorBidi" w:hAnsiTheme="majorBidi" w:cstheme="majorBidi"/>
        </w:rPr>
        <w:t>13.5 nm have been used in synergistic templating efforts (see Table 1-2). The accessibility of Q</w:t>
      </w:r>
      <w:r w:rsidRPr="006D631C">
        <w:rPr>
          <w:rFonts w:asciiTheme="majorBidi" w:hAnsiTheme="majorBidi" w:cstheme="majorBidi"/>
          <w:vertAlign w:val="subscript"/>
        </w:rPr>
        <w:t>α</w:t>
      </w:r>
      <w:r w:rsidRPr="006D631C">
        <w:rPr>
          <w:rFonts w:asciiTheme="majorBidi" w:hAnsiTheme="majorBidi" w:cstheme="majorBidi"/>
        </w:rPr>
        <w:t xml:space="preserve"> phase before polymerization is the most important challenge in templating process. Due to the relative scarcity of Q</w:t>
      </w:r>
      <w:r w:rsidRPr="006D631C">
        <w:rPr>
          <w:rFonts w:asciiTheme="majorBidi" w:hAnsiTheme="majorBidi" w:cstheme="majorBidi"/>
          <w:vertAlign w:val="subscript"/>
        </w:rPr>
        <w:t>α</w:t>
      </w:r>
      <w:r w:rsidRPr="006D631C">
        <w:rPr>
          <w:rFonts w:asciiTheme="majorBidi" w:hAnsiTheme="majorBidi" w:cstheme="majorBidi"/>
        </w:rPr>
        <w:t xml:space="preserve"> phases, researchers have generally focused their efforts in synthesizing new reactive </w:t>
      </w:r>
      <w:proofErr w:type="spellStart"/>
      <w:r w:rsidRPr="006D631C">
        <w:rPr>
          <w:rFonts w:asciiTheme="majorBidi" w:hAnsiTheme="majorBidi" w:cstheme="majorBidi"/>
        </w:rPr>
        <w:t>amphiphiles</w:t>
      </w:r>
      <w:proofErr w:type="spellEnd"/>
      <w:r w:rsidRPr="006D631C">
        <w:rPr>
          <w:rFonts w:asciiTheme="majorBidi" w:hAnsiTheme="majorBidi" w:cstheme="majorBidi"/>
        </w:rPr>
        <w:t xml:space="preserve"> and  formulations design and optimizations.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{"citationItems":[{"id":"ITEM-1","itemData":{"DOI":"10.1038/pj.2012.15","ISSN":"0032-3896","abstract":"The bicontinuous cubic (Q) lyotropic liquid crystal (LLC) phases formed by the phase-separation and self-organization of amphiphilic molecules in water are intriguing structures for a number of transport-related applications because they possess ordered, uniform, 3D-interconnected water channels on the size of single molecules. Polymeric materials formed from either the templated polymerization or cross-linking of conventional monomers around Q phases, or the direct polymerization or cross-linking of Q phases formed by reactive amphiphiles retain the desired LLC nanostructure but are more robust for true application development. The structures of Q LLC phases were only elucidated in the late 1980s, and the first successful preparation of polymers based on Q phases was reported soon after. However, the development and demonstration of these nanoporous polymers for material applications were not realized until the first decade of the twenty-first century. This focus review provides an overview of work in the area of Q LLC phase-based polymer materials, with a focus on the work of our research group and that of our collaborators on polymer networks prepared by the direct polymerization of reactive Q phases and their development as functional materials for several engineering applications. © 2012 The Society of Polymer Science, Japan (SPSJ) All rights reserved.","author":[{"dropping-particle":"","family":"Wiesenauer","given":"Brian R.","non-dropping-particle":"","parse-names":false,"suffix":""},{"dropping-particle":"","family":"Gin","given":"Douglas L.","non-dropping-particle":"","parse-names":false,"suffix":""}],"container-title":"Polymer Journal","id":"ITEM-1","issue":"6","issued":{"date-parts":[["2012","6","14"]]},"page":"461-468","title":"Nanoporous polymer materials based on self-organized, bicontinuous cubic lyotropic liquid crystal assemblies and their applications","type":"article-journal","volume":"44"},"uris":["http://www.mendeley.com/documents/?uuid=c1fbb05b-524f-41ed-9658-4861ba349713"]}],"mendeley":{"formattedCitation":"&lt;sup&gt;107&lt;/sup&gt;","plainTextFormattedCitation":"107","previouslyFormattedCitation":"&lt;sup&gt;107&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107</w:t>
      </w:r>
      <w:r w:rsidRPr="006D631C">
        <w:rPr>
          <w:rFonts w:asciiTheme="majorBidi" w:hAnsiTheme="majorBidi" w:cstheme="majorBidi"/>
        </w:rPr>
        <w:fldChar w:fldCharType="end"/>
      </w:r>
      <w:r w:rsidRPr="006D631C">
        <w:rPr>
          <w:rFonts w:asciiTheme="majorBidi" w:hAnsiTheme="majorBidi" w:cstheme="majorBidi"/>
        </w:rPr>
        <w:t xml:space="preserve"> For instance, the formation of Q</w:t>
      </w:r>
      <w:r w:rsidRPr="006D631C">
        <w:rPr>
          <w:rFonts w:asciiTheme="majorBidi" w:hAnsiTheme="majorBidi" w:cstheme="majorBidi"/>
          <w:vertAlign w:val="subscript"/>
        </w:rPr>
        <w:t>α</w:t>
      </w:r>
      <w:r w:rsidRPr="006D631C">
        <w:rPr>
          <w:rFonts w:asciiTheme="majorBidi" w:hAnsiTheme="majorBidi" w:cstheme="majorBidi"/>
        </w:rPr>
        <w:t xml:space="preserve"> phases is less challenging in binary phases rather than in ternary ones.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{"citationItems":[{"id":"ITEM-1","itemData":{"DOI":"10.1038/pj.2012.15","ISSN":"0032-3896","abstract":"The bicontinuous cubic (Q) lyotropic liquid crystal (LLC) phases formed by the phase-separation and self-organization of amphiphilic molecules in water are intriguing structures for a number of transport-related applications because they possess ordered, uniform, 3D-interconnected water channels on the size of single molecules. Polymeric materials formed from either the templated polymerization or cross-linking of conventional monomers around Q phases, or the direct polymerization or cross-linking of Q phases formed by reactive amphiphiles retain the desired LLC nanostructure but are more robust for true application development. The structures of Q LLC phases were only elucidated in the late 1980s, and the first successful preparation of polymers based on Q phases was reported soon after. However, the development and demonstration of these nanoporous polymers for material applications were not realized until the first decade of the twenty-first century. This focus review provides an overview of work in the area of Q LLC phase-based polymer materials, with a focus on the work of our research group and that of our collaborators on polymer networks prepared by the direct polymerization of reactive Q phases and their development as functional materials for several engineering applications. © 2012 The Society of Polymer Science, Japan (SPSJ) All rights reserved.","author":[{"dropping-particle":"","family":"Wiesenauer","given":"Brian R.","non-dropping-particle":"","parse-names":false,"suffix":""},{"dropping-particle":"","family":"Gin","given":"Douglas L.","non-dropping-particle":"","parse-names":false,"suffix":""}],"container-title":"Polymer Journal","id":"ITEM-1","issue":"6","issued":{"date-parts":[["2012","6","14"]]},"page":"461-468","title":"Nanoporous polymer materials based on self-organized, bicontinuous cubic lyotropic liquid crystal assemblies and their applications","type":"article-journal","volume":"44"},"uris":["http://www.mendeley.com/documents/?uuid=c1fbb05b-524f-41ed-9658-4861ba349713"]}],"mendeley":{"formattedCitation":"&lt;sup&gt;107&lt;/sup&gt;","plainTextFormattedCitation":"107","previouslyFormattedCitation":"&lt;sup&gt;107&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107</w:t>
      </w:r>
      <w:r w:rsidRPr="006D631C">
        <w:rPr>
          <w:rFonts w:asciiTheme="majorBidi" w:hAnsiTheme="majorBidi" w:cstheme="majorBidi"/>
        </w:rPr>
        <w:fldChar w:fldCharType="end"/>
      </w:r>
      <w:r w:rsidRPr="006D631C">
        <w:rPr>
          <w:rFonts w:asciiTheme="majorBidi" w:hAnsiTheme="majorBidi" w:cstheme="majorBidi"/>
        </w:rPr>
        <w:t xml:space="preserve"> On the other hand, the shape of the amphiphilic monomer (e.g., the volume of the lipophilic tail, the ‘effective’ area of the hydrophilic head, and the extended lipophilic chain length) dictates the type of the LLC structure. As an </w:t>
      </w:r>
      <w:r w:rsidRPr="006D631C">
        <w:rPr>
          <w:rFonts w:asciiTheme="majorBidi" w:hAnsiTheme="majorBidi" w:cstheme="majorBidi"/>
        </w:rPr>
        <w:lastRenderedPageBreak/>
        <w:t>example, monomers with small hydrophilic head and a broad flattened hydrophobic tail (tapered shape) tend to form H</w:t>
      </w:r>
      <w:r w:rsidRPr="006D631C">
        <w:rPr>
          <w:rFonts w:asciiTheme="majorBidi" w:hAnsiTheme="majorBidi" w:cstheme="majorBidi"/>
          <w:vertAlign w:val="subscript"/>
        </w:rPr>
        <w:t>2</w:t>
      </w:r>
      <w:r w:rsidRPr="006D631C">
        <w:rPr>
          <w:rFonts w:asciiTheme="majorBidi" w:hAnsiTheme="majorBidi" w:cstheme="majorBidi"/>
        </w:rPr>
        <w:t xml:space="preserve"> structure, whereas amphiphilic monomers with cylindrical shape tend to form lamellar phase.</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{"citationItems":[{"id":"ITEM-1","itemData":{"DOI":"10.1021/ja002462i","ISSN":"0002-7863","abstract":"An efficient and versatile synthesis of a series of polymerizable amphiphilic mesogens that affords control over tail length and position of the polymerizable group is described. The synthesis employs a novel and facile method of preparing styrene ethers. The monomers are sodium salts of styrene ether-modified fatty acids that can be used to form cross-linkable inverted hexagonal (HII) lyotropic liquid crystal (LLC) phases at ambient temperature with controllable nanometer-scale dimensions. Examination of a series of regioisomers with the same alkyl chain length but with the styrene ether group at different locations along the chain revealed that the position of the styrene ether has a profound effect on the dimensions of the resulting HII phase at a fixed temperature and composition. Increasing overall monomer tail length also has a significant, although smaller, effect on the unit cell dimensions of the LLC phase. By controlling the structure of the LLC monomer in this manner, cross-linked HII phases with interchannel distances (ICD) ranging from 29 to 54 Å can be obtained. Furthermore, changing the counterion from Na+ to tetraalkylammonium ions leads to further expansion of the HII unit cell to a maximum ICD of 65 Å, as well as to the production of a lamellar phase. Use of these monomers affords a new and unparalleled degree of control over phase structure and dimensions for the production of nanostructured organic materials.","author":[{"dropping-particle":"","family":"Reppy","given":"Mary A.","non-dropping-particle":"","parse-names":false,"suffix":""},{"dropping-particle":"","family":"Gray","given":"David H.","non-dropping-particle":"","parse-names":false,"suffix":""},{"dropping-particle":"","family":"Pindzola","given":"Brad A.","non-dropping-particle":"","parse-names":false,"suffix":""},{"dropping-particle":"","family":"Smithers","given":"Juston L.","non-dropping-particle":"","parse-names":false,"suffix":""},{"dropping-particle":"","family":"Gin","given":"Douglas L.","non-dropping-particle":"","parse-names":false,"suffix":""}],"container-title":"Journal of the American Chemical Society","id":"ITEM-1","issue":"3","issued":{"date-parts":[["2001","1"]]},"page":"363-371","title":"A New Family of Polymerizable Lyotropic Liquid Crystals: Control of Feature Size in Cross-Linked Inverted Hexagonal Assemblies via Monomer Structure","type":"article-journal","volume":"123"},"uris":["http://www.mendeley.com/documents/?uuid=9cf7e8db-5e3a-4b16-ad9e-3fecf29d5c0a"]}],"mendeley":{"formattedCitation":"&lt;sup&gt;83&lt;/sup&gt;","plainTextFormattedCitation":"83","previouslyFormattedCitation":"&lt;sup&gt;83&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83</w:t>
      </w:r>
      <w:r w:rsidRPr="006D631C">
        <w:rPr>
          <w:rFonts w:asciiTheme="majorBidi" w:hAnsiTheme="majorBidi" w:cstheme="majorBidi"/>
        </w:rPr>
        <w:fldChar w:fldCharType="end"/>
      </w:r>
      <w:r w:rsidRPr="006D631C">
        <w:rPr>
          <w:rFonts w:asciiTheme="majorBidi" w:hAnsiTheme="majorBidi" w:cstheme="majorBidi"/>
        </w:rPr>
        <w:t xml:space="preserve"> O’Brian and co-workers were pioneers in designing reactive surfactants that form Q</w:t>
      </w:r>
      <w:r w:rsidRPr="006D631C">
        <w:rPr>
          <w:rFonts w:asciiTheme="majorBidi" w:hAnsiTheme="majorBidi" w:cstheme="majorBidi"/>
          <w:vertAlign w:val="subscript"/>
        </w:rPr>
        <w:t>2</w:t>
      </w:r>
      <w:r w:rsidRPr="006D631C">
        <w:rPr>
          <w:rFonts w:asciiTheme="majorBidi" w:hAnsiTheme="majorBidi" w:cstheme="majorBidi"/>
        </w:rPr>
        <w:t xml:space="preserve"> structure.</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{"citationItems":[{"id":"ITEM-1","itemData":{"DOI":"10.1021/ja00125a019","ISSN":"15205126","abstract":"The formation of nonlamellar lipid structures in model lipid membranes has been extensively studied in recent years. These hydrated lipid phases include the inverted hexagonal phase and various bicontinuous cubic phases, which occur at selected lipid concentrations, temperatures, and pressures. Cubic phases that are bicontinuous with respect to the polar and nonpolar regions are especially interesting as organic analogs of zeolites. The recently developed methods used to polymerize and stabilize lamellar assemblies offer certain strategies that are applicable to nonlamellar phases. Here we report the successful stabilization of a nonlamellar phase via the polymerization of reactive amphiphiles. A 3:1 molar mixture of polymerizable mono-dienoyl-substituted phosphoethanolamine and bis-dienoyl-substituted phosphocholine were hydrated to yield bilayers. X-ray diffraction of the unpolymerized mixture at 60 °C showed the formation of an inverted hexagonal phase which on prolonged incubation changed to a bicontinuous cubic phase of Pn3m symmetry. Polymerization of the hexagonal phase produced a stabilized hexagonal structure over the range of 20 to 60 °C. The same lipids at lower concentration were characterized by 31P-NMR and transmission electron microscopy (TEM) before and after polymerization. The NMR shows the formation of a sample with isotropic symmetry as expected for a cubic phase. The polymerized sample retained a nonlamellar structure after cooling and extended storage at room temperature or near 0 °C. The TEMs show a polydomain square lattice with 6 ± 1 nm diameter aqueous channels. This stabilized nonlamellar phase is the first representative of a new family of materials with interpenetrating water channels with high surface area and potentially bicompatible lipid—water interfaces. © 1995, American Chemical Society. All rights reserved.","author":[{"dropping-particle":"","family":"Lee","given":"Youn Sik","non-dropping-particle":"","parse-names":false,"suffix":""},{"dropping-particle":"","family":"Gleeson","given":"James T.","non-dropping-particle":"","parse-names":false,"suffix":""},{"dropping-particle":"","family":"Yang","given":"Jian Zhong","non-dropping-particle":"","parse-names":false,"suffix":""},{"dropping-particle":"","family":"Sisson","given":"Thomas M.","non-dropping-particle":"","parse-names":false,"suffix":""},{"dropping-particle":"","family":"Frankel","given":"David A.","non-dropping-particle":"","parse-names":false,"suffix":""},{"dropping-particle":"","family":"O'Brien","given":"David F.","non-dropping-particle":"","parse-names":false,"suffix":""},{"dropping-particle":"","family":"Keller","given":"Sarah L.","non-dropping-particle":"","parse-names":false,"suffix":""},{"dropping-particle":"","family":"Aksay","given":"Emre","non-dropping-particle":"","parse-names":false,"suffix":""},{"dropping-particle":"","family":"Gruner","given":"Sol M.","non-dropping-particle":"","parse-names":false,"suffix":""}],"container-title":"Journal of the American Chemical Society","id":"ITEM-1","issue":"20","issued":{"date-parts":[["1995"]]},"page":"5573-5578","title":"Polymerization of Nonlamellar Lipid Assemblies","type":"article-journal","volume":"117"},"uris":["http://www.mendeley.com/documents/?uuid=48e800eb-d8de-4cfd-a687-8bddfebe435a"]},{"id":"ITEM-2","itemData":{"DOI":"10.1021/la970897m","ISSN":"07437463","abstract":"Technological applications of lipids may be possible through stabilization of various liquid-crystalline phases. One important approach to stabilized self-assembling materials utilizes polymerization of liquid-crystalline phases composed of reactive lipids. Polymerization of lipids has been utilized to modify the chemical and physical properties of lamellar assemblies (e.g., lipid monolayers, multilayers, and bilayer vesicles). In addition, polymerization of the lipid region of three-dimensional nonlamellar lipid-phase structures has recently been reported, including the reversed bicontinuous cubic (QII) phase, belonging to the space group Pn3m and the reversed hexagonal (HII) phase. Here we show that an easily prepared polymerizable monoacylglycerol combined in a 9/1 molar ratio with the corresponding polymerizable 1,2-diacylglycerol forms nonlamellar phases upon hydration at room temperature. Phase investigation using cross-polarized light, 2H NMR spectroscopy, and X-ray diffraction showed that the lipid mixture formed a well-defined cubic phase from at least 5 to 45 °C. The X-ray diffraction pattern corresponded to a cubic phase with Ia3d symmetry and a unit cell size of 131 Å at 25 °C. Polymerization to high conversion of this cubic phase was accomplished via the thermal decomposition of H2O2. The resultant polymers dissolved in organic solvent, indicating they were not cross-linked. The visual clear character, cross-polarized light test, and X-ray diffraction showed that isotropic architecture was maintained up to at least 70 °C after sample polymerization. The diffusion coefficient of water (23 °C) within the polymerized cubic phase, determined by pulsed field gradient NMR spectroscopy, was 1.2 ± 0.2 × 10-10m2/s, a value consistent with retention of the cubic phase during and after the polymerization. The biocompatible and mesoporous nature of the polymerized cubic phase suggests it could be used as the host for incorporation of synthetic or biological molecules in a manner that has already proven especially useful in microporous solids.","author":[{"dropping-particle":"","family":"Srisiri","given":"Warunee","non-dropping-particle":"","parse-names":false,"suffix":""},{"dropping-particle":"","family":"Benedicto","given":"Alto","non-dropping-particle":"","parse-names":false,"suffix":""},{"dropping-particle":"","family":"O'Brien","given":"David F.","non-dropping-particle":"","parse-names":false,"suffix":""},{"dropping-particle":"","family":"Trouard","given":"Theodore P.","non-dropping-particle":"","parse-names":false,"suffix":""},{"dropping-particle":"","family":"Orädd","given":"Greger","non-dropping-particle":"","parse-names":false,"suffix":""},{"dropping-particle":"","family":"Persson","given":"Stefan","non-dropping-particle":"","parse-names":false,"suffix":""},{"dropping-particle":"","family":"Lindblom","given":"Göran","non-dropping-particle":"","parse-names":false,"suffix":""}],"container-title":"Langmuir","id":"ITEM-2","issue":"7","issued":{"date-parts":[["1998"]]},"page":"1921-1926","title":"Stabilization of a bicontinuous cubic phase from polymerizable monoacylglycerol and diacylglycerol","type":"article-journal","volume":"14"},"uris":["http://www.mendeley.com/documents/?uuid=127cee99-c85c-47e9-a74c-00615e6be537"]},{"id":"ITEM-3","itemData":{"DOI":"10.1021/ja970052x","ISSN":"00027863","abstract":"The hydration of polar natural and synthetic lipids yields a variety of lipid phases including various inverted cubic phases and the inverted hexagonal (H(II)) phase. The H(II) phase can be considered as aqueous columns encased with a monolayer of lipids and arranged in a hexagonal pattern. The polar head groups are well-ordered at the water interface, whereas the lipid tails are disordered to fill the volume between the tubes of water. A particularly interesting characteristic of the H(II) phase is the large temperature effect on the basis vector length d of the hexagonal lattice. Previous studies indicate that polymerization of the lipid region of the H(II) phase might reduce the sensitivity of the basis vector to temperature. A phosphoethanolamine (PE) was designed and synthesized with dienoyl groups in each lipid tail in an attempt to cross-link the lipids around and along the water core of the H(II) phase. The synthesis of the the PE was accomplished by acylation of 3-(4-methoxybenzyl)-sn-glycerol with 2,4,13- (E,E,Z)-docosatrienoic acid, followed by deprotection, then phosphorylation with dichloro-[[N-[(2,2,2- trichloroethoxy)carbonyl]-2-aminolethyl]phosphinic acid to give the Troc-PE, which was converted to the PE with activated zinc and acetic acid. The hydrated PE (1/1 weight lipid/water) formed the H(II) phase over an extended temperature range. Polymerization to high conversion was accomplished at 60 °C with the aid of redox initiators. Polymerization was followed in-situ using X-ray diffraction over a period of 48 h. The scattering, which weakened over the course of the reaction, remained consistent with a hexagonal phase. Temperature cycling of the polymerized H(II) phase showed an unaltered pattern on decreasing temperature while maintaining the same lattice parameter, unlike that of the unpolymerized phase where the value increased with decreasing temperature. Thus it is possible to fix the dimensions of the H(II) phase by cross-linking polymerization of appropriately designed reactive lipids.","author":[{"dropping-particle":"","family":"Srisiri","given":"Warunee","non-dropping-particle":"","parse-names":false,"suffix":""},{"dropping-particle":"","family":"Sisson","given":"Thomas M.","non-dropping-particle":"","parse-names":false,"suffix":""},{"dropping-particle":"","family":"O'Brien","given":"David F.","non-dropping-particle":"","parse-names":false,"suffix":""},{"dropping-particle":"","family":"McGrath","given":"K. M.","non-dropping-particle":"","parse-names":false,"suffix":""},{"dropping-particle":"","family":"Han","given":"Yuqi","non-dropping-particle":"","parse-names":false,"suffix":""},{"dropping-particle":"","family":"Gruner","given":"Sol M.","non-dropping-particle":"","parse-names":false,"suffix":""}],"container-title":"Journal of the American Chemical Society","id":"ITEM-3","issue":"21","issued":{"date-parts":[["1997"]]},"page":"4866-4873","title":"Polymerization of the inverted hexagonal phase","type":"article-journal","volume":"119"},"uris":["http://www.mendeley.com/documents/?uuid=2ccf410a-38de-43d0-810c-16bb0ef1d8a4"]},{"id":"ITEM-4","itemData":{"DOI":"10.1021/cr000071g","ISSN":"00092665","author":[{"dropping-particle":"","family":"Mueller","given":"Anja","non-dropping-particle":"","parse-names":false,"suffix":""},{"dropping-particle":"","family":"O'Brien","given":"David F.","non-dropping-particle":"","parse-names":false,"suffix":""}],"container-title":"Chemical Reviews","id":"ITEM-4","issue":"3","issued":{"date-parts":[["2002"]]},"page":"727-757","title":"Supramolecular materials via polymerization of mesophases of hydrated amphiphiles","type":"article-journal","volume":"102"},"uris":["http://www.mendeley.com/documents/?uuid=02904b50-4a97-45c0-b3f2-699e6d8922b1"]},{"id":"ITEM-5","itemData":{"DOI":"10.1021/ja026085g","ISSN":"00027863","abstract":"Bicontinuous cubic phases of monoacylglycerides/Poloxamer 407 (PEO98PPO67PEO98)/water can be dispersed into submicron particles, which are termed \"cubosomes\". Technological applications of these nanoparticles may be possible, if their nonlamellar architecture can be rendered more robust. To accomplish this goal, a polymerizable heterobifunctional monoacylglycerol, 3-(2,4,13-(E,E)-tetradecatrienoyl)-sn-glycerol (1), was synthesized and combined with water to form an optically transparent gel. In the presence of Poloxamer 407 and excess water the cubic phase of 1 was dispersed by ultrasonication into 300-nm diameter nanoparticles. The polymerization of these reactive cubosomes could be initiated either by the use of a photoinitiator or with redox chemistry. The polymerized cubosomes remained stable even after the addition of excess Triton X-100, in a manner consistent with executing cross-linking in the nanostructures. Copyright © 2002 American Chemical Society.","author":[{"dropping-particle":"","family":"Yang","given":"Da","non-dropping-particle":"","parse-names":false,"suffix":""},{"dropping-particle":"","family":"O'Brien","given":"David F.","non-dropping-particle":"","parse-names":false,"suffix":""},{"dropping-particle":"","family":"Marder","given":"Seth R.","non-dropping-particle":"","parse-names":false,"suffix":""}],"container-title":"Journal of the American Chemical Society","id":"ITEM-5","issue":"45","issued":{"date-parts":[["2002"]]},"page":"13388-13389","title":"Polymerized bicontinuous cubic nanoparticles (Cubosomes) from a reactive monoacylglycerol","type":"article-journal","volume":"124"},"uris":["http://www.mendeley.com/documents/?uuid=6ca78313-7040-4c56-88d4-d82fadce02ba"]},{"id":"ITEM-6","itemData":{"DOI":"10.1021/ar970140m","ISSN":"00014842","author":[{"dropping-particle":"","family":"O'Brien","given":"David F.","non-dropping-particle":"","parse-names":false,"suffix":""},{"dropping-particle":"","family":"Armitage","given":"Bruce","non-dropping-particle":"","parse-names":false,"suffix":""},{"dropping-particle":"","family":"Benedicto","given":"Alto","non-dropping-particle":"","parse-names":false,"suffix":""},{"dropping-particle":"","family":"Bennett","given":"Doyle E.","non-dropping-particle":"","parse-names":false,"suffix":""},{"dropping-particle":"","family":"Lamparski","given":"Henry G.","non-dropping-particle":"","parse-names":false,"suffix":""},{"dropping-particle":"","family":"Lee","given":"Youn Sik","non-dropping-particle":"","parse-names":false,"suffix":""},{"dropping-particle":"","family":"Srisiri","given":"Warunee","non-dropping-particle":"","parse-names":false,"suffix":""},{"dropping-particle":"","family":"Sisson","given":"Thomas M.","non-dropping-particle":"","parse-names":false,"suffix":""}],"container-title":"Accounts of Chemical Research","id":"ITEM-6","issue":"12","issued":{"date-parts":[["1998"]]},"page":"861-868","title":"Polymerization of Preformed Self-Organized Assemblies","type":"article-journal","volume":"31"},"uris":["http://www.mendeley.com/documents/?uuid=e4616cb5-3339-4bb3-9be6-eaccade3a138"]}],"mendeley":{"formattedCitation":"&lt;sup&gt;58,82,108–111&lt;/sup&gt;","plainTextFormattedCitation":"58,82,108–111","previouslyFormattedCitation":"&lt;sup&gt;58,82,108–111&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58,82,108–111</w:t>
      </w:r>
      <w:r w:rsidRPr="006D631C">
        <w:rPr>
          <w:rFonts w:asciiTheme="majorBidi" w:hAnsiTheme="majorBidi" w:cstheme="majorBidi"/>
        </w:rPr>
        <w:fldChar w:fldCharType="end"/>
      </w:r>
      <w:r w:rsidRPr="006D631C">
        <w:rPr>
          <w:rFonts w:asciiTheme="majorBidi" w:hAnsiTheme="majorBidi" w:cstheme="majorBidi"/>
        </w:rPr>
        <w:t xml:space="preserve"> The Gin group have added a considerable body of knowledge on synergistic templating of Q</w:t>
      </w:r>
      <w:r w:rsidRPr="006D631C">
        <w:rPr>
          <w:rFonts w:asciiTheme="majorBidi" w:hAnsiTheme="majorBidi" w:cstheme="majorBidi"/>
          <w:vertAlign w:val="subscript"/>
        </w:rPr>
        <w:t>α</w:t>
      </w:r>
      <w:r w:rsidRPr="006D631C">
        <w:rPr>
          <w:rFonts w:asciiTheme="majorBidi" w:hAnsiTheme="majorBidi" w:cstheme="majorBidi"/>
        </w:rPr>
        <w:t xml:space="preserve"> structures. Among other contributions, they have shown that Gemini-structured reactive </w:t>
      </w:r>
      <w:proofErr w:type="spellStart"/>
      <w:r w:rsidRPr="006D631C">
        <w:rPr>
          <w:rFonts w:asciiTheme="majorBidi" w:hAnsiTheme="majorBidi" w:cstheme="majorBidi"/>
        </w:rPr>
        <w:t>amphiphiles</w:t>
      </w:r>
      <w:proofErr w:type="spellEnd"/>
      <w:r w:rsidRPr="006D631C">
        <w:rPr>
          <w:rFonts w:asciiTheme="majorBidi" w:hAnsiTheme="majorBidi" w:cstheme="majorBidi"/>
        </w:rPr>
        <w:t xml:space="preserve"> which have low critical micelle concentration (CMC) are reliable species for obtaining Q</w:t>
      </w:r>
      <w:r w:rsidRPr="006D631C">
        <w:rPr>
          <w:rFonts w:asciiTheme="majorBidi" w:hAnsiTheme="majorBidi" w:cstheme="majorBidi"/>
          <w:vertAlign w:val="subscript"/>
        </w:rPr>
        <w:t>1</w:t>
      </w:r>
      <w:r w:rsidRPr="006D631C">
        <w:rPr>
          <w:rFonts w:asciiTheme="majorBidi" w:hAnsiTheme="majorBidi" w:cstheme="majorBidi"/>
        </w:rPr>
        <w:t xml:space="preserve"> structures.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{"citationItems":[{"id":"ITEM-1","itemData":{"DOI":"10.1021/ja073067w","ISSN":"0002-7863","abstract":"A polymeric membrane material for efficient water desalination based on a cross-linked type I bicontinuous cubic (QI) lyotropic liquid crystal (LLC) assembly is described. This ordered, nanoporous, polymer material is formed by the self-assembly of a cross-linkable gemini amphiphile in water and contains interpenetrating organic networks separated from one another by a continuous, ultrathin water layer surface (ca. 0.75 nm gap spacing) with overall cubic symmetry. Supported membranes of this material are produced by hot-pressing the initial LLC monomer gel at high pressure through a commercial microporous hydrophilic membrane support at 70 °C and then radically photocross-linking the infused QI monomer phase. In stirred dead-end water filtration tests, the resulting 40-μm thick, optically transparent, supported LLC membranes exhibit 95-99.9% rejection of dissolved salt ions, neutral molecules and macromolecules, and molecular ions in the 0.64-1.2 nm size range in a single pass. This rejection performance is slightly better than that of a commercial reverse osmosis (RO) membrane for the same solutes under the same test conditions, and significantly better than that of a commercial porous nanofiltration membrane. The LLC polymer material also exhibits a thickness- and pressure-normalized water permeability that is similar to or just slightly lower than the dense active layer materials used in current RO membranes. It is believed that the 3-D interconnected water manifold system in the cross-linked QI-phase material allows small water molecules (0.27 nm kinetic diameter) to pass through with good efficiency, while effectively rejecting dissolved solutes close in size to, or larger than, the about 0.75 nm water layer gap spacing. Copyright © 2007 American Chemical Society.","author":[{"dropping-particle":"","family":"Zhou","given":"Meijuan","non-dropping-particle":"","parse-names":false,"suffix":""},{"dropping-particle":"","family":"Nemade","given":"Parag R.","non-dropping-particle":"","parse-names":false,"suffix":""},{"dropping-particle":"","family":"Lu","given":"Xiaoyun","non-dropping-particle":"","parse-names":false,"suffix":""},{"dropping-particle":"","family":"Zeng","given":"Xiaohui","non-dropping-particle":"","parse-names":false,"suffix":""},{"dropping-particle":"","family":"Hatakeyama","given":"Evan S.","non-dropping-particle":"","parse-names":false,"suffix":""},{"dropping-particle":"","family":"Noble","given":"Richard D.","non-dropping-particle":"","parse-names":false,"suffix":""},{"dropping-particle":"","family":"Gin","given":"Douglas L.","non-dropping-particle":"","parse-names":false,"suffix":""}],"container-title":"Journal of the American Chemical Society","id":"ITEM-1","issue":"31","issued":{"date-parts":[["2007","8","1"]]},"page":"9574-9575","title":"New Type of Membrane Material for Water Desalination Based on a Cross-Linked Bicontinuous Cubic Lyotropic Liquid Crystal Assembly","type":"article-journal","volume":"129"},"uris":["http://www.mendeley.com/documents/?uuid=0d2d8de2-7149-4057-b6fa-a85131e88c1f"]},{"id":"ITEM-2","itemData":{"DOI":"10.1002/adma.200601156","ISSN":"09359648","author":[{"dropping-particle":"","family":"Lu","given":"Xiaoyun","non-dropping-particle":"","parse-names":false,"suffix":""},{"dropping-particle":"","family":"Nguyen","given":"Vinh","non-dropping-particle":"","parse-names":false,"suffix":""},{"dropping-particle":"","family":"Zhou","given":"Meijuan","non-dropping-particle":"","parse-names":false,"suffix":""},{"dropping-particle":"","family":"Zeng","given":"Xiaohui","non-dropping-particle":"","parse-names":false,"suffix":""},{"dropping-particle":"","family":"Jin","given":"Jizhu","non-dropping-particle":"","parse-names":false,"suffix":""},{"dropping-particle":"","family":"Elliott","given":"Brian J.","non-dropping-particle":"","parse-names":false,"suffix":""},{"dropping-particle":"","family":"Gin","given":"Douglas L.","non-dropping-particle":"","parse-names":false,"suffix":""}],"container-title":"Advanced Materials","id":"ITEM-2","issue":"24","issued":{"date-parts":[["2006","12","18"]]},"page":"3294-3298","title":"Crosslinked bicontinuous cubic lyotropic liquid-crystal/butyl-rubber composites: Highly selective, breathable barrier materials for chemical agent protection","type":"article-journal","volume":"18"},"uris":["http://www.mendeley.com/documents/?uuid=554c3c3f-b32f-4c00-81b2-67aee025abeb"]},{"id":"ITEM-3","itemData":{"DOI":"10.1021/ja905208f","ISSN":"00027863","abstract":"(Chemical Equation Presented) A new type of polymer electrolyte material for Li ion transport has been developed. This material is based on a polymerizable lyotropic (i.e., amphiphilic) liquid crystal (1) that forms a type-II bicontinuous cubic (Q</w:instrText>
      </w:r>
      <w:r w:rsidR="005C60C1" w:rsidRPr="006D631C">
        <w:rPr>
          <w:rFonts w:ascii="Cambria Math" w:hAnsi="Cambria Math" w:cs="Cambria Math"/>
        </w:rPr>
        <w:instrText>∥</w:instrText>
      </w:r>
      <w:r w:rsidR="005C60C1" w:rsidRPr="006D631C">
        <w:rPr>
          <w:rFonts w:asciiTheme="majorBidi" w:hAnsiTheme="majorBidi" w:cstheme="majorBidi"/>
        </w:rPr>
        <w:instrText>) phase with the common liquid electrolyte, propylene carbonate (PC), and its Li salt solutions. The resulting cross-linked, solid-liquid nanocomposite has an ordered, three-dimensional interconnected network of phase-separated liquid PC nanochannels and exhibits a room-temperature ion conductivity of 10-4 to 10-3 S cm-1 when formed with 15 wt % 0.245 M LiClO4-PC solution. This value approaches that of conventional gelled poly(ethylene oxide)-based electrolytes blended with larger amounts of higher-concentration Li salt solutions. It is also similar to that of a bulk 0.245 M LiClO4-PC solution measured using the same AC impedance methods. Preliminary variable-temperature ion conductivity and NMR DOSY studies showed that liquidlike diffusion is present in the Q</w:instrText>
      </w:r>
      <w:r w:rsidR="005C60C1" w:rsidRPr="006D631C">
        <w:rPr>
          <w:rFonts w:ascii="Cambria Math" w:hAnsi="Cambria Math" w:cs="Cambria Math"/>
        </w:rPr>
        <w:instrText>∥</w:instrText>
      </w:r>
      <w:r w:rsidR="005C60C1" w:rsidRPr="006D631C">
        <w:rPr>
          <w:rFonts w:asciiTheme="majorBidi" w:hAnsiTheme="majorBidi" w:cstheme="majorBidi"/>
        </w:rPr>
        <w:instrText xml:space="preserve"> nanochannels and that good ion conductivity ( </w:instrText>
      </w:r>
      <w:r w:rsidR="005C60C1" w:rsidRPr="006D631C">
        <w:rPr>
          <w:rFonts w:ascii="Cambria Math" w:hAnsi="Cambria Math" w:cs="Cambria Math"/>
        </w:rPr>
        <w:instrText>∼</w:instrText>
      </w:r>
      <w:r w:rsidR="005C60C1" w:rsidRPr="006D631C">
        <w:rPr>
          <w:rFonts w:asciiTheme="majorBidi" w:hAnsiTheme="majorBidi" w:cstheme="majorBidi"/>
        </w:rPr>
        <w:instrText xml:space="preserve">10-4 S cm-1) and PC mobility are retained down to -35 </w:instrText>
      </w:r>
      <w:r w:rsidR="005C60C1" w:rsidRPr="006D631C">
        <w:instrText>°</w:instrText>
      </w:r>
      <w:r w:rsidR="005C60C1" w:rsidRPr="006D631C">
        <w:rPr>
          <w:rFonts w:asciiTheme="majorBidi" w:hAnsiTheme="majorBidi" w:cstheme="majorBidi"/>
        </w:rPr>
        <w:instrText xml:space="preserve"> C (and lower). This type of stable, liquidlike ion conductivity over a broad temperature range is typically not exhibited by conventional gelled-polymer- or liquid-crystal-based electrolytes, making this new material potentially valuable for enabling Li ion batteries that can operate more efficiently over a wider temperature range. Copyright © 2009 American Chemical Society.","author":[{"dropping-particle":"","family":"Kerr","given":"Robert L.","non-dropping-particle":"","parse-names":false,"suffix":""},{"dropping-particle":"","family":"Miller","given":"Seth A.","non-dropping-particle":"","parse-names":false,"suffix":""},{"dropping-particle":"","family":"Shoemaker","given":"Richard K.","non-dropping-particle":"","parse-names":false,"suffix":""},{"dropping-particle":"","family":"Elliott","given":"Brian J.","non-dropping-particle":"","parse-names":false,"suffix":""},{"dropping-particle":"","family":"Gin","given":"Douglas L.","non-dropping-particle":"","parse-names":false,"suffix":""}],"container-title":"Journal of the American Chemical Society","id":"ITEM-3","issue":"44","issued":{"date-parts":[["2009"]]},"page":"15972-15973","title":"New type of Li ion conductor with 3D interconnected nanopores via polymerization of a liquid organic electrolyte-filled lyotropic liquid-crystal assembly","type":"article-journal","volume":"131"},"uris":["http://www.mendeley.com/documents/?uuid=b026fd15-60b6-4d59-ade4-28389f2768fb"]},{"id":"ITEM-4","itemData":{"DOI":"10.1016/j.memsci.2009.11.067","ISSN":"03767388","abstract":"Supported type I bicontinuous cubic (QI) lyotropic liquid crystal (LLC) polymer membranes with a 3D-interconnected porous structure and an effective pore size of 0.75 nm were modified by alumina atomic layer deposition (ALD). The ALD-modified polymer membranes have an effective pore size smaller than 0.55 nm and show promise for gas separations. With 10 cycles of alumina ALD coating, the selectivity of an ALD-modified QI-phase LLC polymer membrane for H2/N2 greatly increased from 12 to 65, while the permeance of H2 decreased </w:instrText>
      </w:r>
      <w:r w:rsidR="005C60C1" w:rsidRPr="006D631C">
        <w:rPr>
          <w:rFonts w:ascii="Cambria Math" w:hAnsi="Cambria Math" w:cs="Cambria Math"/>
        </w:rPr>
        <w:instrText>∼</w:instrText>
      </w:r>
      <w:r w:rsidR="005C60C1" w:rsidRPr="006D631C">
        <w:rPr>
          <w:rFonts w:asciiTheme="majorBidi" w:hAnsiTheme="majorBidi" w:cstheme="majorBidi"/>
        </w:rPr>
        <w:instrText xml:space="preserve">40%. The ALD membrane modification approach described here appears to be universal and has the potential to modify other nanoporous membranes for size-selective separation. © 2009 Elsevier B.V. All rights reserved.","author":[{"dropping-particle":"","family":"Liang","given":"Xinhua","non-dropping-particle":"","parse-names":false,"suffix":""},{"dropping-particle":"","family":"Lu","given":"Xiaoyun","non-dropping-particle":"","parse-names":false,"suffix":""},{"dropping-particle":"","family":"Yu","given":"Miao","non-dropping-particle":"","parse-names":false,"suffix":""},{"dropping-particle":"","family":"Cavanagh","given":"Andrew S.","non-dropping-particle":"","parse-names":false,"suffix":""},{"dropping-particle":"","family":"Gin","given":"Douglas L.","non-dropping-particle":"","parse-names":false,"suffix":""},{"dropping-particle":"","family":"Weimer","given":"Alan W.","non-dropping-particle":"","parse-names":false,"suffix":""}],"container-title":"Journal of Membrane Science","id":"ITEM-4","issue":"1-2","issued":{"date-parts":[["2010"]]},"page":"1-5","title":"Modification of nanoporous supported lyotropic liquid crystal polymer membranes by atomic layer deposition","type":"article-journal","volume":"349"},"uris":["http://www.mendeley.com/documents/?uuid=3a09af60-68cf-4353-89a4-9a332bc0b7dd"]},{"id":"ITEM-5","itemData":{"DOI":"10.1021/cm1013027","ISSN":"08974756","abstract":"New polymerizable gemini ammonium surfactants can be cross-linked in a type I bicontinuous cubic lyotropic liquid crystal phase with water to afford nanoporous polymer membranes with sub-1 nm 3D pores for water nanofiltration applications. © 2010 American Chemical Society.","author":[{"dropping-particle":"","family":"Hatakeyama","given":"Evan S.","non-dropping-particle":"","parse-names":false,"suffix":""},{"dropping-particle":"","family":"Wiesenauer","given":"Brian R.","non-dropping-particle":"","parse-names":false,"suffix":""},{"dropping-particle":"","family":"Gabriel","given":"Christopher J.","non-dropping-particle":"","parse-names":false,"suffix":""},{"dropping-particle":"","family":"Noble","given":"Richard D.","non-dropping-particle":"","parse-names":false,"suffix":""},{"dropping-particle":"","family":"Gin","given":"Douglas L.","non-dropping-particle":"","parse-names":false,"suffix":""}],"container-title":"Chemistry of Materials","id":"ITEM-5","issue":"16","issued":{"date-parts":[["2010"]]},"page":"4525-4527","title":"Nanoporous, bicontinuous cubic lyotropic liquid crystal networks via polymerizable gemini ammonium surfactants","type":"article-journal","volume":"22"},"uris":["http://www.mendeley.com/documents/?uuid=ee60048f-096b-4632-81a8-8b2118bda996"]},{"id":"ITEM-6","itemData":{"DOI":"10.1016/j.memsci.2010.09.028","ISSN":"03767388","abstract":"The water filtration performance of a supported, nanostructured, lyotropic (i.e., surfactant) liquid crystal (LLC) polymer membrane containing uniform, sub-1-nm pores was examined in more detail using more extensive aqueous filtration tests and a more structurally representative nanopore model. This nanoporous membrane material is based on the radical cross-linking of an ionic, LLC monomer that forms a type I bicontinuous cubic (QI) phase with a 3D interconnected, annulus-like, water pore network. Previously, initial water transport studies using a limited number of solutes demonstrated initial proof-of-concept that this LLC polymer membrane can reject small molecules based on molecular size discrimination. In this study, more comprehensive transport experiments using aqueous solutions containing a wider range of different size neutral organic molecules and salt ions were undertaken. The results of these experiments showed that the LLC polymer membrane has a rejection performance in between that of a commercial, high-performance reverse osmosis (RO) membrane (Dow SW30HR) and that of a conventional porous nanofiltration (NF) membrane (Dow NF-270) with non-uniform pore sizes. Specifically, the LLC membrane was found to reject inorganic salt ions much better than a NF membrane, and on a level comparable to a RO membrane. It does not reject small neutral organic solutes as well as a RO membrane, but it was found to reject organic solutes better than a conventional NF membrane. Also, the organic solute rejection behavior was fitted using two different Donnan-steric pore models (DSPM) with different pore shapes (i.e., cylindrical and straight slit). It was determined that the QI-phase LLC membrane has an effective pore radius between 0.29nm and 0.45nm. This modeling also suggested that the LLC nanopores are indeed uniform in size. Initial chemical stability and fouling experiments suggest this nanoporous LLC polymer membrane is also very resistant to chlorine degradation and protein fouling. This combination of properties makes this nanoporous LLC polymer a very promising membrane material for water desalination and other NF processes. © 2010 Elsevier B.V.","author":[{"dropping-particle":"","family":"Hatakeyama","given":"Evan S.","non-dropping-particle":"","parse-names":false,"suffix":""},{"dropping-particle":"","family":"Gabriel","given":"Christopher J.","non-dropping-particle":"","parse-names":false,"suffix":""},{"dropping-particle":"","family":"Wiesenauer","given":"Brian R.","non-dropping-particle":"","parse-names":false,"suffix":""},{"dropping-particle":"","family":"Lohr","given":"Jenny L.","non-dropping-particle":"","parse-names":false,"suffix":""},{"dropping-particle":"","family":"Zhou","given":"Meijuan","non-dropping-particle":"","parse-names":false,"suffix":""},{"dropping-particle":"","family":"Noble","given":"Richard D.","non-dropping-particle":"","parse-names":false,"suffix":""},{"dropping-particle":"","family":"Gin","given":"Douglas L.","non-dropping-particle":"","parse-names":false,"suffix":""}],"container-title":"Journal of Membrane Science","id":"ITEM-6","issue":"1-2","issued":{"date-parts":[["2011"]]},"page":"62-72","title":"Water filtration performance of a lyotropic liquid crystal polymer membrane with uniform, sub-1-nm pores","type":"article-journal","volume":"366"},"uris":["http://www.mendeley.com/documents/?uuid=d888101c-302c-452d-bb53-4b70c2c9325c"]},{"id":"ITEM-7","itemData":{"DOI":"10.1021/cm302027s","ISSN":"15205002","author":[{"dropping-particle":"","family":"Carter","given":"Blaine M.","non-dropping-particle":"","parse-names":false,"suffix":""},{"dropping-particle":"","family":"Wiesenauer","given":"Brian R.","non-dropping-particle":"","parse-names":false,"suffix":""},{"dropping-particle":"","family":"Hatakeyama","given":"Evan S.","non-dropping-particle":"","parse-names":false,"suffix":""},{"dropping-particle":"","family":"Barton","given":"John L.","non-dropping-particle":"","parse-names":false,"suffix":""},{"dropping-particle":"","family":"Noble","given":"Richard D.","non-dropping-particle":"","parse-names":false,"suffix":""},{"dropping-particle":"","family":"Gin","given":"Douglas L.","non-dropping-particle":"","parse-names":false,"suffix":""}],"container-title":"Chemistry of Materials","id":"ITEM-7","issue":"21","issued":{"date-parts":[["2012"]]},"page":"4005-4007","title":"Glycerol-based bicontinuous cubic lyotropic liquid crystal monomer system for the fabrication of thin-film membranes with uniform nanopores","type":"article-journal","volume":"24"},"uris":["http://www.mendeley.com/documents/?uuid=ecdbb3ff-7519-4a65-abca-056edd3369f2"]},{"id":"ITEM-8","itemData":{"DOI":"10.1016/j.memsci.2013.12.056","ISSN":"03767388","abstract":"The effects of anion-exchange on the filtration performance of thin-film composite (TFC) membranes with an active layer consisting of a nanostructured, lyotropic (i.e., surfactant) liquid crystal (LLC) polymer were investigated. These TFC LLC membranes are made by the in situ cross-linking of reactive amphiphiles (i.e., surfactants) that self-organize in the presence of glycerol into a type I bicontinuous cubic (QI) phase that contains a uniform, 3D-interconnected pore network lined with tethered cationic moieties and free mobile anions in the pores. In this study, a systematic series of experiments were performed to independently investigate how monovalent cations and anions affect transport in these TFC QI membranes. TFC QI membranes exposed to feed solutions that contain different cations (i.e., Li+(aq), Na+(aq), and K+(aq)) but have the same monovalent anion as the free mobile anion in the membrane (i.e., Br-(aq)) have a constant flux and a high rejection (&gt;98%). When the cation is kept constant (i.e., Na+(aq)) and the anion in the feed is varied (i.e., Cl-(aq), Br-(aq), NO3(aq)-, and I-(aq)) and allowed to partially anion-exchange with the membrane, a high rejection is maintained (≥96%), but the flux significantly changes depending on the anion in the feed solution. The flux of the TFC QI membranes can also be repeatedly be cycled by contacting the membranes with different anions. Control experiments with completely anion-exchanged TFC QI membranes (i.e., with Cl-(aq), Br-(aq), NO3(aq)-, and I-(aq)) showed that the rejection of sodium salts and uncharged organic solutes was virtually the same for all of the completely anion-exchanged membranes. As a whole, these results demonstrate that the flux of these TFC QI membranes can be tuned by changing the anion with little to no change in the rejection performance. The unique performance characteristics of TFC QI membranes may offer advantages over conventional NF and RO membranes for water purification applications or other aqueous separations. © 2013 Elsevier B.V.","author":[{"dropping-particle":"","family":"Carter","given":"Blaine M.","non-dropping-particle":"","parse-names":false,"suffix":""},{"dropping-particle":"","family":"Wiesenauer","given":"Brian R.","non-dropping-particle":"","parse-names":false,"suffix":""},{"dropping-particle":"","family":"Noble","given":"Richard D.","non-dropping-particle":"","parse-names":false,"suffix":""},{"dropping-particle":"","family":"Gin","given":"Douglas L.","non-dropping-particle":"","parse-names":false,"suffix":""}],"container-title":"Journal of Membrane Science","id":"ITEM-8","issued":{"date-parts":[["2014"]]},"page":"143-151","title":"Thin-film composite bicontinuous cubic lyotropic liquid crystal polymer membranes: Effects of anion-exchange on water filtration performance","type":"article-journal","volume":"455"},"uris":["http://www.mendeley.com/documents/?uuid=8f662d33-407e-497b-ac4d-657ed26fc531"]},{"id":"ITEM-9","itemData":{"DOI":"10.1016/j.memsci.2017.08.028","ISSN":"18733123","abstract":"A thin-film composite, bicontinuous cubic lyotropic liquid crystal polymer (TFC QI) membrane with uniform-size, ionic nanopores was studied for the treatment of hydraulic fracturing flowback water. The TFC QI membrane performance was compared to those of a commercial nanofiltration (NF) membrane (NF270) and a commercial reverse osmosis (RO) membrane (SW30HR) for the filtration of flowback water from the Denver-Julesburg Basin. The permeability, salt rejection, and organic solute rejection for each membrane was evaluated. The results illustrate that the TFC QI membrane maintained its performance to a similar degree as the commercial NF and RO membranes while demonstrating a unique selectivity not observed in the commercial membranes. Specifically, the TFC QI membrane rejected 75% of the salt while recovering 9.6% of the dissolved organic carbon (DOC) and 50% of the water. Of particular interest was the recovery of labile DOC, which was assessed through biodegradation experiments. Analysis following biodegradation of the TFC QI membrane permeate demonstrates the membrane's ability to recover labile DOC in a reduced-saline permeate. Improved recovery of labile DOC (increased to 22%) was demonstrated by reducing the pH of the flowback water. Therefore, the selectivity of the TFC QI membrane provides an opportunity to recover resources from hydraulic fracturing flowback.","author":[{"dropping-particle":"","family":"Dischinger","given":"Sarah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L.","non-dropping-particle":"","parse-names":false,"suffix":""},{"dropping-particle":"","family":"Linden","given":"Karl G.","non-dropping-particle":"","parse-names":false,"suffix":""}],"container-title":"Journal of Membrane Science","id":"ITEM-9","issued":{"date-parts":[["2017"]]},"page":"319-327","title":"Application of a lyotropic liquid crystal nanofiltration membrane for hydraulic fracturing flowback water: Selectivity and implications for treatment","type":"article-journal","volume":"543"},"uris":["http://www.mendeley.com/documents/?uuid=5a46df75-f496-4fbd-8165-bd32a6b934a9"]},{"id":"ITEM-10","itemData":{"DOI":"10.1021/acs.iecr.9b04738","ISSN":"15205045","abstract":"A laminated thin-film composite (TFC) membrane system consisting of an ultrafiltration support, an ordered, nanoporous, polymerized lyotropic liquid crystal (LLC) intermediate layer, and an ultrathin, dense polydopamine top layer was developed for use as a \"breathable\" chemical-protective garment material. These membranes exhibit a high water vapor transport rate (ca. 500 g m-2 day-1) and excellent rejection of both CEES (a blister agent simulant) and DMMP (a nerve agent simulant) vapors under ambient conditions. The (water:CEES) and (water:DMMP) molar vapor selectivity values of this new composite membrane system were found to be 170 ± 40 and &gt;3400, respectively, which exceed those of any previously reported LLC-based membrane system.","author":[{"dropping-particle":"","family":"Dwulet","given":"Gregory E.","non-dropping-particle":"","parse-names":false,"suffix":""},{"dropping-particle":"","family":"Dischinger","given":"Sarah M.","non-dropping-particle":"","parse-names":false,"suffix":""},{"dropping-particle":"","family":"McGrath","given":"Michael J.","non-dropping-particle":"","parse-names":false,"suffix":""},{"dropping-particle":"","family":"Basalla","given":"Andrew J.","non-dropping-particle":"","parse-names":false,"suffix":""},{"dropping-particle":"","family":"Malecha","given":"John J.","non-dropping-particle":"","parse-names":false,"suffix":""},{"dropping-particle":"","family":"Noble","given":"Richard D.","non-dropping-particle":"","parse-names":false,"suffix":""},{"dropping-particle":"","family":"Gin","given":"Douglas L.","non-dropping-particle":"","parse-names":false,"suffix":""}],"container-title":"Industrial and Engineering Chemistry Research","id":"ITEM-10","issue":"47","issued":{"date-parts":[["2019"]]},"page":"21890-21893","title":"Breathable, Polydopamine-Coated Nanoporous Membranes That Selectively Reject Nerve and Blister Agent Simulant Vapors","type":"article-journal","volume":"58"},"uris":["http://www.mendeley.com/documents/?uuid=bfb3aac2-829d-4981-96b8-893069237b8b"]},{"id":"ITEM-11","itemData":{"DOI":"10.1021/acsmaterialslett.9b00244","ISSN":"2639-4979","abstract":"A triazine based disc shaped molecule with two hydrolyzable units, imine and ester groups, was polymerized via acyclic diene metathesis in the columnar hexagonal (Colhex) LC phase. Fabrication of a cationic nanoporous polymer (pore diameter </w:instrText>
      </w:r>
      <w:r w:rsidR="005C60C1" w:rsidRPr="006D631C">
        <w:rPr>
          <w:rFonts w:ascii="Cambria Math" w:hAnsi="Cambria Math" w:cs="Cambria Math"/>
        </w:rPr>
        <w:instrText>∼</w:instrText>
      </w:r>
      <w:r w:rsidR="005C60C1" w:rsidRPr="006D631C">
        <w:rPr>
          <w:rFonts w:asciiTheme="majorBidi" w:hAnsiTheme="majorBidi" w:cstheme="majorBidi"/>
        </w:rPr>
        <w:instrText xml:space="preserve">1.3 nm) lined with ammonium groups at the pore surface was achieved by hydrolysis of the imine linkage. Size selective aldehyde uptake by the cationic porous polymer was demonstrated. The anilinium groups in the pores were converted to azide as well as phenyl groups by further chemical treatment, leading to porous polymers with neutral functional groups in the pores. The pores were enlarged by further hydrolysis of the ester groups to create </w:instrText>
      </w:r>
      <w:r w:rsidR="005C60C1" w:rsidRPr="006D631C">
        <w:rPr>
          <w:rFonts w:ascii="Cambria Math" w:hAnsi="Cambria Math" w:cs="Cambria Math"/>
        </w:rPr>
        <w:instrText>∼</w:instrText>
      </w:r>
      <w:r w:rsidR="005C60C1" w:rsidRPr="006D631C">
        <w:rPr>
          <w:rFonts w:asciiTheme="majorBidi" w:hAnsiTheme="majorBidi" w:cstheme="majorBidi"/>
        </w:rPr>
        <w:instrText xml:space="preserve">2.6 nm pores lined with </w:instrText>
      </w:r>
      <w:r w:rsidR="005C60C1" w:rsidRPr="006D631C">
        <w:instrText>−</w:instrText>
      </w:r>
      <w:r w:rsidR="005C60C1" w:rsidRPr="006D631C">
        <w:rPr>
          <w:rFonts w:asciiTheme="majorBidi" w:hAnsiTheme="majorBidi" w:cstheme="majorBidi"/>
        </w:rPr>
        <w:instrText>COONa surface groups. The same pores could be obtained in a single step without first hydrolyzing the imine linkage. XRD studies demonstrated that the Colhex order of the monomer was preserved after polymerization as well as in both the nanoporous polymers. The porous anionic polymer lined with −COOH groups was further converted to the −COOLi, −COONa, −COOK, −COOCs, and −COONH4 salts. The porous polymer lined with −COONa groups selectively adsorbs a cationic dye, methylene blue, over an anionic dye.","author":[{"dropping-particle":"","family":"McGrath","given":"Michael J.","non-dropping-particle":"","parse-names":false,"suffix":""},{"dropping-particle":"","family":"Hardy","given":"Samantha H.","non-dropping-particle":"","parse-names":false,"suffix":""},{"dropping-particle":"","family":"Basalla","given":"Andrew J.","non-dropping-particle":"","parse-names":false,"suffix":""},{"dropping-particle":"","family":"Dwulet","given":"Gregory E.","non-dropping-particle":"","parse-names":false,"suffix":""},{"dropping-particle":"","family":"Manubay","given":"Bryce C.","non-dropping-particle":"","parse-names":false,"suffix":""},{"dropping-particle":"","family":"Malecha","given":"John J.","non-dropping-particle":"","parse-names":false,"suffix":""},{"dropping-particle":"","family":"Shi","given":"Zhangxing","non-dropping-particle":"","parse-names":false,"suffix":""},{"dropping-particle":"","family":"Funke","given":"Hans H.","non-dropping-particle":"","parse-names":false,"suffix":""},{"dropping-particle":"","family":"Gin","given":"Douglas L.","non-dropping-particle":"","parse-names":false,"suffix":""},{"dropping-particle":"","family":"Noble","given":"Richard D.","non-dropping-particle":"","parse-names":false,"suffix":""}],"container-title":"ACS Materials Letters","id":"ITEM-11","issue":"4","issued":{"date-parts":[["2019"]]},"page":"452-458","title":"Polymerization of Counteranions in the Cationic Nanopores of a Cross-linked Lyotropic Liquid Crystal Network to Modify Ion Transport Properties","type":"article-journal","volume":"1"},"uris":["http://www.mendeley.com/documents/?uuid=e62cd001-6130-4382-952f-5454a0040187"]},{"id":"ITEM-12","itemData":{"DOI":"10.1016/j.memsci.2019.117313","ISSN":"18733123","abstract":"Current commercial nanofiltration and reverse osmosis membranes are limited in scope and performance due to their physicochemical properties. Desalination of hydraulic fracturing wastewater poses a particular challenge to membrane filtration given the high concentrations of both organic compounds and salts present in these waters. The recently-developed nanoporous, bicontinuous cubic, lyotropic liquid crystal, thin-film-composite polymer membrane (TFC QI membrane), having unique physicochemical properties, enables an alternative treatment of hydraulic fracturing wastewater. Specifically, the TFC QI membrane recovers the organic compounds from this high-salinity wastewater, enabling biodegradation to occur after desalination. However, other performance criteria must be demonstrated for a membrane to reach application. The work presented herein demonstrates the stable performance of the TFC QI membrane during 66 h of cross-flow filtration of hydraulic fracturing produced water. Compared to the commercial NF90 membrane, the TFC QI membrane recovered a larger portion of the organic compounds, had a higher thickness-normalized water flux, and fouled less. The combination of the TFC QI membrane's selectivity with its reduced fouling propensity makes possible a treatment for hydraulic fracturing wastewater and other complex aqueous streams inaccessible by most commercial membranes, motivating the further study and development of the TFC QI membrane.","author":[{"dropping-particle":"","family":"Dischinger","given":"Sarah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L.","non-dropping-particle":"","parse-names":false,"suffix":""}],"container-title":"Journal of Membrane Science","id":"ITEM-12","issued":{"date-parts":[["2019","12"]]},"page":"117313","title":"Evaluation of a nanoporous lyotropic liquid crystal polymer membrane for the treatment of hydraulic fracturing produced water via cross-flow filtration","type":"article-journal","volume":"592"},"uris":["http://www.mendeley.com/documents/?uuid=71636acc-2380-4a88-abf2-a64937232a30"]},{"id":"ITEM-13","itemData":{"DOI":"10.1021/acs.iecr.9b04592","ISSN":"15205045","abstract":"Anion-exchange membranes (AEMs) often dehydrate and lose ionic conductivity in ferric chloride solutions used in all-iron or iron-chromium redox flow batteries (RFB). In this work, the change in material and ionic transport properties of three AEMs with similar concentrations of ion exchange sites and hydration numbers (mol H2O/mol ion exchange site) upon exposure to ferric chloride/hydrochloric acid solutions were studied. Raman spectroscopy and iron sorption measurements show that FeCl4- occupies a fraction of the AEM ion exchange sites that depends on the ferric chloride concentration in the external solution. The AEM hydration number is linearly proportional to the amount of iron sorbed in the AEMs, suggesting that the displacement of the original hydrated Cl- counterions for unhydrated FeCl4- is the dominant mechanism for membrane dehydration. The ionic resistivity of the AEMs containing FeCl4- increased by as much as 4 orders of magnitude due to dehydration and, at high FeCl3 solution concentrations (≥1.4M), also due to nonideal solution effects. Although the three AEMs have similar ion exchange site concentrations, the AEM with the closer local spacing of ion exchange sites exhibits higher FeCl4- sorption, and a correspondingly greater dehydration and resistivity increase in dilute FeCl3 solutions.","author":[{"dropping-particle":"","family":"McGrath","given":"Michael J.","non-dropping-particle":"","parse-names":false,"suffix":""},{"dropping-particle":"","family":"Patterson","given":"Nicholas","non-dropping-particle":"","parse-names":false,"suffix":""},{"dropping-particle":"","family":"Manubay","given":"Bryce C.","non-dropping-particle":"","parse-names":false,"suffix":""},{"dropping-particle":"","family":"Hardy","given":"Samantha H.","non-dropping-particle":"","parse-names":false,"suffix":""},{"dropping-particle":"","family":"Malecha","given":"John J.","non-dropping-particle":"","parse-names":false,"suffix":""},{"dropping-particle":"","family":"Shi","given":"Zhangxing","non-dropping-particle":"","parse-names":false,"suffix":""},{"dropping-particle":"","family":"Yue","given":"Xiujun","non-dropping-particle":"","parse-names":false,"suffix":""},{"dropping-particle":"","family":"Xing","given":"Xing","non-dropping-particle":"","parse-names":false,"suffix":""},{"dropping-particle":"","family":"Funke","given":"Hans H.","non-dropping-particle":"","parse-names":false,"suffix":""},{"dropping-particle":"","family":"Gin","given":"Douglas L.","non-dropping-particle":"","parse-names":false,"suffix":""},{"dropping-particle":"","family":"Liu","given":"Ping","non-dropping-particle":"","parse-names":false,"suffix":""},{"dropping-particle":"","family":"Noble","given":"Richard D.","non-dropping-particle":"","parse-names":false,"suffix":""}],"container-title":"Industrial and Engineering Chemistry Research","id":"ITEM-13","issue":"49","issued":{"date-parts":[["2019"]]},"page":"22250-22259","title":"110th Anniversary: The Dehydration and Loss of Ionic Conductivity in Anion Exchange Membranes Due to FeCl4- Ion Exchange and the Role of Membrane Microstructure","type":"article-journal","volume":"58"},"uris":["http://www.mendeley.com/documents/?uuid=0b80f95a-a1ae-47a5-9e32-d044734acfbe"]}],"mendeley":{"formattedCitation":"&lt;sup&gt;33,34,52,112–121&lt;/sup&gt;","plainTextFormattedCitation":"33,34,52,112–121","previouslyFormattedCitation":"&lt;sup&gt;33,34,52,112–121&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33,34,52,112–121</w:t>
      </w:r>
      <w:r w:rsidRPr="006D631C">
        <w:rPr>
          <w:rFonts w:asciiTheme="majorBidi" w:hAnsiTheme="majorBidi" w:cstheme="majorBidi"/>
        </w:rPr>
        <w:fldChar w:fldCharType="end"/>
      </w:r>
      <w:r w:rsidRPr="006D631C">
        <w:rPr>
          <w:rFonts w:asciiTheme="majorBidi" w:hAnsiTheme="majorBidi" w:cstheme="majorBidi"/>
        </w:rPr>
        <w:t xml:space="preserve">      </w:t>
      </w:r>
    </w:p>
    <w:p w14:paraId="24D58ECC" w14:textId="23F1FF20" w:rsidR="001376FF" w:rsidRPr="006D631C" w:rsidRDefault="001D21F8" w:rsidP="002E14E4">
      <w:pPr>
        <w:ind w:firstLine="357"/>
      </w:pPr>
      <w:r w:rsidRPr="006D631C">
        <w:rPr>
          <w:rFonts w:asciiTheme="majorBidi" w:hAnsiTheme="majorBidi" w:cstheme="majorBidi"/>
        </w:rPr>
        <w:t xml:space="preserve">Efforts by the Gin group are not limited to design and synthesis of new monomers for LLC templating in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structures, but also include investigations of the efficiency of the polymerized LLCs in different applications. In one trial, they have shown that polymerized Q</w:t>
      </w:r>
      <w:r w:rsidRPr="006D631C">
        <w:rPr>
          <w:rFonts w:asciiTheme="majorBidi" w:hAnsiTheme="majorBidi" w:cstheme="majorBidi"/>
          <w:vertAlign w:val="subscript"/>
        </w:rPr>
        <w:t>2</w:t>
      </w:r>
      <w:r w:rsidRPr="006D631C">
        <w:rPr>
          <w:rFonts w:asciiTheme="majorBidi" w:hAnsiTheme="majorBidi" w:cstheme="majorBidi"/>
        </w:rPr>
        <w:t xml:space="preserve"> structure of P-A-31/Li salt solution of propylene carbonate shows a conductivity similar to the liquid-like electrolytes while maintaining high flexibility even at temperatures as low as -35 °C.</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{"citationItems":[{"id":"ITEM-1","itemData":{"DOI":"10.1021/ja905208f","ISSN":"00027863","abstract":"(Chemical Equation Presented) A new type of polymer electrolyte material for Li ion transport has been developed. This material is based on a polymerizable lyotropic (i.e., amphiphilic) liquid crystal (1) that forms a type-II bicontinuous cubic (Q</w:instrText>
      </w:r>
      <w:r w:rsidR="005C60C1" w:rsidRPr="006D631C">
        <w:rPr>
          <w:rFonts w:ascii="Cambria Math" w:hAnsi="Cambria Math" w:cs="Cambria Math"/>
        </w:rPr>
        <w:instrText>∥</w:instrText>
      </w:r>
      <w:r w:rsidR="005C60C1" w:rsidRPr="006D631C">
        <w:rPr>
          <w:rFonts w:asciiTheme="majorBidi" w:hAnsiTheme="majorBidi" w:cstheme="majorBidi"/>
        </w:rPr>
        <w:instrText>) phase with the common liquid electrolyte, propylene carbonate (PC), and its Li salt solutions. The resulting cross-linked, solid-liquid nanocomposite has an ordered, three-dimensional interconnected network of phase-separated liquid PC nanochannels and exhibits a room-temperature ion conductivity of 10-4 to 10-3 S cm-1 when formed with 15 wt % 0.245 M LiClO4-PC solution. This value approaches that of conventional gelled poly(ethylene oxide)-based electrolytes blended with larger amounts of higher-concentration Li salt solutions. It is also similar to that of a bulk 0.245 M LiClO4-PC solution measured using the same AC impedance methods. Preliminary variable-temperature ion conductivity and NMR DOSY studies showed that liquidlike diffusion is present in the Q</w:instrText>
      </w:r>
      <w:r w:rsidR="005C60C1" w:rsidRPr="006D631C">
        <w:rPr>
          <w:rFonts w:ascii="Cambria Math" w:hAnsi="Cambria Math" w:cs="Cambria Math"/>
        </w:rPr>
        <w:instrText>∥</w:instrText>
      </w:r>
      <w:r w:rsidR="005C60C1" w:rsidRPr="006D631C">
        <w:rPr>
          <w:rFonts w:asciiTheme="majorBidi" w:hAnsiTheme="majorBidi" w:cstheme="majorBidi"/>
        </w:rPr>
        <w:instrText xml:space="preserve"> nanochannels and that good ion conductivity ( </w:instrText>
      </w:r>
      <w:r w:rsidR="005C60C1" w:rsidRPr="006D631C">
        <w:rPr>
          <w:rFonts w:ascii="Cambria Math" w:hAnsi="Cambria Math" w:cs="Cambria Math"/>
        </w:rPr>
        <w:instrText>∼</w:instrText>
      </w:r>
      <w:r w:rsidR="005C60C1" w:rsidRPr="006D631C">
        <w:rPr>
          <w:rFonts w:asciiTheme="majorBidi" w:hAnsiTheme="majorBidi" w:cstheme="majorBidi"/>
        </w:rPr>
        <w:instrText xml:space="preserve">10-4 S cm-1) and PC mobility are retained down to -35 </w:instrText>
      </w:r>
      <w:r w:rsidR="005C60C1" w:rsidRPr="006D631C">
        <w:instrText>°</w:instrText>
      </w:r>
      <w:r w:rsidR="005C60C1" w:rsidRPr="006D631C">
        <w:rPr>
          <w:rFonts w:asciiTheme="majorBidi" w:hAnsiTheme="majorBidi" w:cstheme="majorBidi"/>
        </w:rPr>
        <w:instrText xml:space="preserve"> C (and lower). This type of stable, liquidlike ion conductivity over a broad temperature range is typically not exhibited by conventional gelled-polymer- or liquid-crystal-based electrolytes, making this new material potentially valuable for enabling Li ion batteries that can operate more efficiently over a wider temperature range. Copyright © 2009 American Chemical Society.","author":[{"dropping-particle":"","family":"Kerr","given":"Robert L.","non-dropping-particle":"","parse-names":false,"suffix":""},{"dropping-particle":"","family":"Miller","given":"Seth A.","non-dropping-particle":"","parse-names":false,"suffix":""},{"dropping-particle":"","family":"Shoemaker","given":"Richard K.","non-dropping-particle":"","parse-names":false,"suffix":""},{"dropping-particle":"","family":"Elliott","given":"Brian J.","non-dropping-particle":"","parse-names":false,"suffix":""},{"dropping-particle":"","family":"Gin","given":"Douglas L.","non-dropping-particle":"","parse-names":false,"suffix":""}],"container-title":"Journal of the American Chemical Society","id":"ITEM-1","issue":"44","issued":{"date-parts":[["2009"]]},"page":"15972-15973","title":"New type of Li ion conductor with 3D interconnected nanopores via polymerization of a liquid organic electrolyte-filled lyotropic liquid-crystal assembly","type":"article-journal","volume":"131"},"uris":["http://www.mendeley.com/documents/?uuid=b026fd15-60b6-4d59-ade4-28389f2768fb"]}],"mendeley":{"formattedCitation":"&lt;sup&gt;116&lt;/sup&gt;","plainTextFormattedCitation":"116","previouslyFormattedCitation":"&lt;sup&gt;116&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116</w:t>
      </w:r>
      <w:r w:rsidRPr="006D631C">
        <w:rPr>
          <w:rFonts w:asciiTheme="majorBidi" w:hAnsiTheme="majorBidi" w:cstheme="majorBidi"/>
        </w:rPr>
        <w:fldChar w:fldCharType="end"/>
      </w:r>
      <w:r w:rsidRPr="006D631C">
        <w:rPr>
          <w:rFonts w:asciiTheme="majorBidi" w:hAnsiTheme="majorBidi" w:cstheme="majorBidi"/>
        </w:rPr>
        <w:t xml:space="preserve"> In another series of works, they have used Q</w:t>
      </w:r>
      <w:r w:rsidRPr="006D631C">
        <w:rPr>
          <w:rFonts w:asciiTheme="majorBidi" w:hAnsiTheme="majorBidi" w:cstheme="majorBidi"/>
          <w:vertAlign w:val="subscript"/>
        </w:rPr>
        <w:t>1</w:t>
      </w:r>
      <w:r w:rsidRPr="006D631C">
        <w:rPr>
          <w:rFonts w:asciiTheme="majorBidi" w:hAnsiTheme="majorBidi" w:cstheme="majorBidi"/>
        </w:rPr>
        <w:t xml:space="preserve"> phases obtained from P-A-35 to fabricate membranes with different applications. As breathable barrier materials for chemical agent protection, the produced butyl rubber (BR) incorporated membranes (LLC/BR composite) with Q</w:t>
      </w:r>
      <w:r w:rsidRPr="006D631C">
        <w:rPr>
          <w:rFonts w:asciiTheme="majorBidi" w:hAnsiTheme="majorBidi" w:cstheme="majorBidi"/>
          <w:vertAlign w:val="subscript"/>
        </w:rPr>
        <w:t>1</w:t>
      </w:r>
      <w:r w:rsidRPr="006D631C">
        <w:rPr>
          <w:rFonts w:asciiTheme="majorBidi" w:hAnsiTheme="majorBidi" w:cstheme="majorBidi"/>
        </w:rPr>
        <w:t xml:space="preserve"> structure show improved water vapor permeability/selectivity over LLC/BR composite membranes with H</w:t>
      </w:r>
      <w:r w:rsidRPr="006D631C">
        <w:rPr>
          <w:rFonts w:asciiTheme="majorBidi" w:hAnsiTheme="majorBidi" w:cstheme="majorBidi"/>
          <w:vertAlign w:val="subscript"/>
        </w:rPr>
        <w:t>2</w:t>
      </w:r>
      <w:r w:rsidRPr="006D631C">
        <w:rPr>
          <w:rFonts w:asciiTheme="majorBidi" w:hAnsiTheme="majorBidi" w:cstheme="majorBidi"/>
        </w:rPr>
        <w:t xml:space="preserve"> structure.</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10.1002/adma.200601156","ISSN":"09359648","author":[{"dropping-particle":"","family":"Lu","given":"Xiaoyun","non-dropping-particle":"","parse-names":false,"suffix":""},{"dropping-particle":"","family":"Nguyen","given":"Vinh","non-dropping-particle":"","parse-names":false,"suffix":""},{"dropping-particle":"","family":"Zhou","given":"Meijuan","non-dropping-particle":"","parse-names":false,"suffix":""},{"dropping-particle":"","family":"Zeng","given":"Xiaohui","non-dropping-particle":"","parse-names":false,"suffix":""},{"dropping-particle":"","family":"Jin","given":"Jizhu","non-dropping-particle":"","parse-names":false,"suffix":""},{"dropping-particle":"","family":"Elliott","given":"Brian J.","non-dropping-particle":"","parse-names":false,"suffix":""},{"dropping-particle":"","family":"Gin","given":"Douglas L.","non-dropping-particle":"","parse-names":false,"suffix":""}],"container-title":"Advanced Materials","id":"ITEM-1","issue":"24","issued":{"date-parts":[["2006","12","18"]]},"page":"3294-3298","title":"Crosslinked bicontinuous cubic lyotropic liquid-crystal/butyl-rubber composites: Highly selective, breathable barrier materials for chemical agent protection","type":"article-journal","volume":"18"},"uris":["http://www.mendeley.com/documents/?uuid=554c3c3f-b32f-4c00-81b2-67aee025abeb"]}],"mendeley":{"formattedCitation":"&lt;sup&gt;115&lt;/sup&gt;","plainTextFormattedCitation":"115","previouslyFormattedCitation":"&lt;sup&gt;115&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115</w:t>
      </w:r>
      <w:r w:rsidRPr="006D631C">
        <w:rPr>
          <w:rFonts w:asciiTheme="majorBidi" w:hAnsiTheme="majorBidi" w:cstheme="majorBidi"/>
        </w:rPr>
        <w:fldChar w:fldCharType="end"/>
      </w:r>
      <w:r w:rsidRPr="006D631C">
        <w:rPr>
          <w:rFonts w:asciiTheme="majorBidi" w:hAnsiTheme="majorBidi" w:cstheme="majorBidi"/>
        </w:rPr>
        <w:t xml:space="preserve"> On the other hand, the water filtration performance of the membranes fabricated with the Q</w:t>
      </w:r>
      <w:r w:rsidRPr="006D631C">
        <w:rPr>
          <w:rFonts w:asciiTheme="majorBidi" w:hAnsiTheme="majorBidi" w:cstheme="majorBidi"/>
          <w:vertAlign w:val="subscript"/>
        </w:rPr>
        <w:t>1</w:t>
      </w:r>
      <w:r w:rsidRPr="006D631C">
        <w:rPr>
          <w:rFonts w:asciiTheme="majorBidi" w:hAnsiTheme="majorBidi" w:cstheme="majorBidi"/>
        </w:rPr>
        <w:t xml:space="preserve"> LLC lies in between that of conventional nanofiltration (NF) and reverse osmosis (RO) membranes.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{"citationItems":[{"id":"ITEM-1","itemData":{"DOI":"10.1021/ja073067w","ISSN":"0002-7863","abstract":"A polymeric membrane material for efficient water desalination based on a cross-linked type I bicontinuous cubic (QI) lyotropic liquid crystal (LLC) assembly is described. This ordered, nanoporous, polymer material is formed by the self-assembly of a cross-linkable gemini amphiphile in water and contains interpenetrating organic networks separated from one another by a continuous, ultrathin water layer surface (ca. 0.75 nm gap spacing) with overall cubic symmetry. Supported membranes of this material are produced by hot-pressing the initial LLC monomer gel at high pressure through a commercial microporous hydrophilic membrane support at 70 °C and then radically photocross-linking the infused QI monomer phase. In stirred dead-end water filtration tests, the resulting 40-μm thick, optically transparent, supported LLC membranes exhibit 95-99.9% rejection of dissolved salt ions, neutral molecules and macromolecules, and molecular ions in the 0.64-1.2 nm size range in a single pass. This rejection performance is slightly better than that of a commercial reverse osmosis (RO) membrane for the same solutes under the same test conditions, and significantly better than that of a commercial porous nanofiltration membrane. The LLC polymer material also exhibits a thickness- and pressure-normalized water permeability that is similar to or just slightly lower than the dense active layer materials used in current RO membranes. It is believed that the 3-D interconnected water manifold system in the cross-linked QI-phase material allows small water molecules (0.27 nm kinetic diameter) to pass through with good efficiency, while effectively rejecting dissolved solutes close in size to, or larger than, the about 0.75 nm water layer gap spacing. Copyright © 2007 American Chemical Society.","author":[{"dropping-particle":"","family":"Zhou","given":"Meijuan","non-dropping-particle":"","parse-names":false,"suffix":""},{"dropping-particle":"","family":"Nemade","given":"Parag R.","non-dropping-particle":"","parse-names":false,"suffix":""},{"dropping-particle":"","family":"Lu","given":"Xiaoyun","non-dropping-particle":"","parse-names":false,"suffix":""},{"dropping-particle":"","family":"Zeng","given":"Xiaohui","non-dropping-particle":"","parse-names":false,"suffix":""},{"dropping-particle":"","family":"Hatakeyama","given":"Evan S.","non-dropping-particle":"","parse-names":false,"suffix":""},{"dropping-particle":"","family":"Noble","given":"Richard D.","non-dropping-particle":"","parse-names":false,"suffix":""},{"dropping-particle":"","family":"Gin","given":"Douglas L.","non-dropping-particle":"","parse-names":false,"suffix":""}],"container-title":"Journal of the American Chemical Society","id":"ITEM-1","issue":"31","issued":{"date-parts":[["2007","8","1"]]},"page":"9574-9575","title":"New Type of Membrane Material for Water Desalination Based on a Cross-Linked Bicontinuous Cubic Lyotropic Liquid Crystal Assembly","type":"article-journal","volume":"129"},"uris":["http://www.mendeley.com/documents/?uuid=0d2d8de2-7149-4057-b6fa-a85131e88c1f"]},{"id":"ITEM-2","itemData":{"DOI":"10.1016/j.memsci.2010.09.028","ISSN":"03767388","abstract":"The water filtration performance of a supported, nanostructured, lyotropic (i.e., surfactant) liquid crystal (LLC) polymer membrane containing uniform, sub-1-nm pores was examined in more detail using more extensive aqueous filtration tests and a more structurally representative nanopore model. This nanoporous membrane material is based on the radical cross-linking of an ionic, LLC monomer that forms a type I bicontinuous cubic (QI) phase with a 3D interconnected, annulus-like, water pore network. Previously, initial water transport studies using a limited number of solutes demonstrated initial proof-of-concept that this LLC polymer membrane can reject small molecules based on molecular size discrimination. In this study, more comprehensive transport experiments using aqueous solutions containing a wider range of different size neutral organic molecules and salt ions were undertaken. The results of these experiments showed that the LLC polymer membrane has a rejection performance in between that of a commercial, high-performance reverse osmosis (RO) membrane (Dow SW30HR) and that of a conventional porous nanofiltration (NF) membrane (Dow NF-270) with non-uniform pore sizes. Specifically, the LLC membrane was found to reject inorganic salt ions much better than a NF membrane, and on a level comparable to a RO membrane. It does not reject small neutral organic solutes as well as a RO membrane, but it was found to reject organic solutes better than a conventional NF membrane. Also, the organic solute rejection behavior was fitted using two different Donnan-steric pore models (DSPM) with different pore shapes (i.e., cylindrical and straight slit). It was determined that the QI-phase LLC membrane has an effective pore radius between 0.29nm and 0.45nm. This modeling also suggested that the LLC nanopores are indeed uniform in size. Initial chemical stability and fouling experiments suggest this nanoporous LLC polymer membrane is also very resistant to chlorine degradation and protein fouling. This combination of properties makes this nanoporous LLC polymer a very promising membrane material for water desalination and other NF processes. © 2010 Elsevier B.V.","author":[{"dropping-particle":"","family":"Hatakeyama","given":"Evan S.","non-dropping-particle":"","parse-names":false,"suffix":""},{"dropping-particle":"","family":"Gabriel","given":"Christopher J.","non-dropping-particle":"","parse-names":false,"suffix":""},{"dropping-particle":"","family":"Wiesenauer","given":"Brian R.","non-dropping-particle":"","parse-names":false,"suffix":""},{"dropping-particle":"","family":"Lohr","given":"Jenny L.","non-dropping-particle":"","parse-names":false,"suffix":""},{"dropping-particle":"","family":"Zhou","given":"Meijuan","non-dropping-particle":"","parse-names":false,"suffix":""},{"dropping-particle":"","family":"Noble","given":"Richard D.","non-dropping-particle":"","parse-names":false,"suffix":""},{"dropping-particle":"","family":"Gin","given":"Douglas L.","non-dropping-particle":"","parse-names":false,"suffix":""}],"container-title":"Journal of Membrane Science","id":"ITEM-2","issue":"1-2","issued":{"date-parts":[["2011"]]},"page":"62-72","title":"Water filtration performance of a lyotropic liquid crystal polymer membrane with uniform, sub-1-nm pores","type":"article-journal","volume":"366"},"uris":["http://www.mendeley.com/documents/?uuid=d888101c-302c-452d-bb53-4b70c2c9325c"]}],"mendeley":{"formattedCitation":"&lt;sup&gt;34,119&lt;/sup&gt;","plainTextFormattedCitation":"34,119","previouslyFormattedCitation":"&lt;sup&gt;34,119&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34,119</w:t>
      </w:r>
      <w:r w:rsidRPr="006D631C">
        <w:rPr>
          <w:rFonts w:asciiTheme="majorBidi" w:hAnsiTheme="majorBidi" w:cstheme="majorBidi"/>
        </w:rPr>
        <w:fldChar w:fldCharType="end"/>
      </w:r>
      <w:r w:rsidRPr="006D631C">
        <w:rPr>
          <w:rFonts w:asciiTheme="majorBidi" w:hAnsiTheme="majorBidi" w:cstheme="majorBidi"/>
        </w:rPr>
        <w:t xml:space="preserve"> They have also shown the possibility to modify/reduce the pore size of the final product by atomic layer deposition (ALD) and therefore to increase the efficiency of light gas separations.</w:t>
      </w:r>
      <w:r w:rsidRPr="006D631C">
        <w:rPr>
          <w:rFonts w:asciiTheme="majorBidi" w:hAnsiTheme="majorBidi" w:cstheme="majorBidi"/>
        </w:rPr>
        <w:fldChar w:fldCharType="begin" w:fldLock="1"/>
      </w:r>
      <w:r w:rsidR="005C60C1" w:rsidRPr="006D631C">
        <w:rPr>
          <w:rFonts w:asciiTheme="majorBidi" w:hAnsiTheme="majorBidi" w:cstheme="majorBidi"/>
        </w:rPr>
        <w:instrText xml:space="preserve">ADDIN CSL_CITATION {"citationItems":[{"id":"ITEM-1","itemData":{"DOI":"10.1016/j.memsci.2009.11.067","ISSN":"03767388","abstract":"Supported type I bicontinuous cubic (QI) lyotropic liquid crystal (LLC) polymer membranes with a 3D-interconnected porous structure and an effective pore size of 0.75 nm were modified by alumina atomic layer deposition (ALD). The ALD-modified polymer membranes have an effective pore size smaller than 0.55 nm and show promise for gas separations. With 10 cycles of alumina ALD coating, the selectivity of an ALD-modified QI-phase LLC polymer membrane for H2/N2 greatly increased from 12 to 65, while the permeance of H2 decreased </w:instrText>
      </w:r>
      <w:r w:rsidR="005C60C1" w:rsidRPr="006D631C">
        <w:rPr>
          <w:rFonts w:ascii="Cambria Math" w:hAnsi="Cambria Math" w:cs="Cambria Math"/>
        </w:rPr>
        <w:instrText>∼</w:instrText>
      </w:r>
      <w:r w:rsidR="005C60C1" w:rsidRPr="006D631C">
        <w:rPr>
          <w:rFonts w:asciiTheme="majorBidi" w:hAnsiTheme="majorBidi" w:cstheme="majorBidi"/>
        </w:rPr>
        <w:instrText>40%. The ALD membrane modification approach described here appears to be universal and has the potential to modify other nanoporous membranes for size-selective separation. © 2009 Elsevier B.V. All rights reserved.","author":[{"dropping-particle":"","family":"Liang","given":"Xinhua","non-dropping-particle":"","parse-names":false,"suffix":""},{"dropping-particle":"","family":"Lu","given":"Xiaoyun","non-dropping-particle":"","parse-names":false,"suffix":""},{"dropping-particle":"","family":"Yu","given":"Miao","non-dropping-particle":"","parse-names":false,"suffix":""},{"dropping-particle":"","family":"Cavanagh","given":"Andrew S.","non-dropping-particle":"","parse-names":false,"suffix":""},{"dropping-particle":"","family":"Gin","given":"Douglas L.","non-dropping-particle":"","parse-names":false,"suffix":""},{"dropping-particle":"","family":"Weimer","given":"Alan W.","non-dropping-particle":"","parse-names":false,"suffix":""}],"container-title":"Journal of Membrane Science","id":"ITEM-1","issue":"1-2","issued":{"date-parts":[["2010"]]},"page":"1-5","title":"Modification of nanoporous supported lyotropic liquid crystal polymer membranes by atomic layer deposition","type":"article-journal","volume":"349"},"uris":["http://www.mendeley.com/documents/?uuid=3a09af60-68cf-4353-89a4-9a332bc0b7dd"]}],"mendeley":{"formattedCitation":"&lt;sup&gt;117&lt;/sup&gt;","plainTextFormattedCitation":"117","previouslyFormattedCitation":"&lt;sup&gt;117&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117</w:t>
      </w:r>
      <w:r w:rsidRPr="006D631C">
        <w:rPr>
          <w:rFonts w:asciiTheme="majorBidi" w:hAnsiTheme="majorBidi" w:cstheme="majorBidi"/>
        </w:rPr>
        <w:fldChar w:fldCharType="end"/>
      </w:r>
      <w:r w:rsidRPr="006D631C">
        <w:rPr>
          <w:rFonts w:asciiTheme="majorBidi" w:hAnsiTheme="majorBidi" w:cstheme="majorBidi"/>
        </w:rPr>
        <w:t xml:space="preserve"> In another effort, Gin and co-workers decreased the production cost of Q</w:t>
      </w:r>
      <w:r w:rsidRPr="006D631C">
        <w:rPr>
          <w:rFonts w:asciiTheme="majorBidi" w:hAnsiTheme="majorBidi" w:cstheme="majorBidi"/>
          <w:vertAlign w:val="subscript"/>
        </w:rPr>
        <w:t>1</w:t>
      </w:r>
      <w:r w:rsidRPr="006D631C">
        <w:rPr>
          <w:rFonts w:asciiTheme="majorBidi" w:hAnsiTheme="majorBidi" w:cstheme="majorBidi"/>
        </w:rPr>
        <w:t>-based water filtration membranes by using P-A-36 instead of P-A-35 while maintaining the same efficiency.</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{"citationItems":[{"id":"ITEM-1","itemData":{"DOI":"10.1021/cm1013027","ISSN":"08974756","abstract":"New polymerizable gemini ammonium surfactants can be cross-linked in a type I bicontinuous cubic lyotropic liquid crystal phase with water to afford nanoporous polymer membranes with sub-1 nm 3D pores for water nanofiltration applications. © 2010 American Chemical Society.","author":[{"dropping-particle":"","family":"Hatakeyama","given":"Evan S.","non-dropping-particle":"","parse-names":false,"suffix":""},{"dropping-particle":"","family":"Wiesenauer","given":"Brian R.","non-dropping-particle":"","parse-names":false,"suffix":""},{"dropping-particle":"","family":"Gabriel","given":"Christopher J.","non-dropping-particle":"","parse-names":false,"suffix":""},{"dropping-particle":"","family":"Noble","given":"Richard D.","non-dropping-particle":"","parse-names":false,"suffix":""},{"dropping-particle":"","family":"Gin","given":"Douglas L.","non-dropping-particle":"","parse-names":false,"suffix":""}],"container-title":"Chemistry of Materials","id":"ITEM-1","issue":"16","issued":{"date-parts":[["2010"]]},"page":"4525-4527","title":"Nanoporous, bicontinuous cubic lyotropic liquid crystal networks via polymerizable gemini ammonium surfactants","type":"article-journal","volume":"22"},"uris":["http://www.mendeley.com/documents/?uuid=ee60048f-096b-4632-81a8-8b2118bda996"]}],"mendeley":{"formattedCitation":"&lt;sup&gt;118&lt;/sup&gt;","plainTextFormattedCitation":"118","previouslyFormattedCitation":"&lt;sup&gt;118&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118</w:t>
      </w:r>
      <w:r w:rsidRPr="006D631C">
        <w:rPr>
          <w:rFonts w:asciiTheme="majorBidi" w:hAnsiTheme="majorBidi" w:cstheme="majorBidi"/>
        </w:rPr>
        <w:fldChar w:fldCharType="end"/>
      </w:r>
      <w:r w:rsidRPr="006D631C">
        <w:rPr>
          <w:rFonts w:asciiTheme="majorBidi" w:hAnsiTheme="majorBidi" w:cstheme="majorBidi"/>
        </w:rPr>
        <w:t xml:space="preserve"> To further examine the performance of this structure, the team has used a mixture of </w:t>
      </w:r>
      <w:r w:rsidRPr="006D631C">
        <w:rPr>
          <w:rFonts w:asciiTheme="majorBidi" w:hAnsiTheme="majorBidi" w:cstheme="majorBidi"/>
        </w:rPr>
        <w:lastRenderedPageBreak/>
        <w:t>P-A-38 in glycerol to obtain Q</w:t>
      </w:r>
      <w:r w:rsidRPr="006D631C">
        <w:rPr>
          <w:rFonts w:asciiTheme="majorBidi" w:hAnsiTheme="majorBidi" w:cstheme="majorBidi"/>
          <w:vertAlign w:val="subscript"/>
        </w:rPr>
        <w:t>1</w:t>
      </w:r>
      <w:r w:rsidRPr="006D631C">
        <w:rPr>
          <w:rFonts w:asciiTheme="majorBidi" w:hAnsiTheme="majorBidi" w:cstheme="majorBidi"/>
        </w:rPr>
        <w:t>-based membranes having a thin active layer (&lt; 0.1 micrometer) as a thin film composite (TFC). The generated membranes show a water flux comparable to the industrially used NF and RO membranes, salt rejection in between of them, and higher fouling resistance and flux recovery.</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{"citationItems":[{"id":"ITEM-1","itemData":{"DOI":"10.1021/cm302027s","ISSN":"15205002","author":[{"dropping-particle":"","family":"Carter","given":"Blaine M.","non-dropping-particle":"","parse-names":false,"suffix":""},{"dropping-particle":"","family":"Wiesenauer","given":"Brian R.","non-dropping-particle":"","parse-names":false,"suffix":""},{"dropping-particle":"","family":"Hatakeyama","given":"Evan S.","non-dropping-particle":"","parse-names":false,"suffix":""},{"dropping-particle":"","family":"Barton","given":"John L.","non-dropping-particle":"","parse-names":false,"suffix":""},{"dropping-particle":"","family":"Noble","given":"Richard D.","non-dropping-particle":"","parse-names":false,"suffix":""},{"dropping-particle":"","family":"Gin","given":"Douglas L.","non-dropping-particle":"","parse-names":false,"suffix":""}],"container-title":"Chemistry of Materials","id":"ITEM-1","issue":"21","issued":{"date-parts":[["2012"]]},"page":"4005-4007","title":"Glycerol-based bicontinuous cubic lyotropic liquid crystal monomer system for the fabrication of thin-film membranes with uniform nanopores","type":"article-journal","volume":"24"},"uris":["http://www.mendeley.com/documents/?uuid=ecdbb3ff-7519-4a65-abca-056edd3369f2"]},{"id":"ITEM-2","itemData":{"DOI":"10.1016/j.memsci.2013.12.056","ISSN":"03767388","abstract":"The effects of anion-exchange on the filtration performance of thin-film composite (TFC) membranes with an active layer consisting of a nanostructured, lyotropic (i.e., surfactant) liquid crystal (LLC) polymer were investigated. These TFC LLC membranes are made by the in situ cross-linking of reactive amphiphiles (i.e., surfactants) that self-organize in the presence of glycerol into a type I bicontinuous cubic (QI) phase that contains a uniform, 3D-interconnected pore network lined with tethered cationic moieties and free mobile anions in the pores. In this study, a systematic series of experiments were performed to independently investigate how monovalent cations and anions affect transport in these TFC QI membranes. TFC QI membranes exposed to feed solutions that contain different cations (i.e., Li+(aq), Na+(aq), and K+(aq)) but have the same monovalent anion as the free mobile anion in the membrane (i.e., Br-(aq)) have a constant flux and a high rejection (&gt;98%). When the cation is kept constant (i.e., Na+(aq)) and the anion in the feed is varied (i.e., Cl-(aq), Br-(aq), NO3(aq)-, and I-(aq)) and allowed to partially anion-exchange with the membrane, a high rejection is maintained (≥96%), but the flux significantly changes depending on the anion in the feed solution. The flux of the TFC QI membranes can also be repeatedly be cycled by contacting the membranes with different anions. Control experiments with completely anion-exchanged TFC QI membranes (i.e., with Cl-(aq), Br-(aq), NO3(aq)-, and I-(aq)) showed that the rejection of sodium salts and uncharged organic solutes was virtually the same for all of the completely anion-exchanged membranes. As a whole, these results demonstrate that the flux of these TFC QI membranes can be tuned by changing the anion with little to no change in the rejection performance. The unique performance characteristics of TFC QI membranes may offer advantages over conventional NF and RO membranes for water purification applications or other aqueous separations. © 2013 Elsevier B.V.","author":[{"dropping-particle":"","family":"Carter","given":"Blaine M.","non-dropping-particle":"","parse-names":false,"suffix":""},{"dropping-particle":"","family":"Wiesenauer","given":"Brian R.","non-dropping-particle":"","parse-names":false,"suffix":""},{"dropping-particle":"","family":"Noble","given":"Richard D.","non-dropping-particle":"","parse-names":false,"suffix":""},{"dropping-particle":"","family":"Gin","given":"Douglas L.","non-dropping-particle":"","parse-names":false,"suffix":""}],"container-title":"Journal of Membrane Science","id":"ITEM-2","issued":{"date-parts":[["2014"]]},"page":"143-151","title":"Thin-film composite bicontinuous cubic lyotropic liquid crystal polymer membranes: Effects of anion-exchange on water filtration performance","type":"article-journal","volume":"455"},"uris":["http://www.mendeley.com/documents/?uuid=8f662d33-407e-497b-ac4d-657ed26fc531"]},{"id":"ITEM-3","itemData":{"DOI":"10.1016/j.memsci.2017.08.028","ISSN":"18733123","abstract":"A thin-film composite, bicontinuous cubic lyotropic liquid crystal polymer (TFC QI) membrane with uniform-size, ionic nanopores was studied for the treatment of hydraulic fracturing flowback water. The TFC QI membrane performance was compared to those of a commercial nanofiltration (NF) membrane (NF270) and a commercial reverse osmosis (RO) membrane (SW30HR) for the filtration of flowback water from the Denver-Julesburg Basin. The permeability, salt rejection, and organic solute rejection for each membrane was evaluated. The results illustrate that the TFC QI membrane maintained its performance to a similar degree as the commercial NF and RO membranes while demonstrating a unique selectivity not observed in the commercial membranes. Specifically, the TFC QI membrane rejected 75% of the salt while recovering 9.6% of the dissolved organic carbon (DOC) and 50% of the water. Of particular interest was the recovery of labile DOC, which was assessed through biodegradation experiments. Analysis following biodegradation of the TFC QI membrane permeate demonstrates the membrane's ability to recover labile DOC in a reduced-saline permeate. Improved recovery of labile DOC (increased to 22%) was demonstrated by reducing the pH of the flowback water. Therefore, the selectivity of the TFC QI membrane provides an opportunity to recover resources from hydraulic fracturing flowback.","author":[{"dropping-particle":"","family":"Dischinger","given":"Sarah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L.","non-dropping-particle":"","parse-names":false,"suffix":""},{"dropping-particle":"","family":"Linden","given":"Karl G.","non-dropping-particle":"","parse-names":false,"suffix":""}],"container-title":"Journal of Membrane Science","id":"ITEM-3","issued":{"date-parts":[["2017"]]},"page":"319-327","title":"Application of a lyotropic liquid crystal nanofiltration membrane for hydraulic fracturing flowback water: Selectivity and implications for treatment","type":"article-journal","volume":"543"},"uris":["http://www.mendeley.com/documents/?uuid=5a46df75-f496-4fbd-8165-bd32a6b934a9"]},{"id":"ITEM-4","itemData":{"DOI":"10.1016/j.memsci.2019.117313","ISSN":"18733123","abstract":"Current commercial nanofiltration and reverse osmosis membranes are limited in scope and performance due to their physicochemical properties. Desalination of hydraulic fracturing wastewater poses a particular challenge to membrane filtration given the high concentrations of both organic compounds and salts present in these waters. The recently-developed nanoporous, bicontinuous cubic, lyotropic liquid crystal, thin-film-composite polymer membrane (TFC QI membrane), having unique physicochemical properties, enables an alternative treatment of hydraulic fracturing wastewater. Specifically, the TFC QI membrane recovers the organic compounds from this high-salinity wastewater, enabling biodegradation to occur after desalination. However, other performance criteria must be demonstrated for a membrane to reach application. The work presented herein demonstrates the stable performance of the TFC QI membrane during 66 h of cross-flow filtration of hydraulic fracturing produced water. Compared to the commercial NF90 membrane, the TFC QI membrane recovered a larger portion of the organic compounds, had a higher thickness-normalized water flux, and fouled less. The combination of the TFC QI membrane's selectivity with its reduced fouling propensity makes possible a treatment for hydraulic fracturing wastewater and other complex aqueous streams inaccessible by most commercial membranes, motivating the further study and development of the TFC QI membrane.","author":[{"dropping-particle":"","family":"Dischinger","given":"Sarah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L.","non-dropping-particle":"","parse-names":false,"suffix":""}],"container-title":"Journal of Membrane Science","id":"ITEM-4","issued":{"date-parts":[["2019","12"]]},"page":"117313","title":"Evaluation of a nanoporous lyotropic liquid crystal polymer membrane for the treatment of hydraulic fracturing produced water via cross-flow filtration","type":"article-journal","volume":"592"},"uris":["http://www.mendeley.com/documents/?uuid=71636acc-2380-4a88-abf2-a64937232a30"]}],"mendeley":{"formattedCitation":"&lt;sup&gt;33,114,120,121&lt;/sup&gt;","plainTextFormattedCitation":"33,114,120,121","previouslyFormattedCitation":"&lt;sup&gt;33,114,120,121&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33,114,120,121</w:t>
      </w:r>
      <w:r w:rsidRPr="006D631C">
        <w:rPr>
          <w:rFonts w:asciiTheme="majorBidi" w:hAnsiTheme="majorBidi" w:cstheme="majorBidi"/>
        </w:rPr>
        <w:fldChar w:fldCharType="end"/>
      </w:r>
      <w:r w:rsidRPr="006D631C">
        <w:rPr>
          <w:rFonts w:asciiTheme="majorBidi" w:hAnsiTheme="majorBidi" w:cstheme="majorBidi"/>
        </w:rPr>
        <w:t xml:space="preserve"> Furthermore, the fabricated membranes exhibit an improved water/chemical agent molar vapor selectivity over Q</w:t>
      </w:r>
      <w:r w:rsidRPr="006D631C">
        <w:rPr>
          <w:rFonts w:asciiTheme="majorBidi" w:hAnsiTheme="majorBidi" w:cstheme="majorBidi"/>
          <w:vertAlign w:val="subscript"/>
        </w:rPr>
        <w:t>1</w:t>
      </w:r>
      <w:r w:rsidRPr="006D631C">
        <w:rPr>
          <w:rFonts w:asciiTheme="majorBidi" w:hAnsiTheme="majorBidi" w:cstheme="majorBidi"/>
        </w:rPr>
        <w:t xml:space="preserve"> LLC/BR membranes created by P-A-35 while requiring lower production costs.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{"citationItems":[{"id":"ITEM-1","itemData":{"DOI":"10.1021/acs.iecr.9b04738","ISSN":"15205045","abstract":"A laminated thin-film composite (TFC) membrane system consisting of an ultrafiltration support, an ordered, nanoporous, polymerized lyotropic liquid crystal (LLC) intermediate layer, and an ultrathin, dense polydopamine top layer was developed for use as a \"breathable\" chemical-protective garment material. These membranes exhibit a high water vapor transport rate (ca. 500 g m-2 day-1) and excellent rejection of both CEES (a blister agent simulant) and DMMP (a nerve agent simulant) vapors under ambient conditions. The (water:CEES) and (water:DMMP) molar vapor selectivity values of this new composite membrane system were found to be 170 ± 40 and &gt;3400, respectively, which exceed those of any previously reported LLC-based membrane system.","author":[{"dropping-particle":"","family":"Dwulet","given":"Gregory E.","non-dropping-particle":"","parse-names":false,"suffix":""},{"dropping-particle":"","family":"Dischinger","given":"Sarah M.","non-dropping-particle":"","parse-names":false,"suffix":""},{"dropping-particle":"","family":"McGrath","given":"Michael J.","non-dropping-particle":"","parse-names":false,"suffix":""},{"dropping-particle":"","family":"Basalla","given":"Andrew J.","non-dropping-particle":"","parse-names":false,"suffix":""},{"dropping-particle":"","family":"Malecha","given":"John J.","non-dropping-particle":"","parse-names":false,"suffix":""},{"dropping-particle":"","family":"Noble","given":"Richard D.","non-dropping-particle":"","parse-names":false,"suffix":""},{"dropping-particle":"","family":"Gin","given":"Douglas L.","non-dropping-particle":"","parse-names":false,"suffix":""}],"container-title":"Industrial and Engineering Chemistry Research","id":"ITEM-1","issue":"47","issued":{"date-parts":[["2019"]]},"page":"21890-21893","title":"Breathable, Polydopamine-Coated Nanoporous Membranes That Selectively Reject Nerve and Blister Agent Simulant Vapors","type":"article-journal","volume":"58"},"uris":["http://www.mendeley.com/documents/?uuid=bfb3aac2-829d-4981-96b8-893069237b8b"]}],"mendeley":{"formattedCitation":"&lt;sup&gt;112&lt;/sup&gt;","plainTextFormattedCitation":"112","previouslyFormattedCitation":"&lt;sup&gt;112&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112</w:t>
      </w:r>
      <w:r w:rsidRPr="006D631C">
        <w:rPr>
          <w:rFonts w:asciiTheme="majorBidi" w:hAnsiTheme="majorBidi" w:cstheme="majorBidi"/>
        </w:rPr>
        <w:fldChar w:fldCharType="end"/>
      </w:r>
      <w:r w:rsidRPr="006D631C">
        <w:rPr>
          <w:rFonts w:asciiTheme="majorBidi" w:hAnsiTheme="majorBidi" w:cstheme="majorBidi"/>
        </w:rPr>
        <w:t xml:space="preserve"> Modification of ion sorption and pore transport properties via polymerization of an ionic monomer inside the membrane pores has also been explored to modify the performance of the Q</w:t>
      </w:r>
      <w:r w:rsidRPr="006D631C">
        <w:rPr>
          <w:rFonts w:asciiTheme="majorBidi" w:hAnsiTheme="majorBidi" w:cstheme="majorBidi"/>
          <w:vertAlign w:val="subscript"/>
        </w:rPr>
        <w:t>1</w:t>
      </w:r>
      <w:r w:rsidRPr="006D631C">
        <w:rPr>
          <w:rFonts w:asciiTheme="majorBidi" w:hAnsiTheme="majorBidi" w:cstheme="majorBidi"/>
        </w:rPr>
        <w:t>-based membranes.</w:t>
      </w:r>
      <w:r w:rsidRPr="006D631C">
        <w:rPr>
          <w:rFonts w:asciiTheme="majorBidi" w:hAnsiTheme="majorBidi" w:cstheme="majorBidi"/>
        </w:rPr>
        <w:fldChar w:fldCharType="begin" w:fldLock="1"/>
      </w:r>
      <w:r w:rsidR="005C60C1" w:rsidRPr="006D631C">
        <w:rPr>
          <w:rFonts w:asciiTheme="majorBidi" w:hAnsiTheme="majorBidi" w:cstheme="majorBidi"/>
        </w:rPr>
        <w:instrText xml:space="preserve">ADDIN CSL_CITATION {"citationItems":[{"id":"ITEM-1","itemData":{"DOI":"10.1021/acsmaterialslett.9b00244","ISSN":"2639-4979","abstract":"A triazine based disc shaped molecule with two hydrolyzable units, imine and ester groups, was polymerized via acyclic diene metathesis in the columnar hexagonal (Colhex) LC phase. Fabrication of a cationic nanoporous polymer (pore diameter </w:instrText>
      </w:r>
      <w:r w:rsidR="005C60C1" w:rsidRPr="006D631C">
        <w:rPr>
          <w:rFonts w:ascii="Cambria Math" w:hAnsi="Cambria Math" w:cs="Cambria Math"/>
        </w:rPr>
        <w:instrText>∼</w:instrText>
      </w:r>
      <w:r w:rsidR="005C60C1" w:rsidRPr="006D631C">
        <w:rPr>
          <w:rFonts w:asciiTheme="majorBidi" w:hAnsiTheme="majorBidi" w:cstheme="majorBidi"/>
        </w:rPr>
        <w:instrText xml:space="preserve">1.3 nm) lined with ammonium groups at the pore surface was achieved by hydrolysis of the imine linkage. Size selective aldehyde uptake by the cationic porous polymer was demonstrated. The anilinium groups in the pores were converted to azide as well as phenyl groups by further chemical treatment, leading to porous polymers with neutral functional groups in the pores. The pores were enlarged by further hydrolysis of the ester groups to create </w:instrText>
      </w:r>
      <w:r w:rsidR="005C60C1" w:rsidRPr="006D631C">
        <w:rPr>
          <w:rFonts w:ascii="Cambria Math" w:hAnsi="Cambria Math" w:cs="Cambria Math"/>
        </w:rPr>
        <w:instrText>∼</w:instrText>
      </w:r>
      <w:r w:rsidR="005C60C1" w:rsidRPr="006D631C">
        <w:rPr>
          <w:rFonts w:asciiTheme="majorBidi" w:hAnsiTheme="majorBidi" w:cstheme="majorBidi"/>
        </w:rPr>
        <w:instrText xml:space="preserve">2.6 nm pores lined with </w:instrText>
      </w:r>
      <w:r w:rsidR="005C60C1" w:rsidRPr="006D631C">
        <w:instrText>−</w:instrText>
      </w:r>
      <w:r w:rsidR="005C60C1" w:rsidRPr="006D631C">
        <w:rPr>
          <w:rFonts w:asciiTheme="majorBidi" w:hAnsiTheme="majorBidi" w:cstheme="majorBidi"/>
        </w:rPr>
        <w:instrText>COONa surface groups. The same pores could be obtained in a single step without first hydrolyzing the imine linkage. XRD studies demonstrated that the Colhex order of the monomer was preserved after polymerization as well as in both the nanoporous polymers. The porous anionic polymer lined with −COOH groups was further converted to the −COOLi, −COONa, −COOK, −COOCs, and −COONH4 salts. The porous polymer lined with −COONa groups selectively adsorbs a cationic dye, methylene blue, over an anionic dye.","author":[{"dropping-particle":"","family":"McGrath","given":"Michael J.","non-dropping-particle":"","parse-names":false,"suffix":""},{"dropping-particle":"","family":"Hardy","given":"Samantha H.","non-dropping-particle":"","parse-names":false,"suffix":""},{"dropping-particle":"","family":"Basalla","given":"Andrew J.","non-dropping-particle":"","parse-names":false,"suffix":""},{"dropping-particle":"","family":"Dwulet","given":"Gregory E.","non-dropping-particle":"","parse-names":false,"suffix":""},{"dropping-particle":"","family":"Manubay","given":"Bryce C.","non-dropping-particle":"","parse-names":false,"suffix":""},{"dropping-particle":"","family":"Malecha","given":"John J.","non-dropping-particle":"","parse-names":false,"suffix":""},{"dropping-particle":"","family":"Shi","given":"Zhangxing","non-dropping-particle":"","parse-names":false,"suffix":""},{"dropping-particle":"","family":"Funke","given":"Hans H.","non-dropping-particle":"","parse-names":false,"suffix":""},{"dropping-particle":"","family":"Gin","given":"Douglas L.","non-dropping-particle":"","parse-names":false,"suffix":""},{"dropping-particle":"","family":"Noble","given":"Richard D.","non-dropping-particle":"","parse-names":false,"suffix":""}],"container-title":"ACS Materials Letters","id":"ITEM-1","issue":"4","issued":{"date-parts":[["2019"]]},"page":"452-458","title":"Polymerization of Counteranions in the Cationic Nanopores of a Cross-linked Lyotropic Liquid Crystal Network to Modify Ion Transport Properties","type":"article-journal","volume":"1"},"uris":["http://www.mendeley.com/documents/?uuid=e62cd001-6130-4382-952f-5454a0040187"]}],"mendeley":{"formattedCitation":"&lt;sup&gt;113&lt;/sup&gt;","plainTextFormattedCitation":"113","previouslyFormattedCitation":"&lt;sup&gt;113&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113</w:t>
      </w:r>
      <w:r w:rsidRPr="006D631C">
        <w:rPr>
          <w:rFonts w:asciiTheme="majorBidi" w:hAnsiTheme="majorBidi" w:cstheme="majorBidi"/>
        </w:rPr>
        <w:fldChar w:fldCharType="end"/>
      </w:r>
      <w:r w:rsidRPr="006D631C">
        <w:rPr>
          <w:rFonts w:asciiTheme="majorBidi" w:hAnsiTheme="majorBidi" w:cstheme="majorBidi"/>
        </w:rPr>
        <w:t xml:space="preserve"> Finally, they have reported a higher dehydration and resistivity of the Q</w:t>
      </w:r>
      <w:r w:rsidRPr="006D631C">
        <w:rPr>
          <w:rFonts w:asciiTheme="majorBidi" w:hAnsiTheme="majorBidi" w:cstheme="majorBidi"/>
          <w:vertAlign w:val="subscript"/>
        </w:rPr>
        <w:t>1</w:t>
      </w:r>
      <w:r w:rsidRPr="006D631C">
        <w:rPr>
          <w:rFonts w:asciiTheme="majorBidi" w:hAnsiTheme="majorBidi" w:cstheme="majorBidi"/>
        </w:rPr>
        <w:t>-based anion exchange membrane (AEM) in dilute FeCl</w:t>
      </w:r>
      <w:r w:rsidRPr="006D631C">
        <w:rPr>
          <w:rFonts w:asciiTheme="majorBidi" w:hAnsiTheme="majorBidi" w:cstheme="majorBidi"/>
          <w:vertAlign w:val="subscript"/>
        </w:rPr>
        <w:t>3</w:t>
      </w:r>
      <w:r w:rsidRPr="006D631C">
        <w:rPr>
          <w:rFonts w:asciiTheme="majorBidi" w:hAnsiTheme="majorBidi" w:cstheme="majorBidi"/>
        </w:rPr>
        <w:t xml:space="preserve"> solutions compared to amorphous AEMs thanks to closer spacing of ion exchange sites.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{"citationItems":[{"id":"ITEM-1","itemData":{"DOI":"10.1021/acs.iecr.9b04592","ISSN":"15205045","abstract":"Anion-exchange membranes (AEMs) often dehydrate and lose ionic conductivity in ferric chloride solutions used in all-iron or iron-chromium redox flow batteries (RFB). In this work, the change in material and ionic transport properties of three AEMs with similar concentrations of ion exchange sites and hydration numbers (mol H2O/mol ion exchange site) upon exposure to ferric chloride/hydrochloric acid solutions were studied. Raman spectroscopy and iron sorption measurements show that FeCl4- occupies a fraction of the AEM ion exchange sites that depends on the ferric chloride concentration in the external solution. The AEM hydration number is linearly proportional to the amount of iron sorbed in the AEMs, suggesting that the displacement of the original hydrated Cl- counterions for unhydrated FeCl4- is the dominant mechanism for membrane dehydration. The ionic resistivity of the AEMs containing FeCl4- increased by as much as 4 orders of magnitude due to dehydration and, at high FeCl3 solution concentrations (≥1.4M), also due to nonideal solution effects. Although the three AEMs have similar ion exchange site concentrations, the AEM with the closer local spacing of ion exchange sites exhibits higher FeCl4- sorption, and a correspondingly greater dehydration and resistivity increase in dilute FeCl3 solutions.","author":[{"dropping-particle":"","family":"McGrath","given":"Michael J.","non-dropping-particle":"","parse-names":false,"suffix":""},{"dropping-particle":"","family":"Patterson","given":"Nicholas","non-dropping-particle":"","parse-names":false,"suffix":""},{"dropping-particle":"","family":"Manubay","given":"Bryce C.","non-dropping-particle":"","parse-names":false,"suffix":""},{"dropping-particle":"","family":"Hardy","given":"Samantha H.","non-dropping-particle":"","parse-names":false,"suffix":""},{"dropping-particle":"","family":"Malecha","given":"John J.","non-dropping-particle":"","parse-names":false,"suffix":""},{"dropping-particle":"","family":"Shi","given":"Zhangxing","non-dropping-particle":"","parse-names":false,"suffix":""},{"dropping-particle":"","family":"Yue","given":"Xiujun","non-dropping-particle":"","parse-names":false,"suffix":""},{"dropping-particle":"","family":"Xing","given":"Xing","non-dropping-particle":"","parse-names":false,"suffix":""},{"dropping-particle":"","family":"Funke","given":"Hans H.","non-dropping-particle":"","parse-names":false,"suffix":""},{"dropping-particle":"","family":"Gin","given":"Douglas L.","non-dropping-particle":"","parse-names":false,"suffix":""},{"dropping-particle":"","family":"Liu","given":"Ping","non-dropping-particle":"","parse-names":false,"suffix":""},{"dropping-particle":"","family":"Noble","given":"Richard D.","non-dropping-particle":"","parse-names":false,"suffix":""}],"container-title":"Industrial and Engineering Chemistry Research","id":"ITEM-1","issue":"49","issued":{"date-parts":[["2019"]]},"page":"22250-22259","title":"110th Anniversary: The Dehydration and Loss of Ionic Conductivity in Anion Exchange Membranes Due to FeCl4- Ion Exchange and the Role of Membrane Microstructure","type":"article-journal","volume":"58"},"uris":["http://www.mendeley.com/documents/?uuid=0b80f95a-a1ae-47a5-9e32-d044734acfbe"]}],"mendeley":{"formattedCitation":"&lt;sup&gt;52&lt;/sup&gt;","plainTextFormattedCitation":"52","previouslyFormattedCitation":"&lt;sup&gt;52&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52</w:t>
      </w:r>
      <w:r w:rsidRPr="006D631C">
        <w:rPr>
          <w:rFonts w:asciiTheme="majorBidi" w:hAnsiTheme="majorBidi" w:cstheme="majorBidi"/>
        </w:rPr>
        <w:fldChar w:fldCharType="end"/>
      </w:r>
    </w:p>
    <w:p w14:paraId="41612DE3" w14:textId="3E76B253" w:rsidR="00F13924" w:rsidRPr="006D631C" w:rsidRDefault="00F13924" w:rsidP="00CB7643">
      <w:pPr>
        <w:pStyle w:val="Heading3"/>
      </w:pPr>
      <w:bookmarkStart w:id="66" w:name="_Toc131082870"/>
      <w:bookmarkStart w:id="67" w:name="_Toc148175788"/>
      <w:r w:rsidRPr="006D631C">
        <w:t xml:space="preserve">1.3.4 Discontinuous cubic </w:t>
      </w:r>
      <w:r w:rsidR="00076472" w:rsidRPr="006D631C">
        <w:t>(I</w:t>
      </w:r>
      <w:r w:rsidR="00076472" w:rsidRPr="006D631C">
        <w:rPr>
          <w:vertAlign w:val="subscript"/>
        </w:rPr>
        <w:t>α</w:t>
      </w:r>
      <w:r w:rsidR="00076472" w:rsidRPr="006D631C">
        <w:t>)</w:t>
      </w:r>
      <w:bookmarkEnd w:id="66"/>
      <w:bookmarkEnd w:id="67"/>
    </w:p>
    <w:p w14:paraId="37D9AF2F" w14:textId="2CFD601E" w:rsidR="001376FF" w:rsidRPr="006D631C" w:rsidRDefault="00B741E1" w:rsidP="002146C8">
      <w:pPr>
        <w:pStyle w:val="Caption"/>
        <w:spacing w:line="480" w:lineRule="auto"/>
        <w:ind w:firstLine="357"/>
        <w:rPr>
          <w:rFonts w:asciiTheme="majorBidi" w:hAnsiTheme="majorBidi" w:cstheme="majorBidi"/>
          <w:szCs w:val="24"/>
        </w:rPr>
      </w:pPr>
      <w:r w:rsidRPr="006D631C">
        <w:rPr>
          <w:rFonts w:asciiTheme="majorBidi" w:hAnsiTheme="majorBidi" w:cstheme="majorBidi"/>
          <w:szCs w:val="24"/>
        </w:rPr>
        <w:t>Discontinuous cubic phases have mainly been used in synergistic templating to study the polymerization kinetics in LLCs,</w:t>
      </w:r>
      <w:r w:rsidRPr="006D631C">
        <w:rPr>
          <w:rFonts w:asciiTheme="majorBidi" w:hAnsiTheme="majorBidi" w:cstheme="majorBidi"/>
          <w:szCs w:val="24"/>
        </w:rPr>
        <w:fldChar w:fldCharType="begin" w:fldLock="1"/>
      </w:r>
      <w:r w:rsidRPr="006D631C">
        <w:rPr>
          <w:rFonts w:asciiTheme="majorBidi" w:hAnsiTheme="majorBidi" w:cstheme="majorBidi"/>
          <w:szCs w:val="24"/>
        </w:rPr>
        <w:instrText>ADDIN CSL_CITATION {"citationItems":[{"id":"ITEM-1","itemData":{"DOI":"10.1016/j.polymer.2008.02.047","ISSN":"00323861","abstract":"Polymerizable lyotropic liquid crystals (LLCs) have the potential advantage of producing materials with anisotropic morphologies and nanometer size dimensions with potential in applications, such as drug delivery, catalysis, and tissue engineering. With the goal of more clearly understanding the factors involved in LLC phase retention after polymerization, this work describes the effect of aliphatic tail length in the amphiphilic molecule on order, polymerization kinetics, and structural evolution of reactive LLC systems. The polymerization kinetics are influenced by the LLC phase morphology with increases in the polymerization rate as the LLC phase increases in order. Enhanced polymerization rates are a result of an apparent increase in the termination and propagation rate parameters, induced by a local increase in monomer concentration due to segregation effects in the LLC phases. Polymerization in hexagonal phases formed from reactive amphiphiles with longer aliphatic tails exhibit lower polymerization rates when compared to systems with shorter aliphatic tails, suggesting that the order of the hexagonal phase decreases as the aliphatic tail increases. Two peaks are observed in the polymerization rate profiles when polymerizing in the hexagonal and cubic phases, with the second peak becoming more pronounced as the aliphatic tail length increases and the order of the LLC phase decreases. This effect appears to be due to changes in morphology during the polymerization process as the hexagonal phase morphology changes significantly during the polymer formation. Different behavior is observed for polymerizations in the lamellar phase for which the LLC phase is retained after polymerization. © 2008 Elsevier Ltd. All rights reserved.","author":[{"dropping-particle":"","family":"Sievens-Figueroa","given":"Lucas","non-dropping-particle":"","parse-names":false,"suffix":""},{"dropping-particle":"","family":"Allan Guymon","given":"C.","non-dropping-particle":"","parse-names":false,"suffix":""}],"container-title":"Polymer","id":"ITEM-1","issue":"9","issued":{"date-parts":[["2008"]]},"page":"2260-2267","title":"Aliphatic chain length effects on photopolymerization kinetics and structural evolution of polymerizable lyotropic liquid crystals","type":"article-journal","volume":"49"},"uris":["http://www.mendeley.com/documents/?uuid=cd771cc5-ac8d-47fc-855f-a5387035dea7"]},{"id":"ITEM-2","itemData":{"DOI":"10.1021/ma000197f","ISSN":"00249297","abstract":"Recently, amphiphilic monomers that are capable of forming lyotropic liquid crystalline phases have been utilized in a variety of applications including emulsion polymerization, development of nanocomposites, and the formation of polymeric surfactants. A new class of fluorinated amphiphilic monomers that exhibit lyotropic mesophases has shown great promise in ophthalmic applications. Initial studies indicate that the monomer possesses a lamellar morphology at certain concentrations that when polymerized would yield a material with anisotropic properties ideal for repairing retinal tears. Characterization of the polymerization kinetics of these fluorinated monomers provides a better understanding of conditions such that structure retention can be obtained. The fluorinated amphiphiles exhibit varying phase morphology ranging from an isotropic micellar phase to discontinuous cubic and lamellar liquid crystalline phases with increasing concentration and variation in the percent neutralization of the acid moiety. The lyotropic liquid crystalline order changes significantly with respect to percent neutralization. The polymerization kinetics follow a trend of decreasing order with increasing neutralization in that the fastest rates are seen in samples with higher degrees of order specifically in the lamellar liquid crystalline phase. The polymerization rate decreases to a minimum in samples of cubic morphology with low degrees of overall order. The higher polymerization rates in the lamellar phase are due to a decrease in the termination rate. Additionally, the polymerization behavior and morphology have a tremendous impact on the resulting polymer.","author":[{"dropping-particle":"","family":"Lester","given":"Christopher L.","non-dropping-particle":"","parse-names":false,"suffix":""},{"dropping-particle":"","family":"Guymon","given":"C. Allan","non-dropping-particle":"","parse-names":false,"suffix":""}],"container-title":"Macromolecules","id":"ITEM-2","issue":"15","issued":{"date-parts":[["2000"]]},"page":"5448-5454","title":"Phase behavior and polymerization kinetics of a semifluorinated lyotropic liquid crystal","type":"article-journal","volume":"33"},"uris":["http://www.mendeley.com/documents/?uuid=8b402e45-17aa-4961-b1fb-991d5ded8c0b"]}],"mendeley":{"formattedCitation":"&lt;sup&gt;98,122&lt;/sup&gt;","plainTextFormattedCitation":"98,122","previouslyFormattedCitation":"&lt;sup&gt;98,122&lt;/sup&gt;"},"properties":{"noteIndex":0},"schema":"https://github.com/citation-style-language/schema/raw/master/csl-citation.json"}</w:instrText>
      </w:r>
      <w:r w:rsidRPr="006D631C">
        <w:rPr>
          <w:rFonts w:asciiTheme="majorBidi" w:hAnsiTheme="majorBidi" w:cstheme="majorBidi"/>
          <w:szCs w:val="24"/>
        </w:rPr>
        <w:fldChar w:fldCharType="separate"/>
      </w:r>
      <w:r w:rsidRPr="006D631C">
        <w:rPr>
          <w:rFonts w:asciiTheme="majorBidi" w:hAnsiTheme="majorBidi" w:cstheme="majorBidi"/>
          <w:noProof/>
          <w:szCs w:val="24"/>
          <w:vertAlign w:val="superscript"/>
        </w:rPr>
        <w:t>98,122</w:t>
      </w:r>
      <w:r w:rsidRPr="006D631C">
        <w:rPr>
          <w:rFonts w:asciiTheme="majorBidi" w:hAnsiTheme="majorBidi" w:cstheme="majorBidi"/>
          <w:szCs w:val="24"/>
        </w:rPr>
        <w:fldChar w:fldCharType="end"/>
      </w:r>
      <w:r w:rsidRPr="006D631C">
        <w:rPr>
          <w:rFonts w:asciiTheme="majorBidi" w:hAnsiTheme="majorBidi" w:cstheme="majorBidi"/>
          <w:szCs w:val="24"/>
        </w:rPr>
        <w:t xml:space="preserve"> which will be discussed later. However, Lopez-Barron </w:t>
      </w:r>
      <w:r w:rsidRPr="006D631C">
        <w:rPr>
          <w:rFonts w:asciiTheme="majorBidi" w:hAnsiTheme="majorBidi" w:cstheme="majorBidi"/>
          <w:i/>
          <w:iCs w:val="0"/>
          <w:szCs w:val="24"/>
        </w:rPr>
        <w:t>et al.</w:t>
      </w:r>
      <w:r w:rsidRPr="006D631C">
        <w:rPr>
          <w:rFonts w:asciiTheme="majorBidi" w:hAnsiTheme="majorBidi" w:cstheme="majorBidi"/>
          <w:szCs w:val="24"/>
        </w:rPr>
        <w:t xml:space="preserve"> have used a P-A-59 directed FCC type discontinuous cubic structure to fabricate a cross-linked ion gel with lattice parameter spanning from 15 to 30 nm. Partially deuterated ionic liquid (</w:t>
      </w:r>
      <w:proofErr w:type="spellStart"/>
      <w:r w:rsidRPr="006D631C">
        <w:rPr>
          <w:rFonts w:asciiTheme="majorBidi" w:hAnsiTheme="majorBidi" w:cstheme="majorBidi"/>
          <w:szCs w:val="24"/>
        </w:rPr>
        <w:t>ethylammonium</w:t>
      </w:r>
      <w:proofErr w:type="spellEnd"/>
      <w:r w:rsidRPr="006D631C">
        <w:rPr>
          <w:rFonts w:asciiTheme="majorBidi" w:hAnsiTheme="majorBidi" w:cstheme="majorBidi"/>
          <w:szCs w:val="24"/>
        </w:rPr>
        <w:t xml:space="preserve"> nitrate) has been used instead of water to fabricate the LLC. By controlling the LLC composition, they have been able to fabricate ion gels having highly viscoelastic or elastomeric behavior with excellent mechanical properties, conductivity, and </w:t>
      </w:r>
      <w:proofErr w:type="spellStart"/>
      <w:r w:rsidRPr="006D631C">
        <w:rPr>
          <w:rFonts w:asciiTheme="majorBidi" w:hAnsiTheme="majorBidi" w:cstheme="majorBidi"/>
          <w:szCs w:val="24"/>
        </w:rPr>
        <w:t>mechanoelectrical</w:t>
      </w:r>
      <w:proofErr w:type="spellEnd"/>
      <w:r w:rsidRPr="006D631C">
        <w:rPr>
          <w:rFonts w:asciiTheme="majorBidi" w:hAnsiTheme="majorBidi" w:cstheme="majorBidi"/>
          <w:szCs w:val="24"/>
        </w:rPr>
        <w:t xml:space="preserve"> responses.</w:t>
      </w:r>
      <w:r w:rsidRPr="006D631C">
        <w:rPr>
          <w:rFonts w:asciiTheme="majorBidi" w:hAnsiTheme="majorBidi" w:cstheme="majorBidi"/>
          <w:szCs w:val="24"/>
        </w:rPr>
        <w:fldChar w:fldCharType="begin" w:fldLock="1"/>
      </w:r>
      <w:r w:rsidR="00CC4E72" w:rsidRPr="006D631C">
        <w:rPr>
          <w:rFonts w:asciiTheme="majorBidi" w:hAnsiTheme="majorBidi" w:cstheme="majorBidi"/>
          <w:szCs w:val="24"/>
        </w:rPr>
        <w:instrText>ADDIN CSL_CITATION {"citationItems":[{"id":"ITEM-1","itemData":{"DOI":"10.1021/acs.macromol.6b00205","ISSN":"15205835","abstract":"The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J.","non-dropping-particle":"","parse-names":false,"suffix":""}],"container-title":"Macromolecules","id":"ITEM-1","issue":"14","issued":{"date-parts":[["2016"]]},"page":"5179-5189","title":"Self-Assembly of Pluronic F127 Diacrylate in Ethylammonium Nitrate: Structure, Rheology, and Ionic Conductivity before and after Photo-Cross-Linking","type":"article-journal","volume":"49"},"uris":["http://www.mendeley.com/documents/?uuid=6ddc0c83-b7e6-4ae7-bbbe-b38e8eb525a5"]},{"id":"ITEM-2","itemData":{"DOI":"10.1021/acsmacrolett.6b00790","ISSN":"21611653","abstract":"The emerging technologies involving wearable electronics require new materials with high stretchability, resistance to high loads, and high conductivities. We report a facile synthetic strategy based on self-assembly of concentrated solutions of end-functionalized PEO106-PPO70-PEO106 triblock copolymer in ethylammonium nitrate into face-centered cubic micellar crystals, followed by micelle corona cross-linking to generate elastomeric ion gels (iono-elastomers). These materials exhibit an unprecedented combination of high stretchability, high ionic conductivity, and mechanoelectrical response. The latter consists of a remarkable and counterintuitive increase in ion conductivity with strain during uniaxial extension, which is reversible upon load release. Based on in situ SAXS measurements of reversible crystal structure transformations during deformation, we postulate that the origin of the conductivity increase is a reversible formation of ion nanochannels due to a novel microstructural rearrangement specific to this material.","author":[{"dropping-particle":"","family":"López-Barrón","given":"Carlos R.","non-dropping-particle":"","parse-names":false,"suffix":""},{"dropping-particle":"","family":"Chen","given":"Ru","non-dropping-particle":"","parse-names":false,"suffix":""},{"dropping-particle":"","family":"Wagner","given":"Norman J.","non-dropping-particle":"","parse-names":false,"suffix":""}],"container-title":"ACS Macro Letters","id":"ITEM-2","issue":"12","issued":{"date-parts":[["2016"]]},"page":"1332-1338","title":"Ultrastretchable Iono-Elastomers with Mechanoelectrical Response","type":"article-journal","volume":"5"},"uris":["http://www.mendeley.com/documents/?uuid=d94ed24e-94b1-4abc-96df-3cf80d984941"]}],"mendeley":{"formattedCitation":"&lt;sup&gt;13,47&lt;/sup&gt;","plainTextFormattedCitation":"13,47","previouslyFormattedCitation":"&lt;sup&gt;13,47&lt;/sup&gt;"},"properties":{"noteIndex":0},"schema":"https://github.com/citation-style-language/schema/raw/master/csl-citation.json"}</w:instrText>
      </w:r>
      <w:r w:rsidRPr="006D631C">
        <w:rPr>
          <w:rFonts w:asciiTheme="majorBidi" w:hAnsiTheme="majorBidi" w:cstheme="majorBidi"/>
          <w:szCs w:val="24"/>
        </w:rPr>
        <w:fldChar w:fldCharType="separate"/>
      </w:r>
      <w:r w:rsidR="006515D0" w:rsidRPr="006D631C">
        <w:rPr>
          <w:rFonts w:asciiTheme="majorBidi" w:hAnsiTheme="majorBidi" w:cstheme="majorBidi"/>
          <w:noProof/>
          <w:szCs w:val="24"/>
          <w:vertAlign w:val="superscript"/>
        </w:rPr>
        <w:t>13,47</w:t>
      </w:r>
      <w:r w:rsidRPr="006D631C">
        <w:rPr>
          <w:rFonts w:asciiTheme="majorBidi" w:hAnsiTheme="majorBidi" w:cstheme="majorBidi"/>
          <w:szCs w:val="24"/>
        </w:rPr>
        <w:fldChar w:fldCharType="end"/>
      </w:r>
      <w:r w:rsidRPr="006D631C">
        <w:rPr>
          <w:rFonts w:asciiTheme="majorBidi" w:hAnsiTheme="majorBidi" w:cstheme="majorBidi"/>
          <w:szCs w:val="24"/>
        </w:rPr>
        <w:t xml:space="preserve"> </w:t>
      </w:r>
      <w:proofErr w:type="gramStart"/>
      <w:r w:rsidRPr="006D631C">
        <w:rPr>
          <w:rFonts w:asciiTheme="majorBidi" w:hAnsiTheme="majorBidi" w:cstheme="majorBidi"/>
          <w:szCs w:val="24"/>
        </w:rPr>
        <w:t>They</w:t>
      </w:r>
      <w:proofErr w:type="gramEnd"/>
      <w:r w:rsidRPr="006D631C">
        <w:rPr>
          <w:rFonts w:asciiTheme="majorBidi" w:hAnsiTheme="majorBidi" w:cstheme="majorBidi"/>
          <w:szCs w:val="24"/>
        </w:rPr>
        <w:t xml:space="preserve"> have also shown that the produced </w:t>
      </w:r>
      <w:proofErr w:type="spellStart"/>
      <w:r w:rsidRPr="006D631C">
        <w:rPr>
          <w:rFonts w:asciiTheme="majorBidi" w:hAnsiTheme="majorBidi" w:cstheme="majorBidi"/>
          <w:szCs w:val="24"/>
        </w:rPr>
        <w:t>ultrastretchable</w:t>
      </w:r>
      <w:proofErr w:type="spellEnd"/>
      <w:r w:rsidRPr="006D631C">
        <w:rPr>
          <w:rFonts w:asciiTheme="majorBidi" w:hAnsiTheme="majorBidi" w:cstheme="majorBidi"/>
          <w:szCs w:val="24"/>
        </w:rPr>
        <w:t xml:space="preserve"> </w:t>
      </w:r>
      <w:proofErr w:type="spellStart"/>
      <w:r w:rsidRPr="006D631C">
        <w:rPr>
          <w:rFonts w:asciiTheme="majorBidi" w:hAnsiTheme="majorBidi" w:cstheme="majorBidi"/>
          <w:szCs w:val="24"/>
        </w:rPr>
        <w:t>iono</w:t>
      </w:r>
      <w:proofErr w:type="spellEnd"/>
      <w:r w:rsidRPr="006D631C">
        <w:rPr>
          <w:rFonts w:asciiTheme="majorBidi" w:hAnsiTheme="majorBidi" w:cstheme="majorBidi"/>
          <w:szCs w:val="24"/>
        </w:rPr>
        <w:t>-elastomers can be used as a motion sensor as well as a temperature sensor with sufficient sensitivity and accuracy. Impressive mechanical properties of such discontinuous cubic structures, in which discrete micelles (spheres) are cross-linked, can indicate opportunities in other technical fields (e.g., membrane application) which require robust materials.</w:t>
      </w:r>
      <w:r w:rsidRPr="006D631C">
        <w:rPr>
          <w:rFonts w:asciiTheme="majorBidi" w:hAnsiTheme="majorBidi" w:cstheme="majorBidi"/>
          <w:szCs w:val="24"/>
        </w:rPr>
        <w:fldChar w:fldCharType="begin" w:fldLock="1"/>
      </w:r>
      <w:r w:rsidR="00CC4E72" w:rsidRPr="006D631C">
        <w:rPr>
          <w:rFonts w:asciiTheme="majorBidi" w:hAnsiTheme="majorBidi" w:cstheme="majorBidi"/>
          <w:szCs w:val="24"/>
        </w:rPr>
        <w:instrText>ADDIN CSL_CITATION {"citationItems":[{"id":"ITEM-1","itemData":{"DOI":"10.1021/acsami.8b10672","ISSN":"19448252","abstract":"An ultrastretchable iono-elastomer with resistance sensitive to both elongation strain and temperature has been developed by hierarchical self-assembly of an end functionalized triblock copolymer in a protic ionic liquid (ethylammonium nitrate) followed by cross-linking. Small-angle X-ray scattering experiments in situ with uniaxial elongation reveal a nanoscale microstructural transition of the hierarchically self-assembled cross-linked micelles that is responsible for the material's remarkable mechanical and ionic conductivity responses. The results show that the intermicelle distance extends along the deformation direction while the micelles organize into a long-range ordered face-centered-cubic structure during the uniaxial elongation. Besides good cyclability and resistance to selected physical damage, the iono-elastomer simultaneously achieves an unprecedented combination of high stretchability (340%), highly linear resistance vs elongation strain (R2 = 0.998), and large temperature gauge factor (ΔR/R = 3.24%/°C@30 °C). Human subject testing demonstrates that the iono-elastomer-based wearable thermomechanical sensor is able to effectively and accurately register both body motion and skin temperature simultaneously.","author":[{"dropping-particle":"","family":"Xie","given":"Yunsong","non-dropping-particle":"","parse-names":false,"suffix":""},{"dropping-particle":"","family":"Xie","given":"Ru","non-dropping-particle":"","parse-names":false,"suffix":""},{"dropping-particle":"","family":"Yang","given":"Hao Cheng","non-dropping-particle":"","parse-names":false,"suffix":""},{"dropping-particle":"","family":"Chen","given":"Zhaowei","non-dropping-particle":"","parse-names":false,"suffix":""},{"dropping-particle":"","family":"Hou","given":"Jingwei","non-dropping-particle":"","parse-names":false,"suffix":""},{"dropping-particle":"","family":"López-Barrón","given":"Carlos R.","non-dropping-particle":"","parse-names":false,"suffix":""},{"dropping-particle":"","family":"Wagner","given":"Norman J.","non-dropping-particle":"","parse-names":false,"suffix":""},{"dropping-particle":"","family":"Gao","given":"Kai Zhong","non-dropping-particle":"","parse-names":false,"suffix":""}],"container-title":"ACS Applied Materials and Interfaces","id":"ITEM-1","issue":"38","issued":{"date-parts":[["2018"]]},"page":"32435-32443","title":"Iono-Elastomer-Based Wearable Strain Sensor with Real-Time Thermomechanical Dual Response","type":"article-journal","volume":"10"},"uris":["http://www.mendeley.com/documents/?uuid=ac01ca70-c8c7-4385-90f3-881be2b6ddd1"]}],"mendeley":{"formattedCitation":"&lt;sup&gt;48&lt;/sup&gt;","plainTextFormattedCitation":"48","previouslyFormattedCitation":"&lt;sup&gt;48&lt;/sup&gt;"},"properties":{"noteIndex":0},"schema":"https://github.com/citation-style-language/schema/raw/master/csl-citation.json"}</w:instrText>
      </w:r>
      <w:r w:rsidRPr="006D631C">
        <w:rPr>
          <w:rFonts w:asciiTheme="majorBidi" w:hAnsiTheme="majorBidi" w:cstheme="majorBidi"/>
          <w:szCs w:val="24"/>
        </w:rPr>
        <w:fldChar w:fldCharType="separate"/>
      </w:r>
      <w:r w:rsidR="006515D0" w:rsidRPr="006D631C">
        <w:rPr>
          <w:rFonts w:asciiTheme="majorBidi" w:hAnsiTheme="majorBidi" w:cstheme="majorBidi"/>
          <w:noProof/>
          <w:szCs w:val="24"/>
          <w:vertAlign w:val="superscript"/>
        </w:rPr>
        <w:t>48</w:t>
      </w:r>
      <w:r w:rsidRPr="006D631C">
        <w:rPr>
          <w:rFonts w:asciiTheme="majorBidi" w:hAnsiTheme="majorBidi" w:cstheme="majorBidi"/>
          <w:szCs w:val="24"/>
        </w:rPr>
        <w:fldChar w:fldCharType="end"/>
      </w:r>
      <w:r w:rsidRPr="006D631C">
        <w:rPr>
          <w:rFonts w:asciiTheme="majorBidi" w:hAnsiTheme="majorBidi" w:cstheme="majorBidi"/>
          <w:szCs w:val="24"/>
        </w:rPr>
        <w:t xml:space="preserve"> The mentioned properties can possibly </w:t>
      </w:r>
      <w:r w:rsidRPr="006D631C">
        <w:rPr>
          <w:rFonts w:asciiTheme="majorBidi" w:hAnsiTheme="majorBidi" w:cstheme="majorBidi"/>
          <w:szCs w:val="24"/>
        </w:rPr>
        <w:lastRenderedPageBreak/>
        <w:t>be further improved if the F-K phases are employed in the synergistic templating instead of common discontinues cubic structures.</w:t>
      </w:r>
    </w:p>
    <w:p w14:paraId="3C68149B" w14:textId="77777777" w:rsidR="00E96EE0" w:rsidRPr="006D631C" w:rsidRDefault="00E96EE0" w:rsidP="002119D1">
      <w:pPr>
        <w:sectPr w:rsidR="00E96EE0" w:rsidRPr="006D631C" w:rsidSect="00BB712C">
          <w:pgSz w:w="12240" w:h="15840"/>
          <w:pgMar w:top="1440" w:right="1440" w:bottom="1440" w:left="1440" w:header="720" w:footer="720" w:gutter="0"/>
          <w:pgNumType w:start="1"/>
          <w:cols w:space="720"/>
          <w:docGrid w:linePitch="360"/>
        </w:sectPr>
      </w:pPr>
    </w:p>
    <w:p w14:paraId="55EA2EFD" w14:textId="7F85C92F" w:rsidR="006C4AEA" w:rsidRPr="006D631C" w:rsidRDefault="00507772" w:rsidP="000D2204">
      <w:pPr>
        <w:pStyle w:val="Caption"/>
        <w:spacing w:after="0"/>
        <w:jc w:val="center"/>
        <w:rPr>
          <w:rFonts w:asciiTheme="majorBidi" w:hAnsiTheme="majorBidi" w:cstheme="majorBidi"/>
          <w:sz w:val="22"/>
          <w:szCs w:val="22"/>
        </w:rPr>
      </w:pPr>
      <w:bookmarkStart w:id="68" w:name="_Toc148175966"/>
      <w:r w:rsidRPr="006D631C">
        <w:rPr>
          <w:sz w:val="22"/>
          <w:szCs w:val="22"/>
        </w:rPr>
        <w:lastRenderedPageBreak/>
        <w:t xml:space="preserve">Table </w:t>
      </w:r>
      <w:r w:rsidR="0093296F" w:rsidRPr="006D631C">
        <w:rPr>
          <w:sz w:val="22"/>
          <w:szCs w:val="22"/>
        </w:rPr>
        <w:fldChar w:fldCharType="begin"/>
      </w:r>
      <w:r w:rsidR="0093296F" w:rsidRPr="006D631C">
        <w:rPr>
          <w:sz w:val="22"/>
          <w:szCs w:val="22"/>
        </w:rPr>
        <w:instrText xml:space="preserve"> STYLEREF 1 \s </w:instrText>
      </w:r>
      <w:r w:rsidR="0093296F" w:rsidRPr="006D631C">
        <w:rPr>
          <w:sz w:val="22"/>
          <w:szCs w:val="22"/>
        </w:rPr>
        <w:fldChar w:fldCharType="separate"/>
      </w:r>
      <w:r w:rsidR="0093296F" w:rsidRPr="006D631C">
        <w:rPr>
          <w:sz w:val="22"/>
          <w:szCs w:val="22"/>
          <w:cs/>
        </w:rPr>
        <w:t>‎</w:t>
      </w:r>
      <w:r w:rsidR="0093296F" w:rsidRPr="006D631C">
        <w:rPr>
          <w:sz w:val="22"/>
          <w:szCs w:val="22"/>
        </w:rPr>
        <w:t>1</w:t>
      </w:r>
      <w:r w:rsidR="0093296F" w:rsidRPr="006D631C">
        <w:rPr>
          <w:sz w:val="22"/>
          <w:szCs w:val="22"/>
        </w:rPr>
        <w:fldChar w:fldCharType="end"/>
      </w:r>
      <w:r w:rsidR="0093296F" w:rsidRPr="006D631C">
        <w:rPr>
          <w:sz w:val="22"/>
          <w:szCs w:val="22"/>
        </w:rPr>
        <w:noBreakHyphen/>
      </w:r>
      <w:r w:rsidR="0093296F" w:rsidRPr="006D631C">
        <w:rPr>
          <w:sz w:val="22"/>
          <w:szCs w:val="22"/>
        </w:rPr>
        <w:fldChar w:fldCharType="begin"/>
      </w:r>
      <w:r w:rsidR="0093296F" w:rsidRPr="006D631C">
        <w:rPr>
          <w:sz w:val="22"/>
          <w:szCs w:val="22"/>
        </w:rPr>
        <w:instrText xml:space="preserve"> SEQ Table \* ARABIC \s 1 </w:instrText>
      </w:r>
      <w:r w:rsidR="0093296F" w:rsidRPr="006D631C">
        <w:rPr>
          <w:sz w:val="22"/>
          <w:szCs w:val="22"/>
        </w:rPr>
        <w:fldChar w:fldCharType="separate"/>
      </w:r>
      <w:r w:rsidR="0093296F" w:rsidRPr="006D631C">
        <w:rPr>
          <w:sz w:val="22"/>
          <w:szCs w:val="22"/>
        </w:rPr>
        <w:t>2</w:t>
      </w:r>
      <w:r w:rsidR="0093296F" w:rsidRPr="006D631C">
        <w:rPr>
          <w:sz w:val="22"/>
          <w:szCs w:val="22"/>
        </w:rPr>
        <w:fldChar w:fldCharType="end"/>
      </w:r>
      <w:r w:rsidR="00CC584A" w:rsidRPr="006D631C">
        <w:rPr>
          <w:sz w:val="22"/>
          <w:szCs w:val="22"/>
        </w:rPr>
        <w:t>.</w:t>
      </w:r>
      <w:r w:rsidRPr="006D631C">
        <w:rPr>
          <w:sz w:val="22"/>
          <w:szCs w:val="22"/>
        </w:rPr>
        <w:t xml:space="preserve"> </w:t>
      </w:r>
      <w:r w:rsidR="006C4AEA" w:rsidRPr="006D631C">
        <w:rPr>
          <w:rFonts w:asciiTheme="majorBidi" w:hAnsiTheme="majorBidi" w:cstheme="majorBidi"/>
          <w:sz w:val="22"/>
          <w:szCs w:val="22"/>
        </w:rPr>
        <w:t>Summary of the reported results for synergistic LLC templating.</w:t>
      </w:r>
      <w:bookmarkEnd w:id="68"/>
    </w:p>
    <w:tbl>
      <w:tblPr>
        <w:tblpPr w:leftFromText="180" w:rightFromText="180" w:vertAnchor="text" w:tblpXSpec="center" w:tblpY="1"/>
        <w:tblOverlap w:val="never"/>
        <w:tblW w:w="12900" w:type="dxa"/>
        <w:tblLayout w:type="fixed"/>
        <w:tblLook w:val="04A0" w:firstRow="1" w:lastRow="0" w:firstColumn="1" w:lastColumn="0" w:noHBand="0" w:noVBand="1"/>
      </w:tblPr>
      <w:tblGrid>
        <w:gridCol w:w="851"/>
        <w:gridCol w:w="709"/>
        <w:gridCol w:w="782"/>
        <w:gridCol w:w="1202"/>
        <w:gridCol w:w="1418"/>
        <w:gridCol w:w="1134"/>
        <w:gridCol w:w="1134"/>
        <w:gridCol w:w="5244"/>
        <w:gridCol w:w="426"/>
      </w:tblGrid>
      <w:tr w:rsidR="00C40B96" w:rsidRPr="006D631C" w14:paraId="0C2946F5" w14:textId="77777777" w:rsidTr="00433C65">
        <w:trPr>
          <w:trHeight w:val="20"/>
        </w:trPr>
        <w:tc>
          <w:tcPr>
            <w:tcW w:w="851" w:type="dxa"/>
            <w:tcBorders>
              <w:top w:val="single" w:sz="8" w:space="0" w:color="auto"/>
              <w:left w:val="nil"/>
              <w:bottom w:val="single" w:sz="8" w:space="0" w:color="auto"/>
              <w:right w:val="nil"/>
            </w:tcBorders>
            <w:shd w:val="clear" w:color="000000" w:fill="FFFFFF"/>
            <w:noWrap/>
            <w:vAlign w:val="center"/>
            <w:hideMark/>
          </w:tcPr>
          <w:p w14:paraId="141972B5" w14:textId="77777777" w:rsidR="00C40B96" w:rsidRPr="006D631C" w:rsidRDefault="00C40B96" w:rsidP="00872378">
            <w:pPr>
              <w:spacing w:line="240" w:lineRule="auto"/>
              <w:jc w:val="left"/>
              <w:rPr>
                <w:b/>
                <w:bCs/>
                <w:color w:val="000000"/>
                <w:sz w:val="12"/>
                <w:szCs w:val="12"/>
              </w:rPr>
            </w:pPr>
            <w:proofErr w:type="spellStart"/>
            <w:r w:rsidRPr="006D631C">
              <w:rPr>
                <w:b/>
                <w:bCs/>
                <w:color w:val="000000"/>
                <w:sz w:val="12"/>
                <w:szCs w:val="12"/>
              </w:rPr>
              <w:t>Amphiphile</w:t>
            </w:r>
            <w:proofErr w:type="spellEnd"/>
          </w:p>
        </w:tc>
        <w:tc>
          <w:tcPr>
            <w:tcW w:w="709" w:type="dxa"/>
            <w:tcBorders>
              <w:top w:val="single" w:sz="8" w:space="0" w:color="auto"/>
              <w:left w:val="nil"/>
              <w:bottom w:val="single" w:sz="8" w:space="0" w:color="auto"/>
              <w:right w:val="nil"/>
            </w:tcBorders>
            <w:shd w:val="clear" w:color="000000" w:fill="FFFFFF"/>
            <w:vAlign w:val="center"/>
            <w:hideMark/>
          </w:tcPr>
          <w:p w14:paraId="2F525894" w14:textId="77777777" w:rsidR="00C40B96" w:rsidRPr="006D631C" w:rsidRDefault="00C40B96" w:rsidP="00872378">
            <w:pPr>
              <w:spacing w:line="240" w:lineRule="auto"/>
              <w:jc w:val="left"/>
              <w:rPr>
                <w:b/>
                <w:bCs/>
                <w:color w:val="000000"/>
                <w:sz w:val="12"/>
                <w:szCs w:val="12"/>
              </w:rPr>
            </w:pPr>
            <w:r w:rsidRPr="006D631C">
              <w:rPr>
                <w:b/>
                <w:bCs/>
                <w:color w:val="000000"/>
                <w:sz w:val="12"/>
                <w:szCs w:val="12"/>
              </w:rPr>
              <w:t>Cross-linker</w:t>
            </w:r>
          </w:p>
        </w:tc>
        <w:tc>
          <w:tcPr>
            <w:tcW w:w="782" w:type="dxa"/>
            <w:tcBorders>
              <w:top w:val="single" w:sz="8" w:space="0" w:color="auto"/>
              <w:left w:val="nil"/>
              <w:bottom w:val="single" w:sz="8" w:space="0" w:color="auto"/>
              <w:right w:val="nil"/>
            </w:tcBorders>
            <w:shd w:val="clear" w:color="000000" w:fill="FFFFFF"/>
            <w:vAlign w:val="center"/>
            <w:hideMark/>
          </w:tcPr>
          <w:p w14:paraId="051D02E8" w14:textId="77777777" w:rsidR="00C40B96" w:rsidRPr="006D631C" w:rsidRDefault="00C40B96" w:rsidP="00872378">
            <w:pPr>
              <w:spacing w:line="240" w:lineRule="auto"/>
              <w:jc w:val="left"/>
              <w:rPr>
                <w:b/>
                <w:bCs/>
                <w:color w:val="000000"/>
                <w:sz w:val="12"/>
                <w:szCs w:val="12"/>
              </w:rPr>
            </w:pPr>
            <w:r w:rsidRPr="006D631C">
              <w:rPr>
                <w:b/>
                <w:bCs/>
                <w:color w:val="000000"/>
                <w:sz w:val="12"/>
                <w:szCs w:val="12"/>
              </w:rPr>
              <w:t>Initiation system</w:t>
            </w:r>
          </w:p>
        </w:tc>
        <w:tc>
          <w:tcPr>
            <w:tcW w:w="1202" w:type="dxa"/>
            <w:tcBorders>
              <w:top w:val="single" w:sz="8" w:space="0" w:color="auto"/>
              <w:left w:val="nil"/>
              <w:bottom w:val="single" w:sz="8" w:space="0" w:color="auto"/>
              <w:right w:val="nil"/>
            </w:tcBorders>
            <w:shd w:val="clear" w:color="000000" w:fill="FFFFFF"/>
            <w:vAlign w:val="center"/>
            <w:hideMark/>
          </w:tcPr>
          <w:p w14:paraId="720DDFC2" w14:textId="3B960772" w:rsidR="00C40B96" w:rsidRPr="006D631C" w:rsidRDefault="00C40B96" w:rsidP="00872378">
            <w:pPr>
              <w:spacing w:line="240" w:lineRule="auto"/>
              <w:jc w:val="left"/>
              <w:rPr>
                <w:b/>
                <w:bCs/>
                <w:color w:val="000000"/>
                <w:sz w:val="12"/>
                <w:szCs w:val="12"/>
              </w:rPr>
            </w:pPr>
            <w:proofErr w:type="spellStart"/>
            <w:r w:rsidRPr="006D631C">
              <w:rPr>
                <w:b/>
                <w:bCs/>
                <w:color w:val="000000"/>
                <w:sz w:val="12"/>
                <w:szCs w:val="12"/>
              </w:rPr>
              <w:t>Amphiphile</w:t>
            </w:r>
            <w:proofErr w:type="spellEnd"/>
            <w:r w:rsidRPr="006D631C">
              <w:rPr>
                <w:b/>
                <w:bCs/>
                <w:color w:val="000000"/>
                <w:sz w:val="12"/>
                <w:szCs w:val="12"/>
              </w:rPr>
              <w:t xml:space="preserve"> concentration</w:t>
            </w:r>
            <w:r w:rsidRPr="006D631C">
              <w:rPr>
                <w:b/>
                <w:bCs/>
                <w:color w:val="000000"/>
                <w:sz w:val="12"/>
                <w:szCs w:val="12"/>
              </w:rPr>
              <w:br/>
              <w:t>[</w:t>
            </w:r>
            <w:proofErr w:type="spellStart"/>
            <w:r w:rsidRPr="006D631C">
              <w:rPr>
                <w:b/>
                <w:bCs/>
                <w:color w:val="000000"/>
                <w:sz w:val="12"/>
                <w:szCs w:val="12"/>
              </w:rPr>
              <w:t>wt</w:t>
            </w:r>
            <w:proofErr w:type="spellEnd"/>
            <w:r w:rsidRPr="006D631C">
              <w:rPr>
                <w:b/>
                <w:bCs/>
                <w:color w:val="000000"/>
                <w:sz w:val="12"/>
                <w:szCs w:val="12"/>
              </w:rPr>
              <w:t>%]</w:t>
            </w:r>
            <w:r w:rsidR="0076152D" w:rsidRPr="006D631C">
              <w:rPr>
                <w:b/>
                <w:bCs/>
                <w:color w:val="000000"/>
                <w:sz w:val="12"/>
                <w:szCs w:val="12"/>
              </w:rPr>
              <w:t xml:space="preserve"> and structure before reaction</w:t>
            </w:r>
          </w:p>
        </w:tc>
        <w:tc>
          <w:tcPr>
            <w:tcW w:w="1418" w:type="dxa"/>
            <w:tcBorders>
              <w:top w:val="single" w:sz="8" w:space="0" w:color="auto"/>
              <w:left w:val="nil"/>
              <w:bottom w:val="single" w:sz="8" w:space="0" w:color="auto"/>
              <w:right w:val="nil"/>
            </w:tcBorders>
            <w:shd w:val="clear" w:color="000000" w:fill="FFFFFF"/>
            <w:vAlign w:val="center"/>
            <w:hideMark/>
          </w:tcPr>
          <w:p w14:paraId="645D5D7A" w14:textId="77777777" w:rsidR="00C40B96" w:rsidRPr="006D631C" w:rsidRDefault="00C40B96" w:rsidP="00872378">
            <w:pPr>
              <w:spacing w:line="240" w:lineRule="auto"/>
              <w:jc w:val="left"/>
              <w:rPr>
                <w:b/>
                <w:bCs/>
                <w:color w:val="000000"/>
                <w:sz w:val="12"/>
                <w:szCs w:val="12"/>
              </w:rPr>
            </w:pPr>
            <w:r w:rsidRPr="006D631C">
              <w:rPr>
                <w:b/>
                <w:bCs/>
                <w:color w:val="000000"/>
                <w:sz w:val="12"/>
                <w:szCs w:val="12"/>
              </w:rPr>
              <w:t>Structure after polymerization</w:t>
            </w:r>
          </w:p>
        </w:tc>
        <w:tc>
          <w:tcPr>
            <w:tcW w:w="1134" w:type="dxa"/>
            <w:tcBorders>
              <w:top w:val="single" w:sz="8" w:space="0" w:color="auto"/>
              <w:left w:val="nil"/>
              <w:bottom w:val="single" w:sz="8" w:space="0" w:color="auto"/>
              <w:right w:val="nil"/>
            </w:tcBorders>
            <w:shd w:val="clear" w:color="000000" w:fill="FFFFFF"/>
            <w:vAlign w:val="center"/>
            <w:hideMark/>
          </w:tcPr>
          <w:p w14:paraId="6CD7EB62" w14:textId="77777777" w:rsidR="00C40B96" w:rsidRPr="006D631C" w:rsidRDefault="00C40B96" w:rsidP="00872378">
            <w:pPr>
              <w:spacing w:line="240" w:lineRule="auto"/>
              <w:jc w:val="left"/>
              <w:rPr>
                <w:b/>
                <w:bCs/>
                <w:color w:val="000000"/>
                <w:sz w:val="12"/>
                <w:szCs w:val="12"/>
              </w:rPr>
            </w:pPr>
            <w:r w:rsidRPr="006D631C">
              <w:rPr>
                <w:b/>
                <w:bCs/>
                <w:color w:val="000000"/>
                <w:sz w:val="12"/>
                <w:szCs w:val="12"/>
              </w:rPr>
              <w:t>Lattice parameter before reaction</w:t>
            </w:r>
            <w:r w:rsidRPr="006D631C">
              <w:rPr>
                <w:b/>
                <w:bCs/>
                <w:color w:val="000000"/>
                <w:sz w:val="12"/>
                <w:szCs w:val="12"/>
              </w:rPr>
              <w:br/>
              <w:t>[nm]</w:t>
            </w:r>
          </w:p>
        </w:tc>
        <w:tc>
          <w:tcPr>
            <w:tcW w:w="1134" w:type="dxa"/>
            <w:tcBorders>
              <w:top w:val="single" w:sz="8" w:space="0" w:color="auto"/>
              <w:left w:val="nil"/>
              <w:bottom w:val="single" w:sz="8" w:space="0" w:color="auto"/>
              <w:right w:val="nil"/>
            </w:tcBorders>
            <w:shd w:val="clear" w:color="000000" w:fill="FFFFFF"/>
            <w:vAlign w:val="center"/>
            <w:hideMark/>
          </w:tcPr>
          <w:p w14:paraId="326DF52E" w14:textId="77777777" w:rsidR="00C40B96" w:rsidRPr="006D631C" w:rsidRDefault="00C40B96" w:rsidP="00872378">
            <w:pPr>
              <w:spacing w:line="240" w:lineRule="auto"/>
              <w:jc w:val="left"/>
              <w:rPr>
                <w:b/>
                <w:bCs/>
                <w:color w:val="000000"/>
                <w:sz w:val="12"/>
                <w:szCs w:val="12"/>
              </w:rPr>
            </w:pPr>
            <w:r w:rsidRPr="006D631C">
              <w:rPr>
                <w:b/>
                <w:bCs/>
                <w:color w:val="000000"/>
                <w:sz w:val="12"/>
                <w:szCs w:val="12"/>
              </w:rPr>
              <w:t>Lattice parameter after reaction</w:t>
            </w:r>
            <w:r w:rsidRPr="006D631C">
              <w:rPr>
                <w:b/>
                <w:bCs/>
                <w:color w:val="000000"/>
                <w:sz w:val="12"/>
                <w:szCs w:val="12"/>
              </w:rPr>
              <w:br/>
              <w:t>[nm]</w:t>
            </w:r>
          </w:p>
        </w:tc>
        <w:tc>
          <w:tcPr>
            <w:tcW w:w="5244" w:type="dxa"/>
            <w:tcBorders>
              <w:top w:val="single" w:sz="8" w:space="0" w:color="auto"/>
              <w:left w:val="nil"/>
              <w:bottom w:val="single" w:sz="8" w:space="0" w:color="auto"/>
              <w:right w:val="nil"/>
            </w:tcBorders>
            <w:shd w:val="clear" w:color="000000" w:fill="FFFFFF"/>
            <w:vAlign w:val="center"/>
          </w:tcPr>
          <w:p w14:paraId="3001BA2B" w14:textId="77777777" w:rsidR="00C40B96" w:rsidRPr="006D631C" w:rsidRDefault="00C40B96" w:rsidP="00872378">
            <w:pPr>
              <w:spacing w:line="240" w:lineRule="auto"/>
              <w:jc w:val="left"/>
              <w:rPr>
                <w:b/>
                <w:bCs/>
                <w:color w:val="000000"/>
                <w:sz w:val="12"/>
                <w:szCs w:val="12"/>
              </w:rPr>
            </w:pPr>
            <w:r w:rsidRPr="006D631C">
              <w:rPr>
                <w:b/>
                <w:bCs/>
                <w:color w:val="000000"/>
                <w:sz w:val="12"/>
                <w:szCs w:val="12"/>
              </w:rPr>
              <w:t>Remarks</w:t>
            </w:r>
          </w:p>
        </w:tc>
        <w:tc>
          <w:tcPr>
            <w:tcW w:w="426" w:type="dxa"/>
            <w:tcBorders>
              <w:top w:val="single" w:sz="8" w:space="0" w:color="auto"/>
              <w:left w:val="nil"/>
              <w:bottom w:val="single" w:sz="8" w:space="0" w:color="auto"/>
              <w:right w:val="nil"/>
            </w:tcBorders>
            <w:shd w:val="clear" w:color="000000" w:fill="FFFFFF"/>
            <w:noWrap/>
            <w:vAlign w:val="center"/>
            <w:hideMark/>
          </w:tcPr>
          <w:p w14:paraId="4D4FDEF5" w14:textId="77777777" w:rsidR="00C40B96" w:rsidRPr="006D631C" w:rsidRDefault="00C40B96" w:rsidP="00872378">
            <w:pPr>
              <w:spacing w:line="240" w:lineRule="auto"/>
              <w:jc w:val="left"/>
              <w:rPr>
                <w:b/>
                <w:bCs/>
                <w:color w:val="000000"/>
                <w:sz w:val="12"/>
                <w:szCs w:val="12"/>
              </w:rPr>
            </w:pPr>
            <w:r w:rsidRPr="006D631C">
              <w:rPr>
                <w:b/>
                <w:bCs/>
                <w:color w:val="000000"/>
                <w:sz w:val="12"/>
                <w:szCs w:val="12"/>
              </w:rPr>
              <w:t>Ref.</w:t>
            </w:r>
          </w:p>
        </w:tc>
      </w:tr>
      <w:tr w:rsidR="00C40B96" w:rsidRPr="006D631C" w14:paraId="2DDA85C2" w14:textId="77777777" w:rsidTr="00433C65">
        <w:trPr>
          <w:trHeight w:val="20"/>
        </w:trPr>
        <w:tc>
          <w:tcPr>
            <w:tcW w:w="851" w:type="dxa"/>
            <w:tcBorders>
              <w:top w:val="nil"/>
              <w:left w:val="nil"/>
              <w:bottom w:val="single" w:sz="4" w:space="0" w:color="auto"/>
              <w:right w:val="nil"/>
            </w:tcBorders>
            <w:shd w:val="clear" w:color="000000" w:fill="FFFFFF"/>
            <w:noWrap/>
            <w:vAlign w:val="center"/>
            <w:hideMark/>
          </w:tcPr>
          <w:p w14:paraId="2693D256" w14:textId="77777777" w:rsidR="00C40B96" w:rsidRPr="006D631C" w:rsidRDefault="00C40B96" w:rsidP="00872378">
            <w:pPr>
              <w:spacing w:line="240" w:lineRule="auto"/>
              <w:jc w:val="left"/>
              <w:rPr>
                <w:color w:val="000000"/>
                <w:sz w:val="12"/>
                <w:szCs w:val="12"/>
              </w:rPr>
            </w:pPr>
            <w:r w:rsidRPr="006D631C">
              <w:rPr>
                <w:color w:val="000000"/>
                <w:sz w:val="12"/>
                <w:szCs w:val="12"/>
              </w:rPr>
              <w:t>P-A-1</w:t>
            </w:r>
          </w:p>
        </w:tc>
        <w:tc>
          <w:tcPr>
            <w:tcW w:w="709" w:type="dxa"/>
            <w:tcBorders>
              <w:top w:val="nil"/>
              <w:left w:val="nil"/>
              <w:bottom w:val="single" w:sz="4" w:space="0" w:color="auto"/>
              <w:right w:val="nil"/>
            </w:tcBorders>
            <w:shd w:val="clear" w:color="000000" w:fill="FFFFFF"/>
            <w:vAlign w:val="center"/>
            <w:hideMark/>
          </w:tcPr>
          <w:p w14:paraId="0FF902F7"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5EF36969" w14:textId="77777777" w:rsidR="00C40B96" w:rsidRPr="006D631C" w:rsidRDefault="00C40B96" w:rsidP="00872378">
            <w:pPr>
              <w:spacing w:line="240" w:lineRule="auto"/>
              <w:jc w:val="left"/>
              <w:rPr>
                <w:color w:val="000000"/>
                <w:sz w:val="12"/>
                <w:szCs w:val="12"/>
              </w:rPr>
            </w:pPr>
            <w:r w:rsidRPr="006D631C">
              <w:rPr>
                <w:color w:val="000000"/>
                <w:sz w:val="12"/>
                <w:szCs w:val="12"/>
              </w:rPr>
              <w:t>I-15 or UV</w:t>
            </w:r>
          </w:p>
        </w:tc>
        <w:tc>
          <w:tcPr>
            <w:tcW w:w="1202" w:type="dxa"/>
            <w:tcBorders>
              <w:top w:val="nil"/>
              <w:left w:val="nil"/>
              <w:bottom w:val="single" w:sz="4" w:space="0" w:color="auto"/>
              <w:right w:val="nil"/>
            </w:tcBorders>
            <w:shd w:val="clear" w:color="000000" w:fill="FFFFFF"/>
            <w:vAlign w:val="center"/>
            <w:hideMark/>
          </w:tcPr>
          <w:p w14:paraId="507C8BDC" w14:textId="77777777" w:rsidR="00C40B96" w:rsidRPr="006D631C" w:rsidRDefault="00C40B96" w:rsidP="00872378">
            <w:pPr>
              <w:spacing w:line="240" w:lineRule="auto"/>
              <w:jc w:val="left"/>
              <w:rPr>
                <w:color w:val="000000"/>
                <w:sz w:val="12"/>
                <w:szCs w:val="12"/>
              </w:rPr>
            </w:pPr>
            <w:r w:rsidRPr="006D631C">
              <w:rPr>
                <w:color w:val="000000"/>
                <w:sz w:val="12"/>
                <w:szCs w:val="12"/>
              </w:rPr>
              <w:t>48 - 83 (H</w:t>
            </w:r>
            <w:r w:rsidRPr="006D631C">
              <w:rPr>
                <w:color w:val="000000"/>
                <w:sz w:val="12"/>
                <w:szCs w:val="12"/>
                <w:vertAlign w:val="subscript"/>
              </w:rPr>
              <w:t>1</w:t>
            </w:r>
            <w:r w:rsidRPr="006D631C">
              <w:rPr>
                <w:color w:val="000000"/>
                <w:sz w:val="12"/>
                <w:szCs w:val="12"/>
              </w:rPr>
              <w:t>)</w:t>
            </w:r>
            <w:r w:rsidRPr="006D631C">
              <w:rPr>
                <w:color w:val="000000"/>
                <w:sz w:val="12"/>
                <w:szCs w:val="12"/>
              </w:rPr>
              <w:br/>
              <w:t>83 - 92 (Q</w:t>
            </w:r>
            <w:r w:rsidRPr="006D631C">
              <w:rPr>
                <w:color w:val="000000"/>
                <w:sz w:val="12"/>
                <w:szCs w:val="12"/>
                <w:vertAlign w:val="subscript"/>
              </w:rPr>
              <w:t>1</w:t>
            </w:r>
            <w:r w:rsidRPr="006D631C">
              <w:rPr>
                <w:color w:val="000000"/>
                <w:sz w:val="12"/>
                <w:szCs w:val="12"/>
              </w:rPr>
              <w:t>)</w:t>
            </w:r>
            <w:r w:rsidRPr="006D631C">
              <w:rPr>
                <w:color w:val="000000"/>
                <w:sz w:val="12"/>
                <w:szCs w:val="12"/>
              </w:rPr>
              <w:br/>
              <w:t xml:space="preserve"> &gt; 94 (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1F688F98" w14:textId="77777777" w:rsidR="00C40B96" w:rsidRPr="006D631C" w:rsidRDefault="00C40B96" w:rsidP="00872378">
            <w:pPr>
              <w:spacing w:line="240" w:lineRule="auto"/>
              <w:jc w:val="left"/>
              <w:rPr>
                <w:color w:val="000000"/>
                <w:sz w:val="12"/>
                <w:szCs w:val="12"/>
              </w:rPr>
            </w:pPr>
            <w:r w:rsidRPr="006D631C">
              <w:rPr>
                <w:color w:val="000000"/>
                <w:sz w:val="12"/>
                <w:szCs w:val="12"/>
              </w:rPr>
              <w:t>Retention of the structures</w:t>
            </w:r>
          </w:p>
        </w:tc>
        <w:tc>
          <w:tcPr>
            <w:tcW w:w="1134" w:type="dxa"/>
            <w:tcBorders>
              <w:top w:val="nil"/>
              <w:left w:val="nil"/>
              <w:bottom w:val="single" w:sz="4" w:space="0" w:color="auto"/>
              <w:right w:val="nil"/>
            </w:tcBorders>
            <w:shd w:val="clear" w:color="000000" w:fill="FFFFFF"/>
            <w:noWrap/>
            <w:vAlign w:val="center"/>
            <w:hideMark/>
          </w:tcPr>
          <w:p w14:paraId="095980CE" w14:textId="77777777" w:rsidR="00C40B96" w:rsidRPr="006D631C" w:rsidRDefault="00C40B96" w:rsidP="00872378">
            <w:pPr>
              <w:spacing w:line="240" w:lineRule="auto"/>
              <w:jc w:val="left"/>
              <w:rPr>
                <w:color w:val="000000"/>
                <w:sz w:val="12"/>
                <w:szCs w:val="12"/>
              </w:rPr>
            </w:pPr>
            <w:r w:rsidRPr="006D631C">
              <w:rPr>
                <w:color w:val="000000"/>
                <w:sz w:val="12"/>
                <w:szCs w:val="12"/>
              </w:rPr>
              <w:t>4 (H</w:t>
            </w:r>
            <w:r w:rsidRPr="006D631C">
              <w:rPr>
                <w:color w:val="000000"/>
                <w:sz w:val="12"/>
                <w:szCs w:val="12"/>
                <w:vertAlign w:val="subscript"/>
              </w:rPr>
              <w:t>1</w:t>
            </w:r>
            <w:r w:rsidRPr="006D631C">
              <w:rPr>
                <w:color w:val="000000"/>
                <w:sz w:val="12"/>
                <w:szCs w:val="12"/>
              </w:rPr>
              <w:t>), 7.21 (Q</w:t>
            </w:r>
            <w:r w:rsidRPr="006D631C">
              <w:rPr>
                <w:color w:val="000000"/>
                <w:sz w:val="12"/>
                <w:szCs w:val="12"/>
                <w:vertAlign w:val="subscript"/>
              </w:rPr>
              <w:t>1</w:t>
            </w:r>
            <w:r w:rsidRPr="006D631C">
              <w:rPr>
                <w:color w:val="000000"/>
                <w:sz w:val="12"/>
                <w:szCs w:val="12"/>
              </w:rPr>
              <w:t>), 3.02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49AF165C" w14:textId="77777777" w:rsidR="00C40B96" w:rsidRPr="006D631C" w:rsidRDefault="00C40B96" w:rsidP="00872378">
            <w:pPr>
              <w:spacing w:line="240" w:lineRule="auto"/>
              <w:jc w:val="left"/>
              <w:rPr>
                <w:color w:val="000000"/>
                <w:sz w:val="12"/>
                <w:szCs w:val="12"/>
              </w:rPr>
            </w:pPr>
            <w:r w:rsidRPr="006D631C">
              <w:rPr>
                <w:color w:val="000000"/>
                <w:sz w:val="12"/>
                <w:szCs w:val="12"/>
              </w:rPr>
              <w:t>4.08 (H</w:t>
            </w:r>
            <w:r w:rsidRPr="006D631C">
              <w:rPr>
                <w:color w:val="000000"/>
                <w:sz w:val="12"/>
                <w:szCs w:val="12"/>
                <w:vertAlign w:val="subscript"/>
              </w:rPr>
              <w:t>1</w:t>
            </w:r>
            <w:r w:rsidRPr="006D631C">
              <w:rPr>
                <w:color w:val="000000"/>
                <w:sz w:val="12"/>
                <w:szCs w:val="12"/>
              </w:rPr>
              <w:t>), 7.57 (Q</w:t>
            </w:r>
            <w:r w:rsidRPr="006D631C">
              <w:rPr>
                <w:color w:val="000000"/>
                <w:sz w:val="12"/>
                <w:szCs w:val="12"/>
                <w:vertAlign w:val="subscript"/>
              </w:rPr>
              <w:t>1</w:t>
            </w:r>
            <w:r w:rsidRPr="006D631C">
              <w:rPr>
                <w:color w:val="000000"/>
                <w:sz w:val="12"/>
                <w:szCs w:val="12"/>
              </w:rPr>
              <w:t>), 2.95 (L</w:t>
            </w:r>
            <w:r w:rsidRPr="006D631C">
              <w:rPr>
                <w:color w:val="000000"/>
                <w:sz w:val="12"/>
                <w:szCs w:val="12"/>
                <w:vertAlign w:val="subscript"/>
              </w:rPr>
              <w:t>α</w:t>
            </w: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tcPr>
          <w:p w14:paraId="1CC35B65" w14:textId="7FEB0EE7" w:rsidR="00C40B96" w:rsidRPr="006D631C" w:rsidRDefault="00D64249" w:rsidP="00D64249">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Monomer c</w:t>
            </w:r>
            <w:r w:rsidR="00C40B96" w:rsidRPr="006D631C">
              <w:rPr>
                <w:color w:val="000000"/>
                <w:sz w:val="12"/>
                <w:szCs w:val="12"/>
              </w:rPr>
              <w:t xml:space="preserve">onversion of ~ 30% </w:t>
            </w:r>
          </w:p>
          <w:p w14:paraId="16F0021D" w14:textId="5E5FD035"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20 °C higher thermal stability of the cured LLC</w:t>
            </w:r>
          </w:p>
        </w:tc>
        <w:tc>
          <w:tcPr>
            <w:tcW w:w="426" w:type="dxa"/>
            <w:tcBorders>
              <w:top w:val="nil"/>
              <w:left w:val="nil"/>
              <w:bottom w:val="single" w:sz="4" w:space="0" w:color="auto"/>
              <w:right w:val="nil"/>
            </w:tcBorders>
            <w:shd w:val="clear" w:color="000000" w:fill="FFFFFF"/>
            <w:noWrap/>
            <w:vAlign w:val="center"/>
            <w:hideMark/>
          </w:tcPr>
          <w:p w14:paraId="108DE017"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{"citationItems":[{"id":"ITEM-1","itemData":{"DOI":"10.1007/BF00654052","ISSN":"0303402X","abstract":"The binary phase behaviour of two potentially polymerisable quaternary ammonium surfactants in water has been investigated. Allyldodecyldimethylammonium bromide (ADAB) a single-chain surfactant displays a conventional phase progression upon increasing concentration. Whereas the double-chain analogue allyldidodecylmethylammonium bromide (ADDAB) forms two lamellar liquid crystalline phases built from surfactant bilayers, which transform via a first order phase transition. The formation of two distinct lamellar phases and their coexistence has been evidenced by optical microscopy, small-angle x-ray scattering and D2O deuterium quadrupolar nuclear magnetic resonance spectroscopy. The lamellar phase formed at higher surfactant compositions is a normal lamellar phase (type Lα), consisting of bilayers which are on average parallel and flat. The lower compositional lamellar phase (type Lχ) in contrast may not be comprised of planar bilayers but rather aggregates having a high degree of curvature in comparison to those of the Lα phase. The presence of the allyl polymerisable moiety in the head group position of these surfactants has the effect of reducing the rigidity of the surfactant and increasing its solubility in comparison to non-polymerisable analogues. Polymerisation of the surfactants was attempted by using thermal and photochemical initiation in isotropic and self-assembled systems. Polymerisation occurred to approximately 30% for ADAB but did not occur for ADDAB. Where polymerisation did occur the polymer was incorporated into the monomer matrix by interweaving between the surfactant aggregates. The polymers had a molecular weight not greater than 8000 Daltons, independent of the monomer concentration of the original solution and type of polymerisation.","author":[{"dropping-particle":"","family":"McGrath","given":"K. M.","non-dropping-particle":"","parse-names":false,"suffix":""},{"dropping-particle":"","family":"Drummond","given":"C. J.","non-dropping-particle":"","parse-names":false,"suffix":""}],"container-title":"Colloid and Polymer Science","id":"ITEM-1","issue":"4","issued":{"date-parts":[["1996"]]},"page":"316-333","title":"Polymerisation of liquid crystalline phases in binary surfactant/water systems: Part 1. Allyldodecyldimethylammonium bromide and allyldidodecylmethylammonium bromide","type":"article-journal","volume":"274"},"uris":["http://www.mendeley.com/documents/?uuid=ed4e82e4-cdff-4e40-b053-9c3883e498e6"]}],"mendeley":{"formattedCitation":"&lt;sup&gt;73&lt;/sup&gt;","plainTextFormattedCitation":"73","previouslyFormattedCitation":"&lt;sup&gt;73&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73</w:t>
            </w:r>
            <w:r w:rsidRPr="006D631C">
              <w:rPr>
                <w:color w:val="000000"/>
                <w:sz w:val="12"/>
                <w:szCs w:val="12"/>
              </w:rPr>
              <w:fldChar w:fldCharType="end"/>
            </w:r>
          </w:p>
        </w:tc>
      </w:tr>
      <w:tr w:rsidR="00C40B96" w:rsidRPr="006D631C" w14:paraId="2B10E521" w14:textId="77777777" w:rsidTr="00433C65">
        <w:trPr>
          <w:trHeight w:val="20"/>
        </w:trPr>
        <w:tc>
          <w:tcPr>
            <w:tcW w:w="851" w:type="dxa"/>
            <w:tcBorders>
              <w:top w:val="nil"/>
              <w:left w:val="nil"/>
              <w:bottom w:val="single" w:sz="4" w:space="0" w:color="auto"/>
              <w:right w:val="nil"/>
            </w:tcBorders>
            <w:shd w:val="clear" w:color="000000" w:fill="FFFFFF"/>
            <w:noWrap/>
            <w:vAlign w:val="center"/>
            <w:hideMark/>
          </w:tcPr>
          <w:p w14:paraId="334A2E2E" w14:textId="77777777" w:rsidR="00C40B96" w:rsidRPr="006D631C" w:rsidRDefault="00C40B96" w:rsidP="00872378">
            <w:pPr>
              <w:spacing w:line="240" w:lineRule="auto"/>
              <w:jc w:val="left"/>
              <w:rPr>
                <w:color w:val="000000"/>
                <w:sz w:val="12"/>
                <w:szCs w:val="12"/>
              </w:rPr>
            </w:pPr>
            <w:r w:rsidRPr="006D631C">
              <w:rPr>
                <w:color w:val="000000"/>
                <w:sz w:val="12"/>
                <w:szCs w:val="12"/>
              </w:rPr>
              <w:t>P-A-2</w:t>
            </w:r>
          </w:p>
        </w:tc>
        <w:tc>
          <w:tcPr>
            <w:tcW w:w="709" w:type="dxa"/>
            <w:tcBorders>
              <w:top w:val="nil"/>
              <w:left w:val="nil"/>
              <w:bottom w:val="single" w:sz="4" w:space="0" w:color="auto"/>
              <w:right w:val="nil"/>
            </w:tcBorders>
            <w:shd w:val="clear" w:color="000000" w:fill="FFFFFF"/>
            <w:vAlign w:val="center"/>
            <w:hideMark/>
          </w:tcPr>
          <w:p w14:paraId="3FDA7839"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3B42F08F" w14:textId="77777777" w:rsidR="00C40B96" w:rsidRPr="006D631C" w:rsidRDefault="00C40B96" w:rsidP="00872378">
            <w:pPr>
              <w:spacing w:line="240" w:lineRule="auto"/>
              <w:jc w:val="left"/>
              <w:rPr>
                <w:color w:val="000000"/>
                <w:sz w:val="12"/>
                <w:szCs w:val="12"/>
              </w:rPr>
            </w:pPr>
            <w:r w:rsidRPr="006D631C">
              <w:rPr>
                <w:color w:val="000000"/>
                <w:sz w:val="12"/>
                <w:szCs w:val="12"/>
              </w:rPr>
              <w:t>I-15 or UV</w:t>
            </w:r>
          </w:p>
        </w:tc>
        <w:tc>
          <w:tcPr>
            <w:tcW w:w="1202" w:type="dxa"/>
            <w:tcBorders>
              <w:top w:val="nil"/>
              <w:left w:val="nil"/>
              <w:bottom w:val="single" w:sz="4" w:space="0" w:color="auto"/>
              <w:right w:val="nil"/>
            </w:tcBorders>
            <w:shd w:val="clear" w:color="000000" w:fill="FFFFFF"/>
            <w:noWrap/>
            <w:vAlign w:val="center"/>
            <w:hideMark/>
          </w:tcPr>
          <w:p w14:paraId="0E52044B" w14:textId="251F5701" w:rsidR="00C40B96" w:rsidRPr="006D631C" w:rsidRDefault="00C40B96" w:rsidP="00872378">
            <w:pPr>
              <w:spacing w:line="240" w:lineRule="auto"/>
              <w:jc w:val="left"/>
              <w:rPr>
                <w:color w:val="000000"/>
                <w:sz w:val="12"/>
                <w:szCs w:val="12"/>
              </w:rPr>
            </w:pPr>
            <w:r w:rsidRPr="006D631C">
              <w:rPr>
                <w:color w:val="000000"/>
                <w:sz w:val="12"/>
                <w:szCs w:val="12"/>
              </w:rPr>
              <w:t>&gt;75</w:t>
            </w:r>
            <w:r w:rsidR="00071FFC" w:rsidRPr="006D631C">
              <w:rPr>
                <w:color w:val="000000"/>
                <w:sz w:val="12"/>
                <w:szCs w:val="12"/>
              </w:rPr>
              <w:t xml:space="preserve"> </w:t>
            </w:r>
            <w:r w:rsidR="00543793" w:rsidRPr="006D631C">
              <w:rPr>
                <w:color w:val="000000"/>
                <w:sz w:val="12"/>
                <w:szCs w:val="12"/>
              </w:rPr>
              <w:t>( L</w:t>
            </w:r>
            <w:r w:rsidR="00543793" w:rsidRPr="006D631C">
              <w:rPr>
                <w:color w:val="000000"/>
                <w:sz w:val="12"/>
                <w:szCs w:val="12"/>
                <w:vertAlign w:val="subscript"/>
              </w:rPr>
              <w:t>α</w:t>
            </w:r>
            <w:r w:rsidR="00071FFC"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489A35F5"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5F14C1A8" w14:textId="77777777" w:rsidR="00C40B96" w:rsidRPr="006D631C" w:rsidRDefault="00C40B96" w:rsidP="00872378">
            <w:pPr>
              <w:spacing w:line="240" w:lineRule="auto"/>
              <w:jc w:val="left"/>
              <w:rPr>
                <w:color w:val="000000"/>
                <w:sz w:val="12"/>
                <w:szCs w:val="12"/>
              </w:rPr>
            </w:pPr>
            <w:r w:rsidRPr="006D631C">
              <w:rPr>
                <w:color w:val="000000"/>
                <w:sz w:val="12"/>
                <w:szCs w:val="12"/>
              </w:rPr>
              <w:t>2.5 - 2.97</w:t>
            </w:r>
          </w:p>
        </w:tc>
        <w:tc>
          <w:tcPr>
            <w:tcW w:w="1134" w:type="dxa"/>
            <w:tcBorders>
              <w:top w:val="nil"/>
              <w:left w:val="nil"/>
              <w:bottom w:val="single" w:sz="4" w:space="0" w:color="auto"/>
              <w:right w:val="nil"/>
            </w:tcBorders>
            <w:shd w:val="clear" w:color="000000" w:fill="FFFFFF"/>
            <w:noWrap/>
            <w:vAlign w:val="center"/>
            <w:hideMark/>
          </w:tcPr>
          <w:p w14:paraId="3A563913"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hideMark/>
          </w:tcPr>
          <w:p w14:paraId="700BD056" w14:textId="4EE34C64"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Unsuccessful Polymerization </w:t>
            </w:r>
          </w:p>
        </w:tc>
        <w:tc>
          <w:tcPr>
            <w:tcW w:w="426" w:type="dxa"/>
            <w:tcBorders>
              <w:top w:val="nil"/>
              <w:left w:val="nil"/>
              <w:bottom w:val="single" w:sz="4" w:space="0" w:color="auto"/>
              <w:right w:val="nil"/>
            </w:tcBorders>
            <w:shd w:val="clear" w:color="000000" w:fill="FFFFFF"/>
            <w:noWrap/>
            <w:vAlign w:val="center"/>
            <w:hideMark/>
          </w:tcPr>
          <w:p w14:paraId="1044662F"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{"citationItems":[{"id":"ITEM-1","itemData":{"DOI":"10.1007/BF00654052","ISSN":"0303402X","abstract":"The binary phase behaviour of two potentially polymerisable quaternary ammonium surfactants in water has been investigated. Allyldodecyldimethylammonium bromide (ADAB) a single-chain surfactant displays a conventional phase progression upon increasing concentration. Whereas the double-chain analogue allyldidodecylmethylammonium bromide (ADDAB) forms two lamellar liquid crystalline phases built from surfactant bilayers, which transform via a first order phase transition. The formation of two distinct lamellar phases and their coexistence has been evidenced by optical microscopy, small-angle x-ray scattering and D2O deuterium quadrupolar nuclear magnetic resonance spectroscopy. The lamellar phase formed at higher surfactant compositions is a normal lamellar phase (type Lα), consisting of bilayers which are on average parallel and flat. The lower compositional lamellar phase (type Lχ) in contrast may not be comprised of planar bilayers but rather aggregates having a high degree of curvature in comparison to those of the Lα phase. The presence of the allyl polymerisable moiety in the head group position of these surfactants has the effect of reducing the rigidity of the surfactant and increasing its solubility in comparison to non-polymerisable analogues. Polymerisation of the surfactants was attempted by using thermal and photochemical initiation in isotropic and self-assembled systems. Polymerisation occurred to approximately 30% for ADAB but did not occur for ADDAB. Where polymerisation did occur the polymer was incorporated into the monomer matrix by interweaving between the surfactant aggregates. The polymers had a molecular weight not greater than 8000 Daltons, independent of the monomer concentration of the original solution and type of polymerisation.","author":[{"dropping-particle":"","family":"McGrath","given":"K. M.","non-dropping-particle":"","parse-names":false,"suffix":""},{"dropping-particle":"","family":"Drummond","given":"C. J.","non-dropping-particle":"","parse-names":false,"suffix":""}],"container-title":"Colloid and Polymer Science","id":"ITEM-1","issue":"4","issued":{"date-parts":[["1996"]]},"page":"316-333","title":"Polymerisation of liquid crystalline phases in binary surfactant/water systems: Part 1. Allyldodecyldimethylammonium bromide and allyldidodecylmethylammonium bromide","type":"article-journal","volume":"274"},"uris":["http://www.mendeley.com/documents/?uuid=ed4e82e4-cdff-4e40-b053-9c3883e498e6"]}],"mendeley":{"formattedCitation":"&lt;sup&gt;73&lt;/sup&gt;","plainTextFormattedCitation":"73","previouslyFormattedCitation":"&lt;sup&gt;73&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73</w:t>
            </w:r>
            <w:r w:rsidRPr="006D631C">
              <w:rPr>
                <w:color w:val="000000"/>
                <w:sz w:val="12"/>
                <w:szCs w:val="12"/>
              </w:rPr>
              <w:fldChar w:fldCharType="end"/>
            </w:r>
          </w:p>
        </w:tc>
      </w:tr>
      <w:tr w:rsidR="00C40B96" w:rsidRPr="006D631C" w14:paraId="7CA5CE76" w14:textId="77777777" w:rsidTr="00433C65">
        <w:trPr>
          <w:trHeight w:val="20"/>
        </w:trPr>
        <w:tc>
          <w:tcPr>
            <w:tcW w:w="851" w:type="dxa"/>
            <w:tcBorders>
              <w:top w:val="nil"/>
              <w:left w:val="nil"/>
              <w:bottom w:val="single" w:sz="4" w:space="0" w:color="auto"/>
              <w:right w:val="nil"/>
            </w:tcBorders>
            <w:shd w:val="clear" w:color="000000" w:fill="FFFFFF"/>
            <w:noWrap/>
            <w:vAlign w:val="center"/>
            <w:hideMark/>
          </w:tcPr>
          <w:p w14:paraId="4232E47A" w14:textId="77777777" w:rsidR="00C40B96" w:rsidRPr="006D631C" w:rsidRDefault="00C40B96" w:rsidP="00872378">
            <w:pPr>
              <w:spacing w:line="240" w:lineRule="auto"/>
              <w:jc w:val="left"/>
              <w:rPr>
                <w:color w:val="000000"/>
                <w:sz w:val="12"/>
                <w:szCs w:val="12"/>
              </w:rPr>
            </w:pPr>
            <w:r w:rsidRPr="006D631C">
              <w:rPr>
                <w:color w:val="000000"/>
                <w:sz w:val="12"/>
                <w:szCs w:val="12"/>
              </w:rPr>
              <w:t>P-A-3</w:t>
            </w:r>
          </w:p>
        </w:tc>
        <w:tc>
          <w:tcPr>
            <w:tcW w:w="709" w:type="dxa"/>
            <w:tcBorders>
              <w:top w:val="nil"/>
              <w:left w:val="nil"/>
              <w:bottom w:val="single" w:sz="4" w:space="0" w:color="auto"/>
              <w:right w:val="nil"/>
            </w:tcBorders>
            <w:shd w:val="clear" w:color="000000" w:fill="FFFFFF"/>
            <w:vAlign w:val="center"/>
            <w:hideMark/>
          </w:tcPr>
          <w:p w14:paraId="3573ECB8"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3B4D24DD" w14:textId="77777777" w:rsidR="00C40B96" w:rsidRPr="006D631C" w:rsidRDefault="00C40B96" w:rsidP="00872378">
            <w:pPr>
              <w:spacing w:line="240" w:lineRule="auto"/>
              <w:jc w:val="left"/>
              <w:rPr>
                <w:color w:val="000000"/>
                <w:sz w:val="12"/>
                <w:szCs w:val="12"/>
              </w:rPr>
            </w:pPr>
            <w:r w:rsidRPr="006D631C">
              <w:rPr>
                <w:color w:val="000000"/>
                <w:sz w:val="12"/>
                <w:szCs w:val="12"/>
              </w:rPr>
              <w:t>I-15 or UV</w:t>
            </w:r>
          </w:p>
        </w:tc>
        <w:tc>
          <w:tcPr>
            <w:tcW w:w="1202" w:type="dxa"/>
            <w:tcBorders>
              <w:top w:val="nil"/>
              <w:left w:val="nil"/>
              <w:bottom w:val="single" w:sz="4" w:space="0" w:color="auto"/>
              <w:right w:val="nil"/>
            </w:tcBorders>
            <w:shd w:val="clear" w:color="000000" w:fill="FFFFFF"/>
            <w:vAlign w:val="center"/>
            <w:hideMark/>
          </w:tcPr>
          <w:p w14:paraId="29FC98DB" w14:textId="77777777" w:rsidR="00C40B96" w:rsidRPr="006D631C" w:rsidRDefault="00C40B96" w:rsidP="00872378">
            <w:pPr>
              <w:spacing w:line="240" w:lineRule="auto"/>
              <w:jc w:val="left"/>
              <w:rPr>
                <w:color w:val="000000"/>
                <w:sz w:val="12"/>
                <w:szCs w:val="12"/>
              </w:rPr>
            </w:pPr>
            <w:r w:rsidRPr="006D631C">
              <w:rPr>
                <w:color w:val="000000"/>
                <w:sz w:val="12"/>
                <w:szCs w:val="12"/>
              </w:rPr>
              <w:t>50 - 60 (L</w:t>
            </w:r>
            <w:r w:rsidRPr="006D631C">
              <w:rPr>
                <w:color w:val="000000"/>
                <w:sz w:val="12"/>
                <w:szCs w:val="12"/>
                <w:vertAlign w:val="subscript"/>
              </w:rPr>
              <w:t>1</w:t>
            </w:r>
            <w:r w:rsidRPr="006D631C">
              <w:rPr>
                <w:color w:val="000000"/>
                <w:sz w:val="12"/>
                <w:szCs w:val="12"/>
              </w:rPr>
              <w:t>)</w:t>
            </w:r>
            <w:r w:rsidRPr="006D631C">
              <w:rPr>
                <w:color w:val="000000"/>
                <w:sz w:val="12"/>
                <w:szCs w:val="12"/>
              </w:rPr>
              <w:br/>
              <w:t>63 - 80 (H</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190606C1" w14:textId="77777777" w:rsidR="00C40B96" w:rsidRPr="006D631C" w:rsidRDefault="00C40B96" w:rsidP="00872378">
            <w:pPr>
              <w:spacing w:line="240" w:lineRule="auto"/>
              <w:jc w:val="left"/>
              <w:rPr>
                <w:color w:val="000000"/>
                <w:sz w:val="12"/>
                <w:szCs w:val="12"/>
              </w:rPr>
            </w:pPr>
            <w:r w:rsidRPr="006D631C">
              <w:rPr>
                <w:color w:val="000000"/>
                <w:sz w:val="12"/>
                <w:szCs w:val="12"/>
              </w:rPr>
              <w:t>Retention of the structures</w:t>
            </w:r>
          </w:p>
        </w:tc>
        <w:tc>
          <w:tcPr>
            <w:tcW w:w="1134" w:type="dxa"/>
            <w:tcBorders>
              <w:top w:val="nil"/>
              <w:left w:val="nil"/>
              <w:bottom w:val="single" w:sz="4" w:space="0" w:color="auto"/>
              <w:right w:val="nil"/>
            </w:tcBorders>
            <w:shd w:val="clear" w:color="000000" w:fill="FFFFFF"/>
            <w:noWrap/>
            <w:vAlign w:val="center"/>
            <w:hideMark/>
          </w:tcPr>
          <w:p w14:paraId="173DCECA" w14:textId="77777777" w:rsidR="00C40B96" w:rsidRPr="006D631C" w:rsidRDefault="00C40B96" w:rsidP="00872378">
            <w:pPr>
              <w:spacing w:line="240" w:lineRule="auto"/>
              <w:jc w:val="left"/>
              <w:rPr>
                <w:color w:val="000000"/>
                <w:sz w:val="12"/>
                <w:szCs w:val="12"/>
              </w:rPr>
            </w:pPr>
            <w:r w:rsidRPr="006D631C">
              <w:rPr>
                <w:color w:val="000000"/>
                <w:sz w:val="12"/>
                <w:szCs w:val="12"/>
              </w:rPr>
              <w:t>3.57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hideMark/>
          </w:tcPr>
          <w:p w14:paraId="3932E975" w14:textId="77777777" w:rsidR="00C40B96" w:rsidRPr="006D631C" w:rsidRDefault="00C40B96" w:rsidP="00872378">
            <w:pPr>
              <w:spacing w:line="240" w:lineRule="auto"/>
              <w:jc w:val="left"/>
              <w:rPr>
                <w:color w:val="000000"/>
                <w:sz w:val="12"/>
                <w:szCs w:val="12"/>
              </w:rPr>
            </w:pPr>
            <w:r w:rsidRPr="006D631C">
              <w:rPr>
                <w:color w:val="000000"/>
                <w:sz w:val="12"/>
                <w:szCs w:val="12"/>
              </w:rPr>
              <w:t>3.57 (H</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tcPr>
          <w:p w14:paraId="22635EAB" w14:textId="13CFD1F4" w:rsidR="00C40B96" w:rsidRPr="006D631C" w:rsidRDefault="00D64249" w:rsidP="00D64249">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Monomer c</w:t>
            </w:r>
            <w:r w:rsidR="00C40B96" w:rsidRPr="006D631C">
              <w:rPr>
                <w:color w:val="000000"/>
                <w:sz w:val="12"/>
                <w:szCs w:val="12"/>
              </w:rPr>
              <w:t xml:space="preserve">onversion of ~ 45% </w:t>
            </w:r>
          </w:p>
          <w:p w14:paraId="07EE5DE2" w14:textId="7F88138F"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No difference in thermal stability after templating</w:t>
            </w:r>
          </w:p>
        </w:tc>
        <w:tc>
          <w:tcPr>
            <w:tcW w:w="426" w:type="dxa"/>
            <w:tcBorders>
              <w:top w:val="nil"/>
              <w:left w:val="nil"/>
              <w:bottom w:val="single" w:sz="4" w:space="0" w:color="auto"/>
              <w:right w:val="nil"/>
            </w:tcBorders>
            <w:shd w:val="clear" w:color="000000" w:fill="FFFFFF"/>
            <w:vAlign w:val="center"/>
            <w:hideMark/>
          </w:tcPr>
          <w:p w14:paraId="5E945C4D"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{"citationItems":[{"id":"ITEM-1","itemData":{"DOI":"10.1007/BF00652461","ISSN":"0303402X","abstract":"The self-assembly behaviour of the polymerisable surfactant ω-undecenyltrimethylammonium bromide (ω-UTAB) both before and after polymerisation has been investigated. In addition polymerisation of the liquid crystalline phases formed by this surfactant in aqueous solution has been studied. Introduction of the carbon-carbon double bond at the end of the hydrocarbon chain increases the rigidity of the paraffinic chains such that the Krafft curve is shifted to higher temperatures compared with that of dodecyltrimethylammonium bromide, a non-polymerisable analogue. Both the polymerised and non-polymerised forms have been observed to have the same phase progression, with the polymer being more soluble in water such that the liquid crystalline phases formed at high surfactant concentration are accessible at room temperature. Polymerisation of the liquid crystalline phases of ω-UTAB indicate that polymerisation proceeds to approximately 40% (in comparison with 80% in a non-aggregated form) and that the original monomeric matrix is undisturbed upon partial polymerisation.","author":[{"dropping-particle":"","family":"McGrath","given":"K. M.","non-dropping-particle":"","parse-names":false,"suffix":""}],"container-title":"Colloid and Polymer Science","id":"ITEM-1","issue":"5","issued":{"date-parts":[["1996"]]},"page":"399-409","title":"Polymerisation of liquid crystalline phases in binary surfactant/water systems. Part 2. ω-undecenyltrimethylammonium bromide","type":"article-journal","volume":"274"},"uris":["http://www.mendeley.com/documents/?uuid=544f7c54-23f1-4dd5-a90e-54cc478ed69c"]}],"mendeley":{"formattedCitation":"&lt;sup&gt;75&lt;/sup&gt;","plainTextFormattedCitation":"75","previouslyFormattedCitation":"&lt;sup&gt;75&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75</w:t>
            </w:r>
            <w:r w:rsidRPr="006D631C">
              <w:rPr>
                <w:color w:val="000000"/>
                <w:sz w:val="12"/>
                <w:szCs w:val="12"/>
              </w:rPr>
              <w:fldChar w:fldCharType="end"/>
            </w:r>
          </w:p>
        </w:tc>
      </w:tr>
      <w:tr w:rsidR="00C40B96" w:rsidRPr="006D631C" w14:paraId="4BAB297D" w14:textId="77777777" w:rsidTr="00433C65">
        <w:trPr>
          <w:trHeight w:val="20"/>
        </w:trPr>
        <w:tc>
          <w:tcPr>
            <w:tcW w:w="851" w:type="dxa"/>
            <w:vMerge w:val="restart"/>
            <w:tcBorders>
              <w:top w:val="nil"/>
              <w:left w:val="nil"/>
              <w:bottom w:val="single" w:sz="4" w:space="0" w:color="000000"/>
              <w:right w:val="nil"/>
            </w:tcBorders>
            <w:shd w:val="clear" w:color="000000" w:fill="FFFFFF"/>
            <w:noWrap/>
            <w:vAlign w:val="center"/>
            <w:hideMark/>
          </w:tcPr>
          <w:p w14:paraId="7FEE728F" w14:textId="77777777" w:rsidR="00C40B96" w:rsidRPr="006D631C" w:rsidRDefault="00C40B96" w:rsidP="00872378">
            <w:pPr>
              <w:spacing w:line="240" w:lineRule="auto"/>
              <w:jc w:val="left"/>
              <w:rPr>
                <w:color w:val="000000"/>
                <w:sz w:val="12"/>
                <w:szCs w:val="12"/>
              </w:rPr>
            </w:pPr>
            <w:r w:rsidRPr="006D631C">
              <w:rPr>
                <w:color w:val="000000"/>
                <w:sz w:val="12"/>
                <w:szCs w:val="12"/>
              </w:rPr>
              <w:t>P-A-4</w:t>
            </w:r>
          </w:p>
        </w:tc>
        <w:tc>
          <w:tcPr>
            <w:tcW w:w="709" w:type="dxa"/>
            <w:tcBorders>
              <w:top w:val="nil"/>
              <w:left w:val="nil"/>
              <w:bottom w:val="single" w:sz="4" w:space="0" w:color="auto"/>
              <w:right w:val="nil"/>
            </w:tcBorders>
            <w:shd w:val="clear" w:color="000000" w:fill="FFFFFF"/>
            <w:vAlign w:val="center"/>
            <w:hideMark/>
          </w:tcPr>
          <w:p w14:paraId="79ADD527"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1CD72717" w14:textId="77777777" w:rsidR="00C40B96" w:rsidRPr="006D631C" w:rsidRDefault="00C40B96" w:rsidP="00872378">
            <w:pPr>
              <w:spacing w:line="240" w:lineRule="auto"/>
              <w:jc w:val="left"/>
              <w:rPr>
                <w:color w:val="000000"/>
                <w:sz w:val="12"/>
                <w:szCs w:val="12"/>
              </w:rPr>
            </w:pPr>
            <w:r w:rsidRPr="006D631C">
              <w:rPr>
                <w:color w:val="000000"/>
                <w:sz w:val="12"/>
                <w:szCs w:val="12"/>
              </w:rPr>
              <w:t>γ-ray radiation</w:t>
            </w:r>
          </w:p>
        </w:tc>
        <w:tc>
          <w:tcPr>
            <w:tcW w:w="1202" w:type="dxa"/>
            <w:tcBorders>
              <w:top w:val="nil"/>
              <w:left w:val="nil"/>
              <w:bottom w:val="single" w:sz="4" w:space="0" w:color="auto"/>
              <w:right w:val="nil"/>
            </w:tcBorders>
            <w:shd w:val="clear" w:color="000000" w:fill="FFFFFF"/>
            <w:vAlign w:val="center"/>
            <w:hideMark/>
          </w:tcPr>
          <w:p w14:paraId="6DF2AE03" w14:textId="462E20B8" w:rsidR="00C40B96" w:rsidRPr="006D631C" w:rsidRDefault="00C40B96" w:rsidP="00872378">
            <w:pPr>
              <w:spacing w:line="240" w:lineRule="auto"/>
              <w:jc w:val="left"/>
              <w:rPr>
                <w:color w:val="000000"/>
                <w:sz w:val="12"/>
                <w:szCs w:val="12"/>
              </w:rPr>
            </w:pPr>
            <w:r w:rsidRPr="006D631C">
              <w:rPr>
                <w:color w:val="000000"/>
                <w:sz w:val="12"/>
                <w:szCs w:val="12"/>
              </w:rPr>
              <w:t xml:space="preserve">58 </w:t>
            </w:r>
            <w:r w:rsidR="00CA7F97" w:rsidRPr="006D631C">
              <w:rPr>
                <w:color w:val="000000"/>
                <w:sz w:val="12"/>
                <w:szCs w:val="12"/>
              </w:rPr>
              <w:t>–</w:t>
            </w:r>
            <w:r w:rsidRPr="006D631C">
              <w:rPr>
                <w:color w:val="000000"/>
                <w:sz w:val="12"/>
                <w:szCs w:val="12"/>
              </w:rPr>
              <w:t xml:space="preserve"> 65</w:t>
            </w:r>
            <w:r w:rsidR="00CA7F97" w:rsidRPr="006D631C">
              <w:rPr>
                <w:color w:val="000000"/>
                <w:sz w:val="12"/>
                <w:szCs w:val="12"/>
              </w:rPr>
              <w:t xml:space="preserve"> (H</w:t>
            </w:r>
            <w:r w:rsidR="00CA7F97" w:rsidRPr="006D631C">
              <w:rPr>
                <w:color w:val="000000"/>
                <w:sz w:val="12"/>
                <w:szCs w:val="12"/>
                <w:vertAlign w:val="subscript"/>
              </w:rPr>
              <w:t>1</w:t>
            </w:r>
            <w:r w:rsidR="00CA7F97"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397E6880" w14:textId="77777777" w:rsidR="00C40B96" w:rsidRPr="006D631C" w:rsidRDefault="00C40B96" w:rsidP="00872378">
            <w:pPr>
              <w:spacing w:line="240" w:lineRule="auto"/>
              <w:jc w:val="left"/>
              <w:rPr>
                <w:color w:val="000000"/>
                <w:sz w:val="12"/>
                <w:szCs w:val="12"/>
              </w:rPr>
            </w:pPr>
            <w:r w:rsidRPr="006D631C">
              <w:rPr>
                <w:color w:val="000000"/>
                <w:sz w:val="12"/>
                <w:szCs w:val="12"/>
              </w:rPr>
              <w:t>Retention of the structures</w:t>
            </w:r>
          </w:p>
        </w:tc>
        <w:tc>
          <w:tcPr>
            <w:tcW w:w="1134" w:type="dxa"/>
            <w:tcBorders>
              <w:top w:val="nil"/>
              <w:left w:val="nil"/>
              <w:bottom w:val="single" w:sz="4" w:space="0" w:color="auto"/>
              <w:right w:val="nil"/>
            </w:tcBorders>
            <w:shd w:val="clear" w:color="000000" w:fill="FFFFFF"/>
            <w:vAlign w:val="center"/>
            <w:hideMark/>
          </w:tcPr>
          <w:p w14:paraId="417BC806" w14:textId="77777777" w:rsidR="00C40B96" w:rsidRPr="006D631C" w:rsidRDefault="00C40B96" w:rsidP="00872378">
            <w:pPr>
              <w:spacing w:line="240" w:lineRule="auto"/>
              <w:jc w:val="left"/>
              <w:rPr>
                <w:color w:val="000000"/>
                <w:sz w:val="12"/>
                <w:szCs w:val="12"/>
              </w:rPr>
            </w:pPr>
            <w:r w:rsidRPr="006D631C">
              <w:rPr>
                <w:color w:val="000000"/>
                <w:sz w:val="12"/>
                <w:szCs w:val="12"/>
              </w:rPr>
              <w:t>3.98</w:t>
            </w:r>
          </w:p>
        </w:tc>
        <w:tc>
          <w:tcPr>
            <w:tcW w:w="1134" w:type="dxa"/>
            <w:tcBorders>
              <w:top w:val="nil"/>
              <w:left w:val="nil"/>
              <w:bottom w:val="single" w:sz="4" w:space="0" w:color="auto"/>
              <w:right w:val="nil"/>
            </w:tcBorders>
            <w:shd w:val="clear" w:color="000000" w:fill="FFFFFF"/>
            <w:vAlign w:val="center"/>
            <w:hideMark/>
          </w:tcPr>
          <w:p w14:paraId="44B559A2"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tcPr>
          <w:p w14:paraId="63AA3758" w14:textId="4CEECB89"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Higher reaction rate than non-LLC sample but lower conversions than P-A-5 (conversion of ~ 60%)</w:t>
            </w:r>
          </w:p>
          <w:p w14:paraId="65DF04D7" w14:textId="2516D277"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Swelling with polar and nonpolar  solvents</w:t>
            </w:r>
          </w:p>
        </w:tc>
        <w:tc>
          <w:tcPr>
            <w:tcW w:w="426" w:type="dxa"/>
            <w:tcBorders>
              <w:top w:val="nil"/>
              <w:left w:val="nil"/>
              <w:bottom w:val="single" w:sz="4" w:space="0" w:color="auto"/>
              <w:right w:val="nil"/>
            </w:tcBorders>
            <w:shd w:val="clear" w:color="000000" w:fill="FFFFFF"/>
            <w:vAlign w:val="center"/>
            <w:hideMark/>
          </w:tcPr>
          <w:p w14:paraId="37C996CE"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{"citationItems":[{"id":"ITEM-1","itemData":{"DOI":"10.1002/bbpc.19981021217","ISSN":"0940483X","abstract":"The γ-ray polymerization of (2-meihacryloyethyl)dodecyldimethyl, larnonium bromide 1 and (11-mcthaeryloylundecyl) trirnethylammonkim bromide 2 in lyotropic mesophase is described, 1 forms hexagonal (H), cubic (Qu) and lamellar phases as indicated by polarizing microscopy and small jngle X-ray scattering (SAXS). Dose versus conversion curves indicate a complete polymerization of 1 in organized aqueous phases, the reaction rate being highest in the Hu phase. 2 is less reactive and polymerization in the Hu phase ceases at about 60% conversion to polymer. Both surfactants polymerize under retention of the macroscopic order of the mesophase. N'anostructured gel-like materials with hydrophilic and hydrophobic compartments arc obtained, which after removal of water can be swollen in polar and nonpolar solvents. © WILEY-VCH Veriag GmbH. 1998.","author":[{"dropping-particle":"","family":"Pawlowski","given":"Dirk","non-dropping-particle":"","parse-names":false,"suffix":""},{"dropping-particle":"","family":"Haibel","given":"Astrid","non-dropping-particle":"","parse-names":false,"suffix":""},{"dropping-particle":"","family":"Tieke","given":"M.","non-dropping-particle":"","parse-names":false,"suffix":""}],"container-title":"Berichte der Bunsengesellschaft/Physical Chemistry Chemical Physics","id":"ITEM-1","issue":"12","issued":{"date-parts":[["1998"]]},"page":"1865-1869","title":"Γ-Ray Polymerization of Cationic Surfactant Methacrylates in Lyotropic Mesopnases","type":"article-journal","volume":"102"},"uris":["http://www.mendeley.com/documents/?uuid=89432008-783e-48ea-9812-82cb8bb6c544"]}],"mendeley":{"formattedCitation":"&lt;sup&gt;76&lt;/sup&gt;","plainTextFormattedCitation":"76","previouslyFormattedCitation":"&lt;sup&gt;76&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76</w:t>
            </w:r>
            <w:r w:rsidRPr="006D631C">
              <w:rPr>
                <w:color w:val="000000"/>
                <w:sz w:val="12"/>
                <w:szCs w:val="12"/>
              </w:rPr>
              <w:fldChar w:fldCharType="end"/>
            </w:r>
          </w:p>
        </w:tc>
      </w:tr>
      <w:tr w:rsidR="00C40B96" w:rsidRPr="006D631C" w14:paraId="66E61CA1" w14:textId="77777777" w:rsidTr="00433C65">
        <w:trPr>
          <w:trHeight w:val="20"/>
        </w:trPr>
        <w:tc>
          <w:tcPr>
            <w:tcW w:w="851" w:type="dxa"/>
            <w:vMerge/>
            <w:tcBorders>
              <w:top w:val="nil"/>
              <w:left w:val="nil"/>
              <w:bottom w:val="single" w:sz="4" w:space="0" w:color="000000"/>
              <w:right w:val="nil"/>
            </w:tcBorders>
            <w:vAlign w:val="center"/>
            <w:hideMark/>
          </w:tcPr>
          <w:p w14:paraId="00637349" w14:textId="77777777" w:rsidR="00C40B96" w:rsidRPr="006D631C" w:rsidRDefault="00C40B96" w:rsidP="00872378">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024A66F4"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7B5C514A" w14:textId="77777777" w:rsidR="00C40B96" w:rsidRPr="006D631C" w:rsidRDefault="00C40B96" w:rsidP="00872378">
            <w:pPr>
              <w:spacing w:line="240" w:lineRule="auto"/>
              <w:jc w:val="left"/>
              <w:rPr>
                <w:color w:val="000000"/>
                <w:sz w:val="12"/>
                <w:szCs w:val="12"/>
              </w:rPr>
            </w:pPr>
            <w:r w:rsidRPr="006D631C">
              <w:rPr>
                <w:color w:val="000000"/>
                <w:sz w:val="12"/>
                <w:szCs w:val="12"/>
              </w:rPr>
              <w:t>I-2 or I-5</w:t>
            </w:r>
          </w:p>
        </w:tc>
        <w:tc>
          <w:tcPr>
            <w:tcW w:w="1202" w:type="dxa"/>
            <w:tcBorders>
              <w:top w:val="nil"/>
              <w:left w:val="nil"/>
              <w:bottom w:val="single" w:sz="4" w:space="0" w:color="auto"/>
              <w:right w:val="nil"/>
            </w:tcBorders>
            <w:shd w:val="clear" w:color="000000" w:fill="FFFFFF"/>
            <w:vAlign w:val="center"/>
            <w:hideMark/>
          </w:tcPr>
          <w:p w14:paraId="797413EF" w14:textId="77777777" w:rsidR="00C40B96" w:rsidRPr="006D631C" w:rsidRDefault="00C40B96" w:rsidP="00872378">
            <w:pPr>
              <w:spacing w:line="240" w:lineRule="auto"/>
              <w:jc w:val="left"/>
              <w:rPr>
                <w:color w:val="000000"/>
                <w:sz w:val="12"/>
                <w:szCs w:val="12"/>
              </w:rPr>
            </w:pPr>
            <w:r w:rsidRPr="006D631C">
              <w:rPr>
                <w:color w:val="000000"/>
                <w:sz w:val="12"/>
                <w:szCs w:val="12"/>
              </w:rPr>
              <w:t>60 - 79 (H</w:t>
            </w:r>
            <w:r w:rsidRPr="006D631C">
              <w:rPr>
                <w:color w:val="000000"/>
                <w:sz w:val="12"/>
                <w:szCs w:val="12"/>
                <w:vertAlign w:val="subscript"/>
              </w:rPr>
              <w:t>1</w:t>
            </w:r>
            <w:r w:rsidRPr="006D631C">
              <w:rPr>
                <w:color w:val="000000"/>
                <w:sz w:val="12"/>
                <w:szCs w:val="12"/>
              </w:rPr>
              <w:t>)</w:t>
            </w:r>
            <w:r w:rsidRPr="006D631C">
              <w:rPr>
                <w:color w:val="000000"/>
                <w:sz w:val="12"/>
                <w:szCs w:val="12"/>
              </w:rPr>
              <w:br/>
              <w:t>&gt; 82 (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732836AC" w14:textId="77777777" w:rsidR="00C40B96" w:rsidRPr="006D631C" w:rsidRDefault="00C40B96" w:rsidP="00872378">
            <w:pPr>
              <w:spacing w:line="240" w:lineRule="auto"/>
              <w:jc w:val="left"/>
              <w:rPr>
                <w:color w:val="000000"/>
                <w:sz w:val="12"/>
                <w:szCs w:val="12"/>
              </w:rPr>
            </w:pPr>
            <w:r w:rsidRPr="006D631C">
              <w:rPr>
                <w:color w:val="000000"/>
                <w:sz w:val="12"/>
                <w:szCs w:val="12"/>
              </w:rPr>
              <w:t>Complete structure lose with I-5 and limited retention of H</w:t>
            </w:r>
            <w:r w:rsidRPr="006D631C">
              <w:rPr>
                <w:color w:val="000000"/>
                <w:sz w:val="12"/>
                <w:szCs w:val="12"/>
                <w:vertAlign w:val="subscript"/>
              </w:rPr>
              <w:t>1</w:t>
            </w:r>
            <w:r w:rsidRPr="006D631C">
              <w:rPr>
                <w:color w:val="000000"/>
                <w:sz w:val="12"/>
                <w:szCs w:val="12"/>
              </w:rPr>
              <w:t xml:space="preserve"> with I-2 </w:t>
            </w:r>
          </w:p>
        </w:tc>
        <w:tc>
          <w:tcPr>
            <w:tcW w:w="1134" w:type="dxa"/>
            <w:tcBorders>
              <w:top w:val="nil"/>
              <w:left w:val="nil"/>
              <w:bottom w:val="single" w:sz="4" w:space="0" w:color="auto"/>
              <w:right w:val="nil"/>
            </w:tcBorders>
            <w:shd w:val="clear" w:color="000000" w:fill="FFFFFF"/>
            <w:vAlign w:val="center"/>
            <w:hideMark/>
          </w:tcPr>
          <w:p w14:paraId="68C662E3" w14:textId="77777777" w:rsidR="00C40B96" w:rsidRPr="006D631C" w:rsidRDefault="00C40B96" w:rsidP="00872378">
            <w:pPr>
              <w:spacing w:line="240" w:lineRule="auto"/>
              <w:jc w:val="left"/>
              <w:rPr>
                <w:color w:val="000000"/>
                <w:sz w:val="12"/>
                <w:szCs w:val="12"/>
              </w:rPr>
            </w:pPr>
            <w:r w:rsidRPr="006D631C">
              <w:rPr>
                <w:color w:val="000000"/>
                <w:sz w:val="12"/>
                <w:szCs w:val="12"/>
              </w:rPr>
              <w:t>4.157 (H</w:t>
            </w:r>
            <w:r w:rsidRPr="006D631C">
              <w:rPr>
                <w:color w:val="000000"/>
                <w:sz w:val="12"/>
                <w:szCs w:val="12"/>
                <w:vertAlign w:val="subscript"/>
              </w:rPr>
              <w:t>1</w:t>
            </w:r>
            <w:r w:rsidRPr="006D631C">
              <w:rPr>
                <w:color w:val="000000"/>
                <w:sz w:val="12"/>
                <w:szCs w:val="12"/>
              </w:rPr>
              <w:t>), 3.05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hideMark/>
          </w:tcPr>
          <w:p w14:paraId="1DCC88CA"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hideMark/>
          </w:tcPr>
          <w:p w14:paraId="7F8784C8" w14:textId="642F3B82"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Polymerization rate: </w:t>
            </w:r>
            <w:r w:rsidR="00A35882" w:rsidRPr="006D631C">
              <w:rPr>
                <w:rFonts w:eastAsia="Times New Roman" w:cs="Times New Roman"/>
                <w:color w:val="000000"/>
                <w:sz w:val="12"/>
                <w:szCs w:val="12"/>
              </w:rPr>
              <w:t>L</w:t>
            </w:r>
            <w:r w:rsidR="00A35882" w:rsidRPr="006D631C">
              <w:rPr>
                <w:rFonts w:eastAsia="Times New Roman" w:cs="Times New Roman"/>
                <w:color w:val="000000"/>
                <w:sz w:val="12"/>
                <w:szCs w:val="12"/>
                <w:vertAlign w:val="subscript"/>
              </w:rPr>
              <w:t>α</w:t>
            </w:r>
            <w:r w:rsidRPr="006D631C">
              <w:rPr>
                <w:color w:val="000000"/>
                <w:sz w:val="12"/>
                <w:szCs w:val="12"/>
              </w:rPr>
              <w:t xml:space="preserve"> &lt; H</w:t>
            </w:r>
            <w:r w:rsidRPr="006D631C">
              <w:rPr>
                <w:color w:val="000000"/>
                <w:sz w:val="12"/>
                <w:szCs w:val="12"/>
                <w:vertAlign w:val="subscript"/>
              </w:rPr>
              <w:t>1</w:t>
            </w:r>
            <w:r w:rsidRPr="006D631C">
              <w:rPr>
                <w:color w:val="000000"/>
                <w:sz w:val="12"/>
                <w:szCs w:val="12"/>
              </w:rPr>
              <w:t xml:space="preserve"> &lt; non-LLC</w:t>
            </w:r>
          </w:p>
          <w:p w14:paraId="4F0771BB" w14:textId="1663D4C3" w:rsidR="00C40B96" w:rsidRPr="006D631C" w:rsidRDefault="00C40B96" w:rsidP="00D64249">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Higher polymerization rate with I-2</w:t>
            </w:r>
            <w:r w:rsidR="00D64249" w:rsidRPr="006D631C">
              <w:rPr>
                <w:color w:val="000000"/>
                <w:sz w:val="12"/>
                <w:szCs w:val="12"/>
              </w:rPr>
              <w:t xml:space="preserve"> and lower reaction rate compared to P-A-5</w:t>
            </w:r>
          </w:p>
        </w:tc>
        <w:tc>
          <w:tcPr>
            <w:tcW w:w="426" w:type="dxa"/>
            <w:tcBorders>
              <w:top w:val="nil"/>
              <w:left w:val="nil"/>
              <w:bottom w:val="single" w:sz="4" w:space="0" w:color="auto"/>
              <w:right w:val="nil"/>
            </w:tcBorders>
            <w:shd w:val="clear" w:color="000000" w:fill="FFFFFF"/>
            <w:vAlign w:val="center"/>
            <w:hideMark/>
          </w:tcPr>
          <w:p w14:paraId="6BA2FD8E"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{"citationItems":[{"id":"ITEM-1","itemData":{"DOI":"10.1021/ma901318f","ISSN":"00249297","abstract":"The synthesis of polymers with inherent nanostructure has recently received much attention because of the wide range of potential application in which these materials could be used. To understand thefactors that affect the nanoscopic order preservation upon polymerization, this work examines the influenceof reactive group position in polymerizable surfactants that form reactive lyotropic liquid crystals (LLCs) onpolymerization kinetics and order before and after polymerization. Less ordered LLCphases are formed withreactive surfactants bearing reactive groups in the nonpolar tail compared to reactive surfactants withreactive groups near the polar head. The polymerization kinetics are influenced by both the LLC order andthe position of the reactive group. Higher polymerization rates are observed for reactive surfactants with thereactive group near the polar head with increasing surfactant concentration and LLC order. On the other hand, lower polymerization rates are observed for the reactive surfactant with the reactive group in thealiphatic tail at higher surfactant concentrations and LLC order. This behavior is mainly due to segregation of the reactive groups in different regions of the LLC phases as indicated by an apparent increase in both the prates, greater LLC order preservation is observed after polymerization. Also, by using higher light intensities, the resulting polymer exhibits higher degrees of LLC order retention than that observed when polymerization is initiated with lower light intensities and corresponding lower polymerization rate. © 2009 American Chemical Society.","author":[{"dropping-particle":"","family":"Sievens-Figueroa","given":"Lucas","non-dropping-particle":"","parse-names":false,"suffix":""},{"dropping-particle":"","family":"Guymon","given":"C. Allan","non-dropping-particle":"","parse-names":false,"suffix":""}],"container-title":"Macromolecules","id":"ITEM-1","issue":"23","issued":{"date-parts":[["2009"]]},"page":"9243-9250","title":"Polymerization kinetics and nanostructure evolution of reactive lyotropic liquid crystals with different reactive group position","type":"article-journal","volume":"42"},"uris":["http://www.mendeley.com/documents/?uuid=e6dcbf22-504d-4d17-bd09-02e76fa55c8b"]}],"mendeley":{"formattedCitation":"&lt;sup&gt;96&lt;/sup&gt;","plainTextFormattedCitation":"96","previouslyFormattedCitation":"&lt;sup&gt;96&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96</w:t>
            </w:r>
            <w:r w:rsidRPr="006D631C">
              <w:rPr>
                <w:color w:val="000000"/>
                <w:sz w:val="12"/>
                <w:szCs w:val="12"/>
              </w:rPr>
              <w:fldChar w:fldCharType="end"/>
            </w:r>
          </w:p>
        </w:tc>
      </w:tr>
      <w:tr w:rsidR="00C40B96" w:rsidRPr="006D631C" w14:paraId="6D56F403" w14:textId="77777777" w:rsidTr="00433C65">
        <w:trPr>
          <w:trHeight w:val="20"/>
        </w:trPr>
        <w:tc>
          <w:tcPr>
            <w:tcW w:w="851" w:type="dxa"/>
            <w:vMerge w:val="restart"/>
            <w:tcBorders>
              <w:top w:val="nil"/>
              <w:left w:val="nil"/>
              <w:bottom w:val="single" w:sz="4" w:space="0" w:color="000000"/>
              <w:right w:val="nil"/>
            </w:tcBorders>
            <w:shd w:val="clear" w:color="000000" w:fill="FFFFFF"/>
            <w:noWrap/>
            <w:vAlign w:val="center"/>
            <w:hideMark/>
          </w:tcPr>
          <w:p w14:paraId="24E549FF" w14:textId="77777777" w:rsidR="00C40B96" w:rsidRPr="006D631C" w:rsidRDefault="00C40B96" w:rsidP="00872378">
            <w:pPr>
              <w:spacing w:line="240" w:lineRule="auto"/>
              <w:jc w:val="left"/>
              <w:rPr>
                <w:color w:val="000000"/>
                <w:sz w:val="12"/>
                <w:szCs w:val="12"/>
              </w:rPr>
            </w:pPr>
            <w:r w:rsidRPr="006D631C">
              <w:rPr>
                <w:color w:val="000000"/>
                <w:sz w:val="12"/>
                <w:szCs w:val="12"/>
              </w:rPr>
              <w:t>P-A-5</w:t>
            </w:r>
          </w:p>
        </w:tc>
        <w:tc>
          <w:tcPr>
            <w:tcW w:w="709" w:type="dxa"/>
            <w:tcBorders>
              <w:top w:val="nil"/>
              <w:left w:val="nil"/>
              <w:bottom w:val="single" w:sz="4" w:space="0" w:color="auto"/>
              <w:right w:val="nil"/>
            </w:tcBorders>
            <w:shd w:val="clear" w:color="000000" w:fill="FFFFFF"/>
            <w:vAlign w:val="center"/>
            <w:hideMark/>
          </w:tcPr>
          <w:p w14:paraId="0B5478A2"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42A48CC8" w14:textId="77777777" w:rsidR="00C40B96" w:rsidRPr="006D631C" w:rsidRDefault="00C40B96" w:rsidP="00872378">
            <w:pPr>
              <w:spacing w:line="240" w:lineRule="auto"/>
              <w:jc w:val="left"/>
              <w:rPr>
                <w:color w:val="000000"/>
                <w:sz w:val="12"/>
                <w:szCs w:val="12"/>
              </w:rPr>
            </w:pPr>
            <w:r w:rsidRPr="006D631C">
              <w:rPr>
                <w:color w:val="000000"/>
                <w:sz w:val="12"/>
                <w:szCs w:val="12"/>
              </w:rPr>
              <w:t>γ-ray radiation</w:t>
            </w:r>
          </w:p>
        </w:tc>
        <w:tc>
          <w:tcPr>
            <w:tcW w:w="1202" w:type="dxa"/>
            <w:tcBorders>
              <w:top w:val="nil"/>
              <w:left w:val="nil"/>
              <w:bottom w:val="single" w:sz="4" w:space="0" w:color="auto"/>
              <w:right w:val="nil"/>
            </w:tcBorders>
            <w:shd w:val="clear" w:color="000000" w:fill="FFFFFF"/>
            <w:vAlign w:val="center"/>
            <w:hideMark/>
          </w:tcPr>
          <w:p w14:paraId="1964D8EC" w14:textId="77777777" w:rsidR="00C40B96" w:rsidRPr="006D631C" w:rsidRDefault="00C40B96" w:rsidP="00872378">
            <w:pPr>
              <w:spacing w:line="240" w:lineRule="auto"/>
              <w:jc w:val="left"/>
              <w:rPr>
                <w:color w:val="000000"/>
                <w:sz w:val="12"/>
                <w:szCs w:val="12"/>
              </w:rPr>
            </w:pPr>
            <w:r w:rsidRPr="006D631C">
              <w:rPr>
                <w:color w:val="000000"/>
                <w:sz w:val="12"/>
                <w:szCs w:val="12"/>
              </w:rPr>
              <w:t>50 - 60 (L</w:t>
            </w:r>
            <w:r w:rsidRPr="006D631C">
              <w:rPr>
                <w:color w:val="000000"/>
                <w:sz w:val="12"/>
                <w:szCs w:val="12"/>
                <w:vertAlign w:val="subscript"/>
              </w:rPr>
              <w:t>1</w:t>
            </w:r>
            <w:r w:rsidRPr="006D631C">
              <w:rPr>
                <w:color w:val="000000"/>
                <w:sz w:val="12"/>
                <w:szCs w:val="12"/>
              </w:rPr>
              <w:t>)</w:t>
            </w:r>
            <w:r w:rsidRPr="006D631C">
              <w:rPr>
                <w:color w:val="000000"/>
                <w:sz w:val="12"/>
                <w:szCs w:val="12"/>
              </w:rPr>
              <w:br/>
              <w:t>60 - 83 (H</w:t>
            </w:r>
            <w:r w:rsidRPr="006D631C">
              <w:rPr>
                <w:color w:val="000000"/>
                <w:sz w:val="12"/>
                <w:szCs w:val="12"/>
                <w:vertAlign w:val="subscript"/>
              </w:rPr>
              <w:t>1</w:t>
            </w:r>
            <w:r w:rsidRPr="006D631C">
              <w:rPr>
                <w:color w:val="000000"/>
                <w:sz w:val="12"/>
                <w:szCs w:val="12"/>
              </w:rPr>
              <w:t>)</w:t>
            </w:r>
            <w:r w:rsidRPr="006D631C">
              <w:rPr>
                <w:color w:val="000000"/>
                <w:sz w:val="12"/>
                <w:szCs w:val="12"/>
              </w:rPr>
              <w:br/>
              <w:t>83 - 90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29914FF9" w14:textId="77777777" w:rsidR="00C40B96" w:rsidRPr="006D631C" w:rsidRDefault="00C40B96" w:rsidP="00872378">
            <w:pPr>
              <w:spacing w:line="240" w:lineRule="auto"/>
              <w:jc w:val="left"/>
              <w:rPr>
                <w:color w:val="000000"/>
                <w:sz w:val="12"/>
                <w:szCs w:val="12"/>
              </w:rPr>
            </w:pPr>
            <w:r w:rsidRPr="006D631C">
              <w:rPr>
                <w:color w:val="000000"/>
                <w:sz w:val="12"/>
                <w:szCs w:val="12"/>
              </w:rPr>
              <w:t>Retention of the structures</w:t>
            </w:r>
          </w:p>
        </w:tc>
        <w:tc>
          <w:tcPr>
            <w:tcW w:w="1134" w:type="dxa"/>
            <w:tcBorders>
              <w:top w:val="nil"/>
              <w:left w:val="nil"/>
              <w:bottom w:val="single" w:sz="4" w:space="0" w:color="auto"/>
              <w:right w:val="nil"/>
            </w:tcBorders>
            <w:shd w:val="clear" w:color="000000" w:fill="FFFFFF"/>
            <w:noWrap/>
            <w:vAlign w:val="center"/>
            <w:hideMark/>
          </w:tcPr>
          <w:p w14:paraId="46B5C5B2" w14:textId="77777777" w:rsidR="00C40B96" w:rsidRPr="006D631C" w:rsidRDefault="00C40B96" w:rsidP="00872378">
            <w:pPr>
              <w:spacing w:line="240" w:lineRule="auto"/>
              <w:jc w:val="left"/>
              <w:rPr>
                <w:color w:val="000000"/>
                <w:sz w:val="12"/>
                <w:szCs w:val="12"/>
              </w:rPr>
            </w:pPr>
            <w:r w:rsidRPr="006D631C">
              <w:rPr>
                <w:color w:val="000000"/>
                <w:sz w:val="12"/>
                <w:szCs w:val="12"/>
              </w:rPr>
              <w:t>3.56 (H</w:t>
            </w:r>
            <w:r w:rsidRPr="006D631C">
              <w:rPr>
                <w:color w:val="000000"/>
                <w:sz w:val="12"/>
                <w:szCs w:val="12"/>
                <w:vertAlign w:val="subscript"/>
              </w:rPr>
              <w:t>1</w:t>
            </w:r>
            <w:r w:rsidRPr="006D631C">
              <w:rPr>
                <w:color w:val="000000"/>
                <w:sz w:val="12"/>
                <w:szCs w:val="12"/>
              </w:rPr>
              <w:t>), 7.3 ± 0.7 (Q</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466E0705" w14:textId="77777777" w:rsidR="00C40B96" w:rsidRPr="006D631C" w:rsidRDefault="00C40B96" w:rsidP="00872378">
            <w:pPr>
              <w:spacing w:line="240" w:lineRule="auto"/>
              <w:jc w:val="left"/>
              <w:rPr>
                <w:color w:val="000000"/>
                <w:sz w:val="12"/>
                <w:szCs w:val="12"/>
              </w:rPr>
            </w:pPr>
            <w:r w:rsidRPr="006D631C">
              <w:rPr>
                <w:color w:val="000000"/>
                <w:sz w:val="12"/>
                <w:szCs w:val="12"/>
              </w:rPr>
              <w:t>3.83 (H</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tcPr>
          <w:p w14:paraId="568BD458" w14:textId="77777777"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Polymerization rate: non-LLC &lt; Q</w:t>
            </w:r>
            <w:r w:rsidRPr="006D631C">
              <w:rPr>
                <w:color w:val="000000"/>
                <w:sz w:val="12"/>
                <w:szCs w:val="12"/>
                <w:vertAlign w:val="subscript"/>
              </w:rPr>
              <w:t xml:space="preserve">1 </w:t>
            </w:r>
            <w:r w:rsidRPr="006D631C">
              <w:rPr>
                <w:color w:val="000000"/>
                <w:sz w:val="12"/>
                <w:szCs w:val="12"/>
              </w:rPr>
              <w:t>&lt; L</w:t>
            </w:r>
            <w:r w:rsidRPr="006D631C">
              <w:rPr>
                <w:color w:val="000000"/>
                <w:sz w:val="12"/>
                <w:szCs w:val="12"/>
                <w:vertAlign w:val="subscript"/>
              </w:rPr>
              <w:t>1</w:t>
            </w:r>
            <w:r w:rsidRPr="006D631C">
              <w:rPr>
                <w:color w:val="000000"/>
                <w:sz w:val="12"/>
                <w:szCs w:val="12"/>
              </w:rPr>
              <w:t xml:space="preserve"> &lt; H</w:t>
            </w:r>
            <w:r w:rsidRPr="006D631C">
              <w:rPr>
                <w:color w:val="000000"/>
                <w:sz w:val="12"/>
                <w:szCs w:val="12"/>
                <w:vertAlign w:val="subscript"/>
              </w:rPr>
              <w:t>1</w:t>
            </w:r>
          </w:p>
          <w:p w14:paraId="757378C8" w14:textId="77777777"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Higher toluene uptake for H</w:t>
            </w:r>
            <w:r w:rsidRPr="006D631C">
              <w:rPr>
                <w:color w:val="000000"/>
                <w:sz w:val="12"/>
                <w:szCs w:val="12"/>
                <w:vertAlign w:val="subscript"/>
              </w:rPr>
              <w:t>1</w:t>
            </w:r>
            <w:r w:rsidRPr="006D631C">
              <w:rPr>
                <w:color w:val="000000"/>
                <w:sz w:val="12"/>
                <w:szCs w:val="12"/>
              </w:rPr>
              <w:t xml:space="preserve"> over Q</w:t>
            </w:r>
            <w:r w:rsidRPr="006D631C">
              <w:rPr>
                <w:color w:val="000000"/>
                <w:sz w:val="12"/>
                <w:szCs w:val="12"/>
                <w:vertAlign w:val="subscript"/>
              </w:rPr>
              <w:t>1</w:t>
            </w:r>
          </w:p>
          <w:p w14:paraId="25EBFFCB" w14:textId="3BFD9D77"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Higher water uptake for Q</w:t>
            </w:r>
            <w:r w:rsidRPr="006D631C">
              <w:rPr>
                <w:color w:val="000000"/>
                <w:sz w:val="12"/>
                <w:szCs w:val="12"/>
                <w:vertAlign w:val="subscript"/>
              </w:rPr>
              <w:t>1</w:t>
            </w:r>
            <w:r w:rsidRPr="006D631C">
              <w:rPr>
                <w:color w:val="000000"/>
                <w:sz w:val="12"/>
                <w:szCs w:val="12"/>
              </w:rPr>
              <w:t xml:space="preserve"> over H</w:t>
            </w:r>
            <w:r w:rsidRPr="006D631C">
              <w:rPr>
                <w:color w:val="000000"/>
                <w:sz w:val="12"/>
                <w:szCs w:val="12"/>
                <w:vertAlign w:val="subscript"/>
              </w:rPr>
              <w:t>1</w:t>
            </w:r>
          </w:p>
          <w:p w14:paraId="4E6E8C83" w14:textId="61FE70D5"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The order of the structures were changed by swelling</w:t>
            </w:r>
          </w:p>
        </w:tc>
        <w:tc>
          <w:tcPr>
            <w:tcW w:w="426" w:type="dxa"/>
            <w:tcBorders>
              <w:top w:val="nil"/>
              <w:left w:val="nil"/>
              <w:bottom w:val="single" w:sz="4" w:space="0" w:color="auto"/>
              <w:right w:val="nil"/>
            </w:tcBorders>
            <w:shd w:val="clear" w:color="000000" w:fill="FFFFFF"/>
            <w:vAlign w:val="center"/>
            <w:hideMark/>
          </w:tcPr>
          <w:p w14:paraId="021150D7"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{"citationItems":[{"id":"ITEM-1","itemData":{"DOI":"10.1002/bbpc.19981021217","ISSN":"0940483X","abstract":"The γ-ray polymerization of (2-meihacryloyethyl)dodecyldimethyl, larnonium bromide 1 and (11-mcthaeryloylundecyl) trirnethylammonkim bromide 2 in lyotropic mesophase is described, 1 forms hexagonal (H), cubic (Qu) and lamellar phases as indicated by polarizing microscopy and small jngle X-ray scattering (SAXS). Dose versus conversion curves indicate a complete polymerization of 1 in organized aqueous phases, the reaction rate being highest in the Hu phase. 2 is less reactive and polymerization in the Hu phase ceases at about 60% conversion to polymer. Both surfactants polymerize under retention of the macroscopic order of the mesophase. N'anostructured gel-like materials with hydrophilic and hydrophobic compartments arc obtained, which after removal of water can be swollen in polar and nonpolar solvents. © WILEY-VCH Veriag GmbH. 1998.","author":[{"dropping-particle":"","family":"Pawlowski","given":"Dirk","non-dropping-particle":"","parse-names":false,"suffix":""},{"dropping-particle":"","family":"Haibel","given":"Astrid","non-dropping-particle":"","parse-names":false,"suffix":""},{"dropping-particle":"","family":"Tieke","given":"M.","non-dropping-particle":"","parse-names":false,"suffix":""}],"container-title":"Berichte der Bunsengesellschaft/Physical Chemistry Chemical Physics","id":"ITEM-1","issue":"12","issued":{"date-parts":[["1998"]]},"page":"1865-1869","title":"Γ-Ray Polymerization of Cationic Surfactant Methacrylates in Lyotropic Mesopnases","type":"article-journal","volume":"102"},"uris":["http://www.mendeley.com/documents/?uuid=89432008-783e-48ea-9812-82cb8bb6c544"]}],"mendeley":{"formattedCitation":"&lt;sup&gt;76&lt;/sup&gt;","plainTextFormattedCitation":"76","previouslyFormattedCitation":"&lt;sup&gt;76&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76</w:t>
            </w:r>
            <w:r w:rsidRPr="006D631C">
              <w:rPr>
                <w:color w:val="000000"/>
                <w:sz w:val="12"/>
                <w:szCs w:val="12"/>
              </w:rPr>
              <w:fldChar w:fldCharType="end"/>
            </w:r>
          </w:p>
        </w:tc>
      </w:tr>
      <w:tr w:rsidR="00C40B96" w:rsidRPr="006D631C" w14:paraId="1702C5E2" w14:textId="77777777" w:rsidTr="00433C65">
        <w:trPr>
          <w:trHeight w:val="20"/>
        </w:trPr>
        <w:tc>
          <w:tcPr>
            <w:tcW w:w="851" w:type="dxa"/>
            <w:vMerge/>
            <w:tcBorders>
              <w:top w:val="nil"/>
              <w:left w:val="nil"/>
              <w:bottom w:val="single" w:sz="4" w:space="0" w:color="000000"/>
              <w:right w:val="nil"/>
            </w:tcBorders>
            <w:vAlign w:val="center"/>
            <w:hideMark/>
          </w:tcPr>
          <w:p w14:paraId="3BDC01DE" w14:textId="77777777" w:rsidR="00C40B96" w:rsidRPr="006D631C" w:rsidRDefault="00C40B96" w:rsidP="00872378">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024065EA"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7B926153" w14:textId="77777777" w:rsidR="00C40B96" w:rsidRPr="006D631C" w:rsidRDefault="00C40B96" w:rsidP="00872378">
            <w:pPr>
              <w:spacing w:line="240" w:lineRule="auto"/>
              <w:jc w:val="left"/>
              <w:rPr>
                <w:color w:val="000000"/>
                <w:sz w:val="12"/>
                <w:szCs w:val="12"/>
              </w:rPr>
            </w:pPr>
            <w:r w:rsidRPr="006D631C">
              <w:rPr>
                <w:color w:val="000000"/>
                <w:sz w:val="12"/>
                <w:szCs w:val="12"/>
              </w:rPr>
              <w:t>I-5</w:t>
            </w:r>
          </w:p>
        </w:tc>
        <w:tc>
          <w:tcPr>
            <w:tcW w:w="1202" w:type="dxa"/>
            <w:tcBorders>
              <w:top w:val="nil"/>
              <w:left w:val="nil"/>
              <w:bottom w:val="single" w:sz="4" w:space="0" w:color="auto"/>
              <w:right w:val="nil"/>
            </w:tcBorders>
            <w:shd w:val="clear" w:color="000000" w:fill="FFFFFF"/>
            <w:vAlign w:val="center"/>
            <w:hideMark/>
          </w:tcPr>
          <w:p w14:paraId="301629A6" w14:textId="77777777" w:rsidR="00C40B96" w:rsidRPr="006D631C" w:rsidRDefault="00C40B96" w:rsidP="00872378">
            <w:pPr>
              <w:spacing w:line="240" w:lineRule="auto"/>
              <w:jc w:val="left"/>
              <w:rPr>
                <w:color w:val="000000"/>
                <w:sz w:val="12"/>
                <w:szCs w:val="12"/>
              </w:rPr>
            </w:pPr>
            <w:r w:rsidRPr="006D631C">
              <w:rPr>
                <w:color w:val="000000"/>
                <w:sz w:val="12"/>
                <w:szCs w:val="12"/>
              </w:rPr>
              <w:t>60 - 80 (H</w:t>
            </w:r>
            <w:r w:rsidRPr="006D631C">
              <w:rPr>
                <w:color w:val="000000"/>
                <w:sz w:val="12"/>
                <w:szCs w:val="12"/>
                <w:vertAlign w:val="subscript"/>
              </w:rPr>
              <w:t>1</w:t>
            </w:r>
            <w:r w:rsidRPr="006D631C">
              <w:rPr>
                <w:color w:val="000000"/>
                <w:sz w:val="12"/>
                <w:szCs w:val="12"/>
              </w:rPr>
              <w:t>)</w:t>
            </w:r>
            <w:r w:rsidRPr="006D631C">
              <w:rPr>
                <w:color w:val="000000"/>
                <w:sz w:val="12"/>
                <w:szCs w:val="12"/>
              </w:rPr>
              <w:br/>
              <w:t>80 - 90 (Q</w:t>
            </w:r>
            <w:r w:rsidRPr="006D631C">
              <w:rPr>
                <w:color w:val="000000"/>
                <w:sz w:val="12"/>
                <w:szCs w:val="12"/>
                <w:vertAlign w:val="subscript"/>
              </w:rPr>
              <w:t>1</w:t>
            </w:r>
            <w:r w:rsidRPr="006D631C">
              <w:rPr>
                <w:color w:val="000000"/>
                <w:sz w:val="12"/>
                <w:szCs w:val="12"/>
              </w:rPr>
              <w:t>)</w:t>
            </w:r>
            <w:r w:rsidRPr="006D631C">
              <w:rPr>
                <w:color w:val="000000"/>
                <w:sz w:val="12"/>
                <w:szCs w:val="12"/>
              </w:rPr>
              <w:br/>
              <w:t>&gt; 90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4519CB1B" w14:textId="77777777" w:rsidR="00C40B96" w:rsidRPr="006D631C" w:rsidRDefault="00C40B96" w:rsidP="00872378">
            <w:pPr>
              <w:spacing w:line="240" w:lineRule="auto"/>
              <w:jc w:val="left"/>
              <w:rPr>
                <w:color w:val="000000"/>
                <w:sz w:val="12"/>
                <w:szCs w:val="12"/>
              </w:rPr>
            </w:pPr>
            <w:r w:rsidRPr="006D631C">
              <w:rPr>
                <w:color w:val="000000"/>
                <w:sz w:val="12"/>
                <w:szCs w:val="12"/>
              </w:rPr>
              <w:t>Retention of the structures</w:t>
            </w:r>
          </w:p>
        </w:tc>
        <w:tc>
          <w:tcPr>
            <w:tcW w:w="1134" w:type="dxa"/>
            <w:tcBorders>
              <w:top w:val="nil"/>
              <w:left w:val="nil"/>
              <w:bottom w:val="single" w:sz="4" w:space="0" w:color="auto"/>
              <w:right w:val="nil"/>
            </w:tcBorders>
            <w:shd w:val="clear" w:color="000000" w:fill="FFFFFF"/>
            <w:noWrap/>
            <w:vAlign w:val="center"/>
            <w:hideMark/>
          </w:tcPr>
          <w:p w14:paraId="0991A939" w14:textId="77777777" w:rsidR="00C40B96" w:rsidRPr="006D631C" w:rsidRDefault="00C40B96" w:rsidP="00872378">
            <w:pPr>
              <w:spacing w:line="240" w:lineRule="auto"/>
              <w:jc w:val="left"/>
              <w:rPr>
                <w:color w:val="000000"/>
                <w:sz w:val="12"/>
                <w:szCs w:val="12"/>
              </w:rPr>
            </w:pPr>
            <w:r w:rsidRPr="006D631C">
              <w:rPr>
                <w:color w:val="000000"/>
                <w:sz w:val="12"/>
                <w:szCs w:val="12"/>
              </w:rPr>
              <w:t>3.71 (H</w:t>
            </w:r>
            <w:r w:rsidRPr="006D631C">
              <w:rPr>
                <w:color w:val="000000"/>
                <w:sz w:val="12"/>
                <w:szCs w:val="12"/>
                <w:vertAlign w:val="subscript"/>
              </w:rPr>
              <w:t>1</w:t>
            </w:r>
            <w:r w:rsidRPr="006D631C">
              <w:rPr>
                <w:color w:val="000000"/>
                <w:sz w:val="12"/>
                <w:szCs w:val="12"/>
              </w:rPr>
              <w:t>), 3.03 (Q</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34159E17" w14:textId="77777777" w:rsidR="00C40B96" w:rsidRPr="006D631C" w:rsidRDefault="00C40B96" w:rsidP="00872378">
            <w:pPr>
              <w:spacing w:line="240" w:lineRule="auto"/>
              <w:jc w:val="left"/>
              <w:rPr>
                <w:color w:val="000000"/>
                <w:sz w:val="12"/>
                <w:szCs w:val="12"/>
              </w:rPr>
            </w:pPr>
            <w:r w:rsidRPr="006D631C">
              <w:rPr>
                <w:color w:val="000000"/>
                <w:sz w:val="12"/>
                <w:szCs w:val="12"/>
              </w:rPr>
              <w:t>3.71 (H</w:t>
            </w:r>
            <w:r w:rsidRPr="006D631C">
              <w:rPr>
                <w:color w:val="000000"/>
                <w:sz w:val="12"/>
                <w:szCs w:val="12"/>
                <w:vertAlign w:val="subscript"/>
              </w:rPr>
              <w:t>1</w:t>
            </w:r>
            <w:r w:rsidRPr="006D631C">
              <w:rPr>
                <w:color w:val="000000"/>
                <w:sz w:val="12"/>
                <w:szCs w:val="12"/>
              </w:rPr>
              <w:t>), 3.3 (Q</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158DD5BC" w14:textId="7E702F07"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Polymerization rate: H</w:t>
            </w:r>
            <w:r w:rsidRPr="006D631C">
              <w:rPr>
                <w:color w:val="000000"/>
                <w:sz w:val="12"/>
                <w:szCs w:val="12"/>
                <w:vertAlign w:val="subscript"/>
              </w:rPr>
              <w:t>1</w:t>
            </w:r>
            <w:r w:rsidRPr="006D631C">
              <w:rPr>
                <w:color w:val="000000"/>
                <w:sz w:val="12"/>
                <w:szCs w:val="12"/>
              </w:rPr>
              <w:t xml:space="preserve"> &lt; Q</w:t>
            </w:r>
            <w:r w:rsidRPr="006D631C">
              <w:rPr>
                <w:color w:val="000000"/>
                <w:sz w:val="12"/>
                <w:szCs w:val="12"/>
                <w:vertAlign w:val="subscript"/>
              </w:rPr>
              <w:t>1</w:t>
            </w:r>
            <w:r w:rsidRPr="006D631C">
              <w:rPr>
                <w:color w:val="000000"/>
                <w:sz w:val="12"/>
                <w:szCs w:val="12"/>
              </w:rPr>
              <w:t xml:space="preserve"> &lt; Q</w:t>
            </w:r>
            <w:r w:rsidRPr="006D631C">
              <w:rPr>
                <w:color w:val="000000"/>
                <w:sz w:val="12"/>
                <w:szCs w:val="12"/>
                <w:vertAlign w:val="subscript"/>
              </w:rPr>
              <w:t>1</w:t>
            </w:r>
            <w:r w:rsidRPr="006D631C">
              <w:rPr>
                <w:color w:val="000000"/>
                <w:sz w:val="12"/>
                <w:szCs w:val="12"/>
              </w:rPr>
              <w:t xml:space="preserve"> + </w:t>
            </w:r>
            <w:r w:rsidR="00A35882" w:rsidRPr="006D631C">
              <w:rPr>
                <w:rFonts w:eastAsia="Times New Roman" w:cs="Times New Roman"/>
                <w:color w:val="000000"/>
                <w:sz w:val="12"/>
                <w:szCs w:val="12"/>
              </w:rPr>
              <w:t>L</w:t>
            </w:r>
            <w:r w:rsidR="00A35882" w:rsidRPr="006D631C">
              <w:rPr>
                <w:rFonts w:eastAsia="Times New Roman" w:cs="Times New Roman"/>
                <w:color w:val="000000"/>
                <w:sz w:val="12"/>
                <w:szCs w:val="12"/>
                <w:vertAlign w:val="subscript"/>
              </w:rPr>
              <w:t>α</w:t>
            </w:r>
            <w:r w:rsidRPr="006D631C">
              <w:rPr>
                <w:color w:val="000000"/>
                <w:sz w:val="12"/>
                <w:szCs w:val="12"/>
              </w:rPr>
              <w:t xml:space="preserve"> &lt; </w:t>
            </w:r>
            <w:r w:rsidR="00A35882" w:rsidRPr="006D631C">
              <w:rPr>
                <w:rFonts w:eastAsia="Times New Roman" w:cs="Times New Roman"/>
                <w:color w:val="000000"/>
                <w:sz w:val="12"/>
                <w:szCs w:val="12"/>
              </w:rPr>
              <w:t>L</w:t>
            </w:r>
            <w:r w:rsidR="00A35882" w:rsidRPr="006D631C">
              <w:rPr>
                <w:rFonts w:eastAsia="Times New Roman" w:cs="Times New Roman"/>
                <w:color w:val="000000"/>
                <w:sz w:val="12"/>
                <w:szCs w:val="12"/>
                <w:vertAlign w:val="subscript"/>
              </w:rPr>
              <w:t>α</w:t>
            </w:r>
          </w:p>
        </w:tc>
        <w:tc>
          <w:tcPr>
            <w:tcW w:w="426" w:type="dxa"/>
            <w:tcBorders>
              <w:top w:val="nil"/>
              <w:left w:val="nil"/>
              <w:bottom w:val="single" w:sz="4" w:space="0" w:color="auto"/>
              <w:right w:val="nil"/>
            </w:tcBorders>
            <w:shd w:val="clear" w:color="000000" w:fill="FFFFFF"/>
            <w:vAlign w:val="center"/>
            <w:hideMark/>
          </w:tcPr>
          <w:p w14:paraId="7D4D3BF9"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{"citationItems":[{"id":"ITEM-1","itemData":{"DOI":"10.1016/S0032-3861(02)00188-X","ISSN":"00323861","abstract":"The synthesis of polymers bearing the highly ordered nanostructure of lyotropic liquid crystal (LLC) phases has recently been of great interest. This work describes the polymerization behavior and structural evolution of a cationic amphiphile in various LLC phases. The type and degree of LLC phases formed from this monomer depend strongly on the composition and temperature. By adding a nonpolymerizable surfactant a variety of LLC phases are formed including hexagonal, bicontinuous cubic, and lamellar morphologies while maintaining a constant monomer concentration. The highly ordered lamellar LLC phase exhibits the fastest polymerization rate with the slowest occurring in the hexagonal phase. The polymerization rates of the bicontinuous morphology were intermediate to the lamellar and hexagonal phases. The faster polymerization kinetics is due to diffusional limitations imposed on the propagating polymer by the highly ordered lamellar LLC phase. Also, the order of this LLC system has a strong dependence on temperature. At higher temperatures, the degree of LLC order and correspondingly the polymerization rate decrease. The original LLC phase morphology appears to be retained to the greatest extent in the faster polymerizing lamellar phase. The original nanostructure is also retained in the hexagonal and cubic LLC phases but with some slight changes in structure. This LLC structure is preserved at temperatures well exceeding the thermal phase transitions of the unpolymerized LLC samples. © 2002 Elsevier Science Ltd. All rights reserved.","author":[{"dropping-particle":"","family":"Lester","given":"Christopher L.","non-dropping-particle":"","parse-names":false,"suffix":""},{"dropping-particle":"","family":"Guymon","given":"C. Allan","non-dropping-particle":"","parse-names":false,"suffix":""}],"container-title":"Polymer","id":"ITEM-1","issue":"13","issued":{"date-parts":[["2002"]]},"page":"3707-3715","title":"Ordering effects on the photopolymerization of a lyotropic liquid crystal","type":"article-journal","volume":"43"},"uris":["http://www.mendeley.com/documents/?uuid=bfccc03e-b091-49b5-8ab2-f734ea0b8c75"]}],"mendeley":{"formattedCitation":"&lt;sup&gt;97&lt;/sup&gt;","plainTextFormattedCitation":"97","previouslyFormattedCitation":"&lt;sup&gt;97&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97</w:t>
            </w:r>
            <w:r w:rsidRPr="006D631C">
              <w:rPr>
                <w:color w:val="000000"/>
                <w:sz w:val="12"/>
                <w:szCs w:val="12"/>
              </w:rPr>
              <w:fldChar w:fldCharType="end"/>
            </w:r>
          </w:p>
        </w:tc>
      </w:tr>
      <w:tr w:rsidR="00C40B96" w:rsidRPr="006D631C" w14:paraId="477558D8" w14:textId="77777777" w:rsidTr="00433C65">
        <w:trPr>
          <w:trHeight w:val="20"/>
        </w:trPr>
        <w:tc>
          <w:tcPr>
            <w:tcW w:w="851" w:type="dxa"/>
            <w:vMerge/>
            <w:tcBorders>
              <w:top w:val="nil"/>
              <w:left w:val="nil"/>
              <w:bottom w:val="single" w:sz="4" w:space="0" w:color="000000"/>
              <w:right w:val="nil"/>
            </w:tcBorders>
            <w:vAlign w:val="center"/>
            <w:hideMark/>
          </w:tcPr>
          <w:p w14:paraId="606E1D7B" w14:textId="77777777" w:rsidR="00C40B96" w:rsidRPr="006D631C" w:rsidRDefault="00C40B96" w:rsidP="00872378">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7B6DE23A"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418CD683" w14:textId="77777777" w:rsidR="00C40B96" w:rsidRPr="006D631C" w:rsidRDefault="00C40B96" w:rsidP="00872378">
            <w:pPr>
              <w:spacing w:line="240" w:lineRule="auto"/>
              <w:jc w:val="left"/>
              <w:rPr>
                <w:color w:val="000000"/>
                <w:sz w:val="12"/>
                <w:szCs w:val="12"/>
              </w:rPr>
            </w:pPr>
            <w:r w:rsidRPr="006D631C">
              <w:rPr>
                <w:color w:val="000000"/>
                <w:sz w:val="12"/>
                <w:szCs w:val="12"/>
              </w:rPr>
              <w:t>I-5</w:t>
            </w:r>
          </w:p>
        </w:tc>
        <w:tc>
          <w:tcPr>
            <w:tcW w:w="1202" w:type="dxa"/>
            <w:tcBorders>
              <w:top w:val="nil"/>
              <w:left w:val="nil"/>
              <w:bottom w:val="single" w:sz="4" w:space="0" w:color="auto"/>
              <w:right w:val="nil"/>
            </w:tcBorders>
            <w:shd w:val="clear" w:color="000000" w:fill="FFFFFF"/>
            <w:vAlign w:val="center"/>
            <w:hideMark/>
          </w:tcPr>
          <w:p w14:paraId="63F1C04E" w14:textId="11EFDE1F" w:rsidR="00C40B96" w:rsidRPr="006D631C" w:rsidRDefault="00C40B96" w:rsidP="00A76565">
            <w:pPr>
              <w:spacing w:line="240" w:lineRule="auto"/>
              <w:jc w:val="left"/>
              <w:rPr>
                <w:color w:val="000000"/>
                <w:sz w:val="12"/>
                <w:szCs w:val="12"/>
              </w:rPr>
            </w:pPr>
            <w:r w:rsidRPr="006D631C">
              <w:rPr>
                <w:color w:val="000000"/>
                <w:sz w:val="12"/>
                <w:szCs w:val="12"/>
              </w:rPr>
              <w:t>50 (</w:t>
            </w:r>
            <w:r w:rsidR="00A76565" w:rsidRPr="006D631C">
              <w:rPr>
                <w:color w:val="000000"/>
                <w:sz w:val="12"/>
                <w:szCs w:val="12"/>
              </w:rPr>
              <w:t>I</w:t>
            </w:r>
            <w:r w:rsidR="00A76565" w:rsidRPr="006D631C">
              <w:rPr>
                <w:color w:val="000000"/>
                <w:sz w:val="12"/>
                <w:szCs w:val="12"/>
                <w:vertAlign w:val="subscript"/>
              </w:rPr>
              <w:t>1</w:t>
            </w:r>
            <w:r w:rsidRPr="006D631C">
              <w:rPr>
                <w:color w:val="000000"/>
                <w:sz w:val="12"/>
                <w:szCs w:val="12"/>
              </w:rPr>
              <w:t>)</w:t>
            </w:r>
            <w:r w:rsidRPr="006D631C">
              <w:rPr>
                <w:color w:val="000000"/>
                <w:sz w:val="12"/>
                <w:szCs w:val="12"/>
              </w:rPr>
              <w:br/>
              <w:t>60 - 78 (H</w:t>
            </w:r>
            <w:r w:rsidRPr="006D631C">
              <w:rPr>
                <w:color w:val="000000"/>
                <w:sz w:val="12"/>
                <w:szCs w:val="12"/>
                <w:vertAlign w:val="subscript"/>
              </w:rPr>
              <w:t>1</w:t>
            </w:r>
            <w:r w:rsidRPr="006D631C">
              <w:rPr>
                <w:color w:val="000000"/>
                <w:sz w:val="12"/>
                <w:szCs w:val="12"/>
              </w:rPr>
              <w:t>)</w:t>
            </w:r>
            <w:r w:rsidRPr="006D631C">
              <w:rPr>
                <w:color w:val="000000"/>
                <w:sz w:val="12"/>
                <w:szCs w:val="12"/>
              </w:rPr>
              <w:br/>
              <w:t>&gt; 90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4B59EE66" w14:textId="77777777" w:rsidR="00C40B96" w:rsidRPr="006D631C" w:rsidRDefault="00C40B96" w:rsidP="00872378">
            <w:pPr>
              <w:spacing w:line="240" w:lineRule="auto"/>
              <w:jc w:val="left"/>
              <w:rPr>
                <w:color w:val="000000"/>
                <w:sz w:val="12"/>
                <w:szCs w:val="12"/>
              </w:rPr>
            </w:pP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changed to L</w:t>
            </w:r>
            <w:r w:rsidRPr="006D631C">
              <w:rPr>
                <w:color w:val="000000"/>
                <w:sz w:val="12"/>
                <w:szCs w:val="12"/>
                <w:vertAlign w:val="subscript"/>
              </w:rPr>
              <w:t>α</w:t>
            </w:r>
            <w:r w:rsidRPr="006D631C">
              <w:rPr>
                <w:color w:val="000000"/>
                <w:sz w:val="12"/>
                <w:szCs w:val="12"/>
              </w:rPr>
              <w:br/>
              <w:t>L</w:t>
            </w:r>
            <w:r w:rsidRPr="006D631C">
              <w:rPr>
                <w:color w:val="000000"/>
                <w:sz w:val="12"/>
                <w:szCs w:val="12"/>
                <w:vertAlign w:val="subscript"/>
              </w:rPr>
              <w:t>α</w:t>
            </w:r>
            <w:r w:rsidRPr="006D631C">
              <w:rPr>
                <w:color w:val="000000"/>
                <w:sz w:val="12"/>
                <w:szCs w:val="12"/>
              </w:rPr>
              <w:t xml:space="preserve"> is retained</w:t>
            </w:r>
          </w:p>
        </w:tc>
        <w:tc>
          <w:tcPr>
            <w:tcW w:w="1134" w:type="dxa"/>
            <w:tcBorders>
              <w:top w:val="nil"/>
              <w:left w:val="nil"/>
              <w:bottom w:val="single" w:sz="4" w:space="0" w:color="auto"/>
              <w:right w:val="nil"/>
            </w:tcBorders>
            <w:shd w:val="clear" w:color="000000" w:fill="FFFFFF"/>
            <w:noWrap/>
            <w:vAlign w:val="center"/>
            <w:hideMark/>
          </w:tcPr>
          <w:p w14:paraId="541B9825" w14:textId="77777777" w:rsidR="00C40B96" w:rsidRPr="006D631C" w:rsidRDefault="00C40B96" w:rsidP="00872378">
            <w:pPr>
              <w:spacing w:line="240" w:lineRule="auto"/>
              <w:jc w:val="left"/>
              <w:rPr>
                <w:color w:val="000000"/>
                <w:sz w:val="12"/>
                <w:szCs w:val="12"/>
              </w:rPr>
            </w:pPr>
            <w:r w:rsidRPr="006D631C">
              <w:rPr>
                <w:color w:val="000000"/>
                <w:sz w:val="12"/>
                <w:szCs w:val="12"/>
              </w:rPr>
              <w:t>3.55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41A89C28" w14:textId="77777777" w:rsidR="00C40B96" w:rsidRPr="006D631C" w:rsidRDefault="00C40B96" w:rsidP="00872378">
            <w:pPr>
              <w:spacing w:line="240" w:lineRule="auto"/>
              <w:jc w:val="left"/>
              <w:rPr>
                <w:color w:val="000000"/>
                <w:sz w:val="12"/>
                <w:szCs w:val="12"/>
              </w:rPr>
            </w:pPr>
            <w:r w:rsidRPr="006D631C">
              <w:rPr>
                <w:color w:val="000000"/>
                <w:sz w:val="12"/>
                <w:szCs w:val="12"/>
              </w:rPr>
              <w:t>3.7 (H</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hideMark/>
          </w:tcPr>
          <w:p w14:paraId="6EEBCCC6" w14:textId="140AA3F8" w:rsidR="00C40B96" w:rsidRPr="006D631C" w:rsidRDefault="00C40B96" w:rsidP="00A76565">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Polymerization rate: </w:t>
            </w:r>
            <w:r w:rsidR="00A76565" w:rsidRPr="006D631C">
              <w:rPr>
                <w:color w:val="000000"/>
                <w:sz w:val="12"/>
                <w:szCs w:val="12"/>
              </w:rPr>
              <w:t>I</w:t>
            </w:r>
            <w:r w:rsidR="00A76565" w:rsidRPr="006D631C">
              <w:rPr>
                <w:color w:val="000000"/>
                <w:sz w:val="12"/>
                <w:szCs w:val="12"/>
                <w:vertAlign w:val="subscript"/>
              </w:rPr>
              <w:t>1</w:t>
            </w:r>
            <w:r w:rsidRPr="006D631C">
              <w:rPr>
                <w:color w:val="000000"/>
                <w:sz w:val="12"/>
                <w:szCs w:val="12"/>
              </w:rPr>
              <w:t xml:space="preserve"> = </w:t>
            </w:r>
            <w:r w:rsidR="00A76565" w:rsidRPr="006D631C">
              <w:rPr>
                <w:color w:val="000000"/>
                <w:sz w:val="12"/>
                <w:szCs w:val="12"/>
              </w:rPr>
              <w:t>mix</w:t>
            </w:r>
            <w:r w:rsidR="000C743E" w:rsidRPr="006D631C">
              <w:rPr>
                <w:color w:val="000000"/>
                <w:sz w:val="12"/>
                <w:szCs w:val="12"/>
              </w:rPr>
              <w:t>ed</w:t>
            </w:r>
            <w:r w:rsidR="00A76565" w:rsidRPr="006D631C">
              <w:rPr>
                <w:color w:val="000000"/>
                <w:sz w:val="12"/>
                <w:szCs w:val="12"/>
              </w:rPr>
              <w:t xml:space="preserve"> phase of I</w:t>
            </w:r>
            <w:r w:rsidR="00A76565" w:rsidRPr="006D631C">
              <w:rPr>
                <w:color w:val="000000"/>
                <w:sz w:val="12"/>
                <w:szCs w:val="12"/>
                <w:vertAlign w:val="subscript"/>
              </w:rPr>
              <w:t>1</w:t>
            </w:r>
            <w:r w:rsidR="00A76565" w:rsidRPr="006D631C">
              <w:rPr>
                <w:color w:val="000000"/>
                <w:sz w:val="12"/>
                <w:szCs w:val="12"/>
              </w:rPr>
              <w:t xml:space="preserve"> and </w:t>
            </w: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&lt; H</w:t>
            </w:r>
            <w:r w:rsidRPr="006D631C">
              <w:rPr>
                <w:color w:val="000000"/>
                <w:sz w:val="12"/>
                <w:szCs w:val="12"/>
                <w:vertAlign w:val="subscript"/>
              </w:rPr>
              <w:t>1</w:t>
            </w:r>
            <w:r w:rsidRPr="006D631C">
              <w:rPr>
                <w:color w:val="000000"/>
                <w:sz w:val="12"/>
                <w:szCs w:val="12"/>
              </w:rPr>
              <w:t xml:space="preserve"> &lt; </w:t>
            </w:r>
            <w:r w:rsidR="00750192" w:rsidRPr="006D631C">
              <w:rPr>
                <w:rFonts w:eastAsia="Times New Roman" w:cs="Times New Roman"/>
                <w:color w:val="000000"/>
                <w:sz w:val="12"/>
                <w:szCs w:val="12"/>
              </w:rPr>
              <w:t>L</w:t>
            </w:r>
            <w:r w:rsidR="00750192" w:rsidRPr="006D631C">
              <w:rPr>
                <w:rFonts w:eastAsia="Times New Roman" w:cs="Times New Roman"/>
                <w:color w:val="000000"/>
                <w:sz w:val="12"/>
                <w:szCs w:val="12"/>
                <w:vertAlign w:val="subscript"/>
              </w:rPr>
              <w:t>α</w:t>
            </w:r>
          </w:p>
          <w:p w14:paraId="2A37DB1E" w14:textId="0B9BB141"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structure was highly prone to phase transition</w:t>
            </w:r>
          </w:p>
        </w:tc>
        <w:tc>
          <w:tcPr>
            <w:tcW w:w="426" w:type="dxa"/>
            <w:tcBorders>
              <w:top w:val="nil"/>
              <w:left w:val="nil"/>
              <w:bottom w:val="single" w:sz="4" w:space="0" w:color="auto"/>
              <w:right w:val="nil"/>
            </w:tcBorders>
            <w:shd w:val="clear" w:color="000000" w:fill="FFFFFF"/>
            <w:vAlign w:val="center"/>
            <w:hideMark/>
          </w:tcPr>
          <w:p w14:paraId="3BDDCFB0"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{"citationItems":[{"id":"ITEM-1","itemData":{"DOI":"10.1016/j.polymer.2008.02.047","ISSN":"00323861","abstract":"Polymerizable lyotropic liquid crystals (LLCs) have the potential advantage of producing materials with anisotropic morphologies and nanometer size dimensions with potential in applications, such as drug delivery, catalysis, and tissue engineering. With the goal of more clearly understanding the factors involved in LLC phase retention after polymerization, this work describes the effect of aliphatic tail length in the amphiphilic molecule on order, polymerization kinetics, and structural evolution of reactive LLC systems. The polymerization kinetics are influenced by the LLC phase morphology with increases in the polymerization rate as the LLC phase increases in order. Enhanced polymerization rates are a result of an apparent increase in the termination and propagation rate parameters, induced by a local increase in monomer concentration due to segregation effects in the LLC phases. Polymerization in hexagonal phases formed from reactive amphiphiles with longer aliphatic tails exhibit lower polymerization rates when compared to systems with shorter aliphatic tails, suggesting that the order of the hexagonal phase decreases as the aliphatic tail increases. Two peaks are observed in the polymerization rate profiles when polymerizing in the hexagonal and cubic phases, with the second peak becoming more pronounced as the aliphatic tail length increases and the order of the LLC phase decreases. This effect appears to be due to changes in morphology during the polymerization process as the hexagonal phase morphology changes significantly during the polymer formation. Different behavior is observed for polymerizations in the lamellar phase for which the LLC phase is retained after polymerization. © 2008 Elsevier Ltd. All rights reserved.","author":[{"dropping-particle":"","family":"Sievens-Figueroa","given":"Lucas","non-dropping-particle":"","parse-names":false,"suffix":""},{"dropping-particle":"","family":"Allan Guymon","given":"C.","non-dropping-particle":"","parse-names":false,"suffix":""}],"container-title":"Polymer","id":"ITEM-1","issue":"9","issued":{"date-parts":[["2008"]]},"page":"2260-2267","title":"Aliphatic chain length effects on photopolymerization kinetics and structural evolution of polymerizable lyotropic liquid crystals","type":"article-journal","volume":"49"},"uris":["http://www.mendeley.com/documents/?uuid=cd771cc5-ac8d-47fc-855f-a5387035dea7"]}],"mendeley":{"formattedCitation":"&lt;sup&gt;98&lt;/sup&gt;","plainTextFormattedCitation":"98","previouslyFormattedCitation":"&lt;sup&gt;98&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98</w:t>
            </w:r>
            <w:r w:rsidRPr="006D631C">
              <w:rPr>
                <w:color w:val="000000"/>
                <w:sz w:val="12"/>
                <w:szCs w:val="12"/>
              </w:rPr>
              <w:fldChar w:fldCharType="end"/>
            </w:r>
          </w:p>
        </w:tc>
      </w:tr>
      <w:tr w:rsidR="00C40B96" w:rsidRPr="006D631C" w14:paraId="77EEB398" w14:textId="77777777" w:rsidTr="00433C65">
        <w:trPr>
          <w:trHeight w:val="20"/>
        </w:trPr>
        <w:tc>
          <w:tcPr>
            <w:tcW w:w="851" w:type="dxa"/>
            <w:vMerge/>
            <w:tcBorders>
              <w:top w:val="nil"/>
              <w:left w:val="nil"/>
              <w:bottom w:val="single" w:sz="4" w:space="0" w:color="000000"/>
              <w:right w:val="nil"/>
            </w:tcBorders>
            <w:vAlign w:val="center"/>
            <w:hideMark/>
          </w:tcPr>
          <w:p w14:paraId="7BDE425D" w14:textId="77777777" w:rsidR="00C40B96" w:rsidRPr="006D631C" w:rsidRDefault="00C40B96" w:rsidP="00872378">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18A4D935"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072D7DA1" w14:textId="77777777" w:rsidR="00C40B96" w:rsidRPr="006D631C" w:rsidRDefault="00C40B96" w:rsidP="00872378">
            <w:pPr>
              <w:spacing w:line="240" w:lineRule="auto"/>
              <w:jc w:val="left"/>
              <w:rPr>
                <w:color w:val="000000"/>
                <w:sz w:val="12"/>
                <w:szCs w:val="12"/>
              </w:rPr>
            </w:pPr>
            <w:r w:rsidRPr="006D631C">
              <w:rPr>
                <w:color w:val="000000"/>
                <w:sz w:val="12"/>
                <w:szCs w:val="12"/>
              </w:rPr>
              <w:t>I-2 or I-5</w:t>
            </w:r>
          </w:p>
        </w:tc>
        <w:tc>
          <w:tcPr>
            <w:tcW w:w="1202" w:type="dxa"/>
            <w:tcBorders>
              <w:top w:val="nil"/>
              <w:left w:val="nil"/>
              <w:bottom w:val="single" w:sz="4" w:space="0" w:color="auto"/>
              <w:right w:val="nil"/>
            </w:tcBorders>
            <w:shd w:val="clear" w:color="000000" w:fill="FFFFFF"/>
            <w:vAlign w:val="center"/>
            <w:hideMark/>
          </w:tcPr>
          <w:p w14:paraId="6B3AB203" w14:textId="77777777" w:rsidR="00C40B96" w:rsidRPr="006D631C" w:rsidRDefault="00C40B96" w:rsidP="00872378">
            <w:pPr>
              <w:spacing w:line="240" w:lineRule="auto"/>
              <w:jc w:val="left"/>
              <w:rPr>
                <w:color w:val="000000"/>
                <w:sz w:val="12"/>
                <w:szCs w:val="12"/>
              </w:rPr>
            </w:pPr>
            <w:r w:rsidRPr="006D631C">
              <w:rPr>
                <w:color w:val="000000"/>
                <w:sz w:val="12"/>
                <w:szCs w:val="12"/>
              </w:rPr>
              <w:t>60 - 79 (H</w:t>
            </w:r>
            <w:r w:rsidRPr="006D631C">
              <w:rPr>
                <w:color w:val="000000"/>
                <w:sz w:val="12"/>
                <w:szCs w:val="12"/>
                <w:vertAlign w:val="subscript"/>
              </w:rPr>
              <w:t>1</w:t>
            </w:r>
            <w:r w:rsidRPr="006D631C">
              <w:rPr>
                <w:color w:val="000000"/>
                <w:sz w:val="12"/>
                <w:szCs w:val="12"/>
              </w:rPr>
              <w:t>)</w:t>
            </w:r>
            <w:r w:rsidRPr="006D631C">
              <w:rPr>
                <w:color w:val="000000"/>
                <w:sz w:val="12"/>
                <w:szCs w:val="12"/>
              </w:rPr>
              <w:br/>
              <w:t>79 - 82 (Q</w:t>
            </w:r>
            <w:r w:rsidRPr="006D631C">
              <w:rPr>
                <w:color w:val="000000"/>
                <w:sz w:val="12"/>
                <w:szCs w:val="12"/>
                <w:vertAlign w:val="subscript"/>
              </w:rPr>
              <w:t>1</w:t>
            </w:r>
            <w:r w:rsidRPr="006D631C">
              <w:rPr>
                <w:color w:val="000000"/>
                <w:sz w:val="12"/>
                <w:szCs w:val="12"/>
              </w:rPr>
              <w:t>)</w:t>
            </w:r>
            <w:r w:rsidRPr="006D631C">
              <w:rPr>
                <w:color w:val="000000"/>
                <w:sz w:val="12"/>
                <w:szCs w:val="12"/>
              </w:rPr>
              <w:br/>
              <w:t>&gt; 82 (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3DFD8C80" w14:textId="77777777" w:rsidR="00C40B96" w:rsidRPr="006D631C" w:rsidRDefault="00C40B96" w:rsidP="00872378">
            <w:pPr>
              <w:spacing w:line="240" w:lineRule="auto"/>
              <w:jc w:val="left"/>
              <w:rPr>
                <w:color w:val="000000"/>
                <w:sz w:val="12"/>
                <w:szCs w:val="12"/>
              </w:rPr>
            </w:pPr>
            <w:r w:rsidRPr="006D631C">
              <w:rPr>
                <w:color w:val="000000"/>
                <w:sz w:val="12"/>
                <w:szCs w:val="12"/>
              </w:rPr>
              <w:t>structure retention in higher reaction rates</w:t>
            </w:r>
          </w:p>
        </w:tc>
        <w:tc>
          <w:tcPr>
            <w:tcW w:w="1134" w:type="dxa"/>
            <w:tcBorders>
              <w:top w:val="nil"/>
              <w:left w:val="nil"/>
              <w:bottom w:val="single" w:sz="4" w:space="0" w:color="auto"/>
              <w:right w:val="nil"/>
            </w:tcBorders>
            <w:shd w:val="clear" w:color="000000" w:fill="FFFFFF"/>
            <w:noWrap/>
            <w:vAlign w:val="center"/>
            <w:hideMark/>
          </w:tcPr>
          <w:p w14:paraId="4303DC06" w14:textId="77777777" w:rsidR="00C40B96" w:rsidRPr="006D631C" w:rsidRDefault="00C40B96" w:rsidP="00872378">
            <w:pPr>
              <w:spacing w:line="240" w:lineRule="auto"/>
              <w:jc w:val="left"/>
              <w:rPr>
                <w:color w:val="000000"/>
                <w:sz w:val="12"/>
                <w:szCs w:val="12"/>
              </w:rPr>
            </w:pPr>
            <w:r w:rsidRPr="006D631C">
              <w:rPr>
                <w:color w:val="000000"/>
                <w:sz w:val="12"/>
                <w:szCs w:val="12"/>
              </w:rPr>
              <w:t>3.84 (H</w:t>
            </w:r>
            <w:r w:rsidRPr="006D631C">
              <w:rPr>
                <w:color w:val="000000"/>
                <w:sz w:val="12"/>
                <w:szCs w:val="12"/>
                <w:vertAlign w:val="subscript"/>
              </w:rPr>
              <w:t>1</w:t>
            </w:r>
            <w:r w:rsidRPr="006D631C">
              <w:rPr>
                <w:color w:val="000000"/>
                <w:sz w:val="12"/>
                <w:szCs w:val="12"/>
              </w:rPr>
              <w:t>), 3.2 (Q</w:t>
            </w:r>
            <w:r w:rsidRPr="006D631C">
              <w:rPr>
                <w:color w:val="000000"/>
                <w:sz w:val="12"/>
                <w:szCs w:val="12"/>
                <w:vertAlign w:val="subscript"/>
              </w:rPr>
              <w:t>1</w:t>
            </w:r>
            <w:r w:rsidRPr="006D631C">
              <w:rPr>
                <w:color w:val="000000"/>
                <w:sz w:val="12"/>
                <w:szCs w:val="12"/>
              </w:rPr>
              <w:t>)*, 3.07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061C9DA3" w14:textId="77777777" w:rsidR="00C40B96" w:rsidRPr="006D631C" w:rsidRDefault="00C40B96" w:rsidP="00872378">
            <w:pPr>
              <w:spacing w:line="240" w:lineRule="auto"/>
              <w:jc w:val="left"/>
              <w:rPr>
                <w:color w:val="000000"/>
                <w:sz w:val="12"/>
                <w:szCs w:val="12"/>
              </w:rPr>
            </w:pPr>
            <w:r w:rsidRPr="006D631C">
              <w:rPr>
                <w:color w:val="000000"/>
                <w:sz w:val="12"/>
                <w:szCs w:val="12"/>
              </w:rPr>
              <w:t>3.88 (H</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47E44A1B" w14:textId="7D5108B6"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Polymerization rate: non-LLC &lt; H</w:t>
            </w:r>
            <w:r w:rsidRPr="006D631C">
              <w:rPr>
                <w:color w:val="000000"/>
                <w:sz w:val="12"/>
                <w:szCs w:val="12"/>
                <w:vertAlign w:val="subscript"/>
              </w:rPr>
              <w:t>1</w:t>
            </w:r>
            <w:r w:rsidRPr="006D631C">
              <w:rPr>
                <w:color w:val="000000"/>
                <w:sz w:val="12"/>
                <w:szCs w:val="12"/>
              </w:rPr>
              <w:t xml:space="preserve"> = Q</w:t>
            </w:r>
            <w:r w:rsidRPr="006D631C">
              <w:rPr>
                <w:color w:val="000000"/>
                <w:sz w:val="12"/>
                <w:szCs w:val="12"/>
                <w:vertAlign w:val="subscript"/>
              </w:rPr>
              <w:t>1</w:t>
            </w:r>
            <w:r w:rsidRPr="006D631C">
              <w:rPr>
                <w:color w:val="000000"/>
                <w:sz w:val="12"/>
                <w:szCs w:val="12"/>
              </w:rPr>
              <w:t xml:space="preserve"> &lt; </w:t>
            </w:r>
            <w:r w:rsidR="003B48EA" w:rsidRPr="006D631C">
              <w:rPr>
                <w:rFonts w:eastAsia="Times New Roman" w:cs="Times New Roman"/>
                <w:color w:val="000000"/>
                <w:sz w:val="12"/>
                <w:szCs w:val="12"/>
              </w:rPr>
              <w:t>L</w:t>
            </w:r>
            <w:r w:rsidR="003B48EA" w:rsidRPr="006D631C">
              <w:rPr>
                <w:rFonts w:eastAsia="Times New Roman" w:cs="Times New Roman"/>
                <w:color w:val="000000"/>
                <w:sz w:val="12"/>
                <w:szCs w:val="12"/>
                <w:vertAlign w:val="subscript"/>
              </w:rPr>
              <w:t>α</w:t>
            </w:r>
          </w:p>
          <w:p w14:paraId="660358C4" w14:textId="2FE70B6B" w:rsidR="00C40B96" w:rsidRPr="006D631C" w:rsidRDefault="00C40B96" w:rsidP="00712F6C">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Higher polymerization rate with I-2</w:t>
            </w:r>
          </w:p>
        </w:tc>
        <w:tc>
          <w:tcPr>
            <w:tcW w:w="426" w:type="dxa"/>
            <w:tcBorders>
              <w:top w:val="nil"/>
              <w:left w:val="nil"/>
              <w:bottom w:val="single" w:sz="4" w:space="0" w:color="auto"/>
              <w:right w:val="nil"/>
            </w:tcBorders>
            <w:shd w:val="clear" w:color="000000" w:fill="FFFFFF"/>
            <w:vAlign w:val="center"/>
            <w:hideMark/>
          </w:tcPr>
          <w:p w14:paraId="29713AEF"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{"citationItems":[{"id":"ITEM-1","itemData":{"DOI":"10.1021/ma901318f","ISSN":"00249297","abstract":"The synthesis of polymers with inherent nanostructure has recently received much attention because of the wide range of potential application in which these materials could be used. To understand thefactors that affect the nanoscopic order preservation upon polymerization, this work examines the influenceof reactive group position in polymerizable surfactants that form reactive lyotropic liquid crystals (LLCs) onpolymerization kinetics and order before and after polymerization. Less ordered LLCphases are formed withreactive surfactants bearing reactive groups in the nonpolar tail compared to reactive surfactants withreactive groups near the polar head. The polymerization kinetics are influenced by both the LLC order andthe position of the reactive group. Higher polymerization rates are observed for reactive surfactants with thereactive group near the polar head with increasing surfactant concentration and LLC order. On the other hand, lower polymerization rates are observed for the reactive surfactant with the reactive group in thealiphatic tail at higher surfactant concentrations and LLC order. This behavior is mainly due to segregation of the reactive groups in different regions of the LLC phases as indicated by an apparent increase in both the prates, greater LLC order preservation is observed after polymerization. Also, by using higher light intensities, the resulting polymer exhibits higher degrees of LLC order retention than that observed when polymerization is initiated with lower light intensities and corresponding lower polymerization rate. © 2009 American Chemical Society.","author":[{"dropping-particle":"","family":"Sievens-Figueroa","given":"Lucas","non-dropping-particle":"","parse-names":false,"suffix":""},{"dropping-particle":"","family":"Guymon","given":"C. Allan","non-dropping-particle":"","parse-names":false,"suffix":""}],"container-title":"Macromolecules","id":"ITEM-1","issue":"23","issued":{"date-parts":[["2009"]]},"page":"9243-9250","title":"Polymerization kinetics and nanostructure evolution of reactive lyotropic liquid crystals with different reactive group position","type":"article-journal","volume":"42"},"uris":["http://www.mendeley.com/documents/?uuid=e6dcbf22-504d-4d17-bd09-02e76fa55c8b"]}],"mendeley":{"formattedCitation":"&lt;sup&gt;96&lt;/sup&gt;","plainTextFormattedCitation":"96","previouslyFormattedCitation":"&lt;sup&gt;96&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96</w:t>
            </w:r>
            <w:r w:rsidRPr="006D631C">
              <w:rPr>
                <w:color w:val="000000"/>
                <w:sz w:val="12"/>
                <w:szCs w:val="12"/>
              </w:rPr>
              <w:fldChar w:fldCharType="end"/>
            </w:r>
          </w:p>
        </w:tc>
      </w:tr>
      <w:tr w:rsidR="00C40B96" w:rsidRPr="006D631C" w14:paraId="5EAA9424" w14:textId="77777777" w:rsidTr="00433C65">
        <w:trPr>
          <w:trHeight w:val="20"/>
        </w:trPr>
        <w:tc>
          <w:tcPr>
            <w:tcW w:w="851" w:type="dxa"/>
            <w:vMerge w:val="restart"/>
            <w:tcBorders>
              <w:top w:val="nil"/>
              <w:left w:val="nil"/>
              <w:bottom w:val="single" w:sz="4" w:space="0" w:color="000000"/>
              <w:right w:val="nil"/>
            </w:tcBorders>
            <w:shd w:val="clear" w:color="000000" w:fill="FFFFFF"/>
            <w:noWrap/>
            <w:vAlign w:val="center"/>
            <w:hideMark/>
          </w:tcPr>
          <w:p w14:paraId="1B6CC715" w14:textId="77777777" w:rsidR="00C40B96" w:rsidRPr="006D631C" w:rsidRDefault="00C40B96" w:rsidP="00872378">
            <w:pPr>
              <w:spacing w:line="240" w:lineRule="auto"/>
              <w:jc w:val="left"/>
              <w:rPr>
                <w:color w:val="000000"/>
                <w:sz w:val="12"/>
                <w:szCs w:val="12"/>
              </w:rPr>
            </w:pPr>
            <w:r w:rsidRPr="006D631C">
              <w:rPr>
                <w:color w:val="000000"/>
                <w:sz w:val="12"/>
                <w:szCs w:val="12"/>
              </w:rPr>
              <w:t>P-A-6</w:t>
            </w:r>
          </w:p>
        </w:tc>
        <w:tc>
          <w:tcPr>
            <w:tcW w:w="709" w:type="dxa"/>
            <w:tcBorders>
              <w:top w:val="nil"/>
              <w:left w:val="nil"/>
              <w:bottom w:val="single" w:sz="4" w:space="0" w:color="auto"/>
              <w:right w:val="nil"/>
            </w:tcBorders>
            <w:shd w:val="clear" w:color="000000" w:fill="FFFFFF"/>
            <w:vAlign w:val="center"/>
            <w:hideMark/>
          </w:tcPr>
          <w:p w14:paraId="371E23A8"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1A4AB242" w14:textId="77777777" w:rsidR="00C40B96" w:rsidRPr="006D631C" w:rsidRDefault="00C40B96" w:rsidP="00872378">
            <w:pPr>
              <w:spacing w:line="240" w:lineRule="auto"/>
              <w:jc w:val="left"/>
              <w:rPr>
                <w:color w:val="000000"/>
                <w:sz w:val="12"/>
                <w:szCs w:val="12"/>
              </w:rPr>
            </w:pPr>
            <w:r w:rsidRPr="006D631C">
              <w:rPr>
                <w:color w:val="000000"/>
                <w:sz w:val="12"/>
                <w:szCs w:val="12"/>
              </w:rPr>
              <w:t>I-5</w:t>
            </w:r>
          </w:p>
        </w:tc>
        <w:tc>
          <w:tcPr>
            <w:tcW w:w="1202" w:type="dxa"/>
            <w:tcBorders>
              <w:top w:val="nil"/>
              <w:left w:val="nil"/>
              <w:bottom w:val="single" w:sz="4" w:space="0" w:color="auto"/>
              <w:right w:val="nil"/>
            </w:tcBorders>
            <w:shd w:val="clear" w:color="000000" w:fill="FFFFFF"/>
            <w:vAlign w:val="center"/>
            <w:hideMark/>
          </w:tcPr>
          <w:p w14:paraId="687026E9" w14:textId="276BD61F" w:rsidR="00C40B96" w:rsidRPr="006D631C" w:rsidRDefault="00C40B96" w:rsidP="0072732C">
            <w:pPr>
              <w:spacing w:line="240" w:lineRule="auto"/>
              <w:jc w:val="left"/>
              <w:rPr>
                <w:color w:val="000000"/>
                <w:sz w:val="12"/>
                <w:szCs w:val="12"/>
              </w:rPr>
            </w:pPr>
            <w:r w:rsidRPr="006D631C">
              <w:rPr>
                <w:color w:val="000000"/>
                <w:sz w:val="12"/>
                <w:szCs w:val="12"/>
              </w:rPr>
              <w:t>50 (</w:t>
            </w:r>
            <w:r w:rsidR="0072732C" w:rsidRPr="006D631C">
              <w:rPr>
                <w:color w:val="000000"/>
                <w:sz w:val="12"/>
                <w:szCs w:val="12"/>
              </w:rPr>
              <w:t>I</w:t>
            </w:r>
            <w:r w:rsidR="0072732C" w:rsidRPr="006D631C">
              <w:rPr>
                <w:color w:val="000000"/>
                <w:sz w:val="12"/>
                <w:szCs w:val="12"/>
                <w:vertAlign w:val="subscript"/>
              </w:rPr>
              <w:t>1</w:t>
            </w:r>
            <w:r w:rsidRPr="006D631C">
              <w:rPr>
                <w:color w:val="000000"/>
                <w:sz w:val="12"/>
                <w:szCs w:val="12"/>
              </w:rPr>
              <w:t>)</w:t>
            </w:r>
            <w:r w:rsidRPr="006D631C">
              <w:rPr>
                <w:color w:val="000000"/>
                <w:sz w:val="12"/>
                <w:szCs w:val="12"/>
              </w:rPr>
              <w:br/>
              <w:t>60 - 78 (H</w:t>
            </w:r>
            <w:r w:rsidRPr="006D631C">
              <w:rPr>
                <w:color w:val="000000"/>
                <w:sz w:val="12"/>
                <w:szCs w:val="12"/>
                <w:vertAlign w:val="subscript"/>
              </w:rPr>
              <w:t>1</w:t>
            </w:r>
            <w:r w:rsidRPr="006D631C">
              <w:rPr>
                <w:color w:val="000000"/>
                <w:sz w:val="12"/>
                <w:szCs w:val="12"/>
              </w:rPr>
              <w:t>)</w:t>
            </w:r>
            <w:r w:rsidRPr="006D631C">
              <w:rPr>
                <w:color w:val="000000"/>
                <w:sz w:val="12"/>
                <w:szCs w:val="12"/>
              </w:rPr>
              <w:br/>
              <w:t>&gt; 90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39BBA490" w14:textId="77777777" w:rsidR="00C40B96" w:rsidRPr="006D631C" w:rsidRDefault="00C40B96" w:rsidP="00872378">
            <w:pPr>
              <w:spacing w:line="240" w:lineRule="auto"/>
              <w:jc w:val="left"/>
              <w:rPr>
                <w:color w:val="000000"/>
                <w:sz w:val="12"/>
                <w:szCs w:val="12"/>
              </w:rPr>
            </w:pP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changed to L</w:t>
            </w:r>
            <w:r w:rsidRPr="006D631C">
              <w:rPr>
                <w:color w:val="000000"/>
                <w:sz w:val="12"/>
                <w:szCs w:val="12"/>
                <w:vertAlign w:val="subscript"/>
              </w:rPr>
              <w:t>α</w:t>
            </w:r>
            <w:r w:rsidRPr="006D631C">
              <w:rPr>
                <w:color w:val="000000"/>
                <w:sz w:val="12"/>
                <w:szCs w:val="12"/>
              </w:rPr>
              <w:br/>
              <w:t>L</w:t>
            </w:r>
            <w:r w:rsidRPr="006D631C">
              <w:rPr>
                <w:color w:val="000000"/>
                <w:sz w:val="12"/>
                <w:szCs w:val="12"/>
                <w:vertAlign w:val="subscript"/>
              </w:rPr>
              <w:t>α</w:t>
            </w:r>
            <w:r w:rsidRPr="006D631C">
              <w:rPr>
                <w:color w:val="000000"/>
                <w:sz w:val="12"/>
                <w:szCs w:val="12"/>
              </w:rPr>
              <w:t xml:space="preserve"> is retained</w:t>
            </w:r>
          </w:p>
        </w:tc>
        <w:tc>
          <w:tcPr>
            <w:tcW w:w="1134" w:type="dxa"/>
            <w:tcBorders>
              <w:top w:val="nil"/>
              <w:left w:val="nil"/>
              <w:bottom w:val="single" w:sz="4" w:space="0" w:color="auto"/>
              <w:right w:val="nil"/>
            </w:tcBorders>
            <w:shd w:val="clear" w:color="000000" w:fill="FFFFFF"/>
            <w:noWrap/>
            <w:vAlign w:val="center"/>
            <w:hideMark/>
          </w:tcPr>
          <w:p w14:paraId="6EA4FDF4" w14:textId="77777777" w:rsidR="00C40B96" w:rsidRPr="006D631C" w:rsidRDefault="00C40B96" w:rsidP="00872378">
            <w:pPr>
              <w:spacing w:line="240" w:lineRule="auto"/>
              <w:jc w:val="left"/>
              <w:rPr>
                <w:color w:val="000000"/>
                <w:sz w:val="12"/>
                <w:szCs w:val="12"/>
              </w:rPr>
            </w:pPr>
            <w:r w:rsidRPr="006D631C">
              <w:rPr>
                <w:color w:val="000000"/>
                <w:sz w:val="12"/>
                <w:szCs w:val="12"/>
              </w:rPr>
              <w:t>4.32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4AAF6B15" w14:textId="77777777" w:rsidR="00C40B96" w:rsidRPr="006D631C" w:rsidRDefault="00C40B96" w:rsidP="00872378">
            <w:pPr>
              <w:spacing w:line="240" w:lineRule="auto"/>
              <w:jc w:val="left"/>
              <w:rPr>
                <w:color w:val="000000"/>
                <w:sz w:val="12"/>
                <w:szCs w:val="12"/>
              </w:rPr>
            </w:pPr>
            <w:r w:rsidRPr="006D631C">
              <w:rPr>
                <w:color w:val="000000"/>
                <w:sz w:val="12"/>
                <w:szCs w:val="12"/>
              </w:rPr>
              <w:t>4.18 (H</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5108AB2C" w14:textId="1E686F7B" w:rsidR="00C40B96" w:rsidRPr="006D631C" w:rsidRDefault="00C40B96" w:rsidP="0072732C">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Polymerization rate: </w:t>
            </w:r>
            <w:r w:rsidR="0072732C" w:rsidRPr="006D631C">
              <w:rPr>
                <w:color w:val="000000"/>
                <w:sz w:val="12"/>
                <w:szCs w:val="12"/>
              </w:rPr>
              <w:t>I</w:t>
            </w:r>
            <w:r w:rsidR="0072732C" w:rsidRPr="006D631C">
              <w:rPr>
                <w:color w:val="000000"/>
                <w:sz w:val="12"/>
                <w:szCs w:val="12"/>
                <w:vertAlign w:val="subscript"/>
              </w:rPr>
              <w:t>1</w:t>
            </w:r>
            <w:r w:rsidRPr="006D631C">
              <w:rPr>
                <w:color w:val="000000"/>
                <w:sz w:val="12"/>
                <w:szCs w:val="12"/>
              </w:rPr>
              <w:t xml:space="preserve"> &lt; </w:t>
            </w:r>
            <w:r w:rsidR="0072732C" w:rsidRPr="006D631C">
              <w:rPr>
                <w:color w:val="000000"/>
                <w:sz w:val="12"/>
                <w:szCs w:val="12"/>
              </w:rPr>
              <w:t>mix</w:t>
            </w:r>
            <w:r w:rsidR="000C743E" w:rsidRPr="006D631C">
              <w:rPr>
                <w:color w:val="000000"/>
                <w:sz w:val="12"/>
                <w:szCs w:val="12"/>
              </w:rPr>
              <w:t>ed</w:t>
            </w:r>
            <w:r w:rsidR="0072732C" w:rsidRPr="006D631C">
              <w:rPr>
                <w:color w:val="000000"/>
                <w:sz w:val="12"/>
                <w:szCs w:val="12"/>
              </w:rPr>
              <w:t xml:space="preserve"> phase of I</w:t>
            </w:r>
            <w:r w:rsidR="0072732C" w:rsidRPr="006D631C">
              <w:rPr>
                <w:color w:val="000000"/>
                <w:sz w:val="12"/>
                <w:szCs w:val="12"/>
                <w:vertAlign w:val="subscript"/>
              </w:rPr>
              <w:t>1</w:t>
            </w:r>
            <w:r w:rsidR="0072732C" w:rsidRPr="006D631C">
              <w:rPr>
                <w:color w:val="000000"/>
                <w:sz w:val="12"/>
                <w:szCs w:val="12"/>
              </w:rPr>
              <w:t xml:space="preserve"> and </w:t>
            </w: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&lt; H</w:t>
            </w:r>
            <w:r w:rsidRPr="006D631C">
              <w:rPr>
                <w:color w:val="000000"/>
                <w:sz w:val="12"/>
                <w:szCs w:val="12"/>
                <w:vertAlign w:val="subscript"/>
              </w:rPr>
              <w:t>1</w:t>
            </w:r>
            <w:r w:rsidRPr="006D631C">
              <w:rPr>
                <w:color w:val="000000"/>
                <w:sz w:val="12"/>
                <w:szCs w:val="12"/>
              </w:rPr>
              <w:t xml:space="preserve"> &lt; </w:t>
            </w:r>
            <w:r w:rsidR="003B48EA" w:rsidRPr="006D631C">
              <w:rPr>
                <w:rFonts w:eastAsia="Times New Roman" w:cs="Times New Roman"/>
                <w:color w:val="000000"/>
                <w:sz w:val="12"/>
                <w:szCs w:val="12"/>
              </w:rPr>
              <w:t>L</w:t>
            </w:r>
            <w:r w:rsidR="003B48EA" w:rsidRPr="006D631C">
              <w:rPr>
                <w:rFonts w:eastAsia="Times New Roman" w:cs="Times New Roman"/>
                <w:color w:val="000000"/>
                <w:sz w:val="12"/>
                <w:szCs w:val="12"/>
                <w:vertAlign w:val="subscript"/>
              </w:rPr>
              <w:t>α</w:t>
            </w:r>
          </w:p>
          <w:p w14:paraId="42A678A8" w14:textId="686A4C94"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The polymerization rate of P-A-6 was lower than P-A-5</w:t>
            </w:r>
          </w:p>
        </w:tc>
        <w:tc>
          <w:tcPr>
            <w:tcW w:w="426" w:type="dxa"/>
            <w:tcBorders>
              <w:top w:val="nil"/>
              <w:left w:val="nil"/>
              <w:bottom w:val="single" w:sz="4" w:space="0" w:color="auto"/>
              <w:right w:val="nil"/>
            </w:tcBorders>
            <w:shd w:val="clear" w:color="000000" w:fill="FFFFFF"/>
            <w:vAlign w:val="center"/>
            <w:hideMark/>
          </w:tcPr>
          <w:p w14:paraId="076F94C2"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{"citationItems":[{"id":"ITEM-1","itemData":{"DOI":"10.1016/j.polymer.2008.02.047","ISSN":"00323861","abstract":"Polymerizable lyotropic liquid crystals (LLCs) have the potential advantage of producing materials with anisotropic morphologies and nanometer size dimensions with potential in applications, such as drug delivery, catalysis, and tissue engineering. With the goal of more clearly understanding the factors involved in LLC phase retention after polymerization, this work describes the effect of aliphatic tail length in the amphiphilic molecule on order, polymerization kinetics, and structural evolution of reactive LLC systems. The polymerization kinetics are influenced by the LLC phase morphology with increases in the polymerization rate as the LLC phase increases in order. Enhanced polymerization rates are a result of an apparent increase in the termination and propagation rate parameters, induced by a local increase in monomer concentration due to segregation effects in the LLC phases. Polymerization in hexagonal phases formed from reactive amphiphiles with longer aliphatic tails exhibit lower polymerization rates when compared to systems with shorter aliphatic tails, suggesting that the order of the hexagonal phase decreases as the aliphatic tail increases. Two peaks are observed in the polymerization rate profiles when polymerizing in the hexagonal and cubic phases, with the second peak becoming more pronounced as the aliphatic tail length increases and the order of the LLC phase decreases. This effect appears to be due to changes in morphology during the polymerization process as the hexagonal phase morphology changes significantly during the polymer formation. Different behavior is observed for polymerizations in the lamellar phase for which the LLC phase is retained after polymerization. © 2008 Elsevier Ltd. All rights reserved.","author":[{"dropping-particle":"","family":"Sievens-Figueroa","given":"Lucas","non-dropping-particle":"","parse-names":false,"suffix":""},{"dropping-particle":"","family":"Allan Guymon","given":"C.","non-dropping-particle":"","parse-names":false,"suffix":""}],"container-title":"Polymer","id":"ITEM-1","issue":"9","issued":{"date-parts":[["2008"]]},"page":"2260-2267","title":"Aliphatic chain length effects on photopolymerization kinetics and structural evolution of polymerizable lyotropic liquid crystals","type":"article-journal","volume":"49"},"uris":["http://www.mendeley.com/documents/?uuid=cd771cc5-ac8d-47fc-855f-a5387035dea7"]}],"mendeley":{"formattedCitation":"&lt;sup&gt;98&lt;/sup&gt;","plainTextFormattedCitation":"98","previouslyFormattedCitation":"&lt;sup&gt;98&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98</w:t>
            </w:r>
            <w:r w:rsidRPr="006D631C">
              <w:rPr>
                <w:color w:val="000000"/>
                <w:sz w:val="12"/>
                <w:szCs w:val="12"/>
              </w:rPr>
              <w:fldChar w:fldCharType="end"/>
            </w:r>
          </w:p>
        </w:tc>
      </w:tr>
      <w:tr w:rsidR="00C40B96" w:rsidRPr="006D631C" w14:paraId="72585065" w14:textId="77777777" w:rsidTr="00433C65">
        <w:trPr>
          <w:trHeight w:val="20"/>
        </w:trPr>
        <w:tc>
          <w:tcPr>
            <w:tcW w:w="851" w:type="dxa"/>
            <w:vMerge/>
            <w:tcBorders>
              <w:top w:val="nil"/>
              <w:left w:val="nil"/>
              <w:bottom w:val="single" w:sz="4" w:space="0" w:color="000000"/>
              <w:right w:val="nil"/>
            </w:tcBorders>
            <w:vAlign w:val="center"/>
            <w:hideMark/>
          </w:tcPr>
          <w:p w14:paraId="510215B9" w14:textId="77777777" w:rsidR="00C40B96" w:rsidRPr="006D631C" w:rsidRDefault="00C40B96" w:rsidP="00872378">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58084295" w14:textId="77777777" w:rsidR="00C40B96" w:rsidRPr="006D631C" w:rsidRDefault="00C40B96" w:rsidP="00872378">
            <w:pPr>
              <w:spacing w:line="240" w:lineRule="auto"/>
              <w:jc w:val="left"/>
              <w:rPr>
                <w:color w:val="000000"/>
                <w:sz w:val="12"/>
                <w:szCs w:val="12"/>
              </w:rPr>
            </w:pPr>
            <w:r w:rsidRPr="006D631C">
              <w:rPr>
                <w:color w:val="000000"/>
                <w:sz w:val="12"/>
                <w:szCs w:val="12"/>
              </w:rPr>
              <w:t>C-6</w:t>
            </w:r>
          </w:p>
        </w:tc>
        <w:tc>
          <w:tcPr>
            <w:tcW w:w="782" w:type="dxa"/>
            <w:tcBorders>
              <w:top w:val="nil"/>
              <w:left w:val="nil"/>
              <w:bottom w:val="single" w:sz="4" w:space="0" w:color="auto"/>
              <w:right w:val="nil"/>
            </w:tcBorders>
            <w:shd w:val="clear" w:color="000000" w:fill="FFFFFF"/>
            <w:vAlign w:val="center"/>
            <w:hideMark/>
          </w:tcPr>
          <w:p w14:paraId="4FEF28F1" w14:textId="77777777" w:rsidR="00C40B96" w:rsidRPr="006D631C" w:rsidRDefault="00C40B96" w:rsidP="00872378">
            <w:pPr>
              <w:spacing w:line="240" w:lineRule="auto"/>
              <w:jc w:val="left"/>
              <w:rPr>
                <w:color w:val="000000"/>
                <w:sz w:val="12"/>
                <w:szCs w:val="12"/>
              </w:rPr>
            </w:pPr>
            <w:r w:rsidRPr="006D631C">
              <w:rPr>
                <w:color w:val="000000"/>
                <w:sz w:val="12"/>
                <w:szCs w:val="12"/>
              </w:rPr>
              <w:t>I-5</w:t>
            </w:r>
          </w:p>
        </w:tc>
        <w:tc>
          <w:tcPr>
            <w:tcW w:w="1202" w:type="dxa"/>
            <w:tcBorders>
              <w:top w:val="nil"/>
              <w:left w:val="nil"/>
              <w:bottom w:val="single" w:sz="4" w:space="0" w:color="auto"/>
              <w:right w:val="nil"/>
            </w:tcBorders>
            <w:shd w:val="clear" w:color="000000" w:fill="FFFFFF"/>
            <w:vAlign w:val="center"/>
            <w:hideMark/>
          </w:tcPr>
          <w:p w14:paraId="6CB8672B" w14:textId="7CF140B0" w:rsidR="00C40B96" w:rsidRPr="006D631C" w:rsidRDefault="00C40B96" w:rsidP="00872378">
            <w:pPr>
              <w:spacing w:line="240" w:lineRule="auto"/>
              <w:jc w:val="left"/>
              <w:rPr>
                <w:color w:val="000000"/>
                <w:sz w:val="12"/>
                <w:szCs w:val="12"/>
              </w:rPr>
            </w:pPr>
            <w:r w:rsidRPr="006D631C">
              <w:rPr>
                <w:color w:val="000000"/>
                <w:sz w:val="12"/>
                <w:szCs w:val="12"/>
              </w:rPr>
              <w:t>70</w:t>
            </w:r>
            <w:r w:rsidR="006770F0" w:rsidRPr="006D631C">
              <w:rPr>
                <w:color w:val="000000"/>
                <w:sz w:val="12"/>
                <w:szCs w:val="12"/>
              </w:rPr>
              <w:t xml:space="preserve"> (H</w:t>
            </w:r>
            <w:r w:rsidR="006770F0" w:rsidRPr="006D631C">
              <w:rPr>
                <w:color w:val="000000"/>
                <w:sz w:val="12"/>
                <w:szCs w:val="12"/>
                <w:vertAlign w:val="subscript"/>
              </w:rPr>
              <w:t>1</w:t>
            </w:r>
            <w:r w:rsidR="006770F0"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2CD3A80A" w14:textId="77777777" w:rsidR="00C40B96" w:rsidRPr="006D631C" w:rsidRDefault="00C40B96" w:rsidP="00872378">
            <w:pPr>
              <w:spacing w:line="240" w:lineRule="auto"/>
              <w:jc w:val="left"/>
              <w:rPr>
                <w:color w:val="000000"/>
                <w:sz w:val="12"/>
                <w:szCs w:val="12"/>
              </w:rPr>
            </w:pP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is retained when more than 5.9% C-6 is used</w:t>
            </w:r>
          </w:p>
        </w:tc>
        <w:tc>
          <w:tcPr>
            <w:tcW w:w="1134" w:type="dxa"/>
            <w:tcBorders>
              <w:top w:val="nil"/>
              <w:left w:val="nil"/>
              <w:bottom w:val="single" w:sz="4" w:space="0" w:color="auto"/>
              <w:right w:val="nil"/>
            </w:tcBorders>
            <w:shd w:val="clear" w:color="000000" w:fill="FFFFFF"/>
            <w:vAlign w:val="center"/>
            <w:hideMark/>
          </w:tcPr>
          <w:p w14:paraId="4EE25B54" w14:textId="2AB0AE1A" w:rsidR="00C40B96" w:rsidRPr="006D631C" w:rsidRDefault="00C40B96" w:rsidP="007E06D2">
            <w:pPr>
              <w:spacing w:line="240" w:lineRule="auto"/>
              <w:jc w:val="left"/>
              <w:rPr>
                <w:color w:val="000000"/>
                <w:sz w:val="12"/>
                <w:szCs w:val="12"/>
              </w:rPr>
            </w:pPr>
            <w:r w:rsidRPr="006D631C">
              <w:rPr>
                <w:color w:val="000000"/>
                <w:sz w:val="12"/>
                <w:szCs w:val="12"/>
              </w:rPr>
              <w:t>4.32 - 4.1</w:t>
            </w:r>
            <w:r w:rsidRPr="006D631C">
              <w:rPr>
                <w:color w:val="000000"/>
                <w:sz w:val="12"/>
                <w:szCs w:val="12"/>
              </w:rPr>
              <w:br/>
              <w:t>(</w:t>
            </w:r>
            <w:r w:rsidR="007E06D2" w:rsidRPr="006D631C">
              <w:rPr>
                <w:color w:val="000000"/>
                <w:sz w:val="12"/>
                <w:szCs w:val="12"/>
              </w:rPr>
              <w:t>at</w:t>
            </w:r>
            <w:r w:rsidRPr="006D631C">
              <w:rPr>
                <w:color w:val="000000"/>
                <w:sz w:val="12"/>
                <w:szCs w:val="12"/>
              </w:rPr>
              <w:t xml:space="preserve"> 0 - 8.34% of C-6)</w:t>
            </w:r>
          </w:p>
        </w:tc>
        <w:tc>
          <w:tcPr>
            <w:tcW w:w="1134" w:type="dxa"/>
            <w:tcBorders>
              <w:top w:val="nil"/>
              <w:left w:val="nil"/>
              <w:bottom w:val="single" w:sz="4" w:space="0" w:color="auto"/>
              <w:right w:val="nil"/>
            </w:tcBorders>
            <w:shd w:val="clear" w:color="000000" w:fill="FFFFFF"/>
            <w:noWrap/>
            <w:vAlign w:val="center"/>
            <w:hideMark/>
          </w:tcPr>
          <w:p w14:paraId="5CD67B3B"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tcPr>
          <w:p w14:paraId="0B7A4352" w14:textId="2DD12C6E" w:rsidR="00C40B96" w:rsidRPr="006D631C" w:rsidRDefault="00C40B96" w:rsidP="00884BFB">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Polymerization rate was the highest when H</w:t>
            </w:r>
            <w:r w:rsidRPr="006D631C">
              <w:rPr>
                <w:color w:val="000000"/>
                <w:sz w:val="12"/>
                <w:szCs w:val="12"/>
                <w:vertAlign w:val="subscript"/>
              </w:rPr>
              <w:t>1</w:t>
            </w:r>
            <w:r w:rsidRPr="006D631C">
              <w:rPr>
                <w:color w:val="000000"/>
                <w:sz w:val="12"/>
                <w:szCs w:val="12"/>
              </w:rPr>
              <w:t xml:space="preserve"> </w:t>
            </w:r>
            <w:r w:rsidR="00884BFB" w:rsidRPr="006D631C">
              <w:rPr>
                <w:color w:val="000000"/>
                <w:sz w:val="12"/>
                <w:szCs w:val="12"/>
              </w:rPr>
              <w:t xml:space="preserve">changed </w:t>
            </w:r>
            <w:r w:rsidRPr="006D631C">
              <w:rPr>
                <w:color w:val="000000"/>
                <w:sz w:val="12"/>
                <w:szCs w:val="12"/>
              </w:rPr>
              <w:t xml:space="preserve">to </w:t>
            </w:r>
            <w:r w:rsidR="003B48EA" w:rsidRPr="006D631C">
              <w:rPr>
                <w:rFonts w:eastAsia="Times New Roman" w:cs="Times New Roman"/>
                <w:color w:val="000000"/>
                <w:sz w:val="12"/>
                <w:szCs w:val="12"/>
              </w:rPr>
              <w:t>L</w:t>
            </w:r>
            <w:r w:rsidR="003B48EA" w:rsidRPr="006D631C">
              <w:rPr>
                <w:rFonts w:eastAsia="Times New Roman" w:cs="Times New Roman"/>
                <w:color w:val="000000"/>
                <w:sz w:val="12"/>
                <w:szCs w:val="12"/>
                <w:vertAlign w:val="subscript"/>
              </w:rPr>
              <w:t>α</w:t>
            </w:r>
            <w:r w:rsidR="003B48EA" w:rsidRPr="006D631C">
              <w:rPr>
                <w:color w:val="000000"/>
                <w:sz w:val="12"/>
                <w:szCs w:val="12"/>
              </w:rPr>
              <w:t xml:space="preserve"> </w:t>
            </w:r>
            <w:r w:rsidRPr="006D631C">
              <w:rPr>
                <w:color w:val="000000"/>
                <w:sz w:val="12"/>
                <w:szCs w:val="12"/>
              </w:rPr>
              <w:t>(C-6 content of less than 3.5%)</w:t>
            </w:r>
          </w:p>
          <w:p w14:paraId="4078953A" w14:textId="39BFBB1E"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Higher water uptakes at higher cross-linker contents was in contrary with the behavior of the non-LLC samples</w:t>
            </w:r>
          </w:p>
        </w:tc>
        <w:tc>
          <w:tcPr>
            <w:tcW w:w="426" w:type="dxa"/>
            <w:tcBorders>
              <w:top w:val="nil"/>
              <w:left w:val="nil"/>
              <w:bottom w:val="single" w:sz="4" w:space="0" w:color="auto"/>
              <w:right w:val="nil"/>
            </w:tcBorders>
            <w:shd w:val="clear" w:color="000000" w:fill="FFFFFF"/>
            <w:vAlign w:val="center"/>
            <w:hideMark/>
          </w:tcPr>
          <w:p w14:paraId="6D019FB2"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{"citationItems":[{"id":"ITEM-1","itemData":{"DOI":"10.1021/cm803383d","ISSN":"08974756","abstract":"In applications requiring nanoscale order, control over the structure formation is critical for appropriate function. Reactive surfactants forming reactive lyotropic liquid crystals (LLC) enable the formation of nanotructured polymers that exhibit enhanced physical properties when the original order is retained after polymerization. In this work, the use of a cross-linker to retain the LLC order for a monomethacrylate quaternary ammonium surfactant monomer in water during polymerization was explored. The cross-linker segregates to the polar regions of the surfactant assembly, likely near the quaternary ammonium group of the reactive surfactant. The use of a cross-linker enables the retention of the original LLC order after polymerization for hexagonal LLC phases that are not retained by other means. Increased polymerization rates are observed at low cross-linker concentrations. At higher cross-linker concentrations, the polymerization rates decrease because of a decrease in LLC order. More regular ordered morphologies are observed for systems that retain the hexagonal LLC order during polymerization. The resulting LLC order is also present after drying and swelling the polymer in water, therefore producing a polymer with robust LLC order. Enhancements in water uptake were also observed for polymers that retain the original order through cross-linking compared to systems that exhibit change in order. This behavior is directly related to the retention of the original LLC order. © 2009 American Chemical Society.","author":[{"dropping-particle":"","family":"Sievens-Figueroa","given":"Lucas","non-dropping-particle":"","parse-names":false,"suffix":""},{"dropping-particle":"","family":"Guymon","given":"C. Allan","non-dropping-particle":"","parse-names":false,"suffix":""}],"container-title":"Chemistry of Materials","id":"ITEM-1","issue":"6","issued":{"date-parts":[["2009"]]},"page":"1060-1068","title":"Cross-linking of reactive lyotropic liquid crystals for nanostrueture retention","type":"article-journal","volume":"21"},"uris":["http://www.mendeley.com/documents/?uuid=6aacfd18-62db-4cc9-925f-9fb614d08f5a"]}],"mendeley":{"formattedCitation":"&lt;sup&gt;89&lt;/sup&gt;","plainTextFormattedCitation":"89","previouslyFormattedCitation":"&lt;sup&gt;89&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89</w:t>
            </w:r>
            <w:r w:rsidRPr="006D631C">
              <w:rPr>
                <w:color w:val="000000"/>
                <w:sz w:val="12"/>
                <w:szCs w:val="12"/>
              </w:rPr>
              <w:fldChar w:fldCharType="end"/>
            </w:r>
          </w:p>
        </w:tc>
      </w:tr>
      <w:tr w:rsidR="00C40B96" w:rsidRPr="006D631C" w14:paraId="73E3111A" w14:textId="77777777" w:rsidTr="00433C65">
        <w:trPr>
          <w:trHeight w:val="20"/>
        </w:trPr>
        <w:tc>
          <w:tcPr>
            <w:tcW w:w="851" w:type="dxa"/>
            <w:vMerge/>
            <w:tcBorders>
              <w:top w:val="nil"/>
              <w:left w:val="nil"/>
              <w:bottom w:val="single" w:sz="4" w:space="0" w:color="000000"/>
              <w:right w:val="nil"/>
            </w:tcBorders>
            <w:vAlign w:val="center"/>
            <w:hideMark/>
          </w:tcPr>
          <w:p w14:paraId="41111FB6" w14:textId="77777777" w:rsidR="00C40B96" w:rsidRPr="006D631C" w:rsidRDefault="00C40B96" w:rsidP="00872378">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48FA6E0C" w14:textId="77777777" w:rsidR="00C40B96" w:rsidRPr="006D631C" w:rsidRDefault="00C40B96" w:rsidP="00872378">
            <w:pPr>
              <w:spacing w:line="240" w:lineRule="auto"/>
              <w:jc w:val="left"/>
              <w:rPr>
                <w:color w:val="000000"/>
                <w:sz w:val="12"/>
                <w:szCs w:val="12"/>
              </w:rPr>
            </w:pPr>
            <w:r w:rsidRPr="006D631C">
              <w:rPr>
                <w:color w:val="000000"/>
                <w:sz w:val="12"/>
                <w:szCs w:val="12"/>
              </w:rPr>
              <w:t>C-8 / C-9-b</w:t>
            </w:r>
          </w:p>
        </w:tc>
        <w:tc>
          <w:tcPr>
            <w:tcW w:w="782" w:type="dxa"/>
            <w:tcBorders>
              <w:top w:val="nil"/>
              <w:left w:val="nil"/>
              <w:bottom w:val="single" w:sz="4" w:space="0" w:color="auto"/>
              <w:right w:val="nil"/>
            </w:tcBorders>
            <w:shd w:val="clear" w:color="000000" w:fill="FFFFFF"/>
            <w:vAlign w:val="center"/>
            <w:hideMark/>
          </w:tcPr>
          <w:p w14:paraId="4A5C8F89" w14:textId="77777777" w:rsidR="00C40B96" w:rsidRPr="006D631C" w:rsidRDefault="00C40B96" w:rsidP="00872378">
            <w:pPr>
              <w:spacing w:line="240" w:lineRule="auto"/>
              <w:jc w:val="left"/>
              <w:rPr>
                <w:color w:val="000000"/>
                <w:sz w:val="12"/>
                <w:szCs w:val="12"/>
              </w:rPr>
            </w:pPr>
            <w:r w:rsidRPr="006D631C">
              <w:rPr>
                <w:color w:val="000000"/>
                <w:sz w:val="12"/>
                <w:szCs w:val="12"/>
              </w:rPr>
              <w:t>I-3</w:t>
            </w:r>
          </w:p>
        </w:tc>
        <w:tc>
          <w:tcPr>
            <w:tcW w:w="1202" w:type="dxa"/>
            <w:tcBorders>
              <w:top w:val="nil"/>
              <w:left w:val="nil"/>
              <w:bottom w:val="single" w:sz="4" w:space="0" w:color="auto"/>
              <w:right w:val="nil"/>
            </w:tcBorders>
            <w:shd w:val="clear" w:color="000000" w:fill="FFFFFF"/>
            <w:vAlign w:val="center"/>
            <w:hideMark/>
          </w:tcPr>
          <w:p w14:paraId="546DF065" w14:textId="4FE346FA" w:rsidR="00C40B96" w:rsidRPr="006D631C" w:rsidRDefault="00C40B96" w:rsidP="00872378">
            <w:pPr>
              <w:spacing w:line="240" w:lineRule="auto"/>
              <w:jc w:val="left"/>
              <w:rPr>
                <w:color w:val="000000"/>
                <w:sz w:val="12"/>
                <w:szCs w:val="12"/>
              </w:rPr>
            </w:pPr>
            <w:r w:rsidRPr="006D631C">
              <w:rPr>
                <w:color w:val="000000"/>
                <w:sz w:val="12"/>
                <w:szCs w:val="12"/>
              </w:rPr>
              <w:t>55-80</w:t>
            </w:r>
            <w:r w:rsidR="006770F0" w:rsidRPr="006D631C">
              <w:rPr>
                <w:color w:val="000000"/>
                <w:sz w:val="12"/>
                <w:szCs w:val="12"/>
              </w:rPr>
              <w:t xml:space="preserve"> (H</w:t>
            </w:r>
            <w:r w:rsidR="006770F0" w:rsidRPr="006D631C">
              <w:rPr>
                <w:color w:val="000000"/>
                <w:sz w:val="12"/>
                <w:szCs w:val="12"/>
                <w:vertAlign w:val="subscript"/>
              </w:rPr>
              <w:t>1</w:t>
            </w:r>
            <w:r w:rsidR="006770F0"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207A2BFA" w14:textId="77777777" w:rsidR="00C40B96" w:rsidRPr="006D631C" w:rsidRDefault="00C40B96" w:rsidP="00872378">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hideMark/>
          </w:tcPr>
          <w:p w14:paraId="09F5D909" w14:textId="77777777" w:rsidR="00C40B96" w:rsidRPr="006D631C" w:rsidRDefault="00C40B96" w:rsidP="00872378">
            <w:pPr>
              <w:spacing w:line="240" w:lineRule="auto"/>
              <w:jc w:val="left"/>
              <w:rPr>
                <w:color w:val="000000"/>
                <w:sz w:val="12"/>
                <w:szCs w:val="12"/>
              </w:rPr>
            </w:pPr>
            <w:r w:rsidRPr="006D631C">
              <w:rPr>
                <w:color w:val="000000"/>
                <w:sz w:val="12"/>
                <w:szCs w:val="12"/>
              </w:rPr>
              <w:t>4.16</w:t>
            </w:r>
          </w:p>
        </w:tc>
        <w:tc>
          <w:tcPr>
            <w:tcW w:w="1134" w:type="dxa"/>
            <w:tcBorders>
              <w:top w:val="nil"/>
              <w:left w:val="nil"/>
              <w:bottom w:val="single" w:sz="4" w:space="0" w:color="auto"/>
              <w:right w:val="nil"/>
            </w:tcBorders>
            <w:shd w:val="clear" w:color="000000" w:fill="FFFFFF"/>
            <w:noWrap/>
            <w:vAlign w:val="center"/>
            <w:hideMark/>
          </w:tcPr>
          <w:p w14:paraId="3793DF20" w14:textId="77777777" w:rsidR="00C40B96" w:rsidRPr="006D631C" w:rsidRDefault="00C40B96" w:rsidP="00872378">
            <w:pPr>
              <w:spacing w:line="240" w:lineRule="auto"/>
              <w:jc w:val="left"/>
              <w:rPr>
                <w:color w:val="000000"/>
                <w:sz w:val="12"/>
                <w:szCs w:val="12"/>
              </w:rPr>
            </w:pPr>
            <w:r w:rsidRPr="006D631C">
              <w:rPr>
                <w:color w:val="000000"/>
                <w:sz w:val="12"/>
                <w:szCs w:val="12"/>
              </w:rPr>
              <w:t>4.16</w:t>
            </w:r>
          </w:p>
        </w:tc>
        <w:tc>
          <w:tcPr>
            <w:tcW w:w="5244" w:type="dxa"/>
            <w:tcBorders>
              <w:top w:val="nil"/>
              <w:left w:val="nil"/>
              <w:bottom w:val="single" w:sz="4" w:space="0" w:color="auto"/>
              <w:right w:val="nil"/>
            </w:tcBorders>
            <w:shd w:val="clear" w:color="000000" w:fill="FFFFFF"/>
            <w:vAlign w:val="center"/>
          </w:tcPr>
          <w:p w14:paraId="46135FE1" w14:textId="2537F98D" w:rsidR="00C40B96" w:rsidRPr="006D631C" w:rsidRDefault="0029094E" w:rsidP="00295456">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Membrane with a t</w:t>
            </w:r>
            <w:r w:rsidR="00C40B96" w:rsidRPr="006D631C">
              <w:rPr>
                <w:color w:val="000000"/>
                <w:sz w:val="12"/>
                <w:szCs w:val="12"/>
              </w:rPr>
              <w:t>hickness-normalized permeability of ~10 liters m</w:t>
            </w:r>
            <w:r w:rsidR="00C40B96" w:rsidRPr="006D631C">
              <w:rPr>
                <w:color w:val="000000"/>
                <w:sz w:val="12"/>
                <w:szCs w:val="12"/>
                <w:vertAlign w:val="superscript"/>
              </w:rPr>
              <w:t>−2</w:t>
            </w:r>
            <w:r w:rsidR="00C40B96" w:rsidRPr="006D631C">
              <w:rPr>
                <w:color w:val="000000"/>
                <w:sz w:val="12"/>
                <w:szCs w:val="12"/>
              </w:rPr>
              <w:t xml:space="preserve"> hour</w:t>
            </w:r>
            <w:r w:rsidR="00C40B96" w:rsidRPr="006D631C">
              <w:rPr>
                <w:color w:val="000000"/>
                <w:sz w:val="12"/>
                <w:szCs w:val="12"/>
                <w:vertAlign w:val="superscript"/>
              </w:rPr>
              <w:t>−1</w:t>
            </w:r>
            <w:r w:rsidR="00C40B96" w:rsidRPr="006D631C">
              <w:rPr>
                <w:color w:val="000000"/>
                <w:sz w:val="12"/>
                <w:szCs w:val="12"/>
              </w:rPr>
              <w:t xml:space="preserve"> bar</w:t>
            </w:r>
            <w:r w:rsidR="00C40B96" w:rsidRPr="006D631C">
              <w:rPr>
                <w:color w:val="000000"/>
                <w:sz w:val="12"/>
                <w:szCs w:val="12"/>
                <w:vertAlign w:val="superscript"/>
              </w:rPr>
              <w:t>−1</w:t>
            </w:r>
            <w:r w:rsidR="00C40B96" w:rsidRPr="006D631C">
              <w:rPr>
                <w:color w:val="000000"/>
                <w:sz w:val="12"/>
                <w:szCs w:val="12"/>
              </w:rPr>
              <w:t xml:space="preserve"> </w:t>
            </w:r>
            <w:proofErr w:type="spellStart"/>
            <w:r w:rsidR="00C40B96" w:rsidRPr="006D631C">
              <w:rPr>
                <w:color w:val="000000"/>
                <w:sz w:val="12"/>
                <w:szCs w:val="12"/>
              </w:rPr>
              <w:t>μm</w:t>
            </w:r>
            <w:r w:rsidR="009474E8" w:rsidRPr="006D631C">
              <w:rPr>
                <w:color w:val="000000"/>
                <w:sz w:val="12"/>
                <w:szCs w:val="12"/>
              </w:rPr>
              <w:t>,and</w:t>
            </w:r>
            <w:proofErr w:type="spellEnd"/>
            <w:r w:rsidR="009474E8" w:rsidRPr="006D631C">
              <w:rPr>
                <w:color w:val="000000"/>
                <w:sz w:val="12"/>
                <w:szCs w:val="12"/>
              </w:rPr>
              <w:t xml:space="preserve"> molecular weight cut off of ~350 Da</w:t>
            </w:r>
            <w:r w:rsidRPr="006D631C">
              <w:rPr>
                <w:color w:val="000000"/>
                <w:sz w:val="12"/>
                <w:szCs w:val="12"/>
              </w:rPr>
              <w:t xml:space="preserve"> was obtained</w:t>
            </w:r>
          </w:p>
          <w:p w14:paraId="056BE53D" w14:textId="6D436FDF" w:rsidR="00C40B96" w:rsidRPr="006D631C" w:rsidRDefault="00C40B96" w:rsidP="00295456">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Antifouling </w:t>
            </w:r>
            <w:r w:rsidR="00295456" w:rsidRPr="006D631C">
              <w:rPr>
                <w:color w:val="000000"/>
                <w:sz w:val="12"/>
                <w:szCs w:val="12"/>
              </w:rPr>
              <w:t xml:space="preserve">and </w:t>
            </w:r>
            <w:r w:rsidRPr="006D631C">
              <w:rPr>
                <w:color w:val="000000"/>
                <w:sz w:val="12"/>
                <w:szCs w:val="12"/>
              </w:rPr>
              <w:t>antimicrobial properties due to the presence of quaternary ammonium groups</w:t>
            </w:r>
          </w:p>
        </w:tc>
        <w:tc>
          <w:tcPr>
            <w:tcW w:w="426" w:type="dxa"/>
            <w:tcBorders>
              <w:top w:val="nil"/>
              <w:left w:val="nil"/>
              <w:bottom w:val="single" w:sz="4" w:space="0" w:color="auto"/>
              <w:right w:val="nil"/>
            </w:tcBorders>
            <w:shd w:val="clear" w:color="000000" w:fill="FFFFFF"/>
            <w:vAlign w:val="center"/>
            <w:hideMark/>
          </w:tcPr>
          <w:p w14:paraId="174602B8" w14:textId="0327B5E3" w:rsidR="00C40B96" w:rsidRPr="006D631C" w:rsidRDefault="00C40B96" w:rsidP="00CC4E72">
            <w:pPr>
              <w:spacing w:line="240" w:lineRule="auto"/>
              <w:jc w:val="left"/>
              <w:rPr>
                <w:color w:val="000000"/>
                <w:sz w:val="12"/>
                <w:szCs w:val="12"/>
              </w:rPr>
            </w:pPr>
            <w:r w:rsidRPr="006D631C">
              <w:rPr>
                <w:color w:val="000000"/>
                <w:sz w:val="12"/>
                <w:szCs w:val="12"/>
              </w:rPr>
              <w:fldChar w:fldCharType="begin" w:fldLock="1"/>
            </w:r>
            <w:r w:rsidR="009474E8" w:rsidRPr="006D631C">
              <w:rPr>
                <w:color w:val="000000"/>
                <w:sz w:val="12"/>
                <w:szCs w:val="12"/>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color w:val="000000"/>
                <w:sz w:val="12"/>
                <w:szCs w:val="12"/>
              </w:rPr>
              <w:fldChar w:fldCharType="separate"/>
            </w:r>
            <w:r w:rsidR="00CC4E72" w:rsidRPr="006D631C">
              <w:rPr>
                <w:noProof/>
                <w:color w:val="000000"/>
                <w:sz w:val="12"/>
                <w:szCs w:val="12"/>
              </w:rPr>
              <w:t>31</w:t>
            </w:r>
            <w:r w:rsidRPr="006D631C">
              <w:rPr>
                <w:color w:val="000000"/>
                <w:sz w:val="12"/>
                <w:szCs w:val="12"/>
              </w:rPr>
              <w:fldChar w:fldCharType="end"/>
            </w:r>
          </w:p>
        </w:tc>
      </w:tr>
      <w:tr w:rsidR="00C40B96" w:rsidRPr="006D631C" w14:paraId="03F9BB61" w14:textId="77777777" w:rsidTr="00433C65">
        <w:trPr>
          <w:trHeight w:val="20"/>
        </w:trPr>
        <w:tc>
          <w:tcPr>
            <w:tcW w:w="851" w:type="dxa"/>
            <w:tcBorders>
              <w:top w:val="nil"/>
              <w:left w:val="nil"/>
              <w:bottom w:val="single" w:sz="4" w:space="0" w:color="auto"/>
              <w:right w:val="nil"/>
            </w:tcBorders>
            <w:shd w:val="clear" w:color="000000" w:fill="FFFFFF"/>
            <w:noWrap/>
            <w:vAlign w:val="center"/>
            <w:hideMark/>
          </w:tcPr>
          <w:p w14:paraId="6913FE7D" w14:textId="77777777" w:rsidR="00C40B96" w:rsidRPr="006D631C" w:rsidRDefault="00C40B96" w:rsidP="00872378">
            <w:pPr>
              <w:spacing w:line="240" w:lineRule="auto"/>
              <w:jc w:val="left"/>
              <w:rPr>
                <w:color w:val="000000"/>
                <w:sz w:val="12"/>
                <w:szCs w:val="12"/>
              </w:rPr>
            </w:pPr>
            <w:r w:rsidRPr="006D631C">
              <w:rPr>
                <w:color w:val="000000"/>
                <w:sz w:val="12"/>
                <w:szCs w:val="12"/>
              </w:rPr>
              <w:t>P-A-7</w:t>
            </w:r>
          </w:p>
        </w:tc>
        <w:tc>
          <w:tcPr>
            <w:tcW w:w="709" w:type="dxa"/>
            <w:tcBorders>
              <w:top w:val="nil"/>
              <w:left w:val="nil"/>
              <w:bottom w:val="single" w:sz="4" w:space="0" w:color="auto"/>
              <w:right w:val="nil"/>
            </w:tcBorders>
            <w:shd w:val="clear" w:color="000000" w:fill="FFFFFF"/>
            <w:vAlign w:val="center"/>
            <w:hideMark/>
          </w:tcPr>
          <w:p w14:paraId="3F16FEEA"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703E3A5C" w14:textId="77777777" w:rsidR="00C40B96" w:rsidRPr="006D631C" w:rsidRDefault="00C40B96" w:rsidP="00872378">
            <w:pPr>
              <w:spacing w:line="240" w:lineRule="auto"/>
              <w:jc w:val="left"/>
              <w:rPr>
                <w:color w:val="000000"/>
                <w:sz w:val="12"/>
                <w:szCs w:val="12"/>
              </w:rPr>
            </w:pPr>
            <w:r w:rsidRPr="006D631C">
              <w:rPr>
                <w:color w:val="000000"/>
                <w:sz w:val="12"/>
                <w:szCs w:val="12"/>
              </w:rPr>
              <w:t>I-5</w:t>
            </w:r>
          </w:p>
        </w:tc>
        <w:tc>
          <w:tcPr>
            <w:tcW w:w="1202" w:type="dxa"/>
            <w:tcBorders>
              <w:top w:val="nil"/>
              <w:left w:val="nil"/>
              <w:bottom w:val="single" w:sz="4" w:space="0" w:color="auto"/>
              <w:right w:val="nil"/>
            </w:tcBorders>
            <w:shd w:val="clear" w:color="000000" w:fill="FFFFFF"/>
            <w:vAlign w:val="center"/>
            <w:hideMark/>
          </w:tcPr>
          <w:p w14:paraId="448EA471" w14:textId="4C3B3FE1" w:rsidR="00C40B96" w:rsidRPr="006D631C" w:rsidRDefault="00C40B96" w:rsidP="00765BF5">
            <w:pPr>
              <w:spacing w:line="240" w:lineRule="auto"/>
              <w:jc w:val="left"/>
              <w:rPr>
                <w:color w:val="000000"/>
                <w:sz w:val="12"/>
                <w:szCs w:val="12"/>
              </w:rPr>
            </w:pPr>
            <w:r w:rsidRPr="006D631C">
              <w:rPr>
                <w:color w:val="000000"/>
                <w:sz w:val="12"/>
                <w:szCs w:val="12"/>
              </w:rPr>
              <w:t>50 (</w:t>
            </w:r>
            <w:r w:rsidR="00765BF5" w:rsidRPr="006D631C">
              <w:rPr>
                <w:color w:val="000000"/>
                <w:sz w:val="12"/>
                <w:szCs w:val="12"/>
              </w:rPr>
              <w:t>I</w:t>
            </w:r>
            <w:r w:rsidR="00765BF5" w:rsidRPr="006D631C">
              <w:rPr>
                <w:color w:val="000000"/>
                <w:sz w:val="12"/>
                <w:szCs w:val="12"/>
                <w:vertAlign w:val="subscript"/>
              </w:rPr>
              <w:t>1</w:t>
            </w:r>
            <w:r w:rsidRPr="006D631C">
              <w:rPr>
                <w:color w:val="000000"/>
                <w:sz w:val="12"/>
                <w:szCs w:val="12"/>
              </w:rPr>
              <w:t>)</w:t>
            </w:r>
            <w:r w:rsidRPr="006D631C">
              <w:rPr>
                <w:color w:val="000000"/>
                <w:sz w:val="12"/>
                <w:szCs w:val="12"/>
              </w:rPr>
              <w:br/>
              <w:t>60 - 78 (H</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noWrap/>
            <w:vAlign w:val="center"/>
            <w:hideMark/>
          </w:tcPr>
          <w:p w14:paraId="6072C09C" w14:textId="77777777" w:rsidR="00C40B96" w:rsidRPr="006D631C" w:rsidRDefault="00C40B96" w:rsidP="00872378">
            <w:pPr>
              <w:spacing w:line="240" w:lineRule="auto"/>
              <w:jc w:val="left"/>
              <w:rPr>
                <w:color w:val="000000"/>
                <w:sz w:val="12"/>
                <w:szCs w:val="12"/>
              </w:rPr>
            </w:pP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changes to L</w:t>
            </w:r>
            <w:r w:rsidRPr="006D631C">
              <w:rPr>
                <w:color w:val="000000"/>
                <w:sz w:val="12"/>
                <w:szCs w:val="12"/>
                <w:vertAlign w:val="subscript"/>
              </w:rPr>
              <w:t>α</w:t>
            </w:r>
          </w:p>
        </w:tc>
        <w:tc>
          <w:tcPr>
            <w:tcW w:w="1134" w:type="dxa"/>
            <w:tcBorders>
              <w:top w:val="nil"/>
              <w:left w:val="nil"/>
              <w:bottom w:val="single" w:sz="4" w:space="0" w:color="auto"/>
              <w:right w:val="nil"/>
            </w:tcBorders>
            <w:shd w:val="clear" w:color="000000" w:fill="FFFFFF"/>
            <w:noWrap/>
            <w:vAlign w:val="center"/>
            <w:hideMark/>
          </w:tcPr>
          <w:p w14:paraId="2D540B39" w14:textId="77777777" w:rsidR="00C40B96" w:rsidRPr="006D631C" w:rsidRDefault="00C40B96" w:rsidP="00872378">
            <w:pPr>
              <w:spacing w:line="240" w:lineRule="auto"/>
              <w:jc w:val="left"/>
              <w:rPr>
                <w:color w:val="000000"/>
                <w:sz w:val="12"/>
                <w:szCs w:val="12"/>
              </w:rPr>
            </w:pPr>
            <w:r w:rsidRPr="006D631C">
              <w:rPr>
                <w:color w:val="000000"/>
                <w:sz w:val="12"/>
                <w:szCs w:val="12"/>
              </w:rPr>
              <w:t>4.8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0C3F486D" w14:textId="77777777" w:rsidR="00C40B96" w:rsidRPr="006D631C" w:rsidRDefault="00C40B96" w:rsidP="00872378">
            <w:pPr>
              <w:spacing w:line="240" w:lineRule="auto"/>
              <w:jc w:val="left"/>
              <w:rPr>
                <w:color w:val="000000"/>
                <w:sz w:val="12"/>
                <w:szCs w:val="12"/>
              </w:rPr>
            </w:pPr>
            <w:r w:rsidRPr="006D631C">
              <w:rPr>
                <w:color w:val="000000"/>
                <w:sz w:val="12"/>
                <w:szCs w:val="12"/>
              </w:rPr>
              <w:t>4.64 (H</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0BAA2403" w14:textId="3460F9B7" w:rsidR="00C40B96" w:rsidRPr="006D631C" w:rsidRDefault="00C40B96" w:rsidP="00765BF5">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Polymerization rate: </w:t>
            </w:r>
            <w:r w:rsidR="00765BF5" w:rsidRPr="006D631C">
              <w:rPr>
                <w:color w:val="000000"/>
                <w:sz w:val="12"/>
                <w:szCs w:val="12"/>
              </w:rPr>
              <w:t>I</w:t>
            </w:r>
            <w:r w:rsidR="00765BF5" w:rsidRPr="006D631C">
              <w:rPr>
                <w:color w:val="000000"/>
                <w:sz w:val="12"/>
                <w:szCs w:val="12"/>
                <w:vertAlign w:val="subscript"/>
              </w:rPr>
              <w:t>1</w:t>
            </w:r>
            <w:r w:rsidRPr="006D631C">
              <w:rPr>
                <w:color w:val="000000"/>
                <w:sz w:val="12"/>
                <w:szCs w:val="12"/>
              </w:rPr>
              <w:t xml:space="preserve"> &lt; </w:t>
            </w:r>
            <w:r w:rsidR="00765BF5" w:rsidRPr="006D631C">
              <w:rPr>
                <w:color w:val="000000"/>
                <w:sz w:val="12"/>
                <w:szCs w:val="12"/>
              </w:rPr>
              <w:t>mixed phase of I</w:t>
            </w:r>
            <w:r w:rsidR="00765BF5" w:rsidRPr="006D631C">
              <w:rPr>
                <w:color w:val="000000"/>
                <w:sz w:val="12"/>
                <w:szCs w:val="12"/>
                <w:vertAlign w:val="subscript"/>
              </w:rPr>
              <w:t>1</w:t>
            </w:r>
            <w:r w:rsidR="00765BF5" w:rsidRPr="006D631C">
              <w:rPr>
                <w:color w:val="000000"/>
                <w:sz w:val="12"/>
                <w:szCs w:val="12"/>
              </w:rPr>
              <w:t xml:space="preserve"> and </w:t>
            </w: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&lt; H</w:t>
            </w:r>
            <w:r w:rsidRPr="006D631C">
              <w:rPr>
                <w:color w:val="000000"/>
                <w:sz w:val="12"/>
                <w:szCs w:val="12"/>
                <w:vertAlign w:val="subscript"/>
              </w:rPr>
              <w:t>1</w:t>
            </w:r>
          </w:p>
        </w:tc>
        <w:tc>
          <w:tcPr>
            <w:tcW w:w="426" w:type="dxa"/>
            <w:tcBorders>
              <w:top w:val="nil"/>
              <w:left w:val="nil"/>
              <w:bottom w:val="single" w:sz="4" w:space="0" w:color="auto"/>
              <w:right w:val="nil"/>
            </w:tcBorders>
            <w:shd w:val="clear" w:color="000000" w:fill="FFFFFF"/>
            <w:vAlign w:val="center"/>
            <w:hideMark/>
          </w:tcPr>
          <w:p w14:paraId="19343C4B" w14:textId="77777777" w:rsidR="00C40B96" w:rsidRPr="006D631C" w:rsidRDefault="00C40B96" w:rsidP="0087237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{"citationItems":[{"id":"ITEM-1","itemData":{"DOI":"10.1016/j.polymer.2008.02.047","ISSN":"00323861","abstract":"Polymerizable lyotropic liquid crystals (LLCs) have the potential advantage of producing materials with anisotropic morphologies and nanometer size dimensions with potential in applications, such as drug delivery, catalysis, and tissue engineering. With the goal of more clearly understanding the factors involved in LLC phase retention after polymerization, this work describes the effect of aliphatic tail length in the amphiphilic molecule on order, polymerization kinetics, and structural evolution of reactive LLC systems. The polymerization kinetics are influenced by the LLC phase morphology with increases in the polymerization rate as the LLC phase increases in order. Enhanced polymerization rates are a result of an apparent increase in the termination and propagation rate parameters, induced by a local increase in monomer concentration due to segregation effects in the LLC phases. Polymerization in hexagonal phases formed from reactive amphiphiles with longer aliphatic tails exhibit lower polymerization rates when compared to systems with shorter aliphatic tails, suggesting that the order of the hexagonal phase decreases as the aliphatic tail increases. Two peaks are observed in the polymerization rate profiles when polymerizing in the hexagonal and cubic phases, with the second peak becoming more pronounced as the aliphatic tail length increases and the order of the LLC phase decreases. This effect appears to be due to changes in morphology during the polymerization process as the hexagonal phase morphology changes significantly during the polymer formation. Different behavior is observed for polymerizations in the lamellar phase for which the LLC phase is retained after polymerization. © 2008 Elsevier Ltd. All rights reserved.","author":[{"dropping-particle":"","family":"Sievens-Figueroa","given":"Lucas","non-dropping-particle":"","parse-names":false,"suffix":""},{"dropping-particle":"","family":"Allan Guymon","given":"C.","non-dropping-particle":"","parse-names":false,"suffix":""}],"container-title":"Polymer","id":"ITEM-1","issue":"9","issued":{"date-parts":[["2008"]]},"page":"2260-2267","title":"Aliphatic chain length effects on photopolymerization kinetics and structural evolution of polymerizable lyotropic liquid crystals","type":"article-journal","volume":"49"},"uris":["http://www.mendeley.com/documents/?uuid=cd771cc5-ac8d-47fc-855f-a5387035dea7"]}],"mendeley":{"formattedCitation":"&lt;sup&gt;98&lt;/sup&gt;","plainTextFormattedCitation":"98","previouslyFormattedCitation":"&lt;sup&gt;98&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98</w:t>
            </w:r>
            <w:r w:rsidRPr="006D631C">
              <w:rPr>
                <w:color w:val="000000"/>
                <w:sz w:val="12"/>
                <w:szCs w:val="12"/>
              </w:rPr>
              <w:fldChar w:fldCharType="end"/>
            </w:r>
          </w:p>
        </w:tc>
      </w:tr>
      <w:tr w:rsidR="00C40B96" w:rsidRPr="006D631C" w14:paraId="14DE5EA0" w14:textId="77777777" w:rsidTr="00433C65">
        <w:trPr>
          <w:trHeight w:val="20"/>
        </w:trPr>
        <w:tc>
          <w:tcPr>
            <w:tcW w:w="851" w:type="dxa"/>
            <w:tcBorders>
              <w:top w:val="nil"/>
              <w:left w:val="nil"/>
              <w:bottom w:val="single" w:sz="4" w:space="0" w:color="auto"/>
              <w:right w:val="nil"/>
            </w:tcBorders>
            <w:shd w:val="clear" w:color="000000" w:fill="FFFFFF"/>
            <w:noWrap/>
            <w:vAlign w:val="center"/>
          </w:tcPr>
          <w:p w14:paraId="49AC269D" w14:textId="5F1626F8" w:rsidR="00C40B96" w:rsidRPr="006D631C" w:rsidRDefault="00C40B96" w:rsidP="00872378">
            <w:pPr>
              <w:spacing w:line="240" w:lineRule="auto"/>
              <w:jc w:val="left"/>
              <w:rPr>
                <w:color w:val="000000"/>
                <w:sz w:val="12"/>
                <w:szCs w:val="12"/>
              </w:rPr>
            </w:pPr>
            <w:r w:rsidRPr="006D631C">
              <w:rPr>
                <w:color w:val="000000"/>
                <w:sz w:val="12"/>
                <w:szCs w:val="12"/>
              </w:rPr>
              <w:t>P-A-8</w:t>
            </w:r>
          </w:p>
        </w:tc>
        <w:tc>
          <w:tcPr>
            <w:tcW w:w="709" w:type="dxa"/>
            <w:tcBorders>
              <w:top w:val="nil"/>
              <w:left w:val="nil"/>
              <w:bottom w:val="single" w:sz="4" w:space="0" w:color="auto"/>
              <w:right w:val="nil"/>
            </w:tcBorders>
            <w:shd w:val="clear" w:color="000000" w:fill="FFFFFF"/>
            <w:vAlign w:val="center"/>
          </w:tcPr>
          <w:p w14:paraId="6C5238B0" w14:textId="6B87BFF2" w:rsidR="00C40B96" w:rsidRPr="006D631C" w:rsidRDefault="00C40B96" w:rsidP="00872378">
            <w:pPr>
              <w:spacing w:line="240" w:lineRule="auto"/>
              <w:jc w:val="left"/>
              <w:rPr>
                <w:color w:val="000000"/>
                <w:sz w:val="12"/>
                <w:szCs w:val="12"/>
              </w:rPr>
            </w:pPr>
            <w:r w:rsidRPr="006D631C">
              <w:rPr>
                <w:color w:val="000000"/>
                <w:sz w:val="12"/>
                <w:szCs w:val="12"/>
              </w:rPr>
              <w:t>C-18</w:t>
            </w:r>
          </w:p>
        </w:tc>
        <w:tc>
          <w:tcPr>
            <w:tcW w:w="782" w:type="dxa"/>
            <w:tcBorders>
              <w:top w:val="nil"/>
              <w:left w:val="nil"/>
              <w:bottom w:val="single" w:sz="4" w:space="0" w:color="auto"/>
              <w:right w:val="nil"/>
            </w:tcBorders>
            <w:shd w:val="clear" w:color="000000" w:fill="FFFFFF"/>
            <w:vAlign w:val="center"/>
          </w:tcPr>
          <w:p w14:paraId="2955A81B" w14:textId="64E3B720" w:rsidR="00C40B96" w:rsidRPr="006D631C" w:rsidRDefault="00C40B96" w:rsidP="00872378">
            <w:pPr>
              <w:spacing w:line="240" w:lineRule="auto"/>
              <w:jc w:val="left"/>
              <w:rPr>
                <w:color w:val="000000"/>
                <w:sz w:val="12"/>
                <w:szCs w:val="12"/>
              </w:rPr>
            </w:pPr>
            <w:r w:rsidRPr="006D631C">
              <w:rPr>
                <w:color w:val="000000"/>
                <w:sz w:val="12"/>
                <w:szCs w:val="12"/>
              </w:rPr>
              <w:t>I-3</w:t>
            </w:r>
          </w:p>
        </w:tc>
        <w:tc>
          <w:tcPr>
            <w:tcW w:w="1202" w:type="dxa"/>
            <w:tcBorders>
              <w:top w:val="nil"/>
              <w:left w:val="nil"/>
              <w:bottom w:val="single" w:sz="4" w:space="0" w:color="auto"/>
              <w:right w:val="nil"/>
            </w:tcBorders>
            <w:shd w:val="clear" w:color="000000" w:fill="FFFFFF"/>
            <w:vAlign w:val="center"/>
          </w:tcPr>
          <w:p w14:paraId="561EEA80" w14:textId="77D3D001" w:rsidR="00C40B96" w:rsidRPr="006D631C" w:rsidRDefault="00C40B96" w:rsidP="00872378">
            <w:pPr>
              <w:spacing w:line="240" w:lineRule="auto"/>
              <w:jc w:val="left"/>
              <w:rPr>
                <w:color w:val="000000"/>
                <w:sz w:val="12"/>
                <w:szCs w:val="12"/>
              </w:rPr>
            </w:pPr>
            <w:r w:rsidRPr="006D631C">
              <w:rPr>
                <w:color w:val="000000"/>
                <w:sz w:val="12"/>
                <w:szCs w:val="12"/>
              </w:rPr>
              <w:t>65 (H</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noWrap/>
            <w:vAlign w:val="center"/>
          </w:tcPr>
          <w:p w14:paraId="3EDD52CD" w14:textId="3B4BF9F3" w:rsidR="00C40B96" w:rsidRPr="006D631C" w:rsidRDefault="00B737B7" w:rsidP="00872378">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4BBE6767" w14:textId="4C3D390B" w:rsidR="00C40B96" w:rsidRPr="006D631C" w:rsidRDefault="007E06D2" w:rsidP="00872378">
            <w:pPr>
              <w:spacing w:line="240" w:lineRule="auto"/>
              <w:jc w:val="left"/>
              <w:rPr>
                <w:color w:val="000000"/>
                <w:sz w:val="12"/>
                <w:szCs w:val="12"/>
              </w:rPr>
            </w:pPr>
            <w:r w:rsidRPr="006D631C">
              <w:rPr>
                <w:color w:val="000000"/>
                <w:sz w:val="12"/>
                <w:szCs w:val="12"/>
              </w:rPr>
              <w:t>4</w:t>
            </w:r>
            <w:r w:rsidR="00566079" w:rsidRPr="006D631C">
              <w:rPr>
                <w:color w:val="000000"/>
                <w:sz w:val="12"/>
                <w:szCs w:val="12"/>
              </w:rPr>
              <w:t>.16</w:t>
            </w:r>
          </w:p>
        </w:tc>
        <w:tc>
          <w:tcPr>
            <w:tcW w:w="1134" w:type="dxa"/>
            <w:tcBorders>
              <w:top w:val="nil"/>
              <w:left w:val="nil"/>
              <w:bottom w:val="single" w:sz="4" w:space="0" w:color="auto"/>
              <w:right w:val="nil"/>
            </w:tcBorders>
            <w:shd w:val="clear" w:color="000000" w:fill="FFFFFF"/>
            <w:noWrap/>
            <w:vAlign w:val="center"/>
          </w:tcPr>
          <w:p w14:paraId="6291A798" w14:textId="26FA1AE3" w:rsidR="00C40B96" w:rsidRPr="006D631C" w:rsidRDefault="00566079" w:rsidP="00872378">
            <w:pPr>
              <w:spacing w:line="240" w:lineRule="auto"/>
              <w:jc w:val="left"/>
              <w:rPr>
                <w:color w:val="000000"/>
                <w:sz w:val="12"/>
                <w:szCs w:val="12"/>
              </w:rPr>
            </w:pPr>
            <w:r w:rsidRPr="006D631C">
              <w:rPr>
                <w:color w:val="000000"/>
                <w:sz w:val="12"/>
                <w:szCs w:val="12"/>
              </w:rPr>
              <w:t>4.04</w:t>
            </w:r>
          </w:p>
        </w:tc>
        <w:tc>
          <w:tcPr>
            <w:tcW w:w="5244" w:type="dxa"/>
            <w:tcBorders>
              <w:top w:val="nil"/>
              <w:left w:val="nil"/>
              <w:bottom w:val="single" w:sz="4" w:space="0" w:color="auto"/>
              <w:right w:val="nil"/>
            </w:tcBorders>
            <w:shd w:val="clear" w:color="000000" w:fill="FFFFFF"/>
            <w:noWrap/>
            <w:vAlign w:val="center"/>
          </w:tcPr>
          <w:p w14:paraId="08D74F82" w14:textId="6D592763" w:rsidR="00C40B96" w:rsidRPr="006D631C" w:rsidRDefault="005F48B9" w:rsidP="00D51626">
            <w:pPr>
              <w:pStyle w:val="ListParagraph"/>
              <w:numPr>
                <w:ilvl w:val="0"/>
                <w:numId w:val="11"/>
              </w:numPr>
              <w:spacing w:after="0" w:line="240" w:lineRule="auto"/>
              <w:ind w:left="176" w:hanging="142"/>
              <w:jc w:val="left"/>
              <w:rPr>
                <w:color w:val="000000"/>
                <w:sz w:val="12"/>
                <w:szCs w:val="12"/>
              </w:rPr>
            </w:pPr>
            <w:r w:rsidRPr="006D631C">
              <w:rPr>
                <w:color w:val="000000"/>
                <w:sz w:val="12"/>
                <w:szCs w:val="12"/>
              </w:rPr>
              <w:t>Me</w:t>
            </w:r>
            <w:r w:rsidR="00CB0AB8" w:rsidRPr="006D631C">
              <w:rPr>
                <w:color w:val="000000"/>
                <w:sz w:val="12"/>
                <w:szCs w:val="12"/>
              </w:rPr>
              <w:t>mbrane</w:t>
            </w:r>
            <w:r w:rsidR="003F6B2C" w:rsidRPr="006D631C">
              <w:rPr>
                <w:color w:val="000000"/>
                <w:sz w:val="12"/>
                <w:szCs w:val="12"/>
              </w:rPr>
              <w:t xml:space="preserve"> with </w:t>
            </w:r>
            <w:r w:rsidR="00CB0AB8" w:rsidRPr="006D631C">
              <w:rPr>
                <w:color w:val="000000"/>
                <w:sz w:val="12"/>
                <w:szCs w:val="12"/>
              </w:rPr>
              <w:t>~200 nm</w:t>
            </w:r>
            <w:r w:rsidR="003F6B2C" w:rsidRPr="006D631C">
              <w:rPr>
                <w:color w:val="000000"/>
                <w:sz w:val="12"/>
                <w:szCs w:val="12"/>
              </w:rPr>
              <w:t xml:space="preserve"> thickness, </w:t>
            </w:r>
            <w:r w:rsidR="00CB0AB8" w:rsidRPr="006D631C">
              <w:rPr>
                <w:color w:val="000000"/>
                <w:sz w:val="12"/>
                <w:szCs w:val="12"/>
              </w:rPr>
              <w:t>~ 10 L m</w:t>
            </w:r>
            <w:r w:rsidR="00CB0AB8" w:rsidRPr="006D631C">
              <w:rPr>
                <w:color w:val="000000"/>
                <w:sz w:val="12"/>
                <w:szCs w:val="12"/>
                <w:vertAlign w:val="superscript"/>
              </w:rPr>
              <w:t>-2</w:t>
            </w:r>
            <w:r w:rsidR="00CB0AB8" w:rsidRPr="006D631C">
              <w:rPr>
                <w:color w:val="000000"/>
                <w:sz w:val="12"/>
                <w:szCs w:val="12"/>
              </w:rPr>
              <w:t xml:space="preserve"> h</w:t>
            </w:r>
            <w:r w:rsidR="00CB0AB8" w:rsidRPr="006D631C">
              <w:rPr>
                <w:color w:val="000000"/>
                <w:sz w:val="12"/>
                <w:szCs w:val="12"/>
                <w:vertAlign w:val="superscript"/>
              </w:rPr>
              <w:t>-1</w:t>
            </w:r>
            <w:r w:rsidR="00CB0AB8" w:rsidRPr="006D631C">
              <w:rPr>
                <w:color w:val="000000"/>
                <w:sz w:val="12"/>
                <w:szCs w:val="12"/>
              </w:rPr>
              <w:t xml:space="preserve"> bar</w:t>
            </w:r>
            <w:r w:rsidR="00CB0AB8" w:rsidRPr="006D631C">
              <w:rPr>
                <w:color w:val="000000"/>
                <w:sz w:val="12"/>
                <w:szCs w:val="12"/>
                <w:vertAlign w:val="superscript"/>
              </w:rPr>
              <w:t>-1</w:t>
            </w:r>
            <w:r w:rsidR="003F6B2C" w:rsidRPr="006D631C">
              <w:rPr>
                <w:color w:val="000000"/>
                <w:sz w:val="12"/>
                <w:szCs w:val="12"/>
                <w:vertAlign w:val="superscript"/>
              </w:rPr>
              <w:t xml:space="preserve"> </w:t>
            </w:r>
            <w:r w:rsidR="003F6B2C" w:rsidRPr="006D631C">
              <w:rPr>
                <w:color w:val="000000"/>
                <w:sz w:val="12"/>
                <w:szCs w:val="12"/>
              </w:rPr>
              <w:t>permeability and ~300 Da</w:t>
            </w:r>
            <w:r w:rsidR="003F6B2C" w:rsidRPr="006D631C">
              <w:rPr>
                <w:sz w:val="12"/>
                <w:szCs w:val="12"/>
              </w:rPr>
              <w:t xml:space="preserve"> </w:t>
            </w:r>
            <w:r w:rsidR="003F6B2C" w:rsidRPr="006D631C">
              <w:rPr>
                <w:color w:val="000000"/>
                <w:sz w:val="12"/>
                <w:szCs w:val="12"/>
              </w:rPr>
              <w:t xml:space="preserve">molecular weight cut off  </w:t>
            </w:r>
            <w:r w:rsidR="00CB0AB8" w:rsidRPr="006D631C">
              <w:rPr>
                <w:color w:val="000000"/>
                <w:sz w:val="12"/>
                <w:szCs w:val="12"/>
              </w:rPr>
              <w:t>was obtained</w:t>
            </w:r>
          </w:p>
        </w:tc>
        <w:tc>
          <w:tcPr>
            <w:tcW w:w="426" w:type="dxa"/>
            <w:tcBorders>
              <w:top w:val="nil"/>
              <w:left w:val="nil"/>
              <w:bottom w:val="single" w:sz="4" w:space="0" w:color="auto"/>
              <w:right w:val="nil"/>
            </w:tcBorders>
            <w:shd w:val="clear" w:color="000000" w:fill="FFFFFF"/>
            <w:vAlign w:val="center"/>
          </w:tcPr>
          <w:p w14:paraId="4711E72C" w14:textId="4EBC4333" w:rsidR="00C40B96" w:rsidRPr="006D631C" w:rsidRDefault="00CC4E72" w:rsidP="00CC4E72">
            <w:pPr>
              <w:spacing w:line="240" w:lineRule="auto"/>
              <w:jc w:val="left"/>
              <w:rPr>
                <w:color w:val="000000"/>
                <w:sz w:val="12"/>
                <w:szCs w:val="12"/>
              </w:rPr>
            </w:pPr>
            <w:r w:rsidRPr="006D631C">
              <w:rPr>
                <w:color w:val="000000"/>
                <w:sz w:val="12"/>
                <w:szCs w:val="12"/>
              </w:rPr>
              <w:fldChar w:fldCharType="begin" w:fldLock="1"/>
            </w:r>
            <w:r w:rsidR="009474E8" w:rsidRPr="006D631C">
              <w:rPr>
                <w:color w:val="000000"/>
                <w:sz w:val="12"/>
                <w:szCs w:val="12"/>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Nano","id":"ITEM-1","issued":{"date-parts":[["2021","3","17"]]},"page":"acsnano.1c00722","title":"Rapid Fabrication by Lyotropic Self-Assembly of Thin Nanofiltration Membranes with Uniform 1 Nanometer Pores","type":"article-journal"},"uris":["http://www.mendeley.com/documents/?uuid=9a8f95cc-c536-4af0-a6e3-e51388d61691"]}],"mendeley":{"formattedCitation":"&lt;sup&gt;123&lt;/sup&gt;","plainTextFormattedCitation":"123","previouslyFormattedCitation":"&lt;sup&gt;123&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123</w:t>
            </w:r>
            <w:r w:rsidRPr="006D631C">
              <w:rPr>
                <w:color w:val="000000"/>
                <w:sz w:val="12"/>
                <w:szCs w:val="12"/>
              </w:rPr>
              <w:fldChar w:fldCharType="end"/>
            </w:r>
          </w:p>
        </w:tc>
      </w:tr>
      <w:tr w:rsidR="00C40B96" w:rsidRPr="006D631C" w14:paraId="0A0833A4" w14:textId="77777777" w:rsidTr="00433C65">
        <w:trPr>
          <w:trHeight w:val="20"/>
        </w:trPr>
        <w:tc>
          <w:tcPr>
            <w:tcW w:w="851" w:type="dxa"/>
            <w:tcBorders>
              <w:top w:val="nil"/>
              <w:left w:val="nil"/>
              <w:bottom w:val="single" w:sz="4" w:space="0" w:color="auto"/>
              <w:right w:val="nil"/>
            </w:tcBorders>
            <w:shd w:val="clear" w:color="000000" w:fill="FFFFFF"/>
            <w:noWrap/>
            <w:vAlign w:val="center"/>
            <w:hideMark/>
          </w:tcPr>
          <w:p w14:paraId="1E961936" w14:textId="77777777" w:rsidR="00C40B96" w:rsidRPr="006D631C" w:rsidRDefault="00C40B96" w:rsidP="00872378">
            <w:pPr>
              <w:spacing w:line="240" w:lineRule="auto"/>
              <w:jc w:val="left"/>
              <w:rPr>
                <w:color w:val="000000"/>
                <w:sz w:val="12"/>
                <w:szCs w:val="12"/>
              </w:rPr>
            </w:pPr>
            <w:r w:rsidRPr="006D631C">
              <w:rPr>
                <w:color w:val="000000"/>
                <w:sz w:val="12"/>
                <w:szCs w:val="12"/>
              </w:rPr>
              <w:t>P-A-9</w:t>
            </w:r>
          </w:p>
        </w:tc>
        <w:tc>
          <w:tcPr>
            <w:tcW w:w="709" w:type="dxa"/>
            <w:tcBorders>
              <w:top w:val="nil"/>
              <w:left w:val="nil"/>
              <w:bottom w:val="single" w:sz="4" w:space="0" w:color="auto"/>
              <w:right w:val="nil"/>
            </w:tcBorders>
            <w:shd w:val="clear" w:color="000000" w:fill="FFFFFF"/>
            <w:vAlign w:val="center"/>
            <w:hideMark/>
          </w:tcPr>
          <w:p w14:paraId="7F51DD18"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782" w:type="dxa"/>
            <w:tcBorders>
              <w:top w:val="nil"/>
              <w:left w:val="nil"/>
              <w:bottom w:val="single" w:sz="4" w:space="0" w:color="auto"/>
              <w:right w:val="nil"/>
            </w:tcBorders>
            <w:shd w:val="clear" w:color="000000" w:fill="FFFFFF"/>
            <w:vAlign w:val="center"/>
            <w:hideMark/>
          </w:tcPr>
          <w:p w14:paraId="029BCF91" w14:textId="77777777" w:rsidR="00C40B96" w:rsidRPr="006D631C" w:rsidRDefault="00C40B96" w:rsidP="00872378">
            <w:pPr>
              <w:spacing w:line="240" w:lineRule="auto"/>
              <w:jc w:val="left"/>
              <w:rPr>
                <w:color w:val="000000"/>
                <w:sz w:val="12"/>
                <w:szCs w:val="12"/>
              </w:rPr>
            </w:pPr>
            <w:r w:rsidRPr="006D631C">
              <w:rPr>
                <w:color w:val="000000"/>
                <w:sz w:val="12"/>
                <w:szCs w:val="12"/>
              </w:rPr>
              <w:t>I-15 or UV</w:t>
            </w:r>
          </w:p>
        </w:tc>
        <w:tc>
          <w:tcPr>
            <w:tcW w:w="1202" w:type="dxa"/>
            <w:tcBorders>
              <w:top w:val="nil"/>
              <w:left w:val="nil"/>
              <w:bottom w:val="single" w:sz="4" w:space="0" w:color="auto"/>
              <w:right w:val="nil"/>
            </w:tcBorders>
            <w:shd w:val="clear" w:color="000000" w:fill="FFFFFF"/>
            <w:vAlign w:val="center"/>
            <w:hideMark/>
          </w:tcPr>
          <w:p w14:paraId="19BA93B4" w14:textId="77777777" w:rsidR="00C40B96" w:rsidRPr="006D631C" w:rsidRDefault="00C40B96" w:rsidP="00872378">
            <w:pPr>
              <w:spacing w:line="240" w:lineRule="auto"/>
              <w:jc w:val="left"/>
              <w:rPr>
                <w:color w:val="000000"/>
                <w:sz w:val="12"/>
                <w:szCs w:val="12"/>
              </w:rPr>
            </w:pPr>
            <w:r w:rsidRPr="006D631C">
              <w:rPr>
                <w:color w:val="000000"/>
                <w:sz w:val="12"/>
                <w:szCs w:val="12"/>
              </w:rPr>
              <w:t>40 - 57 (L</w:t>
            </w:r>
            <w:r w:rsidRPr="006D631C">
              <w:rPr>
                <w:color w:val="000000"/>
                <w:sz w:val="12"/>
                <w:szCs w:val="12"/>
                <w:vertAlign w:val="subscript"/>
              </w:rPr>
              <w:t>1</w:t>
            </w:r>
            <w:r w:rsidRPr="006D631C">
              <w:rPr>
                <w:color w:val="000000"/>
                <w:sz w:val="12"/>
                <w:szCs w:val="12"/>
              </w:rPr>
              <w:t>)</w:t>
            </w:r>
            <w:r w:rsidRPr="006D631C">
              <w:rPr>
                <w:color w:val="000000"/>
                <w:sz w:val="12"/>
                <w:szCs w:val="12"/>
              </w:rPr>
              <w:br/>
              <w:t>70 - 73 (H</w:t>
            </w:r>
            <w:r w:rsidRPr="006D631C">
              <w:rPr>
                <w:color w:val="000000"/>
                <w:sz w:val="12"/>
                <w:szCs w:val="12"/>
                <w:vertAlign w:val="subscript"/>
              </w:rPr>
              <w:t>2</w:t>
            </w:r>
            <w:r w:rsidRPr="006D631C">
              <w:rPr>
                <w:color w:val="000000"/>
                <w:sz w:val="12"/>
                <w:szCs w:val="12"/>
              </w:rPr>
              <w:t>)</w:t>
            </w:r>
            <w:r w:rsidRPr="006D631C">
              <w:rPr>
                <w:color w:val="000000"/>
                <w:sz w:val="12"/>
                <w:szCs w:val="12"/>
              </w:rPr>
              <w:br/>
              <w:t>80.7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noWrap/>
            <w:vAlign w:val="center"/>
            <w:hideMark/>
          </w:tcPr>
          <w:p w14:paraId="7F1AAFAA"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3DD20F95"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3EACA6AA" w14:textId="77777777" w:rsidR="00C40B96" w:rsidRPr="006D631C" w:rsidRDefault="00C40B96" w:rsidP="00872378">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345DEFDB" w14:textId="5F87FE45" w:rsidR="00C40B96" w:rsidRPr="006D631C" w:rsidRDefault="00C40B96" w:rsidP="00227B6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P-A-9 formed H</w:t>
            </w:r>
            <w:r w:rsidRPr="006D631C">
              <w:rPr>
                <w:color w:val="000000"/>
                <w:sz w:val="12"/>
                <w:szCs w:val="12"/>
                <w:vertAlign w:val="subscript"/>
              </w:rPr>
              <w:t>1</w:t>
            </w:r>
            <w:r w:rsidRPr="006D631C">
              <w:rPr>
                <w:color w:val="000000"/>
                <w:sz w:val="12"/>
                <w:szCs w:val="12"/>
              </w:rPr>
              <w:t>, Q</w:t>
            </w:r>
            <w:r w:rsidRPr="006D631C">
              <w:rPr>
                <w:color w:val="000000"/>
                <w:sz w:val="12"/>
                <w:szCs w:val="12"/>
                <w:vertAlign w:val="subscript"/>
              </w:rPr>
              <w:t>1</w:t>
            </w:r>
            <w:r w:rsidRPr="006D631C">
              <w:rPr>
                <w:color w:val="000000"/>
                <w:sz w:val="12"/>
                <w:szCs w:val="12"/>
              </w:rPr>
              <w:t xml:space="preserve"> and</w:t>
            </w:r>
            <w:r w:rsidR="0029094E" w:rsidRPr="006D631C">
              <w:rPr>
                <w:rFonts w:eastAsia="Times New Roman" w:cs="Times New Roman"/>
                <w:color w:val="000000"/>
                <w:sz w:val="12"/>
                <w:szCs w:val="12"/>
              </w:rPr>
              <w:t xml:space="preserve"> L</w:t>
            </w:r>
            <w:r w:rsidR="0029094E" w:rsidRPr="006D631C">
              <w:rPr>
                <w:rFonts w:eastAsia="Times New Roman" w:cs="Times New Roman"/>
                <w:color w:val="000000"/>
                <w:sz w:val="12"/>
                <w:szCs w:val="12"/>
                <w:vertAlign w:val="subscript"/>
              </w:rPr>
              <w:t>α</w:t>
            </w:r>
            <w:r w:rsidRPr="006D631C">
              <w:rPr>
                <w:color w:val="000000"/>
                <w:sz w:val="12"/>
                <w:szCs w:val="12"/>
              </w:rPr>
              <w:t>, but polymerization was not successful for these structures</w:t>
            </w:r>
          </w:p>
        </w:tc>
        <w:tc>
          <w:tcPr>
            <w:tcW w:w="426" w:type="dxa"/>
            <w:tcBorders>
              <w:top w:val="nil"/>
              <w:left w:val="nil"/>
              <w:bottom w:val="single" w:sz="4" w:space="0" w:color="auto"/>
              <w:right w:val="nil"/>
            </w:tcBorders>
            <w:shd w:val="clear" w:color="auto" w:fill="auto"/>
            <w:vAlign w:val="center"/>
            <w:hideMark/>
          </w:tcPr>
          <w:p w14:paraId="12C77CB7" w14:textId="36D78CFC" w:rsidR="00C40B96" w:rsidRPr="006D631C" w:rsidRDefault="00C40B96" w:rsidP="00CC4E72">
            <w:pPr>
              <w:spacing w:line="240" w:lineRule="auto"/>
              <w:jc w:val="left"/>
              <w:rPr>
                <w:color w:val="000000"/>
                <w:sz w:val="12"/>
                <w:szCs w:val="12"/>
              </w:rPr>
            </w:pPr>
            <w:r w:rsidRPr="006D631C">
              <w:rPr>
                <w:color w:val="000000"/>
                <w:sz w:val="12"/>
                <w:szCs w:val="12"/>
              </w:rPr>
              <w:fldChar w:fldCharType="begin" w:fldLock="1"/>
            </w:r>
            <w:r w:rsidR="009474E8" w:rsidRPr="006D631C">
              <w:rPr>
                <w:color w:val="000000"/>
                <w:sz w:val="12"/>
                <w:szCs w:val="12"/>
              </w:rPr>
              <w:instrText>ADDIN CSL_CITATION {"citationItems":[{"id":"ITEM-1","itemData":{"DOI":"10.1007/BF00653057","ISSN":"0303402X","abstract":"The phase behaviour and polymerisation of a quaternary ammonium surfactant containing an ethylmethacrylate polymerisable moiety within the head group region has been investigated. The addition of this large flexible hydrophilic moiety alters significantly the inherent surface activity of the surfactant and the surfactant may be compared with the class of non-ionic polyethyleneoxide surfactants. Polymerisation of both self-assembled and non self-assembled states went to near completion with the resulting polymer being completely insoluble in water.","author":[{"dropping-particle":"","family":"McGrath","given":"K. M.","non-dropping-particle":"","parse-names":false,"suffix":""},{"dropping-particle":"","family":"Drummond","given":"C. J.","non-dropping-particle":"","parse-names":false,"suffix":""}],"container-title":"Colloid and Polymer Science","id":"ITEM-1","issue":"7","issued":{"date-parts":[["1996"]]},"page":"612-621","title":"Polymerisation of liquid crystalline phases in binary surfactant/water systems. Part 4. Dodecyldimethylammoniumethylmethacrylate bromide","type":"article-journal","volume":"274"},"uris":["http://www.mendeley.com/documents/?uuid=2679bdcf-6510-444a-b144-ac6e0818783b"]}],"mendeley":{"formattedCitation":"&lt;sup&gt;124&lt;/sup&gt;","plainTextFormattedCitation":"124","previouslyFormattedCitation":"&lt;sup&gt;124&lt;/sup&gt;"},"properties":{"noteIndex":0},"schema":"https://github.com/citation-style-language/schema/raw/master/csl-citation.json"}</w:instrText>
            </w:r>
            <w:r w:rsidRPr="006D631C">
              <w:rPr>
                <w:color w:val="000000"/>
                <w:sz w:val="12"/>
                <w:szCs w:val="12"/>
              </w:rPr>
              <w:fldChar w:fldCharType="separate"/>
            </w:r>
            <w:r w:rsidR="00CC4E72" w:rsidRPr="006D631C">
              <w:rPr>
                <w:noProof/>
                <w:color w:val="000000"/>
                <w:sz w:val="12"/>
                <w:szCs w:val="12"/>
              </w:rPr>
              <w:t>124</w:t>
            </w:r>
            <w:r w:rsidRPr="006D631C">
              <w:rPr>
                <w:color w:val="000000"/>
                <w:sz w:val="12"/>
                <w:szCs w:val="12"/>
              </w:rPr>
              <w:fldChar w:fldCharType="end"/>
            </w:r>
          </w:p>
        </w:tc>
      </w:tr>
      <w:tr w:rsidR="001322A8" w:rsidRPr="006D631C" w14:paraId="5DB27448" w14:textId="77777777" w:rsidTr="00433C65">
        <w:trPr>
          <w:trHeight w:val="20"/>
        </w:trPr>
        <w:tc>
          <w:tcPr>
            <w:tcW w:w="851" w:type="dxa"/>
            <w:tcBorders>
              <w:top w:val="nil"/>
              <w:left w:val="nil"/>
              <w:bottom w:val="single" w:sz="4" w:space="0" w:color="auto"/>
              <w:right w:val="nil"/>
            </w:tcBorders>
            <w:shd w:val="clear" w:color="000000" w:fill="FFFFFF"/>
            <w:noWrap/>
            <w:vAlign w:val="center"/>
          </w:tcPr>
          <w:p w14:paraId="2D3929CF" w14:textId="006A60F5" w:rsidR="001322A8" w:rsidRPr="006D631C" w:rsidRDefault="001322A8" w:rsidP="001322A8">
            <w:pPr>
              <w:spacing w:line="240" w:lineRule="auto"/>
              <w:jc w:val="left"/>
              <w:rPr>
                <w:color w:val="000000"/>
                <w:sz w:val="12"/>
                <w:szCs w:val="12"/>
              </w:rPr>
            </w:pPr>
            <w:r w:rsidRPr="006D631C">
              <w:rPr>
                <w:color w:val="000000"/>
                <w:sz w:val="12"/>
                <w:szCs w:val="12"/>
              </w:rPr>
              <w:t>P-A-10</w:t>
            </w:r>
          </w:p>
        </w:tc>
        <w:tc>
          <w:tcPr>
            <w:tcW w:w="709" w:type="dxa"/>
            <w:tcBorders>
              <w:top w:val="nil"/>
              <w:left w:val="nil"/>
              <w:bottom w:val="single" w:sz="4" w:space="0" w:color="auto"/>
              <w:right w:val="nil"/>
            </w:tcBorders>
            <w:shd w:val="clear" w:color="000000" w:fill="FFFFFF"/>
            <w:vAlign w:val="center"/>
          </w:tcPr>
          <w:p w14:paraId="0505A59F" w14:textId="7F6782EA" w:rsidR="001322A8" w:rsidRPr="006D631C" w:rsidRDefault="001322A8" w:rsidP="001322A8">
            <w:pPr>
              <w:spacing w:line="240" w:lineRule="auto"/>
              <w:jc w:val="left"/>
              <w:rPr>
                <w:color w:val="000000"/>
                <w:sz w:val="12"/>
                <w:szCs w:val="12"/>
              </w:rPr>
            </w:pPr>
            <w:r w:rsidRPr="006D631C">
              <w:rPr>
                <w:color w:val="000000"/>
                <w:sz w:val="12"/>
                <w:szCs w:val="12"/>
              </w:rPr>
              <w:t>C-16 or C-18</w:t>
            </w:r>
          </w:p>
        </w:tc>
        <w:tc>
          <w:tcPr>
            <w:tcW w:w="782" w:type="dxa"/>
            <w:tcBorders>
              <w:top w:val="nil"/>
              <w:left w:val="nil"/>
              <w:bottom w:val="single" w:sz="4" w:space="0" w:color="auto"/>
              <w:right w:val="nil"/>
            </w:tcBorders>
            <w:shd w:val="clear" w:color="000000" w:fill="FFFFFF"/>
            <w:vAlign w:val="center"/>
          </w:tcPr>
          <w:p w14:paraId="44AF79D0" w14:textId="7D0F8DA3" w:rsidR="001322A8" w:rsidRPr="006D631C" w:rsidRDefault="001322A8" w:rsidP="001322A8">
            <w:pPr>
              <w:spacing w:line="240" w:lineRule="auto"/>
              <w:jc w:val="left"/>
              <w:rPr>
                <w:color w:val="000000"/>
                <w:sz w:val="12"/>
                <w:szCs w:val="12"/>
              </w:rPr>
            </w:pPr>
            <w:r w:rsidRPr="006D631C">
              <w:rPr>
                <w:color w:val="000000"/>
                <w:sz w:val="12"/>
                <w:szCs w:val="12"/>
              </w:rPr>
              <w:t>I-3</w:t>
            </w:r>
          </w:p>
        </w:tc>
        <w:tc>
          <w:tcPr>
            <w:tcW w:w="1202" w:type="dxa"/>
            <w:tcBorders>
              <w:top w:val="nil"/>
              <w:left w:val="nil"/>
              <w:bottom w:val="single" w:sz="4" w:space="0" w:color="auto"/>
              <w:right w:val="nil"/>
            </w:tcBorders>
            <w:shd w:val="clear" w:color="000000" w:fill="FFFFFF"/>
            <w:vAlign w:val="center"/>
          </w:tcPr>
          <w:p w14:paraId="1AE0EB1E" w14:textId="5DF4C3D7" w:rsidR="001322A8" w:rsidRPr="006D631C" w:rsidRDefault="001322A8" w:rsidP="001322A8">
            <w:pPr>
              <w:spacing w:line="240" w:lineRule="auto"/>
              <w:jc w:val="left"/>
              <w:rPr>
                <w:color w:val="000000"/>
                <w:sz w:val="12"/>
                <w:szCs w:val="12"/>
              </w:rPr>
            </w:pPr>
            <w:r w:rsidRPr="006D631C">
              <w:rPr>
                <w:color w:val="000000"/>
                <w:sz w:val="12"/>
                <w:szCs w:val="12"/>
              </w:rPr>
              <w:t>50 - 76 (H</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noWrap/>
            <w:vAlign w:val="center"/>
          </w:tcPr>
          <w:p w14:paraId="7F13D10C" w14:textId="0E0A42D7" w:rsidR="001322A8" w:rsidRPr="006D631C" w:rsidRDefault="001322A8" w:rsidP="001322A8">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3647AE40" w14:textId="6F4BF084" w:rsidR="001322A8" w:rsidRPr="006D631C" w:rsidRDefault="006671F6" w:rsidP="006671F6">
            <w:pPr>
              <w:spacing w:line="240" w:lineRule="auto"/>
              <w:jc w:val="left"/>
              <w:rPr>
                <w:color w:val="000000"/>
                <w:sz w:val="12"/>
                <w:szCs w:val="12"/>
              </w:rPr>
            </w:pPr>
            <w:r w:rsidRPr="006D631C">
              <w:rPr>
                <w:color w:val="000000"/>
                <w:sz w:val="12"/>
                <w:szCs w:val="12"/>
              </w:rPr>
              <w:t>3 - 4</w:t>
            </w:r>
          </w:p>
        </w:tc>
        <w:tc>
          <w:tcPr>
            <w:tcW w:w="1134" w:type="dxa"/>
            <w:tcBorders>
              <w:top w:val="nil"/>
              <w:left w:val="nil"/>
              <w:bottom w:val="single" w:sz="4" w:space="0" w:color="auto"/>
              <w:right w:val="nil"/>
            </w:tcBorders>
            <w:shd w:val="clear" w:color="000000" w:fill="FFFFFF"/>
            <w:noWrap/>
            <w:vAlign w:val="center"/>
          </w:tcPr>
          <w:p w14:paraId="76F48E82" w14:textId="276887F4" w:rsidR="001322A8" w:rsidRPr="006D631C" w:rsidRDefault="006671F6" w:rsidP="001322A8">
            <w:pPr>
              <w:spacing w:line="240" w:lineRule="auto"/>
              <w:jc w:val="left"/>
              <w:rPr>
                <w:color w:val="000000"/>
                <w:sz w:val="12"/>
                <w:szCs w:val="12"/>
              </w:rPr>
            </w:pPr>
            <w:r w:rsidRPr="006D631C">
              <w:rPr>
                <w:color w:val="000000"/>
                <w:sz w:val="12"/>
                <w:szCs w:val="12"/>
              </w:rPr>
              <w:t>3 - 4</w:t>
            </w:r>
          </w:p>
        </w:tc>
        <w:tc>
          <w:tcPr>
            <w:tcW w:w="5244" w:type="dxa"/>
            <w:tcBorders>
              <w:top w:val="nil"/>
              <w:left w:val="nil"/>
              <w:bottom w:val="single" w:sz="4" w:space="0" w:color="auto"/>
              <w:right w:val="nil"/>
            </w:tcBorders>
            <w:shd w:val="clear" w:color="000000" w:fill="FFFFFF"/>
            <w:noWrap/>
            <w:vAlign w:val="center"/>
          </w:tcPr>
          <w:p w14:paraId="10F9E0A8" w14:textId="77777777" w:rsidR="001322A8" w:rsidRPr="006D631C" w:rsidRDefault="00741367" w:rsidP="008E3C9B">
            <w:pPr>
              <w:pStyle w:val="ListParagraph"/>
              <w:numPr>
                <w:ilvl w:val="0"/>
                <w:numId w:val="11"/>
              </w:numPr>
              <w:spacing w:after="0" w:line="240" w:lineRule="auto"/>
              <w:ind w:left="176" w:hanging="144"/>
              <w:jc w:val="left"/>
              <w:rPr>
                <w:color w:val="000000"/>
                <w:sz w:val="12"/>
                <w:szCs w:val="12"/>
              </w:rPr>
            </w:pPr>
            <w:r w:rsidRPr="006D631C">
              <w:rPr>
                <w:color w:val="000000"/>
                <w:sz w:val="12"/>
                <w:szCs w:val="12"/>
              </w:rPr>
              <w:t xml:space="preserve">Organic solvent–stable membranes were obtained with well-defined pores at ~1 nm scale </w:t>
            </w:r>
          </w:p>
          <w:p w14:paraId="1F0C1973" w14:textId="2AE702E6" w:rsidR="00741367" w:rsidRPr="006D631C" w:rsidRDefault="00741367" w:rsidP="008E3C9B">
            <w:pPr>
              <w:pStyle w:val="ListParagraph"/>
              <w:numPr>
                <w:ilvl w:val="0"/>
                <w:numId w:val="11"/>
              </w:numPr>
              <w:spacing w:after="0" w:line="240" w:lineRule="auto"/>
              <w:ind w:left="176" w:hanging="144"/>
              <w:jc w:val="left"/>
              <w:rPr>
                <w:color w:val="000000"/>
                <w:sz w:val="12"/>
                <w:szCs w:val="12"/>
              </w:rPr>
            </w:pPr>
            <w:r w:rsidRPr="006D631C">
              <w:rPr>
                <w:color w:val="000000"/>
                <w:sz w:val="12"/>
                <w:szCs w:val="12"/>
              </w:rPr>
              <w:t>Membranes pore size can be tuned through changing the length of lipophilic tail of P-A-10</w:t>
            </w:r>
          </w:p>
        </w:tc>
        <w:tc>
          <w:tcPr>
            <w:tcW w:w="426" w:type="dxa"/>
            <w:tcBorders>
              <w:top w:val="nil"/>
              <w:left w:val="nil"/>
              <w:bottom w:val="single" w:sz="4" w:space="0" w:color="auto"/>
              <w:right w:val="nil"/>
            </w:tcBorders>
            <w:shd w:val="clear" w:color="auto" w:fill="auto"/>
            <w:vAlign w:val="center"/>
          </w:tcPr>
          <w:p w14:paraId="2E390CF2" w14:textId="53C0D8DE" w:rsidR="001322A8" w:rsidRPr="006D631C" w:rsidRDefault="002B19BD" w:rsidP="002B19BD">
            <w:pPr>
              <w:spacing w:line="240" w:lineRule="auto"/>
              <w:jc w:val="left"/>
              <w:rPr>
                <w:color w:val="000000"/>
                <w:sz w:val="12"/>
                <w:szCs w:val="12"/>
              </w:rPr>
            </w:pPr>
            <w:r w:rsidRPr="006D631C">
              <w:rPr>
                <w:color w:val="000000"/>
                <w:sz w:val="12"/>
                <w:szCs w:val="12"/>
              </w:rPr>
              <w:fldChar w:fldCharType="begin" w:fldLock="1"/>
            </w:r>
            <w:r w:rsidR="006C3FCF" w:rsidRPr="006D631C">
              <w:rPr>
                <w:color w:val="000000"/>
                <w:sz w:val="12"/>
                <w:szCs w:val="12"/>
              </w:rPr>
              <w:instrText>ADDIN CSL_CITATION {"citationItems":[{"id":"ITEM-1","itemData":{"DOI":"10.1126/sciadv.abm5899","ISSN":"2375-2548","abstract":"Organic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Advances","id":"ITEM-1","issue":"11","issued":{"date-parts":[["2022","3","18"]]},"title":"Tunable organic solvent nanofiltration in self-assembled membranes at the sub–1 nm scale","type":"article-journal","volume":"8"},"uris":["http://www.mendeley.com/documents/?uuid=f4e7114e-b599-410a-a180-ef737c4d9ca1"]}],"mendeley":{"formattedCitation":"&lt;sup&gt;125&lt;/sup&gt;","plainTextFormattedCitation":"125","previouslyFormattedCitation":"&lt;sup&gt;125&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125</w:t>
            </w:r>
            <w:r w:rsidRPr="006D631C">
              <w:rPr>
                <w:color w:val="000000"/>
                <w:sz w:val="12"/>
                <w:szCs w:val="12"/>
              </w:rPr>
              <w:fldChar w:fldCharType="end"/>
            </w:r>
          </w:p>
        </w:tc>
      </w:tr>
      <w:tr w:rsidR="00433401" w:rsidRPr="006D631C" w14:paraId="41C9EF0F" w14:textId="77777777" w:rsidTr="00433C65">
        <w:trPr>
          <w:trHeight w:val="20"/>
        </w:trPr>
        <w:tc>
          <w:tcPr>
            <w:tcW w:w="851" w:type="dxa"/>
            <w:tcBorders>
              <w:top w:val="nil"/>
              <w:left w:val="nil"/>
              <w:bottom w:val="single" w:sz="4" w:space="0" w:color="auto"/>
              <w:right w:val="nil"/>
            </w:tcBorders>
            <w:shd w:val="clear" w:color="000000" w:fill="FFFFFF"/>
            <w:noWrap/>
            <w:vAlign w:val="center"/>
          </w:tcPr>
          <w:p w14:paraId="3DD782B3" w14:textId="6F0CEF9C" w:rsidR="00433401" w:rsidRPr="006D631C" w:rsidRDefault="00433401" w:rsidP="001322A8">
            <w:pPr>
              <w:spacing w:line="240" w:lineRule="auto"/>
              <w:jc w:val="left"/>
              <w:rPr>
                <w:color w:val="000000"/>
                <w:sz w:val="12"/>
                <w:szCs w:val="12"/>
              </w:rPr>
            </w:pPr>
            <w:r w:rsidRPr="006D631C">
              <w:rPr>
                <w:color w:val="000000"/>
                <w:sz w:val="12"/>
                <w:szCs w:val="12"/>
              </w:rPr>
              <w:t xml:space="preserve">P-A-11 /  </w:t>
            </w:r>
            <w:r w:rsidR="00B30E18" w:rsidRPr="006D631C">
              <w:rPr>
                <w:color w:val="000000"/>
                <w:sz w:val="12"/>
                <w:szCs w:val="12"/>
              </w:rPr>
              <w:t xml:space="preserve"> </w:t>
            </w:r>
            <w:r w:rsidRPr="006D631C">
              <w:rPr>
                <w:color w:val="000000"/>
                <w:sz w:val="12"/>
                <w:szCs w:val="12"/>
              </w:rPr>
              <w:t xml:space="preserve"> P-A-12</w:t>
            </w:r>
          </w:p>
        </w:tc>
        <w:tc>
          <w:tcPr>
            <w:tcW w:w="709" w:type="dxa"/>
            <w:tcBorders>
              <w:top w:val="nil"/>
              <w:left w:val="nil"/>
              <w:bottom w:val="single" w:sz="4" w:space="0" w:color="auto"/>
              <w:right w:val="nil"/>
            </w:tcBorders>
            <w:shd w:val="clear" w:color="000000" w:fill="FFFFFF"/>
            <w:vAlign w:val="center"/>
          </w:tcPr>
          <w:p w14:paraId="0FBDD6D6" w14:textId="66048501" w:rsidR="00433401" w:rsidRPr="006D631C" w:rsidRDefault="00BA1584" w:rsidP="001322A8">
            <w:pPr>
              <w:spacing w:line="240" w:lineRule="auto"/>
              <w:jc w:val="left"/>
              <w:rPr>
                <w:color w:val="000000"/>
                <w:sz w:val="12"/>
                <w:szCs w:val="12"/>
              </w:rPr>
            </w:pPr>
            <w:r w:rsidRPr="006D631C">
              <w:rPr>
                <w:color w:val="000000"/>
                <w:sz w:val="12"/>
                <w:szCs w:val="12"/>
              </w:rPr>
              <w:t>C-17</w:t>
            </w:r>
          </w:p>
        </w:tc>
        <w:tc>
          <w:tcPr>
            <w:tcW w:w="782" w:type="dxa"/>
            <w:tcBorders>
              <w:top w:val="nil"/>
              <w:left w:val="nil"/>
              <w:bottom w:val="single" w:sz="4" w:space="0" w:color="auto"/>
              <w:right w:val="nil"/>
            </w:tcBorders>
            <w:shd w:val="clear" w:color="000000" w:fill="FFFFFF"/>
            <w:vAlign w:val="center"/>
          </w:tcPr>
          <w:p w14:paraId="00E78000" w14:textId="58ED74F0" w:rsidR="00433401" w:rsidRPr="006D631C" w:rsidRDefault="00C66887" w:rsidP="001322A8">
            <w:pPr>
              <w:spacing w:line="240" w:lineRule="auto"/>
              <w:jc w:val="left"/>
              <w:rPr>
                <w:color w:val="000000"/>
                <w:sz w:val="12"/>
                <w:szCs w:val="12"/>
              </w:rPr>
            </w:pPr>
            <w:r w:rsidRPr="006D631C">
              <w:rPr>
                <w:color w:val="000000"/>
                <w:sz w:val="12"/>
                <w:szCs w:val="12"/>
              </w:rPr>
              <w:t>I-2 or I-5</w:t>
            </w:r>
          </w:p>
        </w:tc>
        <w:tc>
          <w:tcPr>
            <w:tcW w:w="1202" w:type="dxa"/>
            <w:tcBorders>
              <w:top w:val="nil"/>
              <w:left w:val="nil"/>
              <w:bottom w:val="single" w:sz="4" w:space="0" w:color="auto"/>
              <w:right w:val="nil"/>
            </w:tcBorders>
            <w:shd w:val="clear" w:color="000000" w:fill="FFFFFF"/>
            <w:vAlign w:val="center"/>
          </w:tcPr>
          <w:p w14:paraId="4C263294" w14:textId="08D4628D" w:rsidR="00433401" w:rsidRPr="006D631C" w:rsidRDefault="006335E0" w:rsidP="001322A8">
            <w:pPr>
              <w:spacing w:line="240" w:lineRule="auto"/>
              <w:jc w:val="left"/>
              <w:rPr>
                <w:color w:val="000000"/>
                <w:sz w:val="12"/>
                <w:szCs w:val="12"/>
              </w:rPr>
            </w:pPr>
            <w:r w:rsidRPr="006D631C">
              <w:rPr>
                <w:color w:val="000000"/>
                <w:sz w:val="12"/>
                <w:szCs w:val="12"/>
              </w:rPr>
              <w:t>87.5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noWrap/>
            <w:vAlign w:val="center"/>
          </w:tcPr>
          <w:p w14:paraId="706F228B" w14:textId="1EA0967E" w:rsidR="00433401" w:rsidRPr="006D631C" w:rsidRDefault="006335E0" w:rsidP="001322A8">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728D1E70" w14:textId="5B89D510" w:rsidR="00433401" w:rsidRPr="006D631C" w:rsidRDefault="00866218" w:rsidP="006671F6">
            <w:pPr>
              <w:spacing w:line="240" w:lineRule="auto"/>
              <w:jc w:val="left"/>
              <w:rPr>
                <w:color w:val="000000"/>
                <w:sz w:val="12"/>
                <w:szCs w:val="12"/>
              </w:rPr>
            </w:pPr>
            <w:r w:rsidRPr="006D631C">
              <w:rPr>
                <w:color w:val="000000"/>
                <w:sz w:val="12"/>
                <w:szCs w:val="12"/>
              </w:rPr>
              <w:t>8.74</w:t>
            </w:r>
          </w:p>
        </w:tc>
        <w:tc>
          <w:tcPr>
            <w:tcW w:w="1134" w:type="dxa"/>
            <w:tcBorders>
              <w:top w:val="nil"/>
              <w:left w:val="nil"/>
              <w:bottom w:val="single" w:sz="4" w:space="0" w:color="auto"/>
              <w:right w:val="nil"/>
            </w:tcBorders>
            <w:shd w:val="clear" w:color="000000" w:fill="FFFFFF"/>
            <w:noWrap/>
            <w:vAlign w:val="center"/>
          </w:tcPr>
          <w:p w14:paraId="2AD596EA" w14:textId="28568AEB" w:rsidR="00433401" w:rsidRPr="006D631C" w:rsidRDefault="00866218" w:rsidP="001322A8">
            <w:pPr>
              <w:spacing w:line="240" w:lineRule="auto"/>
              <w:jc w:val="left"/>
              <w:rPr>
                <w:color w:val="000000"/>
                <w:sz w:val="12"/>
                <w:szCs w:val="12"/>
              </w:rPr>
            </w:pPr>
            <w:r w:rsidRPr="006D631C">
              <w:rPr>
                <w:color w:val="000000"/>
                <w:sz w:val="12"/>
                <w:szCs w:val="12"/>
              </w:rPr>
              <w:t>8.55</w:t>
            </w:r>
          </w:p>
        </w:tc>
        <w:tc>
          <w:tcPr>
            <w:tcW w:w="5244" w:type="dxa"/>
            <w:tcBorders>
              <w:top w:val="nil"/>
              <w:left w:val="nil"/>
              <w:bottom w:val="single" w:sz="4" w:space="0" w:color="auto"/>
              <w:right w:val="nil"/>
            </w:tcBorders>
            <w:shd w:val="clear" w:color="000000" w:fill="FFFFFF"/>
            <w:noWrap/>
            <w:vAlign w:val="center"/>
          </w:tcPr>
          <w:p w14:paraId="4FEC32AD" w14:textId="77777777" w:rsidR="00962DA1" w:rsidRPr="006D631C" w:rsidRDefault="00962DA1" w:rsidP="008E3C9B">
            <w:pPr>
              <w:pStyle w:val="ListParagraph"/>
              <w:numPr>
                <w:ilvl w:val="0"/>
                <w:numId w:val="11"/>
              </w:numPr>
              <w:spacing w:after="0" w:line="240" w:lineRule="auto"/>
              <w:ind w:left="176" w:hanging="144"/>
              <w:jc w:val="left"/>
              <w:rPr>
                <w:color w:val="000000"/>
                <w:sz w:val="12"/>
                <w:szCs w:val="12"/>
              </w:rPr>
            </w:pPr>
            <w:r w:rsidRPr="006D631C">
              <w:rPr>
                <w:color w:val="000000"/>
                <w:sz w:val="12"/>
                <w:szCs w:val="12"/>
              </w:rPr>
              <w:t>Simple single-head/single-tail surfactant</w:t>
            </w:r>
            <w:r w:rsidR="00D250DA" w:rsidRPr="006D631C">
              <w:rPr>
                <w:color w:val="000000"/>
                <w:sz w:val="12"/>
                <w:szCs w:val="12"/>
              </w:rPr>
              <w:t>s</w:t>
            </w:r>
            <w:r w:rsidRPr="006D631C">
              <w:rPr>
                <w:color w:val="000000"/>
                <w:sz w:val="12"/>
                <w:szCs w:val="12"/>
              </w:rPr>
              <w:t xml:space="preserve"> </w:t>
            </w:r>
            <w:r w:rsidR="00D250DA" w:rsidRPr="006D631C">
              <w:rPr>
                <w:color w:val="000000"/>
                <w:sz w:val="12"/>
                <w:szCs w:val="12"/>
              </w:rPr>
              <w:t>were</w:t>
            </w:r>
            <w:r w:rsidRPr="006D631C">
              <w:rPr>
                <w:color w:val="000000"/>
                <w:sz w:val="12"/>
                <w:szCs w:val="12"/>
              </w:rPr>
              <w:t xml:space="preserve"> used to create polymerizable Q</w:t>
            </w:r>
            <w:r w:rsidRPr="006D631C">
              <w:rPr>
                <w:color w:val="000000"/>
                <w:sz w:val="12"/>
                <w:szCs w:val="12"/>
                <w:vertAlign w:val="subscript"/>
              </w:rPr>
              <w:t>1</w:t>
            </w:r>
            <w:r w:rsidRPr="006D631C">
              <w:rPr>
                <w:color w:val="000000"/>
                <w:sz w:val="12"/>
                <w:szCs w:val="12"/>
              </w:rPr>
              <w:t xml:space="preserve"> phase</w:t>
            </w:r>
          </w:p>
          <w:p w14:paraId="5F0B5BF5" w14:textId="4EC3681B" w:rsidR="000B67AC" w:rsidRPr="006D631C" w:rsidRDefault="000B67AC" w:rsidP="000B67AC">
            <w:pPr>
              <w:pStyle w:val="ListParagraph"/>
              <w:numPr>
                <w:ilvl w:val="0"/>
                <w:numId w:val="11"/>
              </w:numPr>
              <w:spacing w:after="0" w:line="240" w:lineRule="auto"/>
              <w:ind w:left="176" w:hanging="144"/>
              <w:jc w:val="left"/>
              <w:rPr>
                <w:color w:val="000000"/>
                <w:sz w:val="12"/>
                <w:szCs w:val="12"/>
              </w:rPr>
            </w:pPr>
            <w:proofErr w:type="gramStart"/>
            <w:r w:rsidRPr="006D631C">
              <w:rPr>
                <w:color w:val="000000"/>
                <w:sz w:val="12"/>
                <w:szCs w:val="12"/>
              </w:rPr>
              <w:t>pH</w:t>
            </w:r>
            <w:proofErr w:type="gramEnd"/>
            <w:r w:rsidRPr="006D631C">
              <w:rPr>
                <w:color w:val="000000"/>
                <w:sz w:val="12"/>
                <w:szCs w:val="12"/>
              </w:rPr>
              <w:t xml:space="preserve">- and light-responsive </w:t>
            </w:r>
            <w:proofErr w:type="spellStart"/>
            <w:r w:rsidRPr="006D631C">
              <w:rPr>
                <w:color w:val="000000"/>
                <w:sz w:val="12"/>
                <w:szCs w:val="12"/>
              </w:rPr>
              <w:t>polyLLCs</w:t>
            </w:r>
            <w:proofErr w:type="spellEnd"/>
            <w:r w:rsidRPr="006D631C">
              <w:rPr>
                <w:color w:val="000000"/>
                <w:sz w:val="12"/>
                <w:szCs w:val="12"/>
              </w:rPr>
              <w:t xml:space="preserve"> can be produced by incorporation of M-42 and M-43.</w:t>
            </w:r>
          </w:p>
        </w:tc>
        <w:tc>
          <w:tcPr>
            <w:tcW w:w="426" w:type="dxa"/>
            <w:tcBorders>
              <w:top w:val="nil"/>
              <w:left w:val="nil"/>
              <w:bottom w:val="single" w:sz="4" w:space="0" w:color="auto"/>
              <w:right w:val="nil"/>
            </w:tcBorders>
            <w:shd w:val="clear" w:color="auto" w:fill="auto"/>
            <w:vAlign w:val="center"/>
          </w:tcPr>
          <w:p w14:paraId="51D3B4BF" w14:textId="74030BFD" w:rsidR="00433401" w:rsidRPr="006D631C" w:rsidRDefault="000B67AC" w:rsidP="000B67AC">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10.1002/admi.202201761","ISSN":"2196-7350","author":[{"dropping-particle":"","family":"Li","given":"Patrick","non-dropping-particle":"","parse-names":false,"suffix":""},{"dropping-particle":"","family":"Johnson","given":"Christopher","non-dropping-particle":"","parse-names":false,"suffix":""},{"dropping-particle":"","family":"Dyer","given":"Samantha S.","non-dropping-particle":"","parse-names":false,"suffix":""},{"dropping-particle":"","family":"Osuji","given":"Chinedum O.","non-dropping-particle":"","parse-names":false,"suffix":""},{"dropping-particle":"","family":"Gin","given":"Douglas L.","non-dropping-particle":"","parse-names":false,"suffix":""}],"container-title":"Advanced Materials Interfaces","id":"ITEM-1","issued":{"date-parts":[["2022","12","4"]]},"page":"2201761","title":"A pH‐ and Light‐Responsive Nanoporous Lyotropic Gyroid Polymer Network","type":"article-journal"},"uris":["http://www.mendeley.com/documents/?uuid=e6b2f03c-2c58-40fd-9524-e8f93218c017"]},{"id":"ITEM-2","itemData":{"DOI":"10.1039/D1CC04211D","ISSN":"1359-7345","abstract":"A simplified design for intrinsically cross-linkable gyroid-forming mesogens is introduced for the fabrication of solvent-resistant nanoporous membranes.","author":[{"dropping-particle":"","family":"Imran","given":"Omar Q.","non-dropping-particle":"","parse-names":false,"suffix":""},{"dropping-particle":"","family":"Li","given":"Patrick","non-dropping-particle":"","parse-names":false,"suffix":""},{"dropping-particle":"","family":"Kim","given":"Na Kyung","non-dropping-particle":"","parse-names":false,"suffix":""},{"dropping-particle":"","family":"Gin","given":"Douglas L.","non-dropping-particle":"","parse-names":false,"suffix":""},{"dropping-particle":"","family":"Osuji","given":"Chinedum O.","non-dropping-particle":"","parse-names":false,"suffix":""}],"container-title":"Chemical Communications","id":"ITEM-2","issue":"83","issued":{"date-parts":[["2021"]]},"page":"10931-10934","title":"Stable cross-linked lyotropic gyroid mesophases from single-head/single-tail cross-linkable monomers","type":"article-journal","volume":"57"},"uris":["http://www.mendeley.com/documents/?uuid=5f5251c9-3ef5-4cec-92bd-865b1d5ce967"]}],"mendeley":{"formattedCitation":"&lt;sup&gt;126,127&lt;/sup&gt;","plainTextFormattedCitation":"126,127","previouslyFormattedCitation":"&lt;sup&gt;126,127&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126,127</w:t>
            </w:r>
            <w:r w:rsidRPr="006D631C">
              <w:rPr>
                <w:color w:val="000000"/>
                <w:sz w:val="12"/>
                <w:szCs w:val="12"/>
              </w:rPr>
              <w:fldChar w:fldCharType="end"/>
            </w:r>
          </w:p>
        </w:tc>
      </w:tr>
      <w:tr w:rsidR="001322A8" w:rsidRPr="006D631C" w14:paraId="2E67B5D2" w14:textId="77777777" w:rsidTr="00433C65">
        <w:trPr>
          <w:trHeight w:val="20"/>
        </w:trPr>
        <w:tc>
          <w:tcPr>
            <w:tcW w:w="851" w:type="dxa"/>
            <w:tcBorders>
              <w:top w:val="nil"/>
              <w:left w:val="nil"/>
              <w:bottom w:val="nil"/>
              <w:right w:val="nil"/>
            </w:tcBorders>
            <w:shd w:val="clear" w:color="000000" w:fill="FFFFFF"/>
            <w:noWrap/>
            <w:vAlign w:val="center"/>
            <w:hideMark/>
          </w:tcPr>
          <w:p w14:paraId="3337700D" w14:textId="77777777" w:rsidR="001322A8" w:rsidRPr="006D631C" w:rsidRDefault="001322A8" w:rsidP="001322A8">
            <w:pPr>
              <w:spacing w:line="240" w:lineRule="auto"/>
              <w:jc w:val="left"/>
              <w:rPr>
                <w:color w:val="000000"/>
                <w:sz w:val="12"/>
                <w:szCs w:val="12"/>
              </w:rPr>
            </w:pPr>
            <w:r w:rsidRPr="006D631C">
              <w:rPr>
                <w:color w:val="000000"/>
                <w:sz w:val="12"/>
                <w:szCs w:val="12"/>
              </w:rPr>
              <w:t>P-A-13 or</w:t>
            </w:r>
          </w:p>
        </w:tc>
        <w:tc>
          <w:tcPr>
            <w:tcW w:w="709" w:type="dxa"/>
            <w:vMerge w:val="restart"/>
            <w:tcBorders>
              <w:top w:val="nil"/>
              <w:left w:val="nil"/>
              <w:bottom w:val="single" w:sz="4" w:space="0" w:color="000000"/>
              <w:right w:val="nil"/>
            </w:tcBorders>
            <w:shd w:val="clear" w:color="000000" w:fill="FFFFFF"/>
            <w:vAlign w:val="center"/>
            <w:hideMark/>
          </w:tcPr>
          <w:p w14:paraId="70D2718B" w14:textId="77777777" w:rsidR="001322A8" w:rsidRPr="006D631C" w:rsidRDefault="001322A8" w:rsidP="001322A8">
            <w:pPr>
              <w:spacing w:line="240" w:lineRule="auto"/>
              <w:jc w:val="left"/>
              <w:rPr>
                <w:color w:val="000000"/>
                <w:sz w:val="12"/>
                <w:szCs w:val="12"/>
              </w:rPr>
            </w:pPr>
            <w:r w:rsidRPr="006D631C">
              <w:rPr>
                <w:color w:val="000000"/>
                <w:sz w:val="12"/>
                <w:szCs w:val="12"/>
              </w:rPr>
              <w:t>C-3</w:t>
            </w:r>
          </w:p>
        </w:tc>
        <w:tc>
          <w:tcPr>
            <w:tcW w:w="782" w:type="dxa"/>
            <w:vMerge w:val="restart"/>
            <w:tcBorders>
              <w:top w:val="nil"/>
              <w:left w:val="nil"/>
              <w:bottom w:val="single" w:sz="4" w:space="0" w:color="000000"/>
              <w:right w:val="nil"/>
            </w:tcBorders>
            <w:shd w:val="clear" w:color="000000" w:fill="FFFFFF"/>
            <w:vAlign w:val="center"/>
            <w:hideMark/>
          </w:tcPr>
          <w:p w14:paraId="545AE4FF" w14:textId="77777777" w:rsidR="001322A8" w:rsidRPr="006D631C" w:rsidRDefault="001322A8" w:rsidP="001322A8">
            <w:pPr>
              <w:spacing w:line="240" w:lineRule="auto"/>
              <w:jc w:val="left"/>
              <w:rPr>
                <w:color w:val="000000"/>
                <w:sz w:val="12"/>
                <w:szCs w:val="12"/>
              </w:rPr>
            </w:pPr>
            <w:r w:rsidRPr="006D631C">
              <w:rPr>
                <w:color w:val="000000"/>
                <w:sz w:val="12"/>
                <w:szCs w:val="12"/>
              </w:rPr>
              <w:t>I-2</w:t>
            </w:r>
          </w:p>
        </w:tc>
        <w:tc>
          <w:tcPr>
            <w:tcW w:w="1202" w:type="dxa"/>
            <w:vMerge w:val="restart"/>
            <w:tcBorders>
              <w:top w:val="nil"/>
              <w:left w:val="nil"/>
              <w:bottom w:val="single" w:sz="4" w:space="0" w:color="000000"/>
              <w:right w:val="nil"/>
            </w:tcBorders>
            <w:shd w:val="clear" w:color="000000" w:fill="FFFFFF"/>
            <w:vAlign w:val="center"/>
            <w:hideMark/>
          </w:tcPr>
          <w:p w14:paraId="017AFC7B" w14:textId="77777777" w:rsidR="001322A8" w:rsidRPr="006D631C" w:rsidRDefault="001322A8" w:rsidP="001322A8">
            <w:pPr>
              <w:spacing w:line="240" w:lineRule="auto"/>
              <w:jc w:val="left"/>
              <w:rPr>
                <w:color w:val="000000"/>
                <w:sz w:val="12"/>
                <w:szCs w:val="12"/>
              </w:rPr>
            </w:pPr>
            <w:r w:rsidRPr="006D631C">
              <w:rPr>
                <w:color w:val="000000"/>
                <w:sz w:val="12"/>
                <w:szCs w:val="12"/>
              </w:rPr>
              <w:t>-</w:t>
            </w:r>
          </w:p>
        </w:tc>
        <w:tc>
          <w:tcPr>
            <w:tcW w:w="1418" w:type="dxa"/>
            <w:vMerge w:val="restart"/>
            <w:tcBorders>
              <w:top w:val="nil"/>
              <w:left w:val="nil"/>
              <w:bottom w:val="single" w:sz="4" w:space="0" w:color="000000"/>
              <w:right w:val="nil"/>
            </w:tcBorders>
            <w:shd w:val="clear" w:color="000000" w:fill="FFFFFF"/>
            <w:noWrap/>
            <w:vAlign w:val="center"/>
            <w:hideMark/>
          </w:tcPr>
          <w:p w14:paraId="0E26EB47" w14:textId="77777777" w:rsidR="001322A8" w:rsidRPr="006D631C" w:rsidRDefault="001322A8" w:rsidP="001322A8">
            <w:pPr>
              <w:spacing w:line="240" w:lineRule="auto"/>
              <w:jc w:val="left"/>
              <w:rPr>
                <w:color w:val="000000"/>
                <w:sz w:val="12"/>
                <w:szCs w:val="12"/>
              </w:rPr>
            </w:pPr>
            <w:r w:rsidRPr="006D631C">
              <w:rPr>
                <w:color w:val="000000"/>
                <w:sz w:val="12"/>
                <w:szCs w:val="12"/>
              </w:rPr>
              <w:t>-</w:t>
            </w:r>
          </w:p>
        </w:tc>
        <w:tc>
          <w:tcPr>
            <w:tcW w:w="1134" w:type="dxa"/>
            <w:vMerge w:val="restart"/>
            <w:tcBorders>
              <w:top w:val="nil"/>
              <w:left w:val="nil"/>
              <w:bottom w:val="single" w:sz="4" w:space="0" w:color="000000"/>
              <w:right w:val="nil"/>
            </w:tcBorders>
            <w:shd w:val="clear" w:color="000000" w:fill="FFFFFF"/>
            <w:noWrap/>
            <w:vAlign w:val="center"/>
            <w:hideMark/>
          </w:tcPr>
          <w:p w14:paraId="061CBE71" w14:textId="77777777" w:rsidR="001322A8" w:rsidRPr="006D631C" w:rsidRDefault="001322A8" w:rsidP="001322A8">
            <w:pPr>
              <w:spacing w:line="240" w:lineRule="auto"/>
              <w:jc w:val="left"/>
              <w:rPr>
                <w:color w:val="000000"/>
                <w:sz w:val="12"/>
                <w:szCs w:val="12"/>
              </w:rPr>
            </w:pPr>
            <w:r w:rsidRPr="006D631C">
              <w:rPr>
                <w:color w:val="000000"/>
                <w:sz w:val="12"/>
                <w:szCs w:val="12"/>
              </w:rPr>
              <w:t>-</w:t>
            </w:r>
          </w:p>
        </w:tc>
        <w:tc>
          <w:tcPr>
            <w:tcW w:w="1134" w:type="dxa"/>
            <w:vMerge w:val="restart"/>
            <w:tcBorders>
              <w:top w:val="nil"/>
              <w:left w:val="nil"/>
              <w:bottom w:val="single" w:sz="4" w:space="0" w:color="000000"/>
              <w:right w:val="nil"/>
            </w:tcBorders>
            <w:shd w:val="clear" w:color="000000" w:fill="FFFFFF"/>
            <w:noWrap/>
            <w:vAlign w:val="center"/>
            <w:hideMark/>
          </w:tcPr>
          <w:p w14:paraId="17C298A5" w14:textId="77777777" w:rsidR="001322A8" w:rsidRPr="006D631C" w:rsidRDefault="001322A8" w:rsidP="001322A8">
            <w:pPr>
              <w:spacing w:line="240" w:lineRule="auto"/>
              <w:jc w:val="left"/>
              <w:rPr>
                <w:color w:val="000000"/>
                <w:sz w:val="12"/>
                <w:szCs w:val="12"/>
              </w:rPr>
            </w:pPr>
            <w:r w:rsidRPr="006D631C">
              <w:rPr>
                <w:color w:val="000000"/>
                <w:sz w:val="12"/>
                <w:szCs w:val="12"/>
              </w:rPr>
              <w:t>-</w:t>
            </w:r>
          </w:p>
        </w:tc>
        <w:tc>
          <w:tcPr>
            <w:tcW w:w="5244" w:type="dxa"/>
            <w:vMerge w:val="restart"/>
            <w:tcBorders>
              <w:top w:val="nil"/>
              <w:left w:val="nil"/>
              <w:right w:val="nil"/>
            </w:tcBorders>
            <w:shd w:val="clear" w:color="000000" w:fill="FFFFFF"/>
            <w:vAlign w:val="center"/>
          </w:tcPr>
          <w:p w14:paraId="7F01CBCE" w14:textId="77777777" w:rsidR="001322A8" w:rsidRPr="006D631C" w:rsidRDefault="001322A8" w:rsidP="001322A8">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The presence of methacrylate at the hydrophilic head group and low cross-linker content resulted in phase transition </w:t>
            </w:r>
          </w:p>
          <w:p w14:paraId="60B69340" w14:textId="1AC47D26" w:rsidR="001322A8" w:rsidRPr="006D631C" w:rsidRDefault="001322A8" w:rsidP="001322A8">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Water contents of around 40% can be tolerated with the transparent polymers</w:t>
            </w:r>
          </w:p>
        </w:tc>
        <w:tc>
          <w:tcPr>
            <w:tcW w:w="426" w:type="dxa"/>
            <w:vMerge w:val="restart"/>
            <w:tcBorders>
              <w:top w:val="nil"/>
              <w:left w:val="nil"/>
              <w:bottom w:val="single" w:sz="4" w:space="0" w:color="000000"/>
              <w:right w:val="nil"/>
            </w:tcBorders>
            <w:shd w:val="clear" w:color="auto" w:fill="auto"/>
            <w:vAlign w:val="center"/>
            <w:hideMark/>
          </w:tcPr>
          <w:p w14:paraId="573BDBAF" w14:textId="2E7C16B6" w:rsidR="001322A8" w:rsidRPr="006D631C" w:rsidRDefault="001322A8"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{"citationItems":[{"id":"ITEM-1","itemData":{"DOI":"10.1163/1568555042474077","ISSN":"1568-5551","author":[{"dropping-particle":"","family":"Li","given":"M. H.","non-dropping-particle":"","parse-names":false,"suffix":""},{"dropping-particle":"","family":"Yang","given":"W. L.","non-dropping-particle":"","parse-names":false,"suffix":""},{"dropping-particle":"","family":"Qian","given":"J.","non-dropping-particle":"","parse-names":false,"suffix":""},{"dropping-particle":"","family":"Wang","given":"C. C.","non-dropping-particle":"","parse-names":false,"suffix":""},{"dropping-particle":"","family":"Fu","given":"S. K.","non-dropping-particle":"","parse-names":false,"suffix":""}],"container-title":"Designed Monomers and Polymers","id":"ITEM-1","issue":"6","issued":{"date-parts":[["2004","1","2"]]},"page":"505-519","title":"Polymerization of lyotropic phases: 1. Isotropic fluid phase of two new polymerizable amphiphiles","type":"article-journal","volume":"7"},"uris":["http://www.mendeley.com/documents/?uuid=a0e94b69-d711-4fb9-abdc-4f128f20581e"]}],"mendeley":{"formattedCitation":"&lt;sup&gt;128&lt;/sup&gt;","plainTextFormattedCitation":"128","previouslyFormattedCitation":"&lt;sup&gt;128&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128</w:t>
            </w:r>
            <w:r w:rsidRPr="006D631C">
              <w:rPr>
                <w:color w:val="000000"/>
                <w:sz w:val="12"/>
                <w:szCs w:val="12"/>
              </w:rPr>
              <w:fldChar w:fldCharType="end"/>
            </w:r>
          </w:p>
        </w:tc>
      </w:tr>
      <w:tr w:rsidR="001322A8" w:rsidRPr="006D631C" w14:paraId="6AE451A2" w14:textId="77777777" w:rsidTr="00433C65">
        <w:trPr>
          <w:trHeight w:val="20"/>
        </w:trPr>
        <w:tc>
          <w:tcPr>
            <w:tcW w:w="851" w:type="dxa"/>
            <w:tcBorders>
              <w:top w:val="nil"/>
              <w:left w:val="nil"/>
              <w:bottom w:val="single" w:sz="4" w:space="0" w:color="auto"/>
              <w:right w:val="nil"/>
            </w:tcBorders>
            <w:shd w:val="clear" w:color="000000" w:fill="FFFFFF"/>
            <w:noWrap/>
            <w:vAlign w:val="center"/>
            <w:hideMark/>
          </w:tcPr>
          <w:p w14:paraId="5BB70CAF" w14:textId="77777777" w:rsidR="001322A8" w:rsidRPr="006D631C" w:rsidRDefault="001322A8" w:rsidP="001322A8">
            <w:pPr>
              <w:spacing w:line="240" w:lineRule="auto"/>
              <w:jc w:val="left"/>
              <w:rPr>
                <w:color w:val="000000"/>
                <w:sz w:val="12"/>
                <w:szCs w:val="12"/>
              </w:rPr>
            </w:pPr>
            <w:r w:rsidRPr="006D631C">
              <w:rPr>
                <w:color w:val="000000"/>
                <w:sz w:val="12"/>
                <w:szCs w:val="12"/>
              </w:rPr>
              <w:t>P-A-14</w:t>
            </w:r>
          </w:p>
        </w:tc>
        <w:tc>
          <w:tcPr>
            <w:tcW w:w="709" w:type="dxa"/>
            <w:vMerge/>
            <w:tcBorders>
              <w:top w:val="nil"/>
              <w:left w:val="nil"/>
              <w:bottom w:val="single" w:sz="4" w:space="0" w:color="000000"/>
              <w:right w:val="nil"/>
            </w:tcBorders>
            <w:vAlign w:val="center"/>
            <w:hideMark/>
          </w:tcPr>
          <w:p w14:paraId="186E75C9" w14:textId="77777777" w:rsidR="001322A8" w:rsidRPr="006D631C" w:rsidRDefault="001322A8" w:rsidP="001322A8">
            <w:pPr>
              <w:spacing w:line="240" w:lineRule="auto"/>
              <w:jc w:val="left"/>
              <w:rPr>
                <w:color w:val="000000"/>
                <w:sz w:val="12"/>
                <w:szCs w:val="12"/>
              </w:rPr>
            </w:pPr>
          </w:p>
        </w:tc>
        <w:tc>
          <w:tcPr>
            <w:tcW w:w="782" w:type="dxa"/>
            <w:vMerge/>
            <w:tcBorders>
              <w:top w:val="nil"/>
              <w:left w:val="nil"/>
              <w:bottom w:val="single" w:sz="4" w:space="0" w:color="000000"/>
              <w:right w:val="nil"/>
            </w:tcBorders>
            <w:vAlign w:val="center"/>
            <w:hideMark/>
          </w:tcPr>
          <w:p w14:paraId="60A95C2F" w14:textId="77777777" w:rsidR="001322A8" w:rsidRPr="006D631C" w:rsidRDefault="001322A8" w:rsidP="001322A8">
            <w:pPr>
              <w:spacing w:line="240" w:lineRule="auto"/>
              <w:jc w:val="left"/>
              <w:rPr>
                <w:color w:val="000000"/>
                <w:sz w:val="12"/>
                <w:szCs w:val="12"/>
              </w:rPr>
            </w:pPr>
          </w:p>
        </w:tc>
        <w:tc>
          <w:tcPr>
            <w:tcW w:w="1202" w:type="dxa"/>
            <w:vMerge/>
            <w:tcBorders>
              <w:top w:val="nil"/>
              <w:left w:val="nil"/>
              <w:bottom w:val="single" w:sz="4" w:space="0" w:color="000000"/>
              <w:right w:val="nil"/>
            </w:tcBorders>
            <w:vAlign w:val="center"/>
            <w:hideMark/>
          </w:tcPr>
          <w:p w14:paraId="7C14D9E7" w14:textId="77777777" w:rsidR="001322A8" w:rsidRPr="006D631C" w:rsidRDefault="001322A8" w:rsidP="001322A8">
            <w:pPr>
              <w:spacing w:line="240" w:lineRule="auto"/>
              <w:jc w:val="left"/>
              <w:rPr>
                <w:color w:val="000000"/>
                <w:sz w:val="12"/>
                <w:szCs w:val="12"/>
              </w:rPr>
            </w:pPr>
          </w:p>
        </w:tc>
        <w:tc>
          <w:tcPr>
            <w:tcW w:w="1418" w:type="dxa"/>
            <w:vMerge/>
            <w:tcBorders>
              <w:top w:val="nil"/>
              <w:left w:val="nil"/>
              <w:bottom w:val="single" w:sz="4" w:space="0" w:color="000000"/>
              <w:right w:val="nil"/>
            </w:tcBorders>
            <w:vAlign w:val="center"/>
            <w:hideMark/>
          </w:tcPr>
          <w:p w14:paraId="436B292F" w14:textId="77777777" w:rsidR="001322A8" w:rsidRPr="006D631C" w:rsidRDefault="001322A8" w:rsidP="001322A8">
            <w:pPr>
              <w:spacing w:line="240" w:lineRule="auto"/>
              <w:jc w:val="left"/>
              <w:rPr>
                <w:color w:val="000000"/>
                <w:sz w:val="12"/>
                <w:szCs w:val="12"/>
              </w:rPr>
            </w:pPr>
          </w:p>
        </w:tc>
        <w:tc>
          <w:tcPr>
            <w:tcW w:w="1134" w:type="dxa"/>
            <w:vMerge/>
            <w:tcBorders>
              <w:top w:val="nil"/>
              <w:left w:val="nil"/>
              <w:bottom w:val="single" w:sz="4" w:space="0" w:color="000000"/>
              <w:right w:val="nil"/>
            </w:tcBorders>
            <w:vAlign w:val="center"/>
            <w:hideMark/>
          </w:tcPr>
          <w:p w14:paraId="0117D6BB" w14:textId="77777777" w:rsidR="001322A8" w:rsidRPr="006D631C" w:rsidRDefault="001322A8" w:rsidP="001322A8">
            <w:pPr>
              <w:spacing w:line="240" w:lineRule="auto"/>
              <w:jc w:val="left"/>
              <w:rPr>
                <w:color w:val="000000"/>
                <w:sz w:val="12"/>
                <w:szCs w:val="12"/>
              </w:rPr>
            </w:pPr>
          </w:p>
        </w:tc>
        <w:tc>
          <w:tcPr>
            <w:tcW w:w="1134" w:type="dxa"/>
            <w:vMerge/>
            <w:tcBorders>
              <w:top w:val="nil"/>
              <w:left w:val="nil"/>
              <w:bottom w:val="single" w:sz="4" w:space="0" w:color="000000"/>
              <w:right w:val="nil"/>
            </w:tcBorders>
            <w:vAlign w:val="center"/>
            <w:hideMark/>
          </w:tcPr>
          <w:p w14:paraId="0A957192" w14:textId="77777777" w:rsidR="001322A8" w:rsidRPr="006D631C" w:rsidRDefault="001322A8" w:rsidP="001322A8">
            <w:pPr>
              <w:spacing w:line="240" w:lineRule="auto"/>
              <w:jc w:val="left"/>
              <w:rPr>
                <w:color w:val="000000"/>
                <w:sz w:val="12"/>
                <w:szCs w:val="12"/>
              </w:rPr>
            </w:pPr>
          </w:p>
        </w:tc>
        <w:tc>
          <w:tcPr>
            <w:tcW w:w="5244" w:type="dxa"/>
            <w:vMerge/>
            <w:tcBorders>
              <w:left w:val="nil"/>
              <w:bottom w:val="single" w:sz="4" w:space="0" w:color="000000"/>
              <w:right w:val="nil"/>
            </w:tcBorders>
            <w:vAlign w:val="center"/>
            <w:hideMark/>
          </w:tcPr>
          <w:p w14:paraId="286664FC" w14:textId="77777777" w:rsidR="001322A8" w:rsidRPr="006D631C" w:rsidRDefault="001322A8" w:rsidP="001322A8">
            <w:pPr>
              <w:pStyle w:val="ListParagraph"/>
              <w:numPr>
                <w:ilvl w:val="0"/>
                <w:numId w:val="11"/>
              </w:numPr>
              <w:spacing w:after="0" w:line="240" w:lineRule="auto"/>
              <w:ind w:left="173" w:hanging="142"/>
              <w:jc w:val="left"/>
              <w:rPr>
                <w:color w:val="000000"/>
                <w:sz w:val="12"/>
                <w:szCs w:val="12"/>
              </w:rPr>
            </w:pPr>
          </w:p>
        </w:tc>
        <w:tc>
          <w:tcPr>
            <w:tcW w:w="426" w:type="dxa"/>
            <w:vMerge/>
            <w:tcBorders>
              <w:top w:val="nil"/>
              <w:left w:val="nil"/>
              <w:bottom w:val="single" w:sz="4" w:space="0" w:color="000000"/>
              <w:right w:val="nil"/>
            </w:tcBorders>
            <w:vAlign w:val="center"/>
            <w:hideMark/>
          </w:tcPr>
          <w:p w14:paraId="7B3CE9DA" w14:textId="77777777" w:rsidR="001322A8" w:rsidRPr="006D631C" w:rsidRDefault="001322A8" w:rsidP="001322A8">
            <w:pPr>
              <w:spacing w:line="240" w:lineRule="auto"/>
              <w:jc w:val="left"/>
              <w:rPr>
                <w:color w:val="000000"/>
                <w:sz w:val="12"/>
                <w:szCs w:val="12"/>
              </w:rPr>
            </w:pPr>
          </w:p>
        </w:tc>
      </w:tr>
      <w:tr w:rsidR="001322A8" w:rsidRPr="006D631C" w14:paraId="3D8230F7" w14:textId="77777777" w:rsidTr="00433C65">
        <w:trPr>
          <w:trHeight w:val="20"/>
        </w:trPr>
        <w:tc>
          <w:tcPr>
            <w:tcW w:w="851" w:type="dxa"/>
            <w:tcBorders>
              <w:top w:val="nil"/>
              <w:left w:val="nil"/>
              <w:bottom w:val="single" w:sz="4" w:space="0" w:color="auto"/>
              <w:right w:val="nil"/>
            </w:tcBorders>
            <w:shd w:val="clear" w:color="000000" w:fill="FFFFFF"/>
            <w:noWrap/>
            <w:vAlign w:val="center"/>
            <w:hideMark/>
          </w:tcPr>
          <w:p w14:paraId="541C98A1" w14:textId="77777777" w:rsidR="001322A8" w:rsidRPr="006D631C" w:rsidRDefault="001322A8" w:rsidP="001322A8">
            <w:pPr>
              <w:spacing w:line="240" w:lineRule="auto"/>
              <w:jc w:val="left"/>
              <w:rPr>
                <w:color w:val="000000"/>
                <w:sz w:val="12"/>
                <w:szCs w:val="12"/>
              </w:rPr>
            </w:pPr>
            <w:r w:rsidRPr="006D631C">
              <w:rPr>
                <w:color w:val="000000"/>
                <w:sz w:val="12"/>
                <w:szCs w:val="12"/>
              </w:rPr>
              <w:t>P-A-15</w:t>
            </w:r>
          </w:p>
        </w:tc>
        <w:tc>
          <w:tcPr>
            <w:tcW w:w="709" w:type="dxa"/>
            <w:tcBorders>
              <w:top w:val="nil"/>
              <w:left w:val="nil"/>
              <w:bottom w:val="single" w:sz="4" w:space="0" w:color="auto"/>
              <w:right w:val="nil"/>
            </w:tcBorders>
            <w:shd w:val="clear" w:color="000000" w:fill="FFFFFF"/>
            <w:vAlign w:val="center"/>
            <w:hideMark/>
          </w:tcPr>
          <w:p w14:paraId="68183E2A" w14:textId="77777777" w:rsidR="001322A8" w:rsidRPr="006D631C" w:rsidRDefault="001322A8" w:rsidP="001322A8">
            <w:pPr>
              <w:spacing w:line="240" w:lineRule="auto"/>
              <w:jc w:val="left"/>
              <w:rPr>
                <w:color w:val="000000"/>
                <w:sz w:val="12"/>
                <w:szCs w:val="12"/>
              </w:rPr>
            </w:pPr>
            <w:r w:rsidRPr="006D631C">
              <w:rPr>
                <w:color w:val="000000"/>
                <w:sz w:val="12"/>
                <w:szCs w:val="12"/>
              </w:rPr>
              <w:t>C-3</w:t>
            </w:r>
          </w:p>
        </w:tc>
        <w:tc>
          <w:tcPr>
            <w:tcW w:w="782" w:type="dxa"/>
            <w:tcBorders>
              <w:top w:val="nil"/>
              <w:left w:val="nil"/>
              <w:bottom w:val="single" w:sz="4" w:space="0" w:color="auto"/>
              <w:right w:val="nil"/>
            </w:tcBorders>
            <w:shd w:val="clear" w:color="000000" w:fill="FFFFFF"/>
            <w:vAlign w:val="center"/>
            <w:hideMark/>
          </w:tcPr>
          <w:p w14:paraId="0515BDC2" w14:textId="77777777" w:rsidR="001322A8" w:rsidRPr="006D631C" w:rsidRDefault="001322A8" w:rsidP="001322A8">
            <w:pPr>
              <w:spacing w:line="240" w:lineRule="auto"/>
              <w:jc w:val="left"/>
              <w:rPr>
                <w:color w:val="000000"/>
                <w:sz w:val="12"/>
                <w:szCs w:val="12"/>
              </w:rPr>
            </w:pPr>
            <w:r w:rsidRPr="006D631C">
              <w:rPr>
                <w:color w:val="000000"/>
                <w:sz w:val="12"/>
                <w:szCs w:val="12"/>
              </w:rPr>
              <w:t>I-2</w:t>
            </w:r>
          </w:p>
        </w:tc>
        <w:tc>
          <w:tcPr>
            <w:tcW w:w="1202" w:type="dxa"/>
            <w:tcBorders>
              <w:top w:val="nil"/>
              <w:left w:val="nil"/>
              <w:bottom w:val="single" w:sz="4" w:space="0" w:color="auto"/>
              <w:right w:val="nil"/>
            </w:tcBorders>
            <w:shd w:val="clear" w:color="000000" w:fill="FFFFFF"/>
            <w:noWrap/>
            <w:vAlign w:val="center"/>
            <w:hideMark/>
          </w:tcPr>
          <w:p w14:paraId="3A4D5747" w14:textId="55C16435" w:rsidR="001322A8" w:rsidRPr="006D631C" w:rsidRDefault="001322A8" w:rsidP="001322A8">
            <w:pPr>
              <w:spacing w:line="240" w:lineRule="auto"/>
              <w:jc w:val="left"/>
              <w:rPr>
                <w:color w:val="000000"/>
                <w:sz w:val="12"/>
                <w:szCs w:val="12"/>
              </w:rPr>
            </w:pPr>
            <w:r w:rsidRPr="006D631C">
              <w:rPr>
                <w:color w:val="000000"/>
                <w:sz w:val="12"/>
                <w:szCs w:val="12"/>
              </w:rPr>
              <w:t>81 (H</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38ED87FD" w14:textId="77777777" w:rsidR="001322A8" w:rsidRPr="006D631C" w:rsidRDefault="001322A8" w:rsidP="001322A8">
            <w:pPr>
              <w:spacing w:line="240" w:lineRule="auto"/>
              <w:jc w:val="left"/>
              <w:rPr>
                <w:color w:val="000000"/>
                <w:sz w:val="12"/>
                <w:szCs w:val="12"/>
              </w:rPr>
            </w:pPr>
            <w:r w:rsidRPr="006D631C">
              <w:rPr>
                <w:color w:val="000000"/>
                <w:sz w:val="12"/>
                <w:szCs w:val="12"/>
              </w:rPr>
              <w:t>Retention of H</w:t>
            </w:r>
            <w:r w:rsidRPr="006D631C">
              <w:rPr>
                <w:color w:val="000000"/>
                <w:sz w:val="12"/>
                <w:szCs w:val="12"/>
                <w:vertAlign w:val="subscript"/>
              </w:rPr>
              <w:t>2</w:t>
            </w:r>
            <w:r w:rsidRPr="006D631C">
              <w:rPr>
                <w:color w:val="000000"/>
                <w:sz w:val="12"/>
                <w:szCs w:val="12"/>
              </w:rPr>
              <w:t xml:space="preserve"> at      10 </w:t>
            </w:r>
            <w:proofErr w:type="spellStart"/>
            <w:r w:rsidRPr="006D631C">
              <w:rPr>
                <w:color w:val="000000"/>
                <w:sz w:val="12"/>
                <w:szCs w:val="12"/>
              </w:rPr>
              <w:t>wt</w:t>
            </w:r>
            <w:proofErr w:type="spellEnd"/>
            <w:r w:rsidRPr="006D631C">
              <w:rPr>
                <w:color w:val="000000"/>
                <w:sz w:val="12"/>
                <w:szCs w:val="12"/>
              </w:rPr>
              <w:t>% C-3</w:t>
            </w:r>
          </w:p>
        </w:tc>
        <w:tc>
          <w:tcPr>
            <w:tcW w:w="1134" w:type="dxa"/>
            <w:tcBorders>
              <w:top w:val="nil"/>
              <w:left w:val="nil"/>
              <w:bottom w:val="single" w:sz="4" w:space="0" w:color="auto"/>
              <w:right w:val="nil"/>
            </w:tcBorders>
            <w:shd w:val="clear" w:color="000000" w:fill="FFFFFF"/>
            <w:noWrap/>
            <w:vAlign w:val="center"/>
            <w:hideMark/>
          </w:tcPr>
          <w:p w14:paraId="0B86CADB" w14:textId="77777777" w:rsidR="001322A8" w:rsidRPr="006D631C" w:rsidRDefault="001322A8" w:rsidP="001322A8">
            <w:pPr>
              <w:spacing w:line="240" w:lineRule="auto"/>
              <w:jc w:val="left"/>
              <w:rPr>
                <w:color w:val="000000"/>
                <w:sz w:val="12"/>
                <w:szCs w:val="12"/>
              </w:rPr>
            </w:pPr>
            <w:r w:rsidRPr="006D631C">
              <w:rPr>
                <w:color w:val="000000"/>
                <w:sz w:val="12"/>
                <w:szCs w:val="12"/>
              </w:rPr>
              <w:t>6.53</w:t>
            </w:r>
          </w:p>
        </w:tc>
        <w:tc>
          <w:tcPr>
            <w:tcW w:w="1134" w:type="dxa"/>
            <w:tcBorders>
              <w:top w:val="nil"/>
              <w:left w:val="nil"/>
              <w:bottom w:val="single" w:sz="4" w:space="0" w:color="auto"/>
              <w:right w:val="nil"/>
            </w:tcBorders>
            <w:shd w:val="clear" w:color="000000" w:fill="FFFFFF"/>
            <w:noWrap/>
            <w:vAlign w:val="center"/>
            <w:hideMark/>
          </w:tcPr>
          <w:p w14:paraId="4D20F425" w14:textId="77777777" w:rsidR="001322A8" w:rsidRPr="006D631C" w:rsidRDefault="001322A8" w:rsidP="001322A8">
            <w:pPr>
              <w:spacing w:line="240" w:lineRule="auto"/>
              <w:jc w:val="left"/>
              <w:rPr>
                <w:color w:val="000000"/>
                <w:sz w:val="12"/>
                <w:szCs w:val="12"/>
              </w:rPr>
            </w:pPr>
            <w:r w:rsidRPr="006D631C">
              <w:rPr>
                <w:color w:val="000000"/>
                <w:sz w:val="12"/>
                <w:szCs w:val="12"/>
              </w:rPr>
              <w:t>7.1</w:t>
            </w:r>
          </w:p>
        </w:tc>
        <w:tc>
          <w:tcPr>
            <w:tcW w:w="5244" w:type="dxa"/>
            <w:tcBorders>
              <w:top w:val="nil"/>
              <w:left w:val="nil"/>
              <w:bottom w:val="single" w:sz="4" w:space="0" w:color="auto"/>
              <w:right w:val="nil"/>
            </w:tcBorders>
            <w:shd w:val="clear" w:color="000000" w:fill="FFFFFF"/>
            <w:noWrap/>
            <w:vAlign w:val="center"/>
          </w:tcPr>
          <w:p w14:paraId="25E69A43" w14:textId="77777777" w:rsidR="001322A8" w:rsidRPr="006D631C" w:rsidRDefault="001322A8" w:rsidP="001322A8">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The structure cannot be retained at 30 </w:t>
            </w:r>
            <w:proofErr w:type="spellStart"/>
            <w:r w:rsidRPr="006D631C">
              <w:rPr>
                <w:color w:val="000000"/>
                <w:sz w:val="12"/>
                <w:szCs w:val="12"/>
              </w:rPr>
              <w:t>wt</w:t>
            </w:r>
            <w:proofErr w:type="spellEnd"/>
            <w:r w:rsidRPr="006D631C">
              <w:rPr>
                <w:color w:val="000000"/>
                <w:sz w:val="12"/>
                <w:szCs w:val="12"/>
              </w:rPr>
              <w:t>% C-3</w:t>
            </w:r>
          </w:p>
        </w:tc>
        <w:tc>
          <w:tcPr>
            <w:tcW w:w="426" w:type="dxa"/>
            <w:vMerge w:val="restart"/>
            <w:tcBorders>
              <w:top w:val="nil"/>
              <w:left w:val="nil"/>
              <w:bottom w:val="single" w:sz="8" w:space="0" w:color="000000"/>
              <w:right w:val="nil"/>
            </w:tcBorders>
            <w:shd w:val="clear" w:color="000000" w:fill="FFFFFF"/>
            <w:vAlign w:val="center"/>
            <w:hideMark/>
          </w:tcPr>
          <w:p w14:paraId="1AB8C59F" w14:textId="77777777" w:rsidR="001322A8" w:rsidRPr="006D631C" w:rsidRDefault="001322A8" w:rsidP="001322A8">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Pr="006D631C">
              <w:rPr>
                <w:color w:val="000000"/>
                <w:sz w:val="12"/>
                <w:szCs w:val="12"/>
              </w:rPr>
              <w:instrText>ADDIN CSL_CITATION {"citationItems":[{"id":"ITEM-1","itemData":{"DOI":"10.1002/pola.21573","ISSN":"0887624X","abstract":"A group of polymerizable amphiphiles, with their critical packing parameters systematically varied, were studied with respect to the phase behavior and immobilization of their lyotropic liquid-crystalline phase structures. Small-angle X-ray scattering and polarized light microscopy were used to study their liquid-crystalline phases before and after photopolymerization. The liquid crystallinity of the amphiphiles depended on the contents of both oil and water in the ternary systems. Through photopolymerization, hexagonal phases could generally be immobilized, with the structural order reduced to various degrees. However, the cubic phases evolved with polymerization into another structural pattern, which was possibly related to the lamellar struc ture. © 2006 Wiley Periodicals, Inc.","author":[{"dropping-particle":"","family":"Li","given":"Minghe","non-dropping-particle":"","parse-names":false,"suffix":""},{"dropping-particle":"","family":"Yang","given":"Wuli","non-dropping-particle":"","parse-names":false,"suffix":""},{"dropping-particle":"","family":"Chen","given":"Zhenxia","non-dropping-particle":"","parse-names":false,"suffix":""},{"dropping-particle":"","family":"Qian","given":"J.","non-dropping-particle":"","parse-names":false,"suffix":""},{"dropping-particle":"","family":"Wang","given":"Changchun","non-dropping-particle":"","parse-names":false,"suffix":""},{"dropping-particle":"","family":"Fu","given":"Shoukuan","non-dropping-particle":"","parse-names":false,"suffix":""}],"container-title":"Journal of Polymer Science, Part A: Polymer Chemistry","id":"ITEM-1","issue":"20","issued":{"date-parts":[["2006"]]},"page":"5887-5897","title":"Phase behavior and polymerization of lyotropic phases. II. A series of polymerizable amphiphiles with systematically varied critical packing parameters","type":"article-journal","volume":"44"},"uris":["http://www.mendeley.com/documents/?uuid=d8bc8fea-d2e2-41f4-bfa9-cd862f16ff03"]}],"mendeley":{"formattedCitation":"&lt;sup&gt;77&lt;/sup&gt;","plainTextFormattedCitation":"77","previouslyFormattedCitation":"&lt;sup&gt;77&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77</w:t>
            </w:r>
            <w:r w:rsidRPr="006D631C">
              <w:rPr>
                <w:color w:val="000000"/>
                <w:sz w:val="12"/>
                <w:szCs w:val="12"/>
              </w:rPr>
              <w:fldChar w:fldCharType="end"/>
            </w:r>
          </w:p>
        </w:tc>
      </w:tr>
      <w:tr w:rsidR="001322A8" w:rsidRPr="006D631C" w14:paraId="7F2E594E" w14:textId="77777777" w:rsidTr="00433C65">
        <w:trPr>
          <w:trHeight w:val="20"/>
        </w:trPr>
        <w:tc>
          <w:tcPr>
            <w:tcW w:w="851" w:type="dxa"/>
            <w:tcBorders>
              <w:top w:val="nil"/>
              <w:left w:val="nil"/>
              <w:bottom w:val="single" w:sz="4" w:space="0" w:color="auto"/>
              <w:right w:val="nil"/>
            </w:tcBorders>
            <w:shd w:val="clear" w:color="000000" w:fill="FFFFFF"/>
            <w:noWrap/>
            <w:vAlign w:val="center"/>
            <w:hideMark/>
          </w:tcPr>
          <w:p w14:paraId="469D4328" w14:textId="77777777" w:rsidR="001322A8" w:rsidRPr="006D631C" w:rsidRDefault="001322A8" w:rsidP="00705731">
            <w:pPr>
              <w:spacing w:line="240" w:lineRule="auto"/>
              <w:jc w:val="left"/>
              <w:rPr>
                <w:color w:val="000000"/>
                <w:sz w:val="12"/>
                <w:szCs w:val="12"/>
              </w:rPr>
            </w:pPr>
            <w:r w:rsidRPr="006D631C">
              <w:rPr>
                <w:color w:val="000000"/>
                <w:sz w:val="12"/>
                <w:szCs w:val="12"/>
              </w:rPr>
              <w:t>P-A-16</w:t>
            </w:r>
          </w:p>
        </w:tc>
        <w:tc>
          <w:tcPr>
            <w:tcW w:w="709" w:type="dxa"/>
            <w:tcBorders>
              <w:top w:val="nil"/>
              <w:left w:val="nil"/>
              <w:bottom w:val="single" w:sz="4" w:space="0" w:color="auto"/>
              <w:right w:val="nil"/>
            </w:tcBorders>
            <w:shd w:val="clear" w:color="000000" w:fill="FFFFFF"/>
            <w:vAlign w:val="center"/>
            <w:hideMark/>
          </w:tcPr>
          <w:p w14:paraId="1A261DB1" w14:textId="77777777" w:rsidR="001322A8" w:rsidRPr="006D631C" w:rsidRDefault="001322A8" w:rsidP="00A638E4">
            <w:pPr>
              <w:spacing w:line="240" w:lineRule="auto"/>
              <w:ind w:left="-9"/>
              <w:jc w:val="left"/>
              <w:rPr>
                <w:color w:val="000000"/>
                <w:sz w:val="12"/>
                <w:szCs w:val="12"/>
              </w:rPr>
            </w:pPr>
            <w:r w:rsidRPr="006D631C">
              <w:rPr>
                <w:color w:val="000000"/>
                <w:sz w:val="12"/>
                <w:szCs w:val="12"/>
              </w:rPr>
              <w:t>C-3</w:t>
            </w:r>
          </w:p>
        </w:tc>
        <w:tc>
          <w:tcPr>
            <w:tcW w:w="782" w:type="dxa"/>
            <w:tcBorders>
              <w:top w:val="nil"/>
              <w:left w:val="nil"/>
              <w:bottom w:val="single" w:sz="4" w:space="0" w:color="auto"/>
              <w:right w:val="nil"/>
            </w:tcBorders>
            <w:shd w:val="clear" w:color="000000" w:fill="FFFFFF"/>
            <w:vAlign w:val="center"/>
            <w:hideMark/>
          </w:tcPr>
          <w:p w14:paraId="434DBFB4" w14:textId="77777777" w:rsidR="001322A8" w:rsidRPr="006D631C" w:rsidRDefault="001322A8" w:rsidP="001322A8">
            <w:pPr>
              <w:spacing w:line="240" w:lineRule="auto"/>
              <w:jc w:val="left"/>
              <w:rPr>
                <w:color w:val="000000"/>
                <w:sz w:val="12"/>
                <w:szCs w:val="12"/>
              </w:rPr>
            </w:pPr>
            <w:r w:rsidRPr="006D631C">
              <w:rPr>
                <w:color w:val="000000"/>
                <w:sz w:val="12"/>
                <w:szCs w:val="12"/>
              </w:rPr>
              <w:t>I-2</w:t>
            </w:r>
          </w:p>
        </w:tc>
        <w:tc>
          <w:tcPr>
            <w:tcW w:w="1202" w:type="dxa"/>
            <w:tcBorders>
              <w:top w:val="nil"/>
              <w:left w:val="nil"/>
              <w:bottom w:val="single" w:sz="4" w:space="0" w:color="auto"/>
              <w:right w:val="nil"/>
            </w:tcBorders>
            <w:shd w:val="clear" w:color="000000" w:fill="FFFFFF"/>
            <w:vAlign w:val="center"/>
            <w:hideMark/>
          </w:tcPr>
          <w:p w14:paraId="22E1709B" w14:textId="4A8835F2" w:rsidR="001322A8" w:rsidRPr="006D631C" w:rsidRDefault="001322A8" w:rsidP="003860D2">
            <w:pPr>
              <w:spacing w:line="240" w:lineRule="auto"/>
              <w:jc w:val="left"/>
              <w:rPr>
                <w:color w:val="000000"/>
                <w:sz w:val="12"/>
                <w:szCs w:val="12"/>
              </w:rPr>
            </w:pPr>
            <w:r w:rsidRPr="006D631C">
              <w:rPr>
                <w:color w:val="000000"/>
                <w:sz w:val="12"/>
                <w:szCs w:val="12"/>
              </w:rPr>
              <w:t>28 (</w:t>
            </w:r>
            <w:r w:rsidR="003860D2" w:rsidRPr="006D631C">
              <w:rPr>
                <w:color w:val="000000"/>
                <w:sz w:val="12"/>
                <w:szCs w:val="12"/>
              </w:rPr>
              <w:t>I</w:t>
            </w:r>
            <w:r w:rsidR="003860D2" w:rsidRPr="006D631C">
              <w:rPr>
                <w:color w:val="000000"/>
                <w:sz w:val="12"/>
                <w:szCs w:val="12"/>
                <w:vertAlign w:val="subscript"/>
              </w:rPr>
              <w:t>1</w:t>
            </w:r>
            <w:r w:rsidRPr="006D631C">
              <w:rPr>
                <w:color w:val="000000"/>
                <w:sz w:val="12"/>
                <w:szCs w:val="12"/>
              </w:rPr>
              <w:t>)</w:t>
            </w:r>
            <w:r w:rsidRPr="006D631C">
              <w:rPr>
                <w:color w:val="000000"/>
                <w:sz w:val="12"/>
                <w:szCs w:val="12"/>
              </w:rPr>
              <w:br/>
              <w:t>54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30CBE609" w14:textId="7EEFED1C" w:rsidR="001322A8" w:rsidRPr="006D631C" w:rsidRDefault="001322A8" w:rsidP="00161314">
            <w:pPr>
              <w:spacing w:line="240" w:lineRule="auto"/>
              <w:jc w:val="left"/>
              <w:rPr>
                <w:color w:val="000000"/>
                <w:sz w:val="12"/>
                <w:szCs w:val="12"/>
              </w:rPr>
            </w:pPr>
            <w:r w:rsidRPr="006D631C">
              <w:rPr>
                <w:color w:val="000000"/>
                <w:sz w:val="12"/>
                <w:szCs w:val="12"/>
              </w:rPr>
              <w:t xml:space="preserve">Disordered structure at 30 and 12 </w:t>
            </w:r>
            <w:proofErr w:type="spellStart"/>
            <w:r w:rsidRPr="006D631C">
              <w:rPr>
                <w:color w:val="000000"/>
                <w:sz w:val="12"/>
                <w:szCs w:val="12"/>
              </w:rPr>
              <w:t>wt</w:t>
            </w:r>
            <w:proofErr w:type="spellEnd"/>
            <w:r w:rsidRPr="006D631C">
              <w:rPr>
                <w:color w:val="000000"/>
                <w:sz w:val="12"/>
                <w:szCs w:val="12"/>
              </w:rPr>
              <w:t>% C-3 for H</w:t>
            </w:r>
            <w:r w:rsidRPr="006D631C">
              <w:rPr>
                <w:color w:val="000000"/>
                <w:sz w:val="12"/>
                <w:szCs w:val="12"/>
                <w:vertAlign w:val="subscript"/>
              </w:rPr>
              <w:t>2</w:t>
            </w:r>
            <w:r w:rsidRPr="006D631C">
              <w:rPr>
                <w:color w:val="000000"/>
                <w:sz w:val="12"/>
                <w:szCs w:val="12"/>
              </w:rPr>
              <w:t xml:space="preserve"> and </w:t>
            </w:r>
            <w:r w:rsidR="00161314" w:rsidRPr="006D631C">
              <w:rPr>
                <w:color w:val="000000"/>
                <w:sz w:val="12"/>
                <w:szCs w:val="12"/>
              </w:rPr>
              <w:t>I</w:t>
            </w:r>
            <w:r w:rsidR="00161314" w:rsidRPr="006D631C">
              <w:rPr>
                <w:color w:val="000000"/>
                <w:sz w:val="12"/>
                <w:szCs w:val="12"/>
                <w:vertAlign w:val="subscript"/>
              </w:rPr>
              <w:t>1</w:t>
            </w:r>
            <w:r w:rsidRPr="006D631C">
              <w:rPr>
                <w:color w:val="000000"/>
                <w:sz w:val="12"/>
                <w:szCs w:val="12"/>
              </w:rPr>
              <w:t>, respectively</w:t>
            </w:r>
          </w:p>
        </w:tc>
        <w:tc>
          <w:tcPr>
            <w:tcW w:w="1134" w:type="dxa"/>
            <w:tcBorders>
              <w:top w:val="nil"/>
              <w:left w:val="nil"/>
              <w:bottom w:val="single" w:sz="4" w:space="0" w:color="auto"/>
              <w:right w:val="nil"/>
            </w:tcBorders>
            <w:shd w:val="clear" w:color="000000" w:fill="FFFFFF"/>
            <w:noWrap/>
            <w:vAlign w:val="center"/>
            <w:hideMark/>
          </w:tcPr>
          <w:p w14:paraId="1944B413" w14:textId="77777777" w:rsidR="001322A8" w:rsidRPr="006D631C" w:rsidRDefault="001322A8" w:rsidP="001322A8">
            <w:pPr>
              <w:spacing w:line="240" w:lineRule="auto"/>
              <w:jc w:val="left"/>
              <w:rPr>
                <w:color w:val="000000"/>
                <w:sz w:val="12"/>
                <w:szCs w:val="12"/>
              </w:rPr>
            </w:pPr>
            <w:r w:rsidRPr="006D631C">
              <w:rPr>
                <w:color w:val="000000"/>
                <w:sz w:val="12"/>
                <w:szCs w:val="12"/>
              </w:rPr>
              <w:t>8.65 (H</w:t>
            </w:r>
            <w:r w:rsidRPr="006D631C">
              <w:rPr>
                <w:color w:val="000000"/>
                <w:sz w:val="12"/>
                <w:szCs w:val="12"/>
                <w:vertAlign w:val="subscript"/>
              </w:rPr>
              <w:t>2</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7BBCF758" w14:textId="77777777" w:rsidR="001322A8" w:rsidRPr="006D631C" w:rsidRDefault="001322A8" w:rsidP="001322A8">
            <w:pPr>
              <w:spacing w:line="240" w:lineRule="auto"/>
              <w:jc w:val="left"/>
              <w:rPr>
                <w:color w:val="000000"/>
                <w:sz w:val="12"/>
                <w:szCs w:val="12"/>
              </w:rPr>
            </w:pPr>
            <w:r w:rsidRPr="006D631C">
              <w:rPr>
                <w:color w:val="000000"/>
                <w:sz w:val="12"/>
                <w:szCs w:val="12"/>
              </w:rPr>
              <w:t>9.62 (H</w:t>
            </w:r>
            <w:r w:rsidRPr="006D631C">
              <w:rPr>
                <w:color w:val="000000"/>
                <w:sz w:val="12"/>
                <w:szCs w:val="12"/>
                <w:vertAlign w:val="subscript"/>
              </w:rPr>
              <w:t>2</w:t>
            </w: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hideMark/>
          </w:tcPr>
          <w:p w14:paraId="3B58B839" w14:textId="17342C60" w:rsidR="001322A8" w:rsidRPr="006D631C" w:rsidRDefault="001322A8" w:rsidP="001322A8">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Incomplete conversion due to the chains mobility restriction in cross-linked network</w:t>
            </w:r>
          </w:p>
        </w:tc>
        <w:tc>
          <w:tcPr>
            <w:tcW w:w="426" w:type="dxa"/>
            <w:vMerge/>
            <w:tcBorders>
              <w:top w:val="nil"/>
              <w:left w:val="nil"/>
              <w:bottom w:val="single" w:sz="4" w:space="0" w:color="auto"/>
              <w:right w:val="nil"/>
            </w:tcBorders>
            <w:vAlign w:val="center"/>
            <w:hideMark/>
          </w:tcPr>
          <w:p w14:paraId="55A03C18" w14:textId="77777777" w:rsidR="001322A8" w:rsidRPr="006D631C" w:rsidRDefault="001322A8" w:rsidP="001322A8">
            <w:pPr>
              <w:spacing w:line="240" w:lineRule="auto"/>
              <w:jc w:val="left"/>
              <w:rPr>
                <w:color w:val="000000"/>
                <w:sz w:val="12"/>
                <w:szCs w:val="12"/>
              </w:rPr>
            </w:pPr>
          </w:p>
        </w:tc>
      </w:tr>
    </w:tbl>
    <w:p w14:paraId="245510E7" w14:textId="77777777" w:rsidR="00F036FC" w:rsidRPr="006D631C" w:rsidRDefault="00F036FC" w:rsidP="00F036FC">
      <w:pPr>
        <w:pStyle w:val="Caption"/>
        <w:spacing w:after="0"/>
        <w:jc w:val="center"/>
        <w:rPr>
          <w:sz w:val="22"/>
          <w:szCs w:val="22"/>
        </w:rPr>
      </w:pPr>
    </w:p>
    <w:p w14:paraId="15A910C0" w14:textId="41AEB2F9" w:rsidR="00F036FC" w:rsidRPr="006D631C" w:rsidRDefault="00CC584A" w:rsidP="00CC584A">
      <w:pPr>
        <w:pStyle w:val="Caption"/>
        <w:spacing w:after="0"/>
        <w:jc w:val="center"/>
        <w:rPr>
          <w:rFonts w:asciiTheme="majorBidi" w:hAnsiTheme="majorBidi" w:cstheme="majorBidi"/>
          <w:sz w:val="22"/>
          <w:szCs w:val="22"/>
        </w:rPr>
      </w:pPr>
      <w:r w:rsidRPr="006D631C">
        <w:rPr>
          <w:sz w:val="22"/>
          <w:szCs w:val="22"/>
        </w:rPr>
        <w:lastRenderedPageBreak/>
        <w:t xml:space="preserve">Table 1-2. </w:t>
      </w:r>
      <w:r w:rsidRPr="006D631C">
        <w:rPr>
          <w:i/>
          <w:sz w:val="22"/>
          <w:szCs w:val="22"/>
        </w:rPr>
        <w:t>(Contd.)</w:t>
      </w:r>
    </w:p>
    <w:tbl>
      <w:tblPr>
        <w:tblW w:w="12900" w:type="dxa"/>
        <w:jc w:val="center"/>
        <w:tblLayout w:type="fixed"/>
        <w:tblLook w:val="04A0" w:firstRow="1" w:lastRow="0" w:firstColumn="1" w:lastColumn="0" w:noHBand="0" w:noVBand="1"/>
      </w:tblPr>
      <w:tblGrid>
        <w:gridCol w:w="851"/>
        <w:gridCol w:w="709"/>
        <w:gridCol w:w="708"/>
        <w:gridCol w:w="1276"/>
        <w:gridCol w:w="1418"/>
        <w:gridCol w:w="1134"/>
        <w:gridCol w:w="1134"/>
        <w:gridCol w:w="5244"/>
        <w:gridCol w:w="426"/>
      </w:tblGrid>
      <w:tr w:rsidR="000A1415" w:rsidRPr="006D631C" w14:paraId="2F67D6DB" w14:textId="77777777" w:rsidTr="00705731">
        <w:trPr>
          <w:trHeight w:val="20"/>
          <w:jc w:val="center"/>
        </w:trPr>
        <w:tc>
          <w:tcPr>
            <w:tcW w:w="851" w:type="dxa"/>
            <w:tcBorders>
              <w:top w:val="single" w:sz="8" w:space="0" w:color="auto"/>
              <w:left w:val="nil"/>
              <w:bottom w:val="single" w:sz="8" w:space="0" w:color="auto"/>
              <w:right w:val="nil"/>
            </w:tcBorders>
            <w:shd w:val="clear" w:color="000000" w:fill="FFFFFF"/>
            <w:noWrap/>
            <w:vAlign w:val="center"/>
            <w:hideMark/>
          </w:tcPr>
          <w:p w14:paraId="39F5C7BF" w14:textId="77777777" w:rsidR="00181A1B" w:rsidRPr="006D631C" w:rsidRDefault="00181A1B" w:rsidP="00AA2E53">
            <w:pPr>
              <w:spacing w:line="240" w:lineRule="auto"/>
              <w:jc w:val="left"/>
              <w:rPr>
                <w:b/>
                <w:bCs/>
                <w:color w:val="000000"/>
                <w:sz w:val="12"/>
                <w:szCs w:val="12"/>
              </w:rPr>
            </w:pPr>
            <w:proofErr w:type="spellStart"/>
            <w:r w:rsidRPr="006D631C">
              <w:rPr>
                <w:b/>
                <w:bCs/>
                <w:color w:val="000000"/>
                <w:sz w:val="12"/>
                <w:szCs w:val="12"/>
              </w:rPr>
              <w:t>Amphiphile</w:t>
            </w:r>
            <w:proofErr w:type="spellEnd"/>
          </w:p>
        </w:tc>
        <w:tc>
          <w:tcPr>
            <w:tcW w:w="709" w:type="dxa"/>
            <w:tcBorders>
              <w:top w:val="single" w:sz="8" w:space="0" w:color="auto"/>
              <w:left w:val="nil"/>
              <w:bottom w:val="single" w:sz="8" w:space="0" w:color="auto"/>
              <w:right w:val="nil"/>
            </w:tcBorders>
            <w:shd w:val="clear" w:color="000000" w:fill="FFFFFF"/>
            <w:vAlign w:val="center"/>
            <w:hideMark/>
          </w:tcPr>
          <w:p w14:paraId="24FCC115" w14:textId="77777777" w:rsidR="00181A1B" w:rsidRPr="006D631C" w:rsidRDefault="00181A1B" w:rsidP="00AA2E53">
            <w:pPr>
              <w:spacing w:line="240" w:lineRule="auto"/>
              <w:jc w:val="left"/>
              <w:rPr>
                <w:b/>
                <w:bCs/>
                <w:color w:val="000000"/>
                <w:sz w:val="12"/>
                <w:szCs w:val="12"/>
              </w:rPr>
            </w:pPr>
            <w:r w:rsidRPr="006D631C">
              <w:rPr>
                <w:b/>
                <w:bCs/>
                <w:color w:val="000000"/>
                <w:sz w:val="12"/>
                <w:szCs w:val="12"/>
              </w:rPr>
              <w:t>Cross-linker</w:t>
            </w:r>
          </w:p>
        </w:tc>
        <w:tc>
          <w:tcPr>
            <w:tcW w:w="708" w:type="dxa"/>
            <w:tcBorders>
              <w:top w:val="single" w:sz="8" w:space="0" w:color="auto"/>
              <w:left w:val="nil"/>
              <w:bottom w:val="single" w:sz="8" w:space="0" w:color="auto"/>
              <w:right w:val="nil"/>
            </w:tcBorders>
            <w:shd w:val="clear" w:color="000000" w:fill="FFFFFF"/>
            <w:vAlign w:val="center"/>
            <w:hideMark/>
          </w:tcPr>
          <w:p w14:paraId="0F87FC2D" w14:textId="77777777" w:rsidR="00181A1B" w:rsidRPr="006D631C" w:rsidRDefault="00181A1B" w:rsidP="000A1415">
            <w:pPr>
              <w:spacing w:line="240" w:lineRule="auto"/>
              <w:ind w:left="-1"/>
              <w:jc w:val="left"/>
              <w:rPr>
                <w:b/>
                <w:bCs/>
                <w:color w:val="000000"/>
                <w:sz w:val="12"/>
                <w:szCs w:val="12"/>
              </w:rPr>
            </w:pPr>
            <w:r w:rsidRPr="006D631C">
              <w:rPr>
                <w:b/>
                <w:bCs/>
                <w:color w:val="000000"/>
                <w:sz w:val="12"/>
                <w:szCs w:val="12"/>
              </w:rPr>
              <w:t>Initiation system</w:t>
            </w:r>
          </w:p>
        </w:tc>
        <w:tc>
          <w:tcPr>
            <w:tcW w:w="1276" w:type="dxa"/>
            <w:tcBorders>
              <w:top w:val="single" w:sz="8" w:space="0" w:color="auto"/>
              <w:left w:val="nil"/>
              <w:bottom w:val="single" w:sz="8" w:space="0" w:color="auto"/>
              <w:right w:val="nil"/>
            </w:tcBorders>
            <w:shd w:val="clear" w:color="000000" w:fill="FFFFFF"/>
            <w:vAlign w:val="center"/>
            <w:hideMark/>
          </w:tcPr>
          <w:p w14:paraId="63223DF7" w14:textId="77777777" w:rsidR="00181A1B" w:rsidRPr="006D631C" w:rsidRDefault="00181A1B" w:rsidP="00705731">
            <w:pPr>
              <w:spacing w:line="240" w:lineRule="auto"/>
              <w:ind w:left="37"/>
              <w:jc w:val="left"/>
              <w:rPr>
                <w:b/>
                <w:bCs/>
                <w:color w:val="000000"/>
                <w:sz w:val="12"/>
                <w:szCs w:val="12"/>
              </w:rPr>
            </w:pPr>
            <w:proofErr w:type="spellStart"/>
            <w:r w:rsidRPr="006D631C">
              <w:rPr>
                <w:b/>
                <w:bCs/>
                <w:color w:val="000000"/>
                <w:sz w:val="12"/>
                <w:szCs w:val="12"/>
              </w:rPr>
              <w:t>Amphiphile</w:t>
            </w:r>
            <w:proofErr w:type="spellEnd"/>
            <w:r w:rsidRPr="006D631C">
              <w:rPr>
                <w:b/>
                <w:bCs/>
                <w:color w:val="000000"/>
                <w:sz w:val="12"/>
                <w:szCs w:val="12"/>
              </w:rPr>
              <w:t xml:space="preserve"> concentration</w:t>
            </w:r>
          </w:p>
          <w:p w14:paraId="71B33837" w14:textId="33B0218B" w:rsidR="00181A1B" w:rsidRPr="006D631C" w:rsidRDefault="00181A1B" w:rsidP="00705731">
            <w:pPr>
              <w:spacing w:line="240" w:lineRule="auto"/>
              <w:ind w:left="37"/>
              <w:jc w:val="left"/>
              <w:rPr>
                <w:b/>
                <w:bCs/>
                <w:color w:val="000000"/>
                <w:sz w:val="12"/>
                <w:szCs w:val="12"/>
              </w:rPr>
            </w:pPr>
            <w:r w:rsidRPr="006D631C">
              <w:rPr>
                <w:b/>
                <w:bCs/>
                <w:color w:val="000000"/>
                <w:sz w:val="12"/>
                <w:szCs w:val="12"/>
              </w:rPr>
              <w:t>[</w:t>
            </w:r>
            <w:proofErr w:type="spellStart"/>
            <w:r w:rsidRPr="006D631C">
              <w:rPr>
                <w:b/>
                <w:bCs/>
                <w:color w:val="000000"/>
                <w:sz w:val="12"/>
                <w:szCs w:val="12"/>
              </w:rPr>
              <w:t>wt</w:t>
            </w:r>
            <w:proofErr w:type="spellEnd"/>
            <w:r w:rsidRPr="006D631C">
              <w:rPr>
                <w:b/>
                <w:bCs/>
                <w:color w:val="000000"/>
                <w:sz w:val="12"/>
                <w:szCs w:val="12"/>
              </w:rPr>
              <w:t>%] and structure before reaction</w:t>
            </w:r>
          </w:p>
        </w:tc>
        <w:tc>
          <w:tcPr>
            <w:tcW w:w="1418" w:type="dxa"/>
            <w:tcBorders>
              <w:top w:val="single" w:sz="8" w:space="0" w:color="auto"/>
              <w:left w:val="nil"/>
              <w:bottom w:val="single" w:sz="8" w:space="0" w:color="auto"/>
              <w:right w:val="nil"/>
            </w:tcBorders>
            <w:shd w:val="clear" w:color="000000" w:fill="FFFFFF"/>
            <w:vAlign w:val="center"/>
            <w:hideMark/>
          </w:tcPr>
          <w:p w14:paraId="7422FC71" w14:textId="77777777" w:rsidR="00181A1B" w:rsidRPr="006D631C" w:rsidRDefault="00181A1B" w:rsidP="00AA2E53">
            <w:pPr>
              <w:spacing w:line="240" w:lineRule="auto"/>
              <w:jc w:val="left"/>
              <w:rPr>
                <w:b/>
                <w:bCs/>
                <w:color w:val="000000"/>
                <w:sz w:val="12"/>
                <w:szCs w:val="12"/>
              </w:rPr>
            </w:pPr>
            <w:r w:rsidRPr="006D631C">
              <w:rPr>
                <w:b/>
                <w:bCs/>
                <w:color w:val="000000"/>
                <w:sz w:val="12"/>
                <w:szCs w:val="12"/>
              </w:rPr>
              <w:t>Structure after polymerization</w:t>
            </w:r>
          </w:p>
        </w:tc>
        <w:tc>
          <w:tcPr>
            <w:tcW w:w="1134" w:type="dxa"/>
            <w:tcBorders>
              <w:top w:val="single" w:sz="8" w:space="0" w:color="auto"/>
              <w:left w:val="nil"/>
              <w:bottom w:val="single" w:sz="8" w:space="0" w:color="auto"/>
              <w:right w:val="nil"/>
            </w:tcBorders>
            <w:shd w:val="clear" w:color="000000" w:fill="FFFFFF"/>
            <w:vAlign w:val="center"/>
            <w:hideMark/>
          </w:tcPr>
          <w:p w14:paraId="7D3B7F12" w14:textId="77777777" w:rsidR="00181A1B" w:rsidRPr="006D631C" w:rsidRDefault="00181A1B" w:rsidP="00AA2E53">
            <w:pPr>
              <w:spacing w:line="240" w:lineRule="auto"/>
              <w:jc w:val="left"/>
              <w:rPr>
                <w:b/>
                <w:bCs/>
                <w:color w:val="000000"/>
                <w:sz w:val="12"/>
                <w:szCs w:val="12"/>
              </w:rPr>
            </w:pPr>
            <w:r w:rsidRPr="006D631C">
              <w:rPr>
                <w:b/>
                <w:bCs/>
                <w:color w:val="000000"/>
                <w:sz w:val="12"/>
                <w:szCs w:val="12"/>
              </w:rPr>
              <w:t>Lattice parameter before reaction</w:t>
            </w:r>
            <w:r w:rsidRPr="006D631C">
              <w:rPr>
                <w:b/>
                <w:bCs/>
                <w:color w:val="000000"/>
                <w:sz w:val="12"/>
                <w:szCs w:val="12"/>
              </w:rPr>
              <w:br/>
              <w:t>[nm]</w:t>
            </w:r>
          </w:p>
        </w:tc>
        <w:tc>
          <w:tcPr>
            <w:tcW w:w="1134" w:type="dxa"/>
            <w:tcBorders>
              <w:top w:val="single" w:sz="8" w:space="0" w:color="auto"/>
              <w:left w:val="nil"/>
              <w:bottom w:val="single" w:sz="8" w:space="0" w:color="auto"/>
              <w:right w:val="nil"/>
            </w:tcBorders>
            <w:shd w:val="clear" w:color="000000" w:fill="FFFFFF"/>
            <w:vAlign w:val="center"/>
            <w:hideMark/>
          </w:tcPr>
          <w:p w14:paraId="6E86D7D6" w14:textId="77777777" w:rsidR="00181A1B" w:rsidRPr="006D631C" w:rsidRDefault="00181A1B" w:rsidP="00AA2E53">
            <w:pPr>
              <w:spacing w:line="240" w:lineRule="auto"/>
              <w:jc w:val="left"/>
              <w:rPr>
                <w:b/>
                <w:bCs/>
                <w:color w:val="000000"/>
                <w:sz w:val="12"/>
                <w:szCs w:val="12"/>
              </w:rPr>
            </w:pPr>
            <w:r w:rsidRPr="006D631C">
              <w:rPr>
                <w:b/>
                <w:bCs/>
                <w:color w:val="000000"/>
                <w:sz w:val="12"/>
                <w:szCs w:val="12"/>
              </w:rPr>
              <w:t>Lattice parameter after reaction</w:t>
            </w:r>
            <w:r w:rsidRPr="006D631C">
              <w:rPr>
                <w:b/>
                <w:bCs/>
                <w:color w:val="000000"/>
                <w:sz w:val="12"/>
                <w:szCs w:val="12"/>
              </w:rPr>
              <w:br/>
              <w:t>[nm]</w:t>
            </w:r>
          </w:p>
        </w:tc>
        <w:tc>
          <w:tcPr>
            <w:tcW w:w="5244" w:type="dxa"/>
            <w:tcBorders>
              <w:top w:val="single" w:sz="8" w:space="0" w:color="auto"/>
              <w:left w:val="nil"/>
              <w:bottom w:val="single" w:sz="8" w:space="0" w:color="auto"/>
              <w:right w:val="nil"/>
            </w:tcBorders>
            <w:shd w:val="clear" w:color="000000" w:fill="FFFFFF"/>
            <w:vAlign w:val="center"/>
          </w:tcPr>
          <w:p w14:paraId="3407E7C0" w14:textId="77777777" w:rsidR="00181A1B" w:rsidRPr="006D631C" w:rsidRDefault="00181A1B" w:rsidP="00AA2E53">
            <w:pPr>
              <w:spacing w:line="240" w:lineRule="auto"/>
              <w:jc w:val="left"/>
              <w:rPr>
                <w:b/>
                <w:bCs/>
                <w:color w:val="000000"/>
                <w:sz w:val="12"/>
                <w:szCs w:val="12"/>
              </w:rPr>
            </w:pPr>
            <w:r w:rsidRPr="006D631C">
              <w:rPr>
                <w:b/>
                <w:bCs/>
                <w:color w:val="000000"/>
                <w:sz w:val="12"/>
                <w:szCs w:val="12"/>
              </w:rPr>
              <w:t>Remarks</w:t>
            </w:r>
          </w:p>
        </w:tc>
        <w:tc>
          <w:tcPr>
            <w:tcW w:w="426" w:type="dxa"/>
            <w:tcBorders>
              <w:top w:val="single" w:sz="8" w:space="0" w:color="auto"/>
              <w:left w:val="nil"/>
              <w:bottom w:val="single" w:sz="8" w:space="0" w:color="auto"/>
              <w:right w:val="nil"/>
            </w:tcBorders>
            <w:shd w:val="clear" w:color="000000" w:fill="FFFFFF"/>
            <w:noWrap/>
            <w:vAlign w:val="center"/>
            <w:hideMark/>
          </w:tcPr>
          <w:p w14:paraId="2E52893E" w14:textId="77777777" w:rsidR="00181A1B" w:rsidRPr="006D631C" w:rsidRDefault="00181A1B" w:rsidP="00AA2E53">
            <w:pPr>
              <w:spacing w:line="240" w:lineRule="auto"/>
              <w:jc w:val="left"/>
              <w:rPr>
                <w:b/>
                <w:bCs/>
                <w:color w:val="000000"/>
                <w:sz w:val="12"/>
                <w:szCs w:val="12"/>
              </w:rPr>
            </w:pPr>
            <w:r w:rsidRPr="006D631C">
              <w:rPr>
                <w:b/>
                <w:bCs/>
                <w:color w:val="000000"/>
                <w:sz w:val="12"/>
                <w:szCs w:val="12"/>
              </w:rPr>
              <w:t>Ref.</w:t>
            </w:r>
          </w:p>
        </w:tc>
      </w:tr>
      <w:tr w:rsidR="000A1415" w:rsidRPr="006D631C" w14:paraId="5E2589ED" w14:textId="77777777" w:rsidTr="00705731">
        <w:trPr>
          <w:trHeight w:val="20"/>
          <w:jc w:val="center"/>
        </w:trPr>
        <w:tc>
          <w:tcPr>
            <w:tcW w:w="851" w:type="dxa"/>
            <w:tcBorders>
              <w:top w:val="nil"/>
              <w:left w:val="nil"/>
              <w:bottom w:val="single" w:sz="4" w:space="0" w:color="auto"/>
              <w:right w:val="nil"/>
            </w:tcBorders>
            <w:shd w:val="clear" w:color="000000" w:fill="FFFFFF"/>
            <w:noWrap/>
            <w:vAlign w:val="center"/>
            <w:hideMark/>
          </w:tcPr>
          <w:p w14:paraId="3DAA6667" w14:textId="77777777" w:rsidR="00181A1B" w:rsidRPr="006D631C" w:rsidRDefault="00181A1B" w:rsidP="00AA2E53">
            <w:pPr>
              <w:spacing w:line="240" w:lineRule="auto"/>
              <w:jc w:val="left"/>
              <w:rPr>
                <w:color w:val="000000"/>
                <w:sz w:val="12"/>
                <w:szCs w:val="12"/>
              </w:rPr>
            </w:pPr>
            <w:r w:rsidRPr="006D631C">
              <w:rPr>
                <w:color w:val="000000"/>
                <w:sz w:val="12"/>
                <w:szCs w:val="12"/>
              </w:rPr>
              <w:t>P-A-17</w:t>
            </w:r>
          </w:p>
        </w:tc>
        <w:tc>
          <w:tcPr>
            <w:tcW w:w="709" w:type="dxa"/>
            <w:tcBorders>
              <w:top w:val="nil"/>
              <w:left w:val="nil"/>
              <w:bottom w:val="single" w:sz="4" w:space="0" w:color="auto"/>
              <w:right w:val="nil"/>
            </w:tcBorders>
            <w:shd w:val="clear" w:color="000000" w:fill="FFFFFF"/>
            <w:vAlign w:val="center"/>
            <w:hideMark/>
          </w:tcPr>
          <w:p w14:paraId="4D2744E6" w14:textId="77777777" w:rsidR="00181A1B" w:rsidRPr="006D631C" w:rsidRDefault="00181A1B" w:rsidP="00AA2E53">
            <w:pPr>
              <w:spacing w:line="240" w:lineRule="auto"/>
              <w:jc w:val="left"/>
              <w:rPr>
                <w:color w:val="000000"/>
                <w:sz w:val="12"/>
                <w:szCs w:val="12"/>
              </w:rPr>
            </w:pPr>
            <w:r w:rsidRPr="006D631C">
              <w:rPr>
                <w:color w:val="000000"/>
                <w:sz w:val="12"/>
                <w:szCs w:val="12"/>
              </w:rPr>
              <w:t>C-3</w:t>
            </w:r>
          </w:p>
        </w:tc>
        <w:tc>
          <w:tcPr>
            <w:tcW w:w="708" w:type="dxa"/>
            <w:tcBorders>
              <w:top w:val="nil"/>
              <w:left w:val="nil"/>
              <w:bottom w:val="single" w:sz="4" w:space="0" w:color="auto"/>
              <w:right w:val="nil"/>
            </w:tcBorders>
            <w:shd w:val="clear" w:color="000000" w:fill="FFFFFF"/>
            <w:vAlign w:val="center"/>
            <w:hideMark/>
          </w:tcPr>
          <w:p w14:paraId="768B1055" w14:textId="77777777" w:rsidR="00181A1B" w:rsidRPr="006D631C" w:rsidRDefault="00181A1B" w:rsidP="00AA2E53">
            <w:pPr>
              <w:spacing w:line="240" w:lineRule="auto"/>
              <w:jc w:val="left"/>
              <w:rPr>
                <w:color w:val="000000"/>
                <w:sz w:val="12"/>
                <w:szCs w:val="12"/>
              </w:rPr>
            </w:pPr>
            <w:r w:rsidRPr="006D631C">
              <w:rPr>
                <w:color w:val="000000"/>
                <w:sz w:val="12"/>
                <w:szCs w:val="12"/>
              </w:rPr>
              <w:t>I-2</w:t>
            </w:r>
          </w:p>
        </w:tc>
        <w:tc>
          <w:tcPr>
            <w:tcW w:w="1276" w:type="dxa"/>
            <w:tcBorders>
              <w:top w:val="nil"/>
              <w:left w:val="nil"/>
              <w:bottom w:val="single" w:sz="4" w:space="0" w:color="auto"/>
              <w:right w:val="nil"/>
            </w:tcBorders>
            <w:shd w:val="clear" w:color="000000" w:fill="FFFFFF"/>
            <w:noWrap/>
            <w:vAlign w:val="center"/>
            <w:hideMark/>
          </w:tcPr>
          <w:p w14:paraId="6F7ABE35" w14:textId="1FA0C9B8" w:rsidR="00181A1B" w:rsidRPr="006D631C" w:rsidRDefault="00181A1B" w:rsidP="00705731">
            <w:pPr>
              <w:spacing w:line="240" w:lineRule="auto"/>
              <w:ind w:left="37"/>
              <w:jc w:val="left"/>
              <w:rPr>
                <w:color w:val="000000"/>
                <w:sz w:val="12"/>
                <w:szCs w:val="12"/>
              </w:rPr>
            </w:pPr>
            <w:r w:rsidRPr="006D631C">
              <w:rPr>
                <w:color w:val="000000"/>
                <w:sz w:val="12"/>
                <w:szCs w:val="12"/>
              </w:rPr>
              <w:t>54 (H</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75DA2D2D" w14:textId="77777777" w:rsidR="00181A1B" w:rsidRPr="006D631C" w:rsidRDefault="00181A1B" w:rsidP="00AA2E53">
            <w:pPr>
              <w:spacing w:line="240" w:lineRule="auto"/>
              <w:jc w:val="left"/>
              <w:rPr>
                <w:color w:val="000000"/>
                <w:sz w:val="12"/>
                <w:szCs w:val="12"/>
              </w:rPr>
            </w:pPr>
            <w:r w:rsidRPr="006D631C">
              <w:rPr>
                <w:color w:val="000000"/>
                <w:sz w:val="12"/>
                <w:szCs w:val="12"/>
              </w:rPr>
              <w:t xml:space="preserve">Structure Retention at 30 </w:t>
            </w:r>
            <w:proofErr w:type="spellStart"/>
            <w:r w:rsidRPr="006D631C">
              <w:rPr>
                <w:color w:val="000000"/>
                <w:sz w:val="12"/>
                <w:szCs w:val="12"/>
              </w:rPr>
              <w:t>wt</w:t>
            </w:r>
            <w:proofErr w:type="spellEnd"/>
            <w:r w:rsidRPr="006D631C">
              <w:rPr>
                <w:color w:val="000000"/>
                <w:sz w:val="12"/>
                <w:szCs w:val="12"/>
              </w:rPr>
              <w:t>% C-3</w:t>
            </w:r>
          </w:p>
        </w:tc>
        <w:tc>
          <w:tcPr>
            <w:tcW w:w="1134" w:type="dxa"/>
            <w:tcBorders>
              <w:top w:val="nil"/>
              <w:left w:val="nil"/>
              <w:bottom w:val="single" w:sz="4" w:space="0" w:color="auto"/>
              <w:right w:val="nil"/>
            </w:tcBorders>
            <w:shd w:val="clear" w:color="000000" w:fill="FFFFFF"/>
            <w:noWrap/>
            <w:vAlign w:val="center"/>
            <w:hideMark/>
          </w:tcPr>
          <w:p w14:paraId="4E040797" w14:textId="77777777" w:rsidR="00181A1B" w:rsidRPr="006D631C" w:rsidRDefault="00181A1B" w:rsidP="00AA2E53">
            <w:pPr>
              <w:spacing w:line="240" w:lineRule="auto"/>
              <w:jc w:val="left"/>
              <w:rPr>
                <w:color w:val="000000"/>
                <w:sz w:val="12"/>
                <w:szCs w:val="12"/>
              </w:rPr>
            </w:pPr>
            <w:r w:rsidRPr="006D631C">
              <w:rPr>
                <w:color w:val="000000"/>
                <w:sz w:val="12"/>
                <w:szCs w:val="12"/>
              </w:rPr>
              <w:t>7.61</w:t>
            </w:r>
          </w:p>
        </w:tc>
        <w:tc>
          <w:tcPr>
            <w:tcW w:w="1134" w:type="dxa"/>
            <w:tcBorders>
              <w:top w:val="nil"/>
              <w:left w:val="nil"/>
              <w:bottom w:val="single" w:sz="4" w:space="0" w:color="auto"/>
              <w:right w:val="nil"/>
            </w:tcBorders>
            <w:shd w:val="clear" w:color="000000" w:fill="FFFFFF"/>
            <w:noWrap/>
            <w:vAlign w:val="center"/>
            <w:hideMark/>
          </w:tcPr>
          <w:p w14:paraId="0BA40998" w14:textId="77777777" w:rsidR="00181A1B" w:rsidRPr="006D631C" w:rsidRDefault="00181A1B" w:rsidP="00AA2E53">
            <w:pPr>
              <w:spacing w:line="240" w:lineRule="auto"/>
              <w:jc w:val="left"/>
              <w:rPr>
                <w:color w:val="000000"/>
                <w:sz w:val="12"/>
                <w:szCs w:val="12"/>
              </w:rPr>
            </w:pPr>
            <w:r w:rsidRPr="006D631C">
              <w:rPr>
                <w:color w:val="000000"/>
                <w:sz w:val="12"/>
                <w:szCs w:val="12"/>
              </w:rPr>
              <w:t>7.82</w:t>
            </w:r>
          </w:p>
        </w:tc>
        <w:tc>
          <w:tcPr>
            <w:tcW w:w="5244" w:type="dxa"/>
            <w:tcBorders>
              <w:top w:val="nil"/>
              <w:left w:val="nil"/>
              <w:bottom w:val="single" w:sz="4" w:space="0" w:color="auto"/>
              <w:right w:val="nil"/>
            </w:tcBorders>
            <w:shd w:val="clear" w:color="000000" w:fill="FFFFFF"/>
            <w:noWrap/>
            <w:vAlign w:val="center"/>
          </w:tcPr>
          <w:p w14:paraId="6A0AB29E" w14:textId="4CC6C1D7" w:rsidR="00181A1B" w:rsidRPr="006D631C" w:rsidRDefault="00C4333A" w:rsidP="00AA2E53">
            <w:pPr>
              <w:spacing w:line="240" w:lineRule="auto"/>
              <w:jc w:val="left"/>
              <w:rPr>
                <w:color w:val="000000"/>
                <w:sz w:val="12"/>
                <w:szCs w:val="12"/>
              </w:rPr>
            </w:pPr>
            <w:r w:rsidRPr="006D631C">
              <w:rPr>
                <w:color w:val="000000"/>
                <w:sz w:val="12"/>
                <w:szCs w:val="12"/>
              </w:rPr>
              <w:t>-</w:t>
            </w:r>
          </w:p>
        </w:tc>
        <w:tc>
          <w:tcPr>
            <w:tcW w:w="426" w:type="dxa"/>
            <w:tcBorders>
              <w:top w:val="nil"/>
              <w:left w:val="nil"/>
              <w:bottom w:val="single" w:sz="4" w:space="0" w:color="auto"/>
              <w:right w:val="nil"/>
            </w:tcBorders>
            <w:shd w:val="clear" w:color="000000" w:fill="FFFFFF"/>
            <w:vAlign w:val="center"/>
            <w:hideMark/>
          </w:tcPr>
          <w:p w14:paraId="37735235" w14:textId="77777777" w:rsidR="00181A1B" w:rsidRPr="006D631C" w:rsidRDefault="00181A1B" w:rsidP="00DD3903">
            <w:pPr>
              <w:spacing w:line="240" w:lineRule="auto"/>
              <w:ind w:right="-104"/>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{"citationItems":[{"id":"ITEM-1","itemData":{"DOI":"10.1002/pola.21573","ISSN":"0887624X","abstract":"A group of polymerizable amphiphiles, with their critical packing parameters systematically varied, were studied with respect to the phase behavior and immobilization of their lyotropic liquid-crystalline phase structures. Small-angle X-ray scattering and polarized light microscopy were used to study their liquid-crystalline phases before and after photopolymerization. The liquid crystallinity of the amphiphiles depended on the contents of both oil and water in the ternary systems. Through photopolymerization, hexagonal phases could generally be immobilized, with the structural order reduced to various degrees. However, the cubic phases evolved with polymerization into another structural pattern, which was possibly related to the lamellar struc ture. © 2006 Wiley Periodicals, Inc.","author":[{"dropping-particle":"","family":"Li","given":"Minghe","non-dropping-particle":"","parse-names":false,"suffix":""},{"dropping-particle":"","family":"Yang","given":"Wuli","non-dropping-particle":"","parse-names":false,"suffix":""},{"dropping-particle":"","family":"Chen","given":"Zhenxia","non-dropping-particle":"","parse-names":false,"suffix":""},{"dropping-particle":"","family":"Qian","given":"J.","non-dropping-particle":"","parse-names":false,"suffix":""},{"dropping-particle":"","family":"Wang","given":"Changchun","non-dropping-particle":"","parse-names":false,"suffix":""},{"dropping-particle":"","family":"Fu","given":"Shoukuan","non-dropping-particle":"","parse-names":false,"suffix":""}],"container-title":"Journal of Polymer Science, Part A: Polymer Chemistry","id":"ITEM-1","issue":"20","issued":{"date-parts":[["2006"]]},"page":"5887-5897","title":"Phase behavior and polymerization of lyotropic phases. II. A series of polymerizable amphiphiles with systematically varied critical packing parameters","type":"article-journal","volume":"44"},"uris":["http://www.mendeley.com/documents/?uuid=d8bc8fea-d2e2-41f4-bfa9-cd862f16ff03"]}],"mendeley":{"formattedCitation":"&lt;sup&gt;77&lt;/sup&gt;","plainTextFormattedCitation":"77","previouslyFormattedCitation":"&lt;sup&gt;77&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77</w:t>
            </w:r>
            <w:r w:rsidRPr="006D631C">
              <w:rPr>
                <w:color w:val="000000"/>
                <w:sz w:val="12"/>
                <w:szCs w:val="12"/>
              </w:rPr>
              <w:fldChar w:fldCharType="end"/>
            </w:r>
          </w:p>
        </w:tc>
      </w:tr>
      <w:tr w:rsidR="000A1415" w:rsidRPr="006D631C" w14:paraId="6F137FA5" w14:textId="77777777" w:rsidTr="00705731">
        <w:trPr>
          <w:trHeight w:val="20"/>
          <w:jc w:val="center"/>
        </w:trPr>
        <w:tc>
          <w:tcPr>
            <w:tcW w:w="851" w:type="dxa"/>
            <w:vMerge w:val="restart"/>
            <w:tcBorders>
              <w:top w:val="nil"/>
              <w:left w:val="nil"/>
              <w:bottom w:val="single" w:sz="4" w:space="0" w:color="000000"/>
              <w:right w:val="nil"/>
            </w:tcBorders>
            <w:shd w:val="clear" w:color="000000" w:fill="FFFFFF"/>
            <w:noWrap/>
            <w:vAlign w:val="center"/>
            <w:hideMark/>
          </w:tcPr>
          <w:p w14:paraId="61293EA9" w14:textId="77777777" w:rsidR="00181A1B" w:rsidRPr="006D631C" w:rsidRDefault="00181A1B" w:rsidP="00AA2E53">
            <w:pPr>
              <w:spacing w:line="240" w:lineRule="auto"/>
              <w:jc w:val="left"/>
              <w:rPr>
                <w:color w:val="000000"/>
                <w:sz w:val="12"/>
                <w:szCs w:val="12"/>
              </w:rPr>
            </w:pPr>
            <w:r w:rsidRPr="006D631C">
              <w:rPr>
                <w:color w:val="000000"/>
                <w:sz w:val="12"/>
                <w:szCs w:val="12"/>
              </w:rPr>
              <w:t>P-A-18</w:t>
            </w:r>
          </w:p>
        </w:tc>
        <w:tc>
          <w:tcPr>
            <w:tcW w:w="709" w:type="dxa"/>
            <w:tcBorders>
              <w:top w:val="nil"/>
              <w:left w:val="nil"/>
              <w:bottom w:val="single" w:sz="4" w:space="0" w:color="auto"/>
              <w:right w:val="nil"/>
            </w:tcBorders>
            <w:shd w:val="clear" w:color="000000" w:fill="FFFFFF"/>
            <w:vAlign w:val="center"/>
            <w:hideMark/>
          </w:tcPr>
          <w:p w14:paraId="0655B303" w14:textId="77777777" w:rsidR="00181A1B" w:rsidRPr="006D631C" w:rsidRDefault="00181A1B" w:rsidP="00AA2E53">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hideMark/>
          </w:tcPr>
          <w:p w14:paraId="20C136DC" w14:textId="77777777" w:rsidR="00181A1B" w:rsidRPr="006D631C" w:rsidRDefault="00181A1B" w:rsidP="00AA2E53">
            <w:pPr>
              <w:spacing w:line="240" w:lineRule="auto"/>
              <w:jc w:val="left"/>
              <w:rPr>
                <w:color w:val="000000"/>
                <w:sz w:val="12"/>
                <w:szCs w:val="12"/>
              </w:rPr>
            </w:pPr>
            <w:r w:rsidRPr="006D631C">
              <w:rPr>
                <w:color w:val="000000"/>
                <w:sz w:val="12"/>
                <w:szCs w:val="12"/>
              </w:rPr>
              <w:t>I-17</w:t>
            </w:r>
          </w:p>
        </w:tc>
        <w:tc>
          <w:tcPr>
            <w:tcW w:w="1276" w:type="dxa"/>
            <w:tcBorders>
              <w:top w:val="nil"/>
              <w:left w:val="nil"/>
              <w:bottom w:val="single" w:sz="4" w:space="0" w:color="auto"/>
              <w:right w:val="nil"/>
            </w:tcBorders>
            <w:shd w:val="clear" w:color="000000" w:fill="FFFFFF"/>
            <w:noWrap/>
            <w:vAlign w:val="center"/>
            <w:hideMark/>
          </w:tcPr>
          <w:p w14:paraId="6A6FAB29" w14:textId="1DA4759A" w:rsidR="00181A1B" w:rsidRPr="006D631C" w:rsidRDefault="00181A1B" w:rsidP="00705731">
            <w:pPr>
              <w:spacing w:line="240" w:lineRule="auto"/>
              <w:ind w:left="37"/>
              <w:jc w:val="left"/>
              <w:rPr>
                <w:color w:val="000000"/>
                <w:sz w:val="12"/>
                <w:szCs w:val="12"/>
              </w:rPr>
            </w:pPr>
            <w:r w:rsidRPr="006D631C">
              <w:rPr>
                <w:color w:val="000000"/>
                <w:sz w:val="12"/>
                <w:szCs w:val="12"/>
              </w:rPr>
              <w:t>47 – 59 (H</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5FE82AD5" w14:textId="77777777" w:rsidR="00181A1B" w:rsidRPr="006D631C" w:rsidRDefault="00181A1B" w:rsidP="00AA2E53">
            <w:pPr>
              <w:spacing w:line="240" w:lineRule="auto"/>
              <w:jc w:val="left"/>
              <w:rPr>
                <w:color w:val="000000"/>
                <w:sz w:val="12"/>
                <w:szCs w:val="12"/>
              </w:rPr>
            </w:pPr>
            <w:r w:rsidRPr="006D631C">
              <w:rPr>
                <w:color w:val="000000"/>
                <w:sz w:val="12"/>
                <w:szCs w:val="12"/>
              </w:rPr>
              <w:t>Disordered structure at high temperature</w:t>
            </w:r>
          </w:p>
        </w:tc>
        <w:tc>
          <w:tcPr>
            <w:tcW w:w="1134" w:type="dxa"/>
            <w:tcBorders>
              <w:top w:val="nil"/>
              <w:left w:val="nil"/>
              <w:bottom w:val="single" w:sz="4" w:space="0" w:color="auto"/>
              <w:right w:val="nil"/>
            </w:tcBorders>
            <w:shd w:val="clear" w:color="000000" w:fill="FFFFFF"/>
            <w:noWrap/>
            <w:vAlign w:val="center"/>
            <w:hideMark/>
          </w:tcPr>
          <w:p w14:paraId="68C008A4" w14:textId="77777777" w:rsidR="00181A1B" w:rsidRPr="006D631C" w:rsidRDefault="00181A1B" w:rsidP="00AA2E53">
            <w:pPr>
              <w:spacing w:line="240" w:lineRule="auto"/>
              <w:jc w:val="left"/>
              <w:rPr>
                <w:color w:val="000000"/>
                <w:sz w:val="12"/>
                <w:szCs w:val="12"/>
              </w:rPr>
            </w:pPr>
            <w:r w:rsidRPr="006D631C">
              <w:rPr>
                <w:color w:val="000000"/>
                <w:sz w:val="12"/>
                <w:szCs w:val="12"/>
              </w:rPr>
              <w:t>4.192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2A185E8F" w14:textId="77777777" w:rsidR="00181A1B" w:rsidRPr="006D631C" w:rsidRDefault="00181A1B" w:rsidP="00AA2E53">
            <w:pPr>
              <w:spacing w:line="240" w:lineRule="auto"/>
              <w:jc w:val="left"/>
              <w:rPr>
                <w:color w:val="000000"/>
                <w:sz w:val="12"/>
                <w:szCs w:val="12"/>
              </w:rPr>
            </w:pPr>
            <w:r w:rsidRPr="006D631C">
              <w:rPr>
                <w:color w:val="000000"/>
                <w:sz w:val="12"/>
                <w:szCs w:val="12"/>
              </w:rPr>
              <w:t>2.883 (L</w:t>
            </w:r>
            <w:r w:rsidRPr="006D631C">
              <w:rPr>
                <w:color w:val="000000"/>
                <w:sz w:val="12"/>
                <w:szCs w:val="12"/>
                <w:vertAlign w:val="subscript"/>
              </w:rPr>
              <w:t>α</w:t>
            </w: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28F1B76E" w14:textId="77777777" w:rsidR="00181A1B" w:rsidRPr="006D631C" w:rsidRDefault="00181A1B" w:rsidP="00AA2E53">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color w:val="000000"/>
                <w:sz w:val="12"/>
                <w:szCs w:val="12"/>
              </w:rPr>
              <w:t>After</w:t>
            </w:r>
            <w:r w:rsidRPr="006D631C">
              <w:rPr>
                <w:rFonts w:eastAsia="Times New Roman" w:cs="Times New Roman"/>
                <w:color w:val="000000"/>
                <w:sz w:val="12"/>
                <w:szCs w:val="12"/>
              </w:rPr>
              <w:t xml:space="preserve"> polymerization, L</w:t>
            </w:r>
            <w:r w:rsidRPr="006D631C">
              <w:rPr>
                <w:rFonts w:eastAsia="Times New Roman" w:cs="Times New Roman"/>
                <w:color w:val="000000"/>
                <w:sz w:val="12"/>
                <w:szCs w:val="12"/>
                <w:vertAlign w:val="subscript"/>
              </w:rPr>
              <w:t>α</w:t>
            </w:r>
            <w:r w:rsidRPr="006D631C">
              <w:rPr>
                <w:rFonts w:eastAsia="Times New Roman" w:cs="Times New Roman"/>
                <w:color w:val="000000"/>
                <w:sz w:val="12"/>
                <w:szCs w:val="12"/>
              </w:rPr>
              <w:t xml:space="preserve"> was seen when the temperature was decreased to 20 °C</w:t>
            </w:r>
          </w:p>
        </w:tc>
        <w:tc>
          <w:tcPr>
            <w:tcW w:w="426" w:type="dxa"/>
            <w:tcBorders>
              <w:top w:val="nil"/>
              <w:left w:val="nil"/>
              <w:bottom w:val="single" w:sz="4" w:space="0" w:color="auto"/>
              <w:right w:val="nil"/>
            </w:tcBorders>
            <w:shd w:val="clear" w:color="000000" w:fill="FFFFFF"/>
            <w:vAlign w:val="center"/>
            <w:hideMark/>
          </w:tcPr>
          <w:p w14:paraId="5C16BB12" w14:textId="77777777" w:rsidR="00181A1B" w:rsidRPr="006D631C" w:rsidRDefault="00181A1B" w:rsidP="00DD3903">
            <w:pPr>
              <w:spacing w:line="240" w:lineRule="auto"/>
              <w:ind w:right="-104"/>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{"citationItems":[{"id":"ITEM-1","itemData":{"DOI":"10.1126/science.205.4406.607","ISSN":"00368075","abstract":"Optical patterns in polarized light and x-ray reflections in the low-angle region were used to detect a shift from one liquid crystalline structure to another during polymerization. The polymerization took place in a lyotropic liquid crystal of water and sodium undecenoate, with a structure consisting of cylinders in a two-dimensional hexagonal close packing. After polymerization, a lamellar liquid crystalline structure was obtained. Copyright © 1979 AAAS.","author":[{"dropping-particle":"","family":"Friberg","given":"Stig E.","non-dropping-particle":"","parse-names":false,"suffix":""},{"dropping-particle":"","family":"Thundathil","given":"Raju","non-dropping-particle":"","parse-names":false,"suffix":""},{"dropping-particle":"","family":"Stoffer","given":"James O.","non-dropping-particle":"","parse-names":false,"suffix":""}],"container-title":"Science","id":"ITEM-1","issue":"4406","issued":{"date-parts":[["1979"]]},"page":"607-608","title":"Changed lyotropic liquid crystalline structure due to polymerization of the amphiphilic component","type":"article-journal","volume":"205"},"uris":["http://www.mendeley.com/documents/?uuid=ccc757d6-44a5-48f8-b21c-153f50f420a7"]},{"id":"ITEM-2","itemData":{"DOI":"10.1002/pol.1980.170180821","ISSN":"0449296X","abstract":"In the reported experiments, the polymerization was made at 60 degree C in a lyotropic liquid crystal of sodium undecenoate and water. The liquid crystalline structure prior to polymerization was identified by optical microscopy and low-angle x-ray diffraction as an array of hexagonal closely packed cylinders with the hydrophobic part of the soap in the center of the cylinders. During polymerization the structure became isotropic at 60 degree C. Cooling to 20 degree C transformed the structure to a lamellar liquid crystal - a reversible transition. The structure of the lamellar phase was interpreted as a polyethylene backbone from which deformed decanoate chains reached toward the aqueous layer. Molecular models showed the model to accept head-tail, head-head, and tail-tail configurations in cis and trans conformations with the exception of the cis tail-tail configuration.","author":[{"dropping-particle":"","family":"Thundathil","given":"Raju","non-dropping-particle":"","parse-names":false,"suffix":""},{"dropping-particle":"","family":"Stoffer","given":"James O.","non-dropping-particle":"","parse-names":false,"suffix":""},{"dropping-particle":"","family":"Friberg","given":"Stig E.","non-dropping-particle":"","parse-names":false,"suffix":""}],"container-title":"Journal of polymer science. Part A-1, Polymer chemistry","id":"ITEM-2","issue":"8","issued":{"date-parts":[["1980"]]},"page":"2629-2640","title":"Polymerization in Lyotropic Liquid Crystals - 1. Change of Structure During Polymerization.","type":"article-journal","volume":"18"},"uris":["http://www.mendeley.com/documents/?uuid=42917833-42bb-4665-83d4-006bf0b4e118"]}],"mendeley":{"formattedCitation":"&lt;sup&gt;57,71&lt;/sup&gt;","plainTextFormattedCitation":"57,71","previouslyFormattedCitation":"&lt;sup&gt;57,71&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57,71</w:t>
            </w:r>
            <w:r w:rsidRPr="006D631C">
              <w:rPr>
                <w:color w:val="000000"/>
                <w:sz w:val="12"/>
                <w:szCs w:val="12"/>
              </w:rPr>
              <w:fldChar w:fldCharType="end"/>
            </w:r>
          </w:p>
        </w:tc>
      </w:tr>
      <w:tr w:rsidR="000A1415" w:rsidRPr="006D631C" w14:paraId="4EA81B10" w14:textId="77777777" w:rsidTr="00705731">
        <w:trPr>
          <w:trHeight w:val="20"/>
          <w:jc w:val="center"/>
        </w:trPr>
        <w:tc>
          <w:tcPr>
            <w:tcW w:w="851" w:type="dxa"/>
            <w:vMerge/>
            <w:tcBorders>
              <w:top w:val="nil"/>
              <w:left w:val="nil"/>
              <w:bottom w:val="single" w:sz="4" w:space="0" w:color="000000"/>
              <w:right w:val="nil"/>
            </w:tcBorders>
            <w:vAlign w:val="center"/>
            <w:hideMark/>
          </w:tcPr>
          <w:p w14:paraId="5A14E28A" w14:textId="77777777" w:rsidR="00181A1B" w:rsidRPr="006D631C" w:rsidRDefault="00181A1B" w:rsidP="00AA2E53">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6E439CE0" w14:textId="77777777" w:rsidR="00181A1B" w:rsidRPr="006D631C" w:rsidRDefault="00181A1B" w:rsidP="00AA2E53">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hideMark/>
          </w:tcPr>
          <w:p w14:paraId="32E627ED" w14:textId="77777777" w:rsidR="00181A1B" w:rsidRPr="006D631C" w:rsidRDefault="00181A1B" w:rsidP="00AA2E53">
            <w:pPr>
              <w:spacing w:line="240" w:lineRule="auto"/>
              <w:jc w:val="left"/>
              <w:rPr>
                <w:color w:val="000000"/>
                <w:sz w:val="12"/>
                <w:szCs w:val="12"/>
              </w:rPr>
            </w:pPr>
            <w:r w:rsidRPr="006D631C">
              <w:rPr>
                <w:color w:val="000000"/>
                <w:sz w:val="12"/>
                <w:szCs w:val="12"/>
              </w:rPr>
              <w:t>γ-ray radiation</w:t>
            </w:r>
          </w:p>
        </w:tc>
        <w:tc>
          <w:tcPr>
            <w:tcW w:w="1276" w:type="dxa"/>
            <w:tcBorders>
              <w:top w:val="nil"/>
              <w:left w:val="nil"/>
              <w:bottom w:val="single" w:sz="4" w:space="0" w:color="auto"/>
              <w:right w:val="nil"/>
            </w:tcBorders>
            <w:shd w:val="clear" w:color="000000" w:fill="FFFFFF"/>
            <w:noWrap/>
            <w:vAlign w:val="center"/>
            <w:hideMark/>
          </w:tcPr>
          <w:p w14:paraId="20055F6B" w14:textId="5DD36367" w:rsidR="00181A1B" w:rsidRPr="006D631C" w:rsidRDefault="00181A1B" w:rsidP="00705731">
            <w:pPr>
              <w:spacing w:line="240" w:lineRule="auto"/>
              <w:ind w:left="37"/>
              <w:jc w:val="left"/>
              <w:rPr>
                <w:color w:val="000000"/>
                <w:sz w:val="12"/>
                <w:szCs w:val="12"/>
              </w:rPr>
            </w:pPr>
            <w:r w:rsidRPr="006D631C">
              <w:rPr>
                <w:color w:val="000000"/>
                <w:sz w:val="12"/>
                <w:szCs w:val="12"/>
              </w:rPr>
              <w:t>40 – 60 (H</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38989F4B" w14:textId="77777777" w:rsidR="00181A1B" w:rsidRPr="006D631C" w:rsidRDefault="00181A1B" w:rsidP="00AA2E53">
            <w:pPr>
              <w:spacing w:line="240" w:lineRule="auto"/>
              <w:jc w:val="left"/>
              <w:rPr>
                <w:color w:val="000000"/>
                <w:sz w:val="12"/>
                <w:szCs w:val="12"/>
              </w:rPr>
            </w:pPr>
            <w:r w:rsidRPr="006D631C">
              <w:rPr>
                <w:color w:val="000000"/>
                <w:sz w:val="12"/>
                <w:szCs w:val="12"/>
              </w:rPr>
              <w:t>Probable change to L</w:t>
            </w:r>
            <w:r w:rsidRPr="006D631C">
              <w:rPr>
                <w:color w:val="000000"/>
                <w:sz w:val="12"/>
                <w:szCs w:val="12"/>
                <w:vertAlign w:val="subscript"/>
              </w:rPr>
              <w:t>α</w:t>
            </w:r>
          </w:p>
        </w:tc>
        <w:tc>
          <w:tcPr>
            <w:tcW w:w="1134" w:type="dxa"/>
            <w:tcBorders>
              <w:top w:val="nil"/>
              <w:left w:val="nil"/>
              <w:bottom w:val="single" w:sz="4" w:space="0" w:color="auto"/>
              <w:right w:val="nil"/>
            </w:tcBorders>
            <w:shd w:val="clear" w:color="000000" w:fill="FFFFFF"/>
            <w:noWrap/>
            <w:vAlign w:val="center"/>
            <w:hideMark/>
          </w:tcPr>
          <w:p w14:paraId="5223CDCC" w14:textId="77777777" w:rsidR="00181A1B" w:rsidRPr="006D631C" w:rsidRDefault="00181A1B" w:rsidP="00AA2E53">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429AE4E0" w14:textId="77777777" w:rsidR="00181A1B" w:rsidRPr="006D631C" w:rsidRDefault="00181A1B" w:rsidP="00AA2E53">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15AF5FB5" w14:textId="70ACD163" w:rsidR="00181A1B" w:rsidRPr="006D631C" w:rsidRDefault="00181A1B" w:rsidP="00181A1B">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color w:val="000000"/>
                <w:sz w:val="12"/>
                <w:szCs w:val="12"/>
              </w:rPr>
              <w:t>Monomer c</w:t>
            </w:r>
            <w:r w:rsidR="008F144A" w:rsidRPr="006D631C">
              <w:rPr>
                <w:color w:val="000000"/>
                <w:sz w:val="12"/>
                <w:szCs w:val="12"/>
              </w:rPr>
              <w:t>onversion of ~</w:t>
            </w:r>
            <w:r w:rsidRPr="006D631C">
              <w:rPr>
                <w:color w:val="000000"/>
                <w:sz w:val="12"/>
                <w:szCs w:val="12"/>
              </w:rPr>
              <w:t>20 - 40%</w:t>
            </w:r>
          </w:p>
          <w:p w14:paraId="3B0E3C25" w14:textId="12BB7DC5" w:rsidR="00181A1B" w:rsidRPr="006D631C" w:rsidRDefault="00181A1B" w:rsidP="00181A1B">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color w:val="000000"/>
                <w:sz w:val="12"/>
                <w:szCs w:val="12"/>
              </w:rPr>
              <w:t>The highest</w:t>
            </w:r>
            <w:r w:rsidRPr="006D631C">
              <w:rPr>
                <w:rFonts w:eastAsia="Times New Roman" w:cs="Times New Roman"/>
                <w:color w:val="000000"/>
                <w:sz w:val="12"/>
                <w:szCs w:val="12"/>
              </w:rPr>
              <w:t xml:space="preserve"> polymerization rate happened in LLC structure</w:t>
            </w:r>
          </w:p>
        </w:tc>
        <w:tc>
          <w:tcPr>
            <w:tcW w:w="426" w:type="dxa"/>
            <w:tcBorders>
              <w:top w:val="nil"/>
              <w:left w:val="nil"/>
              <w:bottom w:val="single" w:sz="4" w:space="0" w:color="auto"/>
              <w:right w:val="nil"/>
            </w:tcBorders>
            <w:shd w:val="clear" w:color="000000" w:fill="FFFFFF"/>
            <w:vAlign w:val="center"/>
            <w:hideMark/>
          </w:tcPr>
          <w:p w14:paraId="2C2626B8" w14:textId="77777777" w:rsidR="00181A1B" w:rsidRPr="006D631C" w:rsidRDefault="00181A1B" w:rsidP="00DD3903">
            <w:pPr>
              <w:spacing w:line="240" w:lineRule="auto"/>
              <w:ind w:right="-104"/>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{"citationItems":[{"id":"ITEM-1","itemData":{"DOI":"10.1016/0166-6622(92)80298-G","ISSN":"01666622","abstract":"Molecular aggregation states of sodium and zinc 10-undecenoates in aqueous systems with different water contents were investigated in relation to their polymerizabilities. The aggregation states were examined by thermal analysis, and γ-ray-initiated post-polymerization in various states was monitored by IR spectral changes. In the case of sodium 10-undecenoate, coagel and gel states with lamellar structures and a liquid crystal state consisting of a regular hexagonal array of cylindrical aggregates of the molecules can appear, depending on the temperature in the range of water contents of 30-60%. However, zinc 10-undecenoate exhibits coagel, gel-I, gel-II and lamellar liquid crystal states in a wide range of water contents. The polymerizability of the sodium salt increased in the order coagel, gel and liquid crystal with a hexagonal structure, whereas the zinc salt polymerized most effectively in the gel-I phase with a regular lamellar structure. It is concluded that the regular arrangement of the monomer molecules together with conformational freedom is an important factor for the polymerization. © 1992.","author":[{"dropping-particle":"","family":"Shibasaki","given":"Yoshio","non-dropping-particle":"","parse-names":false,"suffix":""},{"dropping-particle":"","family":"Fukuda","given":"Kiyoshige","non-dropping-particle":"","parse-names":false,"suffix":""}],"container-title":"Colloids and Surfaces","id":"ITEM-1","issue":"C","issued":{"date-parts":[["1992"]]},"page":"195-201","title":"Aggregation states and polymerizabilities of amphiphilic monomer molecules in aqueous systems with different water contents","type":"article-journal","volume":"67"},"uris":["http://www.mendeley.com/documents/?uuid=aea71756-8636-45e5-9e1f-f65916558b5f"]}],"mendeley":{"formattedCitation":"&lt;sup&gt;72&lt;/sup&gt;","plainTextFormattedCitation":"72","previouslyFormattedCitation":"&lt;sup&gt;72&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72</w:t>
            </w:r>
            <w:r w:rsidRPr="006D631C">
              <w:rPr>
                <w:color w:val="000000"/>
                <w:sz w:val="12"/>
                <w:szCs w:val="12"/>
              </w:rPr>
              <w:fldChar w:fldCharType="end"/>
            </w:r>
          </w:p>
        </w:tc>
      </w:tr>
      <w:tr w:rsidR="000A1415" w:rsidRPr="006D631C" w14:paraId="4AABCD49" w14:textId="77777777" w:rsidTr="00705731">
        <w:trPr>
          <w:trHeight w:val="20"/>
          <w:jc w:val="center"/>
        </w:trPr>
        <w:tc>
          <w:tcPr>
            <w:tcW w:w="851" w:type="dxa"/>
            <w:vMerge/>
            <w:tcBorders>
              <w:top w:val="nil"/>
              <w:left w:val="nil"/>
              <w:bottom w:val="single" w:sz="4" w:space="0" w:color="000000"/>
              <w:right w:val="nil"/>
            </w:tcBorders>
            <w:vAlign w:val="center"/>
            <w:hideMark/>
          </w:tcPr>
          <w:p w14:paraId="222313D3" w14:textId="77777777" w:rsidR="00891E41" w:rsidRPr="006D631C" w:rsidRDefault="00891E41" w:rsidP="00AA2E53">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36BC456B" w14:textId="77777777" w:rsidR="00891E41" w:rsidRPr="006D631C" w:rsidRDefault="00891E41" w:rsidP="00AA2E53">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hideMark/>
          </w:tcPr>
          <w:p w14:paraId="6FBFE373" w14:textId="77777777" w:rsidR="00891E41" w:rsidRPr="006D631C" w:rsidRDefault="00891E41" w:rsidP="00AA2E53">
            <w:pPr>
              <w:spacing w:line="240" w:lineRule="auto"/>
              <w:jc w:val="left"/>
              <w:rPr>
                <w:color w:val="000000"/>
                <w:sz w:val="12"/>
                <w:szCs w:val="12"/>
              </w:rPr>
            </w:pPr>
            <w:r w:rsidRPr="006D631C">
              <w:rPr>
                <w:color w:val="000000"/>
                <w:sz w:val="12"/>
                <w:szCs w:val="12"/>
              </w:rPr>
              <w:t>I-15 or UV</w:t>
            </w:r>
          </w:p>
        </w:tc>
        <w:tc>
          <w:tcPr>
            <w:tcW w:w="1276" w:type="dxa"/>
            <w:tcBorders>
              <w:top w:val="nil"/>
              <w:left w:val="nil"/>
              <w:bottom w:val="single" w:sz="4" w:space="0" w:color="auto"/>
              <w:right w:val="nil"/>
            </w:tcBorders>
            <w:shd w:val="clear" w:color="000000" w:fill="FFFFFF"/>
            <w:vAlign w:val="center"/>
            <w:hideMark/>
          </w:tcPr>
          <w:p w14:paraId="33928293" w14:textId="77777777" w:rsidR="00891E41" w:rsidRPr="006D631C" w:rsidRDefault="00891E41" w:rsidP="00705731">
            <w:pPr>
              <w:spacing w:line="240" w:lineRule="auto"/>
              <w:ind w:left="37"/>
              <w:jc w:val="left"/>
              <w:rPr>
                <w:color w:val="000000"/>
                <w:sz w:val="12"/>
                <w:szCs w:val="12"/>
              </w:rPr>
            </w:pPr>
            <w:r w:rsidRPr="006D631C">
              <w:rPr>
                <w:color w:val="000000"/>
                <w:sz w:val="12"/>
                <w:szCs w:val="12"/>
              </w:rPr>
              <w:t>&lt; 38 (L</w:t>
            </w:r>
            <w:r w:rsidRPr="006D631C">
              <w:rPr>
                <w:color w:val="000000"/>
                <w:sz w:val="12"/>
                <w:szCs w:val="12"/>
                <w:vertAlign w:val="subscript"/>
              </w:rPr>
              <w:t>1</w:t>
            </w:r>
            <w:r w:rsidRPr="006D631C">
              <w:rPr>
                <w:color w:val="000000"/>
                <w:sz w:val="12"/>
                <w:szCs w:val="12"/>
              </w:rPr>
              <w:t>)</w:t>
            </w:r>
            <w:r w:rsidRPr="006D631C">
              <w:rPr>
                <w:color w:val="000000"/>
                <w:sz w:val="12"/>
                <w:szCs w:val="12"/>
              </w:rPr>
              <w:br/>
              <w:t>42 - 55 (H</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48C85B1A" w14:textId="77777777" w:rsidR="00891E41" w:rsidRPr="006D631C" w:rsidRDefault="00891E41" w:rsidP="00AA2E53">
            <w:pPr>
              <w:spacing w:line="240" w:lineRule="auto"/>
              <w:jc w:val="left"/>
              <w:rPr>
                <w:color w:val="000000"/>
                <w:sz w:val="12"/>
                <w:szCs w:val="12"/>
              </w:rPr>
            </w:pPr>
            <w:r w:rsidRPr="006D631C">
              <w:rPr>
                <w:color w:val="000000"/>
                <w:sz w:val="12"/>
                <w:szCs w:val="12"/>
              </w:rPr>
              <w:t>Retention of the structures</w:t>
            </w:r>
          </w:p>
        </w:tc>
        <w:tc>
          <w:tcPr>
            <w:tcW w:w="1134" w:type="dxa"/>
            <w:tcBorders>
              <w:top w:val="nil"/>
              <w:left w:val="nil"/>
              <w:bottom w:val="single" w:sz="4" w:space="0" w:color="auto"/>
              <w:right w:val="nil"/>
            </w:tcBorders>
            <w:shd w:val="clear" w:color="000000" w:fill="FFFFFF"/>
            <w:noWrap/>
            <w:vAlign w:val="center"/>
            <w:hideMark/>
          </w:tcPr>
          <w:p w14:paraId="495BD600" w14:textId="77777777" w:rsidR="00891E41" w:rsidRPr="006D631C" w:rsidRDefault="00891E41" w:rsidP="00AA2E53">
            <w:pPr>
              <w:spacing w:line="240" w:lineRule="auto"/>
              <w:jc w:val="left"/>
              <w:rPr>
                <w:color w:val="000000"/>
                <w:sz w:val="12"/>
                <w:szCs w:val="12"/>
              </w:rPr>
            </w:pPr>
            <w:r w:rsidRPr="006D631C">
              <w:rPr>
                <w:color w:val="000000"/>
                <w:sz w:val="12"/>
                <w:szCs w:val="12"/>
              </w:rPr>
              <w:t>4.5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632DAADE" w14:textId="77777777" w:rsidR="00891E41" w:rsidRPr="006D631C" w:rsidRDefault="00891E41" w:rsidP="00AA2E53">
            <w:pPr>
              <w:spacing w:line="240" w:lineRule="auto"/>
              <w:jc w:val="left"/>
              <w:rPr>
                <w:color w:val="000000"/>
                <w:sz w:val="12"/>
                <w:szCs w:val="12"/>
              </w:rPr>
            </w:pPr>
            <w:r w:rsidRPr="006D631C">
              <w:rPr>
                <w:color w:val="000000"/>
                <w:sz w:val="12"/>
                <w:szCs w:val="12"/>
              </w:rPr>
              <w:t>3.7 (H</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0ACB2CC5" w14:textId="6F98D8B3" w:rsidR="00891E41" w:rsidRPr="006D631C" w:rsidRDefault="008F144A" w:rsidP="008F144A">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color w:val="000000"/>
                <w:sz w:val="12"/>
                <w:szCs w:val="12"/>
              </w:rPr>
              <w:t>Monomer c</w:t>
            </w:r>
            <w:r w:rsidR="00891E41" w:rsidRPr="006D631C">
              <w:rPr>
                <w:color w:val="000000"/>
                <w:sz w:val="12"/>
                <w:szCs w:val="12"/>
              </w:rPr>
              <w:t>onversion</w:t>
            </w:r>
            <w:r w:rsidR="00891E41" w:rsidRPr="006D631C">
              <w:rPr>
                <w:rFonts w:eastAsia="Times New Roman" w:cs="Times New Roman"/>
                <w:color w:val="000000"/>
                <w:sz w:val="12"/>
                <w:szCs w:val="12"/>
              </w:rPr>
              <w:t xml:space="preserve"> of less than 30%</w:t>
            </w:r>
          </w:p>
          <w:p w14:paraId="649DBE4D" w14:textId="7C159F9B" w:rsidR="00891E41" w:rsidRPr="006D631C" w:rsidRDefault="008F144A" w:rsidP="008F144A">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Monomer c</w:t>
            </w:r>
            <w:r w:rsidR="00891E41" w:rsidRPr="006D631C">
              <w:rPr>
                <w:rFonts w:eastAsia="Times New Roman" w:cs="Times New Roman"/>
                <w:color w:val="000000"/>
                <w:sz w:val="12"/>
                <w:szCs w:val="12"/>
              </w:rPr>
              <w:t>onversion in non-LLC phase was ~80%</w:t>
            </w:r>
          </w:p>
        </w:tc>
        <w:tc>
          <w:tcPr>
            <w:tcW w:w="426" w:type="dxa"/>
            <w:tcBorders>
              <w:top w:val="nil"/>
              <w:left w:val="nil"/>
              <w:bottom w:val="single" w:sz="4" w:space="0" w:color="auto"/>
              <w:right w:val="nil"/>
            </w:tcBorders>
            <w:shd w:val="clear" w:color="000000" w:fill="FFFFFF"/>
            <w:vAlign w:val="center"/>
            <w:hideMark/>
          </w:tcPr>
          <w:p w14:paraId="129A75F4" w14:textId="77777777" w:rsidR="00891E41" w:rsidRPr="006D631C" w:rsidRDefault="00891E41" w:rsidP="00DD3903">
            <w:pPr>
              <w:spacing w:line="240" w:lineRule="auto"/>
              <w:ind w:right="-104"/>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{"citationItems":[{"id":"ITEM-1","itemData":{"DOI":"10.1007/BF00655224","ISSN":"0303402X","abstract":"The polymerisation of a polymerisable fatty acid surfactant (sodium 10-undecenoate) has been studied in both its self-assembled and non self-assembled forms. Polymerisation in non self-assembled solution was achieved to near completion. The polymerisation produces a surface active polymer. The self-assembling behaviour of this pre-polymerised form differs markedly from that observed for the monomeric surfactant [1]. A lamellar phase only is formed in the polymeric phase diagram with no hexagonal or lamellar gel phases being observed. Polymerisation in the different self-assembled forms of sodium 10-undecenoate reached a limit of approximately 30% only, i.e., the surfactant aggregates act to inhibit the polymerisation. The nature of the hydrocarbon chain was found to play a critical role in determining the effect that polymerisation had on the underlying geometry of the surfactant molecules. When the chains are in a fluid-like state (as for the micellar and hexagonal phases) the original monomeric matrix remains largely unchanged. Whereas partial polymerisation of the lamellar gel phase results in a phase transformation. In addition the hydrolysis of the fatty acid soap at low concentrations (close to the critical micelle concentration) has been investigated. Hydrolysis was shown to produce both the parent fatty acid and an acid soap dimer. The presence of these species greatly affects the solution behaviour in this region of the phase diagram shifting the critical micelle concentration to very high concentrations of sodium 10-undecenoate (ca. 0.4 M).","author":[{"dropping-particle":"","family":"McGrath","given":"K. M.","non-dropping-particle":"","parse-names":false,"suffix":""}],"container-title":"Colloid and Polymer Science","id":"ITEM-1","issue":"6","issued":{"date-parts":[["1996"]]},"page":"499-512","title":"Polymerisation of liquid crystalline phases in binary surfactant/water systems. Part 3. Sodium 10-undecenoate","type":"article-journal","volume":"274"},"uris":["http://www.mendeley.com/documents/?uuid=3426744b-5b1b-482a-bbb1-d6064c89d3fc"]}],"mendeley":{"formattedCitation":"&lt;sup&gt;74&lt;/sup&gt;","plainTextFormattedCitation":"74","previouslyFormattedCitation":"&lt;sup&gt;74&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74</w:t>
            </w:r>
            <w:r w:rsidRPr="006D631C">
              <w:rPr>
                <w:color w:val="000000"/>
                <w:sz w:val="12"/>
                <w:szCs w:val="12"/>
              </w:rPr>
              <w:fldChar w:fldCharType="end"/>
            </w:r>
          </w:p>
        </w:tc>
      </w:tr>
      <w:tr w:rsidR="000A1415" w:rsidRPr="006D631C" w14:paraId="3531F08B" w14:textId="77777777" w:rsidTr="00705731">
        <w:trPr>
          <w:trHeight w:val="20"/>
          <w:jc w:val="center"/>
        </w:trPr>
        <w:tc>
          <w:tcPr>
            <w:tcW w:w="851" w:type="dxa"/>
            <w:tcBorders>
              <w:top w:val="nil"/>
              <w:left w:val="nil"/>
              <w:bottom w:val="single" w:sz="4" w:space="0" w:color="auto"/>
              <w:right w:val="nil"/>
            </w:tcBorders>
            <w:shd w:val="clear" w:color="000000" w:fill="FFFFFF"/>
            <w:noWrap/>
            <w:vAlign w:val="center"/>
            <w:hideMark/>
          </w:tcPr>
          <w:p w14:paraId="3BEF3379" w14:textId="77777777" w:rsidR="008F144A" w:rsidRPr="006D631C" w:rsidRDefault="008F144A" w:rsidP="00AA2E53">
            <w:pPr>
              <w:spacing w:line="240" w:lineRule="auto"/>
              <w:jc w:val="left"/>
              <w:rPr>
                <w:color w:val="000000"/>
                <w:sz w:val="12"/>
                <w:szCs w:val="12"/>
              </w:rPr>
            </w:pPr>
            <w:r w:rsidRPr="006D631C">
              <w:rPr>
                <w:color w:val="000000"/>
                <w:sz w:val="12"/>
                <w:szCs w:val="12"/>
              </w:rPr>
              <w:t>P-A-19</w:t>
            </w:r>
          </w:p>
        </w:tc>
        <w:tc>
          <w:tcPr>
            <w:tcW w:w="709" w:type="dxa"/>
            <w:tcBorders>
              <w:top w:val="nil"/>
              <w:left w:val="nil"/>
              <w:bottom w:val="single" w:sz="4" w:space="0" w:color="auto"/>
              <w:right w:val="nil"/>
            </w:tcBorders>
            <w:shd w:val="clear" w:color="000000" w:fill="FFFFFF"/>
            <w:vAlign w:val="center"/>
            <w:hideMark/>
          </w:tcPr>
          <w:p w14:paraId="62968D82" w14:textId="77777777" w:rsidR="008F144A" w:rsidRPr="006D631C" w:rsidRDefault="008F144A" w:rsidP="00AA2E53">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hideMark/>
          </w:tcPr>
          <w:p w14:paraId="44BFAB4A" w14:textId="77777777" w:rsidR="008F144A" w:rsidRPr="006D631C" w:rsidRDefault="008F144A" w:rsidP="00AA2E53">
            <w:pPr>
              <w:spacing w:line="240" w:lineRule="auto"/>
              <w:jc w:val="left"/>
              <w:rPr>
                <w:color w:val="000000"/>
                <w:sz w:val="12"/>
                <w:szCs w:val="12"/>
              </w:rPr>
            </w:pPr>
            <w:r w:rsidRPr="006D631C">
              <w:rPr>
                <w:color w:val="000000"/>
                <w:sz w:val="12"/>
                <w:szCs w:val="12"/>
              </w:rPr>
              <w:t>γ-ray radiation</w:t>
            </w:r>
          </w:p>
        </w:tc>
        <w:tc>
          <w:tcPr>
            <w:tcW w:w="1276" w:type="dxa"/>
            <w:tcBorders>
              <w:top w:val="nil"/>
              <w:left w:val="nil"/>
              <w:bottom w:val="single" w:sz="4" w:space="0" w:color="auto"/>
              <w:right w:val="nil"/>
            </w:tcBorders>
            <w:shd w:val="clear" w:color="000000" w:fill="FFFFFF"/>
            <w:noWrap/>
            <w:vAlign w:val="center"/>
            <w:hideMark/>
          </w:tcPr>
          <w:p w14:paraId="0F11F695" w14:textId="77777777" w:rsidR="008F144A" w:rsidRPr="006D631C" w:rsidRDefault="008F144A" w:rsidP="00705731">
            <w:pPr>
              <w:spacing w:line="240" w:lineRule="auto"/>
              <w:ind w:left="37"/>
              <w:jc w:val="left"/>
              <w:rPr>
                <w:color w:val="000000"/>
                <w:sz w:val="12"/>
                <w:szCs w:val="12"/>
              </w:rPr>
            </w:pPr>
            <w:r w:rsidRPr="006D631C">
              <w:rPr>
                <w:color w:val="000000"/>
                <w:sz w:val="12"/>
                <w:szCs w:val="12"/>
              </w:rPr>
              <w:t>-</w:t>
            </w:r>
          </w:p>
        </w:tc>
        <w:tc>
          <w:tcPr>
            <w:tcW w:w="1418" w:type="dxa"/>
            <w:tcBorders>
              <w:top w:val="nil"/>
              <w:left w:val="nil"/>
              <w:bottom w:val="single" w:sz="4" w:space="0" w:color="auto"/>
              <w:right w:val="nil"/>
            </w:tcBorders>
            <w:shd w:val="clear" w:color="000000" w:fill="FFFFFF"/>
            <w:noWrap/>
            <w:vAlign w:val="center"/>
            <w:hideMark/>
          </w:tcPr>
          <w:p w14:paraId="4E883B7C" w14:textId="77777777" w:rsidR="008F144A" w:rsidRPr="006D631C" w:rsidRDefault="008F144A" w:rsidP="00AA2E53">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5B5EE441" w14:textId="77777777" w:rsidR="008F144A" w:rsidRPr="006D631C" w:rsidRDefault="008F144A" w:rsidP="00AA2E53">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62677424" w14:textId="77777777" w:rsidR="008F144A" w:rsidRPr="006D631C" w:rsidRDefault="008F144A" w:rsidP="00AA2E53">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hideMark/>
          </w:tcPr>
          <w:p w14:paraId="2B738724" w14:textId="78EA590A" w:rsidR="008F144A" w:rsidRPr="006D631C" w:rsidRDefault="00333AB2" w:rsidP="00333AB2">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Monomer c</w:t>
            </w:r>
            <w:r w:rsidR="008F144A" w:rsidRPr="006D631C">
              <w:rPr>
                <w:color w:val="000000"/>
                <w:sz w:val="12"/>
                <w:szCs w:val="12"/>
              </w:rPr>
              <w:t>onversion</w:t>
            </w:r>
            <w:r w:rsidR="008F144A" w:rsidRPr="006D631C">
              <w:rPr>
                <w:rFonts w:eastAsia="Times New Roman" w:cs="Times New Roman"/>
                <w:color w:val="000000"/>
                <w:sz w:val="12"/>
                <w:szCs w:val="12"/>
              </w:rPr>
              <w:t xml:space="preserve"> of less than 30%</w:t>
            </w:r>
          </w:p>
          <w:p w14:paraId="0D554C64" w14:textId="640EEBA8" w:rsidR="008F144A" w:rsidRPr="006D631C" w:rsidRDefault="008F144A" w:rsidP="008F144A">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 xml:space="preserve">This </w:t>
            </w:r>
            <w:r w:rsidRPr="006D631C">
              <w:rPr>
                <w:color w:val="000000"/>
                <w:sz w:val="12"/>
                <w:szCs w:val="12"/>
              </w:rPr>
              <w:t>mixture</w:t>
            </w:r>
            <w:r w:rsidRPr="006D631C">
              <w:rPr>
                <w:rFonts w:eastAsia="Times New Roman" w:cs="Times New Roman"/>
                <w:color w:val="000000"/>
                <w:sz w:val="12"/>
                <w:szCs w:val="12"/>
              </w:rPr>
              <w:t xml:space="preserve"> can form L</w:t>
            </w:r>
            <w:r w:rsidRPr="006D631C">
              <w:rPr>
                <w:rFonts w:eastAsia="Times New Roman" w:cs="Times New Roman"/>
                <w:color w:val="000000"/>
                <w:sz w:val="12"/>
                <w:szCs w:val="12"/>
                <w:vertAlign w:val="subscript"/>
              </w:rPr>
              <w:t>α</w:t>
            </w:r>
            <w:r w:rsidRPr="006D631C">
              <w:rPr>
                <w:rFonts w:eastAsia="Times New Roman" w:cs="Times New Roman"/>
                <w:color w:val="000000"/>
                <w:sz w:val="12"/>
                <w:szCs w:val="12"/>
              </w:rPr>
              <w:t xml:space="preserve"> at temperatures more than 100 °C</w:t>
            </w:r>
          </w:p>
        </w:tc>
        <w:tc>
          <w:tcPr>
            <w:tcW w:w="426" w:type="dxa"/>
            <w:tcBorders>
              <w:top w:val="nil"/>
              <w:left w:val="nil"/>
              <w:bottom w:val="single" w:sz="4" w:space="0" w:color="auto"/>
              <w:right w:val="nil"/>
            </w:tcBorders>
            <w:shd w:val="clear" w:color="000000" w:fill="FFFFFF"/>
            <w:vAlign w:val="center"/>
            <w:hideMark/>
          </w:tcPr>
          <w:p w14:paraId="1C604B35" w14:textId="77777777" w:rsidR="008F144A" w:rsidRPr="006D631C" w:rsidRDefault="008F144A" w:rsidP="00DD3903">
            <w:pPr>
              <w:spacing w:line="240" w:lineRule="auto"/>
              <w:ind w:right="-104"/>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{"citationItems":[{"id":"ITEM-1","itemData":{"DOI":"10.1016/0166-6622(92)80298-G","ISSN":"01666622","abstract":"Molecular aggregation states of sodium and zinc 10-undecenoates in aqueous systems with different water contents were investigated in relation to their polymerizabilities. The aggregation states were examined by thermal analysis, and γ-ray-initiated post-polymerization in various states was monitored by IR spectral changes. In the case of sodium 10-undecenoate, coagel and gel states with lamellar structures and a liquid crystal state consisting of a regular hexagonal array of cylindrical aggregates of the molecules can appear, depending on the temperature in the range of water contents of 30-60%. However, zinc 10-undecenoate exhibits coagel, gel-I, gel-II and lamellar liquid crystal states in a wide range of water contents. The polymerizability of the sodium salt increased in the order coagel, gel and liquid crystal with a hexagonal structure, whereas the zinc salt polymerized most effectively in the gel-I phase with a regular lamellar structure. It is concluded that the regular arrangement of the monomer molecules together with conformational freedom is an important factor for the polymerization. © 1992.","author":[{"dropping-particle":"","family":"Shibasaki","given":"Yoshio","non-dropping-particle":"","parse-names":false,"suffix":""},{"dropping-particle":"","family":"Fukuda","given":"Kiyoshige","non-dropping-particle":"","parse-names":false,"suffix":""}],"container-title":"Colloids and Surfaces","id":"ITEM-1","issue":"C","issued":{"date-parts":[["1992"]]},"page":"195-201","title":"Aggregation states and polymerizabilities of amphiphilic monomer molecules in aqueous systems with different water contents","type":"article-journal","volume":"67"},"uris":["http://www.mendeley.com/documents/?uuid=aea71756-8636-45e5-9e1f-f65916558b5f"]}],"mendeley":{"formattedCitation":"&lt;sup&gt;72&lt;/sup&gt;","plainTextFormattedCitation":"72","previouslyFormattedCitation":"&lt;sup&gt;72&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72</w:t>
            </w:r>
            <w:r w:rsidRPr="006D631C">
              <w:rPr>
                <w:color w:val="000000"/>
                <w:sz w:val="12"/>
                <w:szCs w:val="12"/>
              </w:rPr>
              <w:fldChar w:fldCharType="end"/>
            </w:r>
          </w:p>
        </w:tc>
      </w:tr>
      <w:tr w:rsidR="000A1415" w:rsidRPr="006D631C" w14:paraId="4FC2858D" w14:textId="77777777" w:rsidTr="00705731">
        <w:trPr>
          <w:trHeight w:val="20"/>
          <w:jc w:val="center"/>
        </w:trPr>
        <w:tc>
          <w:tcPr>
            <w:tcW w:w="851" w:type="dxa"/>
            <w:tcBorders>
              <w:top w:val="nil"/>
              <w:left w:val="nil"/>
              <w:bottom w:val="single" w:sz="4" w:space="0" w:color="auto"/>
              <w:right w:val="nil"/>
            </w:tcBorders>
            <w:shd w:val="clear" w:color="000000" w:fill="FFFFFF"/>
            <w:noWrap/>
            <w:vAlign w:val="center"/>
            <w:hideMark/>
          </w:tcPr>
          <w:p w14:paraId="57E5D87D" w14:textId="77777777" w:rsidR="00333AB2" w:rsidRPr="006D631C" w:rsidRDefault="00333AB2" w:rsidP="00AA2E53">
            <w:pPr>
              <w:spacing w:line="240" w:lineRule="auto"/>
              <w:jc w:val="left"/>
              <w:rPr>
                <w:color w:val="000000"/>
                <w:sz w:val="12"/>
                <w:szCs w:val="12"/>
              </w:rPr>
            </w:pPr>
            <w:r w:rsidRPr="006D631C">
              <w:rPr>
                <w:color w:val="000000"/>
                <w:sz w:val="12"/>
                <w:szCs w:val="12"/>
              </w:rPr>
              <w:t>P-A-20</w:t>
            </w:r>
          </w:p>
        </w:tc>
        <w:tc>
          <w:tcPr>
            <w:tcW w:w="709" w:type="dxa"/>
            <w:tcBorders>
              <w:top w:val="nil"/>
              <w:left w:val="nil"/>
              <w:bottom w:val="single" w:sz="4" w:space="0" w:color="auto"/>
              <w:right w:val="nil"/>
            </w:tcBorders>
            <w:shd w:val="clear" w:color="000000" w:fill="FFFFFF"/>
            <w:vAlign w:val="center"/>
            <w:hideMark/>
          </w:tcPr>
          <w:p w14:paraId="27AF2501" w14:textId="77777777" w:rsidR="00333AB2" w:rsidRPr="006D631C" w:rsidRDefault="00333AB2" w:rsidP="00AA2E53">
            <w:pPr>
              <w:spacing w:line="240" w:lineRule="auto"/>
              <w:jc w:val="left"/>
              <w:rPr>
                <w:color w:val="000000"/>
                <w:sz w:val="12"/>
                <w:szCs w:val="12"/>
              </w:rPr>
            </w:pPr>
            <w:r w:rsidRPr="006D631C">
              <w:rPr>
                <w:color w:val="000000"/>
                <w:sz w:val="12"/>
                <w:szCs w:val="12"/>
              </w:rPr>
              <w:t>C-1</w:t>
            </w:r>
          </w:p>
        </w:tc>
        <w:tc>
          <w:tcPr>
            <w:tcW w:w="708" w:type="dxa"/>
            <w:tcBorders>
              <w:top w:val="nil"/>
              <w:left w:val="nil"/>
              <w:bottom w:val="single" w:sz="4" w:space="0" w:color="auto"/>
              <w:right w:val="nil"/>
            </w:tcBorders>
            <w:shd w:val="clear" w:color="000000" w:fill="FFFFFF"/>
            <w:vAlign w:val="center"/>
            <w:hideMark/>
          </w:tcPr>
          <w:p w14:paraId="052B58EE" w14:textId="77777777" w:rsidR="00333AB2" w:rsidRPr="006D631C" w:rsidRDefault="00333AB2" w:rsidP="00AA2E53">
            <w:pPr>
              <w:spacing w:line="240" w:lineRule="auto"/>
              <w:jc w:val="left"/>
              <w:rPr>
                <w:color w:val="000000"/>
                <w:sz w:val="12"/>
                <w:szCs w:val="12"/>
              </w:rPr>
            </w:pPr>
            <w:r w:rsidRPr="006D631C">
              <w:rPr>
                <w:color w:val="000000"/>
                <w:sz w:val="12"/>
                <w:szCs w:val="12"/>
              </w:rPr>
              <w:t>I-3</w:t>
            </w:r>
          </w:p>
        </w:tc>
        <w:tc>
          <w:tcPr>
            <w:tcW w:w="1276" w:type="dxa"/>
            <w:tcBorders>
              <w:top w:val="nil"/>
              <w:left w:val="nil"/>
              <w:bottom w:val="single" w:sz="4" w:space="0" w:color="auto"/>
              <w:right w:val="nil"/>
            </w:tcBorders>
            <w:shd w:val="clear" w:color="000000" w:fill="FFFFFF"/>
            <w:noWrap/>
            <w:vAlign w:val="center"/>
            <w:hideMark/>
          </w:tcPr>
          <w:p w14:paraId="6031CE20" w14:textId="720E572E" w:rsidR="00333AB2" w:rsidRPr="006D631C" w:rsidRDefault="00333AB2" w:rsidP="00705731">
            <w:pPr>
              <w:spacing w:line="240" w:lineRule="auto"/>
              <w:ind w:left="37"/>
              <w:jc w:val="left"/>
              <w:rPr>
                <w:color w:val="000000"/>
                <w:sz w:val="12"/>
                <w:szCs w:val="12"/>
              </w:rPr>
            </w:pPr>
            <w:r w:rsidRPr="006D631C">
              <w:rPr>
                <w:color w:val="000000"/>
                <w:sz w:val="12"/>
                <w:szCs w:val="12"/>
              </w:rPr>
              <w:t>80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nil"/>
              <w:right w:val="nil"/>
            </w:tcBorders>
            <w:shd w:val="clear" w:color="000000" w:fill="FFFFFF"/>
            <w:vAlign w:val="center"/>
            <w:hideMark/>
          </w:tcPr>
          <w:p w14:paraId="1049F278" w14:textId="77777777" w:rsidR="00333AB2" w:rsidRPr="006D631C" w:rsidRDefault="00333AB2" w:rsidP="00AA2E53">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nil"/>
              <w:right w:val="nil"/>
            </w:tcBorders>
            <w:shd w:val="clear" w:color="000000" w:fill="FFFFFF"/>
            <w:noWrap/>
            <w:vAlign w:val="center"/>
            <w:hideMark/>
          </w:tcPr>
          <w:p w14:paraId="7FE7AE58" w14:textId="77777777" w:rsidR="00333AB2" w:rsidRPr="006D631C" w:rsidRDefault="00333AB2" w:rsidP="00AA2E53">
            <w:pPr>
              <w:spacing w:line="240" w:lineRule="auto"/>
              <w:jc w:val="left"/>
              <w:rPr>
                <w:color w:val="000000"/>
                <w:sz w:val="12"/>
                <w:szCs w:val="12"/>
              </w:rPr>
            </w:pPr>
            <w:r w:rsidRPr="006D631C">
              <w:rPr>
                <w:color w:val="000000"/>
                <w:sz w:val="12"/>
                <w:szCs w:val="12"/>
              </w:rPr>
              <w:t>3.56</w:t>
            </w:r>
          </w:p>
        </w:tc>
        <w:tc>
          <w:tcPr>
            <w:tcW w:w="1134" w:type="dxa"/>
            <w:tcBorders>
              <w:top w:val="nil"/>
              <w:left w:val="nil"/>
              <w:bottom w:val="nil"/>
              <w:right w:val="nil"/>
            </w:tcBorders>
            <w:shd w:val="clear" w:color="000000" w:fill="FFFFFF"/>
            <w:noWrap/>
            <w:vAlign w:val="center"/>
            <w:hideMark/>
          </w:tcPr>
          <w:p w14:paraId="7618747B" w14:textId="77777777" w:rsidR="00333AB2" w:rsidRPr="006D631C" w:rsidRDefault="00333AB2" w:rsidP="00AA2E53">
            <w:pPr>
              <w:spacing w:line="240" w:lineRule="auto"/>
              <w:jc w:val="left"/>
              <w:rPr>
                <w:color w:val="000000"/>
                <w:sz w:val="12"/>
                <w:szCs w:val="12"/>
              </w:rPr>
            </w:pPr>
            <w:r w:rsidRPr="006D631C">
              <w:rPr>
                <w:color w:val="000000"/>
                <w:sz w:val="12"/>
                <w:szCs w:val="12"/>
              </w:rPr>
              <w:t>3.62</w:t>
            </w:r>
          </w:p>
        </w:tc>
        <w:tc>
          <w:tcPr>
            <w:tcW w:w="5244" w:type="dxa"/>
            <w:tcBorders>
              <w:top w:val="nil"/>
              <w:left w:val="nil"/>
              <w:bottom w:val="single" w:sz="4" w:space="0" w:color="auto"/>
              <w:right w:val="nil"/>
            </w:tcBorders>
            <w:shd w:val="clear" w:color="000000" w:fill="FFFFFF"/>
            <w:vAlign w:val="center"/>
            <w:hideMark/>
          </w:tcPr>
          <w:p w14:paraId="3C3F796F" w14:textId="1B4054F9" w:rsidR="00333AB2" w:rsidRPr="006D631C" w:rsidRDefault="00333AB2" w:rsidP="00333AB2">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Almost complete monomer conversion</w:t>
            </w:r>
          </w:p>
          <w:p w14:paraId="4D3D24D7" w14:textId="617540F0" w:rsidR="00333AB2" w:rsidRPr="006D631C" w:rsidRDefault="00333AB2" w:rsidP="00333AB2">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color w:val="000000"/>
                <w:sz w:val="12"/>
                <w:szCs w:val="12"/>
              </w:rPr>
              <w:t>Insolubility</w:t>
            </w:r>
            <w:r w:rsidR="003E7C0D" w:rsidRPr="006D631C">
              <w:rPr>
                <w:color w:val="000000"/>
                <w:sz w:val="12"/>
                <w:szCs w:val="12"/>
              </w:rPr>
              <w:t xml:space="preserve"> of polyLLC</w:t>
            </w:r>
            <w:r w:rsidRPr="006D631C">
              <w:rPr>
                <w:color w:val="000000"/>
                <w:sz w:val="12"/>
                <w:szCs w:val="12"/>
              </w:rPr>
              <w:t xml:space="preserve"> in water and organic solvents even without cross-linker</w:t>
            </w:r>
          </w:p>
        </w:tc>
        <w:tc>
          <w:tcPr>
            <w:tcW w:w="426" w:type="dxa"/>
            <w:tcBorders>
              <w:top w:val="nil"/>
              <w:left w:val="nil"/>
              <w:bottom w:val="single" w:sz="4" w:space="0" w:color="auto"/>
              <w:right w:val="nil"/>
            </w:tcBorders>
            <w:shd w:val="clear" w:color="000000" w:fill="FFFFFF"/>
            <w:vAlign w:val="center"/>
            <w:hideMark/>
          </w:tcPr>
          <w:p w14:paraId="3DBB268B" w14:textId="5B3BDF8C" w:rsidR="00333AB2" w:rsidRPr="006D631C" w:rsidRDefault="00333AB2" w:rsidP="002E14E4">
            <w:pPr>
              <w:spacing w:line="240" w:lineRule="auto"/>
              <w:ind w:right="-104"/>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{"citationItems":[{"id":"ITEM-1","itemData":{"DOI":"10.1002/masy.200550718","ISSN":"1022-1360","abstract":"Both dodecylammonium acrylate (I) and dodecylammonium methacrylate (II) are reactive surfactants in which the polymerizable group is the organic counterion. Templating polymerization of I and II from the lyotropic liquid crystalline (LLC) lamellar phase was successfully performed with conservation of the supramolecular structure. A 20 wt% aqueous solution of II formed cubic bicontinuous phases, even upon addition of divinyl benzene (DVB). Polymerization from the cubic phases was attempted without and with DVB (3 wt%). Bicontinuous cubic phases always evolved toward lamellar structures upon polymerization. © 2005 International Union of Pure and Applied Chemistry.","author":[{"dropping-particle":"","family":"Hartmann","given":"Patrice C.","non-dropping-particle":"","parse-names":false,"suffix":""},{"dropping-particle":"","family":"Sanderson","given":"Ronald D.","non-dropping-particle":"","parse-names":false,"suffix":""}],"container-title":"Macromolecular Symposia","id":"ITEM-1","issue":"1","issued":{"date-parts":[["2005","5"]]},"page":"229-237","title":"Templating Polymerization of Dodecylammonium Surfactants with Polymerizable (Meth)acrylate Counter Ions","type":"article-journal","volume":"225"},"uris":["http://www.mendeley.com/documents/?uuid=8719a8b4-478d-44d0-aaf0-2d652cfddc3b"]}],"mendeley":{"formattedCitation":"&lt;sup&gt;106&lt;/sup&gt;","plainTextFormattedCitation":"106","previouslyFormattedCitation":"&lt;sup&gt;106&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106</w:t>
            </w:r>
            <w:r w:rsidRPr="006D631C">
              <w:rPr>
                <w:color w:val="000000"/>
                <w:sz w:val="12"/>
                <w:szCs w:val="12"/>
              </w:rPr>
              <w:fldChar w:fldCharType="end"/>
            </w:r>
          </w:p>
        </w:tc>
      </w:tr>
      <w:tr w:rsidR="000A1415" w:rsidRPr="006D631C" w14:paraId="6E0B657D" w14:textId="77777777" w:rsidTr="00705731">
        <w:trPr>
          <w:trHeight w:val="20"/>
          <w:jc w:val="center"/>
        </w:trPr>
        <w:tc>
          <w:tcPr>
            <w:tcW w:w="851" w:type="dxa"/>
            <w:tcBorders>
              <w:top w:val="nil"/>
              <w:left w:val="nil"/>
              <w:bottom w:val="single" w:sz="4" w:space="0" w:color="auto"/>
              <w:right w:val="nil"/>
            </w:tcBorders>
            <w:shd w:val="clear" w:color="000000" w:fill="FFFFFF"/>
            <w:noWrap/>
            <w:vAlign w:val="center"/>
            <w:hideMark/>
          </w:tcPr>
          <w:p w14:paraId="748A5101" w14:textId="77777777" w:rsidR="00AF6B58" w:rsidRPr="006D631C" w:rsidRDefault="00AF6B58" w:rsidP="00AA2E53">
            <w:pPr>
              <w:spacing w:line="240" w:lineRule="auto"/>
              <w:jc w:val="left"/>
              <w:rPr>
                <w:color w:val="000000"/>
                <w:sz w:val="12"/>
                <w:szCs w:val="12"/>
              </w:rPr>
            </w:pPr>
            <w:r w:rsidRPr="006D631C">
              <w:rPr>
                <w:color w:val="000000"/>
                <w:sz w:val="12"/>
                <w:szCs w:val="12"/>
              </w:rPr>
              <w:t>P-A-21</w:t>
            </w:r>
          </w:p>
        </w:tc>
        <w:tc>
          <w:tcPr>
            <w:tcW w:w="709" w:type="dxa"/>
            <w:tcBorders>
              <w:top w:val="nil"/>
              <w:left w:val="nil"/>
              <w:bottom w:val="single" w:sz="4" w:space="0" w:color="auto"/>
              <w:right w:val="nil"/>
            </w:tcBorders>
            <w:shd w:val="clear" w:color="000000" w:fill="FFFFFF"/>
            <w:vAlign w:val="center"/>
            <w:hideMark/>
          </w:tcPr>
          <w:p w14:paraId="79528AF2" w14:textId="77777777" w:rsidR="00AF6B58" w:rsidRPr="006D631C" w:rsidRDefault="00AF6B58" w:rsidP="00AA2E53">
            <w:pPr>
              <w:spacing w:line="240" w:lineRule="auto"/>
              <w:jc w:val="left"/>
              <w:rPr>
                <w:color w:val="000000"/>
                <w:sz w:val="12"/>
                <w:szCs w:val="12"/>
              </w:rPr>
            </w:pPr>
            <w:r w:rsidRPr="006D631C">
              <w:rPr>
                <w:color w:val="000000"/>
                <w:sz w:val="12"/>
                <w:szCs w:val="12"/>
              </w:rPr>
              <w:t>C-1</w:t>
            </w:r>
          </w:p>
        </w:tc>
        <w:tc>
          <w:tcPr>
            <w:tcW w:w="708" w:type="dxa"/>
            <w:tcBorders>
              <w:top w:val="nil"/>
              <w:left w:val="nil"/>
              <w:bottom w:val="single" w:sz="4" w:space="0" w:color="auto"/>
              <w:right w:val="nil"/>
            </w:tcBorders>
            <w:shd w:val="clear" w:color="000000" w:fill="FFFFFF"/>
            <w:vAlign w:val="center"/>
            <w:hideMark/>
          </w:tcPr>
          <w:p w14:paraId="6EA96238" w14:textId="77777777" w:rsidR="00AF6B58" w:rsidRPr="006D631C" w:rsidRDefault="00AF6B58" w:rsidP="00AA2E53">
            <w:pPr>
              <w:spacing w:line="240" w:lineRule="auto"/>
              <w:jc w:val="left"/>
              <w:rPr>
                <w:color w:val="000000"/>
                <w:sz w:val="12"/>
                <w:szCs w:val="12"/>
              </w:rPr>
            </w:pPr>
            <w:r w:rsidRPr="006D631C">
              <w:rPr>
                <w:color w:val="000000"/>
                <w:sz w:val="12"/>
                <w:szCs w:val="12"/>
              </w:rPr>
              <w:t>I-3</w:t>
            </w:r>
          </w:p>
        </w:tc>
        <w:tc>
          <w:tcPr>
            <w:tcW w:w="1276" w:type="dxa"/>
            <w:tcBorders>
              <w:top w:val="nil"/>
              <w:left w:val="nil"/>
              <w:bottom w:val="single" w:sz="4" w:space="0" w:color="auto"/>
              <w:right w:val="nil"/>
            </w:tcBorders>
            <w:shd w:val="clear" w:color="000000" w:fill="FFFFFF"/>
            <w:vAlign w:val="center"/>
            <w:hideMark/>
          </w:tcPr>
          <w:p w14:paraId="29513E10" w14:textId="77777777" w:rsidR="00AF6B58" w:rsidRPr="006D631C" w:rsidRDefault="00AF6B58" w:rsidP="00705731">
            <w:pPr>
              <w:spacing w:line="240" w:lineRule="auto"/>
              <w:ind w:left="37"/>
              <w:jc w:val="left"/>
              <w:rPr>
                <w:color w:val="000000"/>
                <w:sz w:val="12"/>
                <w:szCs w:val="12"/>
              </w:rPr>
            </w:pPr>
            <w:r w:rsidRPr="006D631C">
              <w:rPr>
                <w:color w:val="000000"/>
                <w:sz w:val="12"/>
                <w:szCs w:val="12"/>
              </w:rPr>
              <w:t>20 (Q</w:t>
            </w:r>
            <w:r w:rsidRPr="006D631C">
              <w:rPr>
                <w:color w:val="000000"/>
                <w:sz w:val="12"/>
                <w:szCs w:val="12"/>
                <w:vertAlign w:val="subscript"/>
              </w:rPr>
              <w:t>1</w:t>
            </w:r>
            <w:r w:rsidRPr="006D631C">
              <w:rPr>
                <w:color w:val="000000"/>
                <w:sz w:val="12"/>
                <w:szCs w:val="12"/>
              </w:rPr>
              <w:t>)</w:t>
            </w:r>
            <w:r w:rsidRPr="006D631C">
              <w:rPr>
                <w:color w:val="000000"/>
                <w:sz w:val="12"/>
                <w:szCs w:val="12"/>
              </w:rPr>
              <w:br/>
              <w:t>80 (L</w:t>
            </w:r>
            <w:r w:rsidRPr="006D631C">
              <w:rPr>
                <w:color w:val="000000"/>
                <w:sz w:val="12"/>
                <w:szCs w:val="12"/>
                <w:vertAlign w:val="subscript"/>
              </w:rPr>
              <w:t>α</w:t>
            </w:r>
            <w:r w:rsidRPr="006D631C">
              <w:rPr>
                <w:color w:val="000000"/>
                <w:sz w:val="12"/>
                <w:szCs w:val="12"/>
              </w:rPr>
              <w:t>)</w:t>
            </w:r>
          </w:p>
        </w:tc>
        <w:tc>
          <w:tcPr>
            <w:tcW w:w="1418" w:type="dxa"/>
            <w:tcBorders>
              <w:top w:val="single" w:sz="4" w:space="0" w:color="auto"/>
              <w:left w:val="nil"/>
              <w:bottom w:val="single" w:sz="4" w:space="0" w:color="auto"/>
              <w:right w:val="nil"/>
            </w:tcBorders>
            <w:shd w:val="clear" w:color="000000" w:fill="FFFFFF"/>
            <w:vAlign w:val="center"/>
            <w:hideMark/>
          </w:tcPr>
          <w:p w14:paraId="5C6099F7" w14:textId="77777777" w:rsidR="00AF6B58" w:rsidRPr="006D631C" w:rsidRDefault="00AF6B58" w:rsidP="00AA2E53">
            <w:pPr>
              <w:spacing w:line="240" w:lineRule="auto"/>
              <w:jc w:val="left"/>
              <w:rPr>
                <w:color w:val="000000"/>
                <w:sz w:val="12"/>
                <w:szCs w:val="12"/>
              </w:rPr>
            </w:pPr>
            <w:r w:rsidRPr="006D631C">
              <w:rPr>
                <w:color w:val="000000"/>
                <w:sz w:val="12"/>
                <w:szCs w:val="12"/>
              </w:rPr>
              <w:t>L</w:t>
            </w:r>
            <w:r w:rsidRPr="006D631C">
              <w:rPr>
                <w:color w:val="000000"/>
                <w:sz w:val="12"/>
                <w:szCs w:val="12"/>
                <w:vertAlign w:val="subscript"/>
              </w:rPr>
              <w:t>α</w:t>
            </w:r>
            <w:r w:rsidRPr="006D631C">
              <w:rPr>
                <w:color w:val="000000"/>
                <w:sz w:val="12"/>
                <w:szCs w:val="12"/>
              </w:rPr>
              <w:t xml:space="preserve"> was retained but Q</w:t>
            </w:r>
            <w:r w:rsidRPr="006D631C">
              <w:rPr>
                <w:color w:val="000000"/>
                <w:sz w:val="12"/>
                <w:szCs w:val="12"/>
                <w:vertAlign w:val="subscript"/>
              </w:rPr>
              <w:t>1</w:t>
            </w:r>
            <w:r w:rsidRPr="006D631C">
              <w:rPr>
                <w:color w:val="000000"/>
                <w:sz w:val="12"/>
                <w:szCs w:val="12"/>
              </w:rPr>
              <w:t xml:space="preserve"> changed to L</w:t>
            </w:r>
            <w:r w:rsidRPr="006D631C">
              <w:rPr>
                <w:color w:val="000000"/>
                <w:sz w:val="12"/>
                <w:szCs w:val="12"/>
                <w:vertAlign w:val="subscript"/>
              </w:rPr>
              <w:t>α</w:t>
            </w:r>
            <w:r w:rsidRPr="006D631C">
              <w:rPr>
                <w:color w:val="000000"/>
                <w:sz w:val="12"/>
                <w:szCs w:val="12"/>
              </w:rPr>
              <w:t xml:space="preserve"> </w:t>
            </w:r>
          </w:p>
        </w:tc>
        <w:tc>
          <w:tcPr>
            <w:tcW w:w="1134" w:type="dxa"/>
            <w:tcBorders>
              <w:top w:val="single" w:sz="4" w:space="0" w:color="auto"/>
              <w:left w:val="nil"/>
              <w:bottom w:val="single" w:sz="4" w:space="0" w:color="auto"/>
              <w:right w:val="nil"/>
            </w:tcBorders>
            <w:shd w:val="clear" w:color="000000" w:fill="FFFFFF"/>
            <w:noWrap/>
            <w:vAlign w:val="center"/>
            <w:hideMark/>
          </w:tcPr>
          <w:p w14:paraId="00FF811C" w14:textId="77777777" w:rsidR="00AF6B58" w:rsidRPr="006D631C" w:rsidRDefault="00AF6B58" w:rsidP="00AA2E53">
            <w:pPr>
              <w:spacing w:line="240" w:lineRule="auto"/>
              <w:jc w:val="left"/>
              <w:rPr>
                <w:color w:val="000000"/>
                <w:sz w:val="12"/>
                <w:szCs w:val="12"/>
              </w:rPr>
            </w:pPr>
            <w:r w:rsidRPr="006D631C">
              <w:rPr>
                <w:color w:val="000000"/>
                <w:sz w:val="12"/>
                <w:szCs w:val="12"/>
              </w:rPr>
              <w:t>2.58 (L</w:t>
            </w:r>
            <w:r w:rsidRPr="006D631C">
              <w:rPr>
                <w:color w:val="000000"/>
                <w:sz w:val="12"/>
                <w:szCs w:val="12"/>
                <w:vertAlign w:val="subscript"/>
              </w:rPr>
              <w:t>α</w:t>
            </w:r>
            <w:r w:rsidRPr="006D631C">
              <w:rPr>
                <w:color w:val="000000"/>
                <w:sz w:val="12"/>
                <w:szCs w:val="12"/>
              </w:rPr>
              <w:t>), 10.47 - 11.59 (Q</w:t>
            </w:r>
            <w:r w:rsidRPr="006D631C">
              <w:rPr>
                <w:color w:val="000000"/>
                <w:sz w:val="12"/>
                <w:szCs w:val="12"/>
                <w:vertAlign w:val="subscript"/>
              </w:rPr>
              <w:t>1</w:t>
            </w:r>
            <w:r w:rsidRPr="006D631C">
              <w:rPr>
                <w:color w:val="000000"/>
                <w:sz w:val="12"/>
                <w:szCs w:val="12"/>
              </w:rPr>
              <w:t>)*</w:t>
            </w:r>
          </w:p>
        </w:tc>
        <w:tc>
          <w:tcPr>
            <w:tcW w:w="1134" w:type="dxa"/>
            <w:tcBorders>
              <w:top w:val="single" w:sz="4" w:space="0" w:color="auto"/>
              <w:left w:val="nil"/>
              <w:bottom w:val="single" w:sz="4" w:space="0" w:color="auto"/>
              <w:right w:val="nil"/>
            </w:tcBorders>
            <w:shd w:val="clear" w:color="000000" w:fill="FFFFFF"/>
            <w:noWrap/>
            <w:vAlign w:val="center"/>
            <w:hideMark/>
          </w:tcPr>
          <w:p w14:paraId="6508C39F" w14:textId="77777777" w:rsidR="00AF6B58" w:rsidRPr="006D631C" w:rsidRDefault="00AF6B58" w:rsidP="00AA2E53">
            <w:pPr>
              <w:spacing w:line="240" w:lineRule="auto"/>
              <w:jc w:val="left"/>
              <w:rPr>
                <w:color w:val="000000"/>
                <w:sz w:val="12"/>
                <w:szCs w:val="12"/>
              </w:rPr>
            </w:pPr>
            <w:r w:rsidRPr="006D631C">
              <w:rPr>
                <w:color w:val="000000"/>
                <w:sz w:val="12"/>
                <w:szCs w:val="12"/>
              </w:rPr>
              <w:t>2.93 (L</w:t>
            </w:r>
            <w:r w:rsidRPr="006D631C">
              <w:rPr>
                <w:color w:val="000000"/>
                <w:sz w:val="12"/>
                <w:szCs w:val="12"/>
                <w:vertAlign w:val="subscript"/>
              </w:rPr>
              <w:t>α</w:t>
            </w:r>
            <w:r w:rsidRPr="006D631C">
              <w:rPr>
                <w:color w:val="000000"/>
                <w:sz w:val="12"/>
                <w:szCs w:val="12"/>
              </w:rPr>
              <w:t>), 3.33-3.45 (Q</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hideMark/>
          </w:tcPr>
          <w:p w14:paraId="101D672D" w14:textId="77777777" w:rsidR="00AF6B58" w:rsidRPr="006D631C" w:rsidRDefault="00AF6B58" w:rsidP="00AF6B58">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Q</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w:t>
            </w:r>
            <w:r w:rsidRPr="006D631C">
              <w:rPr>
                <w:color w:val="000000"/>
                <w:sz w:val="12"/>
                <w:szCs w:val="12"/>
              </w:rPr>
              <w:t>changed</w:t>
            </w:r>
            <w:r w:rsidRPr="006D631C">
              <w:rPr>
                <w:rFonts w:eastAsia="Times New Roman" w:cs="Times New Roman"/>
                <w:color w:val="000000"/>
                <w:sz w:val="12"/>
                <w:szCs w:val="12"/>
              </w:rPr>
              <w:t xml:space="preserve"> to L</w:t>
            </w:r>
            <w:r w:rsidRPr="006D631C">
              <w:rPr>
                <w:rFonts w:eastAsia="Times New Roman" w:cs="Times New Roman"/>
                <w:color w:val="000000"/>
                <w:sz w:val="12"/>
                <w:szCs w:val="12"/>
                <w:vertAlign w:val="subscript"/>
              </w:rPr>
              <w:t>α</w:t>
            </w:r>
            <w:r w:rsidRPr="006D631C">
              <w:rPr>
                <w:rFonts w:eastAsia="Times New Roman" w:cs="Times New Roman"/>
                <w:color w:val="000000"/>
                <w:sz w:val="12"/>
                <w:szCs w:val="12"/>
              </w:rPr>
              <w:t xml:space="preserve"> with or without using C-1</w:t>
            </w:r>
          </w:p>
          <w:p w14:paraId="0AD497B2" w14:textId="00228274" w:rsidR="00AF6B58" w:rsidRPr="006D631C" w:rsidRDefault="00AF6B58" w:rsidP="00AF6B58">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color w:val="000000"/>
                <w:sz w:val="12"/>
                <w:szCs w:val="12"/>
              </w:rPr>
              <w:t xml:space="preserve"> Insolubility</w:t>
            </w:r>
            <w:r w:rsidR="004A7DEA" w:rsidRPr="006D631C">
              <w:rPr>
                <w:color w:val="000000"/>
                <w:sz w:val="12"/>
                <w:szCs w:val="12"/>
              </w:rPr>
              <w:t xml:space="preserve"> of polyLLC</w:t>
            </w:r>
            <w:r w:rsidRPr="006D631C">
              <w:rPr>
                <w:color w:val="000000"/>
                <w:sz w:val="12"/>
                <w:szCs w:val="12"/>
              </w:rPr>
              <w:t xml:space="preserve"> in water and organic solvents even without cross-linker</w:t>
            </w:r>
          </w:p>
        </w:tc>
        <w:tc>
          <w:tcPr>
            <w:tcW w:w="426" w:type="dxa"/>
            <w:tcBorders>
              <w:top w:val="nil"/>
              <w:left w:val="nil"/>
              <w:bottom w:val="single" w:sz="4" w:space="0" w:color="auto"/>
              <w:right w:val="nil"/>
            </w:tcBorders>
            <w:shd w:val="clear" w:color="000000" w:fill="FFFFFF"/>
            <w:vAlign w:val="center"/>
            <w:hideMark/>
          </w:tcPr>
          <w:p w14:paraId="18CC3B4B" w14:textId="3BAEB240" w:rsidR="00AF6B58" w:rsidRPr="006D631C" w:rsidRDefault="00AF6B58" w:rsidP="002E14E4">
            <w:pPr>
              <w:spacing w:line="240" w:lineRule="auto"/>
              <w:ind w:right="-104"/>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{"citationItems":[{"id":"ITEM-1","itemData":{"DOI":"10.1002/masy.200550718","ISSN":"1022-1360","abstract":"Both dodecylammonium acrylate (I) and dodecylammonium methacrylate (II) are reactive surfactants in which the polymerizable group is the organic counterion. Templating polymerization of I and II from the lyotropic liquid crystalline (LLC) lamellar phase was successfully performed with conservation of the supramolecular structure. A 20 wt% aqueous solution of II formed cubic bicontinuous phases, even upon addition of divinyl benzene (DVB). Polymerization from the cubic phases was attempted without and with DVB (3 wt%). Bicontinuous cubic phases always evolved toward lamellar structures upon polymerization. © 2005 International Union of Pure and Applied Chemistry.","author":[{"dropping-particle":"","family":"Hartmann","given":"Patrice C.","non-dropping-particle":"","parse-names":false,"suffix":""},{"dropping-particle":"","family":"Sanderson","given":"Ronald D.","non-dropping-particle":"","parse-names":false,"suffix":""}],"container-title":"Macromolecular Symposia","id":"ITEM-1","issue":"1","issued":{"date-parts":[["2005","5"]]},"page":"229-237","title":"Templating Polymerization of Dodecylammonium Surfactants with Polymerizable (Meth)acrylate Counter Ions","type":"article-journal","volume":"225"},"uris":["http://www.mendeley.com/documents/?uuid=8719a8b4-478d-44d0-aaf0-2d652cfddc3b"]}],"mendeley":{"formattedCitation":"&lt;sup&gt;106&lt;/sup&gt;","plainTextFormattedCitation":"106","previouslyFormattedCitation":"&lt;sup&gt;106&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106</w:t>
            </w:r>
            <w:r w:rsidRPr="006D631C">
              <w:rPr>
                <w:color w:val="000000"/>
                <w:sz w:val="12"/>
                <w:szCs w:val="12"/>
              </w:rPr>
              <w:fldChar w:fldCharType="end"/>
            </w:r>
          </w:p>
        </w:tc>
      </w:tr>
      <w:tr w:rsidR="000A1415" w:rsidRPr="006D631C" w14:paraId="620355A8" w14:textId="77777777" w:rsidTr="00705731">
        <w:trPr>
          <w:trHeight w:val="20"/>
          <w:jc w:val="center"/>
        </w:trPr>
        <w:tc>
          <w:tcPr>
            <w:tcW w:w="851" w:type="dxa"/>
            <w:tcBorders>
              <w:top w:val="nil"/>
              <w:left w:val="nil"/>
              <w:bottom w:val="single" w:sz="4" w:space="0" w:color="auto"/>
              <w:right w:val="nil"/>
            </w:tcBorders>
            <w:shd w:val="clear" w:color="000000" w:fill="FFFFFF"/>
            <w:vAlign w:val="center"/>
            <w:hideMark/>
          </w:tcPr>
          <w:p w14:paraId="464163EC" w14:textId="77777777" w:rsidR="00526EA5" w:rsidRPr="006D631C" w:rsidRDefault="00526EA5" w:rsidP="00AA2E53">
            <w:pPr>
              <w:spacing w:line="240" w:lineRule="auto"/>
              <w:jc w:val="left"/>
              <w:rPr>
                <w:color w:val="000000"/>
                <w:sz w:val="12"/>
                <w:szCs w:val="12"/>
              </w:rPr>
            </w:pPr>
            <w:r w:rsidRPr="006D631C">
              <w:rPr>
                <w:color w:val="000000"/>
                <w:sz w:val="12"/>
                <w:szCs w:val="12"/>
              </w:rPr>
              <w:t>P-A-22 /     P-A-23</w:t>
            </w:r>
          </w:p>
        </w:tc>
        <w:tc>
          <w:tcPr>
            <w:tcW w:w="709" w:type="dxa"/>
            <w:tcBorders>
              <w:top w:val="nil"/>
              <w:left w:val="nil"/>
              <w:bottom w:val="single" w:sz="4" w:space="0" w:color="auto"/>
              <w:right w:val="nil"/>
            </w:tcBorders>
            <w:shd w:val="clear" w:color="000000" w:fill="FFFFFF"/>
            <w:vAlign w:val="center"/>
            <w:hideMark/>
          </w:tcPr>
          <w:p w14:paraId="55A323C8" w14:textId="77777777" w:rsidR="00526EA5" w:rsidRPr="006D631C" w:rsidRDefault="00526EA5" w:rsidP="00AA2E53">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hideMark/>
          </w:tcPr>
          <w:p w14:paraId="6EA0A1B2" w14:textId="77777777" w:rsidR="00526EA5" w:rsidRPr="006D631C" w:rsidRDefault="00526EA5" w:rsidP="00AA2E53">
            <w:pPr>
              <w:spacing w:line="240" w:lineRule="auto"/>
              <w:jc w:val="left"/>
              <w:rPr>
                <w:color w:val="000000"/>
                <w:sz w:val="12"/>
                <w:szCs w:val="12"/>
              </w:rPr>
            </w:pPr>
            <w:r w:rsidRPr="006D631C">
              <w:rPr>
                <w:color w:val="000000"/>
                <w:sz w:val="12"/>
                <w:szCs w:val="12"/>
              </w:rPr>
              <w:t>I-20</w:t>
            </w:r>
          </w:p>
        </w:tc>
        <w:tc>
          <w:tcPr>
            <w:tcW w:w="1276" w:type="dxa"/>
            <w:tcBorders>
              <w:top w:val="nil"/>
              <w:left w:val="nil"/>
              <w:bottom w:val="single" w:sz="4" w:space="0" w:color="auto"/>
              <w:right w:val="nil"/>
            </w:tcBorders>
            <w:shd w:val="clear" w:color="000000" w:fill="FFFFFF"/>
            <w:noWrap/>
            <w:vAlign w:val="center"/>
            <w:hideMark/>
          </w:tcPr>
          <w:p w14:paraId="6AFBDF58" w14:textId="75413E9C" w:rsidR="00526EA5" w:rsidRPr="006D631C" w:rsidRDefault="00526EA5" w:rsidP="00705731">
            <w:pPr>
              <w:spacing w:line="240" w:lineRule="auto"/>
              <w:ind w:left="37"/>
              <w:jc w:val="left"/>
              <w:rPr>
                <w:color w:val="000000"/>
                <w:sz w:val="12"/>
                <w:szCs w:val="12"/>
              </w:rPr>
            </w:pPr>
            <w:r w:rsidRPr="006D631C">
              <w:rPr>
                <w:color w:val="000000"/>
                <w:sz w:val="12"/>
                <w:szCs w:val="12"/>
              </w:rPr>
              <w:t>2.5 – 50 (H</w:t>
            </w:r>
            <w:r w:rsidRPr="006D631C">
              <w:rPr>
                <w:color w:val="000000"/>
                <w:sz w:val="12"/>
                <w:szCs w:val="12"/>
                <w:vertAlign w:val="subscript"/>
              </w:rPr>
              <w:t>2</w:t>
            </w:r>
            <w:r w:rsidRPr="006D631C">
              <w:rPr>
                <w:color w:val="000000"/>
                <w:sz w:val="12"/>
                <w:szCs w:val="12"/>
              </w:rPr>
              <w:t>, L</w:t>
            </w:r>
            <w:r w:rsidRPr="006D631C">
              <w:rPr>
                <w:color w:val="000000"/>
                <w:sz w:val="12"/>
                <w:szCs w:val="12"/>
                <w:vertAlign w:val="subscript"/>
              </w:rPr>
              <w:t>α</w:t>
            </w:r>
            <w:r w:rsidRPr="006D631C">
              <w:rPr>
                <w:color w:val="000000"/>
                <w:sz w:val="12"/>
                <w:szCs w:val="12"/>
              </w:rPr>
              <w:t>, Q</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2B4CCE76" w14:textId="77777777" w:rsidR="00526EA5" w:rsidRPr="006D631C" w:rsidRDefault="00526EA5" w:rsidP="00AA2E53">
            <w:pPr>
              <w:spacing w:line="240" w:lineRule="auto"/>
              <w:jc w:val="left"/>
              <w:rPr>
                <w:color w:val="000000"/>
                <w:sz w:val="12"/>
                <w:szCs w:val="12"/>
              </w:rPr>
            </w:pPr>
            <w:r w:rsidRPr="006D631C">
              <w:rPr>
                <w:color w:val="000000"/>
                <w:sz w:val="12"/>
                <w:szCs w:val="12"/>
              </w:rPr>
              <w:t>Retention of H</w:t>
            </w:r>
            <w:r w:rsidRPr="006D631C">
              <w:rPr>
                <w:color w:val="000000"/>
                <w:sz w:val="12"/>
                <w:szCs w:val="12"/>
                <w:vertAlign w:val="subscript"/>
              </w:rPr>
              <w:t>2</w:t>
            </w:r>
          </w:p>
        </w:tc>
        <w:tc>
          <w:tcPr>
            <w:tcW w:w="1134" w:type="dxa"/>
            <w:tcBorders>
              <w:top w:val="nil"/>
              <w:left w:val="nil"/>
              <w:bottom w:val="single" w:sz="4" w:space="0" w:color="auto"/>
              <w:right w:val="nil"/>
            </w:tcBorders>
            <w:shd w:val="clear" w:color="000000" w:fill="FFFFFF"/>
            <w:noWrap/>
            <w:vAlign w:val="center"/>
            <w:hideMark/>
          </w:tcPr>
          <w:p w14:paraId="3C993E90" w14:textId="77777777" w:rsidR="00526EA5" w:rsidRPr="006D631C" w:rsidRDefault="00526EA5" w:rsidP="00AA2E53">
            <w:pPr>
              <w:spacing w:line="240" w:lineRule="auto"/>
              <w:jc w:val="left"/>
              <w:rPr>
                <w:color w:val="000000"/>
                <w:sz w:val="12"/>
                <w:szCs w:val="12"/>
              </w:rPr>
            </w:pPr>
            <w:r w:rsidRPr="006D631C">
              <w:rPr>
                <w:color w:val="000000"/>
                <w:sz w:val="12"/>
                <w:szCs w:val="12"/>
              </w:rPr>
              <w:t>5.5 (L</w:t>
            </w:r>
            <w:r w:rsidRPr="006D631C">
              <w:rPr>
                <w:color w:val="000000"/>
                <w:sz w:val="12"/>
                <w:szCs w:val="12"/>
                <w:vertAlign w:val="subscript"/>
              </w:rPr>
              <w:t>α</w:t>
            </w:r>
            <w:r w:rsidRPr="006D631C">
              <w:rPr>
                <w:color w:val="000000"/>
                <w:sz w:val="12"/>
                <w:szCs w:val="12"/>
              </w:rPr>
              <w:t>), 6.5 (H</w:t>
            </w:r>
            <w:r w:rsidRPr="006D631C">
              <w:rPr>
                <w:color w:val="000000"/>
                <w:sz w:val="12"/>
                <w:szCs w:val="12"/>
                <w:vertAlign w:val="subscript"/>
              </w:rPr>
              <w:t>2</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5E01EEE8" w14:textId="77777777" w:rsidR="00526EA5" w:rsidRPr="006D631C" w:rsidRDefault="00526EA5" w:rsidP="00AA2E53">
            <w:pPr>
              <w:spacing w:line="240" w:lineRule="auto"/>
              <w:jc w:val="left"/>
              <w:rPr>
                <w:color w:val="000000"/>
                <w:sz w:val="12"/>
                <w:szCs w:val="12"/>
              </w:rPr>
            </w:pPr>
            <w:r w:rsidRPr="006D631C">
              <w:rPr>
                <w:color w:val="000000"/>
                <w:sz w:val="12"/>
                <w:szCs w:val="12"/>
              </w:rPr>
              <w:t>6.75 (H</w:t>
            </w:r>
            <w:r w:rsidRPr="006D631C">
              <w:rPr>
                <w:color w:val="000000"/>
                <w:sz w:val="12"/>
                <w:szCs w:val="12"/>
                <w:vertAlign w:val="subscript"/>
              </w:rPr>
              <w:t>2</w:t>
            </w: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hideMark/>
          </w:tcPr>
          <w:p w14:paraId="69B9AEBE" w14:textId="416A7D94" w:rsidR="00526EA5" w:rsidRPr="006D631C" w:rsidRDefault="00526EA5" w:rsidP="00526EA5">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Monomer conversion</w:t>
            </w:r>
            <w:r w:rsidRPr="006D631C">
              <w:rPr>
                <w:rFonts w:eastAsia="Times New Roman" w:cs="Times New Roman"/>
                <w:color w:val="000000"/>
                <w:sz w:val="12"/>
                <w:szCs w:val="12"/>
              </w:rPr>
              <w:t xml:space="preserve"> of more than 80%</w:t>
            </w:r>
          </w:p>
          <w:p w14:paraId="1EF59E0E" w14:textId="77777777" w:rsidR="00526EA5" w:rsidRPr="006D631C" w:rsidRDefault="00526EA5" w:rsidP="00526EA5">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H</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xml:space="preserve"> and L</w:t>
            </w:r>
            <w:r w:rsidRPr="006D631C">
              <w:rPr>
                <w:rFonts w:eastAsia="Times New Roman" w:cs="Times New Roman"/>
                <w:color w:val="000000"/>
                <w:sz w:val="12"/>
                <w:szCs w:val="12"/>
                <w:vertAlign w:val="subscript"/>
              </w:rPr>
              <w:t>α</w:t>
            </w:r>
            <w:r w:rsidRPr="006D631C">
              <w:rPr>
                <w:rFonts w:eastAsia="Times New Roman" w:cs="Times New Roman"/>
                <w:color w:val="000000"/>
                <w:sz w:val="12"/>
                <w:szCs w:val="12"/>
              </w:rPr>
              <w:t xml:space="preserve"> </w:t>
            </w:r>
            <w:r w:rsidRPr="006D631C">
              <w:rPr>
                <w:color w:val="000000"/>
                <w:sz w:val="12"/>
                <w:szCs w:val="12"/>
              </w:rPr>
              <w:t>were</w:t>
            </w:r>
            <w:r w:rsidRPr="006D631C">
              <w:rPr>
                <w:rFonts w:eastAsia="Times New Roman" w:cs="Times New Roman"/>
                <w:color w:val="000000"/>
                <w:sz w:val="12"/>
                <w:szCs w:val="12"/>
              </w:rPr>
              <w:t xml:space="preserve"> seen at temperatures higher and lower than 60 °C, respectively  </w:t>
            </w:r>
          </w:p>
          <w:p w14:paraId="667B50BC" w14:textId="77777777" w:rsidR="00526EA5" w:rsidRPr="006D631C" w:rsidRDefault="00526EA5" w:rsidP="00526EA5">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Q</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xml:space="preserve"> </w:t>
            </w:r>
            <w:r w:rsidRPr="006D631C">
              <w:rPr>
                <w:color w:val="000000"/>
                <w:sz w:val="12"/>
                <w:szCs w:val="12"/>
              </w:rPr>
              <w:t>structure</w:t>
            </w:r>
            <w:r w:rsidRPr="006D631C">
              <w:rPr>
                <w:rFonts w:eastAsia="Times New Roman" w:cs="Times New Roman"/>
                <w:color w:val="000000"/>
                <w:sz w:val="12"/>
                <w:szCs w:val="12"/>
              </w:rPr>
              <w:t xml:space="preserve"> was obtained via low concentrations of P-A-22/P-A-23 in water (25 - 100 mg/ml)</w:t>
            </w:r>
          </w:p>
          <w:p w14:paraId="5C3C8A2B" w14:textId="7B383285" w:rsidR="00526EA5" w:rsidRPr="006D631C" w:rsidRDefault="00526EA5" w:rsidP="002F6773">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 </w:t>
            </w:r>
            <w:r w:rsidR="002F6773" w:rsidRPr="006D631C">
              <w:rPr>
                <w:color w:val="000000"/>
                <w:sz w:val="12"/>
                <w:szCs w:val="12"/>
              </w:rPr>
              <w:t>PolyLLC showed an i</w:t>
            </w:r>
            <w:r w:rsidRPr="006D631C">
              <w:rPr>
                <w:color w:val="000000"/>
                <w:sz w:val="12"/>
                <w:szCs w:val="12"/>
              </w:rPr>
              <w:t>mproved thermal stability</w:t>
            </w:r>
            <w:r w:rsidR="002F6773" w:rsidRPr="006D631C">
              <w:rPr>
                <w:color w:val="000000"/>
                <w:sz w:val="12"/>
                <w:szCs w:val="12"/>
              </w:rPr>
              <w:t xml:space="preserve"> and insolubility in organic solvents</w:t>
            </w:r>
          </w:p>
        </w:tc>
        <w:tc>
          <w:tcPr>
            <w:tcW w:w="426" w:type="dxa"/>
            <w:tcBorders>
              <w:top w:val="nil"/>
              <w:left w:val="nil"/>
              <w:bottom w:val="single" w:sz="4" w:space="0" w:color="auto"/>
              <w:right w:val="nil"/>
            </w:tcBorders>
            <w:shd w:val="clear" w:color="000000" w:fill="FFFFFF"/>
            <w:vAlign w:val="center"/>
            <w:hideMark/>
          </w:tcPr>
          <w:p w14:paraId="198D6FB6" w14:textId="77777777" w:rsidR="00526EA5" w:rsidRPr="006D631C" w:rsidRDefault="00526EA5" w:rsidP="00DD3903">
            <w:pPr>
              <w:spacing w:line="240" w:lineRule="auto"/>
              <w:ind w:right="-104"/>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{"citationItems":[{"id":"ITEM-1","itemData":{"DOI":"10.1021/ja00125a019","ISSN":"15205126","abstract":"The formation of nonlamellar lipid structures in model lipid membranes has been extensively studied in recent years. These hydrated lipid phases include the inverted hexagonal phase and various bicontinuous cubic phases, which occur at selected lipid concentrations, temperatures, and pressures. Cubic phases that are bicontinuous with respect to the polar and nonpolar regions are especially interesting as organic analogs of zeolites. The recently developed methods used to polymerize and stabilize lamellar assemblies offer certain strategies that are applicable to nonlamellar phases. Here we report the successful stabilization of a nonlamellar phase via the polymerization of reactive amphiphiles. A 3:1 molar mixture of polymerizable mono-dienoyl-substituted phosphoethanolamine and bis-dienoyl-substituted phosphocholine were hydrated to yield bilayers. X-ray diffraction of the unpolymerized mixture at 60 °C showed the formation of an inverted hexagonal phase which on prolonged incubation changed to a bicontinuous cubic phase of Pn3m symmetry. Polymerization of the hexagonal phase produced a stabilized hexagonal structure over the range of 20 to 60 °C. The same lipids at lower concentration were characterized by 31P-NMR and transmission electron microscopy (TEM) before and after polymerization. The NMR shows the formation of a sample with isotropic symmetry as expected for a cubic phase. The polymerized sample retained a nonlamellar structure after cooling and extended storage at room temperature or near 0 °C. The TEMs show a polydomain square lattice with 6 ± 1 nm diameter aqueous channels. This stabilized nonlamellar phase is the first representative of a new family of materials with interpenetrating water channels with high surface area and potentially bicompatible lipid—water interfaces. © 1995, American Chemical Society. All rights reserved.","author":[{"dropping-particle":"","family":"Lee","given":"Youn Sik","non-dropping-particle":"","parse-names":false,"suffix":""},{"dropping-particle":"","family":"Gleeson","given":"James T.","non-dropping-particle":"","parse-names":false,"suffix":""},{"dropping-particle":"","family":"Yang","given":"Jian Zhong","non-dropping-particle":"","parse-names":false,"suffix":""},{"dropping-particle":"","family":"Sisson","given":"Thomas M.","non-dropping-particle":"","parse-names":false,"suffix":""},{"dropping-particle":"","family":"Frankel","given":"David A.","non-dropping-particle":"","parse-names":false,"suffix":""},{"dropping-particle":"","family":"O'Brien","given":"David F.","non-dropping-particle":"","parse-names":false,"suffix":""},{"dropping-particle":"","family":"Keller","given":"Sarah L.","non-dropping-particle":"","parse-names":false,"suffix":""},{"dropping-particle":"","family":"Aksay","given":"Emre","non-dropping-particle":"","parse-names":false,"suffix":""},{"dropping-particle":"","family":"Gruner","given":"Sol M.","non-dropping-particle":"","parse-names":false,"suffix":""}],"container-title":"Journal of the American Chemical Society","id":"ITEM-1","issue":"20","issued":{"date-parts":[["1995"]]},"page":"5573-5578","title":"Polymerization of Nonlamellar Lipid Assemblies","type":"article-journal","volume":"117"},"uris":["http://www.mendeley.com/documents/?uuid=48e800eb-d8de-4cfd-a687-8bddfebe435a"]}],"mendeley":{"formattedCitation":"&lt;sup&gt;58&lt;/sup&gt;","plainTextFormattedCitation":"58","previouslyFormattedCitation":"&lt;sup&gt;58&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58</w:t>
            </w:r>
            <w:r w:rsidRPr="006D631C">
              <w:rPr>
                <w:color w:val="000000"/>
                <w:sz w:val="12"/>
                <w:szCs w:val="12"/>
              </w:rPr>
              <w:fldChar w:fldCharType="end"/>
            </w:r>
          </w:p>
        </w:tc>
      </w:tr>
      <w:tr w:rsidR="000A1415" w:rsidRPr="006D631C" w14:paraId="5F1C687B" w14:textId="77777777" w:rsidTr="00705731">
        <w:trPr>
          <w:trHeight w:val="20"/>
          <w:jc w:val="center"/>
        </w:trPr>
        <w:tc>
          <w:tcPr>
            <w:tcW w:w="851" w:type="dxa"/>
            <w:tcBorders>
              <w:top w:val="nil"/>
              <w:left w:val="nil"/>
              <w:bottom w:val="single" w:sz="4" w:space="0" w:color="auto"/>
              <w:right w:val="nil"/>
            </w:tcBorders>
            <w:shd w:val="clear" w:color="000000" w:fill="FFFFFF"/>
            <w:vAlign w:val="center"/>
            <w:hideMark/>
          </w:tcPr>
          <w:p w14:paraId="34FA053E" w14:textId="77777777" w:rsidR="00E8601A" w:rsidRPr="006D631C" w:rsidRDefault="00E8601A" w:rsidP="00AA2E53">
            <w:pPr>
              <w:spacing w:line="240" w:lineRule="auto"/>
              <w:jc w:val="left"/>
              <w:rPr>
                <w:color w:val="000000"/>
                <w:sz w:val="12"/>
                <w:szCs w:val="12"/>
              </w:rPr>
            </w:pPr>
            <w:r w:rsidRPr="006D631C">
              <w:rPr>
                <w:color w:val="000000"/>
                <w:sz w:val="12"/>
                <w:szCs w:val="12"/>
              </w:rPr>
              <w:t>P-A-24</w:t>
            </w:r>
          </w:p>
        </w:tc>
        <w:tc>
          <w:tcPr>
            <w:tcW w:w="709" w:type="dxa"/>
            <w:tcBorders>
              <w:top w:val="nil"/>
              <w:left w:val="nil"/>
              <w:bottom w:val="single" w:sz="4" w:space="0" w:color="auto"/>
              <w:right w:val="nil"/>
            </w:tcBorders>
            <w:shd w:val="clear" w:color="000000" w:fill="FFFFFF"/>
            <w:vAlign w:val="center"/>
            <w:hideMark/>
          </w:tcPr>
          <w:p w14:paraId="76A7F4FC" w14:textId="77777777" w:rsidR="00E8601A" w:rsidRPr="006D631C" w:rsidRDefault="00E8601A" w:rsidP="00AA2E53">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hideMark/>
          </w:tcPr>
          <w:p w14:paraId="246E631B" w14:textId="77777777" w:rsidR="00E8601A" w:rsidRPr="006D631C" w:rsidRDefault="00E8601A" w:rsidP="00AA2E53">
            <w:pPr>
              <w:spacing w:line="240" w:lineRule="auto"/>
              <w:jc w:val="left"/>
              <w:rPr>
                <w:color w:val="000000"/>
                <w:sz w:val="12"/>
                <w:szCs w:val="12"/>
              </w:rPr>
            </w:pPr>
            <w:r w:rsidRPr="006D631C">
              <w:rPr>
                <w:color w:val="000000"/>
                <w:sz w:val="12"/>
                <w:szCs w:val="12"/>
              </w:rPr>
              <w:t>I-16 or      I-19</w:t>
            </w:r>
          </w:p>
        </w:tc>
        <w:tc>
          <w:tcPr>
            <w:tcW w:w="1276" w:type="dxa"/>
            <w:tcBorders>
              <w:top w:val="nil"/>
              <w:left w:val="nil"/>
              <w:bottom w:val="single" w:sz="4" w:space="0" w:color="auto"/>
              <w:right w:val="nil"/>
            </w:tcBorders>
            <w:shd w:val="clear" w:color="000000" w:fill="FFFFFF"/>
            <w:noWrap/>
            <w:vAlign w:val="center"/>
            <w:hideMark/>
          </w:tcPr>
          <w:p w14:paraId="6651FD45" w14:textId="2849B9DC" w:rsidR="00E8601A" w:rsidRPr="006D631C" w:rsidRDefault="00E8601A" w:rsidP="00705731">
            <w:pPr>
              <w:spacing w:line="240" w:lineRule="auto"/>
              <w:ind w:left="37"/>
              <w:jc w:val="left"/>
              <w:rPr>
                <w:color w:val="000000"/>
                <w:sz w:val="12"/>
                <w:szCs w:val="12"/>
              </w:rPr>
            </w:pPr>
            <w:r w:rsidRPr="006D631C">
              <w:rPr>
                <w:color w:val="000000"/>
                <w:sz w:val="12"/>
                <w:szCs w:val="12"/>
              </w:rPr>
              <w:t>50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0A8D69C7" w14:textId="77777777" w:rsidR="00E8601A" w:rsidRPr="006D631C" w:rsidRDefault="00E8601A" w:rsidP="00AA2E53">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hideMark/>
          </w:tcPr>
          <w:p w14:paraId="6E1FA512" w14:textId="77777777" w:rsidR="00E8601A" w:rsidRPr="006D631C" w:rsidRDefault="00E8601A" w:rsidP="00AA2E53">
            <w:pPr>
              <w:spacing w:line="240" w:lineRule="auto"/>
              <w:jc w:val="left"/>
              <w:rPr>
                <w:color w:val="000000"/>
                <w:sz w:val="12"/>
                <w:szCs w:val="12"/>
              </w:rPr>
            </w:pPr>
            <w:r w:rsidRPr="006D631C">
              <w:rPr>
                <w:color w:val="000000"/>
                <w:sz w:val="12"/>
                <w:szCs w:val="12"/>
              </w:rPr>
              <w:t>7.26</w:t>
            </w:r>
          </w:p>
        </w:tc>
        <w:tc>
          <w:tcPr>
            <w:tcW w:w="1134" w:type="dxa"/>
            <w:tcBorders>
              <w:top w:val="nil"/>
              <w:left w:val="nil"/>
              <w:bottom w:val="single" w:sz="4" w:space="0" w:color="auto"/>
              <w:right w:val="nil"/>
            </w:tcBorders>
            <w:shd w:val="clear" w:color="000000" w:fill="FFFFFF"/>
            <w:noWrap/>
            <w:vAlign w:val="center"/>
            <w:hideMark/>
          </w:tcPr>
          <w:p w14:paraId="4F0CA311" w14:textId="77777777" w:rsidR="00E8601A" w:rsidRPr="006D631C" w:rsidRDefault="00E8601A" w:rsidP="00AA2E53">
            <w:pPr>
              <w:spacing w:line="240" w:lineRule="auto"/>
              <w:jc w:val="left"/>
              <w:rPr>
                <w:color w:val="000000"/>
                <w:sz w:val="12"/>
                <w:szCs w:val="12"/>
              </w:rPr>
            </w:pPr>
            <w:r w:rsidRPr="006D631C">
              <w:rPr>
                <w:color w:val="000000"/>
                <w:sz w:val="12"/>
                <w:szCs w:val="12"/>
              </w:rPr>
              <w:t>7.06</w:t>
            </w:r>
          </w:p>
        </w:tc>
        <w:tc>
          <w:tcPr>
            <w:tcW w:w="5244" w:type="dxa"/>
            <w:tcBorders>
              <w:top w:val="nil"/>
              <w:left w:val="nil"/>
              <w:bottom w:val="single" w:sz="4" w:space="0" w:color="auto"/>
              <w:right w:val="nil"/>
            </w:tcBorders>
            <w:shd w:val="clear" w:color="000000" w:fill="FFFFFF"/>
            <w:vAlign w:val="center"/>
          </w:tcPr>
          <w:p w14:paraId="07460B3C" w14:textId="550C55D3" w:rsidR="00E8601A" w:rsidRPr="006D631C" w:rsidRDefault="00E8601A" w:rsidP="00E8601A">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Monomer conversion of more than 90%</w:t>
            </w:r>
          </w:p>
          <w:p w14:paraId="385D820F" w14:textId="77777777" w:rsidR="00E8601A" w:rsidRPr="006D631C" w:rsidRDefault="00E8601A" w:rsidP="00E8601A">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 xml:space="preserve">The </w:t>
            </w:r>
            <w:r w:rsidRPr="006D631C">
              <w:rPr>
                <w:color w:val="000000"/>
                <w:sz w:val="12"/>
                <w:szCs w:val="12"/>
              </w:rPr>
              <w:t>presence</w:t>
            </w:r>
            <w:r w:rsidRPr="006D631C">
              <w:rPr>
                <w:rFonts w:eastAsia="Times New Roman" w:cs="Times New Roman"/>
                <w:color w:val="000000"/>
                <w:sz w:val="12"/>
                <w:szCs w:val="12"/>
              </w:rPr>
              <w:t xml:space="preserve"> of H</w:t>
            </w:r>
            <w:r w:rsidRPr="006D631C">
              <w:rPr>
                <w:rFonts w:eastAsia="Times New Roman" w:cs="Times New Roman"/>
                <w:color w:val="000000"/>
                <w:sz w:val="12"/>
                <w:szCs w:val="12"/>
                <w:vertAlign w:val="subscript"/>
              </w:rPr>
              <w:t xml:space="preserve">2 </w:t>
            </w:r>
            <w:r w:rsidRPr="006D631C">
              <w:rPr>
                <w:rFonts w:eastAsia="Times New Roman" w:cs="Times New Roman"/>
                <w:color w:val="000000"/>
                <w:sz w:val="12"/>
                <w:szCs w:val="12"/>
              </w:rPr>
              <w:t>+ Q</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xml:space="preserve"> phase was detected for the LLC before polymerization when the temperature was less than 40 °C</w:t>
            </w:r>
          </w:p>
          <w:p w14:paraId="5DD0E044" w14:textId="29944666" w:rsidR="00E8601A" w:rsidRPr="006D631C" w:rsidRDefault="00E8601A" w:rsidP="00E8601A">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color w:val="000000"/>
                <w:sz w:val="12"/>
                <w:szCs w:val="12"/>
              </w:rPr>
              <w:t xml:space="preserve"> Improved </w:t>
            </w:r>
            <w:r w:rsidRPr="006D631C">
              <w:rPr>
                <w:rFonts w:eastAsia="Times New Roman" w:cs="Times New Roman"/>
                <w:color w:val="000000"/>
                <w:sz w:val="12"/>
                <w:szCs w:val="12"/>
              </w:rPr>
              <w:t>thermal</w:t>
            </w:r>
            <w:r w:rsidRPr="006D631C">
              <w:rPr>
                <w:color w:val="000000"/>
                <w:sz w:val="12"/>
                <w:szCs w:val="12"/>
              </w:rPr>
              <w:t xml:space="preserve"> stability</w:t>
            </w:r>
          </w:p>
        </w:tc>
        <w:tc>
          <w:tcPr>
            <w:tcW w:w="426" w:type="dxa"/>
            <w:tcBorders>
              <w:top w:val="nil"/>
              <w:left w:val="nil"/>
              <w:bottom w:val="single" w:sz="4" w:space="0" w:color="auto"/>
              <w:right w:val="nil"/>
            </w:tcBorders>
            <w:shd w:val="clear" w:color="000000" w:fill="FFFFFF"/>
            <w:vAlign w:val="center"/>
            <w:hideMark/>
          </w:tcPr>
          <w:p w14:paraId="31387CE7" w14:textId="703DE0BB" w:rsidR="00E8601A" w:rsidRPr="006D631C" w:rsidRDefault="00E8601A" w:rsidP="002E14E4">
            <w:pPr>
              <w:spacing w:line="240" w:lineRule="auto"/>
              <w:ind w:right="-104"/>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{"citationItems":[{"id":"ITEM-1","itemData":{"DOI":"10.1021/ja970052x","ISSN":"00027863","abstract":"The hydration of polar natural and synthetic lipids yields a variety of lipid phases including various inverted cubic phases and the inverted hexagonal (H(II)) phase. The H(II) phase can be considered as aqueous columns encased with a monolayer of lipids and arranged in a hexagonal pattern. The polar head groups are well-ordered at the water interface, whereas the lipid tails are disordered to fill the volume between the tubes of water. A particularly interesting characteristic of the H(II) phase is the large temperature effect on the basis vector length d of the hexagonal lattice. Previous studies indicate that polymerization of the lipid region of the H(II) phase might reduce the sensitivity of the basis vector to temperature. A phosphoethanolamine (PE) was designed and synthesized with dienoyl groups in each lipid tail in an attempt to cross-link the lipids around and along the water core of the H(II) phase. The synthesis of the the PE was accomplished by acylation of 3-(4-methoxybenzyl)-sn-glycerol with 2,4,13- (E,E,Z)-docosatrienoic acid, followed by deprotection, then phosphorylation with dichloro-[[N-[(2,2,2- trichloroethoxy)carbonyl]-2-aminolethyl]phosphinic acid to give the Troc-PE, which was converted to the PE with activated zinc and acetic acid. The hydrated PE (1/1 weight lipid/water) formed the H(II) phase over an extended temperature range. Polymerization to high conversion was accomplished at 60 °C with the aid of redox initiators. Polymerization was followed in-situ using X-ray diffraction over a period of 48 h. The scattering, which weakened over the course of the reaction, remained consistent with a hexagonal phase. Temperature cycling of the polymerized H(II) phase showed an unaltered pattern on decreasing temperature while maintaining the same lattice parameter, unlike that of the unpolymerized phase where the value increased with decreasing temperature. Thus it is possible to fix the dimensions of the H(II) phase by cross-linking polymerization of appropriately designed reactive lipids.","author":[{"dropping-particle":"","family":"Srisiri","given":"Warunee","non-dropping-particle":"","parse-names":false,"suffix":""},{"dropping-particle":"","family":"Sisson","given":"Thomas M.","non-dropping-particle":"","parse-names":false,"suffix":""},{"dropping-particle":"","family":"O'Brien","given":"David F.","non-dropping-particle":"","parse-names":false,"suffix":""},{"dropping-particle":"","family":"McGrath","given":"K. M.","non-dropping-particle":"","parse-names":false,"suffix":""},{"dropping-particle":"","family":"Han","given":"Yuqi","non-dropping-particle":"","parse-names":false,"suffix":""},{"dropping-particle":"","family":"Gruner","given":"Sol M.","non-dropping-particle":"","parse-names":false,"suffix":""}],"container-title":"Journal of the American Chemical Society","id":"ITEM-1","issue":"21","issued":{"date-parts":[["1997"]]},"page":"4866-4873","title":"Polymerization of the inverted hexagonal phase","type":"article-journal","volume":"119"},"uris":["http://www.mendeley.com/documents/?uuid=2ccf410a-38de-43d0-810c-16bb0ef1d8a4"]}],"mendeley":{"formattedCitation":"&lt;sup&gt;82&lt;/sup&gt;","plainTextFormattedCitation":"82","previouslyFormattedCitation":"&lt;sup&gt;82&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82</w:t>
            </w:r>
            <w:r w:rsidRPr="006D631C">
              <w:rPr>
                <w:color w:val="000000"/>
                <w:sz w:val="12"/>
                <w:szCs w:val="12"/>
              </w:rPr>
              <w:fldChar w:fldCharType="end"/>
            </w:r>
          </w:p>
        </w:tc>
      </w:tr>
      <w:tr w:rsidR="00DD11AE" w:rsidRPr="006D631C" w14:paraId="20E79147" w14:textId="77777777" w:rsidTr="00A638E4">
        <w:trPr>
          <w:trHeight w:val="20"/>
          <w:jc w:val="center"/>
        </w:trPr>
        <w:tc>
          <w:tcPr>
            <w:tcW w:w="851" w:type="dxa"/>
            <w:tcBorders>
              <w:top w:val="nil"/>
              <w:left w:val="nil"/>
              <w:bottom w:val="single" w:sz="4" w:space="0" w:color="auto"/>
              <w:right w:val="nil"/>
            </w:tcBorders>
            <w:shd w:val="clear" w:color="000000" w:fill="FFFFFF"/>
            <w:vAlign w:val="center"/>
          </w:tcPr>
          <w:p w14:paraId="527ADD0B" w14:textId="47B6306F" w:rsidR="00DD11AE" w:rsidRPr="006D631C" w:rsidRDefault="00DD11AE" w:rsidP="00DD11AE">
            <w:pPr>
              <w:spacing w:line="240" w:lineRule="auto"/>
              <w:jc w:val="left"/>
              <w:rPr>
                <w:color w:val="000000"/>
                <w:sz w:val="12"/>
                <w:szCs w:val="12"/>
              </w:rPr>
            </w:pPr>
            <w:r w:rsidRPr="006D631C">
              <w:rPr>
                <w:color w:val="000000"/>
                <w:sz w:val="12"/>
                <w:szCs w:val="12"/>
              </w:rPr>
              <w:t>P-A-25</w:t>
            </w:r>
          </w:p>
        </w:tc>
        <w:tc>
          <w:tcPr>
            <w:tcW w:w="12049" w:type="dxa"/>
            <w:gridSpan w:val="8"/>
            <w:tcBorders>
              <w:top w:val="nil"/>
              <w:left w:val="nil"/>
              <w:bottom w:val="single" w:sz="4" w:space="0" w:color="auto"/>
              <w:right w:val="nil"/>
            </w:tcBorders>
            <w:shd w:val="clear" w:color="000000" w:fill="FFFFFF"/>
            <w:vAlign w:val="center"/>
          </w:tcPr>
          <w:p w14:paraId="11AC7A96" w14:textId="689874F1" w:rsidR="00DD11AE" w:rsidRPr="006D631C" w:rsidRDefault="00DD11AE" w:rsidP="00705731">
            <w:pPr>
              <w:spacing w:line="240" w:lineRule="auto"/>
              <w:ind w:left="37"/>
              <w:jc w:val="left"/>
              <w:rPr>
                <w:color w:val="000000"/>
                <w:sz w:val="12"/>
                <w:szCs w:val="12"/>
              </w:rPr>
            </w:pPr>
            <w:r w:rsidRPr="006D631C">
              <w:rPr>
                <w:color w:val="000000"/>
                <w:sz w:val="12"/>
                <w:szCs w:val="12"/>
              </w:rPr>
              <w:t xml:space="preserve">This reactive surfactant has been used for transcriptive templating. </w:t>
            </w:r>
            <w:r w:rsidR="005A5580" w:rsidRPr="006D631C">
              <w:rPr>
                <w:color w:val="000000"/>
                <w:sz w:val="12"/>
                <w:szCs w:val="12"/>
              </w:rPr>
              <w:t>S</w:t>
            </w:r>
            <w:r w:rsidRPr="006D631C">
              <w:rPr>
                <w:color w:val="000000"/>
                <w:sz w:val="12"/>
                <w:szCs w:val="12"/>
              </w:rPr>
              <w:t xml:space="preserve">ee Table </w:t>
            </w:r>
            <w:r w:rsidR="005A5580" w:rsidRPr="006D631C">
              <w:rPr>
                <w:color w:val="000000"/>
                <w:sz w:val="12"/>
                <w:szCs w:val="12"/>
              </w:rPr>
              <w:t>1-</w:t>
            </w:r>
            <w:r w:rsidRPr="006D631C">
              <w:rPr>
                <w:color w:val="000000"/>
                <w:sz w:val="12"/>
                <w:szCs w:val="12"/>
              </w:rPr>
              <w:t>3/M-4 section.</w:t>
            </w:r>
          </w:p>
        </w:tc>
      </w:tr>
      <w:tr w:rsidR="000A1415" w:rsidRPr="006D631C" w14:paraId="587217FB" w14:textId="77777777" w:rsidTr="00705731">
        <w:trPr>
          <w:trHeight w:val="20"/>
          <w:jc w:val="center"/>
        </w:trPr>
        <w:tc>
          <w:tcPr>
            <w:tcW w:w="851" w:type="dxa"/>
            <w:tcBorders>
              <w:top w:val="nil"/>
              <w:left w:val="nil"/>
              <w:bottom w:val="single" w:sz="4" w:space="0" w:color="auto"/>
              <w:right w:val="nil"/>
            </w:tcBorders>
            <w:shd w:val="clear" w:color="000000" w:fill="FFFFFF"/>
            <w:vAlign w:val="center"/>
            <w:hideMark/>
          </w:tcPr>
          <w:p w14:paraId="5C2CB3C4" w14:textId="77777777" w:rsidR="00CA69DA" w:rsidRPr="006D631C" w:rsidRDefault="00CA69DA" w:rsidP="00DD11AE">
            <w:pPr>
              <w:spacing w:line="240" w:lineRule="auto"/>
              <w:jc w:val="left"/>
              <w:rPr>
                <w:color w:val="000000"/>
                <w:sz w:val="12"/>
                <w:szCs w:val="12"/>
              </w:rPr>
            </w:pPr>
            <w:r w:rsidRPr="006D631C">
              <w:rPr>
                <w:color w:val="000000"/>
                <w:sz w:val="12"/>
                <w:szCs w:val="12"/>
              </w:rPr>
              <w:t>P-A-26</w:t>
            </w:r>
          </w:p>
        </w:tc>
        <w:tc>
          <w:tcPr>
            <w:tcW w:w="709" w:type="dxa"/>
            <w:tcBorders>
              <w:top w:val="nil"/>
              <w:left w:val="nil"/>
              <w:bottom w:val="single" w:sz="4" w:space="0" w:color="auto"/>
              <w:right w:val="nil"/>
            </w:tcBorders>
            <w:shd w:val="clear" w:color="000000" w:fill="FFFFFF"/>
            <w:vAlign w:val="center"/>
            <w:hideMark/>
          </w:tcPr>
          <w:p w14:paraId="39F945BD" w14:textId="77777777" w:rsidR="00CA69DA" w:rsidRPr="006D631C" w:rsidRDefault="00CA69DA" w:rsidP="00DD11AE">
            <w:pPr>
              <w:spacing w:line="240" w:lineRule="auto"/>
              <w:jc w:val="left"/>
              <w:rPr>
                <w:color w:val="000000"/>
                <w:sz w:val="12"/>
                <w:szCs w:val="12"/>
              </w:rPr>
            </w:pPr>
            <w:r w:rsidRPr="006D631C">
              <w:rPr>
                <w:color w:val="000000"/>
                <w:sz w:val="12"/>
                <w:szCs w:val="12"/>
              </w:rPr>
              <w:t>C-1</w:t>
            </w:r>
          </w:p>
        </w:tc>
        <w:tc>
          <w:tcPr>
            <w:tcW w:w="708" w:type="dxa"/>
            <w:tcBorders>
              <w:top w:val="nil"/>
              <w:left w:val="nil"/>
              <w:bottom w:val="single" w:sz="4" w:space="0" w:color="auto"/>
              <w:right w:val="nil"/>
            </w:tcBorders>
            <w:shd w:val="clear" w:color="000000" w:fill="FFFFFF"/>
            <w:vAlign w:val="center"/>
            <w:hideMark/>
          </w:tcPr>
          <w:p w14:paraId="2AF52DD7" w14:textId="77777777" w:rsidR="00CA69DA" w:rsidRPr="006D631C" w:rsidRDefault="00CA69DA" w:rsidP="00DD11AE">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hideMark/>
          </w:tcPr>
          <w:p w14:paraId="79CCE339" w14:textId="764989C2" w:rsidR="00CA69DA" w:rsidRPr="006D631C" w:rsidRDefault="00CA69DA" w:rsidP="00705731">
            <w:pPr>
              <w:spacing w:line="240" w:lineRule="auto"/>
              <w:ind w:left="37"/>
              <w:jc w:val="left"/>
              <w:rPr>
                <w:color w:val="000000"/>
                <w:sz w:val="12"/>
                <w:szCs w:val="12"/>
              </w:rPr>
            </w:pPr>
            <w:r w:rsidRPr="006D631C">
              <w:rPr>
                <w:color w:val="000000"/>
                <w:sz w:val="12"/>
                <w:szCs w:val="12"/>
              </w:rPr>
              <w:t>87 (H</w:t>
            </w:r>
            <w:r w:rsidRPr="006D631C">
              <w:rPr>
                <w:color w:val="000000"/>
                <w:sz w:val="12"/>
                <w:szCs w:val="12"/>
                <w:vertAlign w:val="subscript"/>
              </w:rPr>
              <w:t>2</w:t>
            </w:r>
            <w:r w:rsidRPr="006D631C">
              <w:rPr>
                <w:color w:val="000000"/>
                <w:sz w:val="12"/>
                <w:szCs w:val="12"/>
              </w:rPr>
              <w:t>,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64FA3027" w14:textId="77777777" w:rsidR="00CA69DA" w:rsidRPr="006D631C" w:rsidRDefault="00CA69DA" w:rsidP="00DD11AE">
            <w:pPr>
              <w:spacing w:line="240" w:lineRule="auto"/>
              <w:jc w:val="left"/>
              <w:rPr>
                <w:color w:val="000000"/>
                <w:sz w:val="12"/>
                <w:szCs w:val="12"/>
              </w:rPr>
            </w:pPr>
            <w:r w:rsidRPr="006D631C">
              <w:rPr>
                <w:color w:val="000000"/>
                <w:sz w:val="12"/>
                <w:szCs w:val="12"/>
              </w:rPr>
              <w:t>Retention of the structures</w:t>
            </w:r>
          </w:p>
        </w:tc>
        <w:tc>
          <w:tcPr>
            <w:tcW w:w="1134" w:type="dxa"/>
            <w:tcBorders>
              <w:top w:val="nil"/>
              <w:left w:val="nil"/>
              <w:bottom w:val="single" w:sz="4" w:space="0" w:color="auto"/>
              <w:right w:val="nil"/>
            </w:tcBorders>
            <w:shd w:val="clear" w:color="000000" w:fill="FFFFFF"/>
            <w:noWrap/>
            <w:vAlign w:val="center"/>
            <w:hideMark/>
          </w:tcPr>
          <w:p w14:paraId="6D1624ED" w14:textId="77777777" w:rsidR="00CA69DA" w:rsidRPr="006D631C" w:rsidRDefault="00CA69DA" w:rsidP="00DD11AE">
            <w:pPr>
              <w:spacing w:line="240" w:lineRule="auto"/>
              <w:jc w:val="left"/>
              <w:rPr>
                <w:color w:val="000000"/>
                <w:sz w:val="12"/>
                <w:szCs w:val="12"/>
              </w:rPr>
            </w:pPr>
            <w:r w:rsidRPr="006D631C">
              <w:rPr>
                <w:color w:val="000000"/>
                <w:sz w:val="12"/>
                <w:szCs w:val="12"/>
              </w:rPr>
              <w:t>3.2 - 4.24 (H</w:t>
            </w:r>
            <w:r w:rsidRPr="006D631C">
              <w:rPr>
                <w:color w:val="000000"/>
                <w:sz w:val="12"/>
                <w:szCs w:val="12"/>
                <w:vertAlign w:val="subscript"/>
              </w:rPr>
              <w:t>2</w:t>
            </w:r>
            <w:r w:rsidRPr="006D631C">
              <w:rPr>
                <w:color w:val="000000"/>
                <w:sz w:val="12"/>
                <w:szCs w:val="12"/>
              </w:rPr>
              <w:t>), 3.82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hideMark/>
          </w:tcPr>
          <w:p w14:paraId="0593935C" w14:textId="77777777" w:rsidR="00CA69DA" w:rsidRPr="006D631C" w:rsidRDefault="00CA69DA" w:rsidP="00DD11AE">
            <w:pPr>
              <w:spacing w:line="240" w:lineRule="auto"/>
              <w:jc w:val="left"/>
              <w:rPr>
                <w:color w:val="000000"/>
                <w:sz w:val="12"/>
                <w:szCs w:val="12"/>
              </w:rPr>
            </w:pPr>
            <w:r w:rsidRPr="006D631C">
              <w:rPr>
                <w:color w:val="000000"/>
                <w:sz w:val="12"/>
                <w:szCs w:val="12"/>
              </w:rPr>
              <w:t>3.24 - 4.12 (H</w:t>
            </w:r>
            <w:r w:rsidRPr="006D631C">
              <w:rPr>
                <w:color w:val="000000"/>
                <w:sz w:val="12"/>
                <w:szCs w:val="12"/>
                <w:vertAlign w:val="subscript"/>
              </w:rPr>
              <w:t>2</w:t>
            </w:r>
            <w:r w:rsidRPr="006D631C">
              <w:rPr>
                <w:color w:val="000000"/>
                <w:sz w:val="12"/>
                <w:szCs w:val="12"/>
              </w:rPr>
              <w:t>), 3.82 (L</w:t>
            </w:r>
            <w:r w:rsidRPr="006D631C">
              <w:rPr>
                <w:color w:val="000000"/>
                <w:sz w:val="12"/>
                <w:szCs w:val="12"/>
                <w:vertAlign w:val="subscript"/>
              </w:rPr>
              <w:t>α</w:t>
            </w: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hideMark/>
          </w:tcPr>
          <w:p w14:paraId="7D4409C4" w14:textId="77777777" w:rsidR="00CA69DA" w:rsidRPr="006D631C" w:rsidRDefault="00CA69DA" w:rsidP="00CA69DA">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L</w:t>
            </w:r>
            <w:r w:rsidRPr="006D631C">
              <w:rPr>
                <w:color w:val="000000"/>
                <w:sz w:val="12"/>
                <w:szCs w:val="12"/>
                <w:vertAlign w:val="subscript"/>
              </w:rPr>
              <w:t>α</w:t>
            </w:r>
            <w:r w:rsidRPr="006D631C">
              <w:rPr>
                <w:color w:val="000000"/>
                <w:sz w:val="12"/>
                <w:szCs w:val="12"/>
              </w:rPr>
              <w:t xml:space="preserve"> was obtained when the metal ion was potassium</w:t>
            </w:r>
          </w:p>
          <w:p w14:paraId="19B51EDC" w14:textId="77777777" w:rsidR="00CA69DA" w:rsidRPr="006D631C" w:rsidRDefault="00CA69DA" w:rsidP="00CA69DA">
            <w:pPr>
              <w:pStyle w:val="ListParagraph"/>
              <w:numPr>
                <w:ilvl w:val="0"/>
                <w:numId w:val="11"/>
              </w:numPr>
              <w:spacing w:after="0" w:line="240" w:lineRule="auto"/>
              <w:ind w:left="173" w:hanging="142"/>
              <w:jc w:val="left"/>
              <w:rPr>
                <w:color w:val="000000"/>
                <w:sz w:val="12"/>
                <w:szCs w:val="12"/>
              </w:rPr>
            </w:pPr>
            <w:r w:rsidRPr="006D631C">
              <w:rPr>
                <w:i/>
                <w:iCs/>
                <w:color w:val="000000"/>
                <w:sz w:val="12"/>
                <w:szCs w:val="12"/>
              </w:rPr>
              <w:t>d-</w:t>
            </w:r>
            <w:r w:rsidRPr="006D631C">
              <w:rPr>
                <w:color w:val="000000"/>
                <w:sz w:val="12"/>
                <w:szCs w:val="12"/>
              </w:rPr>
              <w:t>spacing depends on the type of metal ion incorporated in the structure of P-A-26</w:t>
            </w:r>
          </w:p>
          <w:p w14:paraId="791C199C" w14:textId="7370B5E6" w:rsidR="00CA69DA" w:rsidRPr="006D631C" w:rsidRDefault="00CA69DA" w:rsidP="00CA69DA">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This structure can also be used for in-situ synthesis of ~ 2 </w:t>
            </w:r>
            <w:proofErr w:type="spellStart"/>
            <w:r w:rsidRPr="006D631C">
              <w:rPr>
                <w:color w:val="000000"/>
                <w:sz w:val="12"/>
                <w:szCs w:val="12"/>
              </w:rPr>
              <w:t>wt</w:t>
            </w:r>
            <w:proofErr w:type="spellEnd"/>
            <w:r w:rsidRPr="006D631C">
              <w:rPr>
                <w:color w:val="000000"/>
                <w:sz w:val="12"/>
                <w:szCs w:val="12"/>
              </w:rPr>
              <w:t>% silica in the pores</w:t>
            </w:r>
          </w:p>
        </w:tc>
        <w:tc>
          <w:tcPr>
            <w:tcW w:w="426" w:type="dxa"/>
            <w:tcBorders>
              <w:top w:val="nil"/>
              <w:left w:val="nil"/>
              <w:bottom w:val="single" w:sz="4" w:space="0" w:color="auto"/>
              <w:right w:val="nil"/>
            </w:tcBorders>
            <w:shd w:val="clear" w:color="000000" w:fill="FFFFFF"/>
            <w:vAlign w:val="center"/>
          </w:tcPr>
          <w:p w14:paraId="460F6A69" w14:textId="77777777" w:rsidR="00CA69DA" w:rsidRPr="006D631C" w:rsidRDefault="00CA69DA" w:rsidP="00DD3903">
            <w:pPr>
              <w:spacing w:line="240" w:lineRule="auto"/>
              <w:ind w:right="-245"/>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{"citationItems":[{"id":"ITEM-1","itemData":{"DOI":"10.1002/adma.19970090912","ISSN":"09359648","author":[{"dropping-particle":"","family":"Gray","given":"David H.","non-dropping-particle":"","parse-names":false,"suffix":""},{"dropping-particle":"","family":"Hu","given":"Sanlin","non-dropping-particle":"","parse-names":false,"suffix":""},{"dropping-particle":"","family":"Juang","given":"Elizabeth","non-dropping-particle":"","parse-names":false,"suffix":""},{"dropping-particle":"","family":"Gin","given":"Douglas L.","non-dropping-particle":"","parse-names":false,"suffix":""}],"container-title":"Advanced Materials","id":"ITEM-1","issue":"9","issued":{"date-parts":[["1997"]]},"page":"731-736","title":"Highly ordered polymer-inorganic nanocomposites via monomer self-assembly: In situ condensation approach","type":"article-journal","volume":"9"},"uris":["http://www.mendeley.com/documents/?uuid=c5bc288b-d158-44a6-a5a3-96a73666ff96"]},{"id":"ITEM-2","itemData":{"DOI":"10.1021/cm970830k","ISSN":"08974756","abstract":"Transition-metal-containing analogues of a polymerizable lyotropic liquid crystal were prepared from sodium p-styryloctadecanoate by ion exchange with water-soluble metal chlorides, nitrates, and acetates. The mesophases of these amphiphilic monomers were investigated by polarized light microscopy, low-angle X-ray diffraction, and infrared spectroscopy. It was found that cadmium(II), manganese(II), and cobalt(II)p-styryloctadecanoate form an inverted hexagonal lyotropic phase at ambient temperature (22 °C), while the copper(II) salt forms a columnar hexagonal thermotropic phase. The monomers can be cross-linked photolytically in their respective liquid crystal phases with retention of phase architecture to yield polymer networks containing ordered microdomains of transition-metal ions. The relationship between the dimensions of the hexagonal mesophase formed and the identity of the counterion present in each salt is discussed. The polymerized inverted hexagonal phase of the cadmium salt was also used as a template for the formation of CdS nanoparticles, affording a novel, nanostructured composite.","author":[{"dropping-particle":"","family":"Gray","given":"David H.","non-dropping-particle":"","parse-names":false,"suffix":""},{"dropping-particle":"","family":"Gin","given":"Douglas L.","non-dropping-particle":"","parse-names":false,"suffix":""}],"container-title":"Chemistry of Materials","id":"ITEM-2","issue":"7","issued":{"date-parts":[["1998"]]},"page":"1827-1832","title":"Polymerizable Lyotropic Liquid Crystals Containing Transition-Metal Ions as Building Blocks for Nanostructured Polymers and Composites","type":"article-journal","volume":"10"},"uris":["http://www.mendeley.com/documents/?uuid=67814830-0b8f-4a8e-9fe4-fb6f1a4ff77e"]}],"mendeley":{"formattedCitation":"&lt;sup&gt;51,100&lt;/sup&gt;","plainTextFormattedCitation":"51,100","previouslyFormattedCitation":"&lt;sup&gt;51,100&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51,100</w:t>
            </w:r>
            <w:r w:rsidRPr="006D631C">
              <w:rPr>
                <w:color w:val="000000"/>
                <w:sz w:val="12"/>
                <w:szCs w:val="12"/>
              </w:rPr>
              <w:fldChar w:fldCharType="end"/>
            </w:r>
          </w:p>
        </w:tc>
      </w:tr>
      <w:tr w:rsidR="000A1415" w:rsidRPr="006D631C" w14:paraId="49D6403B" w14:textId="77777777" w:rsidTr="00705731">
        <w:trPr>
          <w:trHeight w:val="20"/>
          <w:jc w:val="center"/>
        </w:trPr>
        <w:tc>
          <w:tcPr>
            <w:tcW w:w="851" w:type="dxa"/>
            <w:tcBorders>
              <w:top w:val="nil"/>
              <w:left w:val="nil"/>
              <w:bottom w:val="single" w:sz="4" w:space="0" w:color="auto"/>
              <w:right w:val="nil"/>
            </w:tcBorders>
            <w:shd w:val="clear" w:color="000000" w:fill="FFFFFF"/>
            <w:vAlign w:val="center"/>
            <w:hideMark/>
          </w:tcPr>
          <w:p w14:paraId="2C0EF038" w14:textId="77777777" w:rsidR="00342431" w:rsidRPr="006D631C" w:rsidRDefault="00342431" w:rsidP="00DD11AE">
            <w:pPr>
              <w:spacing w:line="240" w:lineRule="auto"/>
              <w:jc w:val="left"/>
              <w:rPr>
                <w:color w:val="000000"/>
                <w:sz w:val="12"/>
                <w:szCs w:val="12"/>
              </w:rPr>
            </w:pPr>
            <w:r w:rsidRPr="006D631C">
              <w:rPr>
                <w:color w:val="000000"/>
                <w:sz w:val="12"/>
                <w:szCs w:val="12"/>
              </w:rPr>
              <w:t>P-A-27</w:t>
            </w:r>
          </w:p>
        </w:tc>
        <w:tc>
          <w:tcPr>
            <w:tcW w:w="709" w:type="dxa"/>
            <w:tcBorders>
              <w:top w:val="nil"/>
              <w:left w:val="nil"/>
              <w:bottom w:val="single" w:sz="4" w:space="0" w:color="auto"/>
              <w:right w:val="nil"/>
            </w:tcBorders>
            <w:shd w:val="clear" w:color="000000" w:fill="FFFFFF"/>
            <w:vAlign w:val="center"/>
            <w:hideMark/>
          </w:tcPr>
          <w:p w14:paraId="54226DBB" w14:textId="77777777" w:rsidR="00342431" w:rsidRPr="006D631C" w:rsidRDefault="00342431" w:rsidP="00DD11AE">
            <w:pPr>
              <w:spacing w:line="240" w:lineRule="auto"/>
              <w:jc w:val="left"/>
              <w:rPr>
                <w:color w:val="000000"/>
                <w:sz w:val="12"/>
                <w:szCs w:val="12"/>
              </w:rPr>
            </w:pPr>
            <w:r w:rsidRPr="006D631C">
              <w:rPr>
                <w:color w:val="000000"/>
                <w:sz w:val="12"/>
                <w:szCs w:val="12"/>
              </w:rPr>
              <w:t>C-1</w:t>
            </w:r>
          </w:p>
        </w:tc>
        <w:tc>
          <w:tcPr>
            <w:tcW w:w="708" w:type="dxa"/>
            <w:tcBorders>
              <w:top w:val="nil"/>
              <w:left w:val="nil"/>
              <w:bottom w:val="single" w:sz="4" w:space="0" w:color="auto"/>
              <w:right w:val="nil"/>
            </w:tcBorders>
            <w:shd w:val="clear" w:color="000000" w:fill="FFFFFF"/>
            <w:vAlign w:val="center"/>
            <w:hideMark/>
          </w:tcPr>
          <w:p w14:paraId="47D89386" w14:textId="77777777" w:rsidR="00342431" w:rsidRPr="006D631C" w:rsidRDefault="00342431" w:rsidP="00DD11AE">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hideMark/>
          </w:tcPr>
          <w:p w14:paraId="51E1394D" w14:textId="290061EB" w:rsidR="00342431" w:rsidRPr="006D631C" w:rsidRDefault="00342431" w:rsidP="00705731">
            <w:pPr>
              <w:spacing w:line="240" w:lineRule="auto"/>
              <w:ind w:left="37"/>
              <w:jc w:val="left"/>
              <w:rPr>
                <w:color w:val="000000"/>
                <w:sz w:val="12"/>
                <w:szCs w:val="12"/>
              </w:rPr>
            </w:pPr>
            <w:r w:rsidRPr="006D631C">
              <w:rPr>
                <w:color w:val="000000"/>
                <w:sz w:val="12"/>
                <w:szCs w:val="12"/>
              </w:rPr>
              <w:t>86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2AB2E914" w14:textId="77777777" w:rsidR="00342431" w:rsidRPr="006D631C" w:rsidRDefault="00342431" w:rsidP="00DD11AE">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hideMark/>
          </w:tcPr>
          <w:p w14:paraId="2CA479E9" w14:textId="77777777" w:rsidR="00342431" w:rsidRPr="006D631C" w:rsidRDefault="00342431" w:rsidP="00DD11AE">
            <w:pPr>
              <w:spacing w:line="240" w:lineRule="auto"/>
              <w:jc w:val="left"/>
              <w:rPr>
                <w:color w:val="000000"/>
                <w:sz w:val="12"/>
                <w:szCs w:val="12"/>
              </w:rPr>
            </w:pPr>
            <w:r w:rsidRPr="006D631C">
              <w:rPr>
                <w:color w:val="000000"/>
                <w:sz w:val="12"/>
                <w:szCs w:val="12"/>
              </w:rPr>
              <w:t>4.71</w:t>
            </w:r>
          </w:p>
        </w:tc>
        <w:tc>
          <w:tcPr>
            <w:tcW w:w="1134" w:type="dxa"/>
            <w:tcBorders>
              <w:top w:val="nil"/>
              <w:left w:val="nil"/>
              <w:bottom w:val="single" w:sz="4" w:space="0" w:color="auto"/>
              <w:right w:val="nil"/>
            </w:tcBorders>
            <w:shd w:val="clear" w:color="000000" w:fill="FFFFFF"/>
            <w:noWrap/>
            <w:vAlign w:val="center"/>
            <w:hideMark/>
          </w:tcPr>
          <w:p w14:paraId="3CE5AAB9" w14:textId="77777777" w:rsidR="00342431" w:rsidRPr="006D631C" w:rsidRDefault="00342431" w:rsidP="00DD11AE">
            <w:pPr>
              <w:spacing w:line="240" w:lineRule="auto"/>
              <w:jc w:val="left"/>
              <w:rPr>
                <w:color w:val="000000"/>
                <w:sz w:val="12"/>
                <w:szCs w:val="12"/>
              </w:rPr>
            </w:pPr>
            <w:r w:rsidRPr="006D631C">
              <w:rPr>
                <w:color w:val="000000"/>
                <w:sz w:val="12"/>
                <w:szCs w:val="12"/>
              </w:rPr>
              <w:t>4.35</w:t>
            </w:r>
          </w:p>
        </w:tc>
        <w:tc>
          <w:tcPr>
            <w:tcW w:w="5244" w:type="dxa"/>
            <w:tcBorders>
              <w:top w:val="nil"/>
              <w:left w:val="nil"/>
              <w:bottom w:val="single" w:sz="4" w:space="0" w:color="auto"/>
              <w:right w:val="nil"/>
            </w:tcBorders>
            <w:shd w:val="clear" w:color="000000" w:fill="FFFFFF"/>
            <w:vAlign w:val="center"/>
            <w:hideMark/>
          </w:tcPr>
          <w:p w14:paraId="668FA9DB" w14:textId="77777777" w:rsidR="00342431" w:rsidRPr="006D631C" w:rsidRDefault="00342431" w:rsidP="0034243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The structure underwent a slight distortion due to </w:t>
            </w:r>
            <w:proofErr w:type="spellStart"/>
            <w:r w:rsidRPr="006D631C">
              <w:rPr>
                <w:color w:val="000000"/>
                <w:sz w:val="12"/>
                <w:szCs w:val="12"/>
              </w:rPr>
              <w:t>Sc</w:t>
            </w:r>
            <w:proofErr w:type="spellEnd"/>
            <w:r w:rsidRPr="006D631C">
              <w:rPr>
                <w:color w:val="000000"/>
                <w:sz w:val="12"/>
                <w:szCs w:val="12"/>
              </w:rPr>
              <w:t>(III) ion exchange</w:t>
            </w:r>
          </w:p>
          <w:p w14:paraId="270D0314" w14:textId="6BD057DD" w:rsidR="00342431" w:rsidRPr="006D631C" w:rsidRDefault="00342431" w:rsidP="0034243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The formed catalyst afforded condensation products with consistent </w:t>
            </w:r>
            <w:proofErr w:type="spellStart"/>
            <w:r w:rsidRPr="006D631C">
              <w:rPr>
                <w:color w:val="000000"/>
                <w:sz w:val="12"/>
                <w:szCs w:val="12"/>
              </w:rPr>
              <w:t>syn</w:t>
            </w:r>
            <w:proofErr w:type="spellEnd"/>
            <w:r w:rsidRPr="006D631C">
              <w:rPr>
                <w:color w:val="000000"/>
                <w:sz w:val="12"/>
                <w:szCs w:val="12"/>
              </w:rPr>
              <w:t xml:space="preserve">/anti </w:t>
            </w:r>
            <w:proofErr w:type="spellStart"/>
            <w:r w:rsidRPr="006D631C">
              <w:rPr>
                <w:color w:val="000000"/>
                <w:sz w:val="12"/>
                <w:szCs w:val="12"/>
              </w:rPr>
              <w:t>diastereoselectivity</w:t>
            </w:r>
            <w:proofErr w:type="spellEnd"/>
            <w:r w:rsidRPr="006D631C">
              <w:rPr>
                <w:color w:val="000000"/>
                <w:sz w:val="12"/>
                <w:szCs w:val="12"/>
              </w:rPr>
              <w:t xml:space="preserve"> ratios of ~ 2/1 in </w:t>
            </w:r>
            <w:proofErr w:type="spellStart"/>
            <w:r w:rsidRPr="006D631C">
              <w:rPr>
                <w:color w:val="000000"/>
                <w:sz w:val="12"/>
                <w:szCs w:val="12"/>
              </w:rPr>
              <w:t>Mukaiyama</w:t>
            </w:r>
            <w:proofErr w:type="spellEnd"/>
            <w:r w:rsidRPr="006D631C">
              <w:rPr>
                <w:color w:val="000000"/>
                <w:sz w:val="12"/>
                <w:szCs w:val="12"/>
              </w:rPr>
              <w:t xml:space="preserve"> aldol and </w:t>
            </w:r>
            <w:proofErr w:type="spellStart"/>
            <w:r w:rsidRPr="006D631C">
              <w:rPr>
                <w:color w:val="000000"/>
                <w:sz w:val="12"/>
                <w:szCs w:val="12"/>
              </w:rPr>
              <w:t>Mannich</w:t>
            </w:r>
            <w:proofErr w:type="spellEnd"/>
            <w:r w:rsidRPr="006D631C">
              <w:rPr>
                <w:color w:val="000000"/>
                <w:sz w:val="12"/>
                <w:szCs w:val="12"/>
              </w:rPr>
              <w:t xml:space="preserve"> reactions in water</w:t>
            </w:r>
          </w:p>
        </w:tc>
        <w:tc>
          <w:tcPr>
            <w:tcW w:w="426" w:type="dxa"/>
            <w:tcBorders>
              <w:top w:val="nil"/>
              <w:left w:val="nil"/>
              <w:bottom w:val="single" w:sz="4" w:space="0" w:color="auto"/>
              <w:right w:val="nil"/>
            </w:tcBorders>
            <w:shd w:val="clear" w:color="000000" w:fill="FFFFFF"/>
            <w:vAlign w:val="center"/>
            <w:hideMark/>
          </w:tcPr>
          <w:p w14:paraId="393BE53E" w14:textId="77777777" w:rsidR="00342431" w:rsidRPr="006D631C" w:rsidRDefault="00342431" w:rsidP="00DD3903">
            <w:pPr>
              <w:spacing w:line="240" w:lineRule="auto"/>
              <w:ind w:right="-245"/>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{"citationItems":[{"id":"ITEM-1","itemData":{"DOI":"10.1021/cm0101531","ISSN":"08974756","abstract":"A nanostructured, polymer-supported Sc(III) catalyst for heterogeneous Lewis acid catalysis in water was prepared by quantitative Sc(III) exchange of a cross-linked inverted hexagonal assembly containing sodium sulfonate groups. The material was found to catalyze Mukaiyama aldol and Mannich reactions with a syn/anti product ratio of ca. 2/1, whereas Sc(III) catalysts in solution and on amorphous polymer supports do not show any significant syn/anti diastereo-selectivity under similar conditions.","author":[{"dropping-particle":"","family":"Gu","given":"W.","non-dropping-particle":"","parse-names":false,"suffix":""},{"dropping-particle":"","family":"Zhou","given":"W. J.","non-dropping-particle":"","parse-names":false,"suffix":""},{"dropping-particle":"","family":"Gin","given":"D. L.","non-dropping-particle":"","parse-names":false,"suffix":""}],"container-title":"Chemistry of Materials","id":"ITEM-1","issue":"6","issued":{"date-parts":[["2001"]]},"page":"1949-1951","title":"A nanostructured, scandium-containing polymer for heterogeneous Lewis acid catalysis in water","type":"article-journal","volume":"13"},"uris":["http://www.mendeley.com/documents/?uuid=e814ccd6-4e46-428f-bf7e-6d8e300b9d2f"]}],"mendeley":{"formattedCitation":"&lt;sup&gt;49&lt;/sup&gt;","plainTextFormattedCitation":"49","previouslyFormattedCitation":"&lt;sup&gt;49&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49</w:t>
            </w:r>
            <w:r w:rsidRPr="006D631C">
              <w:rPr>
                <w:color w:val="000000"/>
                <w:sz w:val="12"/>
                <w:szCs w:val="12"/>
              </w:rPr>
              <w:fldChar w:fldCharType="end"/>
            </w:r>
          </w:p>
        </w:tc>
      </w:tr>
      <w:tr w:rsidR="000A1415" w:rsidRPr="006D631C" w14:paraId="553F61A9" w14:textId="77777777" w:rsidTr="00705731">
        <w:trPr>
          <w:trHeight w:val="20"/>
          <w:jc w:val="center"/>
        </w:trPr>
        <w:tc>
          <w:tcPr>
            <w:tcW w:w="851" w:type="dxa"/>
            <w:tcBorders>
              <w:top w:val="nil"/>
              <w:left w:val="nil"/>
              <w:bottom w:val="single" w:sz="4" w:space="0" w:color="auto"/>
              <w:right w:val="nil"/>
            </w:tcBorders>
            <w:shd w:val="clear" w:color="000000" w:fill="FFFFFF"/>
            <w:vAlign w:val="center"/>
            <w:hideMark/>
          </w:tcPr>
          <w:p w14:paraId="3B6B06ED" w14:textId="77777777" w:rsidR="0002467E" w:rsidRPr="006D631C" w:rsidRDefault="0002467E" w:rsidP="00DD11AE">
            <w:pPr>
              <w:spacing w:line="240" w:lineRule="auto"/>
              <w:jc w:val="left"/>
              <w:rPr>
                <w:color w:val="000000"/>
                <w:sz w:val="12"/>
                <w:szCs w:val="12"/>
              </w:rPr>
            </w:pPr>
            <w:r w:rsidRPr="006D631C">
              <w:rPr>
                <w:color w:val="000000"/>
                <w:sz w:val="12"/>
                <w:szCs w:val="12"/>
              </w:rPr>
              <w:t>P-A-28</w:t>
            </w:r>
          </w:p>
        </w:tc>
        <w:tc>
          <w:tcPr>
            <w:tcW w:w="709" w:type="dxa"/>
            <w:tcBorders>
              <w:top w:val="nil"/>
              <w:left w:val="nil"/>
              <w:bottom w:val="single" w:sz="4" w:space="0" w:color="auto"/>
              <w:right w:val="nil"/>
            </w:tcBorders>
            <w:shd w:val="clear" w:color="000000" w:fill="FFFFFF"/>
            <w:vAlign w:val="center"/>
            <w:hideMark/>
          </w:tcPr>
          <w:p w14:paraId="13F596BB" w14:textId="77777777" w:rsidR="0002467E" w:rsidRPr="006D631C" w:rsidRDefault="0002467E" w:rsidP="00DD11AE">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hideMark/>
          </w:tcPr>
          <w:p w14:paraId="4FA4353C" w14:textId="77777777" w:rsidR="0002467E" w:rsidRPr="006D631C" w:rsidRDefault="0002467E" w:rsidP="00DD11AE">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hideMark/>
          </w:tcPr>
          <w:p w14:paraId="0109947D" w14:textId="351AACF6" w:rsidR="0002467E" w:rsidRPr="006D631C" w:rsidRDefault="0002467E" w:rsidP="00705731">
            <w:pPr>
              <w:spacing w:line="240" w:lineRule="auto"/>
              <w:ind w:left="37"/>
              <w:jc w:val="left"/>
              <w:rPr>
                <w:color w:val="000000"/>
                <w:sz w:val="12"/>
                <w:szCs w:val="12"/>
              </w:rPr>
            </w:pPr>
            <w:r w:rsidRPr="006D631C">
              <w:rPr>
                <w:color w:val="000000"/>
                <w:sz w:val="12"/>
                <w:szCs w:val="12"/>
              </w:rPr>
              <w:t>82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711864B8" w14:textId="77777777" w:rsidR="0002467E" w:rsidRPr="006D631C" w:rsidRDefault="0002467E" w:rsidP="00DD11AE">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hideMark/>
          </w:tcPr>
          <w:p w14:paraId="4FDCD463" w14:textId="77777777" w:rsidR="0002467E" w:rsidRPr="006D631C" w:rsidRDefault="0002467E" w:rsidP="00DD11AE">
            <w:pPr>
              <w:spacing w:line="240" w:lineRule="auto"/>
              <w:jc w:val="left"/>
              <w:rPr>
                <w:color w:val="000000"/>
                <w:sz w:val="12"/>
                <w:szCs w:val="12"/>
              </w:rPr>
            </w:pPr>
            <w:r w:rsidRPr="006D631C">
              <w:rPr>
                <w:color w:val="000000"/>
                <w:sz w:val="12"/>
                <w:szCs w:val="12"/>
              </w:rPr>
              <w:t>2.87 - 5.33</w:t>
            </w:r>
          </w:p>
        </w:tc>
        <w:tc>
          <w:tcPr>
            <w:tcW w:w="1134" w:type="dxa"/>
            <w:tcBorders>
              <w:top w:val="nil"/>
              <w:left w:val="nil"/>
              <w:bottom w:val="single" w:sz="4" w:space="0" w:color="auto"/>
              <w:right w:val="nil"/>
            </w:tcBorders>
            <w:shd w:val="clear" w:color="000000" w:fill="FFFFFF"/>
            <w:noWrap/>
            <w:vAlign w:val="center"/>
            <w:hideMark/>
          </w:tcPr>
          <w:p w14:paraId="65CCC962" w14:textId="77777777" w:rsidR="0002467E" w:rsidRPr="006D631C" w:rsidRDefault="0002467E" w:rsidP="00DD11AE">
            <w:pPr>
              <w:spacing w:line="240" w:lineRule="auto"/>
              <w:jc w:val="left"/>
              <w:rPr>
                <w:color w:val="000000"/>
                <w:sz w:val="12"/>
                <w:szCs w:val="12"/>
              </w:rPr>
            </w:pPr>
            <w:r w:rsidRPr="006D631C">
              <w:rPr>
                <w:color w:val="000000"/>
                <w:sz w:val="12"/>
                <w:szCs w:val="12"/>
              </w:rPr>
              <w:t>2.92 - 5.35</w:t>
            </w:r>
          </w:p>
        </w:tc>
        <w:tc>
          <w:tcPr>
            <w:tcW w:w="5244" w:type="dxa"/>
            <w:tcBorders>
              <w:top w:val="nil"/>
              <w:left w:val="nil"/>
              <w:bottom w:val="single" w:sz="4" w:space="0" w:color="auto"/>
              <w:right w:val="nil"/>
            </w:tcBorders>
            <w:shd w:val="clear" w:color="000000" w:fill="FFFFFF"/>
            <w:vAlign w:val="center"/>
            <w:hideMark/>
          </w:tcPr>
          <w:p w14:paraId="56F7A3EA" w14:textId="664FB73E" w:rsidR="0002467E" w:rsidRPr="006D631C" w:rsidRDefault="0010020F" w:rsidP="0010020F">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Monomer c</w:t>
            </w:r>
            <w:r w:rsidR="0002467E" w:rsidRPr="006D631C">
              <w:rPr>
                <w:color w:val="000000"/>
                <w:sz w:val="12"/>
                <w:szCs w:val="12"/>
              </w:rPr>
              <w:t>onversion of ~ 80%</w:t>
            </w:r>
          </w:p>
          <w:p w14:paraId="55366A24" w14:textId="6183037F" w:rsidR="0002467E" w:rsidRPr="006D631C" w:rsidRDefault="0002467E" w:rsidP="0002467E">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High water content can change H</w:t>
            </w:r>
            <w:r w:rsidRPr="006D631C">
              <w:rPr>
                <w:color w:val="000000"/>
                <w:sz w:val="12"/>
                <w:szCs w:val="12"/>
                <w:vertAlign w:val="subscript"/>
              </w:rPr>
              <w:t>2</w:t>
            </w:r>
            <w:r w:rsidRPr="006D631C">
              <w:rPr>
                <w:color w:val="000000"/>
                <w:sz w:val="12"/>
                <w:szCs w:val="12"/>
              </w:rPr>
              <w:t xml:space="preserve"> to L</w:t>
            </w:r>
            <w:r w:rsidRPr="006D631C">
              <w:rPr>
                <w:color w:val="000000"/>
                <w:sz w:val="12"/>
                <w:szCs w:val="12"/>
                <w:vertAlign w:val="subscript"/>
              </w:rPr>
              <w:t>α</w:t>
            </w:r>
            <w:r w:rsidRPr="006D631C">
              <w:rPr>
                <w:color w:val="000000"/>
                <w:sz w:val="12"/>
                <w:szCs w:val="12"/>
              </w:rPr>
              <w:t xml:space="preserve"> </w:t>
            </w:r>
          </w:p>
          <w:p w14:paraId="5049E918" w14:textId="09D1EB24" w:rsidR="0002467E" w:rsidRPr="006D631C" w:rsidRDefault="0002467E" w:rsidP="0002467E">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Higher thermal stability</w:t>
            </w:r>
          </w:p>
        </w:tc>
        <w:tc>
          <w:tcPr>
            <w:tcW w:w="426" w:type="dxa"/>
            <w:tcBorders>
              <w:top w:val="nil"/>
              <w:left w:val="nil"/>
              <w:bottom w:val="single" w:sz="4" w:space="0" w:color="auto"/>
              <w:right w:val="nil"/>
            </w:tcBorders>
            <w:shd w:val="clear" w:color="000000" w:fill="FFFFFF"/>
            <w:vAlign w:val="center"/>
            <w:hideMark/>
          </w:tcPr>
          <w:p w14:paraId="3E802605" w14:textId="78924875" w:rsidR="0002467E" w:rsidRPr="006D631C" w:rsidRDefault="0002467E" w:rsidP="002E14E4">
            <w:pPr>
              <w:spacing w:line="240" w:lineRule="auto"/>
              <w:ind w:right="-245"/>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{"citationItems":[{"id":"ITEM-1","itemData":{"DOI":"10.1021/ja002462i","ISSN":"0002-7863","abstract":"An efficient and versatile synthesis of a series of polymerizable amphiphilic mesogens that affords control over tail length and position of the polymerizable group is described. The synthesis employs a novel and facile method of preparing styrene ethers. The monomers are sodium salts of styrene ether-modified fatty acids that can be used to form cross-linkable inverted hexagonal (HII) lyotropic liquid crystal (LLC) phases at ambient temperature with controllable nanometer-scale dimensions. Examination of a series of regioisomers with the same alkyl chain length but with the styrene ether group at different locations along the chain revealed that the position of the styrene ether has a profound effect on the dimensions of the resulting HII phase at a fixed temperature and composition. Increasing overall monomer tail length also has a significant, although smaller, effect on the unit cell dimensions of the LLC phase. By controlling the structure of the LLC monomer in this manner, cross-linked HII phases with interchannel distances (ICD) ranging from 29 to 54 Å can be obtained. Furthermore, changing the counterion from Na+ to tetraalkylammonium ions leads to further expansion of the HII unit cell to a maximum ICD of 65 Å, as well as to the production of a lamellar phase. Use of these monomers affords a new and unparalleled degree of control over phase structure and dimensions for the production of nanostructured organic materials.","author":[{"dropping-particle":"","family":"Reppy","given":"Mary A.","non-dropping-particle":"","parse-names":false,"suffix":""},{"dropping-particle":"","family":"Gray","given":"David H.","non-dropping-particle":"","parse-names":false,"suffix":""},{"dropping-particle":"","family":"Pindzola","given":"Brad A.","non-dropping-particle":"","parse-names":false,"suffix":""},{"dropping-particle":"","family":"Smithers","given":"Juston L.","non-dropping-particle":"","parse-names":false,"suffix":""},{"dropping-particle":"","family":"Gin","given":"Douglas L.","non-dropping-particle":"","parse-names":false,"suffix":""}],"container-title":"Journal of the American Chemical Society","id":"ITEM-1","issue":"3","issued":{"date-parts":[["2001","1"]]},"page":"363-371","title":"A New Family of Polymerizable Lyotropic Liquid Crystals: Control of Feature Size in Cross-Linked Inverted Hexagonal Assemblies via Monomer Structure","type":"article-journal","volume":"123"},"uris":["http://www.mendeley.com/documents/?uuid=9cf7e8db-5e3a-4b16-ad9e-3fecf29d5c0a"]}],"mendeley":{"formattedCitation":"&lt;sup&gt;83&lt;/sup&gt;","plainTextFormattedCitation":"83","previouslyFormattedCitation":"&lt;sup&gt;83&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83</w:t>
            </w:r>
            <w:r w:rsidRPr="006D631C">
              <w:rPr>
                <w:color w:val="000000"/>
                <w:sz w:val="12"/>
                <w:szCs w:val="12"/>
              </w:rPr>
              <w:fldChar w:fldCharType="end"/>
            </w:r>
          </w:p>
        </w:tc>
      </w:tr>
      <w:tr w:rsidR="00025C72" w:rsidRPr="006D631C" w14:paraId="574886B1" w14:textId="77777777" w:rsidTr="007D350B">
        <w:trPr>
          <w:trHeight w:val="20"/>
          <w:jc w:val="center"/>
        </w:trPr>
        <w:tc>
          <w:tcPr>
            <w:tcW w:w="851" w:type="dxa"/>
            <w:vMerge w:val="restart"/>
            <w:tcBorders>
              <w:top w:val="single" w:sz="4" w:space="0" w:color="auto"/>
              <w:left w:val="nil"/>
              <w:right w:val="nil"/>
            </w:tcBorders>
            <w:shd w:val="clear" w:color="000000" w:fill="FFFFFF"/>
            <w:vAlign w:val="center"/>
            <w:hideMark/>
          </w:tcPr>
          <w:p w14:paraId="7B92740C" w14:textId="77777777" w:rsidR="00025C72" w:rsidRPr="006D631C" w:rsidRDefault="00025C72" w:rsidP="00DD11AE">
            <w:pPr>
              <w:spacing w:line="240" w:lineRule="auto"/>
              <w:jc w:val="left"/>
              <w:rPr>
                <w:color w:val="000000"/>
                <w:sz w:val="12"/>
                <w:szCs w:val="12"/>
              </w:rPr>
            </w:pPr>
            <w:r w:rsidRPr="006D631C">
              <w:rPr>
                <w:color w:val="000000"/>
                <w:sz w:val="12"/>
                <w:szCs w:val="12"/>
              </w:rPr>
              <w:t>P-A-29</w:t>
            </w:r>
          </w:p>
        </w:tc>
        <w:tc>
          <w:tcPr>
            <w:tcW w:w="709" w:type="dxa"/>
            <w:tcBorders>
              <w:top w:val="single" w:sz="4" w:space="0" w:color="auto"/>
              <w:left w:val="nil"/>
              <w:bottom w:val="single" w:sz="4" w:space="0" w:color="auto"/>
              <w:right w:val="nil"/>
            </w:tcBorders>
            <w:shd w:val="clear" w:color="000000" w:fill="FFFFFF"/>
            <w:vAlign w:val="center"/>
            <w:hideMark/>
          </w:tcPr>
          <w:p w14:paraId="3C7AE087" w14:textId="77777777" w:rsidR="00025C72" w:rsidRPr="006D631C" w:rsidRDefault="00025C72" w:rsidP="00DD11AE">
            <w:pPr>
              <w:spacing w:line="240" w:lineRule="auto"/>
              <w:jc w:val="left"/>
              <w:rPr>
                <w:color w:val="000000"/>
                <w:sz w:val="12"/>
                <w:szCs w:val="12"/>
              </w:rPr>
            </w:pPr>
            <w:r w:rsidRPr="006D631C">
              <w:rPr>
                <w:color w:val="000000"/>
                <w:sz w:val="12"/>
                <w:szCs w:val="12"/>
              </w:rPr>
              <w:t>-</w:t>
            </w:r>
          </w:p>
        </w:tc>
        <w:tc>
          <w:tcPr>
            <w:tcW w:w="708" w:type="dxa"/>
            <w:tcBorders>
              <w:top w:val="single" w:sz="4" w:space="0" w:color="auto"/>
              <w:left w:val="nil"/>
              <w:bottom w:val="single" w:sz="4" w:space="0" w:color="auto"/>
              <w:right w:val="nil"/>
            </w:tcBorders>
            <w:shd w:val="clear" w:color="000000" w:fill="FFFFFF"/>
            <w:vAlign w:val="center"/>
            <w:hideMark/>
          </w:tcPr>
          <w:p w14:paraId="510471BC" w14:textId="77777777" w:rsidR="00025C72" w:rsidRPr="006D631C" w:rsidRDefault="00025C72" w:rsidP="00DD11AE">
            <w:pPr>
              <w:spacing w:line="240" w:lineRule="auto"/>
              <w:jc w:val="left"/>
              <w:rPr>
                <w:color w:val="000000"/>
                <w:sz w:val="12"/>
                <w:szCs w:val="12"/>
              </w:rPr>
            </w:pPr>
            <w:r w:rsidRPr="006D631C">
              <w:rPr>
                <w:color w:val="000000"/>
                <w:sz w:val="12"/>
                <w:szCs w:val="12"/>
              </w:rPr>
              <w:t>I-1</w:t>
            </w:r>
          </w:p>
        </w:tc>
        <w:tc>
          <w:tcPr>
            <w:tcW w:w="1276" w:type="dxa"/>
            <w:tcBorders>
              <w:top w:val="single" w:sz="4" w:space="0" w:color="auto"/>
              <w:left w:val="nil"/>
              <w:bottom w:val="single" w:sz="4" w:space="0" w:color="auto"/>
              <w:right w:val="nil"/>
            </w:tcBorders>
            <w:shd w:val="clear" w:color="000000" w:fill="FFFFFF"/>
            <w:noWrap/>
            <w:vAlign w:val="center"/>
            <w:hideMark/>
          </w:tcPr>
          <w:p w14:paraId="43AFCCE9" w14:textId="11619B13" w:rsidR="00025C72" w:rsidRPr="006D631C" w:rsidRDefault="00025C72" w:rsidP="00705731">
            <w:pPr>
              <w:spacing w:line="240" w:lineRule="auto"/>
              <w:ind w:left="37"/>
              <w:jc w:val="left"/>
              <w:rPr>
                <w:color w:val="000000"/>
                <w:sz w:val="12"/>
                <w:szCs w:val="12"/>
              </w:rPr>
            </w:pPr>
            <w:r w:rsidRPr="006D631C">
              <w:rPr>
                <w:color w:val="000000"/>
                <w:sz w:val="12"/>
                <w:szCs w:val="12"/>
              </w:rPr>
              <w:t>80 (H</w:t>
            </w:r>
            <w:r w:rsidRPr="006D631C">
              <w:rPr>
                <w:color w:val="000000"/>
                <w:sz w:val="12"/>
                <w:szCs w:val="12"/>
                <w:vertAlign w:val="subscript"/>
              </w:rPr>
              <w:t>2</w:t>
            </w:r>
            <w:r w:rsidRPr="006D631C">
              <w:rPr>
                <w:color w:val="000000"/>
                <w:sz w:val="12"/>
                <w:szCs w:val="12"/>
              </w:rPr>
              <w:t>)</w:t>
            </w:r>
          </w:p>
        </w:tc>
        <w:tc>
          <w:tcPr>
            <w:tcW w:w="1418" w:type="dxa"/>
            <w:tcBorders>
              <w:top w:val="single" w:sz="4" w:space="0" w:color="auto"/>
              <w:left w:val="nil"/>
              <w:bottom w:val="single" w:sz="4" w:space="0" w:color="auto"/>
              <w:right w:val="nil"/>
            </w:tcBorders>
            <w:shd w:val="clear" w:color="000000" w:fill="FFFFFF"/>
            <w:vAlign w:val="center"/>
            <w:hideMark/>
          </w:tcPr>
          <w:p w14:paraId="36DB53B5" w14:textId="77777777" w:rsidR="00025C72" w:rsidRPr="006D631C" w:rsidRDefault="00025C72" w:rsidP="00DD11AE">
            <w:pPr>
              <w:spacing w:line="240" w:lineRule="auto"/>
              <w:jc w:val="left"/>
              <w:rPr>
                <w:color w:val="000000"/>
                <w:sz w:val="12"/>
                <w:szCs w:val="12"/>
              </w:rPr>
            </w:pPr>
            <w:r w:rsidRPr="006D631C">
              <w:rPr>
                <w:color w:val="000000"/>
                <w:sz w:val="12"/>
                <w:szCs w:val="12"/>
              </w:rPr>
              <w:t>Retention of the structure</w:t>
            </w:r>
          </w:p>
        </w:tc>
        <w:tc>
          <w:tcPr>
            <w:tcW w:w="1134" w:type="dxa"/>
            <w:tcBorders>
              <w:top w:val="single" w:sz="4" w:space="0" w:color="auto"/>
              <w:left w:val="nil"/>
              <w:bottom w:val="single" w:sz="4" w:space="0" w:color="auto"/>
              <w:right w:val="nil"/>
            </w:tcBorders>
            <w:shd w:val="clear" w:color="000000" w:fill="FFFFFF"/>
            <w:noWrap/>
            <w:vAlign w:val="center"/>
            <w:hideMark/>
          </w:tcPr>
          <w:p w14:paraId="1727282A" w14:textId="77777777" w:rsidR="00025C72" w:rsidRPr="006D631C" w:rsidRDefault="00025C72" w:rsidP="00DD11AE">
            <w:pPr>
              <w:spacing w:line="240" w:lineRule="auto"/>
              <w:jc w:val="left"/>
              <w:rPr>
                <w:color w:val="000000"/>
                <w:sz w:val="12"/>
                <w:szCs w:val="12"/>
              </w:rPr>
            </w:pPr>
            <w:r w:rsidRPr="006D631C">
              <w:rPr>
                <w:color w:val="000000"/>
                <w:sz w:val="12"/>
                <w:szCs w:val="12"/>
              </w:rPr>
              <w:t>4.04</w:t>
            </w:r>
          </w:p>
        </w:tc>
        <w:tc>
          <w:tcPr>
            <w:tcW w:w="1134" w:type="dxa"/>
            <w:tcBorders>
              <w:top w:val="single" w:sz="4" w:space="0" w:color="auto"/>
              <w:left w:val="nil"/>
              <w:bottom w:val="single" w:sz="4" w:space="0" w:color="auto"/>
              <w:right w:val="nil"/>
            </w:tcBorders>
            <w:shd w:val="clear" w:color="000000" w:fill="FFFFFF"/>
            <w:noWrap/>
            <w:vAlign w:val="center"/>
            <w:hideMark/>
          </w:tcPr>
          <w:p w14:paraId="543C8BD4" w14:textId="77777777" w:rsidR="00025C72" w:rsidRPr="006D631C" w:rsidRDefault="00025C72" w:rsidP="00DD11AE">
            <w:pPr>
              <w:spacing w:line="240" w:lineRule="auto"/>
              <w:jc w:val="left"/>
              <w:rPr>
                <w:color w:val="000000"/>
                <w:sz w:val="12"/>
                <w:szCs w:val="12"/>
              </w:rPr>
            </w:pPr>
            <w:r w:rsidRPr="006D631C">
              <w:rPr>
                <w:color w:val="000000"/>
                <w:sz w:val="12"/>
                <w:szCs w:val="12"/>
              </w:rPr>
              <w:t>3.98</w:t>
            </w:r>
          </w:p>
        </w:tc>
        <w:tc>
          <w:tcPr>
            <w:tcW w:w="5244" w:type="dxa"/>
            <w:tcBorders>
              <w:top w:val="single" w:sz="4" w:space="0" w:color="auto"/>
              <w:left w:val="nil"/>
              <w:bottom w:val="single" w:sz="4" w:space="0" w:color="auto"/>
              <w:right w:val="nil"/>
            </w:tcBorders>
            <w:shd w:val="clear" w:color="000000" w:fill="FFFFFF"/>
            <w:vAlign w:val="center"/>
            <w:hideMark/>
          </w:tcPr>
          <w:p w14:paraId="5C6DCA11" w14:textId="77777777" w:rsidR="00025C72" w:rsidRPr="006D631C" w:rsidRDefault="00025C72" w:rsidP="002F2BFC">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PPV was in-situ formed as a filler in the pores of H</w:t>
            </w:r>
            <w:r w:rsidRPr="006D631C">
              <w:rPr>
                <w:color w:val="000000"/>
                <w:sz w:val="12"/>
                <w:szCs w:val="12"/>
                <w:vertAlign w:val="subscript"/>
              </w:rPr>
              <w:t>2</w:t>
            </w:r>
            <w:r w:rsidRPr="006D631C">
              <w:rPr>
                <w:color w:val="000000"/>
                <w:sz w:val="12"/>
                <w:szCs w:val="12"/>
              </w:rPr>
              <w:t xml:space="preserve"> structure</w:t>
            </w:r>
          </w:p>
          <w:p w14:paraId="2780A281" w14:textId="0EBBA290" w:rsidR="00025C72" w:rsidRPr="006D631C" w:rsidRDefault="00025C72" w:rsidP="002F2BFC">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Higher light emission of the nanocomposite compared to pure PPV</w:t>
            </w:r>
          </w:p>
          <w:p w14:paraId="01D80B10" w14:textId="0CE7058F" w:rsidR="00025C72" w:rsidRPr="006D631C" w:rsidRDefault="00025C72" w:rsidP="002F2BFC">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Longer stability of PPV in polymerized LLC due to the isolation from oxygen</w:t>
            </w:r>
          </w:p>
        </w:tc>
        <w:tc>
          <w:tcPr>
            <w:tcW w:w="426" w:type="dxa"/>
            <w:tcBorders>
              <w:top w:val="nil"/>
              <w:left w:val="nil"/>
              <w:bottom w:val="single" w:sz="4" w:space="0" w:color="auto"/>
              <w:right w:val="nil"/>
            </w:tcBorders>
            <w:shd w:val="clear" w:color="000000" w:fill="FFFFFF"/>
            <w:vAlign w:val="center"/>
            <w:hideMark/>
          </w:tcPr>
          <w:p w14:paraId="582D2746" w14:textId="77777777" w:rsidR="00025C72" w:rsidRPr="006D631C" w:rsidRDefault="00025C72" w:rsidP="00DD3903">
            <w:pPr>
              <w:spacing w:line="240" w:lineRule="auto"/>
              <w:ind w:right="-245"/>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{"citationItems":[{"id":"ITEM-1","itemData":{"DOI":"10.1021/ja963837w","ISSN":"00027863","author":[{"dropping-particle":"","family":"Smith","given":"R. C.","non-dropping-particle":"","parse-names":false,"suffix":""},{"dropping-particle":"","family":"Fischer","given":"W. M.","non-dropping-particle":"","parse-names":false,"suffix":""},{"dropping-particle":"","family":"Gin","given":"D. L.","non-dropping-particle":"","parse-names":false,"suffix":""}],"container-title":"Journal of the American Chemical Society","id":"ITEM-1","issue":"17","issued":{"date-parts":[["1997"]]},"page":"4092-4093","title":"Ordered poly(p-phenylenevinylene) matrix nanocomposites via lyotropic liquid-crystalline monomers","type":"article-journal","volume":"119"},"uris":["http://www.mendeley.com/documents/?uuid=09a9c592-287e-474f-98ab-faed43f1cc64"]}],"mendeley":{"formattedCitation":"&lt;sup&gt;50&lt;/sup&gt;","plainTextFormattedCitation":"50","previouslyFormattedCitation":"&lt;sup&gt;50&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50</w:t>
            </w:r>
            <w:r w:rsidRPr="006D631C">
              <w:rPr>
                <w:color w:val="000000"/>
                <w:sz w:val="12"/>
                <w:szCs w:val="12"/>
              </w:rPr>
              <w:fldChar w:fldCharType="end"/>
            </w:r>
          </w:p>
        </w:tc>
      </w:tr>
      <w:tr w:rsidR="00025C72" w:rsidRPr="006D631C" w14:paraId="0B10130A" w14:textId="77777777" w:rsidTr="007D350B">
        <w:trPr>
          <w:trHeight w:val="20"/>
          <w:jc w:val="center"/>
        </w:trPr>
        <w:tc>
          <w:tcPr>
            <w:tcW w:w="851" w:type="dxa"/>
            <w:vMerge/>
            <w:tcBorders>
              <w:left w:val="nil"/>
              <w:right w:val="nil"/>
            </w:tcBorders>
            <w:vAlign w:val="center"/>
            <w:hideMark/>
          </w:tcPr>
          <w:p w14:paraId="1464121D" w14:textId="77777777" w:rsidR="00025C72" w:rsidRPr="006D631C" w:rsidRDefault="00025C72" w:rsidP="00DD11AE">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5E17A5E5" w14:textId="77777777" w:rsidR="00025C72" w:rsidRPr="006D631C" w:rsidRDefault="00025C72" w:rsidP="00DD11AE">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hideMark/>
          </w:tcPr>
          <w:p w14:paraId="4C442758" w14:textId="77777777" w:rsidR="00025C72" w:rsidRPr="006D631C" w:rsidRDefault="00025C72" w:rsidP="00DD11AE">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hideMark/>
          </w:tcPr>
          <w:p w14:paraId="1D80ECA6" w14:textId="71CAD662" w:rsidR="00025C72" w:rsidRPr="006D631C" w:rsidRDefault="00025C72" w:rsidP="00705731">
            <w:pPr>
              <w:spacing w:line="240" w:lineRule="auto"/>
              <w:ind w:left="37"/>
              <w:jc w:val="left"/>
              <w:rPr>
                <w:color w:val="000000"/>
                <w:sz w:val="12"/>
                <w:szCs w:val="12"/>
              </w:rPr>
            </w:pPr>
            <w:r w:rsidRPr="006D631C">
              <w:rPr>
                <w:color w:val="000000"/>
                <w:sz w:val="12"/>
                <w:szCs w:val="12"/>
              </w:rPr>
              <w:t>85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791571F2" w14:textId="77777777" w:rsidR="00025C72" w:rsidRPr="006D631C" w:rsidRDefault="00025C72" w:rsidP="00DD11AE">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hideMark/>
          </w:tcPr>
          <w:p w14:paraId="46C13F6F" w14:textId="77777777" w:rsidR="00025C72" w:rsidRPr="006D631C" w:rsidRDefault="00025C72" w:rsidP="00DD11AE">
            <w:pPr>
              <w:spacing w:line="240" w:lineRule="auto"/>
              <w:jc w:val="left"/>
              <w:rPr>
                <w:color w:val="000000"/>
                <w:sz w:val="12"/>
                <w:szCs w:val="12"/>
              </w:rPr>
            </w:pPr>
            <w:r w:rsidRPr="006D631C">
              <w:rPr>
                <w:color w:val="000000"/>
                <w:sz w:val="12"/>
                <w:szCs w:val="12"/>
              </w:rPr>
              <w:t>3.62 - 4.3</w:t>
            </w:r>
          </w:p>
        </w:tc>
        <w:tc>
          <w:tcPr>
            <w:tcW w:w="1134" w:type="dxa"/>
            <w:tcBorders>
              <w:top w:val="nil"/>
              <w:left w:val="nil"/>
              <w:bottom w:val="single" w:sz="4" w:space="0" w:color="auto"/>
              <w:right w:val="nil"/>
            </w:tcBorders>
            <w:shd w:val="clear" w:color="000000" w:fill="FFFFFF"/>
            <w:noWrap/>
            <w:vAlign w:val="center"/>
            <w:hideMark/>
          </w:tcPr>
          <w:p w14:paraId="7EAB5C2A" w14:textId="77777777" w:rsidR="00025C72" w:rsidRPr="006D631C" w:rsidRDefault="00025C72" w:rsidP="00DD11AE">
            <w:pPr>
              <w:spacing w:line="240" w:lineRule="auto"/>
              <w:jc w:val="left"/>
              <w:rPr>
                <w:color w:val="000000"/>
                <w:sz w:val="12"/>
                <w:szCs w:val="12"/>
              </w:rPr>
            </w:pPr>
            <w:r w:rsidRPr="006D631C">
              <w:rPr>
                <w:color w:val="000000"/>
                <w:sz w:val="12"/>
                <w:szCs w:val="12"/>
              </w:rPr>
              <w:t>3.49 - 4.13</w:t>
            </w:r>
          </w:p>
        </w:tc>
        <w:tc>
          <w:tcPr>
            <w:tcW w:w="5244" w:type="dxa"/>
            <w:tcBorders>
              <w:top w:val="nil"/>
              <w:left w:val="nil"/>
              <w:bottom w:val="single" w:sz="4" w:space="0" w:color="auto"/>
              <w:right w:val="nil"/>
            </w:tcBorders>
            <w:shd w:val="clear" w:color="000000" w:fill="FFFFFF"/>
            <w:vAlign w:val="center"/>
            <w:hideMark/>
          </w:tcPr>
          <w:p w14:paraId="7C030C7C" w14:textId="77777777" w:rsidR="00025C72" w:rsidRPr="006D631C" w:rsidRDefault="00025C72" w:rsidP="00111349">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Same metal ion charge resulted in same </w:t>
            </w:r>
            <w:r w:rsidRPr="006D631C">
              <w:rPr>
                <w:i/>
                <w:iCs/>
                <w:color w:val="000000"/>
                <w:sz w:val="12"/>
                <w:szCs w:val="12"/>
              </w:rPr>
              <w:t>d</w:t>
            </w:r>
            <w:r w:rsidRPr="006D631C">
              <w:rPr>
                <w:color w:val="000000"/>
                <w:sz w:val="12"/>
                <w:szCs w:val="12"/>
              </w:rPr>
              <w:t>-</w:t>
            </w:r>
            <w:proofErr w:type="spellStart"/>
            <w:r w:rsidRPr="006D631C">
              <w:rPr>
                <w:color w:val="000000"/>
                <w:sz w:val="12"/>
                <w:szCs w:val="12"/>
              </w:rPr>
              <w:t>spacings</w:t>
            </w:r>
            <w:proofErr w:type="spellEnd"/>
          </w:p>
          <w:p w14:paraId="6349F419" w14:textId="77777777" w:rsidR="00025C72" w:rsidRPr="006D631C" w:rsidRDefault="00025C72" w:rsidP="00111349">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Trivalent lanthanide salts showed lower </w:t>
            </w:r>
            <w:proofErr w:type="spellStart"/>
            <w:r w:rsidRPr="006D631C">
              <w:rPr>
                <w:color w:val="000000"/>
                <w:sz w:val="12"/>
                <w:szCs w:val="12"/>
              </w:rPr>
              <w:t>spacings</w:t>
            </w:r>
            <w:proofErr w:type="spellEnd"/>
          </w:p>
          <w:p w14:paraId="15961F0E" w14:textId="202C99F8" w:rsidR="00025C72" w:rsidRPr="006D631C" w:rsidRDefault="00025C72" w:rsidP="00A224A1">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When PPV was incorporated in trivalent </w:t>
            </w:r>
            <w:proofErr w:type="spellStart"/>
            <w:r w:rsidRPr="006D631C">
              <w:rPr>
                <w:color w:val="000000"/>
                <w:sz w:val="12"/>
                <w:szCs w:val="12"/>
              </w:rPr>
              <w:t>Eu</w:t>
            </w:r>
            <w:proofErr w:type="spellEnd"/>
            <w:r w:rsidRPr="006D631C">
              <w:rPr>
                <w:color w:val="000000"/>
                <w:sz w:val="12"/>
                <w:szCs w:val="12"/>
              </w:rPr>
              <w:t xml:space="preserve"> containing polyLLC, a new intense emission band appeared compared to sodium ion</w:t>
            </w:r>
          </w:p>
        </w:tc>
        <w:tc>
          <w:tcPr>
            <w:tcW w:w="426" w:type="dxa"/>
            <w:tcBorders>
              <w:top w:val="nil"/>
              <w:left w:val="nil"/>
              <w:bottom w:val="single" w:sz="4" w:space="0" w:color="auto"/>
              <w:right w:val="nil"/>
            </w:tcBorders>
            <w:shd w:val="clear" w:color="000000" w:fill="FFFFFF"/>
            <w:vAlign w:val="center"/>
            <w:hideMark/>
          </w:tcPr>
          <w:p w14:paraId="3B321302" w14:textId="77777777" w:rsidR="00025C72" w:rsidRPr="006D631C" w:rsidRDefault="00025C72" w:rsidP="00DD3903">
            <w:pPr>
              <w:spacing w:line="240" w:lineRule="auto"/>
              <w:ind w:right="-245"/>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{"citationItems":[{"id":"ITEM-1","itemData":{"DOI":"10.1021/ja9743654","ISSN":"00027863","abstract":"The effect of transition-metal and lanthanide ions polymerizable lyotropic liquid crystal system is studied by synthesizing the Co(II), Ni(II), Cd(II), Eu(III), and Ce(III) analogues of monomers using ion-exchange. Elemental analysis of the neat salts indicates the presence of coordinated water molecules in all the compounds. This is confirm by the presence of a weak O-H band in the 3300-3500 cm -1 region of their FT-IR spectra.","author":[{"dropping-particle":"","family":"Deng","given":"Hai","non-dropping-particle":"","parse-names":false,"suffix":""},{"dropping-particle":"","family":"Gin","given":"Douglas L.","non-dropping-particle":"","parse-names":false,"suffix":""},{"dropping-particle":"","family":"Smith","given":"Ryan C.","non-dropping-particle":"","parse-names":false,"suffix":""}],"container-title":"Journal of the American Chemical Society","id":"ITEM-1","issue":"14","issued":{"date-parts":[["1998"]]},"page":"3522-3523","title":"Polymerizable lyotropic liquid crystals containing transition-metal and lanthanide ions: architectural control and introduction of new properties into nanostructured polymers","type":"article-journal","volume":"120"},"uris":["http://www.mendeley.com/documents/?uuid=0b3c308f-bafc-4cd1-96f3-59c32038b699"]}],"mendeley":{"formattedCitation":"&lt;sup&gt;78&lt;/sup&gt;","plainTextFormattedCitation":"78","previouslyFormattedCitation":"&lt;sup&gt;78&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78</w:t>
            </w:r>
            <w:r w:rsidRPr="006D631C">
              <w:rPr>
                <w:color w:val="000000"/>
                <w:sz w:val="12"/>
                <w:szCs w:val="12"/>
              </w:rPr>
              <w:fldChar w:fldCharType="end"/>
            </w:r>
          </w:p>
        </w:tc>
      </w:tr>
      <w:tr w:rsidR="00025C72" w:rsidRPr="006D631C" w14:paraId="66F7E53B" w14:textId="77777777" w:rsidTr="007D350B">
        <w:trPr>
          <w:trHeight w:val="20"/>
          <w:jc w:val="center"/>
        </w:trPr>
        <w:tc>
          <w:tcPr>
            <w:tcW w:w="851" w:type="dxa"/>
            <w:vMerge/>
            <w:tcBorders>
              <w:left w:val="nil"/>
              <w:right w:val="nil"/>
            </w:tcBorders>
            <w:vAlign w:val="center"/>
            <w:hideMark/>
          </w:tcPr>
          <w:p w14:paraId="02B71BE9" w14:textId="77777777" w:rsidR="00025C72" w:rsidRPr="006D631C" w:rsidRDefault="00025C72" w:rsidP="00DD11AE">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hideMark/>
          </w:tcPr>
          <w:p w14:paraId="45B672BD" w14:textId="77777777" w:rsidR="00025C72" w:rsidRPr="006D631C" w:rsidRDefault="00025C72" w:rsidP="00DD11AE">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hideMark/>
          </w:tcPr>
          <w:p w14:paraId="035CA63E" w14:textId="77777777" w:rsidR="00025C72" w:rsidRPr="006D631C" w:rsidRDefault="00025C72" w:rsidP="00DD11AE">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hideMark/>
          </w:tcPr>
          <w:p w14:paraId="17588CB6" w14:textId="363D40CF" w:rsidR="00025C72" w:rsidRPr="006D631C" w:rsidRDefault="00025C72" w:rsidP="00705731">
            <w:pPr>
              <w:spacing w:line="240" w:lineRule="auto"/>
              <w:ind w:left="37"/>
              <w:jc w:val="left"/>
              <w:rPr>
                <w:color w:val="000000"/>
                <w:sz w:val="12"/>
                <w:szCs w:val="12"/>
              </w:rPr>
            </w:pPr>
            <w:r w:rsidRPr="006D631C">
              <w:rPr>
                <w:color w:val="000000"/>
                <w:sz w:val="12"/>
                <w:szCs w:val="12"/>
              </w:rPr>
              <w:t>88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hideMark/>
          </w:tcPr>
          <w:p w14:paraId="13ED86F0" w14:textId="77777777" w:rsidR="00025C72" w:rsidRPr="006D631C" w:rsidRDefault="00025C72" w:rsidP="00DD11AE">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hideMark/>
          </w:tcPr>
          <w:p w14:paraId="1A5E7224" w14:textId="77777777" w:rsidR="00025C72" w:rsidRPr="006D631C" w:rsidRDefault="00025C72" w:rsidP="00DD11AE">
            <w:pPr>
              <w:spacing w:line="240" w:lineRule="auto"/>
              <w:jc w:val="left"/>
              <w:rPr>
                <w:color w:val="000000"/>
                <w:sz w:val="12"/>
                <w:szCs w:val="12"/>
              </w:rPr>
            </w:pPr>
            <w:r w:rsidRPr="006D631C">
              <w:rPr>
                <w:color w:val="000000"/>
                <w:sz w:val="12"/>
                <w:szCs w:val="12"/>
              </w:rPr>
              <w:t>4.25</w:t>
            </w:r>
          </w:p>
        </w:tc>
        <w:tc>
          <w:tcPr>
            <w:tcW w:w="1134" w:type="dxa"/>
            <w:tcBorders>
              <w:top w:val="nil"/>
              <w:left w:val="nil"/>
              <w:bottom w:val="single" w:sz="4" w:space="0" w:color="auto"/>
              <w:right w:val="nil"/>
            </w:tcBorders>
            <w:shd w:val="clear" w:color="000000" w:fill="FFFFFF"/>
            <w:noWrap/>
            <w:vAlign w:val="center"/>
            <w:hideMark/>
          </w:tcPr>
          <w:p w14:paraId="344D9776" w14:textId="77777777" w:rsidR="00025C72" w:rsidRPr="006D631C" w:rsidRDefault="00025C72" w:rsidP="00DD11AE">
            <w:pPr>
              <w:spacing w:line="240" w:lineRule="auto"/>
              <w:jc w:val="left"/>
              <w:rPr>
                <w:color w:val="000000"/>
                <w:sz w:val="12"/>
                <w:szCs w:val="12"/>
              </w:rPr>
            </w:pPr>
            <w:r w:rsidRPr="006D631C">
              <w:rPr>
                <w:color w:val="000000"/>
                <w:sz w:val="12"/>
                <w:szCs w:val="12"/>
              </w:rPr>
              <w:t>4.18</w:t>
            </w:r>
          </w:p>
        </w:tc>
        <w:tc>
          <w:tcPr>
            <w:tcW w:w="5244" w:type="dxa"/>
            <w:tcBorders>
              <w:top w:val="nil"/>
              <w:left w:val="nil"/>
              <w:bottom w:val="single" w:sz="4" w:space="0" w:color="auto"/>
              <w:right w:val="nil"/>
            </w:tcBorders>
            <w:shd w:val="clear" w:color="000000" w:fill="FFFFFF"/>
            <w:vAlign w:val="center"/>
          </w:tcPr>
          <w:p w14:paraId="44E520F2" w14:textId="3F3081A1" w:rsidR="00025C72" w:rsidRPr="006D631C" w:rsidRDefault="00025C72" w:rsidP="00374690">
            <w:pPr>
              <w:spacing w:line="240" w:lineRule="auto"/>
              <w:jc w:val="left"/>
              <w:rPr>
                <w:color w:val="000000"/>
                <w:sz w:val="12"/>
                <w:szCs w:val="12"/>
              </w:rPr>
            </w:pPr>
            <w:r w:rsidRPr="006D631C">
              <w:rPr>
                <w:color w:val="000000"/>
                <w:sz w:val="12"/>
                <w:szCs w:val="12"/>
              </w:rPr>
              <w:t>-</w:t>
            </w:r>
          </w:p>
        </w:tc>
        <w:tc>
          <w:tcPr>
            <w:tcW w:w="426" w:type="dxa"/>
            <w:tcBorders>
              <w:top w:val="nil"/>
              <w:left w:val="nil"/>
              <w:bottom w:val="single" w:sz="4" w:space="0" w:color="auto"/>
              <w:right w:val="nil"/>
            </w:tcBorders>
            <w:shd w:val="clear" w:color="000000" w:fill="FFFFFF"/>
            <w:vAlign w:val="center"/>
            <w:hideMark/>
          </w:tcPr>
          <w:p w14:paraId="252DBEA7" w14:textId="45ED78C3" w:rsidR="00025C72" w:rsidRPr="006D631C" w:rsidRDefault="00025C72" w:rsidP="002E14E4">
            <w:pPr>
              <w:spacing w:line="240" w:lineRule="auto"/>
              <w:ind w:right="-245"/>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{"citationItems":[{"id":"ITEM-1","itemData":{"DOI":"10.1021/ma000812f","ISSN":"00249297","abstract":"The unprecedented use of polymerizable hydrocarbon tail systems containing 1,3-diene groups for the design of thermotropic and lyotropic liquid crystal (LC) monomers is described. Cross-linkable LC dienes are synthesized by attaching LC core units to modular ω-bromoalka-1,3-diene tails of variable length. These modular diene tails are synthesized by the oxidation of long chain ω-bromoalkan-1-ols to the corresponding ω-bromoalkanals. Reaction of the ω-bromoalkanals with Matteson's reagent, followed by treatment with triethanolamine and deoxysilylation under Peterson elimination conditions, affords the desired ω-bromoalka-1,3-diene tails. The effect of the 1,3-diene group on the mesogenic behavior of certain thermotropic and lyotropic LC systems was determined by examining 1,3-diene analogues of a thermotropic calamitic LC diacrylate and a taper-shaped lyotropic LC triacrylate. Compared to their diacrylate analogues, the thermotropic LC bis(1,3-diene)s exhibit the same progression of nematic and smectic' phases but with higher smectic C to nematic transition temperatures and higher clearing temperatures. Replacement of the three acrylate groups in the tapered-shaped lyotropic LC monomer with 1,3-diene moieties had little effect on its tendency to form the inverted hexagonal phase at room temperature in the presence of water. The lyotropic LC diene phases also exhibit higher clearing temperatures than the corresponding LC triacrylate. The 1,3-diene group was found to be an efficient cross-linking unit for the photopolymerization of lyotropic LC phases at ambient temperature because of its hydrophobicity, minimal phase perturbation, and the high degree of photopolymerization. With thermotropic LC systems, however, Diels-Alder dimerization of adjacent diene units was found to occur upon heating the thermotropic LC bis(diene) monomers to ca. 90 °C or higher. Thus, as a photopolymerizable group in LC monomer design, the practical utility of the 1,3-diene group appears to be limited to temperature regimes below 90 °C.","author":[{"dropping-particle":"","family":"Hoag","given":"Benjamin P.","non-dropping-particle":"","parse-names":false,"suffix":""},{"dropping-particle":"","family":"Gin","given":"Douglas L.","non-dropping-particle":"","parse-names":false,"suffix":""}],"container-title":"Macromolecules","id":"ITEM-1","issue":"23","issued":{"date-parts":[["2000"]]},"page":"8549-8558","title":"Cross-linkable liquid crystal monomers containing hydrocarbon 1,3-diene tail systems","type":"article-journal","volume":"33"},"uris":["http://www.mendeley.com/documents/?uuid=a6f20395-312f-4d40-b921-83eb818d626f"]}],"mendeley":{"formattedCitation":"&lt;sup&gt;84&lt;/sup&gt;","plainTextFormattedCitation":"84","previouslyFormattedCitation":"&lt;sup&gt;84&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84</w:t>
            </w:r>
            <w:r w:rsidRPr="006D631C">
              <w:rPr>
                <w:color w:val="000000"/>
                <w:sz w:val="12"/>
                <w:szCs w:val="12"/>
              </w:rPr>
              <w:fldChar w:fldCharType="end"/>
            </w:r>
          </w:p>
        </w:tc>
      </w:tr>
      <w:tr w:rsidR="00025C72" w:rsidRPr="006D631C" w14:paraId="07F9294A" w14:textId="77777777" w:rsidTr="00BF203B">
        <w:trPr>
          <w:trHeight w:val="20"/>
          <w:jc w:val="center"/>
        </w:trPr>
        <w:tc>
          <w:tcPr>
            <w:tcW w:w="851" w:type="dxa"/>
            <w:vMerge/>
            <w:tcBorders>
              <w:left w:val="nil"/>
              <w:right w:val="nil"/>
            </w:tcBorders>
            <w:vAlign w:val="center"/>
            <w:hideMark/>
          </w:tcPr>
          <w:p w14:paraId="4F21FD19" w14:textId="77777777" w:rsidR="00025C72" w:rsidRPr="006D631C" w:rsidRDefault="00025C72" w:rsidP="00DD11AE">
            <w:pPr>
              <w:spacing w:line="240" w:lineRule="auto"/>
              <w:jc w:val="left"/>
              <w:rPr>
                <w:color w:val="000000"/>
                <w:sz w:val="12"/>
                <w:szCs w:val="12"/>
              </w:rPr>
            </w:pPr>
          </w:p>
        </w:tc>
        <w:tc>
          <w:tcPr>
            <w:tcW w:w="709" w:type="dxa"/>
            <w:tcBorders>
              <w:top w:val="single" w:sz="4" w:space="0" w:color="auto"/>
              <w:left w:val="nil"/>
              <w:bottom w:val="single" w:sz="4" w:space="0" w:color="auto"/>
              <w:right w:val="nil"/>
            </w:tcBorders>
            <w:shd w:val="clear" w:color="000000" w:fill="FFFFFF"/>
            <w:vAlign w:val="center"/>
            <w:hideMark/>
          </w:tcPr>
          <w:p w14:paraId="65F77ACD" w14:textId="77777777" w:rsidR="00025C72" w:rsidRPr="006D631C" w:rsidRDefault="00025C72" w:rsidP="00DD11AE">
            <w:pPr>
              <w:spacing w:line="240" w:lineRule="auto"/>
              <w:jc w:val="left"/>
              <w:rPr>
                <w:color w:val="000000"/>
                <w:sz w:val="12"/>
                <w:szCs w:val="12"/>
              </w:rPr>
            </w:pPr>
            <w:r w:rsidRPr="006D631C">
              <w:rPr>
                <w:color w:val="000000"/>
                <w:sz w:val="12"/>
                <w:szCs w:val="12"/>
              </w:rPr>
              <w:t>-</w:t>
            </w:r>
          </w:p>
        </w:tc>
        <w:tc>
          <w:tcPr>
            <w:tcW w:w="708" w:type="dxa"/>
            <w:tcBorders>
              <w:top w:val="single" w:sz="4" w:space="0" w:color="auto"/>
              <w:left w:val="nil"/>
              <w:bottom w:val="single" w:sz="4" w:space="0" w:color="auto"/>
              <w:right w:val="nil"/>
            </w:tcBorders>
            <w:shd w:val="clear" w:color="000000" w:fill="FFFFFF"/>
            <w:vAlign w:val="center"/>
            <w:hideMark/>
          </w:tcPr>
          <w:p w14:paraId="622EF8B1" w14:textId="77777777" w:rsidR="00025C72" w:rsidRPr="006D631C" w:rsidRDefault="00025C72" w:rsidP="00DD11AE">
            <w:pPr>
              <w:spacing w:line="240" w:lineRule="auto"/>
              <w:jc w:val="left"/>
              <w:rPr>
                <w:color w:val="000000"/>
                <w:sz w:val="12"/>
                <w:szCs w:val="12"/>
              </w:rPr>
            </w:pPr>
            <w:r w:rsidRPr="006D631C">
              <w:rPr>
                <w:color w:val="000000"/>
                <w:sz w:val="12"/>
                <w:szCs w:val="12"/>
              </w:rPr>
              <w:t>I-1</w:t>
            </w:r>
          </w:p>
        </w:tc>
        <w:tc>
          <w:tcPr>
            <w:tcW w:w="1276" w:type="dxa"/>
            <w:tcBorders>
              <w:top w:val="single" w:sz="4" w:space="0" w:color="auto"/>
              <w:left w:val="nil"/>
              <w:bottom w:val="single" w:sz="4" w:space="0" w:color="auto"/>
              <w:right w:val="nil"/>
            </w:tcBorders>
            <w:shd w:val="clear" w:color="000000" w:fill="FFFFFF"/>
            <w:noWrap/>
            <w:vAlign w:val="center"/>
            <w:hideMark/>
          </w:tcPr>
          <w:p w14:paraId="1DB561F3" w14:textId="1EFBA0FE" w:rsidR="00025C72" w:rsidRPr="006D631C" w:rsidRDefault="00025C72" w:rsidP="00705731">
            <w:pPr>
              <w:spacing w:line="240" w:lineRule="auto"/>
              <w:ind w:left="37"/>
              <w:jc w:val="left"/>
              <w:rPr>
                <w:color w:val="000000"/>
                <w:sz w:val="12"/>
                <w:szCs w:val="12"/>
              </w:rPr>
            </w:pPr>
            <w:r w:rsidRPr="006D631C">
              <w:rPr>
                <w:color w:val="000000"/>
                <w:sz w:val="12"/>
                <w:szCs w:val="12"/>
              </w:rPr>
              <w:t>80 (H</w:t>
            </w:r>
            <w:r w:rsidRPr="006D631C">
              <w:rPr>
                <w:color w:val="000000"/>
                <w:sz w:val="12"/>
                <w:szCs w:val="12"/>
                <w:vertAlign w:val="subscript"/>
              </w:rPr>
              <w:t>2</w:t>
            </w:r>
            <w:r w:rsidRPr="006D631C">
              <w:rPr>
                <w:color w:val="000000"/>
                <w:sz w:val="12"/>
                <w:szCs w:val="12"/>
              </w:rPr>
              <w:t>)</w:t>
            </w:r>
          </w:p>
        </w:tc>
        <w:tc>
          <w:tcPr>
            <w:tcW w:w="1418" w:type="dxa"/>
            <w:tcBorders>
              <w:top w:val="single" w:sz="4" w:space="0" w:color="auto"/>
              <w:left w:val="nil"/>
              <w:bottom w:val="single" w:sz="4" w:space="0" w:color="auto"/>
              <w:right w:val="nil"/>
            </w:tcBorders>
            <w:shd w:val="clear" w:color="000000" w:fill="FFFFFF"/>
            <w:vAlign w:val="center"/>
            <w:hideMark/>
          </w:tcPr>
          <w:p w14:paraId="635DB860" w14:textId="77777777" w:rsidR="00025C72" w:rsidRPr="006D631C" w:rsidRDefault="00025C72" w:rsidP="00DD11AE">
            <w:pPr>
              <w:spacing w:line="240" w:lineRule="auto"/>
              <w:jc w:val="left"/>
              <w:rPr>
                <w:color w:val="000000"/>
                <w:sz w:val="12"/>
                <w:szCs w:val="12"/>
              </w:rPr>
            </w:pPr>
            <w:r w:rsidRPr="006D631C">
              <w:rPr>
                <w:color w:val="000000"/>
                <w:sz w:val="12"/>
                <w:szCs w:val="12"/>
              </w:rPr>
              <w:t>Retention of the structure</w:t>
            </w:r>
          </w:p>
        </w:tc>
        <w:tc>
          <w:tcPr>
            <w:tcW w:w="1134" w:type="dxa"/>
            <w:tcBorders>
              <w:top w:val="single" w:sz="4" w:space="0" w:color="auto"/>
              <w:left w:val="nil"/>
              <w:bottom w:val="single" w:sz="4" w:space="0" w:color="auto"/>
              <w:right w:val="nil"/>
            </w:tcBorders>
            <w:shd w:val="clear" w:color="000000" w:fill="FFFFFF"/>
            <w:noWrap/>
            <w:vAlign w:val="center"/>
            <w:hideMark/>
          </w:tcPr>
          <w:p w14:paraId="1D77299F" w14:textId="77777777" w:rsidR="00025C72" w:rsidRPr="006D631C" w:rsidRDefault="00025C72" w:rsidP="00DD11AE">
            <w:pPr>
              <w:spacing w:line="240" w:lineRule="auto"/>
              <w:jc w:val="left"/>
              <w:rPr>
                <w:color w:val="000000"/>
                <w:sz w:val="12"/>
                <w:szCs w:val="12"/>
              </w:rPr>
            </w:pPr>
            <w:r w:rsidRPr="006D631C">
              <w:rPr>
                <w:color w:val="000000"/>
                <w:sz w:val="12"/>
                <w:szCs w:val="12"/>
              </w:rPr>
              <w:t>4.04</w:t>
            </w:r>
          </w:p>
        </w:tc>
        <w:tc>
          <w:tcPr>
            <w:tcW w:w="1134" w:type="dxa"/>
            <w:tcBorders>
              <w:top w:val="single" w:sz="4" w:space="0" w:color="auto"/>
              <w:left w:val="nil"/>
              <w:bottom w:val="single" w:sz="4" w:space="0" w:color="auto"/>
              <w:right w:val="nil"/>
            </w:tcBorders>
            <w:shd w:val="clear" w:color="000000" w:fill="FFFFFF"/>
            <w:noWrap/>
            <w:vAlign w:val="center"/>
            <w:hideMark/>
          </w:tcPr>
          <w:p w14:paraId="7F847E11" w14:textId="77777777" w:rsidR="00025C72" w:rsidRPr="006D631C" w:rsidRDefault="00025C72" w:rsidP="00DD11AE">
            <w:pPr>
              <w:spacing w:line="240" w:lineRule="auto"/>
              <w:jc w:val="left"/>
              <w:rPr>
                <w:color w:val="000000"/>
                <w:sz w:val="12"/>
                <w:szCs w:val="12"/>
              </w:rPr>
            </w:pPr>
            <w:r w:rsidRPr="006D631C">
              <w:rPr>
                <w:color w:val="000000"/>
                <w:sz w:val="12"/>
                <w:szCs w:val="12"/>
              </w:rPr>
              <w:t>3.98</w:t>
            </w:r>
          </w:p>
        </w:tc>
        <w:tc>
          <w:tcPr>
            <w:tcW w:w="5244" w:type="dxa"/>
            <w:tcBorders>
              <w:top w:val="single" w:sz="4" w:space="0" w:color="auto"/>
              <w:left w:val="nil"/>
              <w:bottom w:val="single" w:sz="4" w:space="0" w:color="auto"/>
              <w:right w:val="nil"/>
            </w:tcBorders>
            <w:shd w:val="clear" w:color="auto" w:fill="auto"/>
            <w:vAlign w:val="center"/>
            <w:hideMark/>
          </w:tcPr>
          <w:p w14:paraId="121824F3" w14:textId="5DFDB5FC" w:rsidR="00025C72" w:rsidRPr="006D631C" w:rsidRDefault="00025C72" w:rsidP="00374690">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Monomer conversion of less than 30% in air and almost complete conversion under nitrogen atmosphere</w:t>
            </w:r>
          </w:p>
          <w:p w14:paraId="00567783" w14:textId="77777777" w:rsidR="00025C72" w:rsidRPr="006D631C" w:rsidRDefault="00025C72" w:rsidP="00374690">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To prepare the membrane, a solution of LLC in methanol was used for roll-casting</w:t>
            </w:r>
          </w:p>
          <w:p w14:paraId="6B8C910C" w14:textId="5CFDE1DB" w:rsidR="00025C72" w:rsidRPr="006D631C" w:rsidRDefault="00025C72" w:rsidP="003D4AC4">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Membrane with water flux of 0.3 ± 0.1 L m</w:t>
            </w:r>
            <w:r w:rsidRPr="006D631C">
              <w:rPr>
                <w:color w:val="000000"/>
                <w:sz w:val="12"/>
                <w:szCs w:val="12"/>
                <w:vertAlign w:val="superscript"/>
              </w:rPr>
              <w:t>-2</w:t>
            </w:r>
            <w:r w:rsidRPr="006D631C">
              <w:rPr>
                <w:color w:val="000000"/>
                <w:sz w:val="12"/>
                <w:szCs w:val="12"/>
              </w:rPr>
              <w:t xml:space="preserve"> h</w:t>
            </w:r>
            <w:r w:rsidRPr="006D631C">
              <w:rPr>
                <w:color w:val="000000"/>
                <w:sz w:val="12"/>
                <w:szCs w:val="12"/>
                <w:vertAlign w:val="superscript"/>
              </w:rPr>
              <w:t>-1</w:t>
            </w:r>
            <w:r w:rsidRPr="006D631C">
              <w:rPr>
                <w:color w:val="000000"/>
                <w:sz w:val="12"/>
                <w:szCs w:val="12"/>
              </w:rPr>
              <w:t xml:space="preserve"> at 50 psi and average pore size of ~1.2 nm was obtained</w:t>
            </w:r>
          </w:p>
        </w:tc>
        <w:tc>
          <w:tcPr>
            <w:tcW w:w="426" w:type="dxa"/>
            <w:tcBorders>
              <w:top w:val="single" w:sz="4" w:space="0" w:color="auto"/>
              <w:left w:val="nil"/>
              <w:bottom w:val="single" w:sz="4" w:space="0" w:color="auto"/>
              <w:right w:val="nil"/>
            </w:tcBorders>
            <w:shd w:val="clear" w:color="000000" w:fill="FFFFFF"/>
            <w:vAlign w:val="center"/>
            <w:hideMark/>
          </w:tcPr>
          <w:p w14:paraId="0AA57153" w14:textId="77777777" w:rsidR="00025C72" w:rsidRPr="006D631C" w:rsidRDefault="00025C72" w:rsidP="00DD3903">
            <w:pPr>
              <w:spacing w:line="240" w:lineRule="auto"/>
              <w:ind w:right="-245"/>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{"citationItems":[{"id":"ITEM-1","itemData":{"DOI":"10.1002/adma.200500444","ISSN":"09359648","author":[{"dropping-particle":"","family":"Zhou","given":"Meijuan","non-dropping-particle":"","parse-names":false,"suffix":""},{"dropping-particle":"","family":"Kidd","given":"Timothy J.","non-dropping-particle":"","parse-names":false,"suffix":""},{"dropping-particle":"","family":"Noble","given":"Richard D.","non-dropping-particle":"","parse-names":false,"suffix":""},{"dropping-particle":"","family":"Gin","given":"Douglas L.","non-dropping-particle":"","parse-names":false,"suffix":""}],"container-title":"Advanced Materials","id":"ITEM-1","issue":"15","issued":{"date-parts":[["2005"]]},"page":"1850-1853","title":"Supported lyotropic liquid-crystal polymer membranes: Promising materials for molecular-size-selective aqueous nanofiltration","type":"article-journal","volume":"17"},"uris":["http://www.mendeley.com/documents/?uuid=4cf52e9a-3ab4-4b73-be33-440fbf61c3fa"]}],"mendeley":{"formattedCitation":"&lt;sup&gt;93&lt;/sup&gt;","plainTextFormattedCitation":"93","previouslyFormattedCitation":"&lt;sup&gt;93&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93</w:t>
            </w:r>
            <w:r w:rsidRPr="006D631C">
              <w:rPr>
                <w:color w:val="000000"/>
                <w:sz w:val="12"/>
                <w:szCs w:val="12"/>
              </w:rPr>
              <w:fldChar w:fldCharType="end"/>
            </w:r>
          </w:p>
        </w:tc>
      </w:tr>
      <w:tr w:rsidR="00025C72" w:rsidRPr="006D631C" w14:paraId="4D438E19" w14:textId="77777777" w:rsidTr="00BF203B">
        <w:trPr>
          <w:trHeight w:val="20"/>
          <w:jc w:val="center"/>
        </w:trPr>
        <w:tc>
          <w:tcPr>
            <w:tcW w:w="851" w:type="dxa"/>
            <w:vMerge/>
            <w:tcBorders>
              <w:left w:val="nil"/>
              <w:right w:val="nil"/>
            </w:tcBorders>
            <w:vAlign w:val="center"/>
          </w:tcPr>
          <w:p w14:paraId="6505A4C2" w14:textId="77777777" w:rsidR="00025C72" w:rsidRPr="006D631C" w:rsidRDefault="00025C72" w:rsidP="00185729">
            <w:pPr>
              <w:spacing w:line="240" w:lineRule="auto"/>
              <w:jc w:val="left"/>
              <w:rPr>
                <w:color w:val="000000"/>
                <w:sz w:val="12"/>
                <w:szCs w:val="12"/>
              </w:rPr>
            </w:pPr>
          </w:p>
        </w:tc>
        <w:tc>
          <w:tcPr>
            <w:tcW w:w="709" w:type="dxa"/>
            <w:tcBorders>
              <w:top w:val="single" w:sz="4" w:space="0" w:color="auto"/>
              <w:left w:val="nil"/>
              <w:bottom w:val="single" w:sz="4" w:space="0" w:color="auto"/>
              <w:right w:val="nil"/>
            </w:tcBorders>
            <w:shd w:val="clear" w:color="000000" w:fill="FFFFFF"/>
            <w:vAlign w:val="center"/>
          </w:tcPr>
          <w:p w14:paraId="248EA51B" w14:textId="76639DE8" w:rsidR="00025C72" w:rsidRPr="006D631C" w:rsidRDefault="00025C72" w:rsidP="00185729">
            <w:pPr>
              <w:spacing w:line="240" w:lineRule="auto"/>
              <w:jc w:val="left"/>
              <w:rPr>
                <w:color w:val="000000"/>
                <w:sz w:val="12"/>
                <w:szCs w:val="12"/>
              </w:rPr>
            </w:pPr>
            <w:r w:rsidRPr="006D631C">
              <w:rPr>
                <w:color w:val="000000"/>
                <w:sz w:val="12"/>
                <w:szCs w:val="12"/>
              </w:rPr>
              <w:t>-</w:t>
            </w:r>
          </w:p>
        </w:tc>
        <w:tc>
          <w:tcPr>
            <w:tcW w:w="708" w:type="dxa"/>
            <w:tcBorders>
              <w:top w:val="single" w:sz="4" w:space="0" w:color="auto"/>
              <w:left w:val="nil"/>
              <w:bottom w:val="single" w:sz="4" w:space="0" w:color="auto"/>
              <w:right w:val="nil"/>
            </w:tcBorders>
            <w:shd w:val="clear" w:color="000000" w:fill="FFFFFF"/>
            <w:vAlign w:val="center"/>
          </w:tcPr>
          <w:p w14:paraId="0F60D59A" w14:textId="53405F49" w:rsidR="00025C72" w:rsidRPr="006D631C" w:rsidRDefault="00025C72" w:rsidP="00185729">
            <w:pPr>
              <w:spacing w:line="240" w:lineRule="auto"/>
              <w:jc w:val="left"/>
              <w:rPr>
                <w:color w:val="000000"/>
                <w:sz w:val="12"/>
                <w:szCs w:val="12"/>
              </w:rPr>
            </w:pPr>
            <w:r w:rsidRPr="006D631C">
              <w:rPr>
                <w:color w:val="000000"/>
                <w:sz w:val="12"/>
                <w:szCs w:val="12"/>
              </w:rPr>
              <w:t>I-1</w:t>
            </w:r>
          </w:p>
        </w:tc>
        <w:tc>
          <w:tcPr>
            <w:tcW w:w="1276" w:type="dxa"/>
            <w:tcBorders>
              <w:top w:val="single" w:sz="4" w:space="0" w:color="auto"/>
              <w:left w:val="nil"/>
              <w:bottom w:val="single" w:sz="4" w:space="0" w:color="auto"/>
              <w:right w:val="nil"/>
            </w:tcBorders>
            <w:shd w:val="clear" w:color="000000" w:fill="FFFFFF"/>
            <w:noWrap/>
            <w:vAlign w:val="center"/>
          </w:tcPr>
          <w:p w14:paraId="10EF31CA" w14:textId="401B59C4" w:rsidR="00025C72" w:rsidRPr="006D631C" w:rsidRDefault="00025C72" w:rsidP="00185729">
            <w:pPr>
              <w:spacing w:line="240" w:lineRule="auto"/>
              <w:ind w:left="37"/>
              <w:jc w:val="left"/>
              <w:rPr>
                <w:color w:val="000000"/>
                <w:sz w:val="12"/>
                <w:szCs w:val="12"/>
              </w:rPr>
            </w:pPr>
            <w:r w:rsidRPr="006D631C">
              <w:rPr>
                <w:color w:val="000000"/>
                <w:sz w:val="12"/>
                <w:szCs w:val="12"/>
              </w:rPr>
              <w:t>25 - 73.5 (H</w:t>
            </w:r>
            <w:r w:rsidRPr="006D631C">
              <w:rPr>
                <w:color w:val="000000"/>
                <w:sz w:val="12"/>
                <w:szCs w:val="12"/>
                <w:vertAlign w:val="subscript"/>
              </w:rPr>
              <w:t>2</w:t>
            </w:r>
            <w:r w:rsidRPr="006D631C">
              <w:rPr>
                <w:color w:val="000000"/>
                <w:sz w:val="12"/>
                <w:szCs w:val="12"/>
              </w:rPr>
              <w:t>)</w:t>
            </w:r>
          </w:p>
        </w:tc>
        <w:tc>
          <w:tcPr>
            <w:tcW w:w="1418" w:type="dxa"/>
            <w:tcBorders>
              <w:top w:val="single" w:sz="4" w:space="0" w:color="auto"/>
              <w:left w:val="nil"/>
              <w:bottom w:val="single" w:sz="4" w:space="0" w:color="auto"/>
              <w:right w:val="nil"/>
            </w:tcBorders>
            <w:shd w:val="clear" w:color="000000" w:fill="FFFFFF"/>
            <w:vAlign w:val="center"/>
          </w:tcPr>
          <w:p w14:paraId="4355D8BE" w14:textId="03761928" w:rsidR="00025C72" w:rsidRPr="006D631C" w:rsidRDefault="00025C72" w:rsidP="00185729">
            <w:pPr>
              <w:spacing w:line="240" w:lineRule="auto"/>
              <w:jc w:val="left"/>
              <w:rPr>
                <w:color w:val="000000"/>
                <w:sz w:val="12"/>
                <w:szCs w:val="12"/>
              </w:rPr>
            </w:pPr>
            <w:r w:rsidRPr="006D631C">
              <w:rPr>
                <w:color w:val="000000"/>
                <w:sz w:val="12"/>
                <w:szCs w:val="12"/>
              </w:rPr>
              <w:t>Retention of the structure</w:t>
            </w:r>
          </w:p>
        </w:tc>
        <w:tc>
          <w:tcPr>
            <w:tcW w:w="1134" w:type="dxa"/>
            <w:tcBorders>
              <w:top w:val="single" w:sz="4" w:space="0" w:color="auto"/>
              <w:left w:val="nil"/>
              <w:bottom w:val="single" w:sz="4" w:space="0" w:color="auto"/>
              <w:right w:val="nil"/>
            </w:tcBorders>
            <w:shd w:val="clear" w:color="000000" w:fill="FFFFFF"/>
            <w:noWrap/>
            <w:vAlign w:val="center"/>
          </w:tcPr>
          <w:p w14:paraId="4F68BA01" w14:textId="3030FFD4" w:rsidR="00025C72" w:rsidRPr="006D631C" w:rsidRDefault="00025C72" w:rsidP="00185729">
            <w:pPr>
              <w:spacing w:line="240" w:lineRule="auto"/>
              <w:jc w:val="left"/>
              <w:rPr>
                <w:color w:val="000000"/>
                <w:sz w:val="12"/>
                <w:szCs w:val="12"/>
              </w:rPr>
            </w:pPr>
            <w:r w:rsidRPr="006D631C">
              <w:rPr>
                <w:color w:val="000000"/>
                <w:sz w:val="12"/>
                <w:szCs w:val="12"/>
              </w:rPr>
              <w:t xml:space="preserve">4.22 (at 13.8 </w:t>
            </w:r>
            <w:proofErr w:type="spellStart"/>
            <w:r w:rsidRPr="006D631C">
              <w:rPr>
                <w:color w:val="000000"/>
                <w:sz w:val="12"/>
                <w:szCs w:val="12"/>
              </w:rPr>
              <w:t>wt</w:t>
            </w:r>
            <w:proofErr w:type="spellEnd"/>
            <w:r w:rsidRPr="006D631C">
              <w:rPr>
                <w:color w:val="000000"/>
                <w:sz w:val="12"/>
                <w:szCs w:val="12"/>
              </w:rPr>
              <w:t>% BR)</w:t>
            </w:r>
          </w:p>
        </w:tc>
        <w:tc>
          <w:tcPr>
            <w:tcW w:w="1134" w:type="dxa"/>
            <w:tcBorders>
              <w:top w:val="single" w:sz="4" w:space="0" w:color="auto"/>
              <w:left w:val="nil"/>
              <w:bottom w:val="single" w:sz="4" w:space="0" w:color="auto"/>
              <w:right w:val="nil"/>
            </w:tcBorders>
            <w:shd w:val="clear" w:color="000000" w:fill="FFFFFF"/>
            <w:noWrap/>
            <w:vAlign w:val="center"/>
          </w:tcPr>
          <w:p w14:paraId="7FB48F0D" w14:textId="62D3418E" w:rsidR="00025C72" w:rsidRPr="006D631C" w:rsidRDefault="00025C72" w:rsidP="00185729">
            <w:pPr>
              <w:spacing w:line="240" w:lineRule="auto"/>
              <w:jc w:val="left"/>
              <w:rPr>
                <w:color w:val="000000"/>
                <w:sz w:val="12"/>
                <w:szCs w:val="12"/>
              </w:rPr>
            </w:pPr>
            <w:r w:rsidRPr="006D631C">
              <w:rPr>
                <w:color w:val="000000"/>
                <w:sz w:val="12"/>
                <w:szCs w:val="12"/>
              </w:rPr>
              <w:t>4.1</w:t>
            </w:r>
          </w:p>
        </w:tc>
        <w:tc>
          <w:tcPr>
            <w:tcW w:w="5244" w:type="dxa"/>
            <w:tcBorders>
              <w:top w:val="single" w:sz="4" w:space="0" w:color="auto"/>
              <w:left w:val="nil"/>
              <w:bottom w:val="single" w:sz="4" w:space="0" w:color="auto"/>
              <w:right w:val="nil"/>
            </w:tcBorders>
            <w:shd w:val="clear" w:color="auto" w:fill="auto"/>
            <w:vAlign w:val="center"/>
          </w:tcPr>
          <w:p w14:paraId="37C59E3A" w14:textId="77777777" w:rsidR="00025C72" w:rsidRPr="006D631C" w:rsidRDefault="00025C72" w:rsidP="00185729">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H</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xml:space="preserve"> structure was achieved when up to 75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BR was used</w:t>
            </w:r>
          </w:p>
          <w:p w14:paraId="540DD1A0" w14:textId="77777777" w:rsidR="00025C72" w:rsidRPr="006D631C" w:rsidRDefault="00025C72" w:rsidP="00185729">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 xml:space="preserve">BR solution in </w:t>
            </w:r>
            <w:r w:rsidRPr="006D631C">
              <w:rPr>
                <w:rFonts w:eastAsia="Times New Roman" w:cs="Times New Roman"/>
                <w:i/>
                <w:iCs/>
                <w:color w:val="000000"/>
                <w:sz w:val="12"/>
                <w:szCs w:val="12"/>
              </w:rPr>
              <w:t>n</w:t>
            </w:r>
            <w:r w:rsidRPr="006D631C">
              <w:rPr>
                <w:rFonts w:eastAsia="Times New Roman" w:cs="Times New Roman"/>
                <w:color w:val="000000"/>
                <w:sz w:val="12"/>
                <w:szCs w:val="12"/>
              </w:rPr>
              <w:t>-hexane was used for blending</w:t>
            </w:r>
          </w:p>
          <w:p w14:paraId="658429FF" w14:textId="77777777" w:rsidR="00025C72" w:rsidRPr="006D631C" w:rsidRDefault="00025C72" w:rsidP="008E1C0A">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The obtained membrane of polyLLC/BR composite resulted in water vapor flux of 438 g m</w:t>
            </w:r>
            <w:r w:rsidRPr="006D631C">
              <w:rPr>
                <w:rFonts w:eastAsia="Times New Roman" w:cs="Times New Roman"/>
                <w:color w:val="000000"/>
                <w:sz w:val="12"/>
                <w:szCs w:val="12"/>
                <w:vertAlign w:val="superscript"/>
              </w:rPr>
              <w:t>-2</w:t>
            </w:r>
            <w:r w:rsidRPr="006D631C">
              <w:rPr>
                <w:rFonts w:eastAsia="Times New Roman" w:cs="Times New Roman"/>
                <w:color w:val="000000"/>
                <w:sz w:val="12"/>
                <w:szCs w:val="12"/>
              </w:rPr>
              <w:t xml:space="preserve"> day</w:t>
            </w:r>
          </w:p>
          <w:p w14:paraId="4CE0EBFE" w14:textId="5E5EE51E" w:rsidR="00025C72" w:rsidRPr="006D631C" w:rsidRDefault="00025C72" w:rsidP="008E1C0A">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Additional BR phase vulcanization step was used to improve CEES rejection</w:t>
            </w:r>
          </w:p>
        </w:tc>
        <w:tc>
          <w:tcPr>
            <w:tcW w:w="426" w:type="dxa"/>
            <w:tcBorders>
              <w:top w:val="single" w:sz="4" w:space="0" w:color="auto"/>
              <w:left w:val="nil"/>
              <w:bottom w:val="single" w:sz="4" w:space="0" w:color="auto"/>
              <w:right w:val="nil"/>
            </w:tcBorders>
            <w:shd w:val="clear" w:color="000000" w:fill="FFFFFF"/>
            <w:vAlign w:val="center"/>
          </w:tcPr>
          <w:p w14:paraId="6BCA5C4B" w14:textId="784F4ED1" w:rsidR="00025C72" w:rsidRPr="006D631C" w:rsidRDefault="00025C72" w:rsidP="00DD3903">
            <w:pPr>
              <w:spacing w:line="240" w:lineRule="auto"/>
              <w:ind w:right="-245"/>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{"citationItems":[{"id":"ITEM-1","itemData":{"DOI":"10.1021/cm040342u","ISSN":"08974756","abstract":"A lyotropic liquid crystal (LLC) monomer was successfully blended and cross-linked with commercial butyl rubber (BR) to afford ordered, nanoporous polymer composites. These materials retain much of the excellent chemical resistance of BR but also provide a measure of water vapor permeability, which is lacking in pure BR materials but essential for protective garment applications.","author":[{"dropping-particle":"","family":"Jin","given":"Jizhu","non-dropping-particle":"","parse-names":false,"suffix":""},{"dropping-particle":"","family":"Nguyen","given":"Vinh","non-dropping-particle":"","parse-names":false,"suffix":""},{"dropping-particle":"","family":"Gu","given":"Weiqiang","non-dropping-particle":"","parse-names":false,"suffix":""},{"dropping-particle":"","family":"Lu","given":"Xiaoyun","non-dropping-particle":"","parse-names":false,"suffix":""},{"dropping-particle":"","family":"Elliott","given":"Brian J.","non-dropping-particle":"","parse-names":false,"suffix":""},{"dropping-particle":"","family":"Gin","given":"Douglas L.","non-dropping-particle":"","parse-names":false,"suffix":""}],"container-title":"Chemistry of Materials","id":"ITEM-1","issue":"2","issued":{"date-parts":[["2005"]]},"page":"224-226","title":"Cross-linked lyotropic liquid crystal-butyl rubber composites: Promising \"breathable\" barrier materials for chemical protection applications","type":"article-journal","volume":"17"},"uris":["http://www.mendeley.com/documents/?uuid=3bf1dae8-032c-42ef-b5bc-d44216d9d282"]}],"mendeley":{"formattedCitation":"&lt;sup&gt;92&lt;/sup&gt;","plainTextFormattedCitation":"92","previouslyFormattedCitation":"&lt;sup&gt;92&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92</w:t>
            </w:r>
            <w:r w:rsidRPr="006D631C">
              <w:rPr>
                <w:color w:val="000000"/>
                <w:sz w:val="12"/>
                <w:szCs w:val="12"/>
              </w:rPr>
              <w:fldChar w:fldCharType="end"/>
            </w:r>
          </w:p>
        </w:tc>
      </w:tr>
      <w:tr w:rsidR="00025C72" w:rsidRPr="006D631C" w14:paraId="300ECF44" w14:textId="77777777" w:rsidTr="007D350B">
        <w:trPr>
          <w:trHeight w:val="20"/>
          <w:jc w:val="center"/>
        </w:trPr>
        <w:tc>
          <w:tcPr>
            <w:tcW w:w="851" w:type="dxa"/>
            <w:vMerge/>
            <w:tcBorders>
              <w:left w:val="nil"/>
              <w:right w:val="nil"/>
            </w:tcBorders>
            <w:vAlign w:val="center"/>
          </w:tcPr>
          <w:p w14:paraId="2850DD6B" w14:textId="77777777" w:rsidR="00025C72" w:rsidRPr="006D631C" w:rsidRDefault="00025C72" w:rsidP="001E099D">
            <w:pPr>
              <w:spacing w:line="240" w:lineRule="auto"/>
              <w:jc w:val="left"/>
              <w:rPr>
                <w:color w:val="000000"/>
                <w:sz w:val="12"/>
                <w:szCs w:val="12"/>
              </w:rPr>
            </w:pPr>
          </w:p>
        </w:tc>
        <w:tc>
          <w:tcPr>
            <w:tcW w:w="709" w:type="dxa"/>
            <w:tcBorders>
              <w:top w:val="single" w:sz="4" w:space="0" w:color="auto"/>
              <w:left w:val="nil"/>
              <w:bottom w:val="single" w:sz="4" w:space="0" w:color="auto"/>
              <w:right w:val="nil"/>
            </w:tcBorders>
            <w:shd w:val="clear" w:color="000000" w:fill="FFFFFF"/>
            <w:vAlign w:val="center"/>
          </w:tcPr>
          <w:p w14:paraId="414B2079" w14:textId="0072B81F" w:rsidR="00025C72" w:rsidRPr="006D631C" w:rsidRDefault="00025C72" w:rsidP="001E099D">
            <w:pPr>
              <w:spacing w:line="240" w:lineRule="auto"/>
              <w:jc w:val="left"/>
              <w:rPr>
                <w:color w:val="000000"/>
                <w:sz w:val="12"/>
                <w:szCs w:val="12"/>
              </w:rPr>
            </w:pPr>
            <w:r w:rsidRPr="006D631C">
              <w:rPr>
                <w:color w:val="000000"/>
                <w:sz w:val="12"/>
                <w:szCs w:val="12"/>
              </w:rPr>
              <w:t>-</w:t>
            </w:r>
          </w:p>
        </w:tc>
        <w:tc>
          <w:tcPr>
            <w:tcW w:w="708" w:type="dxa"/>
            <w:tcBorders>
              <w:top w:val="single" w:sz="4" w:space="0" w:color="auto"/>
              <w:left w:val="nil"/>
              <w:bottom w:val="single" w:sz="4" w:space="0" w:color="auto"/>
              <w:right w:val="nil"/>
            </w:tcBorders>
            <w:shd w:val="clear" w:color="000000" w:fill="FFFFFF"/>
            <w:vAlign w:val="center"/>
          </w:tcPr>
          <w:p w14:paraId="7A298A2F" w14:textId="4C0E1E4E" w:rsidR="00025C72" w:rsidRPr="006D631C" w:rsidRDefault="00025C72" w:rsidP="001E099D">
            <w:pPr>
              <w:spacing w:line="240" w:lineRule="auto"/>
              <w:jc w:val="left"/>
              <w:rPr>
                <w:color w:val="000000"/>
                <w:sz w:val="12"/>
                <w:szCs w:val="12"/>
              </w:rPr>
            </w:pPr>
            <w:r w:rsidRPr="006D631C">
              <w:rPr>
                <w:color w:val="000000"/>
                <w:sz w:val="12"/>
                <w:szCs w:val="12"/>
              </w:rPr>
              <w:t>I-1</w:t>
            </w:r>
          </w:p>
        </w:tc>
        <w:tc>
          <w:tcPr>
            <w:tcW w:w="1276" w:type="dxa"/>
            <w:tcBorders>
              <w:top w:val="single" w:sz="4" w:space="0" w:color="auto"/>
              <w:left w:val="nil"/>
              <w:bottom w:val="single" w:sz="4" w:space="0" w:color="auto"/>
              <w:right w:val="nil"/>
            </w:tcBorders>
            <w:shd w:val="clear" w:color="000000" w:fill="FFFFFF"/>
            <w:noWrap/>
            <w:vAlign w:val="center"/>
          </w:tcPr>
          <w:p w14:paraId="26A7312D" w14:textId="1893BBDE" w:rsidR="00025C72" w:rsidRPr="006D631C" w:rsidRDefault="00025C72" w:rsidP="001E099D">
            <w:pPr>
              <w:spacing w:line="240" w:lineRule="auto"/>
              <w:ind w:left="37"/>
              <w:jc w:val="left"/>
              <w:rPr>
                <w:color w:val="000000"/>
                <w:sz w:val="12"/>
                <w:szCs w:val="12"/>
              </w:rPr>
            </w:pPr>
            <w:r w:rsidRPr="006D631C">
              <w:rPr>
                <w:color w:val="000000"/>
                <w:sz w:val="12"/>
                <w:szCs w:val="12"/>
              </w:rPr>
              <w:t>80 (H</w:t>
            </w:r>
            <w:r w:rsidRPr="006D631C">
              <w:rPr>
                <w:color w:val="000000"/>
                <w:sz w:val="12"/>
                <w:szCs w:val="12"/>
                <w:vertAlign w:val="subscript"/>
              </w:rPr>
              <w:t>2</w:t>
            </w:r>
            <w:r w:rsidRPr="006D631C">
              <w:rPr>
                <w:color w:val="000000"/>
                <w:sz w:val="12"/>
                <w:szCs w:val="12"/>
              </w:rPr>
              <w:t>)</w:t>
            </w:r>
          </w:p>
        </w:tc>
        <w:tc>
          <w:tcPr>
            <w:tcW w:w="1418" w:type="dxa"/>
            <w:tcBorders>
              <w:top w:val="single" w:sz="4" w:space="0" w:color="auto"/>
              <w:left w:val="nil"/>
              <w:bottom w:val="single" w:sz="4" w:space="0" w:color="auto"/>
              <w:right w:val="nil"/>
            </w:tcBorders>
            <w:shd w:val="clear" w:color="000000" w:fill="FFFFFF"/>
            <w:vAlign w:val="center"/>
          </w:tcPr>
          <w:p w14:paraId="771647D0" w14:textId="36497CFE" w:rsidR="00025C72" w:rsidRPr="006D631C" w:rsidRDefault="00025C72" w:rsidP="001E099D">
            <w:pPr>
              <w:spacing w:line="240" w:lineRule="auto"/>
              <w:jc w:val="left"/>
              <w:rPr>
                <w:color w:val="000000"/>
                <w:sz w:val="12"/>
                <w:szCs w:val="12"/>
              </w:rPr>
            </w:pPr>
            <w:r w:rsidRPr="006D631C">
              <w:rPr>
                <w:color w:val="000000"/>
                <w:sz w:val="12"/>
                <w:szCs w:val="12"/>
              </w:rPr>
              <w:t>Retention of the structure</w:t>
            </w:r>
          </w:p>
        </w:tc>
        <w:tc>
          <w:tcPr>
            <w:tcW w:w="1134" w:type="dxa"/>
            <w:tcBorders>
              <w:top w:val="single" w:sz="4" w:space="0" w:color="auto"/>
              <w:left w:val="nil"/>
              <w:bottom w:val="single" w:sz="4" w:space="0" w:color="auto"/>
              <w:right w:val="nil"/>
            </w:tcBorders>
            <w:shd w:val="clear" w:color="000000" w:fill="FFFFFF"/>
            <w:noWrap/>
            <w:vAlign w:val="center"/>
          </w:tcPr>
          <w:p w14:paraId="2CCDE6CE" w14:textId="43D1E9A7" w:rsidR="00025C72" w:rsidRPr="006D631C" w:rsidRDefault="00025C72" w:rsidP="001E099D">
            <w:pPr>
              <w:spacing w:line="240" w:lineRule="auto"/>
              <w:jc w:val="left"/>
              <w:rPr>
                <w:color w:val="000000"/>
                <w:sz w:val="12"/>
                <w:szCs w:val="12"/>
              </w:rPr>
            </w:pPr>
            <w:r w:rsidRPr="006D631C">
              <w:rPr>
                <w:color w:val="000000"/>
                <w:sz w:val="10"/>
                <w:szCs w:val="10"/>
              </w:rPr>
              <w:t>-</w:t>
            </w:r>
          </w:p>
        </w:tc>
        <w:tc>
          <w:tcPr>
            <w:tcW w:w="1134" w:type="dxa"/>
            <w:tcBorders>
              <w:top w:val="single" w:sz="4" w:space="0" w:color="auto"/>
              <w:left w:val="nil"/>
              <w:bottom w:val="single" w:sz="4" w:space="0" w:color="auto"/>
              <w:right w:val="nil"/>
            </w:tcBorders>
            <w:shd w:val="clear" w:color="000000" w:fill="FFFFFF"/>
            <w:noWrap/>
            <w:vAlign w:val="center"/>
          </w:tcPr>
          <w:p w14:paraId="721C4A92" w14:textId="66FD8FD8" w:rsidR="00025C72" w:rsidRPr="006D631C" w:rsidRDefault="00025C72" w:rsidP="001E099D">
            <w:pPr>
              <w:spacing w:line="240" w:lineRule="auto"/>
              <w:jc w:val="left"/>
              <w:rPr>
                <w:color w:val="000000"/>
                <w:sz w:val="12"/>
                <w:szCs w:val="12"/>
              </w:rPr>
            </w:pPr>
            <w:r w:rsidRPr="006D631C">
              <w:rPr>
                <w:color w:val="000000"/>
                <w:sz w:val="10"/>
                <w:szCs w:val="10"/>
              </w:rPr>
              <w:t>4.03</w:t>
            </w:r>
          </w:p>
        </w:tc>
        <w:tc>
          <w:tcPr>
            <w:tcW w:w="5244" w:type="dxa"/>
            <w:tcBorders>
              <w:top w:val="single" w:sz="4" w:space="0" w:color="auto"/>
              <w:left w:val="nil"/>
              <w:bottom w:val="single" w:sz="4" w:space="0" w:color="auto"/>
              <w:right w:val="nil"/>
            </w:tcBorders>
            <w:shd w:val="clear" w:color="auto" w:fill="auto"/>
            <w:vAlign w:val="center"/>
          </w:tcPr>
          <w:p w14:paraId="4265A5CB" w14:textId="4EEA0543" w:rsidR="00025C72" w:rsidRPr="006D631C" w:rsidRDefault="00025C72" w:rsidP="001E099D">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The membrane of the polymerized LLC  significantly influenced the solubility of CO</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xml:space="preserve"> and retarded the diffusion for all gases</w:t>
            </w:r>
          </w:p>
        </w:tc>
        <w:tc>
          <w:tcPr>
            <w:tcW w:w="426" w:type="dxa"/>
            <w:tcBorders>
              <w:top w:val="nil"/>
              <w:left w:val="nil"/>
              <w:bottom w:val="single" w:sz="4" w:space="0" w:color="auto"/>
              <w:right w:val="nil"/>
            </w:tcBorders>
            <w:shd w:val="clear" w:color="000000" w:fill="FFFFFF"/>
            <w:vAlign w:val="center"/>
          </w:tcPr>
          <w:p w14:paraId="5096462B" w14:textId="1D2AA57F" w:rsidR="00025C72" w:rsidRPr="006D631C" w:rsidRDefault="00025C72" w:rsidP="00DD3903">
            <w:pPr>
              <w:spacing w:line="240" w:lineRule="auto"/>
              <w:ind w:right="-245"/>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{"citationItems":[{"id":"ITEM-1","itemData":{"DOI":"10.1016/j.memsci.2006.09.023","ISSN":"03767388","abstract":"Novel, nanostructured lyotropic liquid crystal polymer membranes were fabricated, characterized and tested for their performance in separations involving CO2, N2, O2, CH4 and H2. Freestanding, cross-linked films with and without an ordered hexagonal nanostructure, but with the same chemical composition, exhibit different gas solubility, diffusion and permeability properties. The presence of an ordered nanostructure was observed to slow diffusion of all gases, but increase solubility and permselectivity in CO2-based separations. In systems with an ordered nanostructure, CO2 permeability was 5.2 Barrers and CO2/N2 separation selectivity was 27. For membranes with the same chemical composition, but lacking an ordered hexagonal nanostructure, permeability rose slightly to 6.9 Barrers, but CO2/N2 separation selectivity dropped to 21. A similar trend was also observed for CO2/CH4 separation. In separations with gases other than CO2, no permselectivity differences were observed between the two membranes. A model explaining these trends is also presented. © 2006 Elsevier B.V. All rights reserved.","author":[{"dropping-particle":"","family":"Bara","given":"Jason E.","non-dropping-particle":"","parse-names":false,"suffix":""},{"dropping-particle":"","family":"Kaminski","given":"Alice K.","non-dropping-particle":"","parse-names":false,"suffix":""},{"dropping-particle":"","family":"Noble","given":"Richard D.","non-dropping-particle":"","parse-names":false,"suffix":""},{"dropping-particle":"","family":"Gin","given":"Douglas L.","non-dropping-particle":"","parse-names":false,"suffix":""}],"container-title":"Journal of Membrane Science","id":"ITEM-1","issue":"1-2","issued":{"date-parts":[["2007"]]},"page":"13-19","title":"Influence of nanostructure on light gas separations in cross-linked lyotropic liquid crystal membranes","type":"article-journal","volume":"288"},"uris":["http://www.mendeley.com/documents/?uuid=b2e9b6f2-e9fb-47ad-8622-56cd70886b30"]}],"mendeley":{"formattedCitation":"&lt;sup&gt;94&lt;/sup&gt;","plainTextFormattedCitation":"94","previouslyFormattedCitation":"&lt;sup&gt;94&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94</w:t>
            </w:r>
            <w:r w:rsidRPr="006D631C">
              <w:rPr>
                <w:color w:val="000000"/>
                <w:sz w:val="12"/>
                <w:szCs w:val="12"/>
              </w:rPr>
              <w:fldChar w:fldCharType="end"/>
            </w:r>
          </w:p>
        </w:tc>
      </w:tr>
      <w:tr w:rsidR="00025C72" w:rsidRPr="006D631C" w14:paraId="77E409F6" w14:textId="77777777" w:rsidTr="007D350B">
        <w:trPr>
          <w:trHeight w:val="20"/>
          <w:jc w:val="center"/>
        </w:trPr>
        <w:tc>
          <w:tcPr>
            <w:tcW w:w="851" w:type="dxa"/>
            <w:vMerge/>
            <w:tcBorders>
              <w:left w:val="nil"/>
              <w:bottom w:val="single" w:sz="4" w:space="0" w:color="auto"/>
              <w:right w:val="nil"/>
            </w:tcBorders>
            <w:vAlign w:val="center"/>
          </w:tcPr>
          <w:p w14:paraId="3F18BC88" w14:textId="77777777" w:rsidR="00025C72" w:rsidRPr="006D631C" w:rsidRDefault="00025C72" w:rsidP="001E099D">
            <w:pPr>
              <w:spacing w:line="240" w:lineRule="auto"/>
              <w:jc w:val="left"/>
              <w:rPr>
                <w:color w:val="000000"/>
                <w:sz w:val="12"/>
                <w:szCs w:val="12"/>
              </w:rPr>
            </w:pPr>
          </w:p>
        </w:tc>
        <w:tc>
          <w:tcPr>
            <w:tcW w:w="709" w:type="dxa"/>
            <w:tcBorders>
              <w:top w:val="single" w:sz="4" w:space="0" w:color="auto"/>
              <w:left w:val="nil"/>
              <w:bottom w:val="single" w:sz="4" w:space="0" w:color="auto"/>
              <w:right w:val="nil"/>
            </w:tcBorders>
            <w:shd w:val="clear" w:color="000000" w:fill="FFFFFF"/>
            <w:vAlign w:val="center"/>
          </w:tcPr>
          <w:p w14:paraId="3305861F" w14:textId="42F1D111" w:rsidR="00025C72" w:rsidRPr="006D631C" w:rsidRDefault="00025C72" w:rsidP="001E099D">
            <w:pPr>
              <w:spacing w:line="240" w:lineRule="auto"/>
              <w:jc w:val="left"/>
              <w:rPr>
                <w:color w:val="000000"/>
                <w:sz w:val="12"/>
                <w:szCs w:val="12"/>
              </w:rPr>
            </w:pPr>
            <w:r w:rsidRPr="006D631C">
              <w:rPr>
                <w:color w:val="000000"/>
                <w:sz w:val="12"/>
                <w:szCs w:val="12"/>
              </w:rPr>
              <w:t>-</w:t>
            </w:r>
          </w:p>
        </w:tc>
        <w:tc>
          <w:tcPr>
            <w:tcW w:w="708" w:type="dxa"/>
            <w:tcBorders>
              <w:top w:val="single" w:sz="4" w:space="0" w:color="auto"/>
              <w:left w:val="nil"/>
              <w:bottom w:val="single" w:sz="4" w:space="0" w:color="auto"/>
              <w:right w:val="nil"/>
            </w:tcBorders>
            <w:shd w:val="clear" w:color="000000" w:fill="FFFFFF"/>
            <w:vAlign w:val="center"/>
          </w:tcPr>
          <w:p w14:paraId="75F72F7F" w14:textId="51EE5D6E" w:rsidR="00025C72" w:rsidRPr="006D631C" w:rsidRDefault="00025C72" w:rsidP="001E099D">
            <w:pPr>
              <w:spacing w:line="240" w:lineRule="auto"/>
              <w:jc w:val="left"/>
              <w:rPr>
                <w:color w:val="000000"/>
                <w:sz w:val="12"/>
                <w:szCs w:val="12"/>
              </w:rPr>
            </w:pPr>
            <w:r w:rsidRPr="006D631C">
              <w:rPr>
                <w:color w:val="000000"/>
                <w:sz w:val="12"/>
                <w:szCs w:val="12"/>
              </w:rPr>
              <w:t>I-4</w:t>
            </w:r>
          </w:p>
        </w:tc>
        <w:tc>
          <w:tcPr>
            <w:tcW w:w="1276" w:type="dxa"/>
            <w:tcBorders>
              <w:top w:val="single" w:sz="4" w:space="0" w:color="auto"/>
              <w:left w:val="nil"/>
              <w:bottom w:val="single" w:sz="4" w:space="0" w:color="auto"/>
              <w:right w:val="nil"/>
            </w:tcBorders>
            <w:shd w:val="clear" w:color="000000" w:fill="FFFFFF"/>
            <w:noWrap/>
            <w:vAlign w:val="center"/>
          </w:tcPr>
          <w:p w14:paraId="26E60BFB" w14:textId="6C180CC4" w:rsidR="00025C72" w:rsidRPr="006D631C" w:rsidRDefault="00025C72" w:rsidP="001E099D">
            <w:pPr>
              <w:spacing w:line="240" w:lineRule="auto"/>
              <w:ind w:left="37"/>
              <w:jc w:val="left"/>
              <w:rPr>
                <w:color w:val="000000"/>
                <w:sz w:val="12"/>
                <w:szCs w:val="12"/>
              </w:rPr>
            </w:pPr>
            <w:r w:rsidRPr="006D631C">
              <w:rPr>
                <w:color w:val="000000"/>
                <w:sz w:val="12"/>
                <w:szCs w:val="12"/>
              </w:rPr>
              <w:t>88.5 (H</w:t>
            </w:r>
            <w:r w:rsidRPr="006D631C">
              <w:rPr>
                <w:color w:val="000000"/>
                <w:sz w:val="12"/>
                <w:szCs w:val="12"/>
                <w:vertAlign w:val="subscript"/>
              </w:rPr>
              <w:t>2</w:t>
            </w:r>
            <w:r w:rsidRPr="006D631C">
              <w:rPr>
                <w:color w:val="000000"/>
                <w:sz w:val="12"/>
                <w:szCs w:val="12"/>
              </w:rPr>
              <w:t>)</w:t>
            </w:r>
          </w:p>
        </w:tc>
        <w:tc>
          <w:tcPr>
            <w:tcW w:w="1418" w:type="dxa"/>
            <w:tcBorders>
              <w:top w:val="single" w:sz="4" w:space="0" w:color="auto"/>
              <w:left w:val="nil"/>
              <w:bottom w:val="single" w:sz="4" w:space="0" w:color="auto"/>
              <w:right w:val="nil"/>
            </w:tcBorders>
            <w:shd w:val="clear" w:color="000000" w:fill="FFFFFF"/>
            <w:vAlign w:val="center"/>
          </w:tcPr>
          <w:p w14:paraId="626664F0" w14:textId="6B81B337" w:rsidR="00025C72" w:rsidRPr="006D631C" w:rsidRDefault="00025C72" w:rsidP="001E099D">
            <w:pPr>
              <w:spacing w:line="240" w:lineRule="auto"/>
              <w:jc w:val="left"/>
              <w:rPr>
                <w:color w:val="000000"/>
                <w:sz w:val="12"/>
                <w:szCs w:val="12"/>
              </w:rPr>
            </w:pPr>
            <w:r w:rsidRPr="006D631C">
              <w:rPr>
                <w:color w:val="000000"/>
                <w:sz w:val="12"/>
                <w:szCs w:val="12"/>
              </w:rPr>
              <w:t>Retention of the structure</w:t>
            </w:r>
          </w:p>
        </w:tc>
        <w:tc>
          <w:tcPr>
            <w:tcW w:w="1134" w:type="dxa"/>
            <w:tcBorders>
              <w:top w:val="single" w:sz="4" w:space="0" w:color="auto"/>
              <w:left w:val="nil"/>
              <w:bottom w:val="single" w:sz="4" w:space="0" w:color="auto"/>
              <w:right w:val="nil"/>
            </w:tcBorders>
            <w:shd w:val="clear" w:color="000000" w:fill="FFFFFF"/>
            <w:noWrap/>
            <w:vAlign w:val="center"/>
          </w:tcPr>
          <w:p w14:paraId="0D3B3357" w14:textId="6FF75DD8" w:rsidR="00025C72" w:rsidRPr="006D631C" w:rsidRDefault="00025C72" w:rsidP="001E099D">
            <w:pPr>
              <w:spacing w:line="240" w:lineRule="auto"/>
              <w:jc w:val="left"/>
              <w:rPr>
                <w:color w:val="000000"/>
                <w:sz w:val="12"/>
                <w:szCs w:val="12"/>
              </w:rPr>
            </w:pPr>
            <w:r w:rsidRPr="006D631C">
              <w:rPr>
                <w:color w:val="000000"/>
                <w:sz w:val="12"/>
                <w:szCs w:val="12"/>
              </w:rPr>
              <w:t>-</w:t>
            </w:r>
          </w:p>
        </w:tc>
        <w:tc>
          <w:tcPr>
            <w:tcW w:w="1134" w:type="dxa"/>
            <w:tcBorders>
              <w:top w:val="single" w:sz="4" w:space="0" w:color="auto"/>
              <w:left w:val="nil"/>
              <w:bottom w:val="single" w:sz="4" w:space="0" w:color="auto"/>
              <w:right w:val="nil"/>
            </w:tcBorders>
            <w:shd w:val="clear" w:color="000000" w:fill="FFFFFF"/>
            <w:noWrap/>
            <w:vAlign w:val="center"/>
          </w:tcPr>
          <w:p w14:paraId="332D5684" w14:textId="7FD82BDD" w:rsidR="00025C72" w:rsidRPr="006D631C" w:rsidRDefault="00025C72" w:rsidP="001E099D">
            <w:pPr>
              <w:spacing w:line="240" w:lineRule="auto"/>
              <w:jc w:val="left"/>
              <w:rPr>
                <w:color w:val="000000"/>
                <w:sz w:val="12"/>
                <w:szCs w:val="12"/>
              </w:rPr>
            </w:pPr>
            <w:r w:rsidRPr="006D631C">
              <w:rPr>
                <w:color w:val="000000"/>
                <w:sz w:val="12"/>
                <w:szCs w:val="12"/>
              </w:rPr>
              <w:t>-</w:t>
            </w:r>
          </w:p>
        </w:tc>
        <w:tc>
          <w:tcPr>
            <w:tcW w:w="5244" w:type="dxa"/>
            <w:tcBorders>
              <w:top w:val="single" w:sz="4" w:space="0" w:color="auto"/>
              <w:left w:val="nil"/>
              <w:bottom w:val="single" w:sz="4" w:space="0" w:color="auto"/>
              <w:right w:val="nil"/>
            </w:tcBorders>
            <w:shd w:val="clear" w:color="auto" w:fill="auto"/>
            <w:vAlign w:val="center"/>
          </w:tcPr>
          <w:p w14:paraId="0FF24268" w14:textId="77777777" w:rsidR="00025C72" w:rsidRPr="006D631C" w:rsidRDefault="00025C72" w:rsidP="001E099D">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 xml:space="preserve">Magnetic field was used to successfully align the </w:t>
            </w:r>
            <w:proofErr w:type="spellStart"/>
            <w:r w:rsidRPr="006D631C">
              <w:rPr>
                <w:rFonts w:eastAsia="Times New Roman" w:cs="Times New Roman"/>
                <w:color w:val="000000"/>
                <w:sz w:val="12"/>
                <w:szCs w:val="12"/>
              </w:rPr>
              <w:t>nano</w:t>
            </w:r>
            <w:proofErr w:type="spellEnd"/>
            <w:r w:rsidRPr="006D631C">
              <w:rPr>
                <w:rFonts w:eastAsia="Times New Roman" w:cs="Times New Roman"/>
                <w:color w:val="000000"/>
                <w:sz w:val="12"/>
                <w:szCs w:val="12"/>
              </w:rPr>
              <w:t>-channels before polymerization</w:t>
            </w:r>
          </w:p>
          <w:p w14:paraId="6D5CCB7C" w14:textId="1F61FF50" w:rsidR="00025C72" w:rsidRPr="006D631C" w:rsidRDefault="00025C72" w:rsidP="001E099D">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 xml:space="preserve">8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of M-4 was also used as the oil phase in LLC</w:t>
            </w:r>
          </w:p>
        </w:tc>
        <w:tc>
          <w:tcPr>
            <w:tcW w:w="426" w:type="dxa"/>
            <w:tcBorders>
              <w:top w:val="nil"/>
              <w:left w:val="nil"/>
              <w:bottom w:val="single" w:sz="4" w:space="0" w:color="auto"/>
              <w:right w:val="nil"/>
            </w:tcBorders>
            <w:shd w:val="clear" w:color="000000" w:fill="FFFFFF"/>
            <w:vAlign w:val="center"/>
          </w:tcPr>
          <w:p w14:paraId="1BF74378" w14:textId="5F3F900A" w:rsidR="00025C72" w:rsidRPr="006D631C" w:rsidRDefault="00025C72" w:rsidP="000B67AC">
            <w:pPr>
              <w:spacing w:line="240" w:lineRule="auto"/>
              <w:ind w:right="-245"/>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{"citationItems":[{"id":"ITEM-1","itemData":{"DOI":"10.1021/nn505037b","ISSN":"1936086X","abstract":"There is long-standing interest in developing membranes possessing uniform pores with dimensions in the range of 1 nm and physical continuity in the macroscopic transport direction to meet the needs of challenging small molecule and ionic separations. Here we report facile, scalabe fabrication of polymer membranes with vertically (i.e., along the through-plane direction) aligned 1 nm pores by magnetic-field alignment and subsequent cross-linking of a liquid crystalline mesophase. We utilize a wedge-shaped amphiphilic species as the building block of a thermotropic columnar mesophase with 1 nm ionic nanochannels, and leverage the magnetic anisotropy of the amphiphile to control the alignment of these pores with a magnetic field. In situ X-ray scattering and subsequent optical microscopy reveal the formation of highly ordered nanostructured mesophases and cross-linked polymer films with orientational order parameters of ca. 0.95. High-resolution transmission electron microscopy (TEM) imaging provides direct visualization of long-range persistence of vertically aligned, hexagonally packed nanopores in unprecedented detail, demonstrating high-fidelity retention of structure and alignment after photo-cross-linking. Ionic conductivity measurements on the aligned membranes show a remarkable 85-fold enhancement of conductivity over nonaligned samples. These results provide a path to achieving the large area control of morphology and related enhancement of properties required for high-performance membranes and other applications.","author":[{"dropping-particle":"","family":"Feng","given":"Xunda","non-dropping-particle":"","parse-names":false,"suffix":""},{"dropping-particle":"","family":"Tousley","given":"Marissa E.","non-dropping-particle":"","parse-names":false,"suffix":""},{"dropping-particle":"","family":"Cowan","given":"Matthew G.","non-dropping-particle":"","parse-names":false,"suffix":""},{"dropping-particle":"","family":"Wiesenauer","given":"Brian R.","non-dropping-particle":"","parse-names":false,"suffix":""},{"dropping-particle":"","family":"Nejati","given":"Siamak","non-dropping-particle":"","parse-names":false,"suffix":""},{"dropping-particle":"","family":"Choo","given":"Youngwoo","non-dropping-particle":"","parse-names":false,"suffix":""},{"dropping-particle":"","family":"Noble","given":"Richard D.","non-dropping-particle":"","parse-names":false,"suffix":""},{"dropping-particle":"","family":"Elimelech","given":"Menachem","non-dropping-particle":"","parse-names":false,"suffix":""},{"dropping-particle":"","family":"Gin","given":"Douglas L.","non-dropping-particle":"","parse-names":false,"suffix":""},{"dropping-particle":"","family":"Osuji","given":"Chinedum O.","non-dropping-particle":"","parse-names":false,"suffix":""}],"container-title":"ACS Nano","id":"ITEM-1","issue":"12","issued":{"date-parts":[["2014"]]},"page":"11977-11986","title":"Scalable fabrication of polymer membranes with vertically aligned 1 nm pores by magnetic field directed self-Assembly","type":"article-journal","volume":"8"},"uris":["http://www.mendeley.com/documents/?uuid=fa351a77-eb4a-4a7d-94b6-b86e5044e377"]}],"mendeley":{"formattedCitation":"&lt;sup&gt;129&lt;/sup&gt;","plainTextFormattedCitation":"129","previouslyFormattedCitation":"&lt;sup&gt;129&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129</w:t>
            </w:r>
            <w:r w:rsidRPr="006D631C">
              <w:rPr>
                <w:color w:val="000000"/>
                <w:sz w:val="12"/>
                <w:szCs w:val="12"/>
              </w:rPr>
              <w:fldChar w:fldCharType="end"/>
            </w:r>
          </w:p>
        </w:tc>
      </w:tr>
    </w:tbl>
    <w:p w14:paraId="040B489B" w14:textId="77777777" w:rsidR="00E853A2" w:rsidRPr="006D631C" w:rsidRDefault="00E853A2" w:rsidP="006C4AEA">
      <w:pPr>
        <w:tabs>
          <w:tab w:val="left" w:pos="90"/>
          <w:tab w:val="left" w:pos="360"/>
          <w:tab w:val="left" w:pos="992"/>
        </w:tabs>
        <w:jc w:val="center"/>
        <w:rPr>
          <w:rFonts w:asciiTheme="majorBidi" w:hAnsiTheme="majorBidi" w:cstheme="majorBidi"/>
          <w:b/>
          <w:bCs/>
        </w:rPr>
      </w:pPr>
    </w:p>
    <w:p w14:paraId="2FEC77EC" w14:textId="77777777" w:rsidR="00E853A2" w:rsidRPr="006D631C" w:rsidRDefault="00E853A2" w:rsidP="00E853A2">
      <w:pPr>
        <w:pStyle w:val="Caption"/>
        <w:spacing w:after="0"/>
        <w:jc w:val="center"/>
        <w:rPr>
          <w:rFonts w:asciiTheme="majorBidi" w:hAnsiTheme="majorBidi" w:cstheme="majorBidi"/>
          <w:sz w:val="22"/>
          <w:szCs w:val="22"/>
        </w:rPr>
      </w:pPr>
      <w:r w:rsidRPr="006D631C">
        <w:rPr>
          <w:sz w:val="22"/>
          <w:szCs w:val="22"/>
        </w:rPr>
        <w:lastRenderedPageBreak/>
        <w:t xml:space="preserve">Table 1-2. </w:t>
      </w:r>
      <w:r w:rsidRPr="006D631C">
        <w:rPr>
          <w:i/>
          <w:sz w:val="22"/>
          <w:szCs w:val="22"/>
        </w:rPr>
        <w:t>(Contd.)</w:t>
      </w:r>
    </w:p>
    <w:tbl>
      <w:tblPr>
        <w:tblW w:w="12900" w:type="dxa"/>
        <w:jc w:val="center"/>
        <w:tblLayout w:type="fixed"/>
        <w:tblLook w:val="04A0" w:firstRow="1" w:lastRow="0" w:firstColumn="1" w:lastColumn="0" w:noHBand="0" w:noVBand="1"/>
      </w:tblPr>
      <w:tblGrid>
        <w:gridCol w:w="851"/>
        <w:gridCol w:w="709"/>
        <w:gridCol w:w="708"/>
        <w:gridCol w:w="1276"/>
        <w:gridCol w:w="1418"/>
        <w:gridCol w:w="1134"/>
        <w:gridCol w:w="1134"/>
        <w:gridCol w:w="5244"/>
        <w:gridCol w:w="426"/>
      </w:tblGrid>
      <w:tr w:rsidR="00E853A2" w:rsidRPr="006D631C" w14:paraId="2D01F4EB" w14:textId="77777777" w:rsidTr="007D350B">
        <w:trPr>
          <w:trHeight w:val="20"/>
          <w:jc w:val="center"/>
        </w:trPr>
        <w:tc>
          <w:tcPr>
            <w:tcW w:w="851" w:type="dxa"/>
            <w:tcBorders>
              <w:top w:val="single" w:sz="8" w:space="0" w:color="auto"/>
              <w:left w:val="nil"/>
              <w:bottom w:val="single" w:sz="8" w:space="0" w:color="auto"/>
              <w:right w:val="nil"/>
            </w:tcBorders>
            <w:shd w:val="clear" w:color="000000" w:fill="FFFFFF"/>
            <w:noWrap/>
            <w:vAlign w:val="center"/>
            <w:hideMark/>
          </w:tcPr>
          <w:p w14:paraId="50AE26CB" w14:textId="77777777" w:rsidR="00E853A2" w:rsidRPr="006D631C" w:rsidRDefault="00E853A2" w:rsidP="007D350B">
            <w:pPr>
              <w:spacing w:line="240" w:lineRule="auto"/>
              <w:jc w:val="left"/>
              <w:rPr>
                <w:b/>
                <w:bCs/>
                <w:color w:val="000000"/>
                <w:sz w:val="12"/>
                <w:szCs w:val="12"/>
              </w:rPr>
            </w:pPr>
            <w:proofErr w:type="spellStart"/>
            <w:r w:rsidRPr="006D631C">
              <w:rPr>
                <w:b/>
                <w:bCs/>
                <w:color w:val="000000"/>
                <w:sz w:val="12"/>
                <w:szCs w:val="12"/>
              </w:rPr>
              <w:t>Amphiphile</w:t>
            </w:r>
            <w:proofErr w:type="spellEnd"/>
          </w:p>
        </w:tc>
        <w:tc>
          <w:tcPr>
            <w:tcW w:w="709" w:type="dxa"/>
            <w:tcBorders>
              <w:top w:val="single" w:sz="8" w:space="0" w:color="auto"/>
              <w:left w:val="nil"/>
              <w:bottom w:val="single" w:sz="8" w:space="0" w:color="auto"/>
              <w:right w:val="nil"/>
            </w:tcBorders>
            <w:shd w:val="clear" w:color="000000" w:fill="FFFFFF"/>
            <w:vAlign w:val="center"/>
            <w:hideMark/>
          </w:tcPr>
          <w:p w14:paraId="44131396" w14:textId="77777777" w:rsidR="00E853A2" w:rsidRPr="006D631C" w:rsidRDefault="00E853A2" w:rsidP="007D350B">
            <w:pPr>
              <w:spacing w:line="240" w:lineRule="auto"/>
              <w:jc w:val="left"/>
              <w:rPr>
                <w:b/>
                <w:bCs/>
                <w:color w:val="000000"/>
                <w:sz w:val="12"/>
                <w:szCs w:val="12"/>
              </w:rPr>
            </w:pPr>
            <w:r w:rsidRPr="006D631C">
              <w:rPr>
                <w:b/>
                <w:bCs/>
                <w:color w:val="000000"/>
                <w:sz w:val="12"/>
                <w:szCs w:val="12"/>
              </w:rPr>
              <w:t>Cross-linker</w:t>
            </w:r>
          </w:p>
        </w:tc>
        <w:tc>
          <w:tcPr>
            <w:tcW w:w="708" w:type="dxa"/>
            <w:tcBorders>
              <w:top w:val="single" w:sz="8" w:space="0" w:color="auto"/>
              <w:left w:val="nil"/>
              <w:bottom w:val="single" w:sz="8" w:space="0" w:color="auto"/>
              <w:right w:val="nil"/>
            </w:tcBorders>
            <w:shd w:val="clear" w:color="000000" w:fill="FFFFFF"/>
            <w:vAlign w:val="center"/>
            <w:hideMark/>
          </w:tcPr>
          <w:p w14:paraId="2AE3332A" w14:textId="77777777" w:rsidR="00E853A2" w:rsidRPr="006D631C" w:rsidRDefault="00E853A2" w:rsidP="007D350B">
            <w:pPr>
              <w:spacing w:line="240" w:lineRule="auto"/>
              <w:ind w:left="-1"/>
              <w:jc w:val="left"/>
              <w:rPr>
                <w:b/>
                <w:bCs/>
                <w:color w:val="000000"/>
                <w:sz w:val="12"/>
                <w:szCs w:val="12"/>
              </w:rPr>
            </w:pPr>
            <w:r w:rsidRPr="006D631C">
              <w:rPr>
                <w:b/>
                <w:bCs/>
                <w:color w:val="000000"/>
                <w:sz w:val="12"/>
                <w:szCs w:val="12"/>
              </w:rPr>
              <w:t>Initiation system</w:t>
            </w:r>
          </w:p>
        </w:tc>
        <w:tc>
          <w:tcPr>
            <w:tcW w:w="1276" w:type="dxa"/>
            <w:tcBorders>
              <w:top w:val="single" w:sz="8" w:space="0" w:color="auto"/>
              <w:left w:val="nil"/>
              <w:bottom w:val="single" w:sz="8" w:space="0" w:color="auto"/>
              <w:right w:val="nil"/>
            </w:tcBorders>
            <w:shd w:val="clear" w:color="000000" w:fill="FFFFFF"/>
            <w:vAlign w:val="center"/>
            <w:hideMark/>
          </w:tcPr>
          <w:p w14:paraId="692EABA5" w14:textId="77777777" w:rsidR="00E853A2" w:rsidRPr="006D631C" w:rsidRDefault="00E853A2" w:rsidP="007D350B">
            <w:pPr>
              <w:spacing w:line="240" w:lineRule="auto"/>
              <w:ind w:left="37"/>
              <w:jc w:val="left"/>
              <w:rPr>
                <w:b/>
                <w:bCs/>
                <w:color w:val="000000"/>
                <w:sz w:val="12"/>
                <w:szCs w:val="12"/>
              </w:rPr>
            </w:pPr>
            <w:proofErr w:type="spellStart"/>
            <w:r w:rsidRPr="006D631C">
              <w:rPr>
                <w:b/>
                <w:bCs/>
                <w:color w:val="000000"/>
                <w:sz w:val="12"/>
                <w:szCs w:val="12"/>
              </w:rPr>
              <w:t>Amphiphile</w:t>
            </w:r>
            <w:proofErr w:type="spellEnd"/>
            <w:r w:rsidRPr="006D631C">
              <w:rPr>
                <w:b/>
                <w:bCs/>
                <w:color w:val="000000"/>
                <w:sz w:val="12"/>
                <w:szCs w:val="12"/>
              </w:rPr>
              <w:t xml:space="preserve"> concentration</w:t>
            </w:r>
          </w:p>
          <w:p w14:paraId="3E7BCD88" w14:textId="77777777" w:rsidR="00E853A2" w:rsidRPr="006D631C" w:rsidRDefault="00E853A2" w:rsidP="007D350B">
            <w:pPr>
              <w:spacing w:line="240" w:lineRule="auto"/>
              <w:ind w:left="37"/>
              <w:jc w:val="left"/>
              <w:rPr>
                <w:b/>
                <w:bCs/>
                <w:color w:val="000000"/>
                <w:sz w:val="12"/>
                <w:szCs w:val="12"/>
              </w:rPr>
            </w:pPr>
            <w:r w:rsidRPr="006D631C">
              <w:rPr>
                <w:b/>
                <w:bCs/>
                <w:color w:val="000000"/>
                <w:sz w:val="12"/>
                <w:szCs w:val="12"/>
              </w:rPr>
              <w:t>[</w:t>
            </w:r>
            <w:proofErr w:type="spellStart"/>
            <w:r w:rsidRPr="006D631C">
              <w:rPr>
                <w:b/>
                <w:bCs/>
                <w:color w:val="000000"/>
                <w:sz w:val="12"/>
                <w:szCs w:val="12"/>
              </w:rPr>
              <w:t>wt</w:t>
            </w:r>
            <w:proofErr w:type="spellEnd"/>
            <w:r w:rsidRPr="006D631C">
              <w:rPr>
                <w:b/>
                <w:bCs/>
                <w:color w:val="000000"/>
                <w:sz w:val="12"/>
                <w:szCs w:val="12"/>
              </w:rPr>
              <w:t>%] and structure before reaction</w:t>
            </w:r>
          </w:p>
        </w:tc>
        <w:tc>
          <w:tcPr>
            <w:tcW w:w="1418" w:type="dxa"/>
            <w:tcBorders>
              <w:top w:val="single" w:sz="8" w:space="0" w:color="auto"/>
              <w:left w:val="nil"/>
              <w:bottom w:val="single" w:sz="8" w:space="0" w:color="auto"/>
              <w:right w:val="nil"/>
            </w:tcBorders>
            <w:shd w:val="clear" w:color="000000" w:fill="FFFFFF"/>
            <w:vAlign w:val="center"/>
            <w:hideMark/>
          </w:tcPr>
          <w:p w14:paraId="2E88A629" w14:textId="77777777" w:rsidR="00E853A2" w:rsidRPr="006D631C" w:rsidRDefault="00E853A2" w:rsidP="007D350B">
            <w:pPr>
              <w:spacing w:line="240" w:lineRule="auto"/>
              <w:jc w:val="left"/>
              <w:rPr>
                <w:b/>
                <w:bCs/>
                <w:color w:val="000000"/>
                <w:sz w:val="12"/>
                <w:szCs w:val="12"/>
              </w:rPr>
            </w:pPr>
            <w:r w:rsidRPr="006D631C">
              <w:rPr>
                <w:b/>
                <w:bCs/>
                <w:color w:val="000000"/>
                <w:sz w:val="12"/>
                <w:szCs w:val="12"/>
              </w:rPr>
              <w:t>Structure after polymerization</w:t>
            </w:r>
          </w:p>
        </w:tc>
        <w:tc>
          <w:tcPr>
            <w:tcW w:w="1134" w:type="dxa"/>
            <w:tcBorders>
              <w:top w:val="single" w:sz="8" w:space="0" w:color="auto"/>
              <w:left w:val="nil"/>
              <w:bottom w:val="single" w:sz="8" w:space="0" w:color="auto"/>
              <w:right w:val="nil"/>
            </w:tcBorders>
            <w:shd w:val="clear" w:color="000000" w:fill="FFFFFF"/>
            <w:vAlign w:val="center"/>
            <w:hideMark/>
          </w:tcPr>
          <w:p w14:paraId="4B5B3EDF" w14:textId="77777777" w:rsidR="00E853A2" w:rsidRPr="006D631C" w:rsidRDefault="00E853A2" w:rsidP="007D350B">
            <w:pPr>
              <w:spacing w:line="240" w:lineRule="auto"/>
              <w:jc w:val="left"/>
              <w:rPr>
                <w:b/>
                <w:bCs/>
                <w:color w:val="000000"/>
                <w:sz w:val="12"/>
                <w:szCs w:val="12"/>
              </w:rPr>
            </w:pPr>
            <w:r w:rsidRPr="006D631C">
              <w:rPr>
                <w:b/>
                <w:bCs/>
                <w:color w:val="000000"/>
                <w:sz w:val="12"/>
                <w:szCs w:val="12"/>
              </w:rPr>
              <w:t>Lattice parameter before reaction</w:t>
            </w:r>
            <w:r w:rsidRPr="006D631C">
              <w:rPr>
                <w:b/>
                <w:bCs/>
                <w:color w:val="000000"/>
                <w:sz w:val="12"/>
                <w:szCs w:val="12"/>
              </w:rPr>
              <w:br/>
              <w:t>[nm]</w:t>
            </w:r>
          </w:p>
        </w:tc>
        <w:tc>
          <w:tcPr>
            <w:tcW w:w="1134" w:type="dxa"/>
            <w:tcBorders>
              <w:top w:val="single" w:sz="8" w:space="0" w:color="auto"/>
              <w:left w:val="nil"/>
              <w:bottom w:val="single" w:sz="8" w:space="0" w:color="auto"/>
              <w:right w:val="nil"/>
            </w:tcBorders>
            <w:shd w:val="clear" w:color="000000" w:fill="FFFFFF"/>
            <w:vAlign w:val="center"/>
            <w:hideMark/>
          </w:tcPr>
          <w:p w14:paraId="0687D1E6" w14:textId="77777777" w:rsidR="00E853A2" w:rsidRPr="006D631C" w:rsidRDefault="00E853A2" w:rsidP="007D350B">
            <w:pPr>
              <w:spacing w:line="240" w:lineRule="auto"/>
              <w:jc w:val="left"/>
              <w:rPr>
                <w:b/>
                <w:bCs/>
                <w:color w:val="000000"/>
                <w:sz w:val="12"/>
                <w:szCs w:val="12"/>
              </w:rPr>
            </w:pPr>
            <w:r w:rsidRPr="006D631C">
              <w:rPr>
                <w:b/>
                <w:bCs/>
                <w:color w:val="000000"/>
                <w:sz w:val="12"/>
                <w:szCs w:val="12"/>
              </w:rPr>
              <w:t>Lattice parameter after reaction</w:t>
            </w:r>
            <w:r w:rsidRPr="006D631C">
              <w:rPr>
                <w:b/>
                <w:bCs/>
                <w:color w:val="000000"/>
                <w:sz w:val="12"/>
                <w:szCs w:val="12"/>
              </w:rPr>
              <w:br/>
              <w:t>[nm]</w:t>
            </w:r>
          </w:p>
        </w:tc>
        <w:tc>
          <w:tcPr>
            <w:tcW w:w="5244" w:type="dxa"/>
            <w:tcBorders>
              <w:top w:val="single" w:sz="8" w:space="0" w:color="auto"/>
              <w:left w:val="nil"/>
              <w:bottom w:val="single" w:sz="8" w:space="0" w:color="auto"/>
              <w:right w:val="nil"/>
            </w:tcBorders>
            <w:shd w:val="clear" w:color="000000" w:fill="FFFFFF"/>
            <w:vAlign w:val="center"/>
          </w:tcPr>
          <w:p w14:paraId="238C12B6" w14:textId="77777777" w:rsidR="00E853A2" w:rsidRPr="006D631C" w:rsidRDefault="00E853A2" w:rsidP="007D350B">
            <w:pPr>
              <w:spacing w:line="240" w:lineRule="auto"/>
              <w:jc w:val="left"/>
              <w:rPr>
                <w:b/>
                <w:bCs/>
                <w:color w:val="000000"/>
                <w:sz w:val="12"/>
                <w:szCs w:val="12"/>
              </w:rPr>
            </w:pPr>
            <w:r w:rsidRPr="006D631C">
              <w:rPr>
                <w:b/>
                <w:bCs/>
                <w:color w:val="000000"/>
                <w:sz w:val="12"/>
                <w:szCs w:val="12"/>
              </w:rPr>
              <w:t>Remarks</w:t>
            </w:r>
          </w:p>
        </w:tc>
        <w:tc>
          <w:tcPr>
            <w:tcW w:w="426" w:type="dxa"/>
            <w:tcBorders>
              <w:top w:val="single" w:sz="8" w:space="0" w:color="auto"/>
              <w:left w:val="nil"/>
              <w:bottom w:val="single" w:sz="8" w:space="0" w:color="auto"/>
              <w:right w:val="nil"/>
            </w:tcBorders>
            <w:shd w:val="clear" w:color="000000" w:fill="FFFFFF"/>
            <w:noWrap/>
            <w:vAlign w:val="center"/>
            <w:hideMark/>
          </w:tcPr>
          <w:p w14:paraId="4FB6A5C2" w14:textId="77777777" w:rsidR="00E853A2" w:rsidRPr="006D631C" w:rsidRDefault="00E853A2" w:rsidP="007D350B">
            <w:pPr>
              <w:spacing w:line="240" w:lineRule="auto"/>
              <w:jc w:val="left"/>
              <w:rPr>
                <w:b/>
                <w:bCs/>
                <w:color w:val="000000"/>
                <w:sz w:val="12"/>
                <w:szCs w:val="12"/>
              </w:rPr>
            </w:pPr>
            <w:r w:rsidRPr="006D631C">
              <w:rPr>
                <w:b/>
                <w:bCs/>
                <w:color w:val="000000"/>
                <w:sz w:val="12"/>
                <w:szCs w:val="12"/>
              </w:rPr>
              <w:t>Ref.</w:t>
            </w:r>
          </w:p>
        </w:tc>
      </w:tr>
      <w:tr w:rsidR="00DA530E" w:rsidRPr="006D631C" w14:paraId="5B1B8659" w14:textId="77777777" w:rsidTr="007C6378">
        <w:trPr>
          <w:trHeight w:val="20"/>
          <w:jc w:val="center"/>
        </w:trPr>
        <w:tc>
          <w:tcPr>
            <w:tcW w:w="851" w:type="dxa"/>
            <w:tcBorders>
              <w:top w:val="nil"/>
              <w:left w:val="nil"/>
              <w:bottom w:val="single" w:sz="4" w:space="0" w:color="auto"/>
              <w:right w:val="nil"/>
            </w:tcBorders>
            <w:shd w:val="clear" w:color="000000" w:fill="FFFFFF"/>
            <w:noWrap/>
            <w:vAlign w:val="center"/>
          </w:tcPr>
          <w:p w14:paraId="3F1DB55C" w14:textId="54220386" w:rsidR="00DA530E" w:rsidRPr="006D631C" w:rsidRDefault="00DA530E" w:rsidP="00DA530E">
            <w:pPr>
              <w:spacing w:line="240" w:lineRule="auto"/>
              <w:jc w:val="left"/>
              <w:rPr>
                <w:color w:val="000000"/>
                <w:sz w:val="12"/>
                <w:szCs w:val="12"/>
              </w:rPr>
            </w:pPr>
            <w:r w:rsidRPr="006D631C">
              <w:rPr>
                <w:color w:val="000000"/>
                <w:sz w:val="12"/>
                <w:szCs w:val="12"/>
              </w:rPr>
              <w:t>P-A-30</w:t>
            </w:r>
          </w:p>
        </w:tc>
        <w:tc>
          <w:tcPr>
            <w:tcW w:w="709" w:type="dxa"/>
            <w:tcBorders>
              <w:top w:val="nil"/>
              <w:left w:val="nil"/>
              <w:bottom w:val="single" w:sz="4" w:space="0" w:color="auto"/>
              <w:right w:val="nil"/>
            </w:tcBorders>
            <w:shd w:val="clear" w:color="000000" w:fill="FFFFFF"/>
            <w:vAlign w:val="center"/>
          </w:tcPr>
          <w:p w14:paraId="71C36A07" w14:textId="37EE0692" w:rsidR="00DA530E" w:rsidRPr="006D631C" w:rsidRDefault="00DA530E" w:rsidP="00DA530E">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70C7860D" w14:textId="417ECF2E" w:rsidR="00DA530E" w:rsidRPr="006D631C" w:rsidRDefault="00DA530E" w:rsidP="00DA530E">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316E9623" w14:textId="6A4A98C8" w:rsidR="00DA530E" w:rsidRPr="006D631C" w:rsidRDefault="00DA530E" w:rsidP="00DA530E">
            <w:pPr>
              <w:spacing w:line="240" w:lineRule="auto"/>
              <w:ind w:left="37"/>
              <w:jc w:val="left"/>
              <w:rPr>
                <w:color w:val="000000"/>
                <w:sz w:val="12"/>
                <w:szCs w:val="12"/>
              </w:rPr>
            </w:pPr>
            <w:r w:rsidRPr="006D631C">
              <w:rPr>
                <w:color w:val="000000"/>
                <w:sz w:val="12"/>
                <w:szCs w:val="12"/>
              </w:rPr>
              <w:t>86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7A828877" w14:textId="72BFD6C7" w:rsidR="00DA530E" w:rsidRPr="006D631C" w:rsidRDefault="00DA530E" w:rsidP="00DA530E">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7CBA2F91" w14:textId="449F8B8D" w:rsidR="00DA530E" w:rsidRPr="006D631C" w:rsidRDefault="00DA530E" w:rsidP="00DA530E">
            <w:pPr>
              <w:spacing w:line="240" w:lineRule="auto"/>
              <w:jc w:val="left"/>
              <w:rPr>
                <w:color w:val="000000"/>
                <w:sz w:val="12"/>
                <w:szCs w:val="12"/>
              </w:rPr>
            </w:pPr>
            <w:r w:rsidRPr="006D631C">
              <w:rPr>
                <w:color w:val="000000"/>
                <w:sz w:val="12"/>
                <w:szCs w:val="12"/>
              </w:rPr>
              <w:t>3.84 (P-A-30a)</w:t>
            </w:r>
            <w:r w:rsidRPr="006D631C">
              <w:rPr>
                <w:color w:val="000000"/>
                <w:sz w:val="12"/>
                <w:szCs w:val="12"/>
              </w:rPr>
              <w:br/>
              <w:t>4.14 (P-A-30b)</w:t>
            </w:r>
          </w:p>
        </w:tc>
        <w:tc>
          <w:tcPr>
            <w:tcW w:w="1134" w:type="dxa"/>
            <w:tcBorders>
              <w:top w:val="nil"/>
              <w:left w:val="nil"/>
              <w:bottom w:val="single" w:sz="4" w:space="0" w:color="auto"/>
              <w:right w:val="nil"/>
            </w:tcBorders>
            <w:shd w:val="clear" w:color="000000" w:fill="FFFFFF"/>
            <w:noWrap/>
            <w:vAlign w:val="center"/>
          </w:tcPr>
          <w:p w14:paraId="0DBFD513" w14:textId="37B9726B" w:rsidR="00DA530E" w:rsidRPr="006D631C" w:rsidRDefault="00DA530E" w:rsidP="00DA530E">
            <w:pPr>
              <w:spacing w:line="240" w:lineRule="auto"/>
              <w:jc w:val="left"/>
              <w:rPr>
                <w:color w:val="000000"/>
                <w:sz w:val="12"/>
                <w:szCs w:val="12"/>
              </w:rPr>
            </w:pPr>
            <w:r w:rsidRPr="006D631C">
              <w:rPr>
                <w:color w:val="000000"/>
                <w:sz w:val="12"/>
                <w:szCs w:val="12"/>
              </w:rPr>
              <w:t>3.77 (P-A-30a)</w:t>
            </w:r>
            <w:r w:rsidRPr="006D631C">
              <w:rPr>
                <w:color w:val="000000"/>
                <w:sz w:val="12"/>
                <w:szCs w:val="12"/>
              </w:rPr>
              <w:br/>
              <w:t>3.98 (P-A-30b)</w:t>
            </w:r>
          </w:p>
        </w:tc>
        <w:tc>
          <w:tcPr>
            <w:tcW w:w="5244" w:type="dxa"/>
            <w:tcBorders>
              <w:top w:val="nil"/>
              <w:left w:val="nil"/>
              <w:bottom w:val="single" w:sz="4" w:space="0" w:color="auto"/>
              <w:right w:val="nil"/>
            </w:tcBorders>
            <w:shd w:val="clear" w:color="000000" w:fill="FFFFFF"/>
            <w:noWrap/>
            <w:vAlign w:val="center"/>
          </w:tcPr>
          <w:p w14:paraId="018425F5" w14:textId="325125DD" w:rsidR="00E9753A" w:rsidRPr="006D631C" w:rsidRDefault="00E9753A" w:rsidP="00E9753A">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i/>
                <w:iCs/>
                <w:color w:val="000000"/>
                <w:sz w:val="12"/>
                <w:szCs w:val="12"/>
              </w:rPr>
              <w:t>n</w:t>
            </w:r>
            <w:r w:rsidRPr="006D631C">
              <w:rPr>
                <w:rFonts w:eastAsia="Times New Roman" w:cs="Times New Roman"/>
                <w:color w:val="000000"/>
                <w:sz w:val="12"/>
                <w:szCs w:val="12"/>
              </w:rPr>
              <w:t>-</w:t>
            </w:r>
            <w:proofErr w:type="spellStart"/>
            <w:r w:rsidRPr="006D631C">
              <w:rPr>
                <w:rFonts w:eastAsia="Times New Roman" w:cs="Times New Roman"/>
                <w:color w:val="000000"/>
                <w:sz w:val="12"/>
                <w:szCs w:val="12"/>
              </w:rPr>
              <w:t>Dodecane</w:t>
            </w:r>
            <w:proofErr w:type="spellEnd"/>
            <w:r w:rsidRPr="006D631C">
              <w:rPr>
                <w:rFonts w:eastAsia="Times New Roman" w:cs="Times New Roman"/>
                <w:color w:val="000000"/>
                <w:sz w:val="12"/>
                <w:szCs w:val="12"/>
              </w:rPr>
              <w:t xml:space="preserve"> initiator solution was used in LLC preparation</w:t>
            </w:r>
          </w:p>
          <w:p w14:paraId="135DF613" w14:textId="0A2C50E1" w:rsidR="00DA530E" w:rsidRPr="006D631C" w:rsidRDefault="00E9753A" w:rsidP="00E9753A">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Improved </w:t>
            </w:r>
            <w:r w:rsidRPr="006D631C">
              <w:rPr>
                <w:rFonts w:eastAsia="Times New Roman" w:cs="Times New Roman"/>
                <w:color w:val="000000"/>
                <w:sz w:val="12"/>
                <w:szCs w:val="12"/>
              </w:rPr>
              <w:t>thermal</w:t>
            </w:r>
            <w:r w:rsidRPr="006D631C">
              <w:rPr>
                <w:color w:val="000000"/>
                <w:sz w:val="12"/>
                <w:szCs w:val="12"/>
              </w:rPr>
              <w:t xml:space="preserve"> stability upon polymerization</w:t>
            </w:r>
          </w:p>
        </w:tc>
        <w:tc>
          <w:tcPr>
            <w:tcW w:w="426" w:type="dxa"/>
            <w:tcBorders>
              <w:top w:val="nil"/>
              <w:left w:val="nil"/>
              <w:bottom w:val="single" w:sz="4" w:space="0" w:color="auto"/>
              <w:right w:val="nil"/>
            </w:tcBorders>
            <w:shd w:val="clear" w:color="000000" w:fill="FFFFFF"/>
            <w:vAlign w:val="center"/>
          </w:tcPr>
          <w:p w14:paraId="16B5E4E9" w14:textId="3B90CBDD" w:rsidR="00DA530E" w:rsidRPr="006D631C" w:rsidRDefault="00EF6A2E"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{"citationItems":[{"id":"ITEM-1","itemData":{"DOI":"10.1021/ma000812f","ISSN":"00249297","abstract":"The unprecedented use of polymerizable hydrocarbon tail systems containing 1,3-diene groups for the design of thermotropic and lyotropic liquid crystal (LC) monomers is described. Cross-linkable LC dienes are synthesized by attaching LC core units to modular ω-bromoalka-1,3-diene tails of variable length. These modular diene tails are synthesized by the oxidation of long chain ω-bromoalkan-1-ols to the corresponding ω-bromoalkanals. Reaction of the ω-bromoalkanals with Matteson's reagent, followed by treatment with triethanolamine and deoxysilylation under Peterson elimination conditions, affords the desired ω-bromoalka-1,3-diene tails. The effect of the 1,3-diene group on the mesogenic behavior of certain thermotropic and lyotropic LC systems was determined by examining 1,3-diene analogues of a thermotropic calamitic LC diacrylate and a taper-shaped lyotropic LC triacrylate. Compared to their diacrylate analogues, the thermotropic LC bis(1,3-diene)s exhibit the same progression of nematic and smectic' phases but with higher smectic C to nematic transition temperatures and higher clearing temperatures. Replacement of the three acrylate groups in the tapered-shaped lyotropic LC monomer with 1,3-diene moieties had little effect on its tendency to form the inverted hexagonal phase at room temperature in the presence of water. The lyotropic LC diene phases also exhibit higher clearing temperatures than the corresponding LC triacrylate. The 1,3-diene group was found to be an efficient cross-linking unit for the photopolymerization of lyotropic LC phases at ambient temperature because of its hydrophobicity, minimal phase perturbation, and the high degree of photopolymerization. With thermotropic LC systems, however, Diels-Alder dimerization of adjacent diene units was found to occur upon heating the thermotropic LC bis(diene) monomers to ca. 90 °C or higher. Thus, as a photopolymerizable group in LC monomer design, the practical utility of the 1,3-diene group appears to be limited to temperature regimes below 90 °C.","author":[{"dropping-particle":"","family":"Hoag","given":"Benjamin P.","non-dropping-particle":"","parse-names":false,"suffix":""},{"dropping-particle":"","family":"Gin","given":"Douglas L.","non-dropping-particle":"","parse-names":false,"suffix":""}],"container-title":"Macromolecules","id":"ITEM-1","issue":"23","issued":{"date-parts":[["2000"]]},"page":"8549-8558","title":"Cross-linkable liquid crystal monomers containing hydrocarbon 1,3-diene tail systems","type":"article-journal","volume":"33"},"uris":["http://www.mendeley.com/documents/?uuid=a6f20395-312f-4d40-b921-83eb818d626f"]}],"mendeley":{"formattedCitation":"&lt;sup&gt;84&lt;/sup&gt;","plainTextFormattedCitation":"84","previouslyFormattedCitation":"&lt;sup&gt;84&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84</w:t>
            </w:r>
            <w:r w:rsidRPr="006D631C">
              <w:rPr>
                <w:color w:val="000000"/>
                <w:sz w:val="12"/>
                <w:szCs w:val="12"/>
              </w:rPr>
              <w:fldChar w:fldCharType="end"/>
            </w:r>
          </w:p>
        </w:tc>
      </w:tr>
      <w:tr w:rsidR="00E731B4" w:rsidRPr="006D631C" w14:paraId="136E19BE" w14:textId="77777777" w:rsidTr="007C6378">
        <w:trPr>
          <w:trHeight w:val="20"/>
          <w:jc w:val="center"/>
        </w:trPr>
        <w:tc>
          <w:tcPr>
            <w:tcW w:w="851" w:type="dxa"/>
            <w:tcBorders>
              <w:top w:val="nil"/>
              <w:left w:val="nil"/>
              <w:bottom w:val="single" w:sz="4" w:space="0" w:color="auto"/>
              <w:right w:val="nil"/>
            </w:tcBorders>
            <w:shd w:val="clear" w:color="000000" w:fill="FFFFFF"/>
            <w:noWrap/>
            <w:vAlign w:val="center"/>
          </w:tcPr>
          <w:p w14:paraId="06DA10EE" w14:textId="203AA025" w:rsidR="00E731B4" w:rsidRPr="006D631C" w:rsidRDefault="00E731B4" w:rsidP="00E731B4">
            <w:pPr>
              <w:spacing w:line="240" w:lineRule="auto"/>
              <w:jc w:val="left"/>
              <w:rPr>
                <w:color w:val="000000"/>
                <w:sz w:val="12"/>
                <w:szCs w:val="12"/>
              </w:rPr>
            </w:pPr>
            <w:r w:rsidRPr="006D631C">
              <w:rPr>
                <w:color w:val="000000"/>
                <w:sz w:val="12"/>
                <w:szCs w:val="12"/>
              </w:rPr>
              <w:t>P-A-31</w:t>
            </w:r>
          </w:p>
        </w:tc>
        <w:tc>
          <w:tcPr>
            <w:tcW w:w="709" w:type="dxa"/>
            <w:tcBorders>
              <w:top w:val="nil"/>
              <w:left w:val="nil"/>
              <w:bottom w:val="single" w:sz="4" w:space="0" w:color="auto"/>
              <w:right w:val="nil"/>
            </w:tcBorders>
            <w:shd w:val="clear" w:color="000000" w:fill="FFFFFF"/>
            <w:vAlign w:val="center"/>
          </w:tcPr>
          <w:p w14:paraId="76C828B0" w14:textId="041E819D" w:rsidR="00E731B4" w:rsidRPr="006D631C" w:rsidRDefault="00E731B4" w:rsidP="00E731B4">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77CDEAE9" w14:textId="215F132B" w:rsidR="00E731B4" w:rsidRPr="006D631C" w:rsidRDefault="00E731B4" w:rsidP="00E731B4">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31B9D9F7" w14:textId="7D060786" w:rsidR="00E731B4" w:rsidRPr="006D631C" w:rsidRDefault="00E731B4" w:rsidP="00E731B4">
            <w:pPr>
              <w:spacing w:line="240" w:lineRule="auto"/>
              <w:ind w:left="37"/>
              <w:jc w:val="left"/>
              <w:rPr>
                <w:color w:val="000000"/>
                <w:sz w:val="12"/>
                <w:szCs w:val="12"/>
              </w:rPr>
            </w:pPr>
            <w:r w:rsidRPr="006D631C">
              <w:rPr>
                <w:color w:val="000000"/>
                <w:sz w:val="12"/>
                <w:szCs w:val="12"/>
              </w:rPr>
              <w:t>84 (Q</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noWrap/>
            <w:vAlign w:val="center"/>
          </w:tcPr>
          <w:p w14:paraId="41EBB32B" w14:textId="7C05B375" w:rsidR="00E731B4" w:rsidRPr="006D631C" w:rsidRDefault="00E731B4" w:rsidP="00E731B4">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0A455BAE" w14:textId="01C27A0E" w:rsidR="00E731B4" w:rsidRPr="006D631C" w:rsidRDefault="00E731B4" w:rsidP="00E731B4">
            <w:pPr>
              <w:spacing w:line="240" w:lineRule="auto"/>
              <w:jc w:val="left"/>
              <w:rPr>
                <w:color w:val="000000"/>
                <w:sz w:val="12"/>
                <w:szCs w:val="12"/>
              </w:rPr>
            </w:pPr>
            <w:r w:rsidRPr="006D631C">
              <w:rPr>
                <w:color w:val="000000"/>
                <w:sz w:val="12"/>
                <w:szCs w:val="12"/>
              </w:rPr>
              <w:t>8.87</w:t>
            </w:r>
          </w:p>
        </w:tc>
        <w:tc>
          <w:tcPr>
            <w:tcW w:w="1134" w:type="dxa"/>
            <w:tcBorders>
              <w:top w:val="nil"/>
              <w:left w:val="nil"/>
              <w:bottom w:val="single" w:sz="4" w:space="0" w:color="auto"/>
              <w:right w:val="nil"/>
            </w:tcBorders>
            <w:shd w:val="clear" w:color="000000" w:fill="FFFFFF"/>
            <w:noWrap/>
            <w:vAlign w:val="center"/>
          </w:tcPr>
          <w:p w14:paraId="21DADAA2" w14:textId="1CD129F4" w:rsidR="00E731B4" w:rsidRPr="006D631C" w:rsidRDefault="00E731B4" w:rsidP="00E731B4">
            <w:pPr>
              <w:spacing w:line="240" w:lineRule="auto"/>
              <w:jc w:val="left"/>
              <w:rPr>
                <w:color w:val="000000"/>
                <w:sz w:val="12"/>
                <w:szCs w:val="12"/>
              </w:rPr>
            </w:pPr>
            <w:r w:rsidRPr="006D631C">
              <w:rPr>
                <w:color w:val="000000"/>
                <w:sz w:val="12"/>
                <w:szCs w:val="12"/>
              </w:rPr>
              <w:t>8.29</w:t>
            </w:r>
          </w:p>
        </w:tc>
        <w:tc>
          <w:tcPr>
            <w:tcW w:w="5244" w:type="dxa"/>
            <w:tcBorders>
              <w:top w:val="nil"/>
              <w:left w:val="nil"/>
              <w:bottom w:val="single" w:sz="4" w:space="0" w:color="auto"/>
              <w:right w:val="nil"/>
            </w:tcBorders>
            <w:shd w:val="clear" w:color="000000" w:fill="FFFFFF"/>
            <w:noWrap/>
            <w:vAlign w:val="center"/>
          </w:tcPr>
          <w:p w14:paraId="67C749B2" w14:textId="1F210E06" w:rsidR="00E731B4" w:rsidRPr="006D631C" w:rsidRDefault="00E731B4" w:rsidP="003D31D7">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Li salt solution of the liquid electrolyte, propylene carbonate was used instead of water to prepare LLC</w:t>
            </w:r>
          </w:p>
          <w:p w14:paraId="46E090D8" w14:textId="661908CD" w:rsidR="00E731B4" w:rsidRPr="006D631C" w:rsidRDefault="00E731B4" w:rsidP="00AE0CBF">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The polymerized LLC showed a conductivity similar to the liquid-like electrolytes while maintaining high flexibility even at temperatures as low as -35 °C</w:t>
            </w:r>
          </w:p>
        </w:tc>
        <w:tc>
          <w:tcPr>
            <w:tcW w:w="426" w:type="dxa"/>
            <w:tcBorders>
              <w:top w:val="nil"/>
              <w:left w:val="nil"/>
              <w:bottom w:val="single" w:sz="4" w:space="0" w:color="auto"/>
              <w:right w:val="nil"/>
            </w:tcBorders>
            <w:shd w:val="clear" w:color="000000" w:fill="FFFFFF"/>
            <w:vAlign w:val="center"/>
          </w:tcPr>
          <w:p w14:paraId="3021956C" w14:textId="48AA486F" w:rsidR="00E731B4" w:rsidRPr="006D631C" w:rsidRDefault="00AE0CBF"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{"citationItems":[{"id":"ITEM-1","itemData":{"DOI":"10.1021/ja905208f","ISSN":"00027863","abstract":"(Chemical Equation Presented) A new type of polymer electrolyte material for Li ion transport has been developed. This material is based on a polymerizable lyotropic (i.e., amphiphilic) liquid crystal (1) that forms a type-II bicontinuous cubic (Q</w:instrText>
            </w:r>
            <w:r w:rsidR="005C60C1" w:rsidRPr="006D631C">
              <w:rPr>
                <w:rFonts w:ascii="Cambria Math" w:hAnsi="Cambria Math" w:cs="Cambria Math"/>
                <w:color w:val="000000"/>
                <w:sz w:val="12"/>
                <w:szCs w:val="12"/>
              </w:rPr>
              <w:instrText>∥</w:instrText>
            </w:r>
            <w:r w:rsidR="005C60C1" w:rsidRPr="006D631C">
              <w:rPr>
                <w:color w:val="000000"/>
                <w:sz w:val="12"/>
                <w:szCs w:val="12"/>
              </w:rPr>
              <w:instrText>) phase with the common liquid electrolyte, propylene carbonate (PC), and its Li salt solutions. The resulting cross-linked, solid-liquid nanocomposite has an ordered, three-dimensional interconnected network of phase-separated liquid PC nanochannels and exhibits a room-temperature ion conductivity of 10-4 to 10-3 S cm-1 when formed with 15 wt % 0.245 M LiClO4-PC solution. This value approaches that of conventional gelled poly(ethylene oxide)-based electrolytes blended with larger amounts of higher-concentration Li salt solutions. It is also similar to that of a bulk 0.245 M LiClO4-PC solution measured using the same AC impedance methods. Preliminary variable-temperature ion conductivity and NMR DOSY studies showed that liquidlike diffusion is present in the Q</w:instrText>
            </w:r>
            <w:r w:rsidR="005C60C1" w:rsidRPr="006D631C">
              <w:rPr>
                <w:rFonts w:ascii="Cambria Math" w:hAnsi="Cambria Math" w:cs="Cambria Math"/>
                <w:color w:val="000000"/>
                <w:sz w:val="12"/>
                <w:szCs w:val="12"/>
              </w:rPr>
              <w:instrText>∥</w:instrText>
            </w:r>
            <w:r w:rsidR="005C60C1" w:rsidRPr="006D631C">
              <w:rPr>
                <w:color w:val="000000"/>
                <w:sz w:val="12"/>
                <w:szCs w:val="12"/>
              </w:rPr>
              <w:instrText xml:space="preserve"> nanochannels and that good ion conductivity ( </w:instrText>
            </w:r>
            <w:r w:rsidR="005C60C1" w:rsidRPr="006D631C">
              <w:rPr>
                <w:rFonts w:ascii="Cambria Math" w:hAnsi="Cambria Math" w:cs="Cambria Math"/>
                <w:color w:val="000000"/>
                <w:sz w:val="12"/>
                <w:szCs w:val="12"/>
              </w:rPr>
              <w:instrText>∼</w:instrText>
            </w:r>
            <w:r w:rsidR="005C60C1" w:rsidRPr="006D631C">
              <w:rPr>
                <w:color w:val="000000"/>
                <w:sz w:val="12"/>
                <w:szCs w:val="12"/>
              </w:rPr>
              <w:instrText>10-4 S cm-1) and PC mobility are retained down to -35 ° C (and lower). This type of stable, liquidlike ion conductivity over a broad temperature range is typically not exhibited by conventional gelled-polymer- or liquid-crystal-based electrolytes, making this new material potentially valuable for enabling Li ion batteries that can operate more efficiently over a wider temperature range. Copyright © 2009 American Chemical Society.","author":[{"dropping-particle":"","family":"Kerr","given":"Robert L.","non-dropping-particle":"","parse-names":false,"suffix":""},{"dropping-particle":"","family":"Miller","given":"Seth A.","non-dropping-particle":"","parse-names":false,"suffix":""},{"dropping-particle":"","family":"Shoemaker","given":"Richard K.","non-dropping-particle":"","parse-names":false,"suffix":""},{"dropping-particle":"","family":"Elliott","given":"Brian J.","non-dropping-particle":"","parse-names":false,"suffix":""},{"dropping-particle":"","family":"Gin","given":"Douglas L.","non-dropping-particle":"","parse-names":false,"suffix":""}],"container-title":"Journal of the American Chemical Society","id":"ITEM-1","issue":"44","issued":{"date-parts":[["2009"]]},"page":"15972-15973","title":"New type of Li ion conductor with 3D interconnected nanopores via polymerization of a liquid organic electrolyte-filled lyotropic liquid-crystal assembly","type":"article-journal","volume":"131"},"uris":["http://www.mendeley.com/documents/?uuid=b026fd15-60b6-4d59-ade4-28389f2768fb"]}],"mendeley":{"formattedCitation":"&lt;sup&gt;116&lt;/sup&gt;","plainTextFormattedCitation":"116","previouslyFormattedCitation":"&lt;sup&gt;116&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116</w:t>
            </w:r>
            <w:r w:rsidRPr="006D631C">
              <w:rPr>
                <w:color w:val="000000"/>
                <w:sz w:val="12"/>
                <w:szCs w:val="12"/>
              </w:rPr>
              <w:fldChar w:fldCharType="end"/>
            </w:r>
          </w:p>
        </w:tc>
      </w:tr>
      <w:tr w:rsidR="00135F76" w:rsidRPr="006D631C" w14:paraId="19AABDD6"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01DE48C5" w14:textId="0C234414" w:rsidR="00135F76" w:rsidRPr="006D631C" w:rsidRDefault="00135F76" w:rsidP="00135F76">
            <w:pPr>
              <w:spacing w:line="240" w:lineRule="auto"/>
              <w:jc w:val="left"/>
              <w:rPr>
                <w:color w:val="000000"/>
                <w:sz w:val="12"/>
                <w:szCs w:val="12"/>
              </w:rPr>
            </w:pPr>
            <w:r w:rsidRPr="006D631C">
              <w:rPr>
                <w:color w:val="000000"/>
                <w:sz w:val="12"/>
                <w:szCs w:val="12"/>
              </w:rPr>
              <w:t>P-A-32 /        P-A-33</w:t>
            </w:r>
          </w:p>
        </w:tc>
        <w:tc>
          <w:tcPr>
            <w:tcW w:w="709" w:type="dxa"/>
            <w:tcBorders>
              <w:top w:val="nil"/>
              <w:left w:val="nil"/>
              <w:bottom w:val="single" w:sz="4" w:space="0" w:color="auto"/>
              <w:right w:val="nil"/>
            </w:tcBorders>
            <w:shd w:val="clear" w:color="000000" w:fill="FFFFFF"/>
            <w:vAlign w:val="center"/>
          </w:tcPr>
          <w:p w14:paraId="479A70A1" w14:textId="4898BFF3" w:rsidR="00135F76" w:rsidRPr="006D631C" w:rsidRDefault="00135F76" w:rsidP="00135F76">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0ADF99C6" w14:textId="270897FC" w:rsidR="00135F76" w:rsidRPr="006D631C" w:rsidRDefault="00135F76" w:rsidP="00135F76">
            <w:pPr>
              <w:spacing w:line="240" w:lineRule="auto"/>
              <w:jc w:val="left"/>
              <w:rPr>
                <w:color w:val="000000"/>
                <w:sz w:val="12"/>
                <w:szCs w:val="12"/>
              </w:rPr>
            </w:pPr>
            <w:r w:rsidRPr="006D631C">
              <w:rPr>
                <w:color w:val="000000"/>
                <w:sz w:val="12"/>
                <w:szCs w:val="12"/>
              </w:rPr>
              <w:t>UV</w:t>
            </w:r>
          </w:p>
        </w:tc>
        <w:tc>
          <w:tcPr>
            <w:tcW w:w="1276" w:type="dxa"/>
            <w:tcBorders>
              <w:top w:val="nil"/>
              <w:left w:val="nil"/>
              <w:bottom w:val="single" w:sz="4" w:space="0" w:color="auto"/>
              <w:right w:val="nil"/>
            </w:tcBorders>
            <w:shd w:val="clear" w:color="000000" w:fill="FFFFFF"/>
            <w:noWrap/>
            <w:vAlign w:val="center"/>
          </w:tcPr>
          <w:p w14:paraId="3F1AFDC6" w14:textId="5FFF0ADD" w:rsidR="00135F76" w:rsidRPr="006D631C" w:rsidRDefault="00135F76" w:rsidP="00135F76">
            <w:pPr>
              <w:spacing w:line="240" w:lineRule="auto"/>
              <w:ind w:left="37"/>
              <w:jc w:val="left"/>
              <w:rPr>
                <w:color w:val="000000"/>
                <w:sz w:val="12"/>
                <w:szCs w:val="12"/>
              </w:rPr>
            </w:pPr>
            <w:r w:rsidRPr="006D631C">
              <w:rPr>
                <w:color w:val="000000"/>
                <w:sz w:val="12"/>
                <w:szCs w:val="12"/>
              </w:rPr>
              <w:t>95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09865B4A" w14:textId="59B79A35" w:rsidR="00135F76" w:rsidRPr="006D631C" w:rsidRDefault="00135F76" w:rsidP="00135F76">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0268EEDE" w14:textId="73A3C556" w:rsidR="00135F76" w:rsidRPr="006D631C" w:rsidRDefault="00135F76" w:rsidP="00135F76">
            <w:pPr>
              <w:spacing w:line="240" w:lineRule="auto"/>
              <w:jc w:val="left"/>
              <w:rPr>
                <w:color w:val="000000"/>
                <w:sz w:val="12"/>
                <w:szCs w:val="12"/>
              </w:rPr>
            </w:pPr>
            <w:r w:rsidRPr="006D631C">
              <w:rPr>
                <w:color w:val="000000"/>
                <w:sz w:val="12"/>
                <w:szCs w:val="12"/>
              </w:rPr>
              <w:t>4.91</w:t>
            </w:r>
          </w:p>
        </w:tc>
        <w:tc>
          <w:tcPr>
            <w:tcW w:w="1134" w:type="dxa"/>
            <w:tcBorders>
              <w:top w:val="nil"/>
              <w:left w:val="nil"/>
              <w:bottom w:val="single" w:sz="4" w:space="0" w:color="auto"/>
              <w:right w:val="nil"/>
            </w:tcBorders>
            <w:shd w:val="clear" w:color="000000" w:fill="FFFFFF"/>
            <w:noWrap/>
            <w:vAlign w:val="center"/>
          </w:tcPr>
          <w:p w14:paraId="0EA06AFB" w14:textId="6CD65C2A" w:rsidR="00135F76" w:rsidRPr="006D631C" w:rsidRDefault="00135F76" w:rsidP="00135F76">
            <w:pPr>
              <w:spacing w:line="240" w:lineRule="auto"/>
              <w:jc w:val="left"/>
              <w:rPr>
                <w:color w:val="000000"/>
                <w:sz w:val="12"/>
                <w:szCs w:val="12"/>
              </w:rPr>
            </w:pPr>
            <w:r w:rsidRPr="006D631C">
              <w:rPr>
                <w:color w:val="000000"/>
                <w:sz w:val="12"/>
                <w:szCs w:val="12"/>
              </w:rPr>
              <w:t>4.85</w:t>
            </w:r>
          </w:p>
        </w:tc>
        <w:tc>
          <w:tcPr>
            <w:tcW w:w="5244" w:type="dxa"/>
            <w:tcBorders>
              <w:top w:val="nil"/>
              <w:left w:val="nil"/>
              <w:bottom w:val="single" w:sz="4" w:space="0" w:color="auto"/>
              <w:right w:val="nil"/>
            </w:tcBorders>
            <w:shd w:val="clear" w:color="000000" w:fill="FFFFFF"/>
            <w:vAlign w:val="center"/>
          </w:tcPr>
          <w:p w14:paraId="67FE58D8" w14:textId="77777777" w:rsidR="00135F76" w:rsidRPr="006D631C" w:rsidRDefault="00135F76" w:rsidP="00135F76">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 xml:space="preserve">19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xml:space="preserve">% of </w:t>
            </w:r>
            <w:proofErr w:type="spellStart"/>
            <w:r w:rsidRPr="006D631C">
              <w:rPr>
                <w:rFonts w:eastAsia="Times New Roman" w:cs="Times New Roman"/>
                <w:color w:val="000000"/>
                <w:sz w:val="12"/>
                <w:szCs w:val="12"/>
              </w:rPr>
              <w:t>amphiphile</w:t>
            </w:r>
            <w:proofErr w:type="spellEnd"/>
            <w:r w:rsidRPr="006D631C">
              <w:rPr>
                <w:rFonts w:eastAsia="Times New Roman" w:cs="Times New Roman"/>
                <w:color w:val="000000"/>
                <w:sz w:val="12"/>
                <w:szCs w:val="12"/>
              </w:rPr>
              <w:t xml:space="preserve"> was a mixture of P-A-32 and P-A-33 and the remaining 76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was P-A-54</w:t>
            </w:r>
          </w:p>
          <w:p w14:paraId="4DC15852" w14:textId="77777777" w:rsidR="00135F76" w:rsidRPr="006D631C" w:rsidRDefault="00135F76" w:rsidP="00135F76">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The polyLLC-based catalyst showed higher activity compared to industrially available TEMPO-based catalysts</w:t>
            </w:r>
          </w:p>
          <w:p w14:paraId="1B156454" w14:textId="77777777" w:rsidR="00135F76" w:rsidRPr="006D631C" w:rsidRDefault="00135F76" w:rsidP="00135F76">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Lower catalyst activity toward alcohols with bigger molecules</w:t>
            </w:r>
          </w:p>
          <w:p w14:paraId="756B5B97" w14:textId="1D4F29C8" w:rsidR="00135F76" w:rsidRPr="006D631C" w:rsidRDefault="00135F76" w:rsidP="00135F76">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The catalyst can be reused without major loss of activity</w:t>
            </w:r>
          </w:p>
        </w:tc>
        <w:tc>
          <w:tcPr>
            <w:tcW w:w="426" w:type="dxa"/>
            <w:tcBorders>
              <w:top w:val="nil"/>
              <w:left w:val="nil"/>
              <w:bottom w:val="single" w:sz="4" w:space="0" w:color="auto"/>
              <w:right w:val="nil"/>
            </w:tcBorders>
            <w:shd w:val="clear" w:color="000000" w:fill="FFFFFF"/>
            <w:vAlign w:val="center"/>
          </w:tcPr>
          <w:p w14:paraId="32A5B202" w14:textId="20671D53" w:rsidR="00135F76" w:rsidRPr="006D631C" w:rsidRDefault="00135F76" w:rsidP="00135F76">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{"citationItems":[{"id":"ITEM-1","itemData":{"DOI":"10.1039/c8cc05661g","ISSN":"1364548X","PMID":"30295692","abstract":"An ordered, nanoporous, TEMPO-based polymer resin formed from lyotropic liquid crystal monomers catalyzes the hetereogeneous oxidation of alcohols with high activity and substrate size selectivity under transition-metal-free, aerobic conditions.","author":[{"dropping-particle":"","family":"Dwulet","given":"Gregory E.","non-dropping-particle":"","parse-names":false,"suffix":""},{"dropping-particle":"","family":"Gin","given":"Douglas L.","non-dropping-particle":"","parse-names":false,"suffix":""}],"container-title":"Chemical Communications","id":"ITEM-1","issue":"85","issued":{"date-parts":[["2018"]]},"page":"12053-12056","title":"Ordered nanoporous lyotropic liquid crystal polymer resin for heterogeneous catalytic aerobic oxidation of alcohols","type":"article-journal","volume":"54"},"uris":["http://www.mendeley.com/documents/?uuid=078e1556-69aa-4fdc-b1f6-85992c937663"]}],"mendeley":{"formattedCitation":"&lt;sup&gt;79&lt;/sup&gt;","plainTextFormattedCitation":"79","previouslyFormattedCitation":"&lt;sup&gt;79&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79</w:t>
            </w:r>
            <w:r w:rsidRPr="006D631C">
              <w:rPr>
                <w:color w:val="000000"/>
                <w:sz w:val="12"/>
                <w:szCs w:val="12"/>
              </w:rPr>
              <w:fldChar w:fldCharType="end"/>
            </w:r>
          </w:p>
        </w:tc>
      </w:tr>
      <w:tr w:rsidR="00C93FBD" w:rsidRPr="006D631C" w14:paraId="56B2793B"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46417CAE" w14:textId="2B1CBFCC" w:rsidR="00C93FBD" w:rsidRPr="006D631C" w:rsidRDefault="00C93FBD" w:rsidP="00C93FBD">
            <w:pPr>
              <w:spacing w:line="240" w:lineRule="auto"/>
              <w:jc w:val="left"/>
              <w:rPr>
                <w:color w:val="000000"/>
                <w:sz w:val="12"/>
                <w:szCs w:val="12"/>
              </w:rPr>
            </w:pPr>
            <w:r w:rsidRPr="006D631C">
              <w:rPr>
                <w:color w:val="000000"/>
                <w:sz w:val="12"/>
                <w:szCs w:val="12"/>
              </w:rPr>
              <w:t>P-A-34</w:t>
            </w:r>
          </w:p>
        </w:tc>
        <w:tc>
          <w:tcPr>
            <w:tcW w:w="709" w:type="dxa"/>
            <w:tcBorders>
              <w:top w:val="nil"/>
              <w:left w:val="nil"/>
              <w:bottom w:val="single" w:sz="4" w:space="0" w:color="auto"/>
              <w:right w:val="nil"/>
            </w:tcBorders>
            <w:shd w:val="clear" w:color="000000" w:fill="FFFFFF"/>
            <w:vAlign w:val="center"/>
          </w:tcPr>
          <w:p w14:paraId="5958F30E" w14:textId="08F6B866" w:rsidR="00C93FBD" w:rsidRPr="006D631C" w:rsidRDefault="00C93FBD" w:rsidP="00C93FBD">
            <w:pPr>
              <w:spacing w:line="240" w:lineRule="auto"/>
              <w:jc w:val="left"/>
              <w:rPr>
                <w:color w:val="000000"/>
                <w:sz w:val="12"/>
                <w:szCs w:val="12"/>
              </w:rPr>
            </w:pPr>
            <w:r w:rsidRPr="006D631C">
              <w:rPr>
                <w:color w:val="000000"/>
                <w:sz w:val="12"/>
                <w:szCs w:val="12"/>
              </w:rPr>
              <w:t>C-1</w:t>
            </w:r>
          </w:p>
        </w:tc>
        <w:tc>
          <w:tcPr>
            <w:tcW w:w="708" w:type="dxa"/>
            <w:tcBorders>
              <w:top w:val="nil"/>
              <w:left w:val="nil"/>
              <w:bottom w:val="single" w:sz="4" w:space="0" w:color="auto"/>
              <w:right w:val="nil"/>
            </w:tcBorders>
            <w:shd w:val="clear" w:color="000000" w:fill="FFFFFF"/>
            <w:vAlign w:val="center"/>
          </w:tcPr>
          <w:p w14:paraId="447143BE" w14:textId="7C0CD8DF" w:rsidR="00C93FBD" w:rsidRPr="006D631C" w:rsidRDefault="00C93FBD" w:rsidP="00C93FBD">
            <w:pPr>
              <w:spacing w:line="240" w:lineRule="auto"/>
              <w:jc w:val="left"/>
              <w:rPr>
                <w:color w:val="000000"/>
                <w:sz w:val="12"/>
                <w:szCs w:val="12"/>
              </w:rPr>
            </w:pPr>
            <w:r w:rsidRPr="006D631C">
              <w:rPr>
                <w:color w:val="000000"/>
                <w:sz w:val="12"/>
                <w:szCs w:val="12"/>
              </w:rPr>
              <w:t>I-2</w:t>
            </w:r>
          </w:p>
        </w:tc>
        <w:tc>
          <w:tcPr>
            <w:tcW w:w="1276" w:type="dxa"/>
            <w:tcBorders>
              <w:top w:val="nil"/>
              <w:left w:val="nil"/>
              <w:bottom w:val="single" w:sz="4" w:space="0" w:color="auto"/>
              <w:right w:val="nil"/>
            </w:tcBorders>
            <w:shd w:val="clear" w:color="000000" w:fill="FFFFFF"/>
            <w:vAlign w:val="center"/>
          </w:tcPr>
          <w:p w14:paraId="484099D4" w14:textId="5C4C26B0" w:rsidR="00C93FBD" w:rsidRPr="006D631C" w:rsidRDefault="00C93FBD" w:rsidP="00C93FBD">
            <w:pPr>
              <w:spacing w:line="240" w:lineRule="auto"/>
              <w:ind w:left="37"/>
              <w:jc w:val="left"/>
              <w:rPr>
                <w:color w:val="000000"/>
                <w:sz w:val="12"/>
                <w:szCs w:val="12"/>
              </w:rPr>
            </w:pPr>
            <w:r w:rsidRPr="006D631C">
              <w:rPr>
                <w:color w:val="000000"/>
                <w:sz w:val="12"/>
                <w:szCs w:val="12"/>
              </w:rPr>
              <w:t>50 - 75 (H</w:t>
            </w:r>
            <w:r w:rsidRPr="006D631C">
              <w:rPr>
                <w:color w:val="000000"/>
                <w:sz w:val="12"/>
                <w:szCs w:val="12"/>
                <w:vertAlign w:val="subscript"/>
              </w:rPr>
              <w:t>1</w:t>
            </w:r>
            <w:r w:rsidRPr="006D631C">
              <w:rPr>
                <w:color w:val="000000"/>
                <w:sz w:val="12"/>
                <w:szCs w:val="12"/>
              </w:rPr>
              <w:t>)</w:t>
            </w:r>
            <w:r w:rsidRPr="006D631C">
              <w:rPr>
                <w:color w:val="000000"/>
                <w:sz w:val="12"/>
                <w:szCs w:val="12"/>
              </w:rPr>
              <w:br/>
              <w:t>75 - 85 (Q</w:t>
            </w:r>
            <w:r w:rsidRPr="006D631C">
              <w:rPr>
                <w:color w:val="000000"/>
                <w:sz w:val="12"/>
                <w:szCs w:val="12"/>
                <w:vertAlign w:val="subscript"/>
              </w:rPr>
              <w:t>2</w:t>
            </w:r>
            <w:r w:rsidRPr="006D631C">
              <w:rPr>
                <w:color w:val="000000"/>
                <w:sz w:val="12"/>
                <w:szCs w:val="12"/>
              </w:rPr>
              <w:t>)</w:t>
            </w:r>
            <w:r w:rsidRPr="006D631C">
              <w:rPr>
                <w:color w:val="000000"/>
                <w:sz w:val="12"/>
                <w:szCs w:val="12"/>
              </w:rPr>
              <w:br/>
              <w:t>85 - 95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715A30A1" w14:textId="39F70A33" w:rsidR="00C93FBD" w:rsidRPr="006D631C" w:rsidRDefault="00C93FBD" w:rsidP="00100377">
            <w:pPr>
              <w:spacing w:line="240" w:lineRule="auto"/>
              <w:jc w:val="left"/>
              <w:rPr>
                <w:color w:val="000000"/>
                <w:sz w:val="12"/>
                <w:szCs w:val="12"/>
              </w:rPr>
            </w:pPr>
            <w:r w:rsidRPr="006D631C">
              <w:rPr>
                <w:color w:val="000000"/>
                <w:sz w:val="12"/>
                <w:szCs w:val="12"/>
              </w:rPr>
              <w:t>Retention of the H</w:t>
            </w:r>
            <w:r w:rsidRPr="006D631C">
              <w:rPr>
                <w:color w:val="000000"/>
                <w:sz w:val="12"/>
                <w:szCs w:val="12"/>
                <w:vertAlign w:val="subscript"/>
              </w:rPr>
              <w:t>1</w:t>
            </w:r>
            <w:r w:rsidRPr="006D631C">
              <w:rPr>
                <w:color w:val="000000"/>
                <w:sz w:val="12"/>
                <w:szCs w:val="12"/>
              </w:rPr>
              <w:t xml:space="preserve"> structure</w:t>
            </w:r>
            <w:r w:rsidR="00100377" w:rsidRPr="006D631C">
              <w:rPr>
                <w:color w:val="000000"/>
                <w:sz w:val="12"/>
                <w:szCs w:val="12"/>
              </w:rPr>
              <w:t xml:space="preserve"> (only H</w:t>
            </w:r>
            <w:r w:rsidR="00100377" w:rsidRPr="006D631C">
              <w:rPr>
                <w:color w:val="000000"/>
                <w:sz w:val="12"/>
                <w:szCs w:val="12"/>
                <w:vertAlign w:val="subscript"/>
              </w:rPr>
              <w:t>1</w:t>
            </w:r>
            <w:r w:rsidR="00100377" w:rsidRPr="006D631C">
              <w:rPr>
                <w:color w:val="000000"/>
                <w:sz w:val="12"/>
                <w:szCs w:val="12"/>
              </w:rPr>
              <w:t xml:space="preserve"> was polymerized)</w:t>
            </w:r>
          </w:p>
        </w:tc>
        <w:tc>
          <w:tcPr>
            <w:tcW w:w="1134" w:type="dxa"/>
            <w:tcBorders>
              <w:top w:val="nil"/>
              <w:left w:val="nil"/>
              <w:bottom w:val="single" w:sz="4" w:space="0" w:color="auto"/>
              <w:right w:val="nil"/>
            </w:tcBorders>
            <w:shd w:val="clear" w:color="000000" w:fill="FFFFFF"/>
            <w:noWrap/>
            <w:vAlign w:val="center"/>
          </w:tcPr>
          <w:p w14:paraId="2C088FCB" w14:textId="3D0F5A0A" w:rsidR="00C93FBD" w:rsidRPr="006D631C" w:rsidRDefault="00C93FBD" w:rsidP="00C93FBD">
            <w:pPr>
              <w:spacing w:line="240" w:lineRule="auto"/>
              <w:jc w:val="left"/>
              <w:rPr>
                <w:color w:val="000000"/>
                <w:sz w:val="12"/>
                <w:szCs w:val="12"/>
              </w:rPr>
            </w:pPr>
            <w:r w:rsidRPr="006D631C">
              <w:rPr>
                <w:color w:val="000000"/>
                <w:sz w:val="12"/>
                <w:szCs w:val="12"/>
              </w:rPr>
              <w:t>4.57</w:t>
            </w:r>
          </w:p>
        </w:tc>
        <w:tc>
          <w:tcPr>
            <w:tcW w:w="1134" w:type="dxa"/>
            <w:tcBorders>
              <w:top w:val="nil"/>
              <w:left w:val="nil"/>
              <w:bottom w:val="single" w:sz="4" w:space="0" w:color="auto"/>
              <w:right w:val="nil"/>
            </w:tcBorders>
            <w:shd w:val="clear" w:color="000000" w:fill="FFFFFF"/>
            <w:noWrap/>
            <w:vAlign w:val="center"/>
          </w:tcPr>
          <w:p w14:paraId="5F812999" w14:textId="10FE0E2C" w:rsidR="00C93FBD" w:rsidRPr="006D631C" w:rsidRDefault="00C93FBD" w:rsidP="00C93FBD">
            <w:pPr>
              <w:spacing w:line="240" w:lineRule="auto"/>
              <w:jc w:val="left"/>
              <w:rPr>
                <w:color w:val="000000"/>
                <w:sz w:val="12"/>
                <w:szCs w:val="12"/>
              </w:rPr>
            </w:pPr>
            <w:r w:rsidRPr="006D631C">
              <w:rPr>
                <w:color w:val="000000"/>
                <w:sz w:val="12"/>
                <w:szCs w:val="12"/>
              </w:rPr>
              <w:t>4.5</w:t>
            </w:r>
          </w:p>
        </w:tc>
        <w:tc>
          <w:tcPr>
            <w:tcW w:w="5244" w:type="dxa"/>
            <w:tcBorders>
              <w:top w:val="nil"/>
              <w:left w:val="nil"/>
              <w:bottom w:val="single" w:sz="4" w:space="0" w:color="auto"/>
              <w:right w:val="nil"/>
            </w:tcBorders>
            <w:shd w:val="clear" w:color="000000" w:fill="FFFFFF"/>
            <w:vAlign w:val="center"/>
          </w:tcPr>
          <w:p w14:paraId="37F7FE84" w14:textId="13852459" w:rsidR="00C93FBD" w:rsidRPr="006D631C" w:rsidRDefault="00C93FBD" w:rsidP="005E7571">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It was possible to retain the structure without using a cross-linker</w:t>
            </w:r>
            <w:r w:rsidR="005E7571" w:rsidRPr="006D631C">
              <w:rPr>
                <w:rFonts w:eastAsia="Times New Roman" w:cs="Times New Roman"/>
                <w:color w:val="000000"/>
                <w:sz w:val="12"/>
                <w:szCs w:val="12"/>
              </w:rPr>
              <w:t xml:space="preserve"> but improved thermal stability was observed for the sample containing C-1</w:t>
            </w:r>
          </w:p>
        </w:tc>
        <w:tc>
          <w:tcPr>
            <w:tcW w:w="426" w:type="dxa"/>
            <w:tcBorders>
              <w:top w:val="nil"/>
              <w:left w:val="nil"/>
              <w:bottom w:val="single" w:sz="4" w:space="0" w:color="auto"/>
              <w:right w:val="nil"/>
            </w:tcBorders>
            <w:shd w:val="clear" w:color="000000" w:fill="FFFFFF"/>
            <w:vAlign w:val="center"/>
          </w:tcPr>
          <w:p w14:paraId="3FEBDE0D" w14:textId="688EDF5F" w:rsidR="00C93FBD" w:rsidRPr="006D631C" w:rsidRDefault="00C93FBD"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{"citationItems":[{"id":"ITEM-1","itemData":{"DOI":"10.1021/ja0058583","ISSN":"0002-7863","author":[{"dropping-particle":"","family":"Pindzola","given":"Bradford A.","non-dropping-particle":"","parse-names":false,"suffix":""},{"dropping-particle":"","family":"Hoag","given":"Benjamin P.","non-dropping-particle":"","parse-names":false,"suffix":""},{"dropping-particle":"","family":"Gin","given":"Douglas L.","non-dropping-particle":"","parse-names":false,"suffix":""}],"container-title":"Journal of the American Chemical Society","id":"ITEM-1","issue":"19","issued":{"date-parts":[["2001","5"]]},"page":"4617-4618","title":"Polymerization of a Phosphonium Diene Amphiphile in the Regular Hexagonal Phase with Retention of Mesostructure","type":"article-journal","volume":"123"},"uris":["http://www.mendeley.com/documents/?uuid=672a9819-fdde-4fa4-9c26-f7f8b10dec48"]}],"mendeley":{"formattedCitation":"&lt;sup&gt;85&lt;/sup&gt;","plainTextFormattedCitation":"85","previouslyFormattedCitation":"&lt;sup&gt;85&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85</w:t>
            </w:r>
            <w:r w:rsidRPr="006D631C">
              <w:rPr>
                <w:color w:val="000000"/>
                <w:sz w:val="12"/>
                <w:szCs w:val="12"/>
              </w:rPr>
              <w:fldChar w:fldCharType="end"/>
            </w:r>
          </w:p>
        </w:tc>
      </w:tr>
      <w:tr w:rsidR="00D30146" w:rsidRPr="006D631C" w14:paraId="31AD5051" w14:textId="77777777" w:rsidTr="007D350B">
        <w:trPr>
          <w:trHeight w:val="20"/>
          <w:jc w:val="center"/>
        </w:trPr>
        <w:tc>
          <w:tcPr>
            <w:tcW w:w="851" w:type="dxa"/>
            <w:vMerge w:val="restart"/>
            <w:tcBorders>
              <w:top w:val="nil"/>
              <w:left w:val="nil"/>
              <w:bottom w:val="single" w:sz="4" w:space="0" w:color="000000"/>
              <w:right w:val="nil"/>
            </w:tcBorders>
            <w:shd w:val="clear" w:color="000000" w:fill="FFFFFF"/>
            <w:vAlign w:val="center"/>
          </w:tcPr>
          <w:p w14:paraId="17E1A47A" w14:textId="7753EE63" w:rsidR="00D30146" w:rsidRPr="006D631C" w:rsidRDefault="00D30146" w:rsidP="00D30146">
            <w:pPr>
              <w:spacing w:line="240" w:lineRule="auto"/>
              <w:jc w:val="left"/>
              <w:rPr>
                <w:color w:val="000000"/>
                <w:sz w:val="12"/>
                <w:szCs w:val="12"/>
              </w:rPr>
            </w:pPr>
            <w:r w:rsidRPr="006D631C">
              <w:rPr>
                <w:color w:val="000000"/>
                <w:sz w:val="12"/>
                <w:szCs w:val="12"/>
              </w:rPr>
              <w:t>P-A-35</w:t>
            </w:r>
          </w:p>
        </w:tc>
        <w:tc>
          <w:tcPr>
            <w:tcW w:w="709" w:type="dxa"/>
            <w:tcBorders>
              <w:top w:val="nil"/>
              <w:left w:val="nil"/>
              <w:bottom w:val="single" w:sz="4" w:space="0" w:color="auto"/>
              <w:right w:val="nil"/>
            </w:tcBorders>
            <w:shd w:val="clear" w:color="000000" w:fill="FFFFFF"/>
            <w:vAlign w:val="center"/>
          </w:tcPr>
          <w:p w14:paraId="466FA035" w14:textId="69ED426D" w:rsidR="00D30146" w:rsidRPr="006D631C" w:rsidRDefault="00D30146" w:rsidP="00D30146">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4361DA75" w14:textId="4E1A302E" w:rsidR="00D30146" w:rsidRPr="006D631C" w:rsidRDefault="00D30146" w:rsidP="00D30146">
            <w:pPr>
              <w:spacing w:line="240" w:lineRule="auto"/>
              <w:jc w:val="left"/>
              <w:rPr>
                <w:color w:val="000000"/>
                <w:sz w:val="12"/>
                <w:szCs w:val="12"/>
              </w:rPr>
            </w:pPr>
            <w:r w:rsidRPr="006D631C">
              <w:rPr>
                <w:color w:val="000000"/>
                <w:sz w:val="12"/>
                <w:szCs w:val="12"/>
              </w:rPr>
              <w:t>I-2</w:t>
            </w:r>
          </w:p>
        </w:tc>
        <w:tc>
          <w:tcPr>
            <w:tcW w:w="1276" w:type="dxa"/>
            <w:tcBorders>
              <w:top w:val="nil"/>
              <w:left w:val="nil"/>
              <w:bottom w:val="single" w:sz="4" w:space="0" w:color="auto"/>
              <w:right w:val="nil"/>
            </w:tcBorders>
            <w:shd w:val="clear" w:color="000000" w:fill="FFFFFF"/>
            <w:noWrap/>
            <w:vAlign w:val="center"/>
          </w:tcPr>
          <w:p w14:paraId="1C06A61A" w14:textId="02625AB2" w:rsidR="00D30146" w:rsidRPr="006D631C" w:rsidRDefault="00D30146" w:rsidP="00D30146">
            <w:pPr>
              <w:spacing w:line="240" w:lineRule="auto"/>
              <w:ind w:left="37"/>
              <w:jc w:val="left"/>
              <w:rPr>
                <w:color w:val="000000"/>
                <w:sz w:val="12"/>
                <w:szCs w:val="12"/>
              </w:rPr>
            </w:pPr>
            <w:r w:rsidRPr="006D631C">
              <w:rPr>
                <w:color w:val="000000"/>
                <w:sz w:val="12"/>
                <w:szCs w:val="12"/>
              </w:rPr>
              <w:t>45 - 85 (H</w:t>
            </w:r>
            <w:r w:rsidRPr="006D631C">
              <w:rPr>
                <w:color w:val="000000"/>
                <w:sz w:val="12"/>
                <w:szCs w:val="12"/>
                <w:vertAlign w:val="subscript"/>
              </w:rPr>
              <w:t>1</w:t>
            </w:r>
            <w:r w:rsidRPr="006D631C">
              <w:rPr>
                <w:color w:val="000000"/>
                <w:sz w:val="12"/>
                <w:szCs w:val="12"/>
              </w:rPr>
              <w:t>)</w:t>
            </w:r>
            <w:r w:rsidRPr="006D631C">
              <w:rPr>
                <w:color w:val="000000"/>
                <w:sz w:val="12"/>
                <w:szCs w:val="12"/>
              </w:rPr>
              <w:br/>
              <w:t>80 - 90 (Q</w:t>
            </w:r>
            <w:r w:rsidRPr="006D631C">
              <w:rPr>
                <w:color w:val="000000"/>
                <w:sz w:val="12"/>
                <w:szCs w:val="12"/>
                <w:vertAlign w:val="subscript"/>
              </w:rPr>
              <w:t>1</w:t>
            </w:r>
            <w:r w:rsidRPr="006D631C">
              <w:rPr>
                <w:color w:val="000000"/>
                <w:sz w:val="12"/>
                <w:szCs w:val="12"/>
              </w:rPr>
              <w:t>)</w:t>
            </w:r>
            <w:r w:rsidRPr="006D631C">
              <w:rPr>
                <w:color w:val="000000"/>
                <w:sz w:val="12"/>
                <w:szCs w:val="12"/>
              </w:rPr>
              <w:br/>
              <w:t>50 - 98 (L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461F06FE" w14:textId="41558222" w:rsidR="00D30146" w:rsidRPr="006D631C" w:rsidRDefault="00D30146" w:rsidP="00D30146">
            <w:pPr>
              <w:spacing w:line="240" w:lineRule="auto"/>
              <w:jc w:val="left"/>
              <w:rPr>
                <w:color w:val="000000"/>
                <w:sz w:val="12"/>
                <w:szCs w:val="12"/>
              </w:rPr>
            </w:pPr>
            <w:r w:rsidRPr="006D631C">
              <w:rPr>
                <w:color w:val="000000"/>
                <w:sz w:val="12"/>
                <w:szCs w:val="12"/>
              </w:rPr>
              <w:t>Retention of the structures</w:t>
            </w:r>
          </w:p>
        </w:tc>
        <w:tc>
          <w:tcPr>
            <w:tcW w:w="1134" w:type="dxa"/>
            <w:tcBorders>
              <w:top w:val="nil"/>
              <w:left w:val="nil"/>
              <w:bottom w:val="single" w:sz="4" w:space="0" w:color="auto"/>
              <w:right w:val="nil"/>
            </w:tcBorders>
            <w:shd w:val="clear" w:color="000000" w:fill="FFFFFF"/>
            <w:noWrap/>
            <w:vAlign w:val="center"/>
          </w:tcPr>
          <w:p w14:paraId="2F5C060E" w14:textId="086E3C74" w:rsidR="00D30146" w:rsidRPr="006D631C" w:rsidRDefault="00D30146" w:rsidP="00D30146">
            <w:pPr>
              <w:spacing w:line="240" w:lineRule="auto"/>
              <w:jc w:val="left"/>
              <w:rPr>
                <w:color w:val="000000"/>
                <w:sz w:val="12"/>
                <w:szCs w:val="12"/>
              </w:rPr>
            </w:pPr>
            <w:r w:rsidRPr="006D631C">
              <w:rPr>
                <w:color w:val="000000"/>
                <w:sz w:val="12"/>
                <w:szCs w:val="12"/>
              </w:rPr>
              <w:t>3.44 - 4.91 (H</w:t>
            </w:r>
            <w:r w:rsidRPr="006D631C">
              <w:rPr>
                <w:color w:val="000000"/>
                <w:sz w:val="12"/>
                <w:szCs w:val="12"/>
                <w:vertAlign w:val="subscript"/>
              </w:rPr>
              <w:t>1</w:t>
            </w:r>
            <w:r w:rsidRPr="006D631C">
              <w:rPr>
                <w:color w:val="000000"/>
                <w:sz w:val="12"/>
                <w:szCs w:val="12"/>
              </w:rPr>
              <w:t>)</w:t>
            </w:r>
            <w:r w:rsidRPr="006D631C">
              <w:rPr>
                <w:color w:val="000000"/>
                <w:sz w:val="12"/>
                <w:szCs w:val="12"/>
              </w:rPr>
              <w:br/>
              <w:t>2.92 - 4.41 (L</w:t>
            </w:r>
            <w:r w:rsidRPr="006D631C">
              <w:rPr>
                <w:color w:val="000000"/>
                <w:sz w:val="12"/>
                <w:szCs w:val="12"/>
                <w:vertAlign w:val="subscript"/>
              </w:rPr>
              <w:t>α</w:t>
            </w:r>
            <w:r w:rsidRPr="006D631C">
              <w:rPr>
                <w:color w:val="000000"/>
                <w:sz w:val="12"/>
                <w:szCs w:val="12"/>
              </w:rPr>
              <w:t>)</w:t>
            </w:r>
            <w:r w:rsidRPr="006D631C">
              <w:rPr>
                <w:color w:val="000000"/>
                <w:sz w:val="12"/>
                <w:szCs w:val="12"/>
              </w:rPr>
              <w:br/>
              <w:t>7.92 (Q</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7861215F" w14:textId="0811E96A" w:rsidR="00D30146" w:rsidRPr="006D631C" w:rsidRDefault="00D30146" w:rsidP="00D30146">
            <w:pPr>
              <w:spacing w:line="240" w:lineRule="auto"/>
              <w:jc w:val="left"/>
              <w:rPr>
                <w:color w:val="000000"/>
                <w:sz w:val="12"/>
                <w:szCs w:val="12"/>
              </w:rPr>
            </w:pPr>
            <w:r w:rsidRPr="006D631C">
              <w:rPr>
                <w:color w:val="000000"/>
                <w:sz w:val="12"/>
                <w:szCs w:val="12"/>
              </w:rPr>
              <w:t>3.39 - 4.88 (H</w:t>
            </w:r>
            <w:r w:rsidRPr="006D631C">
              <w:rPr>
                <w:color w:val="000000"/>
                <w:sz w:val="12"/>
                <w:szCs w:val="12"/>
                <w:vertAlign w:val="subscript"/>
              </w:rPr>
              <w:t>1</w:t>
            </w:r>
            <w:r w:rsidRPr="006D631C">
              <w:rPr>
                <w:color w:val="000000"/>
                <w:sz w:val="12"/>
                <w:szCs w:val="12"/>
              </w:rPr>
              <w:t>)</w:t>
            </w:r>
            <w:r w:rsidRPr="006D631C">
              <w:rPr>
                <w:color w:val="000000"/>
                <w:sz w:val="12"/>
                <w:szCs w:val="12"/>
              </w:rPr>
              <w:br/>
              <w:t>3.03 - 4.53 (L</w:t>
            </w:r>
            <w:r w:rsidRPr="006D631C">
              <w:rPr>
                <w:color w:val="000000"/>
                <w:sz w:val="12"/>
                <w:szCs w:val="12"/>
                <w:vertAlign w:val="subscript"/>
              </w:rPr>
              <w:t>α</w:t>
            </w:r>
            <w:r w:rsidRPr="006D631C">
              <w:rPr>
                <w:color w:val="000000"/>
                <w:sz w:val="12"/>
                <w:szCs w:val="12"/>
              </w:rPr>
              <w:t>)</w:t>
            </w:r>
            <w:r w:rsidRPr="006D631C">
              <w:rPr>
                <w:color w:val="000000"/>
                <w:sz w:val="12"/>
                <w:szCs w:val="12"/>
              </w:rPr>
              <w:br/>
              <w:t>7.67 (Q</w:t>
            </w:r>
            <w:r w:rsidRPr="006D631C">
              <w:rPr>
                <w:color w:val="000000"/>
                <w:sz w:val="12"/>
                <w:szCs w:val="12"/>
                <w:vertAlign w:val="subscript"/>
              </w:rPr>
              <w:t>1</w:t>
            </w: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tcPr>
          <w:p w14:paraId="42B03B86" w14:textId="63ACE402" w:rsidR="00D30146" w:rsidRPr="006D631C" w:rsidRDefault="00414F68" w:rsidP="00414F68">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Monomer conversion of ~23 - 71%</w:t>
            </w:r>
          </w:p>
          <w:p w14:paraId="2D2673D4" w14:textId="77777777" w:rsidR="00414F68" w:rsidRPr="006D631C" w:rsidRDefault="00414F68" w:rsidP="00414F68">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LLC formulation and structure characteristics depend on x and y of P-A-35</w:t>
            </w:r>
          </w:p>
          <w:p w14:paraId="6FC49766" w14:textId="69B1172A" w:rsidR="00414F68" w:rsidRPr="006D631C" w:rsidRDefault="00414F68" w:rsidP="00414F68">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Excellent thermal stability in air</w:t>
            </w:r>
          </w:p>
        </w:tc>
        <w:tc>
          <w:tcPr>
            <w:tcW w:w="426" w:type="dxa"/>
            <w:tcBorders>
              <w:top w:val="nil"/>
              <w:left w:val="nil"/>
              <w:bottom w:val="single" w:sz="4" w:space="0" w:color="auto"/>
              <w:right w:val="nil"/>
            </w:tcBorders>
            <w:shd w:val="clear" w:color="000000" w:fill="FFFFFF"/>
            <w:vAlign w:val="center"/>
          </w:tcPr>
          <w:p w14:paraId="63F10DDA" w14:textId="44675510" w:rsidR="00D30146" w:rsidRPr="006D631C" w:rsidRDefault="00414F68" w:rsidP="00D30146">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{"citationItems":[{"id":"ITEM-1","itemData":{"DOI":"10.1021/ja0208106","ISSN":"0002-7863","abstract":"The synthesis and lyotropic liquid-crystalline (LLC) phase behavior of a homologous series of intrinsically cross-linkable gemini surfactants are described. These novel bis(alkyl-1,3-diene)-based phosphonium gemini amphiphiles exhibit \"normal\" hexagonal (HI), Type I bicontinuous cubic (QI), and lamellar (Lα) phases in water, and can be photocross-linked with retention of phase architecture in each case. On the basis of their locations on the phase diagram, their powder X-ray diffraction profiles, and the physical properties of the cross-linked materials, the QI phases formed by these gemini monomers are consistent with four possible bicontinuous cubic architectures with P or I space group symmetry that have been identified previously for small molecule amphiphiles. The extent of polymerization (i.e., the degree of diene conversion) achieved in the LLC phases was determined to be in the 23% to 71% range using UV-vis spectrometry, which is more than sufficient to extensively stabilize the systems. The resulting cross-linked HI, Lα, and QI phases are stable up to 300 °C in air. To our knowledge, these reactive amphiphiles constitute the first example of a polymerizable gemini surfactant, and the first example of a cross-linkable amphiphile system that can be polymerized in both the HI and a QI mesophase with retention of phase microstructure.","author":[{"dropping-particle":"","family":"Pindzola","given":"Brad A.","non-dropping-particle":"","parse-names":false,"suffix":""},{"dropping-particle":"","family":"Jin","given":"Jizhu","non-dropping-particle":"","parse-names":false,"suffix":""},{"dropping-particle":"","family":"Gin","given":"Douglas L.","non-dropping-particle":"","parse-names":false,"suffix":""}],"container-title":"Journal of the American Chemical Society","id":"ITEM-1","issue":"10","issued":{"date-parts":[["2003","3"]]},"page":"2940-2949","title":"Cross-Linked Normal Hexagonal and Bicontinuous Cubic Assemblies via Polymerizable Gemini Amphiphiles","type":"article-journal","volume":"125"},"uris":["http://www.mendeley.com/documents/?uuid=cc6d4576-822b-42ed-b4d8-a32080f95537"]}],"mendeley":{"formattedCitation":"&lt;sup&gt;61&lt;/sup&gt;","plainTextFormattedCitation":"61","previouslyFormattedCitation":"&lt;sup&gt;61&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61</w:t>
            </w:r>
            <w:r w:rsidRPr="006D631C">
              <w:rPr>
                <w:color w:val="000000"/>
                <w:sz w:val="12"/>
                <w:szCs w:val="12"/>
              </w:rPr>
              <w:fldChar w:fldCharType="end"/>
            </w:r>
          </w:p>
        </w:tc>
      </w:tr>
      <w:tr w:rsidR="00147A77" w:rsidRPr="006D631C" w14:paraId="1411C2A2" w14:textId="77777777" w:rsidTr="007D350B">
        <w:trPr>
          <w:trHeight w:val="20"/>
          <w:jc w:val="center"/>
        </w:trPr>
        <w:tc>
          <w:tcPr>
            <w:tcW w:w="851" w:type="dxa"/>
            <w:vMerge/>
            <w:tcBorders>
              <w:top w:val="nil"/>
              <w:left w:val="nil"/>
              <w:bottom w:val="single" w:sz="4" w:space="0" w:color="000000"/>
              <w:right w:val="nil"/>
            </w:tcBorders>
            <w:vAlign w:val="center"/>
          </w:tcPr>
          <w:p w14:paraId="60EF1162" w14:textId="02EE820A" w:rsidR="00147A77" w:rsidRPr="006D631C" w:rsidRDefault="00147A77" w:rsidP="00147A77">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tcPr>
          <w:p w14:paraId="4E7AD443" w14:textId="5DB733B8" w:rsidR="00147A77" w:rsidRPr="006D631C" w:rsidRDefault="00147A77" w:rsidP="00147A77">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592DEB40" w14:textId="5847FFF8" w:rsidR="00147A77" w:rsidRPr="006D631C" w:rsidRDefault="00147A77" w:rsidP="00147A77">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51A6D914" w14:textId="472E3112" w:rsidR="00147A77" w:rsidRPr="006D631C" w:rsidRDefault="00147A77" w:rsidP="00147A77">
            <w:pPr>
              <w:spacing w:line="240" w:lineRule="auto"/>
              <w:ind w:left="37"/>
              <w:jc w:val="left"/>
              <w:rPr>
                <w:color w:val="000000"/>
                <w:sz w:val="12"/>
                <w:szCs w:val="12"/>
              </w:rPr>
            </w:pPr>
            <w:r w:rsidRPr="006D631C">
              <w:rPr>
                <w:color w:val="000000"/>
                <w:sz w:val="12"/>
                <w:szCs w:val="12"/>
              </w:rPr>
              <w:t>80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08E2C483" w14:textId="32342E9F" w:rsidR="00147A77" w:rsidRPr="006D631C" w:rsidRDefault="00147A77" w:rsidP="00147A77">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7E998CCF" w14:textId="16ED5C8F" w:rsidR="00147A77" w:rsidRPr="006D631C" w:rsidRDefault="00147A77" w:rsidP="00147A77">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63BBDC61" w14:textId="2B04A8C6" w:rsidR="00147A77" w:rsidRPr="006D631C" w:rsidRDefault="00147A77" w:rsidP="00147A77">
            <w:pPr>
              <w:spacing w:line="240" w:lineRule="auto"/>
              <w:jc w:val="left"/>
              <w:rPr>
                <w:color w:val="000000"/>
                <w:sz w:val="12"/>
                <w:szCs w:val="12"/>
              </w:rPr>
            </w:pPr>
            <w:r w:rsidRPr="006D631C">
              <w:rPr>
                <w:color w:val="000000"/>
                <w:sz w:val="12"/>
                <w:szCs w:val="12"/>
              </w:rPr>
              <w:t>7.23</w:t>
            </w:r>
          </w:p>
        </w:tc>
        <w:tc>
          <w:tcPr>
            <w:tcW w:w="5244" w:type="dxa"/>
            <w:tcBorders>
              <w:top w:val="nil"/>
              <w:left w:val="nil"/>
              <w:bottom w:val="single" w:sz="4" w:space="0" w:color="auto"/>
              <w:right w:val="nil"/>
            </w:tcBorders>
            <w:shd w:val="clear" w:color="000000" w:fill="FFFFFF"/>
            <w:vAlign w:val="center"/>
          </w:tcPr>
          <w:p w14:paraId="46549F51" w14:textId="77777777" w:rsidR="00147A77" w:rsidRPr="006D631C" w:rsidRDefault="00147A77" w:rsidP="00147A77">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P-A-35e was used in this study</w:t>
            </w:r>
          </w:p>
          <w:p w14:paraId="4FDD1D07" w14:textId="081F68B2" w:rsidR="00147A77" w:rsidRPr="006D631C" w:rsidRDefault="00147A77" w:rsidP="00147A77">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Membrane showed a thickness-normalized water permeability of ~ 0.089 liters m</w:t>
            </w:r>
            <w:r w:rsidRPr="006D631C">
              <w:rPr>
                <w:rFonts w:eastAsia="Times New Roman" w:cs="Times New Roman"/>
                <w:color w:val="000000"/>
                <w:sz w:val="12"/>
                <w:szCs w:val="12"/>
                <w:vertAlign w:val="superscript"/>
              </w:rPr>
              <w:t>−2</w:t>
            </w:r>
            <w:r w:rsidRPr="006D631C">
              <w:rPr>
                <w:rFonts w:eastAsia="Times New Roman" w:cs="Times New Roman"/>
                <w:color w:val="000000"/>
                <w:sz w:val="12"/>
                <w:szCs w:val="12"/>
              </w:rPr>
              <w:t xml:space="preserve"> hour</w:t>
            </w:r>
            <w:r w:rsidRPr="006D631C">
              <w:rPr>
                <w:rFonts w:eastAsia="Times New Roman" w:cs="Times New Roman"/>
                <w:color w:val="000000"/>
                <w:sz w:val="12"/>
                <w:szCs w:val="12"/>
                <w:vertAlign w:val="superscript"/>
              </w:rPr>
              <w:t>−1</w:t>
            </w:r>
            <w:r w:rsidRPr="006D631C">
              <w:rPr>
                <w:rFonts w:eastAsia="Times New Roman" w:cs="Times New Roman"/>
                <w:color w:val="000000"/>
                <w:sz w:val="12"/>
                <w:szCs w:val="12"/>
              </w:rPr>
              <w:t xml:space="preserve"> bar</w:t>
            </w:r>
            <w:r w:rsidRPr="006D631C">
              <w:rPr>
                <w:rFonts w:eastAsia="Times New Roman" w:cs="Times New Roman"/>
                <w:color w:val="000000"/>
                <w:sz w:val="12"/>
                <w:szCs w:val="12"/>
                <w:vertAlign w:val="superscript"/>
              </w:rPr>
              <w:t>−1</w:t>
            </w:r>
            <w:r w:rsidRPr="006D631C">
              <w:rPr>
                <w:rFonts w:eastAsia="Times New Roman" w:cs="Times New Roman"/>
                <w:color w:val="000000"/>
                <w:sz w:val="12"/>
                <w:szCs w:val="12"/>
              </w:rPr>
              <w:t xml:space="preserve"> </w:t>
            </w:r>
            <w:proofErr w:type="spellStart"/>
            <w:r w:rsidRPr="006D631C">
              <w:rPr>
                <w:rFonts w:eastAsia="Times New Roman" w:cs="Times New Roman"/>
                <w:color w:val="000000"/>
                <w:sz w:val="12"/>
                <w:szCs w:val="12"/>
              </w:rPr>
              <w:t>μm</w:t>
            </w:r>
            <w:proofErr w:type="spellEnd"/>
            <w:r w:rsidRPr="006D631C">
              <w:rPr>
                <w:rFonts w:eastAsia="Times New Roman" w:cs="Times New Roman"/>
                <w:color w:val="000000"/>
                <w:sz w:val="12"/>
                <w:szCs w:val="12"/>
              </w:rPr>
              <w:t>, full water flux recovery (&gt; 95%) and less than 15% water flux loss after contact with salty water and a pore size of 0.75 nm</w:t>
            </w:r>
          </w:p>
        </w:tc>
        <w:tc>
          <w:tcPr>
            <w:tcW w:w="426" w:type="dxa"/>
            <w:tcBorders>
              <w:top w:val="nil"/>
              <w:left w:val="nil"/>
              <w:bottom w:val="single" w:sz="4" w:space="0" w:color="auto"/>
              <w:right w:val="nil"/>
            </w:tcBorders>
            <w:shd w:val="clear" w:color="000000" w:fill="FFFFFF"/>
            <w:vAlign w:val="center"/>
          </w:tcPr>
          <w:p w14:paraId="70AF6710" w14:textId="18EE671D" w:rsidR="00147A77" w:rsidRPr="006D631C" w:rsidRDefault="00147A77" w:rsidP="00147A77">
            <w:pPr>
              <w:spacing w:line="240" w:lineRule="auto"/>
              <w:jc w:val="left"/>
              <w:rPr>
                <w:color w:val="000000"/>
                <w:sz w:val="12"/>
                <w:szCs w:val="12"/>
              </w:rPr>
            </w:pPr>
            <w:r w:rsidRPr="006D631C">
              <w:rPr>
                <w:color w:val="000000"/>
                <w:sz w:val="12"/>
                <w:szCs w:val="12"/>
              </w:rPr>
              <w:fldChar w:fldCharType="begin" w:fldLock="1"/>
            </w:r>
            <w:r w:rsidR="00B16425" w:rsidRPr="006D631C">
              <w:rPr>
                <w:color w:val="000000"/>
                <w:sz w:val="12"/>
                <w:szCs w:val="12"/>
              </w:rPr>
              <w:instrText>ADDIN CSL_CITATION {"citationItems":[{"id":"ITEM-1","itemData":{"DOI":"10.1021/ja073067w","ISSN":"0002-7863","abstract":"A polymeric membrane material for efficient water desalination based on a cross-linked type I bicontinuous cubic (QI) lyotropic liquid crystal (LLC) assembly is described. This ordered, nanoporous, polymer material is formed by the self-assembly of a cross-linkable gemini amphiphile in water and contains interpenetrating organic networks separated from one another by a continuous, ultrathin water layer surface (ca. 0.75 nm gap spacing) with overall cubic symmetry. Supported membranes of this material are produced by hot-pressing the initial LLC monomer gel at high pressure through a commercial microporous hydrophilic membrane support at 70 °C and then radically photocross-linking the infused QI monomer phase. In stirred dead-end water filtration tests, the resulting 40-μm thick, optically transparent, supported LLC membranes exhibit 95-99.9% rejection of dissolved salt ions, neutral molecules and macromolecules, and molecular ions in the 0.64-1.2 nm size range in a single pass. This rejection performance is slightly better than that of a commercial reverse osmosis (RO) membrane for the same solutes under the same test conditions, and significantly better than that of a commercial porous nanofiltration membrane. The LLC polymer material also exhibits a thickness- and pressure-normalized water permeability that is similar to or just slightly lower than the dense active layer materials used in current RO membranes. It is believed that the 3-D interconnected water manifold system in the cross-linked QI-phase material allows small water molecules (0.27 nm kinetic diameter) to pass through with good efficiency, while effectively rejecting dissolved solutes close in size to, or larger than, the about 0.75 nm water layer gap spacing. Copyright © 2007 American Chemical Society.","author":[{"dropping-particle":"","family":"Zhou","given":"Meijuan","non-dropping-particle":"","parse-names":false,"suffix":""},{"dropping-particle":"","family":"Nemade","given":"Parag R.","non-dropping-particle":"","parse-names":false,"suffix":""},{"dropping-particle":"","family":"Lu","given":"Xiaoyun","non-dropping-particle":"","parse-names":false,"suffix":""},{"dropping-particle":"","family":"Zeng","given":"Xiaohui","non-dropping-particle":"","parse-names":false,"suffix":""},{"dropping-particle":"","family":"Hatakeyama","given":"Evan S.","non-dropping-particle":"","parse-names":false,"suffix":""},{"dropping-particle":"","family":"Noble","given":"Richard D.","non-dropping-particle":"","parse-names":false,"suffix":""},{"dropping-particle":"","family":"Gin","given":"Douglas L.","non-dropping-particle":"","parse-names":false,"suffix":""}],"container-title":"Journal of the American Chemical Society","id":"ITEM-1","issue":"31","issued":{"date-parts":[["2007","8","1"]]},"page":"9574-9575","title":"New Type of Membrane Material for Water Desalination Based on a Cross-Linked Bicontinuous Cubic Lyotropic Liquid Crystal Assembly","type":"article-journal","volume":"129"},"uris":["http://www.mendeley.com/documents/?uuid=0d2d8de2-7149-4057-b6fa-a85131e88c1f"]}],"mendeley":{"formattedCitation":"&lt;sup&gt;34&lt;/sup&gt;","plainTextFormattedCitation":"34","previouslyFormattedCitation":"&lt;sup&gt;34&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34</w:t>
            </w:r>
            <w:r w:rsidRPr="006D631C">
              <w:rPr>
                <w:color w:val="000000"/>
                <w:sz w:val="12"/>
                <w:szCs w:val="12"/>
              </w:rPr>
              <w:fldChar w:fldCharType="end"/>
            </w:r>
          </w:p>
        </w:tc>
      </w:tr>
      <w:tr w:rsidR="00147A77" w:rsidRPr="006D631C" w14:paraId="01CE09D8" w14:textId="77777777" w:rsidTr="007D350B">
        <w:trPr>
          <w:trHeight w:val="20"/>
          <w:jc w:val="center"/>
        </w:trPr>
        <w:tc>
          <w:tcPr>
            <w:tcW w:w="851" w:type="dxa"/>
            <w:vMerge/>
            <w:tcBorders>
              <w:top w:val="nil"/>
              <w:left w:val="nil"/>
              <w:bottom w:val="single" w:sz="4" w:space="0" w:color="000000"/>
              <w:right w:val="nil"/>
            </w:tcBorders>
            <w:vAlign w:val="center"/>
          </w:tcPr>
          <w:p w14:paraId="3B235852" w14:textId="41A6841A" w:rsidR="00147A77" w:rsidRPr="006D631C" w:rsidRDefault="00147A77" w:rsidP="00147A77">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tcPr>
          <w:p w14:paraId="56000F0A" w14:textId="5D33BD09" w:rsidR="00147A77" w:rsidRPr="006D631C" w:rsidRDefault="00147A77" w:rsidP="00147A77">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5B4DD6E3" w14:textId="24E7EA59" w:rsidR="00147A77" w:rsidRPr="006D631C" w:rsidRDefault="00147A77" w:rsidP="00147A77">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54399DA7" w14:textId="501EF002" w:rsidR="00147A77" w:rsidRPr="006D631C" w:rsidRDefault="00147A77" w:rsidP="00147A77">
            <w:pPr>
              <w:spacing w:line="240" w:lineRule="auto"/>
              <w:ind w:left="37"/>
              <w:jc w:val="left"/>
              <w:rPr>
                <w:color w:val="000000"/>
                <w:sz w:val="12"/>
                <w:szCs w:val="12"/>
              </w:rPr>
            </w:pPr>
            <w:r w:rsidRPr="006D631C">
              <w:rPr>
                <w:color w:val="000000"/>
                <w:sz w:val="12"/>
                <w:szCs w:val="12"/>
              </w:rPr>
              <w:t>73.9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4161EBAE" w14:textId="6CCB9110" w:rsidR="00147A77" w:rsidRPr="006D631C" w:rsidRDefault="00147A77" w:rsidP="00147A77">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649B4E25" w14:textId="58890A8C" w:rsidR="00147A77" w:rsidRPr="006D631C" w:rsidRDefault="00147A77" w:rsidP="00147A77">
            <w:pPr>
              <w:spacing w:line="240" w:lineRule="auto"/>
              <w:jc w:val="left"/>
              <w:rPr>
                <w:color w:val="000000"/>
                <w:sz w:val="12"/>
                <w:szCs w:val="12"/>
              </w:rPr>
            </w:pPr>
            <w:r w:rsidRPr="006D631C">
              <w:rPr>
                <w:color w:val="000000"/>
                <w:sz w:val="12"/>
                <w:szCs w:val="12"/>
              </w:rPr>
              <w:t xml:space="preserve">8.86 (at 8.2 </w:t>
            </w:r>
            <w:proofErr w:type="spellStart"/>
            <w:r w:rsidRPr="006D631C">
              <w:rPr>
                <w:color w:val="000000"/>
                <w:sz w:val="12"/>
                <w:szCs w:val="12"/>
              </w:rPr>
              <w:t>wt</w:t>
            </w:r>
            <w:proofErr w:type="spellEnd"/>
            <w:r w:rsidRPr="006D631C">
              <w:rPr>
                <w:color w:val="000000"/>
                <w:sz w:val="12"/>
                <w:szCs w:val="12"/>
              </w:rPr>
              <w:t>% BR)</w:t>
            </w:r>
          </w:p>
        </w:tc>
        <w:tc>
          <w:tcPr>
            <w:tcW w:w="1134" w:type="dxa"/>
            <w:tcBorders>
              <w:top w:val="nil"/>
              <w:left w:val="nil"/>
              <w:bottom w:val="single" w:sz="4" w:space="0" w:color="auto"/>
              <w:right w:val="nil"/>
            </w:tcBorders>
            <w:shd w:val="clear" w:color="000000" w:fill="FFFFFF"/>
            <w:noWrap/>
            <w:vAlign w:val="center"/>
          </w:tcPr>
          <w:p w14:paraId="3511DCC6" w14:textId="1C6680E4" w:rsidR="00147A77" w:rsidRPr="006D631C" w:rsidRDefault="00147A77" w:rsidP="00147A77">
            <w:pPr>
              <w:spacing w:line="240" w:lineRule="auto"/>
              <w:jc w:val="left"/>
              <w:rPr>
                <w:color w:val="000000"/>
                <w:sz w:val="12"/>
                <w:szCs w:val="12"/>
              </w:rPr>
            </w:pPr>
            <w:r w:rsidRPr="006D631C">
              <w:rPr>
                <w:color w:val="000000"/>
                <w:sz w:val="12"/>
                <w:szCs w:val="12"/>
              </w:rPr>
              <w:t>8.52</w:t>
            </w:r>
          </w:p>
        </w:tc>
        <w:tc>
          <w:tcPr>
            <w:tcW w:w="5244" w:type="dxa"/>
            <w:tcBorders>
              <w:top w:val="nil"/>
              <w:left w:val="nil"/>
              <w:bottom w:val="single" w:sz="4" w:space="0" w:color="auto"/>
              <w:right w:val="nil"/>
            </w:tcBorders>
            <w:shd w:val="clear" w:color="000000" w:fill="FFFFFF"/>
            <w:vAlign w:val="center"/>
          </w:tcPr>
          <w:p w14:paraId="1E76103D" w14:textId="77777777" w:rsidR="00ED56FE" w:rsidRPr="006D631C" w:rsidRDefault="00ED56FE" w:rsidP="00147A77">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P-A-35e was used in this study</w:t>
            </w:r>
          </w:p>
          <w:p w14:paraId="4B0C2CD4" w14:textId="77777777" w:rsidR="00147A77" w:rsidRPr="006D631C" w:rsidRDefault="00ED56FE" w:rsidP="00147A77">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Broader Q</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range in phase diagram in the presence of BR (44.7 - 76.4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P-A-35e)</w:t>
            </w:r>
          </w:p>
          <w:p w14:paraId="386E2EA5" w14:textId="17967F3B" w:rsidR="00ED56FE" w:rsidRPr="006D631C" w:rsidRDefault="00ED56FE" w:rsidP="00ED56FE">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Membrane showed higher water vapor permeability compared to the membrane with H</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xml:space="preserve"> structure prepared via P-A-29 while maintaining proper CEES rejection</w:t>
            </w:r>
          </w:p>
        </w:tc>
        <w:tc>
          <w:tcPr>
            <w:tcW w:w="426" w:type="dxa"/>
            <w:tcBorders>
              <w:top w:val="nil"/>
              <w:left w:val="nil"/>
              <w:bottom w:val="single" w:sz="4" w:space="0" w:color="auto"/>
              <w:right w:val="nil"/>
            </w:tcBorders>
            <w:shd w:val="clear" w:color="000000" w:fill="FFFFFF"/>
            <w:vAlign w:val="center"/>
          </w:tcPr>
          <w:p w14:paraId="76003A6B" w14:textId="0463CA3E" w:rsidR="00147A77" w:rsidRPr="006D631C" w:rsidRDefault="00ED56FE" w:rsidP="002E14E4">
            <w:pPr>
              <w:spacing w:line="240" w:lineRule="auto"/>
              <w:ind w:right="-106"/>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10.1002/adma.200601156","ISSN":"09359648","author":[{"dropping-particle":"","family":"Lu","given":"Xiaoyun","non-dropping-particle":"","parse-names":false,"suffix":""},{"dropping-particle":"","family":"Nguyen","given":"Vinh","non-dropping-particle":"","parse-names":false,"suffix":""},{"dropping-particle":"","family":"Zhou","given":"Meijuan","non-dropping-particle":"","parse-names":false,"suffix":""},{"dropping-particle":"","family":"Zeng","given":"Xiaohui","non-dropping-particle":"","parse-names":false,"suffix":""},{"dropping-particle":"","family":"Jin","given":"Jizhu","non-dropping-particle":"","parse-names":false,"suffix":""},{"dropping-particle":"","family":"Elliott","given":"Brian J.","non-dropping-particle":"","parse-names":false,"suffix":""},{"dropping-particle":"","family":"Gin","given":"Douglas L.","non-dropping-particle":"","parse-names":false,"suffix":""}],"container-title":"Advanced Materials","id":"ITEM-1","issue":"24","issued":{"date-parts":[["2006","12","18"]]},"page":"3294-3298","title":"Crosslinked bicontinuous cubic lyotropic liquid-crystal/butyl-rubber composites: Highly selective, breathable barrier materials for chemical agent protection","type":"article-journal","volume":"18"},"uris":["http://www.mendeley.com/documents/?uuid=554c3c3f-b32f-4c00-81b2-67aee025abeb"]}],"mendeley":{"formattedCitation":"&lt;sup&gt;115&lt;/sup&gt;","plainTextFormattedCitation":"115","previouslyFormattedCitation":"&lt;sup&gt;115&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115</w:t>
            </w:r>
            <w:r w:rsidRPr="006D631C">
              <w:rPr>
                <w:color w:val="000000"/>
                <w:sz w:val="12"/>
                <w:szCs w:val="12"/>
              </w:rPr>
              <w:fldChar w:fldCharType="end"/>
            </w:r>
          </w:p>
        </w:tc>
      </w:tr>
      <w:tr w:rsidR="00147A77" w:rsidRPr="006D631C" w14:paraId="01565412" w14:textId="77777777" w:rsidTr="007D350B">
        <w:trPr>
          <w:trHeight w:val="20"/>
          <w:jc w:val="center"/>
        </w:trPr>
        <w:tc>
          <w:tcPr>
            <w:tcW w:w="851" w:type="dxa"/>
            <w:vMerge/>
            <w:tcBorders>
              <w:top w:val="nil"/>
              <w:left w:val="nil"/>
              <w:bottom w:val="single" w:sz="4" w:space="0" w:color="000000"/>
              <w:right w:val="nil"/>
            </w:tcBorders>
            <w:vAlign w:val="center"/>
          </w:tcPr>
          <w:p w14:paraId="585C5765" w14:textId="33BF0A9F" w:rsidR="00147A77" w:rsidRPr="006D631C" w:rsidRDefault="00147A77" w:rsidP="00147A77">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tcPr>
          <w:p w14:paraId="699192CF" w14:textId="70161745" w:rsidR="00147A77" w:rsidRPr="006D631C" w:rsidRDefault="00147A77" w:rsidP="00147A77">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10BA0D3B" w14:textId="1A87A216" w:rsidR="00147A77" w:rsidRPr="006D631C" w:rsidRDefault="00147A77" w:rsidP="00147A77">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4C9A57D7" w14:textId="376DCD3C" w:rsidR="00147A77" w:rsidRPr="006D631C" w:rsidRDefault="00147A77" w:rsidP="00147A77">
            <w:pPr>
              <w:spacing w:line="240" w:lineRule="auto"/>
              <w:ind w:left="37"/>
              <w:jc w:val="left"/>
              <w:rPr>
                <w:color w:val="000000"/>
                <w:sz w:val="12"/>
                <w:szCs w:val="12"/>
              </w:rPr>
            </w:pPr>
            <w:r w:rsidRPr="006D631C">
              <w:rPr>
                <w:color w:val="000000"/>
                <w:sz w:val="12"/>
                <w:szCs w:val="12"/>
              </w:rPr>
              <w:t>80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5828B0EA" w14:textId="236B711D" w:rsidR="00147A77" w:rsidRPr="006D631C" w:rsidRDefault="00147A77" w:rsidP="00147A77">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2C17EABC" w14:textId="6BDF278B" w:rsidR="00147A77" w:rsidRPr="006D631C" w:rsidRDefault="00147A77" w:rsidP="00147A77">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2C94ED17" w14:textId="6AFD00AC" w:rsidR="00147A77" w:rsidRPr="006D631C" w:rsidRDefault="00147A77" w:rsidP="00147A77">
            <w:pPr>
              <w:spacing w:line="240" w:lineRule="auto"/>
              <w:jc w:val="left"/>
              <w:rPr>
                <w:color w:val="000000"/>
                <w:sz w:val="12"/>
                <w:szCs w:val="12"/>
              </w:rPr>
            </w:pPr>
            <w:r w:rsidRPr="006D631C">
              <w:rPr>
                <w:color w:val="000000"/>
                <w:sz w:val="12"/>
                <w:szCs w:val="12"/>
              </w:rPr>
              <w:t>8.73 before ALD</w:t>
            </w:r>
            <w:r w:rsidRPr="006D631C">
              <w:rPr>
                <w:color w:val="000000"/>
                <w:sz w:val="12"/>
                <w:szCs w:val="12"/>
              </w:rPr>
              <w:br/>
              <w:t>~ 8.52  after 5 cycles ALD</w:t>
            </w:r>
            <w:r w:rsidRPr="006D631C">
              <w:rPr>
                <w:color w:val="000000"/>
                <w:sz w:val="12"/>
                <w:szCs w:val="12"/>
              </w:rPr>
              <w:br/>
              <w:t>~ 6.21 after 10 cycles  ALD</w:t>
            </w:r>
          </w:p>
        </w:tc>
        <w:tc>
          <w:tcPr>
            <w:tcW w:w="5244" w:type="dxa"/>
            <w:tcBorders>
              <w:top w:val="nil"/>
              <w:left w:val="nil"/>
              <w:bottom w:val="single" w:sz="4" w:space="0" w:color="auto"/>
              <w:right w:val="nil"/>
            </w:tcBorders>
            <w:shd w:val="clear" w:color="000000" w:fill="FFFFFF"/>
            <w:vAlign w:val="center"/>
          </w:tcPr>
          <w:p w14:paraId="0719A50F" w14:textId="77777777" w:rsidR="000156A9" w:rsidRPr="006D631C" w:rsidRDefault="000156A9" w:rsidP="00147A77">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P-A-35e was used in this study</w:t>
            </w:r>
          </w:p>
          <w:p w14:paraId="17E5BF5B" w14:textId="77777777" w:rsidR="00147A77" w:rsidRPr="006D631C" w:rsidRDefault="000156A9" w:rsidP="00147A77">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ALD of alumina was carried out to modify/reduce the pore size</w:t>
            </w:r>
          </w:p>
          <w:p w14:paraId="1DAB74D4" w14:textId="3C8C43DC" w:rsidR="000156A9" w:rsidRPr="006D631C" w:rsidRDefault="000156A9" w:rsidP="00147A77">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After 10 cycles of ALD, the gas selectivity of hydrogen/nitrogen increased from 12 to 65 while gas permeability decreased ~ 40%</w:t>
            </w:r>
          </w:p>
        </w:tc>
        <w:tc>
          <w:tcPr>
            <w:tcW w:w="426" w:type="dxa"/>
            <w:tcBorders>
              <w:top w:val="nil"/>
              <w:left w:val="nil"/>
              <w:bottom w:val="single" w:sz="4" w:space="0" w:color="auto"/>
              <w:right w:val="nil"/>
            </w:tcBorders>
            <w:shd w:val="clear" w:color="000000" w:fill="FFFFFF"/>
            <w:vAlign w:val="center"/>
          </w:tcPr>
          <w:p w14:paraId="55ADA316" w14:textId="38CA856C" w:rsidR="00147A77" w:rsidRPr="006D631C" w:rsidRDefault="000156A9"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 xml:space="preserve">ADDIN CSL_CITATION {"citationItems":[{"id":"ITEM-1","itemData":{"DOI":"10.1016/j.memsci.2009.11.067","ISSN":"03767388","abstract":"Supported type I bicontinuous cubic (QI) lyotropic liquid crystal (LLC) polymer membranes with a 3D-interconnected porous structure and an effective pore size of 0.75 nm were modified by alumina atomic layer deposition (ALD). The ALD-modified polymer membranes have an effective pore size smaller than 0.55 nm and show promise for gas separations. With 10 cycles of alumina ALD coating, the selectivity of an ALD-modified QI-phase LLC polymer membrane for H2/N2 greatly increased from 12 to 65, while the permeance of H2 decreased </w:instrText>
            </w:r>
            <w:r w:rsidR="005C60C1" w:rsidRPr="006D631C">
              <w:rPr>
                <w:rFonts w:ascii="Cambria Math" w:hAnsi="Cambria Math" w:cs="Cambria Math"/>
                <w:color w:val="000000"/>
                <w:sz w:val="12"/>
                <w:szCs w:val="12"/>
              </w:rPr>
              <w:instrText>∼</w:instrText>
            </w:r>
            <w:r w:rsidR="005C60C1" w:rsidRPr="006D631C">
              <w:rPr>
                <w:color w:val="000000"/>
                <w:sz w:val="12"/>
                <w:szCs w:val="12"/>
              </w:rPr>
              <w:instrText>40%. The ALD membrane modification approach described here appears to be universal and has the potential to modify other nanoporous membranes for size-selective separation. © 2009 Elsevier B.V. All rights reserved.","author":[{"dropping-particle":"","family":"Liang","given":"Xinhua","non-dropping-particle":"","parse-names":false,"suffix":""},{"dropping-particle":"","family":"Lu","given":"Xiaoyun","non-dropping-particle":"","parse-names":false,"suffix":""},{"dropping-particle":"","family":"Yu","given":"Miao","non-dropping-particle":"","parse-names":false,"suffix":""},{"dropping-particle":"","family":"Cavanagh","given":"Andrew S.","non-dropping-particle":"","parse-names":false,"suffix":""},{"dropping-particle":"","family":"Gin","given":"Douglas L.","non-dropping-particle":"","parse-names":false,"suffix":""},{"dropping-particle":"","family":"Weimer","given":"Alan W.","non-dropping-particle":"","parse-names":false,"suffix":""}],"container-title":"Journal of Membrane Science","id":"ITEM-1","issue":"1-2","issued":{"date-parts":[["2010"]]},"page":"1-5","title":"Modification of nanoporous supported lyotropic liquid crystal polymer membranes by atomic layer deposition","type":"article-journal","volume":"349"},"uris":["http://www.mendeley.com/documents/?uuid=3a09af60-68cf-4353-89a4-9a332bc0b7dd"]}],"mendeley":{"formattedCitation":"&lt;sup&gt;117&lt;/sup&gt;","plainTextFormattedCitation":"117","previouslyFormattedCitation":"&lt;sup&gt;117&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117</w:t>
            </w:r>
            <w:r w:rsidRPr="006D631C">
              <w:rPr>
                <w:color w:val="000000"/>
                <w:sz w:val="12"/>
                <w:szCs w:val="12"/>
              </w:rPr>
              <w:fldChar w:fldCharType="end"/>
            </w:r>
          </w:p>
        </w:tc>
      </w:tr>
      <w:tr w:rsidR="00C55D3F" w:rsidRPr="006D631C" w14:paraId="0C7B4D78" w14:textId="77777777" w:rsidTr="007D350B">
        <w:trPr>
          <w:trHeight w:val="20"/>
          <w:jc w:val="center"/>
        </w:trPr>
        <w:tc>
          <w:tcPr>
            <w:tcW w:w="851" w:type="dxa"/>
            <w:vMerge/>
            <w:tcBorders>
              <w:top w:val="nil"/>
              <w:left w:val="nil"/>
              <w:bottom w:val="single" w:sz="4" w:space="0" w:color="000000"/>
              <w:right w:val="nil"/>
            </w:tcBorders>
            <w:vAlign w:val="center"/>
          </w:tcPr>
          <w:p w14:paraId="67E3D82E" w14:textId="0DEA8DD6" w:rsidR="00C55D3F" w:rsidRPr="006D631C" w:rsidRDefault="00C55D3F" w:rsidP="00C55D3F">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tcPr>
          <w:p w14:paraId="2AE94BE8" w14:textId="6061EEBF" w:rsidR="00C55D3F" w:rsidRPr="006D631C" w:rsidRDefault="00C55D3F" w:rsidP="00C55D3F">
            <w:pPr>
              <w:spacing w:line="240" w:lineRule="auto"/>
              <w:jc w:val="left"/>
              <w:rPr>
                <w:color w:val="000000"/>
                <w:sz w:val="12"/>
                <w:szCs w:val="12"/>
              </w:rPr>
            </w:pPr>
            <w:r w:rsidRPr="006D631C">
              <w:rPr>
                <w:color w:val="000000"/>
                <w:sz w:val="10"/>
                <w:szCs w:val="10"/>
              </w:rPr>
              <w:t>-</w:t>
            </w:r>
          </w:p>
        </w:tc>
        <w:tc>
          <w:tcPr>
            <w:tcW w:w="708" w:type="dxa"/>
            <w:tcBorders>
              <w:top w:val="nil"/>
              <w:left w:val="nil"/>
              <w:bottom w:val="single" w:sz="4" w:space="0" w:color="auto"/>
              <w:right w:val="nil"/>
            </w:tcBorders>
            <w:shd w:val="clear" w:color="000000" w:fill="FFFFFF"/>
            <w:vAlign w:val="center"/>
          </w:tcPr>
          <w:p w14:paraId="5311D780" w14:textId="2810FD8A" w:rsidR="00C55D3F" w:rsidRPr="006D631C" w:rsidRDefault="00C55D3F" w:rsidP="00C55D3F">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6E8529A1" w14:textId="16F8F780" w:rsidR="00C55D3F" w:rsidRPr="006D631C" w:rsidRDefault="00C55D3F" w:rsidP="00C55D3F">
            <w:pPr>
              <w:spacing w:line="240" w:lineRule="auto"/>
              <w:ind w:left="37"/>
              <w:jc w:val="left"/>
              <w:rPr>
                <w:color w:val="000000"/>
                <w:sz w:val="12"/>
                <w:szCs w:val="12"/>
              </w:rPr>
            </w:pPr>
            <w:r w:rsidRPr="006D631C">
              <w:rPr>
                <w:color w:val="000000"/>
                <w:sz w:val="12"/>
                <w:szCs w:val="12"/>
              </w:rPr>
              <w:t>80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059B076B" w14:textId="070FA606" w:rsidR="00C55D3F" w:rsidRPr="006D631C" w:rsidRDefault="00C55D3F" w:rsidP="00C55D3F">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27784626" w14:textId="7E60D811" w:rsidR="00C55D3F" w:rsidRPr="006D631C" w:rsidRDefault="00C55D3F" w:rsidP="00C55D3F">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4C27F513" w14:textId="644E049A" w:rsidR="00C55D3F" w:rsidRPr="006D631C" w:rsidRDefault="00C55D3F" w:rsidP="00C55D3F">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tcPr>
          <w:p w14:paraId="06BABC04" w14:textId="77777777" w:rsidR="00C55D3F" w:rsidRPr="006D631C" w:rsidRDefault="00C55D3F" w:rsidP="00C55D3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P-A-35e was used in this study</w:t>
            </w:r>
          </w:p>
          <w:p w14:paraId="43CDE774" w14:textId="13A02CB7" w:rsidR="00C55D3F" w:rsidRPr="006D631C" w:rsidRDefault="00C55D3F" w:rsidP="00C07498">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Membrane exhibited a water filtration performance in between that of conventional NF and RO membranes</w:t>
            </w:r>
            <w:r w:rsidR="00C07498" w:rsidRPr="006D631C">
              <w:rPr>
                <w:rFonts w:eastAsia="Times New Roman" w:cs="Times New Roman"/>
                <w:color w:val="000000"/>
                <w:sz w:val="12"/>
                <w:szCs w:val="12"/>
              </w:rPr>
              <w:t xml:space="preserve"> </w:t>
            </w:r>
            <w:r w:rsidRPr="006D631C">
              <w:rPr>
                <w:rFonts w:eastAsia="Times New Roman" w:cs="Times New Roman"/>
                <w:color w:val="000000"/>
                <w:sz w:val="12"/>
                <w:szCs w:val="12"/>
              </w:rPr>
              <w:t>and excellent resistance against chlorine degradation</w:t>
            </w:r>
          </w:p>
        </w:tc>
        <w:tc>
          <w:tcPr>
            <w:tcW w:w="426" w:type="dxa"/>
            <w:tcBorders>
              <w:top w:val="nil"/>
              <w:left w:val="nil"/>
              <w:bottom w:val="single" w:sz="4" w:space="0" w:color="auto"/>
              <w:right w:val="nil"/>
            </w:tcBorders>
            <w:shd w:val="clear" w:color="000000" w:fill="FFFFFF"/>
            <w:vAlign w:val="center"/>
          </w:tcPr>
          <w:p w14:paraId="4D352FE5" w14:textId="4F1568A6" w:rsidR="00C55D3F" w:rsidRPr="006D631C" w:rsidRDefault="00C55D3F"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{"citationItems":[{"id":"ITEM-1","itemData":{"DOI":"10.1016/j.memsci.2010.09.028","ISSN":"03767388","abstract":"The water filtration performance of a supported, nanostructured, lyotropic (i.e., surfactant) liquid crystal (LLC) polymer membrane containing uniform, sub-1-nm pores was examined in more detail using more extensive aqueous filtration tests and a more structurally representative nanopore model. This nanoporous membrane material is based on the radical cross-linking of an ionic, LLC monomer that forms a type I bicontinuous cubic (QI) phase with a 3D interconnected, annulus-like, water pore network. Previously, initial water transport studies using a limited number of solutes demonstrated initial proof-of-concept that this LLC polymer membrane can reject small molecules based on molecular size discrimination. In this study, more comprehensive transport experiments using aqueous solutions containing a wider range of different size neutral organic molecules and salt ions were undertaken. The results of these experiments showed that the LLC polymer membrane has a rejection performance in between that of a commercial, high-performance reverse osmosis (RO) membrane (Dow SW30HR) and that of a conventional porous nanofiltration (NF) membrane (Dow NF-270) with non-uniform pore sizes. Specifically, the LLC membrane was found to reject inorganic salt ions much better than a NF membrane, and on a level comparable to a RO membrane. It does not reject small neutral organic solutes as well as a RO membrane, but it was found to reject organic solutes better than a conventional NF membrane. Also, the organic solute rejection behavior was fitted using two different Donnan-steric pore models (DSPM) with different pore shapes (i.e., cylindrical and straight slit). It was determined that the QI-phase LLC membrane has an effective pore radius between 0.29nm and 0.45nm. This modeling also suggested that the LLC nanopores are indeed uniform in size. Initial chemical stability and fouling experiments suggest this nanoporous LLC polymer membrane is also very resistant to chlorine degradation and protein fouling. This combination of properties makes this nanoporous LLC polymer a very promising membrane material for water desalination and other NF processes. © 2010 Elsevier B.V.","author":[{"dropping-particle":"","family":"Hatakeyama","given":"Evan S.","non-dropping-particle":"","parse-names":false,"suffix":""},{"dropping-particle":"","family":"Gabriel","given":"Christopher J.","non-dropping-particle":"","parse-names":false,"suffix":""},{"dropping-particle":"","family":"Wiesenauer","given":"Brian R.","non-dropping-particle":"","parse-names":false,"suffix":""},{"dropping-particle":"","family":"Lohr","given":"Jenny L.","non-dropping-particle":"","parse-names":false,"suffix":""},{"dropping-particle":"","family":"Zhou","given":"Meijuan","non-dropping-particle":"","parse-names":false,"suffix":""},{"dropping-particle":"","family":"Noble","given":"Richard D.","non-dropping-particle":"","parse-names":false,"suffix":""},{"dropping-particle":"","family":"Gin","given":"Douglas L.","non-dropping-particle":"","parse-names":false,"suffix":""}],"container-title":"Journal of Membrane Science","id":"ITEM-1","issue":"1-2","issued":{"date-parts":[["2011"]]},"page":"62-72","title":"Water filtration performance of a lyotropic liquid crystal polymer membrane with uniform, sub-1-nm pores","type":"article-journal","volume":"366"},"uris":["http://www.mendeley.com/documents/?uuid=d888101c-302c-452d-bb53-4b70c2c9325c"]}],"mendeley":{"formattedCitation":"&lt;sup&gt;119&lt;/sup&gt;","plainTextFormattedCitation":"119","previouslyFormattedCitation":"&lt;sup&gt;119&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119</w:t>
            </w:r>
            <w:r w:rsidRPr="006D631C">
              <w:rPr>
                <w:color w:val="000000"/>
                <w:sz w:val="12"/>
                <w:szCs w:val="12"/>
              </w:rPr>
              <w:fldChar w:fldCharType="end"/>
            </w:r>
          </w:p>
        </w:tc>
      </w:tr>
      <w:tr w:rsidR="007F0266" w:rsidRPr="006D631C" w14:paraId="0FDEE542" w14:textId="77777777" w:rsidTr="007C6378">
        <w:trPr>
          <w:trHeight w:val="20"/>
          <w:jc w:val="center"/>
        </w:trPr>
        <w:tc>
          <w:tcPr>
            <w:tcW w:w="851" w:type="dxa"/>
            <w:tcBorders>
              <w:top w:val="nil"/>
              <w:left w:val="nil"/>
              <w:bottom w:val="single" w:sz="4" w:space="0" w:color="auto"/>
              <w:right w:val="nil"/>
            </w:tcBorders>
            <w:shd w:val="clear" w:color="000000" w:fill="FFFFFF"/>
            <w:vAlign w:val="center"/>
          </w:tcPr>
          <w:p w14:paraId="40763438" w14:textId="2A488D19" w:rsidR="007F0266" w:rsidRPr="006D631C" w:rsidRDefault="007F0266" w:rsidP="007F0266">
            <w:pPr>
              <w:spacing w:line="240" w:lineRule="auto"/>
              <w:jc w:val="left"/>
              <w:rPr>
                <w:color w:val="000000"/>
                <w:sz w:val="12"/>
                <w:szCs w:val="12"/>
              </w:rPr>
            </w:pPr>
            <w:r w:rsidRPr="006D631C">
              <w:rPr>
                <w:color w:val="000000"/>
                <w:sz w:val="12"/>
                <w:szCs w:val="12"/>
              </w:rPr>
              <w:t>P-A-36</w:t>
            </w:r>
          </w:p>
        </w:tc>
        <w:tc>
          <w:tcPr>
            <w:tcW w:w="709" w:type="dxa"/>
            <w:tcBorders>
              <w:top w:val="nil"/>
              <w:left w:val="nil"/>
              <w:bottom w:val="single" w:sz="4" w:space="0" w:color="auto"/>
              <w:right w:val="nil"/>
            </w:tcBorders>
            <w:shd w:val="clear" w:color="000000" w:fill="FFFFFF"/>
            <w:vAlign w:val="center"/>
          </w:tcPr>
          <w:p w14:paraId="11BE0F4E" w14:textId="3C59CAA7" w:rsidR="007F0266" w:rsidRPr="006D631C" w:rsidRDefault="007F0266" w:rsidP="007F0266">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435DD756" w14:textId="5BC048F3" w:rsidR="007F0266" w:rsidRPr="006D631C" w:rsidRDefault="007F0266" w:rsidP="007F0266">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021ADA55" w14:textId="27159466" w:rsidR="007F0266" w:rsidRPr="006D631C" w:rsidRDefault="007F0266" w:rsidP="007F0266">
            <w:pPr>
              <w:spacing w:line="240" w:lineRule="auto"/>
              <w:ind w:left="37"/>
              <w:jc w:val="left"/>
              <w:rPr>
                <w:color w:val="000000"/>
                <w:sz w:val="12"/>
                <w:szCs w:val="12"/>
              </w:rPr>
            </w:pPr>
            <w:r w:rsidRPr="006D631C">
              <w:rPr>
                <w:color w:val="000000"/>
                <w:sz w:val="12"/>
                <w:szCs w:val="12"/>
              </w:rPr>
              <w:t>84.2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5B36AB6B" w14:textId="4B1D9B19" w:rsidR="007F0266" w:rsidRPr="006D631C" w:rsidRDefault="007F0266" w:rsidP="007F0266">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5B5B1F15" w14:textId="49D3DE7B" w:rsidR="007F0266" w:rsidRPr="006D631C" w:rsidRDefault="007F0266" w:rsidP="007F0266">
            <w:pPr>
              <w:spacing w:line="240" w:lineRule="auto"/>
              <w:jc w:val="left"/>
              <w:rPr>
                <w:color w:val="000000"/>
                <w:sz w:val="12"/>
                <w:szCs w:val="12"/>
              </w:rPr>
            </w:pPr>
            <w:r w:rsidRPr="006D631C">
              <w:rPr>
                <w:color w:val="000000"/>
                <w:sz w:val="12"/>
                <w:szCs w:val="12"/>
              </w:rPr>
              <w:t>4.95 - 6.73</w:t>
            </w:r>
          </w:p>
        </w:tc>
        <w:tc>
          <w:tcPr>
            <w:tcW w:w="1134" w:type="dxa"/>
            <w:tcBorders>
              <w:top w:val="nil"/>
              <w:left w:val="nil"/>
              <w:bottom w:val="single" w:sz="4" w:space="0" w:color="auto"/>
              <w:right w:val="nil"/>
            </w:tcBorders>
            <w:shd w:val="clear" w:color="000000" w:fill="FFFFFF"/>
            <w:noWrap/>
            <w:vAlign w:val="center"/>
          </w:tcPr>
          <w:p w14:paraId="51C45918" w14:textId="600AEAB3" w:rsidR="007F0266" w:rsidRPr="006D631C" w:rsidRDefault="007F0266" w:rsidP="007F0266">
            <w:pPr>
              <w:spacing w:line="240" w:lineRule="auto"/>
              <w:jc w:val="left"/>
              <w:rPr>
                <w:color w:val="000000"/>
                <w:sz w:val="12"/>
                <w:szCs w:val="12"/>
              </w:rPr>
            </w:pPr>
            <w:r w:rsidRPr="006D631C">
              <w:rPr>
                <w:color w:val="000000"/>
                <w:sz w:val="12"/>
                <w:szCs w:val="12"/>
              </w:rPr>
              <w:t xml:space="preserve">7.35 - 9.46 </w:t>
            </w:r>
          </w:p>
        </w:tc>
        <w:tc>
          <w:tcPr>
            <w:tcW w:w="5244" w:type="dxa"/>
            <w:tcBorders>
              <w:top w:val="nil"/>
              <w:left w:val="nil"/>
              <w:bottom w:val="single" w:sz="4" w:space="0" w:color="auto"/>
              <w:right w:val="nil"/>
            </w:tcBorders>
            <w:shd w:val="clear" w:color="000000" w:fill="FFFFFF"/>
            <w:vAlign w:val="center"/>
          </w:tcPr>
          <w:p w14:paraId="50A5D60E" w14:textId="77777777" w:rsidR="00EE7477" w:rsidRPr="006D631C" w:rsidRDefault="00EE7477" w:rsidP="00EE7477">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Only P-A-36c and  P-A-36f can produce Q</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structure</w:t>
            </w:r>
          </w:p>
          <w:p w14:paraId="750AB8B5" w14:textId="77777777" w:rsidR="007F0266" w:rsidRPr="006D631C" w:rsidRDefault="00EE7477" w:rsidP="00EE7477">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P-A-36 is cheaper than P-A-35 to be produced</w:t>
            </w:r>
          </w:p>
          <w:p w14:paraId="749AE035" w14:textId="5B4BF07B" w:rsidR="00EE7477" w:rsidRPr="006D631C" w:rsidRDefault="00EE7477" w:rsidP="00EE7477">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The synthesized membrane showed water flux and permeability comparable to the membrane prepared by P-A-35</w:t>
            </w:r>
          </w:p>
        </w:tc>
        <w:tc>
          <w:tcPr>
            <w:tcW w:w="426" w:type="dxa"/>
            <w:tcBorders>
              <w:top w:val="nil"/>
              <w:left w:val="nil"/>
              <w:bottom w:val="single" w:sz="4" w:space="0" w:color="auto"/>
              <w:right w:val="nil"/>
            </w:tcBorders>
            <w:shd w:val="clear" w:color="000000" w:fill="FFFFFF"/>
            <w:vAlign w:val="center"/>
          </w:tcPr>
          <w:p w14:paraId="74984012" w14:textId="4B15D121" w:rsidR="007F0266" w:rsidRPr="006D631C" w:rsidRDefault="00EE7477"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{"citationItems":[{"id":"ITEM-1","itemData":{"DOI":"10.1021/cm1013027","ISSN":"08974756","abstract":"New polymerizable gemini ammonium surfactants can be cross-linked in a type I bicontinuous cubic lyotropic liquid crystal phase with water to afford nanoporous polymer membranes with sub-1 nm 3D pores for water nanofiltration applications. © 2010 American Chemical Society.","author":[{"dropping-particle":"","family":"Hatakeyama","given":"Evan S.","non-dropping-particle":"","parse-names":false,"suffix":""},{"dropping-particle":"","family":"Wiesenauer","given":"Brian R.","non-dropping-particle":"","parse-names":false,"suffix":""},{"dropping-particle":"","family":"Gabriel","given":"Christopher J.","non-dropping-particle":"","parse-names":false,"suffix":""},{"dropping-particle":"","family":"Noble","given":"Richard D.","non-dropping-particle":"","parse-names":false,"suffix":""},{"dropping-particle":"","family":"Gin","given":"Douglas L.","non-dropping-particle":"","parse-names":false,"suffix":""}],"container-title":"Chemistry of Materials","id":"ITEM-1","issue":"16","issued":{"date-parts":[["2010"]]},"page":"4525-4527","title":"Nanoporous, bicontinuous cubic lyotropic liquid crystal networks via polymerizable gemini ammonium surfactants","type":"article-journal","volume":"22"},"uris":["http://www.mendeley.com/documents/?uuid=ee60048f-096b-4632-81a8-8b2118bda996"]}],"mendeley":{"formattedCitation":"&lt;sup&gt;118&lt;/sup&gt;","plainTextFormattedCitation":"118","previouslyFormattedCitation":"&lt;sup&gt;118&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118</w:t>
            </w:r>
            <w:r w:rsidRPr="006D631C">
              <w:rPr>
                <w:color w:val="000000"/>
                <w:sz w:val="12"/>
                <w:szCs w:val="12"/>
              </w:rPr>
              <w:fldChar w:fldCharType="end"/>
            </w:r>
          </w:p>
        </w:tc>
      </w:tr>
      <w:tr w:rsidR="00607A31" w:rsidRPr="006D631C" w14:paraId="25A1B6A8" w14:textId="77777777" w:rsidTr="007D350B">
        <w:trPr>
          <w:trHeight w:val="20"/>
          <w:jc w:val="center"/>
        </w:trPr>
        <w:tc>
          <w:tcPr>
            <w:tcW w:w="851" w:type="dxa"/>
            <w:tcBorders>
              <w:top w:val="nil"/>
              <w:left w:val="nil"/>
              <w:bottom w:val="single" w:sz="4" w:space="0" w:color="auto"/>
              <w:right w:val="nil"/>
            </w:tcBorders>
            <w:shd w:val="clear" w:color="000000" w:fill="FFFFFF"/>
            <w:vAlign w:val="center"/>
          </w:tcPr>
          <w:p w14:paraId="6DD496CF" w14:textId="10D09BE8" w:rsidR="00607A31" w:rsidRPr="006D631C" w:rsidRDefault="00607A31" w:rsidP="00607A31">
            <w:pPr>
              <w:spacing w:line="240" w:lineRule="auto"/>
              <w:jc w:val="left"/>
              <w:rPr>
                <w:color w:val="000000"/>
                <w:sz w:val="12"/>
                <w:szCs w:val="12"/>
              </w:rPr>
            </w:pPr>
            <w:r w:rsidRPr="006D631C">
              <w:rPr>
                <w:color w:val="000000"/>
                <w:sz w:val="12"/>
                <w:szCs w:val="12"/>
              </w:rPr>
              <w:t>P-A-37</w:t>
            </w:r>
          </w:p>
        </w:tc>
        <w:tc>
          <w:tcPr>
            <w:tcW w:w="12049" w:type="dxa"/>
            <w:gridSpan w:val="8"/>
            <w:tcBorders>
              <w:top w:val="single" w:sz="4" w:space="0" w:color="auto"/>
              <w:left w:val="nil"/>
              <w:bottom w:val="single" w:sz="4" w:space="0" w:color="auto"/>
            </w:tcBorders>
            <w:shd w:val="clear" w:color="000000" w:fill="FFFFFF"/>
            <w:vAlign w:val="center"/>
          </w:tcPr>
          <w:p w14:paraId="51041B8C" w14:textId="1791FBFD" w:rsidR="00607A31" w:rsidRPr="006D631C" w:rsidRDefault="00607A31" w:rsidP="00607A31">
            <w:pPr>
              <w:spacing w:line="240" w:lineRule="auto"/>
              <w:jc w:val="left"/>
              <w:rPr>
                <w:color w:val="000000"/>
                <w:sz w:val="12"/>
                <w:szCs w:val="12"/>
              </w:rPr>
            </w:pPr>
            <w:r w:rsidRPr="006D631C">
              <w:rPr>
                <w:color w:val="000000"/>
                <w:sz w:val="12"/>
                <w:szCs w:val="12"/>
              </w:rPr>
              <w:t>This reactive surfactant has been used for transcriptive templating. See Table 1-3/M-22 section.</w:t>
            </w:r>
            <w:r w:rsidRPr="006D631C">
              <w:rPr>
                <w:rFonts w:ascii="Calibri" w:hAnsi="Calibri" w:cs="Calibri"/>
                <w:color w:val="000000"/>
                <w:sz w:val="12"/>
                <w:szCs w:val="12"/>
              </w:rPr>
              <w:t> </w:t>
            </w:r>
          </w:p>
        </w:tc>
      </w:tr>
      <w:tr w:rsidR="00B83AD5" w:rsidRPr="006D631C" w14:paraId="0579BFE9" w14:textId="77777777" w:rsidTr="007D350B">
        <w:trPr>
          <w:trHeight w:val="20"/>
          <w:jc w:val="center"/>
        </w:trPr>
        <w:tc>
          <w:tcPr>
            <w:tcW w:w="851" w:type="dxa"/>
            <w:vMerge w:val="restart"/>
            <w:tcBorders>
              <w:top w:val="nil"/>
              <w:left w:val="nil"/>
              <w:bottom w:val="single" w:sz="4" w:space="0" w:color="000000"/>
              <w:right w:val="nil"/>
            </w:tcBorders>
            <w:shd w:val="clear" w:color="000000" w:fill="FFFFFF"/>
            <w:vAlign w:val="center"/>
          </w:tcPr>
          <w:p w14:paraId="4883A2B2" w14:textId="7157B244" w:rsidR="00B83AD5" w:rsidRPr="006D631C" w:rsidRDefault="00B83AD5" w:rsidP="00B83AD5">
            <w:pPr>
              <w:spacing w:line="240" w:lineRule="auto"/>
              <w:jc w:val="left"/>
              <w:rPr>
                <w:color w:val="000000"/>
                <w:sz w:val="12"/>
                <w:szCs w:val="12"/>
              </w:rPr>
            </w:pPr>
            <w:r w:rsidRPr="006D631C">
              <w:rPr>
                <w:color w:val="000000"/>
                <w:sz w:val="12"/>
                <w:szCs w:val="12"/>
              </w:rPr>
              <w:t>P-A-38</w:t>
            </w:r>
            <w:r w:rsidR="00C74737" w:rsidRPr="006D631C">
              <w:rPr>
                <w:color w:val="000000"/>
                <w:sz w:val="12"/>
                <w:szCs w:val="12"/>
              </w:rPr>
              <w:t xml:space="preserve"> /    P-A-39 </w:t>
            </w:r>
          </w:p>
        </w:tc>
        <w:tc>
          <w:tcPr>
            <w:tcW w:w="709" w:type="dxa"/>
            <w:tcBorders>
              <w:top w:val="single" w:sz="4" w:space="0" w:color="auto"/>
              <w:left w:val="nil"/>
              <w:bottom w:val="single" w:sz="4" w:space="0" w:color="auto"/>
              <w:right w:val="nil"/>
            </w:tcBorders>
            <w:shd w:val="clear" w:color="000000" w:fill="FFFFFF"/>
            <w:vAlign w:val="center"/>
          </w:tcPr>
          <w:p w14:paraId="7D0573FB" w14:textId="78ABD9C7" w:rsidR="00B83AD5" w:rsidRPr="006D631C" w:rsidRDefault="00B83AD5" w:rsidP="00B83AD5">
            <w:pPr>
              <w:spacing w:line="240" w:lineRule="auto"/>
              <w:jc w:val="left"/>
              <w:rPr>
                <w:color w:val="000000"/>
                <w:sz w:val="12"/>
                <w:szCs w:val="12"/>
              </w:rPr>
            </w:pPr>
            <w:r w:rsidRPr="006D631C">
              <w:rPr>
                <w:color w:val="000000"/>
                <w:sz w:val="12"/>
                <w:szCs w:val="12"/>
              </w:rPr>
              <w:t>-</w:t>
            </w:r>
          </w:p>
        </w:tc>
        <w:tc>
          <w:tcPr>
            <w:tcW w:w="708" w:type="dxa"/>
            <w:tcBorders>
              <w:top w:val="single" w:sz="4" w:space="0" w:color="auto"/>
              <w:left w:val="nil"/>
              <w:bottom w:val="single" w:sz="4" w:space="0" w:color="auto"/>
              <w:right w:val="nil"/>
            </w:tcBorders>
            <w:shd w:val="clear" w:color="000000" w:fill="FFFFFF"/>
            <w:vAlign w:val="center"/>
          </w:tcPr>
          <w:p w14:paraId="553F64E9" w14:textId="73CE98BB" w:rsidR="00B83AD5" w:rsidRPr="006D631C" w:rsidRDefault="00B83AD5" w:rsidP="00B83AD5">
            <w:pPr>
              <w:spacing w:line="240" w:lineRule="auto"/>
              <w:jc w:val="left"/>
              <w:rPr>
                <w:color w:val="000000"/>
                <w:sz w:val="12"/>
                <w:szCs w:val="12"/>
              </w:rPr>
            </w:pPr>
            <w:r w:rsidRPr="006D631C">
              <w:rPr>
                <w:color w:val="000000"/>
                <w:sz w:val="12"/>
                <w:szCs w:val="12"/>
              </w:rPr>
              <w:t>I-1</w:t>
            </w:r>
          </w:p>
        </w:tc>
        <w:tc>
          <w:tcPr>
            <w:tcW w:w="1276" w:type="dxa"/>
            <w:tcBorders>
              <w:top w:val="single" w:sz="4" w:space="0" w:color="auto"/>
              <w:left w:val="nil"/>
              <w:bottom w:val="single" w:sz="4" w:space="0" w:color="auto"/>
              <w:right w:val="nil"/>
            </w:tcBorders>
            <w:shd w:val="clear" w:color="000000" w:fill="FFFFFF"/>
            <w:noWrap/>
            <w:vAlign w:val="center"/>
          </w:tcPr>
          <w:p w14:paraId="7C0F1AE1" w14:textId="1B4CE800" w:rsidR="00B83AD5" w:rsidRPr="006D631C" w:rsidRDefault="00B83AD5" w:rsidP="00B83AD5">
            <w:pPr>
              <w:spacing w:line="240" w:lineRule="auto"/>
              <w:ind w:left="37"/>
              <w:jc w:val="left"/>
              <w:rPr>
                <w:color w:val="000000"/>
                <w:sz w:val="12"/>
                <w:szCs w:val="12"/>
              </w:rPr>
            </w:pPr>
            <w:r w:rsidRPr="006D631C">
              <w:rPr>
                <w:color w:val="000000"/>
                <w:sz w:val="12"/>
                <w:szCs w:val="12"/>
              </w:rPr>
              <w:t>79.7 (Q</w:t>
            </w:r>
            <w:r w:rsidRPr="006D631C">
              <w:rPr>
                <w:color w:val="000000"/>
                <w:sz w:val="12"/>
                <w:szCs w:val="12"/>
                <w:vertAlign w:val="subscript"/>
              </w:rPr>
              <w:t>1</w:t>
            </w:r>
            <w:r w:rsidRPr="006D631C">
              <w:rPr>
                <w:color w:val="000000"/>
                <w:sz w:val="12"/>
                <w:szCs w:val="12"/>
              </w:rPr>
              <w:t>)</w:t>
            </w:r>
          </w:p>
        </w:tc>
        <w:tc>
          <w:tcPr>
            <w:tcW w:w="1418" w:type="dxa"/>
            <w:tcBorders>
              <w:top w:val="single" w:sz="4" w:space="0" w:color="auto"/>
              <w:left w:val="nil"/>
              <w:bottom w:val="single" w:sz="4" w:space="0" w:color="auto"/>
              <w:right w:val="nil"/>
            </w:tcBorders>
            <w:shd w:val="clear" w:color="000000" w:fill="FFFFFF"/>
            <w:vAlign w:val="center"/>
          </w:tcPr>
          <w:p w14:paraId="6A871A94" w14:textId="19905DBF" w:rsidR="00B83AD5" w:rsidRPr="006D631C" w:rsidRDefault="00B83AD5" w:rsidP="00B83AD5">
            <w:pPr>
              <w:spacing w:line="240" w:lineRule="auto"/>
              <w:jc w:val="left"/>
              <w:rPr>
                <w:color w:val="000000"/>
                <w:sz w:val="12"/>
                <w:szCs w:val="12"/>
              </w:rPr>
            </w:pPr>
            <w:r w:rsidRPr="006D631C">
              <w:rPr>
                <w:color w:val="000000"/>
                <w:sz w:val="12"/>
                <w:szCs w:val="12"/>
              </w:rPr>
              <w:t>Retention of the structure</w:t>
            </w:r>
          </w:p>
        </w:tc>
        <w:tc>
          <w:tcPr>
            <w:tcW w:w="1134" w:type="dxa"/>
            <w:tcBorders>
              <w:top w:val="single" w:sz="4" w:space="0" w:color="auto"/>
              <w:left w:val="nil"/>
              <w:bottom w:val="single" w:sz="4" w:space="0" w:color="auto"/>
              <w:right w:val="nil"/>
            </w:tcBorders>
            <w:shd w:val="clear" w:color="000000" w:fill="FFFFFF"/>
            <w:noWrap/>
            <w:vAlign w:val="center"/>
          </w:tcPr>
          <w:p w14:paraId="5C138EE2" w14:textId="52691C03" w:rsidR="00B83AD5" w:rsidRPr="006D631C" w:rsidRDefault="00B83AD5" w:rsidP="00B83AD5">
            <w:pPr>
              <w:spacing w:line="240" w:lineRule="auto"/>
              <w:jc w:val="left"/>
              <w:rPr>
                <w:color w:val="000000"/>
                <w:sz w:val="12"/>
                <w:szCs w:val="12"/>
              </w:rPr>
            </w:pPr>
            <w:r w:rsidRPr="006D631C">
              <w:rPr>
                <w:color w:val="000000"/>
                <w:sz w:val="12"/>
                <w:szCs w:val="12"/>
              </w:rPr>
              <w:t>8.71</w:t>
            </w:r>
          </w:p>
        </w:tc>
        <w:tc>
          <w:tcPr>
            <w:tcW w:w="1134" w:type="dxa"/>
            <w:tcBorders>
              <w:top w:val="single" w:sz="4" w:space="0" w:color="auto"/>
              <w:left w:val="nil"/>
              <w:bottom w:val="single" w:sz="4" w:space="0" w:color="auto"/>
              <w:right w:val="nil"/>
            </w:tcBorders>
            <w:shd w:val="clear" w:color="000000" w:fill="FFFFFF"/>
            <w:noWrap/>
            <w:vAlign w:val="center"/>
          </w:tcPr>
          <w:p w14:paraId="755D5C40" w14:textId="25647EB3" w:rsidR="00B83AD5" w:rsidRPr="006D631C" w:rsidRDefault="00B83AD5" w:rsidP="00B83AD5">
            <w:pPr>
              <w:spacing w:line="240" w:lineRule="auto"/>
              <w:jc w:val="left"/>
              <w:rPr>
                <w:color w:val="000000"/>
                <w:sz w:val="12"/>
                <w:szCs w:val="12"/>
              </w:rPr>
            </w:pPr>
            <w:r w:rsidRPr="006D631C">
              <w:rPr>
                <w:color w:val="000000"/>
                <w:sz w:val="12"/>
                <w:szCs w:val="12"/>
              </w:rPr>
              <w:t>9.34</w:t>
            </w:r>
          </w:p>
        </w:tc>
        <w:tc>
          <w:tcPr>
            <w:tcW w:w="5244" w:type="dxa"/>
            <w:tcBorders>
              <w:top w:val="nil"/>
              <w:left w:val="nil"/>
              <w:bottom w:val="single" w:sz="4" w:space="0" w:color="auto"/>
              <w:right w:val="nil"/>
            </w:tcBorders>
            <w:shd w:val="clear" w:color="000000" w:fill="FFFFFF"/>
            <w:vAlign w:val="center"/>
          </w:tcPr>
          <w:p w14:paraId="70038285" w14:textId="5D2CF542" w:rsidR="00863BEF" w:rsidRPr="006D631C" w:rsidRDefault="00863BEF" w:rsidP="00450307">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Membrane with a thickness-normalized water permeability of ~ 0.066 liters m</w:t>
            </w:r>
            <w:r w:rsidRPr="006D631C">
              <w:rPr>
                <w:rFonts w:eastAsia="Times New Roman" w:cs="Times New Roman"/>
                <w:color w:val="000000"/>
                <w:sz w:val="12"/>
                <w:szCs w:val="12"/>
                <w:vertAlign w:val="superscript"/>
              </w:rPr>
              <w:t>−2</w:t>
            </w:r>
            <w:r w:rsidRPr="006D631C">
              <w:rPr>
                <w:rFonts w:eastAsia="Times New Roman" w:cs="Times New Roman"/>
                <w:color w:val="000000"/>
                <w:sz w:val="12"/>
                <w:szCs w:val="12"/>
              </w:rPr>
              <w:t xml:space="preserve"> hour</w:t>
            </w:r>
            <w:r w:rsidRPr="006D631C">
              <w:rPr>
                <w:rFonts w:eastAsia="Times New Roman" w:cs="Times New Roman"/>
                <w:color w:val="000000"/>
                <w:sz w:val="12"/>
                <w:szCs w:val="12"/>
                <w:vertAlign w:val="superscript"/>
              </w:rPr>
              <w:t>−1</w:t>
            </w:r>
            <w:r w:rsidRPr="006D631C">
              <w:rPr>
                <w:rFonts w:eastAsia="Times New Roman" w:cs="Times New Roman"/>
                <w:color w:val="000000"/>
                <w:sz w:val="12"/>
                <w:szCs w:val="12"/>
              </w:rPr>
              <w:t xml:space="preserve"> bar</w:t>
            </w:r>
            <w:r w:rsidRPr="006D631C">
              <w:rPr>
                <w:rFonts w:eastAsia="Times New Roman" w:cs="Times New Roman"/>
                <w:color w:val="000000"/>
                <w:sz w:val="12"/>
                <w:szCs w:val="12"/>
                <w:vertAlign w:val="superscript"/>
              </w:rPr>
              <w:t>−1</w:t>
            </w:r>
            <w:r w:rsidRPr="006D631C">
              <w:rPr>
                <w:rFonts w:eastAsia="Times New Roman" w:cs="Times New Roman"/>
                <w:color w:val="000000"/>
                <w:sz w:val="12"/>
                <w:szCs w:val="12"/>
              </w:rPr>
              <w:t xml:space="preserve"> </w:t>
            </w:r>
            <w:proofErr w:type="spellStart"/>
            <w:r w:rsidRPr="006D631C">
              <w:rPr>
                <w:rFonts w:eastAsia="Times New Roman" w:cs="Times New Roman"/>
                <w:color w:val="000000"/>
                <w:sz w:val="12"/>
                <w:szCs w:val="12"/>
              </w:rPr>
              <w:t>μm</w:t>
            </w:r>
            <w:proofErr w:type="spellEnd"/>
            <w:r w:rsidRPr="006D631C">
              <w:rPr>
                <w:rFonts w:eastAsia="Times New Roman" w:cs="Times New Roman"/>
                <w:color w:val="000000"/>
                <w:sz w:val="12"/>
                <w:szCs w:val="12"/>
              </w:rPr>
              <w:t xml:space="preserve"> was obtained which </w:t>
            </w:r>
            <w:r w:rsidR="00296D33" w:rsidRPr="006D631C">
              <w:rPr>
                <w:rFonts w:eastAsia="Times New Roman" w:cs="Times New Roman"/>
                <w:color w:val="000000"/>
                <w:sz w:val="12"/>
                <w:szCs w:val="12"/>
              </w:rPr>
              <w:t>is</w:t>
            </w:r>
            <w:r w:rsidRPr="006D631C">
              <w:rPr>
                <w:rFonts w:eastAsia="Times New Roman" w:cs="Times New Roman"/>
                <w:color w:val="000000"/>
                <w:sz w:val="12"/>
                <w:szCs w:val="12"/>
              </w:rPr>
              <w:t xml:space="preserve"> comparable to the industrially used NF and RO membranes</w:t>
            </w:r>
          </w:p>
          <w:p w14:paraId="1052A048" w14:textId="77777777" w:rsidR="00863BEF" w:rsidRPr="006D631C" w:rsidRDefault="00863BEF" w:rsidP="00450307">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The membrane showed a salt rejection in between of NF and RO</w:t>
            </w:r>
          </w:p>
          <w:p w14:paraId="0577DDF9" w14:textId="68226787" w:rsidR="00863BEF" w:rsidRPr="006D631C" w:rsidRDefault="00863BEF" w:rsidP="00450307">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 xml:space="preserve">Partial ion exchange can </w:t>
            </w:r>
            <w:r w:rsidR="00296D33" w:rsidRPr="006D631C">
              <w:rPr>
                <w:rFonts w:eastAsia="Times New Roman" w:cs="Times New Roman"/>
                <w:color w:val="000000"/>
                <w:sz w:val="12"/>
                <w:szCs w:val="12"/>
              </w:rPr>
              <w:t>reversibly</w:t>
            </w:r>
            <w:r w:rsidRPr="006D631C">
              <w:rPr>
                <w:rFonts w:eastAsia="Times New Roman" w:cs="Times New Roman"/>
                <w:color w:val="000000"/>
                <w:sz w:val="12"/>
                <w:szCs w:val="12"/>
              </w:rPr>
              <w:t xml:space="preserve"> change water flux</w:t>
            </w:r>
            <w:r w:rsidR="00296D33" w:rsidRPr="006D631C">
              <w:rPr>
                <w:rFonts w:eastAsia="Times New Roman" w:cs="Times New Roman"/>
                <w:color w:val="000000"/>
                <w:sz w:val="12"/>
                <w:szCs w:val="12"/>
              </w:rPr>
              <w:t xml:space="preserve"> but does not change </w:t>
            </w:r>
            <w:r w:rsidR="00296D33" w:rsidRPr="006D631C">
              <w:rPr>
                <w:rFonts w:eastAsia="Times New Roman" w:cs="Times New Roman"/>
                <w:i/>
                <w:iCs/>
                <w:color w:val="000000"/>
                <w:sz w:val="12"/>
                <w:szCs w:val="12"/>
              </w:rPr>
              <w:t>d</w:t>
            </w:r>
            <w:r w:rsidR="00296D33" w:rsidRPr="006D631C">
              <w:rPr>
                <w:rFonts w:eastAsia="Times New Roman" w:cs="Times New Roman"/>
                <w:color w:val="000000"/>
                <w:sz w:val="12"/>
                <w:szCs w:val="12"/>
              </w:rPr>
              <w:t>-spacing of the structure</w:t>
            </w:r>
          </w:p>
          <w:p w14:paraId="4D4F9183" w14:textId="77777777" w:rsidR="00863BEF" w:rsidRPr="006D631C" w:rsidRDefault="00863BEF" w:rsidP="00450307">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Unique selectivity toward TDS and DOC under different FW pH</w:t>
            </w:r>
          </w:p>
          <w:p w14:paraId="19A8EF86" w14:textId="706B5987" w:rsidR="00B83AD5" w:rsidRPr="006D631C" w:rsidRDefault="00863BEF" w:rsidP="00450307">
            <w:pPr>
              <w:pStyle w:val="ListParagraph"/>
              <w:numPr>
                <w:ilvl w:val="0"/>
                <w:numId w:val="11"/>
              </w:numPr>
              <w:spacing w:after="0" w:line="240" w:lineRule="auto"/>
              <w:ind w:left="173" w:hanging="142"/>
              <w:jc w:val="left"/>
              <w:rPr>
                <w:rFonts w:eastAsia="Times New Roman" w:cs="Times New Roman"/>
                <w:color w:val="000000"/>
                <w:sz w:val="12"/>
                <w:szCs w:val="12"/>
              </w:rPr>
            </w:pPr>
            <w:r w:rsidRPr="006D631C">
              <w:rPr>
                <w:rFonts w:eastAsia="Times New Roman" w:cs="Times New Roman"/>
                <w:color w:val="000000"/>
                <w:sz w:val="12"/>
                <w:szCs w:val="12"/>
              </w:rPr>
              <w:t>Higher fouling resistance and flux recovery compared to industrially used membranes</w:t>
            </w:r>
          </w:p>
        </w:tc>
        <w:tc>
          <w:tcPr>
            <w:tcW w:w="426" w:type="dxa"/>
            <w:tcBorders>
              <w:top w:val="nil"/>
              <w:left w:val="nil"/>
              <w:bottom w:val="single" w:sz="4" w:space="0" w:color="auto"/>
              <w:right w:val="nil"/>
            </w:tcBorders>
            <w:shd w:val="clear" w:color="000000" w:fill="FFFFFF"/>
            <w:vAlign w:val="center"/>
          </w:tcPr>
          <w:p w14:paraId="00F9AD4B" w14:textId="20C6EF43" w:rsidR="00B83AD5" w:rsidRPr="006D631C" w:rsidRDefault="00296D33" w:rsidP="002E14E4">
            <w:pPr>
              <w:spacing w:line="240" w:lineRule="auto"/>
              <w:ind w:right="-106"/>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{"citationItems":[{"id":"ITEM-1","itemData":{"DOI":"10.1021/cm302027s","ISSN":"15205002","author":[{"dropping-particle":"","family":"Carter","given":"Blaine M.","non-dropping-particle":"","parse-names":false,"suffix":""},{"dropping-particle":"","family":"Wiesenauer","given":"Brian R.","non-dropping-particle":"","parse-names":false,"suffix":""},{"dropping-particle":"","family":"Hatakeyama","given":"Evan S.","non-dropping-particle":"","parse-names":false,"suffix":""},{"dropping-particle":"","family":"Barton","given":"John L.","non-dropping-particle":"","parse-names":false,"suffix":""},{"dropping-particle":"","family":"Noble","given":"Richard D.","non-dropping-particle":"","parse-names":false,"suffix":""},{"dropping-particle":"","family":"Gin","given":"Douglas L.","non-dropping-particle":"","parse-names":false,"suffix":""}],"container-title":"Chemistry of Materials","id":"ITEM-1","issue":"21","issued":{"date-parts":[["2012"]]},"page":"4005-4007","title":"Glycerol-based bicontinuous cubic lyotropic liquid crystal monomer system for the fabrication of thin-film membranes with uniform nanopores","type":"article-journal","volume":"24"},"uris":["http://www.mendeley.com/documents/?uuid=ecdbb3ff-7519-4a65-abca-056edd3369f2"]},{"id":"ITEM-2","itemData":{"DOI":"10.1016/j.memsci.2013.12.056","ISSN":"03767388","abstract":"The effects of anion-exchange on the filtration performance of thin-film composite (TFC) membranes with an active layer consisting of a nanostructured, lyotropic (i.e., surfactant) liquid crystal (LLC) polymer were investigated. These TFC LLC membranes are made by the in situ cross-linking of reactive amphiphiles (i.e., surfactants) that self-organize in the presence of glycerol into a type I bicontinuous cubic (QI) phase that contains a uniform, 3D-interconnected pore network lined with tethered cationic moieties and free mobile anions in the pores. In this study, a systematic series of experiments were performed to independently investigate how monovalent cations and anions affect transport in these TFC QI membranes. TFC QI membranes exposed to feed solutions that contain different cations (i.e., Li+(aq), Na+(aq), and K+(aq)) but have the same monovalent anion as the free mobile anion in the membrane (i.e., Br-(aq)) have a constant flux and a high rejection (&gt;98%). When the cation is kept constant (i.e., Na+(aq)) and the anion in the feed is varied (i.e., Cl-(aq), Br-(aq), NO3(aq)-, and I-(aq)) and allowed to partially anion-exchange with the membrane, a high rejection is maintained (≥96%), but the flux significantly changes depending on the anion in the feed solution. The flux of the TFC QI membranes can also be repeatedly be cycled by contacting the membranes with different anions. Control experiments with completely anion-exchanged TFC QI membranes (i.e., with Cl-(aq), Br-(aq), NO3(aq)-, and I-(aq)) showed that the rejection of sodium salts and uncharged organic solutes was virtually the same for all of the completely anion-exchanged membranes. As a whole, these results demonstrate that the flux of these TFC QI membranes can be tuned by changing the anion with little to no change in the rejection performance. The unique performance characteristics of TFC QI membranes may offer advantages over conventional NF and RO membranes for water purification applications or other aqueous separations. © 2013 Elsevier B.V.","author":[{"dropping-particle":"","family":"Carter","given":"Blaine M.","non-dropping-particle":"","parse-names":false,"suffix":""},{"dropping-particle":"","family":"Wiesenauer","given":"Brian R.","non-dropping-particle":"","parse-names":false,"suffix":""},{"dropping-particle":"","family":"Noble","given":"Richard D.","non-dropping-particle":"","parse-names":false,"suffix":""},{"dropping-particle":"","family":"Gin","given":"Douglas L.","non-dropping-particle":"","parse-names":false,"suffix":""}],"container-title":"Journal of Membrane Science","id":"ITEM-2","issued":{"date-parts":[["2014"]]},"page":"143-151","title":"Thin-film composite bicontinuous cubic lyotropic liquid crystal polymer membranes: Effects of anion-exchange on water filtration performance","type":"article-journal","volume":"455"},"uris":["http://www.mendeley.com/documents/?uuid=8f662d33-407e-497b-ac4d-657ed26fc531"]},{"id":"ITEM-3","itemData":{"DOI":"10.1016/j.memsci.2017.08.028","ISSN":"18733123","abstract":"A thin-film composite, bicontinuous cubic lyotropic liquid crystal polymer (TFC QI) membrane with uniform-size, ionic nanopores was studied for the treatment of hydraulic fracturing flowback water. The TFC QI membrane performance was compared to those of a commercial nanofiltration (NF) membrane (NF270) and a commercial reverse osmosis (RO) membrane (SW30HR) for the filtration of flowback water from the Denver-Julesburg Basin. The permeability, salt rejection, and organic solute rejection for each membrane was evaluated. The results illustrate that the TFC QI membrane maintained its performance to a similar degree as the commercial NF and RO membranes while demonstrating a unique selectivity not observed in the commercial membranes. Specifically, the TFC QI membrane rejected 75% of the salt while recovering 9.6% of the dissolved organic carbon (DOC) and 50% of the water. Of particular interest was the recovery of labile DOC, which was assessed through biodegradation experiments. Analysis following biodegradation of the TFC QI membrane permeate demonstrates the membrane's ability to recover labile DOC in a reduced-saline permeate. Improved recovery of labile DOC (increased to 22%) was demonstrated by reducing the pH of the flowback water. Therefore, the selectivity of the TFC QI membrane provides an opportunity to recover resources from hydraulic fracturing flowback.","author":[{"dropping-particle":"","family":"Dischinger","given":"Sarah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L.","non-dropping-particle":"","parse-names":false,"suffix":""},{"dropping-particle":"","family":"Linden","given":"Karl G.","non-dropping-particle":"","parse-names":false,"suffix":""}],"container-title":"Journal of Membrane Science","id":"ITEM-3","issued":{"date-parts":[["2017"]]},"page":"319-327","title":"Application of a lyotropic liquid crystal nanofiltration membrane for hydraulic fracturing flowback water: Selectivity and implications for treatment","type":"article-journal","volume":"543"},"uris":["http://www.mendeley.com/documents/?uuid=5a46df75-f496-4fbd-8165-bd32a6b934a9"]},{"id":"ITEM-4","itemData":{"DOI":"10.1016/j.memsci.2019.117313","ISSN":"18733123","abstract":"Current commercial nanofiltration and reverse osmosis membranes are limited in scope and performance due to their physicochemical properties. Desalination of hydraulic fracturing wastewater poses a particular challenge to membrane filtration given the high concentrations of both organic compounds and salts present in these waters. The recently-developed nanoporous, bicontinuous cubic, lyotropic liquid crystal, thin-film-composite polymer membrane (TFC QI membrane), having unique physicochemical properties, enables an alternative treatment of hydraulic fracturing wastewater. Specifically, the TFC QI membrane recovers the organic compounds from this high-salinity wastewater, enabling biodegradation to occur after desalination. However, other performance criteria must be demonstrated for a membrane to reach application. The work presented herein demonstrates the stable performance of the TFC QI membrane during 66 h of cross-flow filtration of hydraulic fracturing produced water. Compared to the commercial NF90 membrane, the TFC QI membrane recovered a larger portion of the organic compounds, had a higher thickness-normalized water flux, and fouled less. The combination of the TFC QI membrane's selectivity with its reduced fouling propensity makes possible a treatment for hydraulic fracturing wastewater and other complex aqueous streams inaccessible by most commercial membranes, motivating the further study and development of the TFC QI membrane.","author":[{"dropping-particle":"","family":"Dischinger","given":"Sarah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L.","non-dropping-particle":"","parse-names":false,"suffix":""}],"container-title":"Journal of Membrane Science","id":"ITEM-4","issued":{"date-parts":[["2019","12"]]},"page":"117313","title":"Evaluation of a nanoporous lyotropic liquid crystal polymer membrane for the treatment of hydraulic fracturing produced water via cross-flow filtration","type":"article-journal","volume":"592"},"uris":["http://www.mendeley.com/documents/?uuid=71636acc-2380-4a88-abf2-a64937232a30"]}],"mendeley":{"formattedCitation":"&lt;sup&gt;33,114,120,121&lt;/sup&gt;","plainTextFormattedCitation":"33,114,120,121","previouslyFormattedCitation":"&lt;sup&gt;33,114,120,121&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33,114,120,121</w:t>
            </w:r>
            <w:r w:rsidRPr="006D631C">
              <w:rPr>
                <w:color w:val="000000"/>
                <w:sz w:val="12"/>
                <w:szCs w:val="12"/>
              </w:rPr>
              <w:fldChar w:fldCharType="end"/>
            </w:r>
          </w:p>
        </w:tc>
      </w:tr>
      <w:tr w:rsidR="00B83AD5" w:rsidRPr="006D631C" w14:paraId="77571331" w14:textId="77777777" w:rsidTr="007D350B">
        <w:trPr>
          <w:trHeight w:val="20"/>
          <w:jc w:val="center"/>
        </w:trPr>
        <w:tc>
          <w:tcPr>
            <w:tcW w:w="851" w:type="dxa"/>
            <w:vMerge/>
            <w:tcBorders>
              <w:top w:val="nil"/>
              <w:left w:val="nil"/>
              <w:bottom w:val="single" w:sz="4" w:space="0" w:color="000000"/>
              <w:right w:val="nil"/>
            </w:tcBorders>
            <w:vAlign w:val="center"/>
          </w:tcPr>
          <w:p w14:paraId="6D345E55" w14:textId="77777777" w:rsidR="00B83AD5" w:rsidRPr="006D631C" w:rsidRDefault="00B83AD5" w:rsidP="00B83AD5">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tcPr>
          <w:p w14:paraId="0D13DF1D" w14:textId="57C63E6F" w:rsidR="00B83AD5" w:rsidRPr="006D631C" w:rsidRDefault="00B83AD5" w:rsidP="00B83AD5">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4E63154E" w14:textId="6B5615F1" w:rsidR="00B83AD5" w:rsidRPr="006D631C" w:rsidRDefault="00B83AD5" w:rsidP="00B83AD5">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4A352CE6" w14:textId="4D6319BC" w:rsidR="00B83AD5" w:rsidRPr="006D631C" w:rsidRDefault="00B83AD5" w:rsidP="00B83AD5">
            <w:pPr>
              <w:spacing w:line="240" w:lineRule="auto"/>
              <w:ind w:left="37"/>
              <w:jc w:val="left"/>
              <w:rPr>
                <w:color w:val="000000"/>
                <w:sz w:val="12"/>
                <w:szCs w:val="12"/>
              </w:rPr>
            </w:pPr>
            <w:r w:rsidRPr="006D631C">
              <w:rPr>
                <w:color w:val="000000"/>
                <w:sz w:val="12"/>
                <w:szCs w:val="12"/>
              </w:rPr>
              <w:t>79.4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75084C0B" w14:textId="1B5D6A2D" w:rsidR="00B83AD5" w:rsidRPr="006D631C" w:rsidRDefault="00B83AD5" w:rsidP="00B83AD5">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5A5A2FB1" w14:textId="69BF0F52" w:rsidR="00B83AD5" w:rsidRPr="006D631C" w:rsidRDefault="00B83AD5" w:rsidP="00B83AD5">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50E47024" w14:textId="61BBA7DC" w:rsidR="00B83AD5" w:rsidRPr="006D631C" w:rsidRDefault="00B83AD5" w:rsidP="00B83AD5">
            <w:pPr>
              <w:spacing w:line="240" w:lineRule="auto"/>
              <w:jc w:val="left"/>
              <w:rPr>
                <w:color w:val="000000"/>
                <w:sz w:val="12"/>
                <w:szCs w:val="12"/>
              </w:rPr>
            </w:pPr>
            <w:r w:rsidRPr="006D631C">
              <w:rPr>
                <w:color w:val="000000"/>
                <w:sz w:val="12"/>
                <w:szCs w:val="12"/>
              </w:rPr>
              <w:t>4.03 *</w:t>
            </w:r>
          </w:p>
        </w:tc>
        <w:tc>
          <w:tcPr>
            <w:tcW w:w="5244" w:type="dxa"/>
            <w:tcBorders>
              <w:top w:val="nil"/>
              <w:left w:val="nil"/>
              <w:bottom w:val="single" w:sz="4" w:space="0" w:color="auto"/>
              <w:right w:val="nil"/>
            </w:tcBorders>
            <w:shd w:val="clear" w:color="000000" w:fill="FFFFFF"/>
            <w:vAlign w:val="center"/>
          </w:tcPr>
          <w:p w14:paraId="4330CDA7" w14:textId="77777777" w:rsidR="00962A66" w:rsidRPr="006D631C" w:rsidRDefault="00962A66" w:rsidP="00B83AD5">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The prepared membrane was cheaper than the BR/LLC system in same application</w:t>
            </w:r>
          </w:p>
          <w:p w14:paraId="7855B8CA" w14:textId="77777777" w:rsidR="00B83AD5" w:rsidRPr="006D631C" w:rsidRDefault="00962A66" w:rsidP="00B83AD5">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The membrane did not have appropriate selectivity toward water over CEES without addition of a PDA layer on the surface of the membrane</w:t>
            </w:r>
          </w:p>
          <w:p w14:paraId="280D1A5A" w14:textId="77777777" w:rsidR="00962A66" w:rsidRPr="006D631C" w:rsidRDefault="00962A66" w:rsidP="00B83AD5">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Higher water/CEES and water/DMMP molar vapor selectivity compared to previously reported LLC based membranes</w:t>
            </w:r>
          </w:p>
          <w:p w14:paraId="66AF02EC" w14:textId="44E8B16A" w:rsidR="00D32F03" w:rsidRPr="006D631C" w:rsidRDefault="00D32F03" w:rsidP="00B83AD5">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Mechanical properties of the polyLLC can be tuned by addition of P-A-39 without losing selectivity</w:t>
            </w:r>
          </w:p>
        </w:tc>
        <w:tc>
          <w:tcPr>
            <w:tcW w:w="426" w:type="dxa"/>
            <w:tcBorders>
              <w:top w:val="nil"/>
              <w:left w:val="nil"/>
              <w:bottom w:val="single" w:sz="4" w:space="0" w:color="auto"/>
              <w:right w:val="nil"/>
            </w:tcBorders>
            <w:shd w:val="clear" w:color="000000" w:fill="FFFFFF"/>
            <w:vAlign w:val="center"/>
          </w:tcPr>
          <w:p w14:paraId="630FFC83" w14:textId="79D24684" w:rsidR="00B83AD5" w:rsidRPr="006D631C" w:rsidRDefault="00962A66" w:rsidP="002E14E4">
            <w:pPr>
              <w:spacing w:line="240" w:lineRule="auto"/>
              <w:ind w:right="-106"/>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{"citationItems":[{"id":"ITEM-1","itemData":{"DOI":"10.1021/acs.iecr.9b04738","ISSN":"15205045","abstract":"A laminated thin-film composite (TFC) membrane system consisting of an ultrafiltration support, an ordered, nanoporous, polymerized lyotropic liquid crystal (LLC) intermediate layer, and an ultrathin, dense polydopamine top layer was developed for use as a \"breathable\" chemical-protective garment material. These membranes exhibit a high water vapor transport rate (ca. 500 g m-2 day-1) and excellent rejection of both CEES (a blister agent simulant) and DMMP (a nerve agent simulant) vapors under ambient conditions. The (water:CEES) and (water:DMMP) molar vapor selectivity values of this new composite membrane system were found to be 170 ± 40 and &gt;3400, respectively, which exceed those of any previously reported LLC-based membrane system.","author":[{"dropping-particle":"","family":"Dwulet","given":"Gregory E.","non-dropping-particle":"","parse-names":false,"suffix":""},{"dropping-particle":"","family":"Dischinger","given":"Sarah M.","non-dropping-particle":"","parse-names":false,"suffix":""},{"dropping-particle":"","family":"McGrath","given":"Michael J.","non-dropping-particle":"","parse-names":false,"suffix":""},{"dropping-particle":"","family":"Basalla","given":"Andrew J.","non-dropping-particle":"","parse-names":false,"suffix":""},{"dropping-particle":"","family":"Malecha","given":"John J.","non-dropping-particle":"","parse-names":false,"suffix":""},{"dropping-particle":"","family":"Noble","given":"Richard D.","non-dropping-particle":"","parse-names":false,"suffix":""},{"dropping-particle":"","family":"Gin","given":"Douglas L.","non-dropping-particle":"","parse-names":false,"suffix":""}],"container-title":"Industrial and Engineering Chemistry Research","id":"ITEM-1","issue":"47","issued":{"date-parts":[["2019"]]},"page":"21890-21893","title":"Breathable, Polydopamine-Coated Nanoporous Membranes That Selectively Reject Nerve and Blister Agent Simulant Vapors","type":"article-journal","volume":"58"},"uris":["http://www.mendeley.com/documents/?uuid=bfb3aac2-829d-4981-96b8-893069237b8b"]},{"id":"ITEM-2","itemData":{"DOI":"10.1021/acsapm.2c01478","ISSN":"2637-6105","author":[{"dropping-particle":"","family":"Bodkin","given":"Lauren N.","non-dropping-particle":"","parse-names":false,"suffix":""},{"dropping-particle":"","family":"Li","given":"Patrick","non-dropping-particle":"","parse-names":false,"suffix":""},{"dropping-particle":"","family":"Dyer","given":"Samantha S.","non-dropping-particle":"","parse-names":false,"suffix":""},{"dropping-particle":"","family":"Krajnak","given":"Zachary A.","non-dropping-particle":"","parse-names":false,"suffix":""},{"dropping-particle":"","family":"Malecha","given":"John J.","non-dropping-particle":"","parse-names":false,"suffix":""},{"dropping-particle":"","family":"Noble","given":"Richard D.","non-dropping-particle":"","parse-names":false,"suffix":""},{"dropping-particle":"","family":"Gin","given":"Douglas L.","non-dropping-particle":"","parse-names":false,"suffix":""}],"container-title":"ACS Applied Polymer Materials","id":"ITEM-2","issue":"11","issued":{"date-parts":[["2022","11","11"]]},"page":"8026-8031","title":"Improved Mechanical Compliance in Bicontinuous Cubic Lyotropic Membranes Based on a Cross-Linking Gemini Monomer via Copolymerization with a Non-Cross-Linkable Analog","type":"article-journal","volume":"4"},"uris":["http://www.mendeley.com/documents/?uuid=c0852ebd-580b-4758-a53a-addd94d9c4a1"]}],"mendeley":{"formattedCitation":"&lt;sup&gt;112,130&lt;/sup&gt;","plainTextFormattedCitation":"112,130","previouslyFormattedCitation":"&lt;sup&gt;112,130&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112,130</w:t>
            </w:r>
            <w:r w:rsidRPr="006D631C">
              <w:rPr>
                <w:color w:val="000000"/>
                <w:sz w:val="12"/>
                <w:szCs w:val="12"/>
              </w:rPr>
              <w:fldChar w:fldCharType="end"/>
            </w:r>
          </w:p>
        </w:tc>
      </w:tr>
      <w:tr w:rsidR="00B83AD5" w:rsidRPr="006D631C" w14:paraId="7F556EFB" w14:textId="77777777" w:rsidTr="007D350B">
        <w:trPr>
          <w:trHeight w:val="20"/>
          <w:jc w:val="center"/>
        </w:trPr>
        <w:tc>
          <w:tcPr>
            <w:tcW w:w="851" w:type="dxa"/>
            <w:vMerge/>
            <w:tcBorders>
              <w:top w:val="nil"/>
              <w:left w:val="nil"/>
              <w:bottom w:val="single" w:sz="4" w:space="0" w:color="000000"/>
              <w:right w:val="nil"/>
            </w:tcBorders>
            <w:vAlign w:val="center"/>
          </w:tcPr>
          <w:p w14:paraId="3A1C3475" w14:textId="77777777" w:rsidR="00B83AD5" w:rsidRPr="006D631C" w:rsidRDefault="00B83AD5" w:rsidP="00B83AD5">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tcPr>
          <w:p w14:paraId="67153136" w14:textId="6094B4C9" w:rsidR="00B83AD5" w:rsidRPr="006D631C" w:rsidRDefault="00B83AD5" w:rsidP="00B83AD5">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330DD41D" w14:textId="43E87523" w:rsidR="00B83AD5" w:rsidRPr="006D631C" w:rsidRDefault="00B83AD5" w:rsidP="00B83AD5">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348F1ACD" w14:textId="0B53FE28" w:rsidR="00B83AD5" w:rsidRPr="006D631C" w:rsidRDefault="00B83AD5" w:rsidP="00B83AD5">
            <w:pPr>
              <w:spacing w:line="240" w:lineRule="auto"/>
              <w:ind w:left="37"/>
              <w:jc w:val="left"/>
              <w:rPr>
                <w:color w:val="000000"/>
                <w:sz w:val="12"/>
                <w:szCs w:val="12"/>
              </w:rPr>
            </w:pPr>
            <w:r w:rsidRPr="006D631C">
              <w:rPr>
                <w:color w:val="000000"/>
                <w:sz w:val="12"/>
                <w:szCs w:val="12"/>
              </w:rPr>
              <w:t>79.4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71040223" w14:textId="7723926A" w:rsidR="00B83AD5" w:rsidRPr="006D631C" w:rsidRDefault="00B83AD5" w:rsidP="00B83AD5">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41D2E67C" w14:textId="2AB4D123" w:rsidR="00B83AD5" w:rsidRPr="006D631C" w:rsidRDefault="00B83AD5" w:rsidP="00B83AD5">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52E100EE" w14:textId="75C80374" w:rsidR="00B83AD5" w:rsidRPr="006D631C" w:rsidRDefault="00B83AD5" w:rsidP="00B83AD5">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vAlign w:val="center"/>
          </w:tcPr>
          <w:p w14:paraId="27B8D8A2" w14:textId="77777777" w:rsidR="00B83AD5" w:rsidRPr="006D631C" w:rsidRDefault="00A05043" w:rsidP="00B83AD5">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The internal surface of the pores was modified by polymerization of M-31 inside the pores</w:t>
            </w:r>
          </w:p>
          <w:p w14:paraId="1CED9B28" w14:textId="209A34C4" w:rsidR="00A05043" w:rsidRPr="006D631C" w:rsidRDefault="00A05043" w:rsidP="00B83AD5">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Eternal presence of anionic polymer inside the pores resulted in significant changes in ion sorption and pore transport properties</w:t>
            </w:r>
          </w:p>
        </w:tc>
        <w:tc>
          <w:tcPr>
            <w:tcW w:w="426" w:type="dxa"/>
            <w:tcBorders>
              <w:top w:val="nil"/>
              <w:left w:val="nil"/>
              <w:bottom w:val="single" w:sz="4" w:space="0" w:color="auto"/>
              <w:right w:val="nil"/>
            </w:tcBorders>
            <w:shd w:val="clear" w:color="000000" w:fill="FFFFFF"/>
            <w:vAlign w:val="center"/>
          </w:tcPr>
          <w:p w14:paraId="62660833" w14:textId="320E8F5E" w:rsidR="00B83AD5" w:rsidRPr="006D631C" w:rsidRDefault="00A05043" w:rsidP="002E14E4">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 xml:space="preserve">ADDIN CSL_CITATION {"citationItems":[{"id":"ITEM-1","itemData":{"DOI":"10.1021/acsmaterialslett.9b00244","ISSN":"2639-4979","abstract":"A triazine based disc shaped molecule with two hydrolyzable units, imine and ester groups, was polymerized via acyclic diene metathesis in the columnar hexagonal (Colhex) LC phase. Fabrication of a cationic nanoporous polymer (pore diameter </w:instrText>
            </w:r>
            <w:r w:rsidR="005C60C1" w:rsidRPr="006D631C">
              <w:rPr>
                <w:rFonts w:ascii="Cambria Math" w:hAnsi="Cambria Math" w:cs="Cambria Math"/>
                <w:color w:val="000000"/>
                <w:sz w:val="12"/>
                <w:szCs w:val="12"/>
              </w:rPr>
              <w:instrText>∼</w:instrText>
            </w:r>
            <w:r w:rsidR="005C60C1" w:rsidRPr="006D631C">
              <w:rPr>
                <w:color w:val="000000"/>
                <w:sz w:val="12"/>
                <w:szCs w:val="12"/>
              </w:rPr>
              <w:instrText xml:space="preserve">1.3 nm) lined with ammonium groups at the pore surface was achieved by hydrolysis of the imine linkage. Size selective aldehyde uptake by the cationic porous polymer was demonstrated. The anilinium groups in the pores were converted to azide as well as phenyl groups by further chemical treatment, leading to porous polymers with neutral functional groups in the pores. The pores were enlarged by further hydrolysis of the ester groups to create </w:instrText>
            </w:r>
            <w:r w:rsidR="005C60C1" w:rsidRPr="006D631C">
              <w:rPr>
                <w:rFonts w:ascii="Cambria Math" w:hAnsi="Cambria Math" w:cs="Cambria Math"/>
                <w:color w:val="000000"/>
                <w:sz w:val="12"/>
                <w:szCs w:val="12"/>
              </w:rPr>
              <w:instrText>∼</w:instrText>
            </w:r>
            <w:r w:rsidR="005C60C1" w:rsidRPr="006D631C">
              <w:rPr>
                <w:color w:val="000000"/>
                <w:sz w:val="12"/>
                <w:szCs w:val="12"/>
              </w:rPr>
              <w:instrText>2.6 nm pores lined with −COONa surface groups. The same pores could be obtained in a single step without first hydrolyzing the imine linkage. XRD studies demonstrated that the Colhex order of the monomer was preserved after polymerization as well as in both the nanoporous polymers. The porous anionic polymer lined with −COOH groups was further converted to the −COOLi, −COONa, −COOK, −COOCs, and −COONH4 salts. The porous polymer lined with −COONa groups selectively adsorbs a cationic dye, methylene blue, over an anionic dye.","author":[{"dropping-particle":"","family":"McGrath","given":"Michael J.","non-dropping-particle":"","parse-names":false,"suffix":""},{"dropping-particle":"","family":"Hardy","given":"Samantha H.","non-dropping-particle":"","parse-names":false,"suffix":""},{"dropping-particle":"","family":"Basalla","given":"Andrew J.","non-dropping-particle":"","parse-names":false,"suffix":""},{"dropping-particle":"","family":"Dwulet","given":"Gregory E.","non-dropping-particle":"","parse-names":false,"suffix":""},{"dropping-particle":"","family":"Manubay","given":"Bryce C.","non-dropping-particle":"","parse-names":false,"suffix":""},{"dropping-particle":"","family":"Malecha","given":"John J.","non-dropping-particle":"","parse-names":false,"suffix":""},{"dropping-particle":"","family":"Shi","given":"Zhangxing","non-dropping-particle":"","parse-names":false,"suffix":""},{"dropping-particle":"","family":"Funke","given":"Hans H.","non-dropping-particle":"","parse-names":false,"suffix":""},{"dropping-particle":"","family":"Gin","given":"Douglas L.","non-dropping-particle":"","parse-names":false,"suffix":""},{"dropping-particle":"","family":"Noble","given":"Richard D.","non-dropping-particle":"","parse-names":false,"suffix":""}],"container-title":"ACS Materials Letters","id":"ITEM-1","issue":"4","issued":{"date-parts":[["2019"]]},"page":"452-458","title":"Polymerization of Counteranions in the Cationic Nanopores of a Cross-linked Lyotropic Liquid Crystal Network to Modify Ion Transport Properties","type":"article-journal","volume":"1"},"uris":["http://www.mendeley.com/documents/?uuid=e62cd001-6130-4382-952f-5454a0040187"]}],"mendeley":{"formattedCitation":"&lt;sup&gt;113&lt;/sup&gt;","plainTextFormattedCitation":"113","previouslyFormattedCitation":"&lt;sup&gt;113&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113</w:t>
            </w:r>
            <w:r w:rsidRPr="006D631C">
              <w:rPr>
                <w:color w:val="000000"/>
                <w:sz w:val="12"/>
                <w:szCs w:val="12"/>
              </w:rPr>
              <w:fldChar w:fldCharType="end"/>
            </w:r>
          </w:p>
        </w:tc>
      </w:tr>
      <w:tr w:rsidR="00B83AD5" w:rsidRPr="006D631C" w14:paraId="1EB52D41" w14:textId="77777777" w:rsidTr="007D350B">
        <w:trPr>
          <w:trHeight w:val="20"/>
          <w:jc w:val="center"/>
        </w:trPr>
        <w:tc>
          <w:tcPr>
            <w:tcW w:w="851" w:type="dxa"/>
            <w:vMerge/>
            <w:tcBorders>
              <w:top w:val="nil"/>
              <w:left w:val="nil"/>
              <w:bottom w:val="single" w:sz="4" w:space="0" w:color="000000"/>
              <w:right w:val="nil"/>
            </w:tcBorders>
            <w:vAlign w:val="center"/>
          </w:tcPr>
          <w:p w14:paraId="3FDA0E9E" w14:textId="77777777" w:rsidR="00B83AD5" w:rsidRPr="006D631C" w:rsidRDefault="00B83AD5" w:rsidP="00B83AD5">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tcPr>
          <w:p w14:paraId="2B6F97FE" w14:textId="47E28BB1" w:rsidR="00B83AD5" w:rsidRPr="006D631C" w:rsidRDefault="00B83AD5" w:rsidP="00B83AD5">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7326C7E2" w14:textId="5915E62F" w:rsidR="00B83AD5" w:rsidRPr="006D631C" w:rsidRDefault="00B83AD5" w:rsidP="00B83AD5">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31CF166C" w14:textId="422196BC" w:rsidR="00B83AD5" w:rsidRPr="006D631C" w:rsidRDefault="00B83AD5" w:rsidP="00B83AD5">
            <w:pPr>
              <w:spacing w:line="240" w:lineRule="auto"/>
              <w:ind w:left="37"/>
              <w:jc w:val="left"/>
              <w:rPr>
                <w:color w:val="000000"/>
                <w:sz w:val="12"/>
                <w:szCs w:val="12"/>
              </w:rPr>
            </w:pPr>
            <w:r w:rsidRPr="006D631C">
              <w:rPr>
                <w:color w:val="000000"/>
                <w:sz w:val="12"/>
                <w:szCs w:val="12"/>
              </w:rPr>
              <w:t>79.4 (Q</w:t>
            </w:r>
            <w:r w:rsidRPr="006D631C">
              <w:rPr>
                <w:color w:val="000000"/>
                <w:sz w:val="12"/>
                <w:szCs w:val="12"/>
                <w:vertAlign w:val="subscript"/>
              </w:rPr>
              <w:t>1</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709C07AC" w14:textId="15396DE2" w:rsidR="00B83AD5" w:rsidRPr="006D631C" w:rsidRDefault="00B83AD5" w:rsidP="00B83AD5">
            <w:pPr>
              <w:spacing w:line="240" w:lineRule="auto"/>
              <w:jc w:val="left"/>
              <w:rPr>
                <w:color w:val="000000"/>
                <w:sz w:val="12"/>
                <w:szCs w:val="12"/>
              </w:rPr>
            </w:pPr>
            <w:r w:rsidRPr="006D631C">
              <w:rPr>
                <w:color w:val="000000"/>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2CDF348B" w14:textId="57392A94" w:rsidR="00B83AD5" w:rsidRPr="006D631C" w:rsidRDefault="00B83AD5" w:rsidP="00B83AD5">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09EF7112" w14:textId="47234170" w:rsidR="00B83AD5" w:rsidRPr="006D631C" w:rsidRDefault="00B83AD5" w:rsidP="00B83AD5">
            <w:pPr>
              <w:spacing w:line="240" w:lineRule="auto"/>
              <w:jc w:val="left"/>
              <w:rPr>
                <w:color w:val="000000"/>
                <w:sz w:val="12"/>
                <w:szCs w:val="12"/>
              </w:rPr>
            </w:pPr>
            <w:r w:rsidRPr="006D631C">
              <w:rPr>
                <w:color w:val="000000"/>
                <w:sz w:val="12"/>
                <w:szCs w:val="12"/>
              </w:rPr>
              <w:t>10.57</w:t>
            </w:r>
          </w:p>
        </w:tc>
        <w:tc>
          <w:tcPr>
            <w:tcW w:w="5244" w:type="dxa"/>
            <w:tcBorders>
              <w:top w:val="nil"/>
              <w:left w:val="nil"/>
              <w:bottom w:val="single" w:sz="4" w:space="0" w:color="auto"/>
              <w:right w:val="nil"/>
            </w:tcBorders>
            <w:shd w:val="clear" w:color="000000" w:fill="FFFFFF"/>
            <w:vAlign w:val="center"/>
          </w:tcPr>
          <w:p w14:paraId="41D17856" w14:textId="38633A02" w:rsidR="00B83AD5" w:rsidRPr="006D631C" w:rsidRDefault="00BC359E" w:rsidP="004F70B9">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Higher dehydration and resistivity of  Q</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w:t>
            </w:r>
            <w:r w:rsidR="004F70B9" w:rsidRPr="006D631C">
              <w:rPr>
                <w:rFonts w:eastAsia="Times New Roman" w:cs="Times New Roman"/>
                <w:color w:val="000000"/>
                <w:sz w:val="12"/>
                <w:szCs w:val="12"/>
              </w:rPr>
              <w:t>anion exchange membrane</w:t>
            </w:r>
            <w:r w:rsidRPr="006D631C">
              <w:rPr>
                <w:rFonts w:eastAsia="Times New Roman" w:cs="Times New Roman"/>
                <w:color w:val="000000"/>
                <w:sz w:val="12"/>
                <w:szCs w:val="12"/>
              </w:rPr>
              <w:t xml:space="preserve"> in dilute FeCl</w:t>
            </w:r>
            <w:r w:rsidRPr="006D631C">
              <w:rPr>
                <w:rFonts w:eastAsia="Times New Roman" w:cs="Times New Roman"/>
                <w:color w:val="000000"/>
                <w:sz w:val="12"/>
                <w:szCs w:val="12"/>
                <w:vertAlign w:val="subscript"/>
              </w:rPr>
              <w:t>3</w:t>
            </w:r>
            <w:r w:rsidRPr="006D631C">
              <w:rPr>
                <w:rFonts w:eastAsia="Times New Roman" w:cs="Times New Roman"/>
                <w:color w:val="000000"/>
                <w:sz w:val="12"/>
                <w:szCs w:val="12"/>
              </w:rPr>
              <w:t xml:space="preserve"> solutions compared to amorphous AEMs thanks to closer spacing of ion exchange sites</w:t>
            </w:r>
          </w:p>
        </w:tc>
        <w:tc>
          <w:tcPr>
            <w:tcW w:w="426" w:type="dxa"/>
            <w:tcBorders>
              <w:top w:val="nil"/>
              <w:left w:val="nil"/>
              <w:bottom w:val="single" w:sz="4" w:space="0" w:color="auto"/>
              <w:right w:val="nil"/>
            </w:tcBorders>
            <w:shd w:val="clear" w:color="000000" w:fill="FFFFFF"/>
            <w:vAlign w:val="center"/>
          </w:tcPr>
          <w:p w14:paraId="1C0248F2" w14:textId="775B027E" w:rsidR="00B83AD5" w:rsidRPr="006D631C" w:rsidRDefault="00BC359E" w:rsidP="00B83AD5">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Pr="006D631C">
              <w:rPr>
                <w:color w:val="000000"/>
                <w:sz w:val="12"/>
                <w:szCs w:val="12"/>
              </w:rPr>
              <w:instrText>ADDIN CSL_CITATION {"citationItems":[{"id":"ITEM-1","itemData":{"DOI":"10.1021/acs.iecr.9b04592","ISSN":"15205045","abstract":"Anion-exchange membranes (AEMs) often dehydrate and lose ionic conductivity in ferric chloride solutions used in all-iron or iron-chromium redox flow batteries (RFB). In this work, the change in material and ionic transport properties of three AEMs with similar concentrations of ion exchange sites and hydration numbers (mol H2O/mol ion exchange site) upon exposure to ferric chloride/hydrochloric acid solutions were studied. Raman spectroscopy and iron sorption measurements show that FeCl4- occupies a fraction of the AEM ion exchange sites that depends on the ferric chloride concentration in the external solution. The AEM hydration number is linearly proportional to the amount of iron sorbed in the AEMs, suggesting that the displacement of the original hydrated Cl- counterions for unhydrated FeCl4- is the dominant mechanism for membrane dehydration. The ionic resistivity of the AEMs containing FeCl4- increased by as much as 4 orders of magnitude due to dehydration and, at high FeCl3 solution concentrations (≥1.4M), also due to nonideal solution effects. Although the three AEMs have similar ion exchange site concentrations, the AEM with the closer local spacing of ion exchange sites exhibits higher FeCl4- sorption, and a correspondingly greater dehydration and resistivity increase in dilute FeCl3 solutions.","author":[{"dropping-particle":"","family":"McGrath","given":"Michael J.","non-dropping-particle":"","parse-names":false,"suffix":""},{"dropping-particle":"","family":"Patterson","given":"Nicholas","non-dropping-particle":"","parse-names":false,"suffix":""},{"dropping-particle":"","family":"Manubay","given":"Bryce C.","non-dropping-particle":"","parse-names":false,"suffix":""},{"dropping-particle":"","family":"Hardy","given":"Samantha H.","non-dropping-particle":"","parse-names":false,"suffix":""},{"dropping-particle":"","family":"Malecha","given":"John J.","non-dropping-particle":"","parse-names":false,"suffix":""},{"dropping-particle":"","family":"Shi","given":"Zhangxing","non-dropping-particle":"","parse-names":false,"suffix":""},{"dropping-particle":"","family":"Yue","given":"Xiujun","non-dropping-particle":"","parse-names":false,"suffix":""},{"dropping-particle":"","family":"Xing","given":"Xing","non-dropping-particle":"","parse-names":false,"suffix":""},{"dropping-particle":"","family":"Funke","given":"Hans H.","non-dropping-particle":"","parse-names":false,"suffix":""},{"dropping-particle":"","family":"Gin","given":"Douglas L.","non-dropping-particle":"","parse-names":false,"suffix":""},{"dropping-particle":"","family":"Liu","given":"Ping","non-dropping-particle":"","parse-names":false,"suffix":""},{"dropping-particle":"","family":"Noble","given":"Richard D.","non-dropping-particle":"","parse-names":false,"suffix":""}],"container-title":"Industrial and Engineering Chemistry Research","id":"ITEM-1","issue":"49","issued":{"date-parts":[["2019"]]},"page":"22250-22259","title":"110th Anniversary: The Dehydration and Loss of Ionic Conductivity in Anion Exchange Membranes Due to FeCl4- Ion Exchange and the Role of Membrane Microstructure","type":"article-journal","volume":"58"},"uris":["http://www.mendeley.com/documents/?uuid=0b80f95a-a1ae-47a5-9e32-d044734acfbe"]}],"mendeley":{"formattedCitation":"&lt;sup&gt;52&lt;/sup&gt;","plainTextFormattedCitation":"52","previouslyFormattedCitation":"&lt;sup&gt;52&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52</w:t>
            </w:r>
            <w:r w:rsidRPr="006D631C">
              <w:rPr>
                <w:color w:val="000000"/>
                <w:sz w:val="12"/>
                <w:szCs w:val="12"/>
              </w:rPr>
              <w:fldChar w:fldCharType="end"/>
            </w:r>
          </w:p>
        </w:tc>
      </w:tr>
    </w:tbl>
    <w:p w14:paraId="5BBC2F3D" w14:textId="77777777" w:rsidR="00B31553" w:rsidRPr="006D631C" w:rsidRDefault="00B31553" w:rsidP="00B31553">
      <w:pPr>
        <w:pStyle w:val="Caption"/>
        <w:spacing w:after="0"/>
        <w:jc w:val="center"/>
        <w:rPr>
          <w:rFonts w:asciiTheme="majorBidi" w:hAnsiTheme="majorBidi" w:cstheme="majorBidi"/>
          <w:sz w:val="22"/>
          <w:szCs w:val="22"/>
        </w:rPr>
      </w:pPr>
      <w:r w:rsidRPr="006D631C">
        <w:rPr>
          <w:sz w:val="22"/>
          <w:szCs w:val="22"/>
        </w:rPr>
        <w:lastRenderedPageBreak/>
        <w:t xml:space="preserve">Table 1-2. </w:t>
      </w:r>
      <w:r w:rsidRPr="006D631C">
        <w:rPr>
          <w:i/>
          <w:sz w:val="22"/>
          <w:szCs w:val="22"/>
        </w:rPr>
        <w:t>(Contd.)</w:t>
      </w:r>
    </w:p>
    <w:tbl>
      <w:tblPr>
        <w:tblW w:w="12900" w:type="dxa"/>
        <w:jc w:val="center"/>
        <w:tblLayout w:type="fixed"/>
        <w:tblLook w:val="04A0" w:firstRow="1" w:lastRow="0" w:firstColumn="1" w:lastColumn="0" w:noHBand="0" w:noVBand="1"/>
      </w:tblPr>
      <w:tblGrid>
        <w:gridCol w:w="851"/>
        <w:gridCol w:w="709"/>
        <w:gridCol w:w="708"/>
        <w:gridCol w:w="1276"/>
        <w:gridCol w:w="1418"/>
        <w:gridCol w:w="1134"/>
        <w:gridCol w:w="1134"/>
        <w:gridCol w:w="5244"/>
        <w:gridCol w:w="426"/>
      </w:tblGrid>
      <w:tr w:rsidR="00B31553" w:rsidRPr="006D631C" w14:paraId="1CF0A7E8" w14:textId="77777777" w:rsidTr="007D350B">
        <w:trPr>
          <w:trHeight w:val="20"/>
          <w:jc w:val="center"/>
        </w:trPr>
        <w:tc>
          <w:tcPr>
            <w:tcW w:w="851" w:type="dxa"/>
            <w:tcBorders>
              <w:top w:val="single" w:sz="8" w:space="0" w:color="auto"/>
              <w:left w:val="nil"/>
              <w:bottom w:val="single" w:sz="8" w:space="0" w:color="auto"/>
              <w:right w:val="nil"/>
            </w:tcBorders>
            <w:shd w:val="clear" w:color="000000" w:fill="FFFFFF"/>
            <w:noWrap/>
            <w:vAlign w:val="center"/>
            <w:hideMark/>
          </w:tcPr>
          <w:p w14:paraId="1A19F5B6" w14:textId="77777777" w:rsidR="00B31553" w:rsidRPr="006D631C" w:rsidRDefault="00B31553" w:rsidP="007D350B">
            <w:pPr>
              <w:spacing w:line="240" w:lineRule="auto"/>
              <w:jc w:val="left"/>
              <w:rPr>
                <w:b/>
                <w:bCs/>
                <w:color w:val="000000"/>
                <w:sz w:val="12"/>
                <w:szCs w:val="12"/>
              </w:rPr>
            </w:pPr>
            <w:proofErr w:type="spellStart"/>
            <w:r w:rsidRPr="006D631C">
              <w:rPr>
                <w:b/>
                <w:bCs/>
                <w:color w:val="000000"/>
                <w:sz w:val="12"/>
                <w:szCs w:val="12"/>
              </w:rPr>
              <w:t>Amphiphile</w:t>
            </w:r>
            <w:proofErr w:type="spellEnd"/>
          </w:p>
        </w:tc>
        <w:tc>
          <w:tcPr>
            <w:tcW w:w="709" w:type="dxa"/>
            <w:tcBorders>
              <w:top w:val="single" w:sz="8" w:space="0" w:color="auto"/>
              <w:left w:val="nil"/>
              <w:bottom w:val="single" w:sz="8" w:space="0" w:color="auto"/>
              <w:right w:val="nil"/>
            </w:tcBorders>
            <w:shd w:val="clear" w:color="000000" w:fill="FFFFFF"/>
            <w:vAlign w:val="center"/>
            <w:hideMark/>
          </w:tcPr>
          <w:p w14:paraId="70F41394" w14:textId="77777777" w:rsidR="00B31553" w:rsidRPr="006D631C" w:rsidRDefault="00B31553" w:rsidP="007D350B">
            <w:pPr>
              <w:spacing w:line="240" w:lineRule="auto"/>
              <w:jc w:val="left"/>
              <w:rPr>
                <w:b/>
                <w:bCs/>
                <w:color w:val="000000"/>
                <w:sz w:val="12"/>
                <w:szCs w:val="12"/>
              </w:rPr>
            </w:pPr>
            <w:r w:rsidRPr="006D631C">
              <w:rPr>
                <w:b/>
                <w:bCs/>
                <w:color w:val="000000"/>
                <w:sz w:val="12"/>
                <w:szCs w:val="12"/>
              </w:rPr>
              <w:t>Cross-linker</w:t>
            </w:r>
          </w:p>
        </w:tc>
        <w:tc>
          <w:tcPr>
            <w:tcW w:w="708" w:type="dxa"/>
            <w:tcBorders>
              <w:top w:val="single" w:sz="8" w:space="0" w:color="auto"/>
              <w:left w:val="nil"/>
              <w:bottom w:val="single" w:sz="8" w:space="0" w:color="auto"/>
              <w:right w:val="nil"/>
            </w:tcBorders>
            <w:shd w:val="clear" w:color="000000" w:fill="FFFFFF"/>
            <w:vAlign w:val="center"/>
            <w:hideMark/>
          </w:tcPr>
          <w:p w14:paraId="5EA00FC2" w14:textId="77777777" w:rsidR="00B31553" w:rsidRPr="006D631C" w:rsidRDefault="00B31553" w:rsidP="007D350B">
            <w:pPr>
              <w:spacing w:line="240" w:lineRule="auto"/>
              <w:ind w:left="-1"/>
              <w:jc w:val="left"/>
              <w:rPr>
                <w:b/>
                <w:bCs/>
                <w:color w:val="000000"/>
                <w:sz w:val="12"/>
                <w:szCs w:val="12"/>
              </w:rPr>
            </w:pPr>
            <w:r w:rsidRPr="006D631C">
              <w:rPr>
                <w:b/>
                <w:bCs/>
                <w:color w:val="000000"/>
                <w:sz w:val="12"/>
                <w:szCs w:val="12"/>
              </w:rPr>
              <w:t>Initiation system</w:t>
            </w:r>
          </w:p>
        </w:tc>
        <w:tc>
          <w:tcPr>
            <w:tcW w:w="1276" w:type="dxa"/>
            <w:tcBorders>
              <w:top w:val="single" w:sz="8" w:space="0" w:color="auto"/>
              <w:left w:val="nil"/>
              <w:bottom w:val="single" w:sz="8" w:space="0" w:color="auto"/>
              <w:right w:val="nil"/>
            </w:tcBorders>
            <w:shd w:val="clear" w:color="000000" w:fill="FFFFFF"/>
            <w:vAlign w:val="center"/>
            <w:hideMark/>
          </w:tcPr>
          <w:p w14:paraId="3D8978CB" w14:textId="77777777" w:rsidR="00B31553" w:rsidRPr="006D631C" w:rsidRDefault="00B31553" w:rsidP="007D350B">
            <w:pPr>
              <w:spacing w:line="240" w:lineRule="auto"/>
              <w:ind w:left="37"/>
              <w:jc w:val="left"/>
              <w:rPr>
                <w:b/>
                <w:bCs/>
                <w:color w:val="000000"/>
                <w:sz w:val="12"/>
                <w:szCs w:val="12"/>
              </w:rPr>
            </w:pPr>
            <w:proofErr w:type="spellStart"/>
            <w:r w:rsidRPr="006D631C">
              <w:rPr>
                <w:b/>
                <w:bCs/>
                <w:color w:val="000000"/>
                <w:sz w:val="12"/>
                <w:szCs w:val="12"/>
              </w:rPr>
              <w:t>Amphiphile</w:t>
            </w:r>
            <w:proofErr w:type="spellEnd"/>
            <w:r w:rsidRPr="006D631C">
              <w:rPr>
                <w:b/>
                <w:bCs/>
                <w:color w:val="000000"/>
                <w:sz w:val="12"/>
                <w:szCs w:val="12"/>
              </w:rPr>
              <w:t xml:space="preserve"> concentration</w:t>
            </w:r>
          </w:p>
          <w:p w14:paraId="5DEBCC20" w14:textId="77777777" w:rsidR="00B31553" w:rsidRPr="006D631C" w:rsidRDefault="00B31553" w:rsidP="007D350B">
            <w:pPr>
              <w:spacing w:line="240" w:lineRule="auto"/>
              <w:ind w:left="37"/>
              <w:jc w:val="left"/>
              <w:rPr>
                <w:b/>
                <w:bCs/>
                <w:color w:val="000000"/>
                <w:sz w:val="12"/>
                <w:szCs w:val="12"/>
              </w:rPr>
            </w:pPr>
            <w:r w:rsidRPr="006D631C">
              <w:rPr>
                <w:b/>
                <w:bCs/>
                <w:color w:val="000000"/>
                <w:sz w:val="12"/>
                <w:szCs w:val="12"/>
              </w:rPr>
              <w:t>[</w:t>
            </w:r>
            <w:proofErr w:type="spellStart"/>
            <w:r w:rsidRPr="006D631C">
              <w:rPr>
                <w:b/>
                <w:bCs/>
                <w:color w:val="000000"/>
                <w:sz w:val="12"/>
                <w:szCs w:val="12"/>
              </w:rPr>
              <w:t>wt</w:t>
            </w:r>
            <w:proofErr w:type="spellEnd"/>
            <w:r w:rsidRPr="006D631C">
              <w:rPr>
                <w:b/>
                <w:bCs/>
                <w:color w:val="000000"/>
                <w:sz w:val="12"/>
                <w:szCs w:val="12"/>
              </w:rPr>
              <w:t>%] and structure before reaction</w:t>
            </w:r>
          </w:p>
        </w:tc>
        <w:tc>
          <w:tcPr>
            <w:tcW w:w="1418" w:type="dxa"/>
            <w:tcBorders>
              <w:top w:val="single" w:sz="8" w:space="0" w:color="auto"/>
              <w:left w:val="nil"/>
              <w:bottom w:val="single" w:sz="8" w:space="0" w:color="auto"/>
              <w:right w:val="nil"/>
            </w:tcBorders>
            <w:shd w:val="clear" w:color="000000" w:fill="FFFFFF"/>
            <w:vAlign w:val="center"/>
            <w:hideMark/>
          </w:tcPr>
          <w:p w14:paraId="3A02D34C" w14:textId="77777777" w:rsidR="00B31553" w:rsidRPr="006D631C" w:rsidRDefault="00B31553" w:rsidP="007D350B">
            <w:pPr>
              <w:spacing w:line="240" w:lineRule="auto"/>
              <w:jc w:val="left"/>
              <w:rPr>
                <w:b/>
                <w:bCs/>
                <w:color w:val="000000"/>
                <w:sz w:val="12"/>
                <w:szCs w:val="12"/>
              </w:rPr>
            </w:pPr>
            <w:r w:rsidRPr="006D631C">
              <w:rPr>
                <w:b/>
                <w:bCs/>
                <w:color w:val="000000"/>
                <w:sz w:val="12"/>
                <w:szCs w:val="12"/>
              </w:rPr>
              <w:t>Structure after polymerization</w:t>
            </w:r>
          </w:p>
        </w:tc>
        <w:tc>
          <w:tcPr>
            <w:tcW w:w="1134" w:type="dxa"/>
            <w:tcBorders>
              <w:top w:val="single" w:sz="8" w:space="0" w:color="auto"/>
              <w:left w:val="nil"/>
              <w:bottom w:val="single" w:sz="8" w:space="0" w:color="auto"/>
              <w:right w:val="nil"/>
            </w:tcBorders>
            <w:shd w:val="clear" w:color="000000" w:fill="FFFFFF"/>
            <w:vAlign w:val="center"/>
            <w:hideMark/>
          </w:tcPr>
          <w:p w14:paraId="1970E520" w14:textId="77777777" w:rsidR="00B31553" w:rsidRPr="006D631C" w:rsidRDefault="00B31553" w:rsidP="007D350B">
            <w:pPr>
              <w:spacing w:line="240" w:lineRule="auto"/>
              <w:jc w:val="left"/>
              <w:rPr>
                <w:b/>
                <w:bCs/>
                <w:color w:val="000000"/>
                <w:sz w:val="12"/>
                <w:szCs w:val="12"/>
              </w:rPr>
            </w:pPr>
            <w:r w:rsidRPr="006D631C">
              <w:rPr>
                <w:b/>
                <w:bCs/>
                <w:color w:val="000000"/>
                <w:sz w:val="12"/>
                <w:szCs w:val="12"/>
              </w:rPr>
              <w:t>Lattice parameter before reaction</w:t>
            </w:r>
            <w:r w:rsidRPr="006D631C">
              <w:rPr>
                <w:b/>
                <w:bCs/>
                <w:color w:val="000000"/>
                <w:sz w:val="12"/>
                <w:szCs w:val="12"/>
              </w:rPr>
              <w:br/>
              <w:t>[nm]</w:t>
            </w:r>
          </w:p>
        </w:tc>
        <w:tc>
          <w:tcPr>
            <w:tcW w:w="1134" w:type="dxa"/>
            <w:tcBorders>
              <w:top w:val="single" w:sz="8" w:space="0" w:color="auto"/>
              <w:left w:val="nil"/>
              <w:bottom w:val="single" w:sz="8" w:space="0" w:color="auto"/>
              <w:right w:val="nil"/>
            </w:tcBorders>
            <w:shd w:val="clear" w:color="000000" w:fill="FFFFFF"/>
            <w:vAlign w:val="center"/>
            <w:hideMark/>
          </w:tcPr>
          <w:p w14:paraId="1B12C04A" w14:textId="77777777" w:rsidR="00B31553" w:rsidRPr="006D631C" w:rsidRDefault="00B31553" w:rsidP="007D350B">
            <w:pPr>
              <w:spacing w:line="240" w:lineRule="auto"/>
              <w:jc w:val="left"/>
              <w:rPr>
                <w:b/>
                <w:bCs/>
                <w:color w:val="000000"/>
                <w:sz w:val="12"/>
                <w:szCs w:val="12"/>
              </w:rPr>
            </w:pPr>
            <w:r w:rsidRPr="006D631C">
              <w:rPr>
                <w:b/>
                <w:bCs/>
                <w:color w:val="000000"/>
                <w:sz w:val="12"/>
                <w:szCs w:val="12"/>
              </w:rPr>
              <w:t>Lattice parameter after reaction</w:t>
            </w:r>
            <w:r w:rsidRPr="006D631C">
              <w:rPr>
                <w:b/>
                <w:bCs/>
                <w:color w:val="000000"/>
                <w:sz w:val="12"/>
                <w:szCs w:val="12"/>
              </w:rPr>
              <w:br/>
              <w:t>[nm]</w:t>
            </w:r>
          </w:p>
        </w:tc>
        <w:tc>
          <w:tcPr>
            <w:tcW w:w="5244" w:type="dxa"/>
            <w:tcBorders>
              <w:top w:val="single" w:sz="8" w:space="0" w:color="auto"/>
              <w:left w:val="nil"/>
              <w:bottom w:val="single" w:sz="8" w:space="0" w:color="auto"/>
              <w:right w:val="nil"/>
            </w:tcBorders>
            <w:shd w:val="clear" w:color="000000" w:fill="FFFFFF"/>
            <w:vAlign w:val="center"/>
          </w:tcPr>
          <w:p w14:paraId="39678B2F" w14:textId="77777777" w:rsidR="00B31553" w:rsidRPr="006D631C" w:rsidRDefault="00B31553" w:rsidP="007D350B">
            <w:pPr>
              <w:spacing w:line="240" w:lineRule="auto"/>
              <w:jc w:val="left"/>
              <w:rPr>
                <w:b/>
                <w:bCs/>
                <w:color w:val="000000"/>
                <w:sz w:val="12"/>
                <w:szCs w:val="12"/>
              </w:rPr>
            </w:pPr>
            <w:r w:rsidRPr="006D631C">
              <w:rPr>
                <w:b/>
                <w:bCs/>
                <w:color w:val="000000"/>
                <w:sz w:val="12"/>
                <w:szCs w:val="12"/>
              </w:rPr>
              <w:t>Remarks</w:t>
            </w:r>
          </w:p>
        </w:tc>
        <w:tc>
          <w:tcPr>
            <w:tcW w:w="426" w:type="dxa"/>
            <w:tcBorders>
              <w:top w:val="single" w:sz="8" w:space="0" w:color="auto"/>
              <w:left w:val="nil"/>
              <w:bottom w:val="single" w:sz="8" w:space="0" w:color="auto"/>
              <w:right w:val="nil"/>
            </w:tcBorders>
            <w:shd w:val="clear" w:color="000000" w:fill="FFFFFF"/>
            <w:noWrap/>
            <w:vAlign w:val="center"/>
            <w:hideMark/>
          </w:tcPr>
          <w:p w14:paraId="54535BAC" w14:textId="77777777" w:rsidR="00B31553" w:rsidRPr="006D631C" w:rsidRDefault="00B31553" w:rsidP="007D350B">
            <w:pPr>
              <w:spacing w:line="240" w:lineRule="auto"/>
              <w:jc w:val="left"/>
              <w:rPr>
                <w:b/>
                <w:bCs/>
                <w:color w:val="000000"/>
                <w:sz w:val="12"/>
                <w:szCs w:val="12"/>
              </w:rPr>
            </w:pPr>
            <w:r w:rsidRPr="006D631C">
              <w:rPr>
                <w:b/>
                <w:bCs/>
                <w:color w:val="000000"/>
                <w:sz w:val="12"/>
                <w:szCs w:val="12"/>
              </w:rPr>
              <w:t>Ref.</w:t>
            </w:r>
          </w:p>
        </w:tc>
      </w:tr>
      <w:tr w:rsidR="00D83A02" w:rsidRPr="006D631C" w14:paraId="1058F0F1"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576641A0" w14:textId="779F3A18" w:rsidR="00D83A02" w:rsidRPr="006D631C" w:rsidRDefault="00D83A02" w:rsidP="00D83A02">
            <w:pPr>
              <w:spacing w:line="240" w:lineRule="auto"/>
              <w:jc w:val="left"/>
              <w:rPr>
                <w:color w:val="000000"/>
                <w:sz w:val="12"/>
                <w:szCs w:val="12"/>
              </w:rPr>
            </w:pPr>
            <w:r w:rsidRPr="006D631C">
              <w:rPr>
                <w:color w:val="000000"/>
                <w:sz w:val="12"/>
                <w:szCs w:val="12"/>
              </w:rPr>
              <w:t>P-A-40a</w:t>
            </w:r>
          </w:p>
        </w:tc>
        <w:tc>
          <w:tcPr>
            <w:tcW w:w="709" w:type="dxa"/>
            <w:tcBorders>
              <w:top w:val="nil"/>
              <w:left w:val="nil"/>
              <w:bottom w:val="single" w:sz="4" w:space="0" w:color="auto"/>
              <w:right w:val="nil"/>
            </w:tcBorders>
            <w:shd w:val="clear" w:color="000000" w:fill="FFFFFF"/>
            <w:vAlign w:val="center"/>
          </w:tcPr>
          <w:p w14:paraId="08F088DF" w14:textId="3284B0A5" w:rsidR="00D83A02" w:rsidRPr="006D631C" w:rsidRDefault="00D83A02" w:rsidP="00D83A02">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0EBF7C27" w14:textId="27797B8A" w:rsidR="00D83A02" w:rsidRPr="006D631C" w:rsidRDefault="00D83A02" w:rsidP="00D83A02">
            <w:pPr>
              <w:spacing w:line="240" w:lineRule="auto"/>
              <w:jc w:val="left"/>
              <w:rPr>
                <w:color w:val="000000"/>
                <w:sz w:val="12"/>
                <w:szCs w:val="12"/>
              </w:rPr>
            </w:pPr>
            <w:r w:rsidRPr="006D631C">
              <w:rPr>
                <w:color w:val="000000"/>
                <w:sz w:val="12"/>
                <w:szCs w:val="12"/>
              </w:rPr>
              <w:t>UV</w:t>
            </w:r>
          </w:p>
        </w:tc>
        <w:tc>
          <w:tcPr>
            <w:tcW w:w="1276" w:type="dxa"/>
            <w:tcBorders>
              <w:top w:val="nil"/>
              <w:left w:val="nil"/>
              <w:bottom w:val="single" w:sz="4" w:space="0" w:color="auto"/>
              <w:right w:val="nil"/>
            </w:tcBorders>
            <w:shd w:val="clear" w:color="000000" w:fill="FFFFFF"/>
            <w:noWrap/>
            <w:vAlign w:val="center"/>
          </w:tcPr>
          <w:p w14:paraId="630A8CED" w14:textId="4C40E42D" w:rsidR="00D83A02" w:rsidRPr="006D631C" w:rsidRDefault="00D83A02" w:rsidP="00D83A02">
            <w:pPr>
              <w:spacing w:line="240" w:lineRule="auto"/>
              <w:ind w:left="37"/>
              <w:jc w:val="left"/>
              <w:rPr>
                <w:color w:val="000000"/>
                <w:sz w:val="12"/>
                <w:szCs w:val="12"/>
              </w:rPr>
            </w:pPr>
            <w:r w:rsidRPr="006D631C">
              <w:rPr>
                <w:color w:val="000000"/>
                <w:sz w:val="12"/>
                <w:szCs w:val="12"/>
              </w:rPr>
              <w:t>78 ± 3 (no structure)</w:t>
            </w:r>
          </w:p>
        </w:tc>
        <w:tc>
          <w:tcPr>
            <w:tcW w:w="1418" w:type="dxa"/>
            <w:tcBorders>
              <w:top w:val="nil"/>
              <w:left w:val="nil"/>
              <w:bottom w:val="single" w:sz="4" w:space="0" w:color="auto"/>
              <w:right w:val="nil"/>
            </w:tcBorders>
            <w:shd w:val="clear" w:color="000000" w:fill="FFFFFF"/>
            <w:vAlign w:val="center"/>
          </w:tcPr>
          <w:p w14:paraId="26CD591C" w14:textId="4BA6AA23" w:rsidR="00D83A02" w:rsidRPr="006D631C" w:rsidRDefault="00D83A02" w:rsidP="00D83A02">
            <w:pPr>
              <w:spacing w:line="240" w:lineRule="auto"/>
              <w:jc w:val="left"/>
              <w:rPr>
                <w:color w:val="000000"/>
                <w:sz w:val="12"/>
                <w:szCs w:val="12"/>
              </w:rPr>
            </w:pPr>
            <w:r w:rsidRPr="006D631C">
              <w:rPr>
                <w:color w:val="000000"/>
                <w:sz w:val="12"/>
                <w:szCs w:val="12"/>
              </w:rPr>
              <w:t>Formation of L</w:t>
            </w:r>
            <w:r w:rsidRPr="006D631C">
              <w:rPr>
                <w:color w:val="000000"/>
                <w:sz w:val="12"/>
                <w:szCs w:val="12"/>
                <w:vertAlign w:val="subscript"/>
              </w:rPr>
              <w:t>α</w:t>
            </w:r>
          </w:p>
        </w:tc>
        <w:tc>
          <w:tcPr>
            <w:tcW w:w="1134" w:type="dxa"/>
            <w:tcBorders>
              <w:top w:val="nil"/>
              <w:left w:val="nil"/>
              <w:bottom w:val="single" w:sz="4" w:space="0" w:color="auto"/>
              <w:right w:val="nil"/>
            </w:tcBorders>
            <w:shd w:val="clear" w:color="000000" w:fill="FFFFFF"/>
            <w:noWrap/>
            <w:vAlign w:val="center"/>
          </w:tcPr>
          <w:p w14:paraId="2EE04810" w14:textId="5C7D42B8" w:rsidR="00D83A02" w:rsidRPr="006D631C" w:rsidRDefault="00D83A02" w:rsidP="00D83A02">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6D394CD3" w14:textId="4C757CA3" w:rsidR="00D83A02" w:rsidRPr="006D631C" w:rsidRDefault="00D83A02" w:rsidP="00D83A02">
            <w:pPr>
              <w:spacing w:line="240" w:lineRule="auto"/>
              <w:jc w:val="left"/>
              <w:rPr>
                <w:color w:val="000000"/>
                <w:sz w:val="12"/>
                <w:szCs w:val="12"/>
              </w:rPr>
            </w:pPr>
            <w:r w:rsidRPr="006D631C">
              <w:rPr>
                <w:color w:val="000000"/>
                <w:sz w:val="12"/>
                <w:szCs w:val="12"/>
              </w:rPr>
              <w:t>2.8</w:t>
            </w:r>
          </w:p>
        </w:tc>
        <w:tc>
          <w:tcPr>
            <w:tcW w:w="5244" w:type="dxa"/>
            <w:tcBorders>
              <w:top w:val="nil"/>
              <w:left w:val="nil"/>
              <w:bottom w:val="single" w:sz="4" w:space="0" w:color="auto"/>
              <w:right w:val="nil"/>
            </w:tcBorders>
            <w:shd w:val="clear" w:color="000000" w:fill="FFFFFF"/>
            <w:noWrap/>
            <w:vAlign w:val="center"/>
          </w:tcPr>
          <w:p w14:paraId="5B8E2523" w14:textId="4A45E83B" w:rsidR="00D83A02" w:rsidRPr="006D631C" w:rsidRDefault="00D83A02" w:rsidP="00D83A02">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Proper thermal stability and high swelling capacity via water and polar hydrogen-bonding solvents</w:t>
            </w:r>
          </w:p>
        </w:tc>
        <w:tc>
          <w:tcPr>
            <w:tcW w:w="426" w:type="dxa"/>
            <w:tcBorders>
              <w:top w:val="nil"/>
              <w:left w:val="nil"/>
              <w:bottom w:val="single" w:sz="4" w:space="0" w:color="auto"/>
              <w:right w:val="nil"/>
            </w:tcBorders>
            <w:shd w:val="clear" w:color="000000" w:fill="FFFFFF"/>
            <w:vAlign w:val="center"/>
          </w:tcPr>
          <w:p w14:paraId="77339145" w14:textId="5600E179" w:rsidR="00D83A02" w:rsidRPr="006D631C" w:rsidRDefault="00D83A02" w:rsidP="002E14E4">
            <w:pPr>
              <w:spacing w:line="240" w:lineRule="auto"/>
              <w:ind w:right="-104"/>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{"citationItems":[{"id":"ITEM-1","itemData":{"DOI":"10.1021/cm062992z","ISSN":"08974756","abstract":"Preparation and polymerization of a methylimidazolium-based ionic liquid (IL) that incorporates an acryloyl moiety at the terminus of a C8 alkyl chain is described. The IL monomer weakly self-assembles upon addition of water and oligomerizes on mild heating. Initiator-free polymerization (as evidenced by FT-IR spectroscopy) can be achieved by UV irradiation, forming an elastic, self-supporting hydrogel. Small-angle X-ray scattering (SAXS) studies on the unsupported polymer demonstrate that the hydrogel adopts an ordered lamellar structure. The polymer can absorb large quantities of water, swelling to nearly 200 times its original volume and, in the process, becoming a highly disordered lamellar structure. Swelling studies conducted using a range of organic solvents demonstrate that the polymer can also be swollen (albeit to a lesser extent) by polar, hydrogen-bonding solvents such as ethanol. © 2007 American Chemical Society.","author":[{"dropping-particle":"","family":"Batra","given":"Dolly","non-dropping-particle":"","parse-names":false,"suffix":""},{"dropping-particle":"","family":"Hay","given":"Daniel N.T.","non-dropping-particle":"","parse-names":false,"suffix":""},{"dropping-particle":"","family":"Firestone","given":"Millicent A.","non-dropping-particle":"","parse-names":false,"suffix":""}],"container-title":"Chemistry of Materials","id":"ITEM-1","issue":"18","issued":{"date-parts":[["2007"]]},"page":"4423-4431","title":"Formation of a biomimetic, liquid-crystalline hydrogel by self-assembly and polymerization of an ionic liquid","type":"article-journal","volume":"19"},"uris":["http://www.mendeley.com/documents/?uuid=096fded3-48dd-4649-844d-9bed47afa9c2"]},{"id":"ITEM-2","itemData":{"DOI":"10.1002/macp.200700174","ISSN":"10221352","abstract":"The binary phase behavior of a series of imidazolium-based ionic liquids (ILs) has been investigated. In particular, the effect of two structural modifications of the imidazolium cation, alkyl chain length, and the introduction of a polymerizable acryloyl group at the alkyl chain terminus, has been studied using small angle X-ray scattering. Upon increasing water content, the non-polymerizable IL, 1-decyl-3-methylimidazolium chloride, adopts mesophase structures of predominately two-dimensional (2D) hexagonal symmetry, including structures intermediate in character between lamellae and 2D hexagonal micelles. Introduction of a photopolymerizable acryloyl functional group to form l-(10-(acryloyloxy)decyl)-3-methylimidazolium chloride produces a rod-coil IL cation that yields self-assembled mesophases in which the formation of tetragonal morphologies is favored. Covalent linking of the IL cations by UV-induced polymerization converts the lyotropic mesophase into three-dimensional biocontinuous chemical gels. Reducing the alkyl chain length, as in the polymerizable IL cation 1-(8-(acryloyloxy)octyl)-3-methylimidazolium chloride, severely reduces the self-assembled mesophase order, and triggers the formation of only weakly ordered one-dimensional lamellar structures. © 2007 WILEY-VCH Verlag GmbH &amp; Co. KGaA.","author":[{"dropping-particle":"","family":"Batra","given":"Dolly","non-dropping-particle":"","parse-names":false,"suffix":""},{"dropping-particle":"","family":"Seifert","given":"Sönke","non-dropping-particle":"","parse-names":false,"suffix":""},{"dropping-particle":"","family":"Firestone","given":"Millicent A.","non-dropping-particle":"","parse-names":false,"suffix":""}],"container-title":"Macromolecular Chemistry and Physics","id":"ITEM-2","issue":"13","issued":{"date-parts":[["2007","7","3"]]},"page":"1416-1427","title":"The Effect of Cation Structure on the Mesophase Architecture of Self-Assembled and Polymerized Imidazolium-Based Ionic Liquids","type":"article-journal","volume":"208"},"uris":["http://www.mendeley.com/documents/?uuid=9841d302-c27a-4d6a-8fe2-cfeb23969c30"]}],"mendeley":{"formattedCitation":"&lt;sup&gt;86,87&lt;/sup&gt;","plainTextFormattedCitation":"86,87","previouslyFormattedCitation":"&lt;sup&gt;86,87&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86,87</w:t>
            </w:r>
            <w:r w:rsidRPr="006D631C">
              <w:rPr>
                <w:color w:val="000000"/>
                <w:sz w:val="12"/>
                <w:szCs w:val="12"/>
              </w:rPr>
              <w:fldChar w:fldCharType="end"/>
            </w:r>
          </w:p>
        </w:tc>
      </w:tr>
      <w:tr w:rsidR="00D83A02" w:rsidRPr="006D631C" w14:paraId="548C78C6"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5AFD0D41" w14:textId="7A852F8D" w:rsidR="00D83A02" w:rsidRPr="006D631C" w:rsidRDefault="00D83A02" w:rsidP="00D83A02">
            <w:pPr>
              <w:spacing w:line="240" w:lineRule="auto"/>
              <w:jc w:val="left"/>
              <w:rPr>
                <w:color w:val="000000"/>
                <w:sz w:val="12"/>
                <w:szCs w:val="12"/>
              </w:rPr>
            </w:pPr>
            <w:r w:rsidRPr="006D631C">
              <w:rPr>
                <w:color w:val="000000"/>
                <w:sz w:val="12"/>
                <w:szCs w:val="12"/>
              </w:rPr>
              <w:t>P-A-40b</w:t>
            </w:r>
          </w:p>
        </w:tc>
        <w:tc>
          <w:tcPr>
            <w:tcW w:w="709" w:type="dxa"/>
            <w:tcBorders>
              <w:top w:val="nil"/>
              <w:left w:val="nil"/>
              <w:bottom w:val="single" w:sz="4" w:space="0" w:color="auto"/>
              <w:right w:val="nil"/>
            </w:tcBorders>
            <w:shd w:val="clear" w:color="000000" w:fill="FFFFFF"/>
            <w:vAlign w:val="center"/>
          </w:tcPr>
          <w:p w14:paraId="38F26C1A" w14:textId="627E2CEE" w:rsidR="00D83A02" w:rsidRPr="006D631C" w:rsidRDefault="00D83A02" w:rsidP="00D83A02">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4729F417" w14:textId="1D8E9848" w:rsidR="00D83A02" w:rsidRPr="006D631C" w:rsidRDefault="00D83A02" w:rsidP="00D83A02">
            <w:pPr>
              <w:spacing w:line="240" w:lineRule="auto"/>
              <w:jc w:val="left"/>
              <w:rPr>
                <w:color w:val="000000"/>
                <w:sz w:val="12"/>
                <w:szCs w:val="12"/>
              </w:rPr>
            </w:pPr>
            <w:r w:rsidRPr="006D631C">
              <w:rPr>
                <w:color w:val="000000"/>
                <w:sz w:val="12"/>
                <w:szCs w:val="12"/>
              </w:rPr>
              <w:t>UV and    I-1</w:t>
            </w:r>
          </w:p>
        </w:tc>
        <w:tc>
          <w:tcPr>
            <w:tcW w:w="1276" w:type="dxa"/>
            <w:tcBorders>
              <w:top w:val="nil"/>
              <w:left w:val="nil"/>
              <w:bottom w:val="single" w:sz="4" w:space="0" w:color="auto"/>
              <w:right w:val="nil"/>
            </w:tcBorders>
            <w:shd w:val="clear" w:color="000000" w:fill="FFFFFF"/>
            <w:noWrap/>
            <w:vAlign w:val="center"/>
          </w:tcPr>
          <w:p w14:paraId="2F85FD9C" w14:textId="577D8E19" w:rsidR="00D83A02" w:rsidRPr="006D631C" w:rsidRDefault="00D83A02" w:rsidP="00D83A02">
            <w:pPr>
              <w:spacing w:line="240" w:lineRule="auto"/>
              <w:ind w:left="37"/>
              <w:jc w:val="left"/>
              <w:rPr>
                <w:color w:val="000000"/>
                <w:sz w:val="12"/>
                <w:szCs w:val="12"/>
              </w:rPr>
            </w:pPr>
            <w:r w:rsidRPr="006D631C">
              <w:rPr>
                <w:color w:val="000000"/>
                <w:sz w:val="12"/>
                <w:szCs w:val="12"/>
              </w:rPr>
              <w:t>60 - 70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425F08B0" w14:textId="627C59F3" w:rsidR="00D83A02" w:rsidRPr="006D631C" w:rsidRDefault="00D83A02" w:rsidP="00D83A02">
            <w:pPr>
              <w:spacing w:line="240" w:lineRule="auto"/>
              <w:jc w:val="left"/>
              <w:rPr>
                <w:color w:val="000000"/>
                <w:sz w:val="12"/>
                <w:szCs w:val="12"/>
              </w:rPr>
            </w:pPr>
            <w:r w:rsidRPr="006D631C">
              <w:rPr>
                <w:color w:val="000000"/>
                <w:sz w:val="12"/>
                <w:szCs w:val="12"/>
              </w:rPr>
              <w:t>Formation of Q</w:t>
            </w:r>
            <w:r w:rsidRPr="006D631C">
              <w:rPr>
                <w:color w:val="000000"/>
                <w:sz w:val="12"/>
                <w:szCs w:val="12"/>
                <w:vertAlign w:val="subscript"/>
              </w:rPr>
              <w:t>α</w:t>
            </w:r>
            <w:r w:rsidRPr="006D631C">
              <w:rPr>
                <w:color w:val="000000"/>
                <w:sz w:val="12"/>
                <w:szCs w:val="12"/>
              </w:rPr>
              <w:t xml:space="preserve"> at low water contents and retention of H</w:t>
            </w:r>
            <w:r w:rsidRPr="006D631C">
              <w:rPr>
                <w:color w:val="000000"/>
                <w:sz w:val="12"/>
                <w:szCs w:val="12"/>
                <w:vertAlign w:val="subscript"/>
              </w:rPr>
              <w:t>2</w:t>
            </w:r>
          </w:p>
        </w:tc>
        <w:tc>
          <w:tcPr>
            <w:tcW w:w="1134" w:type="dxa"/>
            <w:tcBorders>
              <w:top w:val="nil"/>
              <w:left w:val="nil"/>
              <w:bottom w:val="single" w:sz="4" w:space="0" w:color="auto"/>
              <w:right w:val="nil"/>
            </w:tcBorders>
            <w:shd w:val="clear" w:color="000000" w:fill="FFFFFF"/>
            <w:noWrap/>
            <w:vAlign w:val="center"/>
          </w:tcPr>
          <w:p w14:paraId="52DD188F" w14:textId="523B535A" w:rsidR="00D83A02" w:rsidRPr="006D631C" w:rsidRDefault="00D83A02" w:rsidP="00D83A02">
            <w:pPr>
              <w:spacing w:line="240" w:lineRule="auto"/>
              <w:jc w:val="left"/>
              <w:rPr>
                <w:color w:val="000000"/>
                <w:sz w:val="12"/>
                <w:szCs w:val="12"/>
              </w:rPr>
            </w:pPr>
            <w:r w:rsidRPr="006D631C">
              <w:rPr>
                <w:color w:val="000000"/>
                <w:sz w:val="12"/>
                <w:szCs w:val="12"/>
              </w:rPr>
              <w:t>3.23 (H</w:t>
            </w:r>
            <w:r w:rsidRPr="006D631C">
              <w:rPr>
                <w:color w:val="000000"/>
                <w:sz w:val="12"/>
                <w:szCs w:val="12"/>
                <w:vertAlign w:val="subscript"/>
              </w:rPr>
              <w:t>2</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070410E0" w14:textId="48F9913E" w:rsidR="00D83A02" w:rsidRPr="006D631C" w:rsidRDefault="00D83A02" w:rsidP="00D83A02">
            <w:pPr>
              <w:spacing w:line="240" w:lineRule="auto"/>
              <w:jc w:val="left"/>
              <w:rPr>
                <w:color w:val="000000"/>
                <w:sz w:val="12"/>
                <w:szCs w:val="12"/>
              </w:rPr>
            </w:pPr>
            <w:r w:rsidRPr="006D631C">
              <w:rPr>
                <w:color w:val="000000"/>
                <w:sz w:val="12"/>
                <w:szCs w:val="12"/>
              </w:rPr>
              <w:t>3.78 (H</w:t>
            </w:r>
            <w:r w:rsidRPr="006D631C">
              <w:rPr>
                <w:color w:val="000000"/>
                <w:sz w:val="12"/>
                <w:szCs w:val="12"/>
                <w:vertAlign w:val="subscript"/>
              </w:rPr>
              <w:t>2</w:t>
            </w:r>
            <w:r w:rsidRPr="006D631C">
              <w:rPr>
                <w:color w:val="000000"/>
                <w:sz w:val="12"/>
                <w:szCs w:val="12"/>
              </w:rPr>
              <w:t>)</w:t>
            </w:r>
            <w:r w:rsidRPr="006D631C">
              <w:rPr>
                <w:color w:val="000000"/>
                <w:sz w:val="12"/>
                <w:szCs w:val="12"/>
              </w:rPr>
              <w:br/>
              <w:t>4.3 - 7.97 (Q</w:t>
            </w:r>
            <w:r w:rsidRPr="006D631C">
              <w:rPr>
                <w:color w:val="000000"/>
                <w:sz w:val="12"/>
                <w:szCs w:val="12"/>
                <w:vertAlign w:val="subscript"/>
              </w:rPr>
              <w:t>α</w:t>
            </w: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195EAFF4" w14:textId="77777777"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Mechanically robust gel was obtained through production of IPN via swelling the polymerized LLC by M-33 and then photopolymerization initiated by I-1</w:t>
            </w:r>
          </w:p>
          <w:p w14:paraId="19E89FA7" w14:textId="77777777"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The structure changed to L</w:t>
            </w:r>
            <w:r w:rsidRPr="006D631C">
              <w:rPr>
                <w:rFonts w:eastAsia="Times New Roman" w:cs="Times New Roman"/>
                <w:color w:val="000000"/>
                <w:sz w:val="12"/>
                <w:szCs w:val="12"/>
                <w:vertAlign w:val="subscript"/>
              </w:rPr>
              <w:t>α</w:t>
            </w:r>
            <w:r w:rsidRPr="006D631C">
              <w:rPr>
                <w:rFonts w:eastAsia="Times New Roman" w:cs="Times New Roman"/>
                <w:color w:val="000000"/>
                <w:sz w:val="12"/>
                <w:szCs w:val="12"/>
              </w:rPr>
              <w:t xml:space="preserve"> after formation of the IPN (lattice parameter of 3.3 nm)</w:t>
            </w:r>
          </w:p>
          <w:p w14:paraId="42081C92" w14:textId="3039AE70"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Enhanced mechanical properties and insolubility in a variety of solvents were the key characteristics of the obtained compatible IPN</w:t>
            </w:r>
          </w:p>
        </w:tc>
        <w:tc>
          <w:tcPr>
            <w:tcW w:w="426" w:type="dxa"/>
            <w:tcBorders>
              <w:top w:val="nil"/>
              <w:left w:val="nil"/>
              <w:bottom w:val="single" w:sz="4" w:space="0" w:color="auto"/>
              <w:right w:val="nil"/>
            </w:tcBorders>
            <w:shd w:val="clear" w:color="000000" w:fill="FFFFFF"/>
            <w:vAlign w:val="center"/>
          </w:tcPr>
          <w:p w14:paraId="4C3CD38C" w14:textId="3BF65C63" w:rsidR="00D83A02" w:rsidRPr="006D631C" w:rsidRDefault="00D83A02" w:rsidP="002E14E4">
            <w:pPr>
              <w:spacing w:line="240" w:lineRule="auto"/>
              <w:ind w:right="-104"/>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{"citationItems":[{"id":"ITEM-1","itemData":{"DOI":"10.1002/macp.200700174","ISSN":"10221352","abstract":"The binary phase behavior of a series of imidazolium-based ionic liquids (ILs) has been investigated. In particular, the effect of two structural modifications of the imidazolium cation, alkyl chain length, and the introduction of a polymerizable acryloyl group at the alkyl chain terminus, has been studied using small angle X-ray scattering. Upon increasing water content, the non-polymerizable IL, 1-decyl-3-methylimidazolium chloride, adopts mesophase structures of predominately two-dimensional (2D) hexagonal symmetry, including structures intermediate in character between lamellae and 2D hexagonal micelles. Introduction of a photopolymerizable acryloyl functional group to form l-(10-(acryloyloxy)decyl)-3-methylimidazolium chloride produces a rod-coil IL cation that yields self-assembled mesophases in which the formation of tetragonal morphologies is favored. Covalent linking of the IL cations by UV-induced polymerization converts the lyotropic mesophase into three-dimensional biocontinuous chemical gels. Reducing the alkyl chain length, as in the polymerizable IL cation 1-(8-(acryloyloxy)octyl)-3-methylimidazolium chloride, severely reduces the self-assembled mesophase order, and triggers the formation of only weakly ordered one-dimensional lamellar structures. © 2007 WILEY-VCH Verlag GmbH &amp; Co. KGaA.","author":[{"dropping-particle":"","family":"Batra","given":"Dolly","non-dropping-particle":"","parse-names":false,"suffix":""},{"dropping-particle":"","family":"Seifert","given":"Sönke","non-dropping-particle":"","parse-names":false,"suffix":""},{"dropping-particle":"","family":"Firestone","given":"Millicent A.","non-dropping-particle":"","parse-names":false,"suffix":""}],"container-title":"Macromolecular Chemistry and Physics","id":"ITEM-1","issue":"13","issued":{"date-parts":[["2007","7","3"]]},"page":"1416-1427","title":"The Effect of Cation Structure on the Mesophase Architecture of Self-Assembled and Polymerized Imidazolium-Based Ionic Liquids","type":"article-journal","volume":"208"},"uris":["http://www.mendeley.com/documents/?uuid=9841d302-c27a-4d6a-8fe2-cfeb23969c30"]},{"id":"ITEM-2","itemData":{"DOI":"10.1021/ma102146r","ISSN":"00249297","abstract":"Preparation of a liquid-crystalline ionic-liquid (IL)-based interpenetrating polymer network (IPN) is described. The IPN is prepared sequentially by first photopolymerizing a self-assembled aqueous mixture of an IL monomer (1-(10-(acryloyloxy)decyl)-3-methylimidazolium chloride) that possesses an acryloyl moiety at the terminus of a C10 alkyl chain of the IL cation. In the second step, an acrylate counteranion is introduced and then photopolymerized to yield a durable self-supporting network polymer. Thermal analysis indicates the formation of a homogeneous (well-blended constituent polymers) IPN. The IPN adopts a lamellar structure possessing some residual in-plane tetragonal perforations, as evidenced by small-angle X-ray scattering (SAXS). The IPN can absorb large quantities of water, swelling to nearly 60 times its original volume, but retains mechanical integrity making it a durable hydrogel. © 2011 American Chemical Society.","author":[{"dropping-particle":"","family":"Becht","given":"Gregory A.","non-dropping-particle":"","parse-names":false,"suffix":""},{"dropping-particle":"","family":"Sofos","given":"Marina","non-dropping-particle":"","parse-names":false,"suffix":""},{"dropping-particle":"","family":"Seifert","given":"Sönke","non-dropping-particle":"","parse-names":false,"suffix":""},{"dropping-particle":"","family":"Firestone","given":"Millicent A.","non-dropping-particle":"","parse-names":false,"suffix":""}],"container-title":"Macromolecules","id":"ITEM-2","issue":"6","issued":{"date-parts":[["2011"]]},"page":"1421-1428","title":"Formation of a liquid-crystalline interpenetrating poly(ionic liquid) network hydrogel","type":"article-journal","volume":"44"},"uris":["http://www.mendeley.com/documents/?uuid=9f6d22ba-2b83-43af-83e2-773d0062421f"]}],"mendeley":{"formattedCitation":"&lt;sup&gt;87,90&lt;/sup&gt;","plainTextFormattedCitation":"87,90","previouslyFormattedCitation":"&lt;sup&gt;87,90&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87,90</w:t>
            </w:r>
            <w:r w:rsidRPr="006D631C">
              <w:rPr>
                <w:color w:val="000000"/>
                <w:sz w:val="12"/>
                <w:szCs w:val="12"/>
              </w:rPr>
              <w:fldChar w:fldCharType="end"/>
            </w:r>
          </w:p>
        </w:tc>
      </w:tr>
      <w:tr w:rsidR="00D83A02" w:rsidRPr="006D631C" w14:paraId="74EFF9CE"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09AF32D8" w14:textId="0274B244" w:rsidR="00D83A02" w:rsidRPr="006D631C" w:rsidRDefault="00D83A02" w:rsidP="00D83A02">
            <w:pPr>
              <w:spacing w:line="240" w:lineRule="auto"/>
              <w:jc w:val="left"/>
              <w:rPr>
                <w:color w:val="000000"/>
                <w:sz w:val="12"/>
                <w:szCs w:val="12"/>
              </w:rPr>
            </w:pPr>
            <w:r w:rsidRPr="006D631C">
              <w:rPr>
                <w:color w:val="000000"/>
                <w:sz w:val="12"/>
                <w:szCs w:val="12"/>
              </w:rPr>
              <w:t>P-A-41</w:t>
            </w:r>
          </w:p>
        </w:tc>
        <w:tc>
          <w:tcPr>
            <w:tcW w:w="709" w:type="dxa"/>
            <w:tcBorders>
              <w:top w:val="nil"/>
              <w:left w:val="nil"/>
              <w:bottom w:val="single" w:sz="4" w:space="0" w:color="auto"/>
              <w:right w:val="nil"/>
            </w:tcBorders>
            <w:shd w:val="clear" w:color="000000" w:fill="FFFFFF"/>
            <w:vAlign w:val="center"/>
          </w:tcPr>
          <w:p w14:paraId="213E2E89" w14:textId="51E77F58" w:rsidR="00D83A02" w:rsidRPr="006D631C" w:rsidRDefault="00D83A02" w:rsidP="00D83A02">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698BFBBC" w14:textId="390D25FE" w:rsidR="00D83A02" w:rsidRPr="006D631C" w:rsidRDefault="00D83A02" w:rsidP="00D83A02">
            <w:pPr>
              <w:spacing w:line="240" w:lineRule="auto"/>
              <w:jc w:val="left"/>
              <w:rPr>
                <w:color w:val="000000"/>
                <w:sz w:val="12"/>
                <w:szCs w:val="12"/>
              </w:rPr>
            </w:pPr>
            <w:proofErr w:type="spellStart"/>
            <w:r w:rsidRPr="006D631C">
              <w:rPr>
                <w:color w:val="000000"/>
                <w:sz w:val="12"/>
                <w:szCs w:val="12"/>
              </w:rPr>
              <w:t>ChO</w:t>
            </w:r>
            <w:proofErr w:type="spellEnd"/>
          </w:p>
        </w:tc>
        <w:tc>
          <w:tcPr>
            <w:tcW w:w="1276" w:type="dxa"/>
            <w:tcBorders>
              <w:top w:val="nil"/>
              <w:left w:val="nil"/>
              <w:bottom w:val="single" w:sz="4" w:space="0" w:color="auto"/>
              <w:right w:val="nil"/>
            </w:tcBorders>
            <w:shd w:val="clear" w:color="000000" w:fill="FFFFFF"/>
            <w:noWrap/>
            <w:vAlign w:val="center"/>
          </w:tcPr>
          <w:p w14:paraId="3A453D74" w14:textId="0211F936" w:rsidR="00D83A02" w:rsidRPr="006D631C" w:rsidRDefault="00D83A02" w:rsidP="00D83A02">
            <w:pPr>
              <w:spacing w:line="240" w:lineRule="auto"/>
              <w:ind w:left="37"/>
              <w:jc w:val="left"/>
              <w:rPr>
                <w:color w:val="000000"/>
                <w:sz w:val="12"/>
                <w:szCs w:val="12"/>
              </w:rPr>
            </w:pPr>
            <w:r w:rsidRPr="006D631C">
              <w:rPr>
                <w:color w:val="000000"/>
                <w:sz w:val="12"/>
                <w:szCs w:val="12"/>
              </w:rPr>
              <w:t>&gt; 85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0D536309" w14:textId="66A276C4" w:rsidR="00D83A02" w:rsidRPr="006D631C" w:rsidRDefault="00D83A02" w:rsidP="00D83A02">
            <w:pPr>
              <w:spacing w:line="240" w:lineRule="auto"/>
              <w:jc w:val="left"/>
              <w:rPr>
                <w:color w:val="000000"/>
                <w:sz w:val="12"/>
                <w:szCs w:val="12"/>
              </w:rPr>
            </w:pPr>
            <w:r w:rsidRPr="006D631C">
              <w:rPr>
                <w:color w:val="000000"/>
                <w:sz w:val="12"/>
                <w:szCs w:val="12"/>
              </w:rPr>
              <w:t>Disordered structure</w:t>
            </w:r>
          </w:p>
        </w:tc>
        <w:tc>
          <w:tcPr>
            <w:tcW w:w="1134" w:type="dxa"/>
            <w:tcBorders>
              <w:top w:val="nil"/>
              <w:left w:val="nil"/>
              <w:bottom w:val="single" w:sz="4" w:space="0" w:color="auto"/>
              <w:right w:val="nil"/>
            </w:tcBorders>
            <w:shd w:val="clear" w:color="000000" w:fill="FFFFFF"/>
            <w:noWrap/>
            <w:vAlign w:val="center"/>
          </w:tcPr>
          <w:p w14:paraId="530B0638" w14:textId="2945C06E" w:rsidR="00D83A02" w:rsidRPr="006D631C" w:rsidRDefault="00D83A02" w:rsidP="00D83A02">
            <w:pPr>
              <w:spacing w:line="240" w:lineRule="auto"/>
              <w:jc w:val="left"/>
              <w:rPr>
                <w:color w:val="000000"/>
                <w:sz w:val="12"/>
                <w:szCs w:val="12"/>
              </w:rPr>
            </w:pPr>
            <w:r w:rsidRPr="006D631C">
              <w:rPr>
                <w:color w:val="000000"/>
                <w:sz w:val="12"/>
                <w:szCs w:val="12"/>
              </w:rPr>
              <w:t>3.41</w:t>
            </w:r>
          </w:p>
        </w:tc>
        <w:tc>
          <w:tcPr>
            <w:tcW w:w="1134" w:type="dxa"/>
            <w:tcBorders>
              <w:top w:val="nil"/>
              <w:left w:val="nil"/>
              <w:bottom w:val="single" w:sz="4" w:space="0" w:color="auto"/>
              <w:right w:val="nil"/>
            </w:tcBorders>
            <w:shd w:val="clear" w:color="000000" w:fill="FFFFFF"/>
            <w:noWrap/>
            <w:vAlign w:val="center"/>
          </w:tcPr>
          <w:p w14:paraId="68FA63CA" w14:textId="73F40BAF" w:rsidR="00D83A02" w:rsidRPr="006D631C" w:rsidRDefault="00D83A02" w:rsidP="00D83A02">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68D3273A" w14:textId="5CB23CBF"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 xml:space="preserve">Anion-exchange to a divalent anion (sulfate and sulfite) and difficulty of controlling the </w:t>
            </w:r>
            <w:proofErr w:type="spellStart"/>
            <w:r w:rsidRPr="006D631C">
              <w:rPr>
                <w:rFonts w:eastAsia="Times New Roman" w:cs="Times New Roman"/>
                <w:color w:val="000000"/>
                <w:sz w:val="12"/>
                <w:szCs w:val="12"/>
              </w:rPr>
              <w:t>regio</w:t>
            </w:r>
            <w:proofErr w:type="spellEnd"/>
            <w:r w:rsidRPr="006D631C">
              <w:rPr>
                <w:rFonts w:eastAsia="Times New Roman" w:cs="Times New Roman"/>
                <w:color w:val="000000"/>
                <w:sz w:val="12"/>
                <w:szCs w:val="12"/>
              </w:rPr>
              <w:t xml:space="preserve">-regularity during the polymerization of </w:t>
            </w:r>
            <w:proofErr w:type="spellStart"/>
            <w:r w:rsidRPr="006D631C">
              <w:rPr>
                <w:rFonts w:eastAsia="Times New Roman" w:cs="Times New Roman"/>
                <w:color w:val="000000"/>
                <w:sz w:val="12"/>
                <w:szCs w:val="12"/>
              </w:rPr>
              <w:t>thiophene</w:t>
            </w:r>
            <w:proofErr w:type="spellEnd"/>
            <w:r w:rsidRPr="006D631C">
              <w:rPr>
                <w:rFonts w:eastAsia="Times New Roman" w:cs="Times New Roman"/>
                <w:color w:val="000000"/>
                <w:sz w:val="12"/>
                <w:szCs w:val="12"/>
              </w:rPr>
              <w:t xml:space="preserve"> were the reason of losing the structure after polymerization</w:t>
            </w:r>
          </w:p>
        </w:tc>
        <w:tc>
          <w:tcPr>
            <w:tcW w:w="426" w:type="dxa"/>
            <w:tcBorders>
              <w:top w:val="nil"/>
              <w:left w:val="nil"/>
              <w:bottom w:val="single" w:sz="4" w:space="0" w:color="auto"/>
              <w:right w:val="nil"/>
            </w:tcBorders>
            <w:shd w:val="clear" w:color="000000" w:fill="FFFFFF"/>
            <w:vAlign w:val="center"/>
          </w:tcPr>
          <w:p w14:paraId="0794DD07" w14:textId="47D1A86B" w:rsidR="00D83A02" w:rsidRPr="006D631C" w:rsidRDefault="00D83A02" w:rsidP="000B67AC">
            <w:pPr>
              <w:spacing w:line="240" w:lineRule="auto"/>
              <w:ind w:right="-104"/>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{"citationItems":[{"id":"ITEM-1","itemData":{"DOI":"10.1002/pat.1200","ISSN":"10427147","abstract":"Preparation and polymerization of methylimidazolium-based ionic liquids (ILs) that incorporate a thiophene moiety at the terminus of a C10 alkyl chain are described. Both a bromide and nitrate salt of the amphiphilic thiophene IL self-assembles in water (albeit the nitrate to a lesser extent), adopting columnar mesophases. Polarized optical microscopy and small-angle X-ray scattering (SAXS) studies show that at low water content the IL-water binary mixtures form liquid crystalline mesophases possessing significant short-range ordering due to strong p interactions between adjacent thiophene moieties. At higher water content, the short-range ordering is lost, but long-range ordering persists up to ca. 45% (w/w) water. The chemical oxidative coupling of the nitrate monomer yields a highly water-soluble polymer. Electrochemical studies show that the polymer possesses a high oxidation potential (1.95 V) and thus, is resistant to chemical doping. In dilute aqueous solution, electronic absorption spectroscopy and X-ray scattering show the polymer adopts a random, coil-like conformational state. Slight improvement in the polymer conformation can be achieved by exchange of the counter anion. Copyright © 2008 John Wiley &amp; Sons, Ltd.","author":[{"dropping-particle":"","family":"Burns","given":"Christopher T.","non-dropping-particle":"","parse-names":false,"suffix":""},{"dropping-particle":"","family":"Lee","given":"Sungwon","non-dropping-particle":"","parse-names":false,"suffix":""},{"dropping-particle":"","family":"Seifert","given":"Sönke","non-dropping-particle":"","parse-names":false,"suffix":""},{"dropping-particle":"","family":"Firestone","given":"Millicent A.","non-dropping-particle":"","parse-names":false,"suffix":""}],"container-title":"Polymers for Advanced Technologies","id":"ITEM-1","issue":"10","issued":{"date-parts":[["2008","10"]]},"page":"1369-1382","title":"Thiophene-based ionic liquids: synthesis, physical properties, self-assembly, and oxidative polymerization","type":"article-journal","volume":"19"},"uris":["http://www.mendeley.com/documents/?uuid=07a06750-93b9-423c-83e1-8b0b4720a539"]}],"mendeley":{"formattedCitation":"&lt;sup&gt;131&lt;/sup&gt;","plainTextFormattedCitation":"131","previouslyFormattedCitation":"&lt;sup&gt;131&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131</w:t>
            </w:r>
            <w:r w:rsidRPr="006D631C">
              <w:rPr>
                <w:color w:val="000000"/>
                <w:sz w:val="12"/>
                <w:szCs w:val="12"/>
              </w:rPr>
              <w:fldChar w:fldCharType="end"/>
            </w:r>
          </w:p>
        </w:tc>
      </w:tr>
      <w:tr w:rsidR="00D83A02" w:rsidRPr="006D631C" w14:paraId="7A1B1ACD"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42E0160A" w14:textId="487755A4" w:rsidR="00D83A02" w:rsidRPr="006D631C" w:rsidRDefault="00D83A02" w:rsidP="00D83A02">
            <w:pPr>
              <w:spacing w:line="240" w:lineRule="auto"/>
              <w:jc w:val="left"/>
              <w:rPr>
                <w:color w:val="000000"/>
                <w:sz w:val="12"/>
                <w:szCs w:val="12"/>
              </w:rPr>
            </w:pPr>
            <w:r w:rsidRPr="006D631C">
              <w:rPr>
                <w:color w:val="000000"/>
                <w:sz w:val="12"/>
                <w:szCs w:val="12"/>
              </w:rPr>
              <w:t>P-A-42</w:t>
            </w:r>
          </w:p>
        </w:tc>
        <w:tc>
          <w:tcPr>
            <w:tcW w:w="709" w:type="dxa"/>
            <w:tcBorders>
              <w:top w:val="nil"/>
              <w:left w:val="nil"/>
              <w:bottom w:val="single" w:sz="4" w:space="0" w:color="auto"/>
              <w:right w:val="nil"/>
            </w:tcBorders>
            <w:shd w:val="clear" w:color="000000" w:fill="FFFFFF"/>
            <w:vAlign w:val="center"/>
          </w:tcPr>
          <w:p w14:paraId="29BA5D2B" w14:textId="251D62A6" w:rsidR="00D83A02" w:rsidRPr="006D631C" w:rsidRDefault="00D83A02" w:rsidP="00D83A02">
            <w:pPr>
              <w:spacing w:line="240" w:lineRule="auto"/>
              <w:jc w:val="left"/>
              <w:rPr>
                <w:color w:val="000000"/>
                <w:sz w:val="12"/>
                <w:szCs w:val="12"/>
              </w:rPr>
            </w:pPr>
            <w:r w:rsidRPr="006D631C">
              <w:rPr>
                <w:color w:val="000000"/>
                <w:sz w:val="12"/>
                <w:szCs w:val="12"/>
              </w:rPr>
              <w:t>C-10b</w:t>
            </w:r>
          </w:p>
        </w:tc>
        <w:tc>
          <w:tcPr>
            <w:tcW w:w="708" w:type="dxa"/>
            <w:tcBorders>
              <w:top w:val="nil"/>
              <w:left w:val="nil"/>
              <w:bottom w:val="single" w:sz="4" w:space="0" w:color="auto"/>
              <w:right w:val="nil"/>
            </w:tcBorders>
            <w:shd w:val="clear" w:color="000000" w:fill="FFFFFF"/>
            <w:vAlign w:val="center"/>
          </w:tcPr>
          <w:p w14:paraId="6D9504CC" w14:textId="735E4D9F" w:rsidR="00D83A02" w:rsidRPr="006D631C" w:rsidRDefault="00D83A02" w:rsidP="00D83A02">
            <w:pPr>
              <w:spacing w:line="240" w:lineRule="auto"/>
              <w:jc w:val="left"/>
              <w:rPr>
                <w:color w:val="000000"/>
                <w:sz w:val="12"/>
                <w:szCs w:val="12"/>
              </w:rPr>
            </w:pPr>
            <w:r w:rsidRPr="006D631C">
              <w:rPr>
                <w:color w:val="000000"/>
                <w:sz w:val="12"/>
                <w:szCs w:val="12"/>
              </w:rPr>
              <w:t>I-1</w:t>
            </w:r>
          </w:p>
        </w:tc>
        <w:tc>
          <w:tcPr>
            <w:tcW w:w="1276" w:type="dxa"/>
            <w:tcBorders>
              <w:top w:val="nil"/>
              <w:left w:val="nil"/>
              <w:bottom w:val="single" w:sz="4" w:space="0" w:color="auto"/>
              <w:right w:val="nil"/>
            </w:tcBorders>
            <w:shd w:val="clear" w:color="000000" w:fill="FFFFFF"/>
            <w:noWrap/>
            <w:vAlign w:val="center"/>
          </w:tcPr>
          <w:p w14:paraId="08E5FF92" w14:textId="3AB7D041" w:rsidR="00D83A02" w:rsidRPr="006D631C" w:rsidRDefault="00D83A02" w:rsidP="00D83A02">
            <w:pPr>
              <w:spacing w:line="240" w:lineRule="auto"/>
              <w:ind w:left="37"/>
              <w:jc w:val="left"/>
              <w:rPr>
                <w:color w:val="000000"/>
                <w:sz w:val="12"/>
                <w:szCs w:val="12"/>
              </w:rPr>
            </w:pPr>
            <w:r w:rsidRPr="006D631C">
              <w:rPr>
                <w:color w:val="000000"/>
                <w:sz w:val="12"/>
                <w:szCs w:val="12"/>
              </w:rPr>
              <w:t>87.9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7A8A4872" w14:textId="01B32C1A" w:rsidR="00D83A02" w:rsidRPr="006D631C" w:rsidRDefault="00D83A02" w:rsidP="00D83A02">
            <w:pPr>
              <w:spacing w:line="240" w:lineRule="auto"/>
              <w:jc w:val="left"/>
              <w:rPr>
                <w:color w:val="000000"/>
                <w:sz w:val="12"/>
                <w:szCs w:val="12"/>
              </w:rPr>
            </w:pPr>
            <w:r w:rsidRPr="006D631C">
              <w:rPr>
                <w:color w:val="000000"/>
                <w:sz w:val="12"/>
                <w:szCs w:val="12"/>
              </w:rPr>
              <w:t>Formation of HPL structure</w:t>
            </w:r>
          </w:p>
        </w:tc>
        <w:tc>
          <w:tcPr>
            <w:tcW w:w="1134" w:type="dxa"/>
            <w:tcBorders>
              <w:top w:val="nil"/>
              <w:left w:val="nil"/>
              <w:bottom w:val="single" w:sz="4" w:space="0" w:color="auto"/>
              <w:right w:val="nil"/>
            </w:tcBorders>
            <w:shd w:val="clear" w:color="000000" w:fill="FFFFFF"/>
            <w:noWrap/>
            <w:vAlign w:val="center"/>
          </w:tcPr>
          <w:p w14:paraId="260A3766" w14:textId="74711C9A" w:rsidR="00D83A02" w:rsidRPr="006D631C" w:rsidRDefault="00D83A02" w:rsidP="00D83A02">
            <w:pPr>
              <w:spacing w:line="240" w:lineRule="auto"/>
              <w:jc w:val="left"/>
              <w:rPr>
                <w:color w:val="000000"/>
                <w:sz w:val="12"/>
                <w:szCs w:val="12"/>
              </w:rPr>
            </w:pPr>
            <w:r w:rsidRPr="006D631C">
              <w:rPr>
                <w:color w:val="000000"/>
                <w:sz w:val="12"/>
                <w:szCs w:val="12"/>
              </w:rPr>
              <w:t>3.12</w:t>
            </w:r>
          </w:p>
        </w:tc>
        <w:tc>
          <w:tcPr>
            <w:tcW w:w="1134" w:type="dxa"/>
            <w:tcBorders>
              <w:top w:val="nil"/>
              <w:left w:val="nil"/>
              <w:bottom w:val="single" w:sz="4" w:space="0" w:color="auto"/>
              <w:right w:val="nil"/>
            </w:tcBorders>
            <w:shd w:val="clear" w:color="000000" w:fill="FFFFFF"/>
            <w:noWrap/>
            <w:vAlign w:val="center"/>
          </w:tcPr>
          <w:p w14:paraId="70FC12CD" w14:textId="32632CAB" w:rsidR="00D83A02" w:rsidRPr="006D631C" w:rsidRDefault="00D83A02" w:rsidP="00D83A02">
            <w:pPr>
              <w:spacing w:line="240" w:lineRule="auto"/>
              <w:jc w:val="left"/>
              <w:rPr>
                <w:color w:val="000000"/>
                <w:sz w:val="12"/>
                <w:szCs w:val="12"/>
              </w:rPr>
            </w:pPr>
            <w:r w:rsidRPr="006D631C">
              <w:rPr>
                <w:color w:val="000000"/>
                <w:sz w:val="12"/>
                <w:szCs w:val="12"/>
              </w:rPr>
              <w:t>-</w:t>
            </w:r>
          </w:p>
        </w:tc>
        <w:tc>
          <w:tcPr>
            <w:tcW w:w="5244" w:type="dxa"/>
            <w:tcBorders>
              <w:top w:val="nil"/>
              <w:left w:val="nil"/>
              <w:bottom w:val="single" w:sz="4" w:space="0" w:color="auto"/>
              <w:right w:val="nil"/>
            </w:tcBorders>
            <w:shd w:val="clear" w:color="000000" w:fill="FFFFFF"/>
            <w:noWrap/>
            <w:vAlign w:val="center"/>
          </w:tcPr>
          <w:p w14:paraId="116A3F02" w14:textId="26E27E02"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 xml:space="preserve">Relatively low </w:t>
            </w:r>
            <w:proofErr w:type="spellStart"/>
            <w:r w:rsidRPr="006D631C">
              <w:rPr>
                <w:rFonts w:eastAsia="Times New Roman" w:cs="Times New Roman"/>
                <w:color w:val="000000"/>
                <w:sz w:val="12"/>
                <w:szCs w:val="12"/>
              </w:rPr>
              <w:t>T</w:t>
            </w:r>
            <w:r w:rsidRPr="006D631C">
              <w:rPr>
                <w:rFonts w:eastAsia="Times New Roman" w:cs="Times New Roman"/>
                <w:color w:val="000000"/>
                <w:sz w:val="12"/>
                <w:szCs w:val="12"/>
                <w:vertAlign w:val="subscript"/>
              </w:rPr>
              <w:t>g</w:t>
            </w:r>
            <w:proofErr w:type="spellEnd"/>
            <w:r w:rsidRPr="006D631C">
              <w:rPr>
                <w:rFonts w:eastAsia="Times New Roman" w:cs="Times New Roman"/>
                <w:color w:val="000000"/>
                <w:sz w:val="12"/>
                <w:szCs w:val="12"/>
              </w:rPr>
              <w:t>, high thermal stability, and high resistance toward swelling by organic solvents and water were the important features of the synthesized polyLLC</w:t>
            </w:r>
          </w:p>
        </w:tc>
        <w:tc>
          <w:tcPr>
            <w:tcW w:w="426" w:type="dxa"/>
            <w:tcBorders>
              <w:top w:val="nil"/>
              <w:left w:val="nil"/>
              <w:bottom w:val="single" w:sz="4" w:space="0" w:color="auto"/>
              <w:right w:val="nil"/>
            </w:tcBorders>
            <w:shd w:val="clear" w:color="000000" w:fill="FFFFFF"/>
            <w:vAlign w:val="center"/>
          </w:tcPr>
          <w:p w14:paraId="33FFDF02" w14:textId="69430C8B" w:rsidR="00D83A02" w:rsidRPr="006D631C" w:rsidRDefault="00D83A02" w:rsidP="002E14E4">
            <w:pPr>
              <w:spacing w:line="240" w:lineRule="auto"/>
              <w:ind w:right="-104"/>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{"citationItems":[{"id":"ITEM-1","itemData":{"DOI":"10.1021/ma900905k","ISSN":"0024-9297","abstract":"Preparation and photopolymerization of a decylmethylimidazolium ionic liquid (IL) that possesses an acrylate counteranion are described. This IL monomer self-assembles upon addition of water and can be copolymerized with poly(ethylene glycol) diacrylate (PEGDA) in the presence of a photoinitiator, forming a mechanically durable material that adopts a lamellar structure with in-plane hexagonally ordered pores, as evidenced by small-angle X-ray scattering (SAXS). Thermogravimetric analysis, the extent of polymerization, and solubility-swelling studies indicate the formation of a network copolymer of the IL monomer and the PEGDA. Additional evidence for the formation of a nanostructured copolymer is provided by evaluating the product formed by replacement of the IL monomer with the nonpolymerizable analogue, decylmethylimidazolium chloride. The results demonstrate the possibility of designing a self-assembled amiphiphilic bilayer architecture that is reinforced by polymerization and cross-linking. © 2009 American Chemical Society.","author":[{"dropping-particle":"","family":"Grubjesic","given":"Simonida","non-dropping-particle":"","parse-names":false,"suffix":""},{"dropping-particle":"","family":"Seifert","given":"Sönke","non-dropping-particle":"","parse-names":false,"suffix":""},{"dropping-particle":"","family":"Firestone","given":"Millicent A.","non-dropping-particle":"","parse-names":false,"suffix":""}],"container-title":"Macromolecules","id":"ITEM-1","issue":"15","issued":{"date-parts":[["2009","8","11"]]},"page":"5461-5470","title":"Cytoskeleton Mimetic Reinforcement of a Self-Assembled N,N ′-Dialkylimidazolium Ionic Liquid Monomer by Copolymerization","type":"article-journal","volume":"42"},"uris":["http://www.mendeley.com/documents/?uuid=0c05cc39-4d14-4423-86a9-10540979c3c5"]}],"mendeley":{"formattedCitation":"&lt;sup&gt;88&lt;/sup&gt;","plainTextFormattedCitation":"88","previouslyFormattedCitation":"&lt;sup&gt;88&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88</w:t>
            </w:r>
            <w:r w:rsidRPr="006D631C">
              <w:rPr>
                <w:color w:val="000000"/>
                <w:sz w:val="12"/>
                <w:szCs w:val="12"/>
              </w:rPr>
              <w:fldChar w:fldCharType="end"/>
            </w:r>
          </w:p>
        </w:tc>
      </w:tr>
      <w:tr w:rsidR="00D83A02" w:rsidRPr="006D631C" w14:paraId="6DF267A9"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7410F524" w14:textId="03D4CC5E" w:rsidR="00D83A02" w:rsidRPr="006D631C" w:rsidRDefault="00D83A02" w:rsidP="00D83A02">
            <w:pPr>
              <w:spacing w:line="240" w:lineRule="auto"/>
              <w:jc w:val="left"/>
              <w:rPr>
                <w:color w:val="000000"/>
                <w:sz w:val="12"/>
                <w:szCs w:val="12"/>
              </w:rPr>
            </w:pPr>
            <w:r w:rsidRPr="006D631C">
              <w:rPr>
                <w:color w:val="000000"/>
                <w:sz w:val="12"/>
                <w:szCs w:val="12"/>
              </w:rPr>
              <w:t>P-A-43</w:t>
            </w:r>
          </w:p>
        </w:tc>
        <w:tc>
          <w:tcPr>
            <w:tcW w:w="709" w:type="dxa"/>
            <w:tcBorders>
              <w:top w:val="nil"/>
              <w:left w:val="nil"/>
              <w:bottom w:val="single" w:sz="4" w:space="0" w:color="auto"/>
              <w:right w:val="nil"/>
            </w:tcBorders>
            <w:shd w:val="clear" w:color="000000" w:fill="FFFFFF"/>
            <w:vAlign w:val="center"/>
          </w:tcPr>
          <w:p w14:paraId="49995067" w14:textId="15B0F284" w:rsidR="00D83A02" w:rsidRPr="006D631C" w:rsidRDefault="00D83A02" w:rsidP="00D83A02">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19AE4FAB" w14:textId="4054668E" w:rsidR="00D83A02" w:rsidRPr="006D631C" w:rsidRDefault="00D83A02" w:rsidP="00D83A02">
            <w:pPr>
              <w:spacing w:line="240" w:lineRule="auto"/>
              <w:jc w:val="left"/>
              <w:rPr>
                <w:color w:val="000000"/>
                <w:sz w:val="12"/>
                <w:szCs w:val="12"/>
              </w:rPr>
            </w:pPr>
            <w:r w:rsidRPr="006D631C">
              <w:rPr>
                <w:color w:val="000000"/>
                <w:sz w:val="12"/>
                <w:szCs w:val="12"/>
              </w:rPr>
              <w:t>I-21</w:t>
            </w:r>
          </w:p>
        </w:tc>
        <w:tc>
          <w:tcPr>
            <w:tcW w:w="1276" w:type="dxa"/>
            <w:tcBorders>
              <w:top w:val="nil"/>
              <w:left w:val="nil"/>
              <w:bottom w:val="single" w:sz="4" w:space="0" w:color="auto"/>
              <w:right w:val="nil"/>
            </w:tcBorders>
            <w:shd w:val="clear" w:color="000000" w:fill="FFFFFF"/>
            <w:noWrap/>
            <w:vAlign w:val="center"/>
          </w:tcPr>
          <w:p w14:paraId="4F331B34" w14:textId="48980A8D" w:rsidR="00D83A02" w:rsidRPr="006D631C" w:rsidRDefault="00D83A02" w:rsidP="00D83A02">
            <w:pPr>
              <w:spacing w:line="240" w:lineRule="auto"/>
              <w:ind w:left="37"/>
              <w:jc w:val="left"/>
              <w:rPr>
                <w:color w:val="000000"/>
                <w:sz w:val="12"/>
                <w:szCs w:val="12"/>
              </w:rPr>
            </w:pPr>
            <w:r w:rsidRPr="006D631C">
              <w:rPr>
                <w:color w:val="000000"/>
                <w:sz w:val="12"/>
                <w:szCs w:val="12"/>
              </w:rPr>
              <w:t>50 ± 5 (HPL)</w:t>
            </w:r>
          </w:p>
        </w:tc>
        <w:tc>
          <w:tcPr>
            <w:tcW w:w="1418" w:type="dxa"/>
            <w:tcBorders>
              <w:top w:val="nil"/>
              <w:left w:val="nil"/>
              <w:bottom w:val="single" w:sz="4" w:space="0" w:color="auto"/>
              <w:right w:val="nil"/>
            </w:tcBorders>
            <w:shd w:val="clear" w:color="000000" w:fill="FFFFFF"/>
            <w:vAlign w:val="center"/>
          </w:tcPr>
          <w:p w14:paraId="76A769B0" w14:textId="51AF8E54" w:rsidR="00D83A02" w:rsidRPr="006D631C" w:rsidRDefault="00D83A02" w:rsidP="00D83A02">
            <w:pPr>
              <w:spacing w:line="240" w:lineRule="auto"/>
              <w:jc w:val="left"/>
              <w:rPr>
                <w:color w:val="000000"/>
                <w:sz w:val="12"/>
                <w:szCs w:val="12"/>
              </w:rPr>
            </w:pPr>
            <w:r w:rsidRPr="006D631C">
              <w:rPr>
                <w:color w:val="000000"/>
                <w:sz w:val="12"/>
                <w:szCs w:val="12"/>
              </w:rPr>
              <w:t>HPL changed to a hybrid of H</w:t>
            </w:r>
            <w:r w:rsidRPr="006D631C">
              <w:rPr>
                <w:color w:val="000000"/>
                <w:sz w:val="12"/>
                <w:szCs w:val="12"/>
                <w:vertAlign w:val="subscript"/>
              </w:rPr>
              <w:t>2</w:t>
            </w:r>
            <w:r w:rsidRPr="006D631C">
              <w:rPr>
                <w:color w:val="000000"/>
                <w:sz w:val="12"/>
                <w:szCs w:val="12"/>
              </w:rPr>
              <w:t xml:space="preserve"> and L</w:t>
            </w:r>
            <w:r w:rsidRPr="006D631C">
              <w:rPr>
                <w:color w:val="000000"/>
                <w:sz w:val="12"/>
                <w:szCs w:val="12"/>
                <w:vertAlign w:val="subscript"/>
              </w:rPr>
              <w:t>α</w:t>
            </w:r>
          </w:p>
        </w:tc>
        <w:tc>
          <w:tcPr>
            <w:tcW w:w="1134" w:type="dxa"/>
            <w:tcBorders>
              <w:top w:val="nil"/>
              <w:left w:val="nil"/>
              <w:bottom w:val="single" w:sz="4" w:space="0" w:color="auto"/>
              <w:right w:val="nil"/>
            </w:tcBorders>
            <w:shd w:val="clear" w:color="000000" w:fill="FFFFFF"/>
            <w:noWrap/>
            <w:vAlign w:val="center"/>
          </w:tcPr>
          <w:p w14:paraId="0F8E6FF0" w14:textId="21B5652E" w:rsidR="00D83A02" w:rsidRPr="006D631C" w:rsidRDefault="00D83A02" w:rsidP="00D83A02">
            <w:pPr>
              <w:spacing w:line="240" w:lineRule="auto"/>
              <w:jc w:val="left"/>
              <w:rPr>
                <w:color w:val="000000"/>
                <w:sz w:val="12"/>
                <w:szCs w:val="12"/>
              </w:rPr>
            </w:pPr>
            <w:r w:rsidRPr="006D631C">
              <w:rPr>
                <w:color w:val="000000"/>
                <w:sz w:val="12"/>
                <w:szCs w:val="12"/>
              </w:rPr>
              <w:t>3.74 *</w:t>
            </w:r>
          </w:p>
        </w:tc>
        <w:tc>
          <w:tcPr>
            <w:tcW w:w="1134" w:type="dxa"/>
            <w:tcBorders>
              <w:top w:val="nil"/>
              <w:left w:val="nil"/>
              <w:bottom w:val="single" w:sz="4" w:space="0" w:color="auto"/>
              <w:right w:val="nil"/>
            </w:tcBorders>
            <w:shd w:val="clear" w:color="000000" w:fill="FFFFFF"/>
            <w:noWrap/>
            <w:vAlign w:val="center"/>
          </w:tcPr>
          <w:p w14:paraId="66690C59" w14:textId="46F74D02" w:rsidR="00D83A02" w:rsidRPr="006D631C" w:rsidRDefault="00D83A02" w:rsidP="00D83A02">
            <w:pPr>
              <w:spacing w:line="240" w:lineRule="auto"/>
              <w:jc w:val="left"/>
              <w:rPr>
                <w:color w:val="000000"/>
                <w:sz w:val="12"/>
                <w:szCs w:val="12"/>
              </w:rPr>
            </w:pPr>
            <w:r w:rsidRPr="006D631C">
              <w:rPr>
                <w:color w:val="000000"/>
                <w:sz w:val="12"/>
                <w:szCs w:val="12"/>
              </w:rPr>
              <w:t>3.38 *</w:t>
            </w:r>
          </w:p>
        </w:tc>
        <w:tc>
          <w:tcPr>
            <w:tcW w:w="5244" w:type="dxa"/>
            <w:tcBorders>
              <w:top w:val="nil"/>
              <w:left w:val="nil"/>
              <w:bottom w:val="single" w:sz="4" w:space="0" w:color="auto"/>
              <w:right w:val="nil"/>
            </w:tcBorders>
            <w:shd w:val="clear" w:color="000000" w:fill="FFFFFF"/>
            <w:noWrap/>
            <w:vAlign w:val="center"/>
          </w:tcPr>
          <w:p w14:paraId="670B9B14" w14:textId="187585F5"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Enhanced conductivity of the polyLLC thin film over non-LLC sample</w:t>
            </w:r>
          </w:p>
        </w:tc>
        <w:tc>
          <w:tcPr>
            <w:tcW w:w="426" w:type="dxa"/>
            <w:tcBorders>
              <w:top w:val="nil"/>
              <w:left w:val="nil"/>
              <w:bottom w:val="single" w:sz="4" w:space="0" w:color="auto"/>
              <w:right w:val="nil"/>
            </w:tcBorders>
            <w:shd w:val="clear" w:color="000000" w:fill="FFFFFF"/>
            <w:vAlign w:val="center"/>
          </w:tcPr>
          <w:p w14:paraId="43494BEC" w14:textId="344AB52A" w:rsidR="00D83A02" w:rsidRPr="006D631C" w:rsidRDefault="00D83A02" w:rsidP="00D66494">
            <w:pPr>
              <w:spacing w:line="240" w:lineRule="auto"/>
              <w:ind w:right="-104"/>
              <w:jc w:val="left"/>
              <w:rPr>
                <w:color w:val="000000"/>
                <w:sz w:val="12"/>
                <w:szCs w:val="12"/>
              </w:rPr>
            </w:pPr>
            <w:r w:rsidRPr="006D631C">
              <w:rPr>
                <w:color w:val="000000"/>
                <w:sz w:val="12"/>
                <w:szCs w:val="12"/>
              </w:rPr>
              <w:t> </w:t>
            </w:r>
            <w:r w:rsidRPr="006D631C">
              <w:rPr>
                <w:color w:val="000000"/>
                <w:sz w:val="12"/>
                <w:szCs w:val="12"/>
              </w:rPr>
              <w:fldChar w:fldCharType="begin" w:fldLock="1"/>
            </w:r>
            <w:r w:rsidRPr="006D631C">
              <w:rPr>
                <w:color w:val="000000"/>
                <w:sz w:val="12"/>
                <w:szCs w:val="12"/>
              </w:rPr>
              <w:instrText>ADDIN CSL_CITATION {"citationItems":[{"id":"ITEM-1","itemData":{"DOI":"10.1002/polb.23321","ISSN":"08876266","abstract":"Polymerization of a self-assembled 1-dodecyl-3-propargylimidazolium bromide ionic liquid (IL) yields a nanostructured ionic polyacetylene. A 1:1 aqueous mixture of the amphiphilic IL produces an ordered lyotropic mesophase that adopts a hexagonal perforated lamellar structure. Rh (I)-mediated polymerization of the assembled mixture yields a hexagonal modulated lamellar structured polymer. FTIR spectroscopy reveals that the polymer was self n-doped. The polymer was fractioned into three components with the majority product, possessing an intermediate molecular weight that is soluble in polar organic solvents. In methanol, the optical band gap of the main fraction was determined to be 2.38 eV and was nonemissive. The solution-processable polymer was airbrush sprayed onto glass substrates to give a liquid-crystalline, lamellar structured semiconductive film (7.02 × 10-5 S cm-1). The polymer resisted oxidation (degradation) upon storage in air as monitored by vibrational spectroscopy. © 2013 Wiley Periodicals, Inc.","author":[{"dropping-particle":"","family":"Ringstrand","given":"Bryan","non-dropping-particle":"","parse-names":false,"suffix":""},{"dropping-particle":"","family":"Seifert","given":"Sönke","non-dropping-particle":"","parse-names":false,"suffix":""},{"dropping-particle":"","family":"Firestone","given":"Millicent A.","non-dropping-particle":"","parse-names":false,"suffix":""}],"container-title":"Journal of Polymer Science, Part B: Polymer Physics","id":"ITEM-1","issue":"16","issued":{"date-parts":[["2013"]]},"page":"1215-1227","title":"Preparation of a solution-processable, nanostructured ionic polyacetylene","type":"article-journal","volume":"51"},"uris":["http://www.mendeley.com/documents/?uuid=cd7d4345-3b1a-4ede-a60c-08304352c736"]}],"mendeley":{"formattedCitation":"&lt;sup&gt;103&lt;/sup&gt;","plainTextFormattedCitation":"103","previouslyFormattedCitation":"&lt;sup&gt;103&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103</w:t>
            </w:r>
            <w:r w:rsidRPr="006D631C">
              <w:rPr>
                <w:color w:val="000000"/>
                <w:sz w:val="12"/>
                <w:szCs w:val="12"/>
              </w:rPr>
              <w:fldChar w:fldCharType="end"/>
            </w:r>
          </w:p>
        </w:tc>
      </w:tr>
      <w:tr w:rsidR="00D83A02" w:rsidRPr="006D631C" w14:paraId="3DB827DC"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0A767EB9" w14:textId="00EF1CB2" w:rsidR="00D83A02" w:rsidRPr="006D631C" w:rsidRDefault="00D83A02" w:rsidP="00D83A02">
            <w:pPr>
              <w:spacing w:line="240" w:lineRule="auto"/>
              <w:jc w:val="left"/>
              <w:rPr>
                <w:color w:val="000000"/>
                <w:sz w:val="12"/>
                <w:szCs w:val="12"/>
              </w:rPr>
            </w:pPr>
            <w:r w:rsidRPr="006D631C">
              <w:rPr>
                <w:color w:val="000000"/>
                <w:sz w:val="12"/>
                <w:szCs w:val="12"/>
              </w:rPr>
              <w:t>P-A-44</w:t>
            </w:r>
          </w:p>
        </w:tc>
        <w:tc>
          <w:tcPr>
            <w:tcW w:w="709" w:type="dxa"/>
            <w:tcBorders>
              <w:top w:val="nil"/>
              <w:left w:val="nil"/>
              <w:bottom w:val="single" w:sz="4" w:space="0" w:color="auto"/>
              <w:right w:val="nil"/>
            </w:tcBorders>
            <w:shd w:val="clear" w:color="000000" w:fill="FFFFFF"/>
            <w:vAlign w:val="center"/>
          </w:tcPr>
          <w:p w14:paraId="7EE83F6B" w14:textId="702C9A99" w:rsidR="00D83A02" w:rsidRPr="006D631C" w:rsidRDefault="00D83A02" w:rsidP="00D83A02">
            <w:pPr>
              <w:spacing w:line="240" w:lineRule="auto"/>
              <w:jc w:val="left"/>
              <w:rPr>
                <w:color w:val="000000"/>
                <w:sz w:val="12"/>
                <w:szCs w:val="12"/>
              </w:rPr>
            </w:pPr>
            <w:r w:rsidRPr="006D631C">
              <w:rPr>
                <w:color w:val="000000"/>
                <w:sz w:val="12"/>
                <w:szCs w:val="12"/>
              </w:rPr>
              <w:t>C-10b</w:t>
            </w:r>
          </w:p>
        </w:tc>
        <w:tc>
          <w:tcPr>
            <w:tcW w:w="708" w:type="dxa"/>
            <w:tcBorders>
              <w:top w:val="nil"/>
              <w:left w:val="nil"/>
              <w:bottom w:val="single" w:sz="4" w:space="0" w:color="auto"/>
              <w:right w:val="nil"/>
            </w:tcBorders>
            <w:shd w:val="clear" w:color="000000" w:fill="FFFFFF"/>
            <w:vAlign w:val="center"/>
          </w:tcPr>
          <w:p w14:paraId="2ED5F641" w14:textId="7A33D9CA" w:rsidR="00D83A02" w:rsidRPr="006D631C" w:rsidRDefault="00D83A02" w:rsidP="00D83A02">
            <w:pPr>
              <w:spacing w:line="240" w:lineRule="auto"/>
              <w:jc w:val="left"/>
              <w:rPr>
                <w:color w:val="000000"/>
                <w:sz w:val="12"/>
                <w:szCs w:val="12"/>
              </w:rPr>
            </w:pPr>
            <w:r w:rsidRPr="006D631C">
              <w:rPr>
                <w:color w:val="000000"/>
                <w:sz w:val="12"/>
                <w:szCs w:val="12"/>
              </w:rPr>
              <w:t>I-13 and UV</w:t>
            </w:r>
          </w:p>
        </w:tc>
        <w:tc>
          <w:tcPr>
            <w:tcW w:w="1276" w:type="dxa"/>
            <w:tcBorders>
              <w:top w:val="nil"/>
              <w:left w:val="nil"/>
              <w:bottom w:val="single" w:sz="4" w:space="0" w:color="auto"/>
              <w:right w:val="nil"/>
            </w:tcBorders>
            <w:shd w:val="clear" w:color="000000" w:fill="FFFFFF"/>
            <w:noWrap/>
            <w:vAlign w:val="center"/>
          </w:tcPr>
          <w:p w14:paraId="6154F90C" w14:textId="68D6A269" w:rsidR="00D83A02" w:rsidRPr="006D631C" w:rsidRDefault="00D83A02" w:rsidP="00D83A02">
            <w:pPr>
              <w:spacing w:line="240" w:lineRule="auto"/>
              <w:ind w:left="37"/>
              <w:jc w:val="left"/>
              <w:rPr>
                <w:color w:val="000000"/>
                <w:sz w:val="12"/>
                <w:szCs w:val="12"/>
              </w:rPr>
            </w:pPr>
            <w:r w:rsidRPr="006D631C">
              <w:rPr>
                <w:color w:val="000000"/>
                <w:sz w:val="12"/>
                <w:szCs w:val="12"/>
              </w:rPr>
              <w:t>~15.25 (H</w:t>
            </w:r>
            <w:r w:rsidRPr="006D631C">
              <w:rPr>
                <w:color w:val="000000"/>
                <w:sz w:val="12"/>
                <w:szCs w:val="12"/>
                <w:vertAlign w:val="subscript"/>
              </w:rPr>
              <w:t>2</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13E32E9C" w14:textId="2AB295D7" w:rsidR="00D83A02" w:rsidRPr="006D631C" w:rsidRDefault="00D83A02" w:rsidP="00D83A02">
            <w:pPr>
              <w:spacing w:line="240" w:lineRule="auto"/>
              <w:jc w:val="left"/>
              <w:rPr>
                <w:color w:val="000000"/>
                <w:sz w:val="12"/>
                <w:szCs w:val="12"/>
              </w:rPr>
            </w:pPr>
            <w:r w:rsidRPr="006D631C">
              <w:rPr>
                <w:color w:val="000000"/>
                <w:sz w:val="12"/>
                <w:szCs w:val="12"/>
              </w:rPr>
              <w:t>H</w:t>
            </w:r>
            <w:r w:rsidRPr="006D631C">
              <w:rPr>
                <w:color w:val="000000"/>
                <w:sz w:val="12"/>
                <w:szCs w:val="12"/>
                <w:vertAlign w:val="subscript"/>
              </w:rPr>
              <w:t>2</w:t>
            </w:r>
            <w:r w:rsidRPr="006D631C">
              <w:rPr>
                <w:color w:val="000000"/>
                <w:sz w:val="12"/>
                <w:szCs w:val="12"/>
              </w:rPr>
              <w:t xml:space="preserve"> changed to HPL and</w:t>
            </w:r>
            <w:r w:rsidRPr="006D631C">
              <w:rPr>
                <w:color w:val="000000"/>
                <w:sz w:val="12"/>
                <w:szCs w:val="12"/>
              </w:rPr>
              <w:br/>
              <w:t xml:space="preserve">was retained by post-UV curing </w:t>
            </w:r>
          </w:p>
        </w:tc>
        <w:tc>
          <w:tcPr>
            <w:tcW w:w="1134" w:type="dxa"/>
            <w:tcBorders>
              <w:top w:val="nil"/>
              <w:left w:val="nil"/>
              <w:bottom w:val="single" w:sz="4" w:space="0" w:color="auto"/>
              <w:right w:val="nil"/>
            </w:tcBorders>
            <w:shd w:val="clear" w:color="000000" w:fill="FFFFFF"/>
            <w:noWrap/>
            <w:vAlign w:val="center"/>
          </w:tcPr>
          <w:p w14:paraId="0D7FC3B5" w14:textId="18522184" w:rsidR="00D83A02" w:rsidRPr="006D631C" w:rsidRDefault="00D83A02" w:rsidP="00D83A02">
            <w:pPr>
              <w:spacing w:line="240" w:lineRule="auto"/>
              <w:jc w:val="left"/>
              <w:rPr>
                <w:color w:val="000000"/>
                <w:sz w:val="12"/>
                <w:szCs w:val="12"/>
              </w:rPr>
            </w:pPr>
            <w:r w:rsidRPr="006D631C">
              <w:rPr>
                <w:color w:val="000000"/>
                <w:sz w:val="12"/>
                <w:szCs w:val="12"/>
              </w:rPr>
              <w:t>4.6</w:t>
            </w:r>
          </w:p>
        </w:tc>
        <w:tc>
          <w:tcPr>
            <w:tcW w:w="1134" w:type="dxa"/>
            <w:tcBorders>
              <w:top w:val="nil"/>
              <w:left w:val="nil"/>
              <w:bottom w:val="single" w:sz="4" w:space="0" w:color="auto"/>
              <w:right w:val="nil"/>
            </w:tcBorders>
            <w:shd w:val="clear" w:color="000000" w:fill="FFFFFF"/>
            <w:noWrap/>
            <w:vAlign w:val="center"/>
          </w:tcPr>
          <w:p w14:paraId="7983B098" w14:textId="21DC8BFD" w:rsidR="00D83A02" w:rsidRPr="006D631C" w:rsidRDefault="00D83A02" w:rsidP="00D83A02">
            <w:pPr>
              <w:spacing w:line="240" w:lineRule="auto"/>
              <w:jc w:val="left"/>
              <w:rPr>
                <w:color w:val="000000"/>
                <w:sz w:val="12"/>
                <w:szCs w:val="12"/>
              </w:rPr>
            </w:pPr>
            <w:r w:rsidRPr="006D631C">
              <w:rPr>
                <w:color w:val="000000"/>
                <w:sz w:val="12"/>
                <w:szCs w:val="12"/>
              </w:rPr>
              <w:t>3.92 (for the retained Hα)</w:t>
            </w:r>
          </w:p>
        </w:tc>
        <w:tc>
          <w:tcPr>
            <w:tcW w:w="5244" w:type="dxa"/>
            <w:tcBorders>
              <w:top w:val="nil"/>
              <w:left w:val="nil"/>
              <w:bottom w:val="single" w:sz="4" w:space="0" w:color="auto"/>
              <w:right w:val="nil"/>
            </w:tcBorders>
            <w:shd w:val="clear" w:color="000000" w:fill="FFFFFF"/>
            <w:noWrap/>
            <w:vAlign w:val="center"/>
          </w:tcPr>
          <w:p w14:paraId="669CC60B" w14:textId="3AD516AF"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Disruption of the structure was observed at C-10 contents of higher and lower than 20 w%</w:t>
            </w:r>
          </w:p>
          <w:p w14:paraId="4C1AC01D" w14:textId="5DFCE032"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Proper structure stability toward swelling and de-swelling by ethanol</w:t>
            </w:r>
          </w:p>
        </w:tc>
        <w:tc>
          <w:tcPr>
            <w:tcW w:w="426" w:type="dxa"/>
            <w:tcBorders>
              <w:top w:val="nil"/>
              <w:left w:val="nil"/>
              <w:bottom w:val="single" w:sz="4" w:space="0" w:color="auto"/>
              <w:right w:val="nil"/>
            </w:tcBorders>
            <w:shd w:val="clear" w:color="000000" w:fill="FFFFFF"/>
            <w:vAlign w:val="center"/>
          </w:tcPr>
          <w:p w14:paraId="3948ECFB" w14:textId="3114E859" w:rsidR="00D83A02" w:rsidRPr="006D631C" w:rsidRDefault="00D83A02" w:rsidP="00D66494">
            <w:pPr>
              <w:spacing w:line="240" w:lineRule="auto"/>
              <w:ind w:right="-104"/>
              <w:jc w:val="left"/>
              <w:rPr>
                <w:color w:val="000000"/>
                <w:sz w:val="12"/>
                <w:szCs w:val="12"/>
              </w:rPr>
            </w:pPr>
            <w:r w:rsidRPr="006D631C">
              <w:rPr>
                <w:color w:val="000000"/>
                <w:sz w:val="12"/>
                <w:szCs w:val="12"/>
              </w:rPr>
              <w:t> </w:t>
            </w:r>
            <w:r w:rsidRPr="006D631C">
              <w:rPr>
                <w:color w:val="000000"/>
                <w:sz w:val="12"/>
                <w:szCs w:val="12"/>
              </w:rPr>
              <w:fldChar w:fldCharType="begin" w:fldLock="1"/>
            </w:r>
            <w:r w:rsidRPr="006D631C">
              <w:rPr>
                <w:color w:val="000000"/>
                <w:sz w:val="12"/>
                <w:szCs w:val="12"/>
              </w:rPr>
              <w:instrText xml:space="preserve">ADDIN CSL_CITATION {"citationItems":[{"id":"ITEM-1","itemData":{"DOI":"10.1039/c8me00106e","ISSN":"20589689","abstract":"3D photoprinting of a self-assembled ionic liquid (IL) monomer based liquid-crystalline mesophase introduces high-resolution nanoscale features (2-5 nm) into otherwise low-resolution (microscale features) polymer builds. A wide variety of geometric builds possessing internal hexagonal perforated lamellar (HPL) nanostructure containing </w:instrText>
            </w:r>
            <w:r w:rsidRPr="006D631C">
              <w:rPr>
                <w:rFonts w:ascii="Cambria Math" w:hAnsi="Cambria Math" w:cs="Cambria Math"/>
                <w:color w:val="000000"/>
                <w:sz w:val="12"/>
                <w:szCs w:val="12"/>
              </w:rPr>
              <w:instrText>∼</w:instrText>
            </w:r>
            <w:r w:rsidRPr="006D631C">
              <w:rPr>
                <w:color w:val="000000"/>
                <w:sz w:val="12"/>
                <w:szCs w:val="12"/>
              </w:rPr>
              <w:instrText>2.4 nm diameter pores are fabricated by the digital light processing 3D printing of an aqueous mixture (61(w/w%)) of an ionic liquid monomer, 1-decyl-3-vinylimidazolium chloride, a co-monomer, polyethylene diacrylate (PEGDA, Mn 575), and a visible light photo-initiator (eosin Y and triethanolamine). Vibrational spectroscopy and thermal analysis proves acrylate moiety polymerization occurs during printing but incomplete consumption of the IL vinyl groups. Post-printing exposure to UV light (λ 350 nm) completes vinyl polymerization serving to further improve nanostructure ordering as determined by SAXS. Solvent swelling (ethanol) induces a structural transformation to a body center cubic architecture accompanied by slight pore expansion (to 3.2 nm). The introduction of nanoscale features into low-resolution photo-printed polymers establishes a low-cost strategy for the additive manufacturing of multi-scale, structured nanoporous polymer membranes.","author":[{"dropping-particle":"","family":"Ndefru","given":"Bineh G.","non-dropping-particle":"","parse-names":false,"suffix":""},{"dropping-particle":"","family":"Ringstrand","given":"Bryan S.","non-dropping-particle":"","parse-names":false,"suffix":""},{"dropping-particle":"","family":"Diouf","given":"Sokhna I.Y.","non-dropping-particle":"","parse-names":false,"suffix":""},{"dropping-particle":"","family":"Seifert","given":"Sönke","non-dropping-particle":"","parse-names":false,"suffix":""},{"dropping-particle":"","family":"Leal","given":"Juan H.","non-dropping-particle":"","parse-names":false,"suffix":""},{"dropping-particle":"","family":"Semelsberger","given":"Troy A.","non-dropping-particle":"","parse-names":false,"suffix":""},{"dropping-particle":"","family":"Dreier","given":"Timothy A.","non-dropping-particle":"","parse-names":false,"suffix":""},{"dropping-particle":"","family":"Firestone","given":"Millicent A.","non-dropping-particle":"","parse-names":false,"suffix":""}],"container-title":"Molecular Systems Design and Engineering","id":"ITEM-1","issue":"3","issued":{"date-parts":[["2019"]]},"page":"580-585","title":"Multiscale additive manufacturing of polymers using 3D photo-printable self-assembling ionic liquid monomers","type":"article-journal","volume":"4"},"uris":["http://www.mendeley.com/documents/?uuid=0116b4e7-74d5-49fe-901e-280f72e15944"]}],"mendeley":{"formattedCitation":"&lt;sup&gt;91&lt;/sup&gt;","plainTextFormattedCitation":"91","previouslyFormattedCitation":"&lt;sup&gt;91&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91</w:t>
            </w:r>
            <w:r w:rsidRPr="006D631C">
              <w:rPr>
                <w:color w:val="000000"/>
                <w:sz w:val="12"/>
                <w:szCs w:val="12"/>
              </w:rPr>
              <w:fldChar w:fldCharType="end"/>
            </w:r>
          </w:p>
        </w:tc>
      </w:tr>
      <w:tr w:rsidR="00D83A02" w:rsidRPr="006D631C" w14:paraId="7921BE52"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44415E1B" w14:textId="323709A7" w:rsidR="00D83A02" w:rsidRPr="006D631C" w:rsidRDefault="00D83A02" w:rsidP="00D83A02">
            <w:pPr>
              <w:spacing w:line="240" w:lineRule="auto"/>
              <w:jc w:val="left"/>
              <w:rPr>
                <w:color w:val="000000"/>
                <w:sz w:val="12"/>
                <w:szCs w:val="12"/>
              </w:rPr>
            </w:pPr>
            <w:r w:rsidRPr="006D631C">
              <w:rPr>
                <w:color w:val="000000"/>
                <w:sz w:val="12"/>
                <w:szCs w:val="12"/>
              </w:rPr>
              <w:t>P-A-44 /     P-A-45</w:t>
            </w:r>
          </w:p>
        </w:tc>
        <w:tc>
          <w:tcPr>
            <w:tcW w:w="709" w:type="dxa"/>
            <w:tcBorders>
              <w:top w:val="nil"/>
              <w:left w:val="nil"/>
              <w:bottom w:val="single" w:sz="4" w:space="0" w:color="auto"/>
              <w:right w:val="nil"/>
            </w:tcBorders>
            <w:shd w:val="clear" w:color="000000" w:fill="FFFFFF"/>
            <w:vAlign w:val="center"/>
          </w:tcPr>
          <w:p w14:paraId="1AC4080E" w14:textId="047A1B78" w:rsidR="00D83A02" w:rsidRPr="006D631C" w:rsidRDefault="00D83A02" w:rsidP="00D83A02">
            <w:pPr>
              <w:spacing w:line="240" w:lineRule="auto"/>
              <w:jc w:val="left"/>
              <w:rPr>
                <w:color w:val="000000"/>
                <w:sz w:val="12"/>
                <w:szCs w:val="12"/>
              </w:rPr>
            </w:pPr>
            <w:r w:rsidRPr="006D631C">
              <w:rPr>
                <w:color w:val="000000"/>
                <w:sz w:val="12"/>
                <w:szCs w:val="12"/>
              </w:rPr>
              <w:t>-</w:t>
            </w:r>
          </w:p>
        </w:tc>
        <w:tc>
          <w:tcPr>
            <w:tcW w:w="708" w:type="dxa"/>
            <w:tcBorders>
              <w:top w:val="nil"/>
              <w:left w:val="nil"/>
              <w:bottom w:val="single" w:sz="4" w:space="0" w:color="auto"/>
              <w:right w:val="nil"/>
            </w:tcBorders>
            <w:shd w:val="clear" w:color="000000" w:fill="FFFFFF"/>
            <w:vAlign w:val="center"/>
          </w:tcPr>
          <w:p w14:paraId="6D75B72F" w14:textId="5B7C8F3A" w:rsidR="00D83A02" w:rsidRPr="006D631C" w:rsidRDefault="00D83A02" w:rsidP="00D83A02">
            <w:pPr>
              <w:spacing w:line="240" w:lineRule="auto"/>
              <w:jc w:val="left"/>
              <w:rPr>
                <w:color w:val="000000"/>
                <w:sz w:val="12"/>
                <w:szCs w:val="12"/>
              </w:rPr>
            </w:pPr>
            <w:r w:rsidRPr="006D631C">
              <w:rPr>
                <w:color w:val="000000"/>
                <w:sz w:val="12"/>
                <w:szCs w:val="12"/>
              </w:rPr>
              <w:t>UV</w:t>
            </w:r>
          </w:p>
        </w:tc>
        <w:tc>
          <w:tcPr>
            <w:tcW w:w="1276" w:type="dxa"/>
            <w:tcBorders>
              <w:top w:val="nil"/>
              <w:left w:val="nil"/>
              <w:bottom w:val="single" w:sz="4" w:space="0" w:color="auto"/>
              <w:right w:val="nil"/>
            </w:tcBorders>
            <w:shd w:val="clear" w:color="000000" w:fill="FFFFFF"/>
            <w:noWrap/>
            <w:vAlign w:val="center"/>
          </w:tcPr>
          <w:p w14:paraId="58016575" w14:textId="138CC5C1" w:rsidR="00D83A02" w:rsidRPr="006D631C" w:rsidRDefault="00D83A02" w:rsidP="00D83A02">
            <w:pPr>
              <w:spacing w:line="240" w:lineRule="auto"/>
              <w:ind w:left="37"/>
              <w:jc w:val="left"/>
              <w:rPr>
                <w:color w:val="000000"/>
                <w:sz w:val="12"/>
                <w:szCs w:val="12"/>
              </w:rPr>
            </w:pPr>
            <w:r w:rsidRPr="006D631C">
              <w:rPr>
                <w:color w:val="000000"/>
                <w:sz w:val="12"/>
                <w:szCs w:val="12"/>
              </w:rPr>
              <w:t>~80 (no structure)</w:t>
            </w:r>
          </w:p>
        </w:tc>
        <w:tc>
          <w:tcPr>
            <w:tcW w:w="1418" w:type="dxa"/>
            <w:tcBorders>
              <w:top w:val="nil"/>
              <w:left w:val="nil"/>
              <w:bottom w:val="single" w:sz="4" w:space="0" w:color="auto"/>
              <w:right w:val="nil"/>
            </w:tcBorders>
            <w:shd w:val="clear" w:color="000000" w:fill="FFFFFF"/>
            <w:vAlign w:val="center"/>
          </w:tcPr>
          <w:p w14:paraId="489E1C2F" w14:textId="698266CB" w:rsidR="00D83A02" w:rsidRPr="006D631C" w:rsidRDefault="00D83A02" w:rsidP="00D83A02">
            <w:pPr>
              <w:spacing w:line="240" w:lineRule="auto"/>
              <w:jc w:val="left"/>
              <w:rPr>
                <w:color w:val="000000"/>
                <w:sz w:val="12"/>
                <w:szCs w:val="12"/>
              </w:rPr>
            </w:pPr>
            <w:r w:rsidRPr="006D631C">
              <w:rPr>
                <w:color w:val="000000"/>
                <w:sz w:val="12"/>
                <w:szCs w:val="12"/>
              </w:rPr>
              <w:t>Formation of H</w:t>
            </w:r>
            <w:r w:rsidRPr="006D631C">
              <w:rPr>
                <w:color w:val="000000"/>
                <w:sz w:val="12"/>
                <w:szCs w:val="12"/>
                <w:vertAlign w:val="subscript"/>
              </w:rPr>
              <w:t>2</w:t>
            </w:r>
          </w:p>
        </w:tc>
        <w:tc>
          <w:tcPr>
            <w:tcW w:w="1134" w:type="dxa"/>
            <w:tcBorders>
              <w:top w:val="nil"/>
              <w:left w:val="nil"/>
              <w:bottom w:val="single" w:sz="4" w:space="0" w:color="auto"/>
              <w:right w:val="nil"/>
            </w:tcBorders>
            <w:shd w:val="clear" w:color="000000" w:fill="FFFFFF"/>
            <w:noWrap/>
            <w:vAlign w:val="center"/>
          </w:tcPr>
          <w:p w14:paraId="74AC1961" w14:textId="24F323E1" w:rsidR="00D83A02" w:rsidRPr="006D631C" w:rsidRDefault="00D83A02" w:rsidP="00D83A02">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09568412" w14:textId="1EB446B5" w:rsidR="00D83A02" w:rsidRPr="006D631C" w:rsidRDefault="00D83A02" w:rsidP="00D83A02">
            <w:pPr>
              <w:spacing w:line="240" w:lineRule="auto"/>
              <w:jc w:val="left"/>
              <w:rPr>
                <w:color w:val="000000"/>
                <w:sz w:val="12"/>
                <w:szCs w:val="12"/>
              </w:rPr>
            </w:pPr>
            <w:r w:rsidRPr="006D631C">
              <w:rPr>
                <w:color w:val="000000"/>
                <w:sz w:val="12"/>
                <w:szCs w:val="12"/>
              </w:rPr>
              <w:t>3.2</w:t>
            </w:r>
          </w:p>
        </w:tc>
        <w:tc>
          <w:tcPr>
            <w:tcW w:w="5244" w:type="dxa"/>
            <w:tcBorders>
              <w:top w:val="nil"/>
              <w:left w:val="nil"/>
              <w:bottom w:val="single" w:sz="4" w:space="0" w:color="auto"/>
              <w:right w:val="nil"/>
            </w:tcBorders>
            <w:shd w:val="clear" w:color="000000" w:fill="FFFFFF"/>
            <w:noWrap/>
            <w:vAlign w:val="center"/>
          </w:tcPr>
          <w:p w14:paraId="70A8574F" w14:textId="694ED0C7"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 xml:space="preserve">A mixture of 17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xml:space="preserve">% DMSO and 3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water was used as the solvent</w:t>
            </w:r>
          </w:p>
          <w:p w14:paraId="57155452" w14:textId="0CA6A8D9" w:rsidR="00D83A02" w:rsidRPr="006D631C" w:rsidRDefault="00D83A02" w:rsidP="00D83A02">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 xml:space="preserve">Enhanced thermal stability due to the presence of covalently bound </w:t>
            </w:r>
            <w:proofErr w:type="spellStart"/>
            <w:r w:rsidRPr="006D631C">
              <w:rPr>
                <w:rFonts w:eastAsia="Times New Roman" w:cs="Times New Roman"/>
                <w:color w:val="000000"/>
                <w:sz w:val="12"/>
                <w:szCs w:val="12"/>
              </w:rPr>
              <w:t>nanodiamond</w:t>
            </w:r>
            <w:proofErr w:type="spellEnd"/>
          </w:p>
        </w:tc>
        <w:tc>
          <w:tcPr>
            <w:tcW w:w="426" w:type="dxa"/>
            <w:tcBorders>
              <w:top w:val="nil"/>
              <w:left w:val="nil"/>
              <w:bottom w:val="single" w:sz="4" w:space="0" w:color="auto"/>
              <w:right w:val="nil"/>
            </w:tcBorders>
            <w:shd w:val="clear" w:color="000000" w:fill="FFFFFF"/>
            <w:vAlign w:val="center"/>
          </w:tcPr>
          <w:p w14:paraId="6850A6F4" w14:textId="749B4026" w:rsidR="00D83A02" w:rsidRPr="006D631C" w:rsidRDefault="00D83A02" w:rsidP="002E14E4">
            <w:pPr>
              <w:spacing w:line="240" w:lineRule="auto"/>
              <w:ind w:right="-104"/>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{"citationItems":[{"id":"ITEM-1","itemData":{"DOI":"10.1002/marc.201600070","ISSN":"15213927","abstract":"The UV-initiated free radical polymerization of a lyotropic mesophase prepared by co-assembly of an aqueous mixture of an ionic liquid (IL) monomer, 3-decyl-1-vinylimidazolium chloride, in a dimethyl sulfoxide dispersion of an IL-monomer nanodiamond conjugate yields a well-ordered 2D hexagonally structured network-polymer composite. The IL monomer is covalently bound to carboxylated detonation diamond via ester-linked 3-decyl-1-vinylimidazolium bromide. Successful preparation of the amphiphile-functionalized nanodiamond is determined by ATR/FT-IR, thermogravimetric analysis, and small-angle X-ray scattering (SAXS). Mesophase and composite structure are evaluated by SAXS, revealing a columnar architecture composed of amphiphilic ionic liquid cylinders containing solvent-rich cores. Self-assembly directed site localization of the nanodiamond positions the particles in the alkyl chain continuum upon polymerization. The composite reversibly swells in ethanol allowing structural variation and modulation of the nanoparticle internal packing arrangement. This work demonstrates that through careful molecular design, self-organization and site-directed assembly of nanodiamond into chemically distinct regions of a nanostructured organogel can be achieved.","author":[{"dropping-particle":"","family":"Ringstrand","given":"Bryan S.","non-dropping-particle":"","parse-names":false,"suffix":""},{"dropping-particle":"","family":"Seifert","given":"Sönke","non-dropping-particle":"","parse-names":false,"suffix":""},{"dropping-particle":"","family":"Podlesak","given":"David W.","non-dropping-particle":"","parse-names":false,"suffix":""},{"dropping-particle":"","family":"Firestone","given":"Millicent A.","non-dropping-particle":"","parse-names":false,"suffix":""}],"container-title":"Macromolecular rapid communications","id":"ITEM-1","issue":"14","issued":{"date-parts":[["2016"]]},"page":"1155-1167","title":"Self-Assembly Directed Organization of Nanodiamond During Ionic Liquid Crystalline Polymer Formation","type":"article-journal","volume":"37"},"uris":["http://www.mendeley.com/documents/?uuid=840f9fb6-b00a-45cf-8149-2292653eb71c"]}],"mendeley":{"formattedCitation":"&lt;sup&gt;80&lt;/sup&gt;","plainTextFormattedCitation":"80","previouslyFormattedCitation":"&lt;sup&gt;80&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80</w:t>
            </w:r>
            <w:r w:rsidRPr="006D631C">
              <w:rPr>
                <w:color w:val="000000"/>
                <w:sz w:val="12"/>
                <w:szCs w:val="12"/>
              </w:rPr>
              <w:fldChar w:fldCharType="end"/>
            </w:r>
          </w:p>
        </w:tc>
      </w:tr>
      <w:tr w:rsidR="00CA3C4E" w:rsidRPr="006D631C" w14:paraId="3CA0D5F7"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6958E1BC" w14:textId="41C3BCEF" w:rsidR="00CA3C4E" w:rsidRPr="006D631C" w:rsidRDefault="00CA3C4E" w:rsidP="00CA3C4E">
            <w:pPr>
              <w:spacing w:line="240" w:lineRule="auto"/>
              <w:jc w:val="left"/>
              <w:rPr>
                <w:color w:val="000000"/>
                <w:sz w:val="12"/>
                <w:szCs w:val="12"/>
              </w:rPr>
            </w:pPr>
            <w:r w:rsidRPr="006D631C">
              <w:rPr>
                <w:sz w:val="12"/>
                <w:szCs w:val="12"/>
              </w:rPr>
              <w:t>P-A-44 /     P-A-46</w:t>
            </w:r>
          </w:p>
        </w:tc>
        <w:tc>
          <w:tcPr>
            <w:tcW w:w="709" w:type="dxa"/>
            <w:tcBorders>
              <w:top w:val="single" w:sz="4" w:space="0" w:color="auto"/>
              <w:left w:val="nil"/>
              <w:bottom w:val="single" w:sz="4" w:space="0" w:color="auto"/>
              <w:right w:val="nil"/>
            </w:tcBorders>
            <w:shd w:val="clear" w:color="000000" w:fill="FFFFFF"/>
            <w:vAlign w:val="center"/>
          </w:tcPr>
          <w:p w14:paraId="11D8E708" w14:textId="0D33FD43" w:rsidR="00CA3C4E" w:rsidRPr="006D631C" w:rsidRDefault="00CA3C4E" w:rsidP="00CA3C4E">
            <w:pPr>
              <w:spacing w:line="240" w:lineRule="auto"/>
              <w:jc w:val="left"/>
              <w:rPr>
                <w:color w:val="000000"/>
                <w:sz w:val="12"/>
                <w:szCs w:val="12"/>
              </w:rPr>
            </w:pPr>
            <w:r w:rsidRPr="006D631C">
              <w:rPr>
                <w:sz w:val="12"/>
                <w:szCs w:val="12"/>
              </w:rPr>
              <w:t>-</w:t>
            </w:r>
          </w:p>
        </w:tc>
        <w:tc>
          <w:tcPr>
            <w:tcW w:w="708" w:type="dxa"/>
            <w:tcBorders>
              <w:top w:val="single" w:sz="4" w:space="0" w:color="auto"/>
              <w:left w:val="nil"/>
              <w:bottom w:val="single" w:sz="4" w:space="0" w:color="auto"/>
              <w:right w:val="nil"/>
            </w:tcBorders>
            <w:shd w:val="clear" w:color="000000" w:fill="FFFFFF"/>
            <w:vAlign w:val="center"/>
          </w:tcPr>
          <w:p w14:paraId="4923C970" w14:textId="1E879E0D" w:rsidR="00CA3C4E" w:rsidRPr="006D631C" w:rsidRDefault="00CA3C4E" w:rsidP="00CA3C4E">
            <w:pPr>
              <w:spacing w:line="240" w:lineRule="auto"/>
              <w:jc w:val="left"/>
              <w:rPr>
                <w:color w:val="000000"/>
                <w:sz w:val="12"/>
                <w:szCs w:val="12"/>
              </w:rPr>
            </w:pPr>
            <w:r w:rsidRPr="006D631C">
              <w:rPr>
                <w:sz w:val="12"/>
                <w:szCs w:val="12"/>
              </w:rPr>
              <w:t>UV</w:t>
            </w:r>
          </w:p>
        </w:tc>
        <w:tc>
          <w:tcPr>
            <w:tcW w:w="1276" w:type="dxa"/>
            <w:tcBorders>
              <w:top w:val="single" w:sz="4" w:space="0" w:color="auto"/>
              <w:left w:val="nil"/>
              <w:bottom w:val="single" w:sz="4" w:space="0" w:color="auto"/>
              <w:right w:val="nil"/>
            </w:tcBorders>
            <w:shd w:val="clear" w:color="000000" w:fill="FFFFFF"/>
            <w:noWrap/>
            <w:vAlign w:val="center"/>
          </w:tcPr>
          <w:p w14:paraId="7CF3BBFB" w14:textId="7BBA0CD3" w:rsidR="00CA3C4E" w:rsidRPr="006D631C" w:rsidRDefault="00CA3C4E" w:rsidP="00CA3C4E">
            <w:pPr>
              <w:spacing w:line="240" w:lineRule="auto"/>
              <w:ind w:left="37"/>
              <w:jc w:val="left"/>
              <w:rPr>
                <w:color w:val="000000"/>
                <w:sz w:val="12"/>
                <w:szCs w:val="12"/>
              </w:rPr>
            </w:pPr>
            <w:r w:rsidRPr="006D631C">
              <w:rPr>
                <w:sz w:val="12"/>
                <w:szCs w:val="12"/>
              </w:rPr>
              <w:t>70 ± 2 (H</w:t>
            </w:r>
            <w:r w:rsidRPr="006D631C">
              <w:rPr>
                <w:sz w:val="12"/>
                <w:szCs w:val="12"/>
                <w:vertAlign w:val="subscript"/>
              </w:rPr>
              <w:t>2</w:t>
            </w:r>
            <w:r w:rsidRPr="006D631C">
              <w:rPr>
                <w:sz w:val="12"/>
                <w:szCs w:val="12"/>
              </w:rPr>
              <w:t>)</w:t>
            </w:r>
          </w:p>
        </w:tc>
        <w:tc>
          <w:tcPr>
            <w:tcW w:w="1418" w:type="dxa"/>
            <w:tcBorders>
              <w:top w:val="single" w:sz="4" w:space="0" w:color="auto"/>
              <w:left w:val="nil"/>
              <w:bottom w:val="single" w:sz="4" w:space="0" w:color="auto"/>
              <w:right w:val="nil"/>
            </w:tcBorders>
            <w:shd w:val="clear" w:color="000000" w:fill="FFFFFF"/>
            <w:vAlign w:val="center"/>
          </w:tcPr>
          <w:p w14:paraId="2D7F7469" w14:textId="70A049D1" w:rsidR="00CA3C4E" w:rsidRPr="006D631C" w:rsidRDefault="00CA3C4E" w:rsidP="00D83A02">
            <w:pPr>
              <w:spacing w:line="240" w:lineRule="auto"/>
              <w:jc w:val="left"/>
              <w:rPr>
                <w:color w:val="000000"/>
                <w:sz w:val="12"/>
                <w:szCs w:val="12"/>
              </w:rPr>
            </w:pPr>
            <w:r w:rsidRPr="006D631C">
              <w:rPr>
                <w:color w:val="000000"/>
                <w:sz w:val="12"/>
                <w:szCs w:val="12"/>
              </w:rPr>
              <w:t>H</w:t>
            </w:r>
            <w:r w:rsidRPr="006D631C">
              <w:rPr>
                <w:color w:val="000000"/>
                <w:sz w:val="12"/>
                <w:szCs w:val="12"/>
                <w:vertAlign w:val="subscript"/>
              </w:rPr>
              <w:t>2</w:t>
            </w:r>
            <w:r w:rsidRPr="006D631C">
              <w:rPr>
                <w:sz w:val="12"/>
                <w:szCs w:val="12"/>
              </w:rPr>
              <w:t xml:space="preserve"> changed to HPL</w:t>
            </w:r>
          </w:p>
        </w:tc>
        <w:tc>
          <w:tcPr>
            <w:tcW w:w="1134" w:type="dxa"/>
            <w:tcBorders>
              <w:top w:val="single" w:sz="4" w:space="0" w:color="auto"/>
              <w:left w:val="nil"/>
              <w:bottom w:val="single" w:sz="4" w:space="0" w:color="auto"/>
              <w:right w:val="nil"/>
            </w:tcBorders>
            <w:shd w:val="clear" w:color="000000" w:fill="FFFFFF"/>
            <w:noWrap/>
            <w:vAlign w:val="center"/>
          </w:tcPr>
          <w:p w14:paraId="0DA1AD19" w14:textId="55072190" w:rsidR="00CA3C4E" w:rsidRPr="006D631C" w:rsidRDefault="00CA3C4E" w:rsidP="00CA3C4E">
            <w:pPr>
              <w:spacing w:line="240" w:lineRule="auto"/>
              <w:jc w:val="left"/>
              <w:rPr>
                <w:color w:val="000000"/>
                <w:sz w:val="12"/>
                <w:szCs w:val="12"/>
              </w:rPr>
            </w:pPr>
            <w:r w:rsidRPr="006D631C">
              <w:rPr>
                <w:sz w:val="12"/>
                <w:szCs w:val="12"/>
              </w:rPr>
              <w:t>3.29</w:t>
            </w:r>
          </w:p>
        </w:tc>
        <w:tc>
          <w:tcPr>
            <w:tcW w:w="1134" w:type="dxa"/>
            <w:tcBorders>
              <w:top w:val="single" w:sz="4" w:space="0" w:color="auto"/>
              <w:left w:val="nil"/>
              <w:bottom w:val="single" w:sz="4" w:space="0" w:color="auto"/>
              <w:right w:val="nil"/>
            </w:tcBorders>
            <w:shd w:val="clear" w:color="000000" w:fill="FFFFFF"/>
            <w:noWrap/>
            <w:vAlign w:val="center"/>
          </w:tcPr>
          <w:p w14:paraId="0E7A6077" w14:textId="0D9F7D96" w:rsidR="00CA3C4E" w:rsidRPr="006D631C" w:rsidRDefault="00CA3C4E" w:rsidP="00CA3C4E">
            <w:pPr>
              <w:spacing w:line="240" w:lineRule="auto"/>
              <w:jc w:val="left"/>
              <w:rPr>
                <w:color w:val="000000"/>
                <w:sz w:val="12"/>
                <w:szCs w:val="12"/>
              </w:rPr>
            </w:pPr>
            <w:r w:rsidRPr="006D631C">
              <w:rPr>
                <w:sz w:val="12"/>
                <w:szCs w:val="12"/>
              </w:rPr>
              <w:t>-</w:t>
            </w:r>
          </w:p>
        </w:tc>
        <w:tc>
          <w:tcPr>
            <w:tcW w:w="5244" w:type="dxa"/>
            <w:tcBorders>
              <w:top w:val="nil"/>
              <w:left w:val="nil"/>
              <w:bottom w:val="single" w:sz="4" w:space="0" w:color="auto"/>
              <w:right w:val="nil"/>
            </w:tcBorders>
            <w:shd w:val="clear" w:color="000000" w:fill="FFFFFF"/>
            <w:noWrap/>
            <w:vAlign w:val="center"/>
          </w:tcPr>
          <w:p w14:paraId="54E1FF5B" w14:textId="77777777" w:rsidR="00CA3C4E" w:rsidRPr="006D631C" w:rsidRDefault="00D83A02" w:rsidP="00CA3C4E">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Pairs of quantum-dot core-shell particles were confined within the center of mesoscale cylinders</w:t>
            </w:r>
          </w:p>
          <w:p w14:paraId="07D37A8B" w14:textId="73F9EE2D" w:rsidR="00D83A02" w:rsidRPr="006D631C" w:rsidRDefault="00D83A02" w:rsidP="00CA3C4E">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Minor structure variations via limited swelling with water</w:t>
            </w:r>
          </w:p>
        </w:tc>
        <w:tc>
          <w:tcPr>
            <w:tcW w:w="426" w:type="dxa"/>
            <w:tcBorders>
              <w:top w:val="nil"/>
              <w:left w:val="nil"/>
              <w:bottom w:val="single" w:sz="4" w:space="0" w:color="auto"/>
              <w:right w:val="nil"/>
            </w:tcBorders>
            <w:shd w:val="clear" w:color="000000" w:fill="FFFFFF"/>
            <w:vAlign w:val="center"/>
          </w:tcPr>
          <w:p w14:paraId="5710DAA5" w14:textId="091D5BCE" w:rsidR="00CA3C4E" w:rsidRPr="006D631C" w:rsidRDefault="00D83A02" w:rsidP="000B67AC">
            <w:pPr>
              <w:spacing w:line="240" w:lineRule="auto"/>
              <w:ind w:right="-104"/>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{"citationItems":[{"id":"ITEM-1","itemData":{"DOI":"10.1021/acs.macromol.0c00011","ISSN":"0024-9297","abstract":"Hierarchically structured emissive quantum dot (CdS/CdSe) poly(ionic liquid) composites are synthesized through colloidal polymerization within a lyotropic liquid crystal, yielding a solvent-responsive nanoparticle (NP) composite possessing four ordered structural motifs. The composite is prepared by coassembling an amphiphilic ionic liquid (IL) monomer, 3-decyl-1-vinylimidazolium chloride, [C10VIm+][Cl-], and IL monomer, 3-(10-mercaptodecyl)-1-vinylimidazolium bromide surface-functionalized quantum dots, QD-[SC10VIm+][Br-], in 30 wt % water. Photo (UV)-initiated free radical polymerization serves to form a colloidal copolymer that collimates pairs of QDs within the core of large cylinders (average diameter = 21 nm and length = 422 nm), as evidenced by ultrasmall-angle X-ray scattering (USAXS). As revealed by continuous wave terahertz multispectral reconstructive 3-D imaging, the subsurface structure along the cylinder axis undergoes dynamic rearrangement between 2D hexagonal and cubic packing. The polymerized ionic liquid sheath surrounding the QDs is composed of concentric hexagonally perforated lamellae (HPL) with an interlamellar repeat distance of 3 nm, as determined by small-angle X-ray scattering (SAXS). The encapsulated QDs retain crystallinity (TEM and WAXS) and emission characteristics (photoluminescence spectroscopy, λEM = 638 nm). Phenomenological time-dependent Ginzburg-Landau calculations verify the mesoscale cylinders arise from the topological constraints imposed by the in-plane perforations of the polymerized ionic liquid as it wraps around the hard (unmalleable) spherical QDs.","author":[{"dropping-particle":"","family":"Welch","given":"Paul M.","non-dropping-particle":"","parse-names":false,"suffix":""},{"dropping-particle":"","family":"Dreier","given":"Timothy A.","non-dropping-particle":"","parse-names":false,"suffix":""},{"dropping-particle":"","family":"Magurudeniya","given":"Harsha D.","non-dropping-particle":"","parse-names":false,"suffix":""},{"dropping-particle":"","family":"Frith","given":"Matthew G.","non-dropping-particle":"","parse-names":false,"suffix":""},{"dropping-particle":"","family":"Ilavsky","given":"Jan","non-dropping-particle":"","parse-names":false,"suffix":""},{"dropping-particle":"","family":"Seifert","given":"Sönke","non-dropping-particle":"","parse-names":false,"suffix":""},{"dropping-particle":"","family":"Rahman","given":"Aunik K.","non-dropping-particle":"","parse-names":false,"suffix":""},{"dropping-particle":"","family":"Rahman","given":"Anis","non-dropping-particle":"","parse-names":false,"suffix":""},{"dropping-particle":"","family":"Singh","given":"Amita Joshi","non-dropping-particle":"","parse-names":false,"suffix":""},{"dropping-particle":"","family":"Ringstrand","given":"Bryan S.","non-dropping-particle":"","parse-names":false,"suffix":""},{"dropping-particle":"","family":"Hanson","given":"Christina J.","non-dropping-particle":"","parse-names":false,"suffix":""},{"dropping-particle":"","family":"Hollingsworth","given":"Jennifer A.","non-dropping-particle":"","parse-names":false,"suffix":""},{"dropping-particle":"","family":"Firestone","given":"Millicent A.","non-dropping-particle":"","parse-names":false,"suffix":""}],"container-title":"Macromolecules","id":"ITEM-1","issue":"8","issued":{"date-parts":[["2020","4","28"]]},"page":"2822-2833","title":"3D Volumetric Structural Hierarchy Induced by Colloidal Polymerization of a Quantum-Dot Ionic Liquid Monomer Conjugate","type":"article-journal","volume":"53"},"uris":["http://www.mendeley.com/documents/?uuid=9988c892-7cf6-4d4f-9c95-7c08f1a7bfa2"]}],"mendeley":{"formattedCitation":"&lt;sup&gt;132&lt;/sup&gt;","plainTextFormattedCitation":"132","previouslyFormattedCitation":"&lt;sup&gt;132&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132</w:t>
            </w:r>
            <w:r w:rsidRPr="006D631C">
              <w:rPr>
                <w:sz w:val="12"/>
                <w:szCs w:val="12"/>
              </w:rPr>
              <w:fldChar w:fldCharType="end"/>
            </w:r>
          </w:p>
        </w:tc>
      </w:tr>
      <w:tr w:rsidR="00CA3C4E" w:rsidRPr="006D631C" w14:paraId="7D3715C7"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63066356" w14:textId="53C720BA" w:rsidR="00CA3C4E" w:rsidRPr="006D631C" w:rsidRDefault="00CA3C4E" w:rsidP="00CA3C4E">
            <w:pPr>
              <w:spacing w:line="240" w:lineRule="auto"/>
              <w:jc w:val="left"/>
              <w:rPr>
                <w:color w:val="000000"/>
                <w:sz w:val="12"/>
                <w:szCs w:val="12"/>
              </w:rPr>
            </w:pPr>
            <w:r w:rsidRPr="006D631C">
              <w:rPr>
                <w:sz w:val="12"/>
                <w:szCs w:val="12"/>
              </w:rPr>
              <w:t>P-A-47</w:t>
            </w:r>
          </w:p>
        </w:tc>
        <w:tc>
          <w:tcPr>
            <w:tcW w:w="709" w:type="dxa"/>
            <w:tcBorders>
              <w:top w:val="nil"/>
              <w:left w:val="nil"/>
              <w:bottom w:val="single" w:sz="4" w:space="0" w:color="auto"/>
              <w:right w:val="nil"/>
            </w:tcBorders>
            <w:shd w:val="clear" w:color="000000" w:fill="FFFFFF"/>
            <w:vAlign w:val="center"/>
          </w:tcPr>
          <w:p w14:paraId="071DBFD9" w14:textId="193F6EC4" w:rsidR="00CA3C4E" w:rsidRPr="006D631C" w:rsidRDefault="00CA3C4E" w:rsidP="00CA3C4E">
            <w:pPr>
              <w:spacing w:line="240" w:lineRule="auto"/>
              <w:jc w:val="left"/>
              <w:rPr>
                <w:color w:val="000000"/>
                <w:sz w:val="12"/>
                <w:szCs w:val="12"/>
              </w:rPr>
            </w:pPr>
            <w:r w:rsidRPr="006D631C">
              <w:rPr>
                <w:sz w:val="12"/>
                <w:szCs w:val="12"/>
              </w:rPr>
              <w:t>-</w:t>
            </w:r>
          </w:p>
        </w:tc>
        <w:tc>
          <w:tcPr>
            <w:tcW w:w="708" w:type="dxa"/>
            <w:tcBorders>
              <w:top w:val="nil"/>
              <w:left w:val="nil"/>
              <w:bottom w:val="single" w:sz="4" w:space="0" w:color="auto"/>
              <w:right w:val="nil"/>
            </w:tcBorders>
            <w:shd w:val="clear" w:color="000000" w:fill="FFFFFF"/>
            <w:vAlign w:val="center"/>
          </w:tcPr>
          <w:p w14:paraId="1B55A700" w14:textId="31891DF6" w:rsidR="00CA3C4E" w:rsidRPr="006D631C" w:rsidRDefault="00CA3C4E" w:rsidP="00CA3C4E">
            <w:pPr>
              <w:spacing w:line="240" w:lineRule="auto"/>
              <w:jc w:val="left"/>
              <w:rPr>
                <w:color w:val="000000"/>
                <w:sz w:val="12"/>
                <w:szCs w:val="12"/>
              </w:rPr>
            </w:pPr>
            <w:r w:rsidRPr="006D631C">
              <w:rPr>
                <w:sz w:val="12"/>
                <w:szCs w:val="12"/>
              </w:rPr>
              <w:t>I-15</w:t>
            </w:r>
          </w:p>
        </w:tc>
        <w:tc>
          <w:tcPr>
            <w:tcW w:w="1276" w:type="dxa"/>
            <w:tcBorders>
              <w:top w:val="nil"/>
              <w:left w:val="nil"/>
              <w:bottom w:val="single" w:sz="4" w:space="0" w:color="auto"/>
              <w:right w:val="nil"/>
            </w:tcBorders>
            <w:shd w:val="clear" w:color="000000" w:fill="FFFFFF"/>
            <w:noWrap/>
            <w:vAlign w:val="center"/>
          </w:tcPr>
          <w:p w14:paraId="3FF46332" w14:textId="22FE0F40" w:rsidR="00CA3C4E" w:rsidRPr="006D631C" w:rsidRDefault="00CA3C4E" w:rsidP="00CA3C4E">
            <w:pPr>
              <w:spacing w:line="240" w:lineRule="auto"/>
              <w:ind w:left="37"/>
              <w:jc w:val="left"/>
              <w:rPr>
                <w:color w:val="000000"/>
                <w:sz w:val="12"/>
                <w:szCs w:val="12"/>
              </w:rPr>
            </w:pPr>
            <w:r w:rsidRPr="006D631C">
              <w:rPr>
                <w:sz w:val="12"/>
                <w:szCs w:val="12"/>
              </w:rPr>
              <w:t>50 (H</w:t>
            </w:r>
            <w:r w:rsidRPr="006D631C">
              <w:rPr>
                <w:sz w:val="12"/>
                <w:szCs w:val="12"/>
                <w:vertAlign w:val="subscript"/>
              </w:rPr>
              <w:t>2</w:t>
            </w:r>
            <w:r w:rsidRPr="006D631C">
              <w:rPr>
                <w:sz w:val="12"/>
                <w:szCs w:val="12"/>
              </w:rPr>
              <w:t>)</w:t>
            </w:r>
          </w:p>
        </w:tc>
        <w:tc>
          <w:tcPr>
            <w:tcW w:w="1418" w:type="dxa"/>
            <w:tcBorders>
              <w:top w:val="nil"/>
              <w:left w:val="nil"/>
              <w:bottom w:val="single" w:sz="4" w:space="0" w:color="auto"/>
              <w:right w:val="nil"/>
            </w:tcBorders>
            <w:shd w:val="clear" w:color="000000" w:fill="FFFFFF"/>
            <w:vAlign w:val="center"/>
          </w:tcPr>
          <w:p w14:paraId="1D8E57D9" w14:textId="3AA1A907" w:rsidR="00CA3C4E" w:rsidRPr="006D631C" w:rsidRDefault="00CA3C4E" w:rsidP="00CA3C4E">
            <w:pPr>
              <w:spacing w:line="240" w:lineRule="auto"/>
              <w:jc w:val="left"/>
              <w:rPr>
                <w:color w:val="000000"/>
                <w:sz w:val="12"/>
                <w:szCs w:val="12"/>
              </w:rPr>
            </w:pPr>
            <w:r w:rsidRPr="006D631C">
              <w:rPr>
                <w:sz w:val="12"/>
                <w:szCs w:val="12"/>
              </w:rPr>
              <w:t>Loss of some long-range order</w:t>
            </w:r>
          </w:p>
        </w:tc>
        <w:tc>
          <w:tcPr>
            <w:tcW w:w="1134" w:type="dxa"/>
            <w:tcBorders>
              <w:top w:val="nil"/>
              <w:left w:val="nil"/>
              <w:bottom w:val="single" w:sz="4" w:space="0" w:color="auto"/>
              <w:right w:val="nil"/>
            </w:tcBorders>
            <w:shd w:val="clear" w:color="000000" w:fill="FFFFFF"/>
            <w:noWrap/>
            <w:vAlign w:val="center"/>
          </w:tcPr>
          <w:p w14:paraId="78CCDBC6" w14:textId="66DE3A99" w:rsidR="00CA3C4E" w:rsidRPr="006D631C" w:rsidRDefault="00CA3C4E" w:rsidP="00CA3C4E">
            <w:pPr>
              <w:spacing w:line="240" w:lineRule="auto"/>
              <w:jc w:val="left"/>
              <w:rPr>
                <w:color w:val="000000"/>
                <w:sz w:val="12"/>
                <w:szCs w:val="12"/>
              </w:rPr>
            </w:pPr>
            <w:r w:rsidRPr="006D631C">
              <w:rPr>
                <w:sz w:val="12"/>
                <w:szCs w:val="12"/>
              </w:rPr>
              <w:t>6.14</w:t>
            </w:r>
          </w:p>
        </w:tc>
        <w:tc>
          <w:tcPr>
            <w:tcW w:w="1134" w:type="dxa"/>
            <w:tcBorders>
              <w:top w:val="nil"/>
              <w:left w:val="nil"/>
              <w:bottom w:val="single" w:sz="4" w:space="0" w:color="auto"/>
              <w:right w:val="nil"/>
            </w:tcBorders>
            <w:shd w:val="clear" w:color="000000" w:fill="FFFFFF"/>
            <w:noWrap/>
            <w:vAlign w:val="center"/>
          </w:tcPr>
          <w:p w14:paraId="661820C1" w14:textId="767ADD3D" w:rsidR="00CA3C4E" w:rsidRPr="006D631C" w:rsidRDefault="00CA3C4E" w:rsidP="00CA3C4E">
            <w:pPr>
              <w:spacing w:line="240" w:lineRule="auto"/>
              <w:jc w:val="left"/>
              <w:rPr>
                <w:color w:val="000000"/>
                <w:sz w:val="12"/>
                <w:szCs w:val="12"/>
              </w:rPr>
            </w:pPr>
            <w:r w:rsidRPr="006D631C">
              <w:rPr>
                <w:sz w:val="12"/>
                <w:szCs w:val="12"/>
              </w:rPr>
              <w:t>5.1</w:t>
            </w:r>
          </w:p>
        </w:tc>
        <w:tc>
          <w:tcPr>
            <w:tcW w:w="5244" w:type="dxa"/>
            <w:tcBorders>
              <w:top w:val="nil"/>
              <w:left w:val="nil"/>
              <w:bottom w:val="single" w:sz="4" w:space="0" w:color="auto"/>
              <w:right w:val="nil"/>
            </w:tcBorders>
            <w:shd w:val="clear" w:color="000000" w:fill="FFFFFF"/>
            <w:noWrap/>
            <w:vAlign w:val="center"/>
          </w:tcPr>
          <w:p w14:paraId="6442A11B" w14:textId="77777777" w:rsidR="00CA3C4E" w:rsidRPr="006D631C" w:rsidRDefault="004506C8" w:rsidP="00CA3C4E">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Photopolymerization resulted in loss of structure due to isomer changes before cross-linking</w:t>
            </w:r>
          </w:p>
          <w:p w14:paraId="46AD869F" w14:textId="14FF3BA1" w:rsidR="004506C8" w:rsidRPr="006D631C" w:rsidRDefault="004506C8" w:rsidP="00CA3C4E">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The cross-linked network showed photo-responsive behavior</w:t>
            </w:r>
          </w:p>
        </w:tc>
        <w:tc>
          <w:tcPr>
            <w:tcW w:w="426" w:type="dxa"/>
            <w:tcBorders>
              <w:top w:val="nil"/>
              <w:left w:val="nil"/>
              <w:bottom w:val="single" w:sz="4" w:space="0" w:color="auto"/>
              <w:right w:val="nil"/>
            </w:tcBorders>
            <w:shd w:val="clear" w:color="000000" w:fill="FFFFFF"/>
            <w:vAlign w:val="center"/>
          </w:tcPr>
          <w:p w14:paraId="0A125AEE" w14:textId="1E69689C" w:rsidR="00CA3C4E" w:rsidRPr="006D631C" w:rsidRDefault="003238BA" w:rsidP="000B67AC">
            <w:pPr>
              <w:spacing w:line="240" w:lineRule="auto"/>
              <w:ind w:right="-104"/>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{"citationItems":[{"id":"ITEM-1","itemData":{"DOI":"10.1002/adma.200702210","ISSN":"09359648","author":[{"dropping-particle":"","family":"Pecinovsky","given":"Cory S.","non-dropping-particle":"","parse-names":false,"suffix":""},{"dropping-particle":"","family":"Hatakeyama","given":"Evan S.","non-dropping-particle":"","parse-names":false,"suffix":""},{"dropping-particle":"","family":"Gin","given":"Douglas L.","non-dropping-particle":"","parse-names":false,"suffix":""}],"container-title":"Advanced Materials","id":"ITEM-1","issue":"1","issued":{"date-parts":[["2008"]]},"page":"174-178","title":"Polymerizable photochromic macrocyclic metallomesogens: Design of supramolecular polymers with responsive nanopores","type":"article-journal","volume":"20"},"uris":["http://www.mendeley.com/documents/?uuid=31f3af7b-43ba-4f53-82e6-67735f73f2e9"]}],"mendeley":{"formattedCitation":"&lt;sup&gt;133&lt;/sup&gt;","plainTextFormattedCitation":"133","previouslyFormattedCitation":"&lt;sup&gt;133&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133</w:t>
            </w:r>
            <w:r w:rsidRPr="006D631C">
              <w:rPr>
                <w:sz w:val="12"/>
                <w:szCs w:val="12"/>
              </w:rPr>
              <w:fldChar w:fldCharType="end"/>
            </w:r>
          </w:p>
        </w:tc>
      </w:tr>
      <w:tr w:rsidR="00CA3C4E" w:rsidRPr="006D631C" w14:paraId="22CBB1A9"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3D7EB7F0" w14:textId="744F2827" w:rsidR="00CA3C4E" w:rsidRPr="006D631C" w:rsidRDefault="00CA3C4E" w:rsidP="00CA3C4E">
            <w:pPr>
              <w:spacing w:line="240" w:lineRule="auto"/>
              <w:jc w:val="left"/>
              <w:rPr>
                <w:color w:val="000000"/>
                <w:sz w:val="12"/>
                <w:szCs w:val="12"/>
              </w:rPr>
            </w:pPr>
            <w:r w:rsidRPr="006D631C">
              <w:rPr>
                <w:sz w:val="12"/>
                <w:szCs w:val="12"/>
              </w:rPr>
              <w:t>P-A-48 /     P-A-49</w:t>
            </w:r>
          </w:p>
        </w:tc>
        <w:tc>
          <w:tcPr>
            <w:tcW w:w="709" w:type="dxa"/>
            <w:tcBorders>
              <w:top w:val="nil"/>
              <w:left w:val="nil"/>
              <w:bottom w:val="single" w:sz="4" w:space="0" w:color="auto"/>
              <w:right w:val="nil"/>
            </w:tcBorders>
            <w:shd w:val="clear" w:color="000000" w:fill="FFFFFF"/>
            <w:vAlign w:val="center"/>
          </w:tcPr>
          <w:p w14:paraId="4163365F" w14:textId="1BC44C71" w:rsidR="00CA3C4E" w:rsidRPr="006D631C" w:rsidRDefault="00CA3C4E" w:rsidP="00CA3C4E">
            <w:pPr>
              <w:spacing w:line="240" w:lineRule="auto"/>
              <w:jc w:val="left"/>
              <w:rPr>
                <w:color w:val="000000"/>
                <w:sz w:val="12"/>
                <w:szCs w:val="12"/>
              </w:rPr>
            </w:pPr>
            <w:r w:rsidRPr="006D631C">
              <w:rPr>
                <w:sz w:val="12"/>
                <w:szCs w:val="12"/>
              </w:rPr>
              <w:t>-</w:t>
            </w:r>
          </w:p>
        </w:tc>
        <w:tc>
          <w:tcPr>
            <w:tcW w:w="708" w:type="dxa"/>
            <w:tcBorders>
              <w:top w:val="nil"/>
              <w:left w:val="nil"/>
              <w:bottom w:val="single" w:sz="4" w:space="0" w:color="auto"/>
              <w:right w:val="nil"/>
            </w:tcBorders>
            <w:shd w:val="clear" w:color="000000" w:fill="FFFFFF"/>
            <w:vAlign w:val="center"/>
          </w:tcPr>
          <w:p w14:paraId="1629BF98" w14:textId="54B550A9" w:rsidR="00CA3C4E" w:rsidRPr="006D631C" w:rsidRDefault="00CA3C4E" w:rsidP="00CA3C4E">
            <w:pPr>
              <w:spacing w:line="240" w:lineRule="auto"/>
              <w:jc w:val="left"/>
              <w:rPr>
                <w:color w:val="000000"/>
                <w:sz w:val="12"/>
                <w:szCs w:val="12"/>
              </w:rPr>
            </w:pPr>
            <w:r w:rsidRPr="006D631C">
              <w:rPr>
                <w:sz w:val="12"/>
                <w:szCs w:val="12"/>
              </w:rPr>
              <w:t>I-16</w:t>
            </w:r>
          </w:p>
        </w:tc>
        <w:tc>
          <w:tcPr>
            <w:tcW w:w="1276" w:type="dxa"/>
            <w:tcBorders>
              <w:top w:val="nil"/>
              <w:left w:val="nil"/>
              <w:bottom w:val="single" w:sz="4" w:space="0" w:color="auto"/>
              <w:right w:val="nil"/>
            </w:tcBorders>
            <w:shd w:val="clear" w:color="000000" w:fill="FFFFFF"/>
            <w:noWrap/>
            <w:vAlign w:val="center"/>
          </w:tcPr>
          <w:p w14:paraId="5AA7DEF8" w14:textId="76A42630" w:rsidR="00CA3C4E" w:rsidRPr="006D631C" w:rsidRDefault="00CA3C4E" w:rsidP="00CA3C4E">
            <w:pPr>
              <w:spacing w:line="240" w:lineRule="auto"/>
              <w:ind w:left="37"/>
              <w:jc w:val="left"/>
              <w:rPr>
                <w:color w:val="000000"/>
                <w:sz w:val="12"/>
                <w:szCs w:val="12"/>
              </w:rPr>
            </w:pPr>
            <w:r w:rsidRPr="006D631C">
              <w:rPr>
                <w:sz w:val="12"/>
                <w:szCs w:val="12"/>
              </w:rPr>
              <w:t>25 (Q</w:t>
            </w:r>
            <w:r w:rsidRPr="006D631C">
              <w:rPr>
                <w:sz w:val="12"/>
                <w:szCs w:val="12"/>
                <w:vertAlign w:val="subscript"/>
              </w:rPr>
              <w:t>2</w:t>
            </w:r>
            <w:r w:rsidRPr="006D631C">
              <w:rPr>
                <w:sz w:val="12"/>
                <w:szCs w:val="12"/>
              </w:rPr>
              <w:t>)</w:t>
            </w:r>
          </w:p>
        </w:tc>
        <w:tc>
          <w:tcPr>
            <w:tcW w:w="1418" w:type="dxa"/>
            <w:tcBorders>
              <w:top w:val="nil"/>
              <w:left w:val="nil"/>
              <w:bottom w:val="single" w:sz="4" w:space="0" w:color="auto"/>
              <w:right w:val="nil"/>
            </w:tcBorders>
            <w:shd w:val="clear" w:color="000000" w:fill="FFFFFF"/>
            <w:vAlign w:val="center"/>
          </w:tcPr>
          <w:p w14:paraId="7521A522" w14:textId="62866F4F" w:rsidR="00CA3C4E" w:rsidRPr="006D631C" w:rsidRDefault="00CA3C4E" w:rsidP="00CA3C4E">
            <w:pPr>
              <w:spacing w:line="240" w:lineRule="auto"/>
              <w:jc w:val="left"/>
              <w:rPr>
                <w:color w:val="000000"/>
                <w:sz w:val="12"/>
                <w:szCs w:val="12"/>
              </w:rPr>
            </w:pPr>
            <w:r w:rsidRPr="006D631C">
              <w:rPr>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26C90FC6" w14:textId="5A69172B" w:rsidR="00CA3C4E" w:rsidRPr="006D631C" w:rsidRDefault="00CA3C4E" w:rsidP="00CA3C4E">
            <w:pPr>
              <w:spacing w:line="240" w:lineRule="auto"/>
              <w:jc w:val="left"/>
              <w:rPr>
                <w:color w:val="000000"/>
                <w:sz w:val="12"/>
                <w:szCs w:val="12"/>
              </w:rPr>
            </w:pPr>
            <w:r w:rsidRPr="006D631C">
              <w:rPr>
                <w:sz w:val="12"/>
                <w:szCs w:val="12"/>
              </w:rPr>
              <w:t>12.3</w:t>
            </w:r>
          </w:p>
        </w:tc>
        <w:tc>
          <w:tcPr>
            <w:tcW w:w="1134" w:type="dxa"/>
            <w:tcBorders>
              <w:top w:val="nil"/>
              <w:left w:val="nil"/>
              <w:bottom w:val="single" w:sz="4" w:space="0" w:color="auto"/>
              <w:right w:val="nil"/>
            </w:tcBorders>
            <w:shd w:val="clear" w:color="000000" w:fill="FFFFFF"/>
            <w:noWrap/>
            <w:vAlign w:val="center"/>
          </w:tcPr>
          <w:p w14:paraId="0A6EF3AD" w14:textId="0CAAB4ED" w:rsidR="00CA3C4E" w:rsidRPr="006D631C" w:rsidRDefault="00CA3C4E" w:rsidP="00CA3C4E">
            <w:pPr>
              <w:spacing w:line="240" w:lineRule="auto"/>
              <w:jc w:val="left"/>
              <w:rPr>
                <w:color w:val="000000"/>
                <w:sz w:val="12"/>
                <w:szCs w:val="12"/>
              </w:rPr>
            </w:pPr>
            <w:r w:rsidRPr="006D631C">
              <w:rPr>
                <w:sz w:val="12"/>
                <w:szCs w:val="12"/>
              </w:rPr>
              <w:t>13.5</w:t>
            </w:r>
          </w:p>
        </w:tc>
        <w:tc>
          <w:tcPr>
            <w:tcW w:w="5244" w:type="dxa"/>
            <w:tcBorders>
              <w:top w:val="nil"/>
              <w:left w:val="nil"/>
              <w:bottom w:val="single" w:sz="4" w:space="0" w:color="auto"/>
              <w:right w:val="nil"/>
            </w:tcBorders>
            <w:shd w:val="clear" w:color="000000" w:fill="FFFFFF"/>
            <w:noWrap/>
            <w:vAlign w:val="center"/>
          </w:tcPr>
          <w:p w14:paraId="5D86F808" w14:textId="40F9B3C2" w:rsidR="00CA3C4E" w:rsidRPr="006D631C" w:rsidRDefault="00BC185A" w:rsidP="00CA3C4E">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The polymerized LLC was soluble in organic solvents due to incomplete cross-linking but it showed higher thermal stability compared to non-polymerized LLC</w:t>
            </w:r>
          </w:p>
        </w:tc>
        <w:tc>
          <w:tcPr>
            <w:tcW w:w="426" w:type="dxa"/>
            <w:tcBorders>
              <w:top w:val="nil"/>
              <w:left w:val="nil"/>
              <w:bottom w:val="single" w:sz="4" w:space="0" w:color="auto"/>
              <w:right w:val="nil"/>
            </w:tcBorders>
            <w:shd w:val="clear" w:color="000000" w:fill="FFFFFF"/>
            <w:vAlign w:val="center"/>
          </w:tcPr>
          <w:p w14:paraId="1DE62FFD" w14:textId="4B3E380F" w:rsidR="00CA3C4E" w:rsidRPr="006D631C" w:rsidRDefault="00BC185A" w:rsidP="00D66494">
            <w:pPr>
              <w:spacing w:line="240" w:lineRule="auto"/>
              <w:ind w:right="-104"/>
              <w:jc w:val="left"/>
              <w:rPr>
                <w:color w:val="000000"/>
                <w:sz w:val="12"/>
                <w:szCs w:val="12"/>
              </w:rPr>
            </w:pPr>
            <w:r w:rsidRPr="006D631C">
              <w:rPr>
                <w:sz w:val="12"/>
                <w:szCs w:val="12"/>
              </w:rPr>
              <w:fldChar w:fldCharType="begin" w:fldLock="1"/>
            </w:r>
            <w:r w:rsidRPr="006D631C">
              <w:rPr>
                <w:sz w:val="12"/>
                <w:szCs w:val="12"/>
              </w:rPr>
              <w:instrText>ADDIN CSL_CITATION {"citationItems":[{"id":"ITEM-1","itemData":{"DOI":"10.1021/la970897m","ISSN":"07437463","abstract":"Technological applications of lipids may be possible through stabilization of various liquid-crystalline phases. One important approach to stabilized self-assembling materials utilizes polymerization of liquid-crystalline phases composed of reactive lipids. Polymerization of lipids has been utilized to modify the chemical and physical properties of lamellar assemblies (e.g., lipid monolayers, multilayers, and bilayer vesicles). In addition, polymerization of the lipid region of three-dimensional nonlamellar lipid-phase structures has recently been reported, including the reversed bicontinuous cubic (QII) phase, belonging to the space group Pn3m and the reversed hexagonal (HII) phase. Here we show that an easily prepared polymerizable monoacylglycerol combined in a 9/1 molar ratio with the corresponding polymerizable 1,2-diacylglycerol forms nonlamellar phases upon hydration at room temperature. Phase investigation using cross-polarized light, 2H NMR spectroscopy, and X-ray diffraction showed that the lipid mixture formed a well-defined cubic phase from at least 5 to 45 °C. The X-ray diffraction pattern corresponded to a cubic phase with Ia3d symmetry and a unit cell size of 131 Å at 25 °C. Polymerization to high conversion of this cubic phase was accomplished via the thermal decomposition of H2O2. The resultant polymers dissolved in organic solvent, indicating they were not cross-linked. The visual clear character, cross-polarized light test, and X-ray diffraction showed that isotropic architecture was maintained up to at least 70 °C after sample polymerization. The diffusion coefficient of water (23 °C) within the polymerized cubic phase, determined by pulsed field gradient NMR spectroscopy, was 1.2 ± 0.2 × 10-10m2/s, a value consistent with retention of the cubic phase during and after the polymerization. The biocompatible and mesoporous nature of the polymerized cubic phase suggests it could be used as the host for incorporation of synthetic or biological molecules in a manner that has already proven especially useful in microporous solids.","author":[{"dropping-particle":"","family":"Srisiri","given":"Warunee","non-dropping-particle":"","parse-names":false,"suffix":""},{"dropping-particle":"","family":"Benedicto","given":"Alto","non-dropping-particle":"","parse-names":false,"suffix":""},{"dropping-particle":"","family":"O'Brien","given":"David F.","non-dropping-particle":"","parse-names":false,"suffix":""},{"dropping-particle":"","family":"Trouard","given":"Theodore P.","non-dropping-particle":"","parse-names":false,"suffix":""},{"dropping-particle":"","family":"Orädd","given":"Greger","non-dropping-particle":"","parse-names":false,"suffix":""},{"dropping-particle":"","family":"Persson","given":"Stefan","non-dropping-particle":"","parse-names":false,"suffix":""},{"dropping-particle":"","family":"Lindblom","given":"Göran","non-dropping-particle":"","parse-names":false,"suffix":""}],"container-title":"Langmuir","id":"ITEM-1","issue":"7","issued":{"date-parts":[["1998"]]},"page":"1921-1926","title":"Stabilization of a bicontinuous cubic phase from polymerizable monoacylglycerol and diacylglycerol","type":"article-journal","volume":"14"},"uris":["http://www.mendeley.com/documents/?uuid=127cee99-c85c-47e9-a74c-00615e6be537"]}],"mendeley":{"formattedCitation":"&lt;sup&gt;108&lt;/sup&gt;","plainTextFormattedCitation":"108","previouslyFormattedCitation":"&lt;sup&gt;108&lt;/sup&gt;"},"properties":{"noteIndex":0},"schema":"https://github.com/citation-style-language/schema/raw/master/csl-citation.json"}</w:instrText>
            </w:r>
            <w:r w:rsidRPr="006D631C">
              <w:rPr>
                <w:sz w:val="12"/>
                <w:szCs w:val="12"/>
              </w:rPr>
              <w:fldChar w:fldCharType="separate"/>
            </w:r>
            <w:r w:rsidRPr="006D631C">
              <w:rPr>
                <w:noProof/>
                <w:sz w:val="12"/>
                <w:szCs w:val="12"/>
              </w:rPr>
              <w:t>108</w:t>
            </w:r>
            <w:r w:rsidRPr="006D631C">
              <w:rPr>
                <w:sz w:val="12"/>
                <w:szCs w:val="12"/>
              </w:rPr>
              <w:fldChar w:fldCharType="end"/>
            </w:r>
          </w:p>
        </w:tc>
      </w:tr>
      <w:tr w:rsidR="00CA3C4E" w:rsidRPr="006D631C" w14:paraId="7D07DA41"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4B0D7E73" w14:textId="4AE4336B" w:rsidR="00CA3C4E" w:rsidRPr="006D631C" w:rsidRDefault="00CA3C4E" w:rsidP="00CA3C4E">
            <w:pPr>
              <w:spacing w:line="240" w:lineRule="auto"/>
              <w:jc w:val="left"/>
              <w:rPr>
                <w:color w:val="000000"/>
                <w:sz w:val="12"/>
                <w:szCs w:val="12"/>
              </w:rPr>
            </w:pPr>
            <w:r w:rsidRPr="006D631C">
              <w:rPr>
                <w:sz w:val="12"/>
                <w:szCs w:val="12"/>
              </w:rPr>
              <w:t>P-A-50</w:t>
            </w:r>
          </w:p>
        </w:tc>
        <w:tc>
          <w:tcPr>
            <w:tcW w:w="12049" w:type="dxa"/>
            <w:gridSpan w:val="8"/>
            <w:tcBorders>
              <w:top w:val="single" w:sz="4" w:space="0" w:color="auto"/>
              <w:left w:val="nil"/>
              <w:bottom w:val="single" w:sz="4" w:space="0" w:color="auto"/>
            </w:tcBorders>
            <w:shd w:val="clear" w:color="000000" w:fill="FFFFFF"/>
            <w:vAlign w:val="center"/>
          </w:tcPr>
          <w:p w14:paraId="0AABD49A" w14:textId="203CD402" w:rsidR="00CA3C4E" w:rsidRPr="006D631C" w:rsidRDefault="00CA3C4E" w:rsidP="00CA3C4E">
            <w:pPr>
              <w:spacing w:line="240" w:lineRule="auto"/>
              <w:jc w:val="left"/>
              <w:rPr>
                <w:color w:val="000000"/>
                <w:sz w:val="12"/>
                <w:szCs w:val="12"/>
              </w:rPr>
            </w:pPr>
            <w:r w:rsidRPr="006D631C">
              <w:rPr>
                <w:sz w:val="12"/>
                <w:szCs w:val="12"/>
              </w:rPr>
              <w:t>This reactive surfactant has been used for transcriptive templating. See Table 1-3/M-4 section.</w:t>
            </w:r>
          </w:p>
        </w:tc>
      </w:tr>
      <w:tr w:rsidR="00CA3C4E" w:rsidRPr="006D631C" w14:paraId="21EF67D0"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3581033A" w14:textId="11F9BD4F" w:rsidR="00CA3C4E" w:rsidRPr="006D631C" w:rsidRDefault="00CA3C4E" w:rsidP="00CA3C4E">
            <w:pPr>
              <w:spacing w:line="240" w:lineRule="auto"/>
              <w:jc w:val="left"/>
              <w:rPr>
                <w:color w:val="000000"/>
                <w:sz w:val="12"/>
                <w:szCs w:val="12"/>
              </w:rPr>
            </w:pPr>
            <w:r w:rsidRPr="006D631C">
              <w:rPr>
                <w:sz w:val="12"/>
                <w:szCs w:val="12"/>
              </w:rPr>
              <w:t>P-A-51</w:t>
            </w:r>
          </w:p>
        </w:tc>
        <w:tc>
          <w:tcPr>
            <w:tcW w:w="12049" w:type="dxa"/>
            <w:gridSpan w:val="8"/>
            <w:tcBorders>
              <w:top w:val="single" w:sz="4" w:space="0" w:color="auto"/>
              <w:left w:val="nil"/>
              <w:bottom w:val="single" w:sz="4" w:space="0" w:color="auto"/>
            </w:tcBorders>
            <w:shd w:val="clear" w:color="000000" w:fill="FFFFFF"/>
            <w:vAlign w:val="center"/>
          </w:tcPr>
          <w:p w14:paraId="28B77AD1" w14:textId="50D0B1A4" w:rsidR="00CA3C4E" w:rsidRPr="006D631C" w:rsidRDefault="00CA3C4E" w:rsidP="00CA3C4E">
            <w:pPr>
              <w:spacing w:line="240" w:lineRule="auto"/>
              <w:jc w:val="left"/>
              <w:rPr>
                <w:color w:val="000000"/>
                <w:sz w:val="12"/>
                <w:szCs w:val="12"/>
              </w:rPr>
            </w:pPr>
            <w:r w:rsidRPr="006D631C">
              <w:rPr>
                <w:sz w:val="12"/>
                <w:szCs w:val="12"/>
              </w:rPr>
              <w:t>This reactive surfactant has been used for transcriptive templating. See Table 1-3/M-7 section.</w:t>
            </w:r>
          </w:p>
        </w:tc>
      </w:tr>
      <w:tr w:rsidR="00FD75BF" w:rsidRPr="006D631C" w14:paraId="413F6E4D"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41AE19D2" w14:textId="1A7F3B59" w:rsidR="00FD75BF" w:rsidRPr="006D631C" w:rsidRDefault="00FD75BF" w:rsidP="00FD75BF">
            <w:pPr>
              <w:spacing w:line="240" w:lineRule="auto"/>
              <w:jc w:val="left"/>
              <w:rPr>
                <w:color w:val="000000"/>
                <w:sz w:val="12"/>
                <w:szCs w:val="12"/>
              </w:rPr>
            </w:pPr>
            <w:r w:rsidRPr="006D631C">
              <w:rPr>
                <w:sz w:val="12"/>
                <w:szCs w:val="12"/>
              </w:rPr>
              <w:t>P-A-52</w:t>
            </w:r>
          </w:p>
        </w:tc>
        <w:tc>
          <w:tcPr>
            <w:tcW w:w="709" w:type="dxa"/>
            <w:tcBorders>
              <w:top w:val="nil"/>
              <w:left w:val="nil"/>
              <w:bottom w:val="single" w:sz="4" w:space="0" w:color="auto"/>
              <w:right w:val="nil"/>
            </w:tcBorders>
            <w:shd w:val="clear" w:color="000000" w:fill="FFFFFF"/>
            <w:vAlign w:val="center"/>
          </w:tcPr>
          <w:p w14:paraId="4F21693A" w14:textId="1E1478CF" w:rsidR="00FD75BF" w:rsidRPr="006D631C" w:rsidRDefault="00FD75BF" w:rsidP="00FD75BF">
            <w:pPr>
              <w:spacing w:line="240" w:lineRule="auto"/>
              <w:jc w:val="left"/>
              <w:rPr>
                <w:color w:val="000000"/>
                <w:sz w:val="12"/>
                <w:szCs w:val="12"/>
              </w:rPr>
            </w:pPr>
            <w:r w:rsidRPr="006D631C">
              <w:rPr>
                <w:sz w:val="12"/>
                <w:szCs w:val="12"/>
              </w:rPr>
              <w:t>-</w:t>
            </w:r>
          </w:p>
        </w:tc>
        <w:tc>
          <w:tcPr>
            <w:tcW w:w="708" w:type="dxa"/>
            <w:tcBorders>
              <w:top w:val="nil"/>
              <w:left w:val="nil"/>
              <w:bottom w:val="single" w:sz="4" w:space="0" w:color="auto"/>
              <w:right w:val="nil"/>
            </w:tcBorders>
            <w:shd w:val="clear" w:color="000000" w:fill="FFFFFF"/>
            <w:vAlign w:val="center"/>
          </w:tcPr>
          <w:p w14:paraId="4FCEAB0A" w14:textId="126B6EE0" w:rsidR="00FD75BF" w:rsidRPr="006D631C" w:rsidRDefault="00FD75BF" w:rsidP="00FD75BF">
            <w:pPr>
              <w:spacing w:line="240" w:lineRule="auto"/>
              <w:jc w:val="left"/>
              <w:rPr>
                <w:color w:val="000000"/>
                <w:sz w:val="12"/>
                <w:szCs w:val="12"/>
              </w:rPr>
            </w:pPr>
            <w:r w:rsidRPr="006D631C">
              <w:rPr>
                <w:sz w:val="12"/>
                <w:szCs w:val="12"/>
              </w:rPr>
              <w:t>I-5</w:t>
            </w:r>
          </w:p>
        </w:tc>
        <w:tc>
          <w:tcPr>
            <w:tcW w:w="1276" w:type="dxa"/>
            <w:tcBorders>
              <w:top w:val="nil"/>
              <w:left w:val="nil"/>
              <w:bottom w:val="single" w:sz="4" w:space="0" w:color="auto"/>
              <w:right w:val="nil"/>
            </w:tcBorders>
            <w:shd w:val="clear" w:color="000000" w:fill="FFFFFF"/>
            <w:noWrap/>
            <w:vAlign w:val="center"/>
          </w:tcPr>
          <w:p w14:paraId="468477B9" w14:textId="4702D4B6" w:rsidR="00FD75BF" w:rsidRPr="006D631C" w:rsidRDefault="00FD75BF" w:rsidP="00416F77">
            <w:pPr>
              <w:spacing w:line="240" w:lineRule="auto"/>
              <w:ind w:left="37"/>
              <w:jc w:val="left"/>
              <w:rPr>
                <w:color w:val="000000"/>
                <w:sz w:val="12"/>
                <w:szCs w:val="12"/>
              </w:rPr>
            </w:pPr>
            <w:r w:rsidRPr="006D631C">
              <w:rPr>
                <w:sz w:val="12"/>
                <w:szCs w:val="12"/>
              </w:rPr>
              <w:t>10 – 50 (</w:t>
            </w:r>
            <w:r w:rsidR="00416F77" w:rsidRPr="006D631C">
              <w:rPr>
                <w:sz w:val="12"/>
                <w:szCs w:val="12"/>
              </w:rPr>
              <w:t>I</w:t>
            </w:r>
            <w:r w:rsidR="00416F77" w:rsidRPr="006D631C">
              <w:rPr>
                <w:sz w:val="12"/>
                <w:szCs w:val="12"/>
                <w:vertAlign w:val="subscript"/>
              </w:rPr>
              <w:t>1</w:t>
            </w:r>
            <w:r w:rsidRPr="006D631C">
              <w:rPr>
                <w:sz w:val="12"/>
                <w:szCs w:val="12"/>
              </w:rPr>
              <w:t xml:space="preserve">, </w:t>
            </w:r>
            <w:r w:rsidRPr="006D631C">
              <w:rPr>
                <w:color w:val="000000"/>
                <w:sz w:val="12"/>
                <w:szCs w:val="12"/>
              </w:rPr>
              <w:t>L</w:t>
            </w:r>
            <w:r w:rsidRPr="006D631C">
              <w:rPr>
                <w:color w:val="000000"/>
                <w:sz w:val="12"/>
                <w:szCs w:val="12"/>
                <w:vertAlign w:val="subscript"/>
              </w:rPr>
              <w:t>α</w:t>
            </w:r>
            <w:r w:rsidRPr="006D631C">
              <w:rPr>
                <w:color w:val="000000"/>
                <w:sz w:val="12"/>
                <w:szCs w:val="12"/>
              </w:rPr>
              <w:t>)</w:t>
            </w:r>
          </w:p>
        </w:tc>
        <w:tc>
          <w:tcPr>
            <w:tcW w:w="1418" w:type="dxa"/>
            <w:tcBorders>
              <w:top w:val="nil"/>
              <w:left w:val="nil"/>
              <w:bottom w:val="single" w:sz="4" w:space="0" w:color="auto"/>
              <w:right w:val="nil"/>
            </w:tcBorders>
            <w:shd w:val="clear" w:color="000000" w:fill="FFFFFF"/>
            <w:vAlign w:val="center"/>
          </w:tcPr>
          <w:p w14:paraId="62F1CCEC" w14:textId="16F67ABF" w:rsidR="00FD75BF" w:rsidRPr="006D631C" w:rsidRDefault="00FD75BF" w:rsidP="00FD75BF">
            <w:pPr>
              <w:spacing w:line="240" w:lineRule="auto"/>
              <w:jc w:val="left"/>
              <w:rPr>
                <w:color w:val="000000"/>
                <w:sz w:val="12"/>
                <w:szCs w:val="12"/>
              </w:rPr>
            </w:pPr>
            <w:r w:rsidRPr="006D631C">
              <w:rPr>
                <w:sz w:val="12"/>
                <w:szCs w:val="12"/>
              </w:rPr>
              <w:t>Structure retention at high reaction rates</w:t>
            </w:r>
          </w:p>
        </w:tc>
        <w:tc>
          <w:tcPr>
            <w:tcW w:w="1134" w:type="dxa"/>
            <w:tcBorders>
              <w:top w:val="nil"/>
              <w:left w:val="nil"/>
              <w:bottom w:val="single" w:sz="4" w:space="0" w:color="auto"/>
              <w:right w:val="nil"/>
            </w:tcBorders>
            <w:shd w:val="clear" w:color="000000" w:fill="FFFFFF"/>
            <w:noWrap/>
            <w:vAlign w:val="center"/>
          </w:tcPr>
          <w:p w14:paraId="714F55F8" w14:textId="049CA6B5" w:rsidR="00FD75BF" w:rsidRPr="006D631C" w:rsidRDefault="00FD75BF" w:rsidP="00FD75BF">
            <w:pPr>
              <w:spacing w:line="240" w:lineRule="auto"/>
              <w:jc w:val="left"/>
              <w:rPr>
                <w:color w:val="000000"/>
                <w:sz w:val="12"/>
                <w:szCs w:val="12"/>
              </w:rPr>
            </w:pP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0BA1FBF0" w14:textId="08B429A0" w:rsidR="00FD75BF" w:rsidRPr="006D631C" w:rsidRDefault="00FD75BF" w:rsidP="00FD75BF">
            <w:pPr>
              <w:spacing w:line="240" w:lineRule="auto"/>
              <w:jc w:val="left"/>
              <w:rPr>
                <w:color w:val="000000"/>
                <w:sz w:val="12"/>
                <w:szCs w:val="12"/>
              </w:rPr>
            </w:pPr>
            <w:r w:rsidRPr="006D631C">
              <w:rPr>
                <w:sz w:val="12"/>
                <w:szCs w:val="12"/>
              </w:rPr>
              <w:t>-</w:t>
            </w:r>
          </w:p>
        </w:tc>
        <w:tc>
          <w:tcPr>
            <w:tcW w:w="5244" w:type="dxa"/>
            <w:tcBorders>
              <w:top w:val="nil"/>
              <w:left w:val="nil"/>
              <w:bottom w:val="single" w:sz="4" w:space="0" w:color="auto"/>
              <w:right w:val="nil"/>
            </w:tcBorders>
            <w:shd w:val="clear" w:color="000000" w:fill="FFFFFF"/>
            <w:noWrap/>
            <w:vAlign w:val="center"/>
          </w:tcPr>
          <w:p w14:paraId="782221A6" w14:textId="77777777" w:rsidR="00FD75BF" w:rsidRPr="006D631C" w:rsidRDefault="00FD75BF" w:rsidP="00FD75BF">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 xml:space="preserve">The LLC structure was altered with changing pH at a fixed </w:t>
            </w:r>
            <w:proofErr w:type="spellStart"/>
            <w:r w:rsidRPr="006D631C">
              <w:rPr>
                <w:rFonts w:eastAsia="Times New Roman" w:cs="Times New Roman"/>
                <w:sz w:val="12"/>
                <w:szCs w:val="12"/>
              </w:rPr>
              <w:t>amphiphile</w:t>
            </w:r>
            <w:proofErr w:type="spellEnd"/>
            <w:r w:rsidRPr="006D631C">
              <w:rPr>
                <w:rFonts w:eastAsia="Times New Roman" w:cs="Times New Roman"/>
                <w:sz w:val="12"/>
                <w:szCs w:val="12"/>
              </w:rPr>
              <w:t xml:space="preserve"> content</w:t>
            </w:r>
          </w:p>
          <w:p w14:paraId="604AEEF1" w14:textId="6BB3A244" w:rsidR="00FD75BF" w:rsidRPr="006D631C" w:rsidRDefault="00FD75BF" w:rsidP="00FD75BF">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color w:val="000000"/>
                <w:sz w:val="12"/>
                <w:szCs w:val="12"/>
              </w:rPr>
              <w:t>L</w:t>
            </w:r>
            <w:r w:rsidRPr="006D631C">
              <w:rPr>
                <w:rFonts w:eastAsia="Times New Roman" w:cs="Times New Roman"/>
                <w:color w:val="000000"/>
                <w:sz w:val="12"/>
                <w:szCs w:val="12"/>
                <w:vertAlign w:val="subscript"/>
              </w:rPr>
              <w:t>α</w:t>
            </w:r>
            <w:r w:rsidRPr="006D631C">
              <w:rPr>
                <w:rFonts w:eastAsia="Times New Roman" w:cs="Times New Roman"/>
                <w:sz w:val="12"/>
                <w:szCs w:val="12"/>
              </w:rPr>
              <w:t xml:space="preserve"> had the highest polymerization rate</w:t>
            </w:r>
          </w:p>
        </w:tc>
        <w:tc>
          <w:tcPr>
            <w:tcW w:w="426" w:type="dxa"/>
            <w:tcBorders>
              <w:top w:val="nil"/>
              <w:left w:val="nil"/>
              <w:bottom w:val="single" w:sz="4" w:space="0" w:color="auto"/>
              <w:right w:val="nil"/>
            </w:tcBorders>
            <w:shd w:val="clear" w:color="000000" w:fill="FFFFFF"/>
            <w:vAlign w:val="center"/>
          </w:tcPr>
          <w:p w14:paraId="35BD7BB4" w14:textId="3B9C7F9B" w:rsidR="00FD75BF" w:rsidRPr="006D631C" w:rsidRDefault="00FD75BF" w:rsidP="00FD75BF">
            <w:pPr>
              <w:spacing w:line="240" w:lineRule="auto"/>
              <w:jc w:val="left"/>
              <w:rPr>
                <w:color w:val="000000"/>
                <w:sz w:val="12"/>
                <w:szCs w:val="12"/>
              </w:rPr>
            </w:pPr>
            <w:r w:rsidRPr="006D631C">
              <w:rPr>
                <w:sz w:val="12"/>
                <w:szCs w:val="12"/>
              </w:rPr>
              <w:fldChar w:fldCharType="begin" w:fldLock="1"/>
            </w:r>
            <w:r w:rsidRPr="006D631C">
              <w:rPr>
                <w:sz w:val="12"/>
                <w:szCs w:val="12"/>
              </w:rPr>
              <w:instrText>ADDIN CSL_CITATION {"citationItems":[{"id":"ITEM-1","itemData":{"DOI":"10.1021/ma000197f","ISSN":"00249297","abstract":"Recently, amphiphilic monomers that are capable of forming lyotropic liquid crystalline phases have been utilized in a variety of applications including emulsion polymerization, development of nanocomposites, and the formation of polymeric surfactants. A new class of fluorinated amphiphilic monomers that exhibit lyotropic mesophases has shown great promise in ophthalmic applications. Initial studies indicate that the monomer possesses a lamellar morphology at certain concentrations that when polymerized would yield a material with anisotropic properties ideal for repairing retinal tears. Characterization of the polymerization kinetics of these fluorinated monomers provides a better understanding of conditions such that structure retention can be obtained. The fluorinated amphiphiles exhibit varying phase morphology ranging from an isotropic micellar phase to discontinuous cubic and lamellar liquid crystalline phases with increasing concentration and variation in the percent neutralization of the acid moiety. The lyotropic liquid crystalline order changes significantly with respect to percent neutralization. The polymerization kinetics follow a trend of decreasing order with increasing neutralization in that the fastest rates are seen in samples with higher degrees of order specifically in the lamellar liquid crystalline phase. The polymerization rate decreases to a minimum in samples of cubic morphology with low degrees of overall order. The higher polymerization rates in the lamellar phase are due to a decrease in the termination rate. Additionally, the polymerization behavior and morphology have a tremendous impact on the resulting polymer.","author":[{"dropping-particle":"","family":"Lester","given":"Christopher L.","non-dropping-particle":"","parse-names":false,"suffix":""},{"dropping-particle":"","family":"Guymon","given":"C. Allan","non-dropping-particle":"","parse-names":false,"suffix":""}],"container-title":"Macromolecules","id":"ITEM-1","issue":"15","issued":{"date-parts":[["2000"]]},"page":"5448-5454","title":"Phase behavior and polymerization kinetics of a semifluorinated lyotropic liquid crystal","type":"article-journal","volume":"33"},"uris":["http://www.mendeley.com/documents/?uuid=8b402e45-17aa-4961-b1fb-991d5ded8c0b"]}],"mendeley":{"formattedCitation":"&lt;sup&gt;122&lt;/sup&gt;","plainTextFormattedCitation":"122","previouslyFormattedCitation":"&lt;sup&gt;122&lt;/sup&gt;"},"properties":{"noteIndex":0},"schema":"https://github.com/citation-style-language/schema/raw/master/csl-citation.json"}</w:instrText>
            </w:r>
            <w:r w:rsidRPr="006D631C">
              <w:rPr>
                <w:sz w:val="12"/>
                <w:szCs w:val="12"/>
              </w:rPr>
              <w:fldChar w:fldCharType="separate"/>
            </w:r>
            <w:r w:rsidRPr="006D631C">
              <w:rPr>
                <w:noProof/>
                <w:sz w:val="12"/>
                <w:szCs w:val="12"/>
              </w:rPr>
              <w:t>122</w:t>
            </w:r>
            <w:r w:rsidRPr="006D631C">
              <w:rPr>
                <w:sz w:val="12"/>
                <w:szCs w:val="12"/>
              </w:rPr>
              <w:fldChar w:fldCharType="end"/>
            </w:r>
          </w:p>
        </w:tc>
      </w:tr>
      <w:tr w:rsidR="00FD75BF" w:rsidRPr="006D631C" w14:paraId="32A4DF6C"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6132F02D" w14:textId="3E893A67" w:rsidR="00FD75BF" w:rsidRPr="006D631C" w:rsidRDefault="00FD75BF" w:rsidP="00FD75BF">
            <w:pPr>
              <w:spacing w:line="240" w:lineRule="auto"/>
              <w:jc w:val="left"/>
              <w:rPr>
                <w:color w:val="000000"/>
                <w:sz w:val="12"/>
                <w:szCs w:val="12"/>
              </w:rPr>
            </w:pPr>
            <w:r w:rsidRPr="006D631C">
              <w:rPr>
                <w:sz w:val="12"/>
                <w:szCs w:val="12"/>
              </w:rPr>
              <w:t>P-A-53</w:t>
            </w:r>
          </w:p>
        </w:tc>
        <w:tc>
          <w:tcPr>
            <w:tcW w:w="709" w:type="dxa"/>
            <w:tcBorders>
              <w:top w:val="nil"/>
              <w:left w:val="nil"/>
              <w:bottom w:val="single" w:sz="4" w:space="0" w:color="auto"/>
              <w:right w:val="nil"/>
            </w:tcBorders>
            <w:shd w:val="clear" w:color="000000" w:fill="FFFFFF"/>
            <w:vAlign w:val="center"/>
          </w:tcPr>
          <w:p w14:paraId="7A34DA64" w14:textId="31924FA5" w:rsidR="00FD75BF" w:rsidRPr="006D631C" w:rsidRDefault="00FD75BF" w:rsidP="00FD75BF">
            <w:pPr>
              <w:spacing w:line="240" w:lineRule="auto"/>
              <w:jc w:val="left"/>
              <w:rPr>
                <w:color w:val="000000"/>
                <w:sz w:val="12"/>
                <w:szCs w:val="12"/>
              </w:rPr>
            </w:pPr>
            <w:r w:rsidRPr="006D631C">
              <w:rPr>
                <w:sz w:val="12"/>
                <w:szCs w:val="12"/>
              </w:rPr>
              <w:t>-</w:t>
            </w:r>
          </w:p>
        </w:tc>
        <w:tc>
          <w:tcPr>
            <w:tcW w:w="708" w:type="dxa"/>
            <w:tcBorders>
              <w:top w:val="nil"/>
              <w:left w:val="nil"/>
              <w:bottom w:val="single" w:sz="4" w:space="0" w:color="auto"/>
              <w:right w:val="nil"/>
            </w:tcBorders>
            <w:shd w:val="clear" w:color="000000" w:fill="FFFFFF"/>
            <w:vAlign w:val="center"/>
          </w:tcPr>
          <w:p w14:paraId="58AB2BAF" w14:textId="550638B1" w:rsidR="00FD75BF" w:rsidRPr="006D631C" w:rsidRDefault="00FD75BF" w:rsidP="00FD75BF">
            <w:pPr>
              <w:spacing w:line="240" w:lineRule="auto"/>
              <w:jc w:val="left"/>
              <w:rPr>
                <w:color w:val="000000"/>
                <w:sz w:val="12"/>
                <w:szCs w:val="12"/>
              </w:rPr>
            </w:pPr>
            <w:r w:rsidRPr="006D631C">
              <w:rPr>
                <w:sz w:val="12"/>
                <w:szCs w:val="12"/>
              </w:rPr>
              <w:t>I-1</w:t>
            </w:r>
          </w:p>
        </w:tc>
        <w:tc>
          <w:tcPr>
            <w:tcW w:w="1276" w:type="dxa"/>
            <w:tcBorders>
              <w:top w:val="nil"/>
              <w:left w:val="nil"/>
              <w:bottom w:val="single" w:sz="4" w:space="0" w:color="auto"/>
              <w:right w:val="nil"/>
            </w:tcBorders>
            <w:shd w:val="clear" w:color="000000" w:fill="FFFFFF"/>
            <w:noWrap/>
            <w:vAlign w:val="center"/>
          </w:tcPr>
          <w:p w14:paraId="39B7AE11" w14:textId="486523B0" w:rsidR="00FD75BF" w:rsidRPr="006D631C" w:rsidRDefault="00FD75BF" w:rsidP="00FD75BF">
            <w:pPr>
              <w:spacing w:line="240" w:lineRule="auto"/>
              <w:ind w:left="37"/>
              <w:jc w:val="left"/>
              <w:rPr>
                <w:color w:val="000000"/>
                <w:sz w:val="12"/>
                <w:szCs w:val="12"/>
              </w:rPr>
            </w:pPr>
            <w:r w:rsidRPr="006D631C">
              <w:rPr>
                <w:sz w:val="12"/>
                <w:szCs w:val="12"/>
              </w:rPr>
              <w:t>93 (H</w:t>
            </w:r>
            <w:r w:rsidRPr="006D631C">
              <w:rPr>
                <w:sz w:val="12"/>
                <w:szCs w:val="12"/>
                <w:vertAlign w:val="subscript"/>
              </w:rPr>
              <w:t>2</w:t>
            </w:r>
            <w:r w:rsidRPr="006D631C">
              <w:rPr>
                <w:sz w:val="12"/>
                <w:szCs w:val="12"/>
              </w:rPr>
              <w:t>)</w:t>
            </w:r>
          </w:p>
        </w:tc>
        <w:tc>
          <w:tcPr>
            <w:tcW w:w="1418" w:type="dxa"/>
            <w:tcBorders>
              <w:top w:val="nil"/>
              <w:left w:val="nil"/>
              <w:bottom w:val="single" w:sz="4" w:space="0" w:color="auto"/>
              <w:right w:val="nil"/>
            </w:tcBorders>
            <w:shd w:val="clear" w:color="000000" w:fill="FFFFFF"/>
            <w:vAlign w:val="center"/>
          </w:tcPr>
          <w:p w14:paraId="569DA5AE" w14:textId="02AD97A0" w:rsidR="00FD75BF" w:rsidRPr="006D631C" w:rsidRDefault="00FD75BF" w:rsidP="00FD75BF">
            <w:pPr>
              <w:spacing w:line="240" w:lineRule="auto"/>
              <w:jc w:val="left"/>
              <w:rPr>
                <w:color w:val="000000"/>
                <w:sz w:val="12"/>
                <w:szCs w:val="12"/>
              </w:rPr>
            </w:pPr>
            <w:r w:rsidRPr="006D631C">
              <w:rPr>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78E9E670" w14:textId="589E86F3" w:rsidR="00FD75BF" w:rsidRPr="006D631C" w:rsidRDefault="00FD75BF" w:rsidP="00FD75BF">
            <w:pPr>
              <w:spacing w:line="240" w:lineRule="auto"/>
              <w:jc w:val="left"/>
              <w:rPr>
                <w:color w:val="000000"/>
                <w:sz w:val="12"/>
                <w:szCs w:val="12"/>
              </w:rPr>
            </w:pPr>
            <w:r w:rsidRPr="006D631C">
              <w:rPr>
                <w:sz w:val="12"/>
                <w:szCs w:val="12"/>
              </w:rPr>
              <w:t>4.81</w:t>
            </w:r>
          </w:p>
        </w:tc>
        <w:tc>
          <w:tcPr>
            <w:tcW w:w="1134" w:type="dxa"/>
            <w:tcBorders>
              <w:top w:val="nil"/>
              <w:left w:val="nil"/>
              <w:bottom w:val="single" w:sz="4" w:space="0" w:color="auto"/>
              <w:right w:val="nil"/>
            </w:tcBorders>
            <w:shd w:val="clear" w:color="000000" w:fill="FFFFFF"/>
            <w:noWrap/>
            <w:vAlign w:val="center"/>
          </w:tcPr>
          <w:p w14:paraId="403A5BE9" w14:textId="54AC1077" w:rsidR="00FD75BF" w:rsidRPr="006D631C" w:rsidRDefault="00FD75BF" w:rsidP="00FD75BF">
            <w:pPr>
              <w:spacing w:line="240" w:lineRule="auto"/>
              <w:jc w:val="left"/>
              <w:rPr>
                <w:color w:val="000000"/>
                <w:sz w:val="12"/>
                <w:szCs w:val="12"/>
              </w:rPr>
            </w:pPr>
            <w:r w:rsidRPr="006D631C">
              <w:rPr>
                <w:sz w:val="12"/>
                <w:szCs w:val="12"/>
              </w:rPr>
              <w:t>4.56</w:t>
            </w:r>
          </w:p>
        </w:tc>
        <w:tc>
          <w:tcPr>
            <w:tcW w:w="5244" w:type="dxa"/>
            <w:tcBorders>
              <w:top w:val="nil"/>
              <w:left w:val="nil"/>
              <w:bottom w:val="single" w:sz="4" w:space="0" w:color="auto"/>
              <w:right w:val="nil"/>
            </w:tcBorders>
            <w:shd w:val="clear" w:color="000000" w:fill="FFFFFF"/>
            <w:noWrap/>
            <w:vAlign w:val="center"/>
          </w:tcPr>
          <w:p w14:paraId="19E4D1FD" w14:textId="18BFB942" w:rsidR="00FD75BF" w:rsidRPr="006D631C" w:rsidRDefault="00FD75BF" w:rsidP="00FD75BF">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Similar activity and 10 times higher selectivity compared to industrially available catalysts for esterification reaction</w:t>
            </w:r>
          </w:p>
        </w:tc>
        <w:tc>
          <w:tcPr>
            <w:tcW w:w="426" w:type="dxa"/>
            <w:tcBorders>
              <w:top w:val="nil"/>
              <w:left w:val="nil"/>
              <w:bottom w:val="single" w:sz="4" w:space="0" w:color="auto"/>
              <w:right w:val="nil"/>
            </w:tcBorders>
            <w:shd w:val="clear" w:color="000000" w:fill="FFFFFF"/>
            <w:vAlign w:val="center"/>
          </w:tcPr>
          <w:p w14:paraId="7A58904D" w14:textId="3CE06A66" w:rsidR="00FD75BF" w:rsidRPr="006D631C" w:rsidRDefault="00FD75BF" w:rsidP="000B67AC">
            <w:pPr>
              <w:spacing w:line="240" w:lineRule="auto"/>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{"citationItems":[{"id":"ITEM-1","itemData":{"DOI":"10.1021/la0341759","ISSN":"07437463","abstract":"Several taper-shaped, Brønsted acidic amphiphiles containing an amide linkage near the headgroup were synthesized with the goal of generating acidic, inverted hexagonal (HII) lyotropic liquid crystal (LLC) phases that can be stabilized by polymerization. These polymerizable acidic amphiphiles were synthesized by reacting the acyl chloride of 3,4,5-tris(11′-acryloxyundecyloxy)benzoic acid with several amino acids (L-alanine, β-alanine, L-phenylalanine) and 2-aminoethanesulfonic acid. Of these derivatives, only the L-alanine derivative (1) was found to form the HII phase, using N,N-dimethylformamide as the hydrophilic solvent. To our knowledge, this is one of the rare examples (if not the only example) of a Brønsted acidic amphiphile capable of forming a high-curvature LLC phase. Monomer 1 was also found to be able to direct the formation of the other amide-containing acidic derivatives into the HII phase when blended together. IR analysis revealed that intermolecular amide H-bonding near the headgroup plays a major role in the LLC assembly and structure-directing behavior of these systems.","author":[{"dropping-particle":"","family":"Zhou","given":"Wenjing","non-dropping-particle":"","parse-names":false,"suffix":""},{"dropping-particle":"","family":"Gu","given":"Weiqiang","non-dropping-particle":"","parse-names":false,"suffix":""},{"dropping-particle":"","family":"Xu","given":"Yanjie","non-dropping-particle":"","parse-names":false,"suffix":""},{"dropping-particle":"","family":"Pecinovsky","given":"Cory S.","non-dropping-particle":"","parse-names":false,"suffix":""},{"dropping-particle":"","family":"Gin","given":"Douglas L.","non-dropping-particle":"","parse-names":false,"suffix":""}],"container-title":"Langmuir","id":"ITEM-1","issue":"16","issued":{"date-parts":[["2003"]]},"page":"6346-6348","title":"Assembly of acidic amphiphiles into inverted hexagonal phases using an l-alanine-based surfactant as a structure-directing agent","type":"article-journal","volume":"19"},"uris":["http://www.mendeley.com/documents/?uuid=3dd52b3f-b304-4158-84f6-19b5920dbec5"]}],"mendeley":{"formattedCitation":"&lt;sup&gt;134&lt;/sup&gt;","plainTextFormattedCitation":"134","previouslyFormattedCitation":"&lt;sup&gt;134&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134</w:t>
            </w:r>
            <w:r w:rsidRPr="006D631C">
              <w:rPr>
                <w:sz w:val="12"/>
                <w:szCs w:val="12"/>
              </w:rPr>
              <w:fldChar w:fldCharType="end"/>
            </w:r>
          </w:p>
        </w:tc>
      </w:tr>
      <w:tr w:rsidR="00FD75BF" w:rsidRPr="006D631C" w14:paraId="2EF7A133"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7A1BF90A" w14:textId="6AB9D0A4" w:rsidR="00FD75BF" w:rsidRPr="006D631C" w:rsidRDefault="00FD75BF" w:rsidP="00FD75BF">
            <w:pPr>
              <w:spacing w:line="240" w:lineRule="auto"/>
              <w:jc w:val="left"/>
              <w:rPr>
                <w:color w:val="000000"/>
                <w:sz w:val="12"/>
                <w:szCs w:val="12"/>
              </w:rPr>
            </w:pPr>
            <w:r w:rsidRPr="006D631C">
              <w:rPr>
                <w:sz w:val="12"/>
                <w:szCs w:val="12"/>
              </w:rPr>
              <w:t>P-A-54</w:t>
            </w:r>
          </w:p>
        </w:tc>
        <w:tc>
          <w:tcPr>
            <w:tcW w:w="12049" w:type="dxa"/>
            <w:gridSpan w:val="8"/>
            <w:tcBorders>
              <w:top w:val="single" w:sz="4" w:space="0" w:color="auto"/>
              <w:left w:val="nil"/>
              <w:bottom w:val="single" w:sz="4" w:space="0" w:color="auto"/>
            </w:tcBorders>
            <w:shd w:val="clear" w:color="000000" w:fill="FFFFFF"/>
            <w:vAlign w:val="center"/>
          </w:tcPr>
          <w:p w14:paraId="374D63BA" w14:textId="5ADD1E66" w:rsidR="00FD75BF" w:rsidRPr="006D631C" w:rsidRDefault="00FD75BF" w:rsidP="00FD75BF">
            <w:pPr>
              <w:spacing w:line="240" w:lineRule="auto"/>
              <w:jc w:val="left"/>
              <w:rPr>
                <w:color w:val="000000"/>
                <w:sz w:val="12"/>
                <w:szCs w:val="12"/>
              </w:rPr>
            </w:pPr>
            <w:r w:rsidRPr="006D631C">
              <w:rPr>
                <w:sz w:val="12"/>
                <w:szCs w:val="12"/>
              </w:rPr>
              <w:t>This reactive surfactant was discussed in P-A-32/P-A-33 and P-A-53 sections</w:t>
            </w:r>
          </w:p>
        </w:tc>
      </w:tr>
      <w:tr w:rsidR="00D7210C" w:rsidRPr="006D631C" w14:paraId="4FBB2910"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090BC379" w14:textId="3165F763" w:rsidR="00D7210C" w:rsidRPr="006D631C" w:rsidRDefault="00D7210C" w:rsidP="00D7210C">
            <w:pPr>
              <w:spacing w:line="240" w:lineRule="auto"/>
              <w:jc w:val="left"/>
              <w:rPr>
                <w:color w:val="000000"/>
                <w:sz w:val="12"/>
                <w:szCs w:val="12"/>
              </w:rPr>
            </w:pPr>
            <w:r w:rsidRPr="006D631C">
              <w:rPr>
                <w:sz w:val="12"/>
                <w:szCs w:val="12"/>
              </w:rPr>
              <w:t>P-A-55</w:t>
            </w:r>
          </w:p>
        </w:tc>
        <w:tc>
          <w:tcPr>
            <w:tcW w:w="709" w:type="dxa"/>
            <w:tcBorders>
              <w:top w:val="nil"/>
              <w:left w:val="nil"/>
              <w:bottom w:val="single" w:sz="4" w:space="0" w:color="auto"/>
              <w:right w:val="nil"/>
            </w:tcBorders>
            <w:shd w:val="clear" w:color="000000" w:fill="FFFFFF"/>
            <w:vAlign w:val="center"/>
          </w:tcPr>
          <w:p w14:paraId="2356C037" w14:textId="2FD0669C" w:rsidR="00D7210C" w:rsidRPr="006D631C" w:rsidRDefault="00D7210C" w:rsidP="00D7210C">
            <w:pPr>
              <w:spacing w:line="240" w:lineRule="auto"/>
              <w:jc w:val="left"/>
              <w:rPr>
                <w:color w:val="000000"/>
                <w:sz w:val="12"/>
                <w:szCs w:val="12"/>
              </w:rPr>
            </w:pPr>
            <w:r w:rsidRPr="006D631C">
              <w:rPr>
                <w:sz w:val="12"/>
                <w:szCs w:val="12"/>
              </w:rPr>
              <w:t>-</w:t>
            </w:r>
          </w:p>
        </w:tc>
        <w:tc>
          <w:tcPr>
            <w:tcW w:w="708" w:type="dxa"/>
            <w:tcBorders>
              <w:top w:val="nil"/>
              <w:left w:val="nil"/>
              <w:bottom w:val="single" w:sz="4" w:space="0" w:color="auto"/>
              <w:right w:val="nil"/>
            </w:tcBorders>
            <w:shd w:val="clear" w:color="000000" w:fill="FFFFFF"/>
            <w:vAlign w:val="center"/>
          </w:tcPr>
          <w:p w14:paraId="5218CDDA" w14:textId="68FD39BF" w:rsidR="00D7210C" w:rsidRPr="006D631C" w:rsidRDefault="00D7210C" w:rsidP="00D7210C">
            <w:pPr>
              <w:spacing w:line="240" w:lineRule="auto"/>
              <w:jc w:val="left"/>
              <w:rPr>
                <w:color w:val="000000"/>
                <w:sz w:val="12"/>
                <w:szCs w:val="12"/>
              </w:rPr>
            </w:pPr>
            <w:r w:rsidRPr="006D631C">
              <w:rPr>
                <w:sz w:val="12"/>
                <w:szCs w:val="12"/>
              </w:rPr>
              <w:t>I-1</w:t>
            </w:r>
          </w:p>
        </w:tc>
        <w:tc>
          <w:tcPr>
            <w:tcW w:w="1276" w:type="dxa"/>
            <w:tcBorders>
              <w:top w:val="nil"/>
              <w:left w:val="nil"/>
              <w:bottom w:val="single" w:sz="4" w:space="0" w:color="auto"/>
              <w:right w:val="nil"/>
            </w:tcBorders>
            <w:shd w:val="clear" w:color="000000" w:fill="FFFFFF"/>
            <w:noWrap/>
            <w:vAlign w:val="center"/>
          </w:tcPr>
          <w:p w14:paraId="1C9E162A" w14:textId="67326A38" w:rsidR="00D7210C" w:rsidRPr="006D631C" w:rsidRDefault="00D7210C" w:rsidP="00D7210C">
            <w:pPr>
              <w:spacing w:line="240" w:lineRule="auto"/>
              <w:ind w:left="37"/>
              <w:jc w:val="left"/>
              <w:rPr>
                <w:color w:val="000000"/>
                <w:sz w:val="12"/>
                <w:szCs w:val="12"/>
              </w:rPr>
            </w:pPr>
            <w:r w:rsidRPr="006D631C">
              <w:rPr>
                <w:sz w:val="12"/>
                <w:szCs w:val="12"/>
              </w:rPr>
              <w:t>90 (H</w:t>
            </w:r>
            <w:r w:rsidRPr="006D631C">
              <w:rPr>
                <w:sz w:val="12"/>
                <w:szCs w:val="12"/>
                <w:vertAlign w:val="subscript"/>
              </w:rPr>
              <w:t>2</w:t>
            </w:r>
            <w:r w:rsidRPr="006D631C">
              <w:rPr>
                <w:sz w:val="12"/>
                <w:szCs w:val="12"/>
              </w:rPr>
              <w:t>)</w:t>
            </w:r>
          </w:p>
        </w:tc>
        <w:tc>
          <w:tcPr>
            <w:tcW w:w="1418" w:type="dxa"/>
            <w:tcBorders>
              <w:top w:val="nil"/>
              <w:left w:val="nil"/>
              <w:bottom w:val="single" w:sz="4" w:space="0" w:color="auto"/>
              <w:right w:val="nil"/>
            </w:tcBorders>
            <w:shd w:val="clear" w:color="000000" w:fill="FFFFFF"/>
            <w:vAlign w:val="center"/>
          </w:tcPr>
          <w:p w14:paraId="77C5074C" w14:textId="0073D4AA" w:rsidR="00D7210C" w:rsidRPr="006D631C" w:rsidRDefault="00D7210C" w:rsidP="00D7210C">
            <w:pPr>
              <w:spacing w:line="240" w:lineRule="auto"/>
              <w:jc w:val="left"/>
              <w:rPr>
                <w:color w:val="000000"/>
                <w:sz w:val="12"/>
                <w:szCs w:val="12"/>
              </w:rPr>
            </w:pPr>
            <w:r w:rsidRPr="006D631C">
              <w:rPr>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5CB5D7BB" w14:textId="76B21BCD" w:rsidR="00D7210C" w:rsidRPr="006D631C" w:rsidRDefault="00D7210C" w:rsidP="00D7210C">
            <w:pPr>
              <w:spacing w:line="240" w:lineRule="auto"/>
              <w:jc w:val="left"/>
              <w:rPr>
                <w:color w:val="000000"/>
                <w:sz w:val="12"/>
                <w:szCs w:val="12"/>
              </w:rPr>
            </w:pPr>
            <w:r w:rsidRPr="006D631C">
              <w:rPr>
                <w:sz w:val="12"/>
                <w:szCs w:val="12"/>
              </w:rPr>
              <w:t>4.7 - 5.7</w:t>
            </w:r>
          </w:p>
        </w:tc>
        <w:tc>
          <w:tcPr>
            <w:tcW w:w="1134" w:type="dxa"/>
            <w:tcBorders>
              <w:top w:val="nil"/>
              <w:left w:val="nil"/>
              <w:bottom w:val="single" w:sz="4" w:space="0" w:color="auto"/>
              <w:right w:val="nil"/>
            </w:tcBorders>
            <w:shd w:val="clear" w:color="000000" w:fill="FFFFFF"/>
            <w:noWrap/>
            <w:vAlign w:val="center"/>
          </w:tcPr>
          <w:p w14:paraId="47221B24" w14:textId="29E18175" w:rsidR="00D7210C" w:rsidRPr="006D631C" w:rsidRDefault="00D7210C" w:rsidP="00D7210C">
            <w:pPr>
              <w:spacing w:line="240" w:lineRule="auto"/>
              <w:jc w:val="left"/>
              <w:rPr>
                <w:color w:val="000000"/>
                <w:sz w:val="12"/>
                <w:szCs w:val="12"/>
              </w:rPr>
            </w:pPr>
            <w:r w:rsidRPr="006D631C">
              <w:rPr>
                <w:sz w:val="12"/>
                <w:szCs w:val="12"/>
              </w:rPr>
              <w:t>4.83 - 5.67</w:t>
            </w:r>
          </w:p>
        </w:tc>
        <w:tc>
          <w:tcPr>
            <w:tcW w:w="5244" w:type="dxa"/>
            <w:tcBorders>
              <w:top w:val="nil"/>
              <w:left w:val="nil"/>
              <w:bottom w:val="single" w:sz="4" w:space="0" w:color="auto"/>
              <w:right w:val="nil"/>
            </w:tcBorders>
            <w:shd w:val="clear" w:color="000000" w:fill="FFFFFF"/>
            <w:noWrap/>
            <w:vAlign w:val="center"/>
          </w:tcPr>
          <w:p w14:paraId="7A4A3D08" w14:textId="77777777"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LLC structure depends on the nature of the acid used for LLC formation</w:t>
            </w:r>
          </w:p>
          <w:p w14:paraId="027817BD" w14:textId="76CCF7F7"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 xml:space="preserve">No enhancement of </w:t>
            </w:r>
            <w:proofErr w:type="spellStart"/>
            <w:r w:rsidRPr="006D631C">
              <w:rPr>
                <w:rFonts w:eastAsia="Times New Roman" w:cs="Times New Roman"/>
                <w:sz w:val="12"/>
                <w:szCs w:val="12"/>
              </w:rPr>
              <w:t>enantio</w:t>
            </w:r>
            <w:proofErr w:type="spellEnd"/>
            <w:r w:rsidRPr="006D631C">
              <w:rPr>
                <w:rFonts w:eastAsia="Times New Roman" w:cs="Times New Roman"/>
                <w:sz w:val="12"/>
                <w:szCs w:val="12"/>
              </w:rPr>
              <w:t xml:space="preserve">- or </w:t>
            </w:r>
            <w:proofErr w:type="spellStart"/>
            <w:r w:rsidRPr="006D631C">
              <w:rPr>
                <w:rFonts w:eastAsia="Times New Roman" w:cs="Times New Roman"/>
                <w:sz w:val="12"/>
                <w:szCs w:val="12"/>
              </w:rPr>
              <w:t>diastereo</w:t>
            </w:r>
            <w:proofErr w:type="spellEnd"/>
            <w:r w:rsidRPr="006D631C">
              <w:rPr>
                <w:rFonts w:eastAsia="Times New Roman" w:cs="Times New Roman"/>
                <w:sz w:val="12"/>
                <w:szCs w:val="12"/>
              </w:rPr>
              <w:t>-selectivity by polyLLC</w:t>
            </w:r>
          </w:p>
        </w:tc>
        <w:tc>
          <w:tcPr>
            <w:tcW w:w="426" w:type="dxa"/>
            <w:tcBorders>
              <w:top w:val="nil"/>
              <w:left w:val="nil"/>
              <w:bottom w:val="single" w:sz="4" w:space="0" w:color="auto"/>
              <w:right w:val="nil"/>
            </w:tcBorders>
            <w:shd w:val="clear" w:color="000000" w:fill="FFFFFF"/>
            <w:vAlign w:val="center"/>
          </w:tcPr>
          <w:p w14:paraId="5433511A" w14:textId="086277DD" w:rsidR="00D7210C" w:rsidRPr="006D631C" w:rsidRDefault="00D7210C" w:rsidP="000B67AC">
            <w:pPr>
              <w:spacing w:line="240" w:lineRule="auto"/>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{"citationItems":[{"id":"ITEM-1","itemData":{"DOI":"10.1021/cm0514995","ISSN":"08974756","author":[{"dropping-particle":"","family":"Pecinovsky","given":"Cory S.","non-dropping-particle":"","parse-names":false,"suffix":""},{"dropping-particle":"","family":"Nicodemus","given":"Garret D.","non-dropping-particle":"","parse-names":false,"suffix":""},{"dropping-particle":"","family":"Gin","given":"Douglas L.","non-dropping-particle":"","parse-names":false,"suffix":""}],"container-title":"Chemistry of Materials","id":"ITEM-1","issue":"20","issued":{"date-parts":[["2005"]]},"page":"4889-4891","title":"Nanostructured, solid-state organic, chiral diels - Alder catalysts via acid-induced liquid crystal assembly","type":"article-journal","volume":"17"},"uris":["http://www.mendeley.com/documents/?uuid=bcb8ad43-5bd4-4972-b4c9-f0d037bfa14c"]}],"mendeley":{"formattedCitation":"&lt;sup&gt;135&lt;/sup&gt;","plainTextFormattedCitation":"135","previouslyFormattedCitation":"&lt;sup&gt;135&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135</w:t>
            </w:r>
            <w:r w:rsidRPr="006D631C">
              <w:rPr>
                <w:sz w:val="12"/>
                <w:szCs w:val="12"/>
              </w:rPr>
              <w:fldChar w:fldCharType="end"/>
            </w:r>
          </w:p>
        </w:tc>
      </w:tr>
      <w:tr w:rsidR="00D7210C" w:rsidRPr="006D631C" w14:paraId="20C2E256"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5A233AC1" w14:textId="559D54BD" w:rsidR="00D7210C" w:rsidRPr="006D631C" w:rsidRDefault="00D7210C" w:rsidP="00D7210C">
            <w:pPr>
              <w:spacing w:line="240" w:lineRule="auto"/>
              <w:jc w:val="left"/>
              <w:rPr>
                <w:color w:val="000000"/>
                <w:sz w:val="12"/>
                <w:szCs w:val="12"/>
              </w:rPr>
            </w:pPr>
            <w:r w:rsidRPr="006D631C">
              <w:rPr>
                <w:sz w:val="12"/>
                <w:szCs w:val="12"/>
              </w:rPr>
              <w:t>P-A-56</w:t>
            </w:r>
          </w:p>
        </w:tc>
        <w:tc>
          <w:tcPr>
            <w:tcW w:w="709" w:type="dxa"/>
            <w:tcBorders>
              <w:top w:val="nil"/>
              <w:left w:val="nil"/>
              <w:bottom w:val="single" w:sz="4" w:space="0" w:color="auto"/>
              <w:right w:val="nil"/>
            </w:tcBorders>
            <w:shd w:val="clear" w:color="000000" w:fill="FFFFFF"/>
            <w:vAlign w:val="center"/>
          </w:tcPr>
          <w:p w14:paraId="1491E631" w14:textId="0FC8B646" w:rsidR="00D7210C" w:rsidRPr="006D631C" w:rsidRDefault="00D7210C" w:rsidP="00D7210C">
            <w:pPr>
              <w:spacing w:line="240" w:lineRule="auto"/>
              <w:jc w:val="left"/>
              <w:rPr>
                <w:color w:val="000000"/>
                <w:sz w:val="12"/>
                <w:szCs w:val="12"/>
              </w:rPr>
            </w:pPr>
            <w:r w:rsidRPr="006D631C">
              <w:rPr>
                <w:sz w:val="12"/>
                <w:szCs w:val="12"/>
              </w:rPr>
              <w:t>-</w:t>
            </w:r>
          </w:p>
        </w:tc>
        <w:tc>
          <w:tcPr>
            <w:tcW w:w="708" w:type="dxa"/>
            <w:tcBorders>
              <w:top w:val="nil"/>
              <w:left w:val="nil"/>
              <w:bottom w:val="single" w:sz="4" w:space="0" w:color="auto"/>
              <w:right w:val="nil"/>
            </w:tcBorders>
            <w:shd w:val="clear" w:color="000000" w:fill="FFFFFF"/>
            <w:vAlign w:val="center"/>
          </w:tcPr>
          <w:p w14:paraId="3C38A4BE" w14:textId="22054637" w:rsidR="00D7210C" w:rsidRPr="006D631C" w:rsidRDefault="00D7210C" w:rsidP="00D7210C">
            <w:pPr>
              <w:spacing w:line="240" w:lineRule="auto"/>
              <w:jc w:val="left"/>
              <w:rPr>
                <w:color w:val="000000"/>
                <w:sz w:val="12"/>
                <w:szCs w:val="12"/>
              </w:rPr>
            </w:pPr>
            <w:r w:rsidRPr="006D631C">
              <w:rPr>
                <w:sz w:val="12"/>
                <w:szCs w:val="12"/>
              </w:rPr>
              <w:t>γ-ray radiation</w:t>
            </w:r>
          </w:p>
        </w:tc>
        <w:tc>
          <w:tcPr>
            <w:tcW w:w="1276" w:type="dxa"/>
            <w:tcBorders>
              <w:top w:val="nil"/>
              <w:left w:val="nil"/>
              <w:bottom w:val="single" w:sz="4" w:space="0" w:color="auto"/>
              <w:right w:val="nil"/>
            </w:tcBorders>
            <w:shd w:val="clear" w:color="000000" w:fill="FFFFFF"/>
            <w:noWrap/>
            <w:vAlign w:val="center"/>
          </w:tcPr>
          <w:p w14:paraId="6414D6AD" w14:textId="6E7625AD" w:rsidR="00D7210C" w:rsidRPr="006D631C" w:rsidRDefault="00D7210C" w:rsidP="00D7210C">
            <w:pPr>
              <w:spacing w:line="240" w:lineRule="auto"/>
              <w:ind w:left="37"/>
              <w:jc w:val="left"/>
              <w:rPr>
                <w:color w:val="000000"/>
                <w:sz w:val="12"/>
                <w:szCs w:val="12"/>
              </w:rPr>
            </w:pPr>
            <w:r w:rsidRPr="006D631C">
              <w:rPr>
                <w:sz w:val="12"/>
                <w:szCs w:val="12"/>
              </w:rPr>
              <w:t>a: 25 - 75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&gt; 66 (</w:t>
            </w:r>
            <w:r w:rsidRPr="006D631C">
              <w:rPr>
                <w:color w:val="000000"/>
                <w:sz w:val="12"/>
                <w:szCs w:val="12"/>
              </w:rPr>
              <w:t>L</w:t>
            </w:r>
            <w:r w:rsidRPr="006D631C">
              <w:rPr>
                <w:color w:val="000000"/>
                <w:sz w:val="12"/>
                <w:szCs w:val="12"/>
                <w:vertAlign w:val="subscript"/>
              </w:rPr>
              <w:t>α</w:t>
            </w:r>
            <w:r w:rsidRPr="006D631C">
              <w:rPr>
                <w:sz w:val="12"/>
                <w:szCs w:val="12"/>
              </w:rPr>
              <w:t>)</w:t>
            </w:r>
            <w:r w:rsidRPr="006D631C">
              <w:rPr>
                <w:sz w:val="12"/>
                <w:szCs w:val="12"/>
              </w:rPr>
              <w:br/>
              <w:t>b: 45 - 75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&gt; 85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1418" w:type="dxa"/>
            <w:tcBorders>
              <w:top w:val="nil"/>
              <w:left w:val="nil"/>
              <w:bottom w:val="single" w:sz="4" w:space="0" w:color="auto"/>
              <w:right w:val="nil"/>
            </w:tcBorders>
            <w:shd w:val="clear" w:color="000000" w:fill="FFFFFF"/>
            <w:vAlign w:val="center"/>
          </w:tcPr>
          <w:p w14:paraId="0E7C99E5" w14:textId="4B303FCB" w:rsidR="00D7210C" w:rsidRPr="006D631C" w:rsidRDefault="00D7210C" w:rsidP="00D7210C">
            <w:pPr>
              <w:spacing w:line="240" w:lineRule="auto"/>
              <w:jc w:val="left"/>
              <w:rPr>
                <w:color w:val="000000"/>
                <w:sz w:val="12"/>
                <w:szCs w:val="12"/>
              </w:rPr>
            </w:pPr>
            <w:r w:rsidRPr="006D631C">
              <w:rPr>
                <w:sz w:val="12"/>
                <w:szCs w:val="12"/>
              </w:rPr>
              <w:t>Retention of the structures</w:t>
            </w:r>
          </w:p>
        </w:tc>
        <w:tc>
          <w:tcPr>
            <w:tcW w:w="1134" w:type="dxa"/>
            <w:tcBorders>
              <w:top w:val="nil"/>
              <w:left w:val="nil"/>
              <w:bottom w:val="single" w:sz="4" w:space="0" w:color="auto"/>
              <w:right w:val="nil"/>
            </w:tcBorders>
            <w:shd w:val="clear" w:color="000000" w:fill="FFFFFF"/>
            <w:noWrap/>
            <w:vAlign w:val="center"/>
          </w:tcPr>
          <w:p w14:paraId="5D28A102" w14:textId="150C23DE" w:rsidR="00D7210C" w:rsidRPr="006D631C" w:rsidRDefault="00D7210C" w:rsidP="00D7210C">
            <w:pPr>
              <w:spacing w:line="240" w:lineRule="auto"/>
              <w:jc w:val="left"/>
              <w:rPr>
                <w:color w:val="000000"/>
                <w:sz w:val="12"/>
                <w:szCs w:val="12"/>
              </w:rPr>
            </w:pPr>
            <w:r w:rsidRPr="006D631C">
              <w:rPr>
                <w:sz w:val="12"/>
                <w:szCs w:val="12"/>
              </w:rPr>
              <w:t>5.1 (</w:t>
            </w:r>
            <w:r w:rsidRPr="006D631C">
              <w:rPr>
                <w:color w:val="000000"/>
                <w:sz w:val="12"/>
                <w:szCs w:val="12"/>
              </w:rPr>
              <w:t>H</w:t>
            </w:r>
            <w:r w:rsidRPr="006D631C">
              <w:rPr>
                <w:color w:val="000000"/>
                <w:sz w:val="12"/>
                <w:szCs w:val="12"/>
                <w:vertAlign w:val="subscript"/>
              </w:rPr>
              <w:t>1</w:t>
            </w: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7AB5BA1E" w14:textId="0DC8BC51" w:rsidR="00D7210C" w:rsidRPr="006D631C" w:rsidRDefault="00D7210C" w:rsidP="00D7210C">
            <w:pPr>
              <w:spacing w:line="240" w:lineRule="auto"/>
              <w:jc w:val="left"/>
              <w:rPr>
                <w:color w:val="000000"/>
                <w:sz w:val="12"/>
                <w:szCs w:val="12"/>
              </w:rPr>
            </w:pPr>
            <w:r w:rsidRPr="006D631C">
              <w:rPr>
                <w:sz w:val="12"/>
                <w:szCs w:val="12"/>
              </w:rPr>
              <w:t>4.83</w:t>
            </w:r>
          </w:p>
        </w:tc>
        <w:tc>
          <w:tcPr>
            <w:tcW w:w="5244" w:type="dxa"/>
            <w:tcBorders>
              <w:top w:val="nil"/>
              <w:left w:val="nil"/>
              <w:bottom w:val="single" w:sz="4" w:space="0" w:color="auto"/>
              <w:right w:val="nil"/>
            </w:tcBorders>
            <w:shd w:val="clear" w:color="000000" w:fill="FFFFFF"/>
            <w:noWrap/>
            <w:vAlign w:val="center"/>
          </w:tcPr>
          <w:p w14:paraId="28B1FC6C" w14:textId="22082E32"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 xml:space="preserve">The gel morphology was stable against temperature changes, extraction, drying, and </w:t>
            </w:r>
            <w:proofErr w:type="spellStart"/>
            <w:r w:rsidRPr="006D631C">
              <w:rPr>
                <w:rFonts w:eastAsia="Times New Roman" w:cs="Times New Roman"/>
                <w:sz w:val="12"/>
                <w:szCs w:val="12"/>
              </w:rPr>
              <w:t>reswelling</w:t>
            </w:r>
            <w:proofErr w:type="spellEnd"/>
            <w:r w:rsidRPr="006D631C">
              <w:rPr>
                <w:rFonts w:eastAsia="Times New Roman" w:cs="Times New Roman"/>
                <w:sz w:val="12"/>
                <w:szCs w:val="12"/>
              </w:rPr>
              <w:t xml:space="preserve"> with polar or nonpolar solvents</w:t>
            </w:r>
          </w:p>
        </w:tc>
        <w:tc>
          <w:tcPr>
            <w:tcW w:w="426" w:type="dxa"/>
            <w:tcBorders>
              <w:top w:val="nil"/>
              <w:left w:val="nil"/>
              <w:bottom w:val="single" w:sz="4" w:space="0" w:color="auto"/>
              <w:right w:val="nil"/>
            </w:tcBorders>
            <w:shd w:val="clear" w:color="000000" w:fill="FFFFFF"/>
            <w:vAlign w:val="center"/>
          </w:tcPr>
          <w:p w14:paraId="4F2D87E3" w14:textId="6F5CCFC3" w:rsidR="00D7210C" w:rsidRPr="006D631C" w:rsidRDefault="00D7210C" w:rsidP="00D7210C">
            <w:pPr>
              <w:spacing w:line="240" w:lineRule="auto"/>
              <w:jc w:val="left"/>
              <w:rPr>
                <w:color w:val="000000"/>
                <w:sz w:val="12"/>
                <w:szCs w:val="12"/>
              </w:rPr>
            </w:pPr>
            <w:r w:rsidRPr="006D631C">
              <w:rPr>
                <w:sz w:val="12"/>
                <w:szCs w:val="12"/>
              </w:rPr>
              <w:fldChar w:fldCharType="begin" w:fldLock="1"/>
            </w:r>
            <w:r w:rsidRPr="006D631C">
              <w:rPr>
                <w:sz w:val="12"/>
                <w:szCs w:val="12"/>
              </w:rPr>
              <w:instrText>ADDIN CSL_CITATION {"citationItems":[{"id":"ITEM-1","itemData":{"DOI":"10.1021/ma9904058","ISSN":"00249297","abstract":"This study reports the lyotropic phase behavior of two poly(ethylene oxide)-b-poly(butadiene) diblock copolymers and their cross-linking in the mesophase under retention of the mesoscopic order. The lyotropic phase behavior in water was characterized by polarized light microscopy and small-angle X-ray scattering (SAXS) in the concentration range from 0 to 100 wt % and in a temperature range between 20 and 100 C. Depending on polymer composition and concentration micellar, hexagonal, lamellar, and cubic phases are found. Their ranges as well as pronounced coexisting phase regions were determined. Several of these mesophases were cross-linked via y-irradiation to form mesostructured hydrogels. It is shown that the cross-linked polymer gel essentially maintains the parental lyotropic order, as proven by SAXS, polarized light microscopy, and transmission electron microscopy (TEM). TEM enables imaging of the polymer gel structure and thereby the visualization of the liquid-crystalline mesophase morphologies in themselves. The lyotropic mesophases as well as the lyotropic gels were used as templates for the synthesis of mesoporous silica, which is expected to give a negative solid copy of the ordered soft matter structure. The influence of the different templates on the silica structure formation is discussed. © 1999 American Chemical Society.","author":[{"dropping-particle":"","family":"Hentze","given":"H. P.","non-dropping-particle":"","parse-names":false,"suffix":""},{"dropping-particle":"","family":"Krämer","given":"E.","non-dropping-particle":"","parse-names":false,"suffix":""},{"dropping-particle":"","family":"Berton","given":"B.","non-dropping-particle":"","parse-names":false,"suffix":""},{"dropping-particle":"","family":"Förster","given":"S.","non-dropping-particle":"","parse-names":false,"suffix":""},{"dropping-particle":"","family":"Antonietti","given":"M.","non-dropping-particle":"","parse-names":false,"suffix":""},{"dropping-particle":"","family":"Dreja","given":"M.","non-dropping-particle":"","parse-names":false,"suffix":""}],"container-title":"Macromolecules","id":"ITEM-1","issue":"18","issued":{"date-parts":[["1999"]]},"page":"5803-5809","title":"Lyotropic mesophases of poly(ethylene oxide)-O-poly(butadiene) diblock copolymers and their cross-linking to generate ordered gels","type":"article-journal","volume":"32"},"uris":["http://www.mendeley.com/documents/?uuid=b307574d-954a-481f-b26f-5b53cd644727"]}],"mendeley":{"formattedCitation":"&lt;sup&gt;101&lt;/sup&gt;","plainTextFormattedCitation":"101","previouslyFormattedCitation":"&lt;sup&gt;101&lt;/sup&gt;"},"properties":{"noteIndex":0},"schema":"https://github.com/citation-style-language/schema/raw/master/csl-citation.json"}</w:instrText>
            </w:r>
            <w:r w:rsidRPr="006D631C">
              <w:rPr>
                <w:sz w:val="12"/>
                <w:szCs w:val="12"/>
              </w:rPr>
              <w:fldChar w:fldCharType="separate"/>
            </w:r>
            <w:r w:rsidRPr="006D631C">
              <w:rPr>
                <w:noProof/>
                <w:sz w:val="12"/>
                <w:szCs w:val="12"/>
              </w:rPr>
              <w:t>101</w:t>
            </w:r>
            <w:r w:rsidRPr="006D631C">
              <w:rPr>
                <w:sz w:val="12"/>
                <w:szCs w:val="12"/>
              </w:rPr>
              <w:fldChar w:fldCharType="end"/>
            </w:r>
          </w:p>
        </w:tc>
      </w:tr>
      <w:tr w:rsidR="00D7210C" w:rsidRPr="006D631C" w14:paraId="5D4B34FA"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5E2A4B66" w14:textId="3F637AF5" w:rsidR="00D7210C" w:rsidRPr="006D631C" w:rsidRDefault="00D7210C" w:rsidP="00D7210C">
            <w:pPr>
              <w:spacing w:line="240" w:lineRule="auto"/>
              <w:jc w:val="left"/>
              <w:rPr>
                <w:color w:val="000000"/>
                <w:sz w:val="12"/>
                <w:szCs w:val="12"/>
              </w:rPr>
            </w:pPr>
            <w:r w:rsidRPr="006D631C">
              <w:rPr>
                <w:sz w:val="12"/>
                <w:szCs w:val="12"/>
              </w:rPr>
              <w:t>P-A-57</w:t>
            </w:r>
          </w:p>
        </w:tc>
        <w:tc>
          <w:tcPr>
            <w:tcW w:w="709" w:type="dxa"/>
            <w:tcBorders>
              <w:top w:val="nil"/>
              <w:left w:val="nil"/>
              <w:bottom w:val="single" w:sz="4" w:space="0" w:color="auto"/>
              <w:right w:val="nil"/>
            </w:tcBorders>
            <w:shd w:val="clear" w:color="000000" w:fill="FFFFFF"/>
            <w:vAlign w:val="center"/>
          </w:tcPr>
          <w:p w14:paraId="179B6438" w14:textId="6670CDB6" w:rsidR="00D7210C" w:rsidRPr="006D631C" w:rsidRDefault="00D7210C" w:rsidP="00D7210C">
            <w:pPr>
              <w:spacing w:line="240" w:lineRule="auto"/>
              <w:jc w:val="left"/>
              <w:rPr>
                <w:color w:val="000000"/>
                <w:sz w:val="12"/>
                <w:szCs w:val="12"/>
              </w:rPr>
            </w:pPr>
            <w:r w:rsidRPr="006D631C">
              <w:rPr>
                <w:sz w:val="12"/>
                <w:szCs w:val="12"/>
              </w:rPr>
              <w:t>-</w:t>
            </w:r>
          </w:p>
        </w:tc>
        <w:tc>
          <w:tcPr>
            <w:tcW w:w="708" w:type="dxa"/>
            <w:tcBorders>
              <w:top w:val="nil"/>
              <w:left w:val="nil"/>
              <w:bottom w:val="single" w:sz="4" w:space="0" w:color="auto"/>
              <w:right w:val="nil"/>
            </w:tcBorders>
            <w:shd w:val="clear" w:color="000000" w:fill="FFFFFF"/>
            <w:vAlign w:val="center"/>
          </w:tcPr>
          <w:p w14:paraId="3F607BDB" w14:textId="1090AE9D" w:rsidR="00D7210C" w:rsidRPr="006D631C" w:rsidRDefault="00D7210C" w:rsidP="00D7210C">
            <w:pPr>
              <w:spacing w:line="240" w:lineRule="auto"/>
              <w:jc w:val="left"/>
              <w:rPr>
                <w:color w:val="000000"/>
                <w:sz w:val="12"/>
                <w:szCs w:val="12"/>
              </w:rPr>
            </w:pPr>
            <w:r w:rsidRPr="006D631C">
              <w:rPr>
                <w:sz w:val="12"/>
                <w:szCs w:val="12"/>
              </w:rPr>
              <w:t>I-1</w:t>
            </w:r>
          </w:p>
        </w:tc>
        <w:tc>
          <w:tcPr>
            <w:tcW w:w="1276" w:type="dxa"/>
            <w:tcBorders>
              <w:top w:val="nil"/>
              <w:left w:val="nil"/>
              <w:bottom w:val="single" w:sz="4" w:space="0" w:color="auto"/>
              <w:right w:val="nil"/>
            </w:tcBorders>
            <w:shd w:val="clear" w:color="000000" w:fill="FFFFFF"/>
            <w:noWrap/>
            <w:vAlign w:val="center"/>
          </w:tcPr>
          <w:p w14:paraId="737C4D48" w14:textId="4B71604A" w:rsidR="00D7210C" w:rsidRPr="006D631C" w:rsidRDefault="00D7210C" w:rsidP="00D7210C">
            <w:pPr>
              <w:spacing w:line="240" w:lineRule="auto"/>
              <w:ind w:left="37"/>
              <w:jc w:val="left"/>
              <w:rPr>
                <w:color w:val="000000"/>
                <w:sz w:val="12"/>
                <w:szCs w:val="12"/>
              </w:rPr>
            </w:pPr>
            <w:r w:rsidRPr="006D631C">
              <w:rPr>
                <w:sz w:val="12"/>
                <w:szCs w:val="12"/>
              </w:rPr>
              <w:t>55 - 65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75 - 80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1418" w:type="dxa"/>
            <w:tcBorders>
              <w:top w:val="nil"/>
              <w:left w:val="nil"/>
              <w:bottom w:val="single" w:sz="4" w:space="0" w:color="auto"/>
              <w:right w:val="nil"/>
            </w:tcBorders>
            <w:shd w:val="clear" w:color="000000" w:fill="FFFFFF"/>
            <w:vAlign w:val="center"/>
          </w:tcPr>
          <w:p w14:paraId="02ADC35D" w14:textId="68ED1989" w:rsidR="00D7210C" w:rsidRPr="006D631C" w:rsidRDefault="00D7210C" w:rsidP="00D7210C">
            <w:pPr>
              <w:spacing w:line="240" w:lineRule="auto"/>
              <w:jc w:val="left"/>
              <w:rPr>
                <w:color w:val="000000"/>
                <w:sz w:val="12"/>
                <w:szCs w:val="12"/>
              </w:rPr>
            </w:pPr>
            <w:r w:rsidRPr="006D631C">
              <w:rPr>
                <w:sz w:val="12"/>
                <w:szCs w:val="12"/>
              </w:rPr>
              <w:t>Retention of the structures</w:t>
            </w:r>
          </w:p>
        </w:tc>
        <w:tc>
          <w:tcPr>
            <w:tcW w:w="1134" w:type="dxa"/>
            <w:tcBorders>
              <w:top w:val="nil"/>
              <w:left w:val="nil"/>
              <w:bottom w:val="single" w:sz="4" w:space="0" w:color="auto"/>
              <w:right w:val="nil"/>
            </w:tcBorders>
            <w:shd w:val="clear" w:color="000000" w:fill="FFFFFF"/>
            <w:noWrap/>
            <w:vAlign w:val="center"/>
          </w:tcPr>
          <w:p w14:paraId="5F2C722B" w14:textId="6AF979C1" w:rsidR="00D7210C" w:rsidRPr="006D631C" w:rsidRDefault="00D7210C" w:rsidP="00D7210C">
            <w:pPr>
              <w:spacing w:line="240" w:lineRule="auto"/>
              <w:jc w:val="left"/>
              <w:rPr>
                <w:color w:val="000000"/>
                <w:sz w:val="12"/>
                <w:szCs w:val="12"/>
              </w:rPr>
            </w:pPr>
            <w:r w:rsidRPr="006D631C">
              <w:rPr>
                <w:sz w:val="12"/>
                <w:szCs w:val="12"/>
              </w:rPr>
              <w:t>6.01 - 6.59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5.46 - 5.54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4724BBFB" w14:textId="7FC0CAE9" w:rsidR="00D7210C" w:rsidRPr="006D631C" w:rsidRDefault="00D7210C" w:rsidP="00D7210C">
            <w:pPr>
              <w:spacing w:line="240" w:lineRule="auto"/>
              <w:jc w:val="left"/>
              <w:rPr>
                <w:color w:val="000000"/>
                <w:sz w:val="12"/>
                <w:szCs w:val="12"/>
              </w:rPr>
            </w:pPr>
            <w:r w:rsidRPr="006D631C">
              <w:rPr>
                <w:sz w:val="12"/>
                <w:szCs w:val="12"/>
              </w:rPr>
              <w:t>6.14 - 6.72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5.61 - 5.68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5244" w:type="dxa"/>
            <w:tcBorders>
              <w:top w:val="nil"/>
              <w:left w:val="nil"/>
              <w:bottom w:val="single" w:sz="4" w:space="0" w:color="auto"/>
              <w:right w:val="nil"/>
            </w:tcBorders>
            <w:shd w:val="clear" w:color="000000" w:fill="FFFFFF"/>
            <w:noWrap/>
            <w:vAlign w:val="center"/>
          </w:tcPr>
          <w:p w14:paraId="0654E60D" w14:textId="0279BB28"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P-A-57 cannot form LLC, but it can in combination with A-18b</w:t>
            </w:r>
          </w:p>
          <w:p w14:paraId="674C6D4A" w14:textId="2062B8B6"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Enhanced mechanical and thermal stability of the polyLLC when P-A-57 is used</w:t>
            </w:r>
          </w:p>
        </w:tc>
        <w:tc>
          <w:tcPr>
            <w:tcW w:w="426" w:type="dxa"/>
            <w:tcBorders>
              <w:top w:val="nil"/>
              <w:left w:val="nil"/>
              <w:bottom w:val="single" w:sz="4" w:space="0" w:color="auto"/>
              <w:right w:val="nil"/>
            </w:tcBorders>
            <w:shd w:val="clear" w:color="000000" w:fill="FFFFFF"/>
            <w:vAlign w:val="center"/>
          </w:tcPr>
          <w:p w14:paraId="7A09994E" w14:textId="62B2BE6E" w:rsidR="00D7210C" w:rsidRPr="006D631C" w:rsidRDefault="00D7210C" w:rsidP="002E14E4">
            <w:pPr>
              <w:spacing w:line="240" w:lineRule="auto"/>
              <w:jc w:val="left"/>
              <w:rPr>
                <w:color w:val="000000"/>
                <w:sz w:val="12"/>
                <w:szCs w:val="12"/>
              </w:rPr>
            </w:pPr>
            <w:r w:rsidRPr="006D631C">
              <w:rPr>
                <w:sz w:val="12"/>
                <w:szCs w:val="12"/>
              </w:rPr>
              <w:fldChar w:fldCharType="begin" w:fldLock="1"/>
            </w:r>
            <w:r w:rsidR="005C60C1" w:rsidRPr="006D631C">
              <w:rPr>
                <w:sz w:val="12"/>
                <w:szCs w:val="12"/>
              </w:rPr>
              <w:instrText>ADDIN CSL_CITATION {"citationItems":[{"id":"ITEM-1","itemData":{"DOI":"10.1039/c5sm01646k","ISSN":"17446848","abstract":"We present a facile method to prepare thermally stable and mechanically robust crosslinked lyotropic liquid crystals (LLCs) through incorporation of a polymerizable amphiphile into a binary LLC system comprising commercially available surfactant Brij 97 and water. Thermal stability and mechanical properties of the polymerized LLCs were significantly enhanced after polymerization of the incorporated polymerizable surfactant. The effect of incorporating a polymerizable amphiphile on the phase behavior of the LLC system was studied in detail. In situ photo-rheology was used to monitor the change in the mechanical properties of the LLCs, namely the storage modulus, loss modulus, and viscosity, upon polymerization. The retention of the LLC nanostructures was evaluated by small angle X-ray scattering (SAXS). The ability to control the thermal stability and mechanical strength of LLCs simply by adding a polymerizable amphiphile, without tedious organic synthesis or harsh polymerization conditions, could prove highly advantageous in the preparation of robust nanomaterials with well-defined periodic structures.","author":[{"dropping-particle":"","family":"Peng","given":"Shuhua","non-dropping-particle":"","parse-names":false,"suffix":""},{"dropping-particle":"","family":"Hartley","given":"Patrick G.","non-dropping-particle":"","parse-names":false,"suffix":""},{"dropping-particle":"","family":"Hughes","given":"Timothy C.","non-dropping-particle":"","parse-names":false,"suffix":""},{"dropping-particle":"","family":"Guo","given":"Qipeng","non-dropping-particle":"","parse-names":false,"suffix":""}],"container-title":"Soft Matter","id":"ITEM-1","issue":"31","issued":{"date-parts":[["2015"]]},"page":"6318-6326","title":"Enhancing thermal stability and mechanical properties of lyotropic liquid crystals through incorporation of a polymerizable surfactant","type":"article-journal","volume":"11"},"uris":["http://www.mendeley.com/documents/?uuid=e592e5f5-580a-420c-aef7-38efdb7c8860"]}],"mendeley":{"formattedCitation":"&lt;sup&gt;81&lt;/sup&gt;","plainTextFormattedCitation":"81","previouslyFormattedCitation":"&lt;sup&gt;81&lt;/sup&gt;"},"properties":{"noteIndex":0},"schema":"https://github.com/citation-style-language/schema/raw/master/csl-citation.json"}</w:instrText>
            </w:r>
            <w:r w:rsidRPr="006D631C">
              <w:rPr>
                <w:sz w:val="12"/>
                <w:szCs w:val="12"/>
              </w:rPr>
              <w:fldChar w:fldCharType="separate"/>
            </w:r>
            <w:r w:rsidR="002E14E4" w:rsidRPr="006D631C">
              <w:rPr>
                <w:noProof/>
                <w:sz w:val="12"/>
                <w:szCs w:val="12"/>
                <w:vertAlign w:val="superscript"/>
              </w:rPr>
              <w:t>81</w:t>
            </w:r>
            <w:r w:rsidRPr="006D631C">
              <w:rPr>
                <w:sz w:val="12"/>
                <w:szCs w:val="12"/>
              </w:rPr>
              <w:fldChar w:fldCharType="end"/>
            </w:r>
          </w:p>
        </w:tc>
      </w:tr>
      <w:tr w:rsidR="00D7210C" w:rsidRPr="006D631C" w14:paraId="73D89107"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293C4D8A" w14:textId="19877B4E" w:rsidR="00D7210C" w:rsidRPr="006D631C" w:rsidRDefault="00D7210C" w:rsidP="00D7210C">
            <w:pPr>
              <w:spacing w:line="240" w:lineRule="auto"/>
              <w:jc w:val="left"/>
              <w:rPr>
                <w:color w:val="000000"/>
                <w:sz w:val="12"/>
                <w:szCs w:val="12"/>
              </w:rPr>
            </w:pPr>
            <w:r w:rsidRPr="006D631C">
              <w:rPr>
                <w:sz w:val="12"/>
                <w:szCs w:val="12"/>
              </w:rPr>
              <w:t>P-A-58</w:t>
            </w:r>
          </w:p>
        </w:tc>
        <w:tc>
          <w:tcPr>
            <w:tcW w:w="709" w:type="dxa"/>
            <w:tcBorders>
              <w:top w:val="nil"/>
              <w:left w:val="nil"/>
              <w:bottom w:val="single" w:sz="4" w:space="0" w:color="auto"/>
              <w:right w:val="nil"/>
            </w:tcBorders>
            <w:shd w:val="clear" w:color="000000" w:fill="FFFFFF"/>
            <w:vAlign w:val="center"/>
          </w:tcPr>
          <w:p w14:paraId="09775E22" w14:textId="7D9210A3" w:rsidR="00D7210C" w:rsidRPr="006D631C" w:rsidRDefault="00D7210C" w:rsidP="00D7210C">
            <w:pPr>
              <w:spacing w:line="240" w:lineRule="auto"/>
              <w:jc w:val="left"/>
              <w:rPr>
                <w:color w:val="000000"/>
                <w:sz w:val="12"/>
                <w:szCs w:val="12"/>
              </w:rPr>
            </w:pPr>
            <w:r w:rsidRPr="006D631C">
              <w:rPr>
                <w:sz w:val="12"/>
                <w:szCs w:val="12"/>
              </w:rPr>
              <w:t>-</w:t>
            </w:r>
          </w:p>
        </w:tc>
        <w:tc>
          <w:tcPr>
            <w:tcW w:w="708" w:type="dxa"/>
            <w:tcBorders>
              <w:top w:val="nil"/>
              <w:left w:val="nil"/>
              <w:bottom w:val="single" w:sz="4" w:space="0" w:color="auto"/>
              <w:right w:val="nil"/>
            </w:tcBorders>
            <w:shd w:val="clear" w:color="000000" w:fill="FFFFFF"/>
            <w:vAlign w:val="center"/>
          </w:tcPr>
          <w:p w14:paraId="4362FE44" w14:textId="67952AFC" w:rsidR="00D7210C" w:rsidRPr="006D631C" w:rsidRDefault="00D7210C" w:rsidP="00D7210C">
            <w:pPr>
              <w:spacing w:line="240" w:lineRule="auto"/>
              <w:jc w:val="left"/>
              <w:rPr>
                <w:color w:val="000000"/>
                <w:sz w:val="12"/>
                <w:szCs w:val="12"/>
              </w:rPr>
            </w:pPr>
            <w:r w:rsidRPr="006D631C">
              <w:rPr>
                <w:sz w:val="12"/>
                <w:szCs w:val="12"/>
              </w:rPr>
              <w:t>UV</w:t>
            </w:r>
          </w:p>
        </w:tc>
        <w:tc>
          <w:tcPr>
            <w:tcW w:w="1276" w:type="dxa"/>
            <w:tcBorders>
              <w:top w:val="nil"/>
              <w:left w:val="nil"/>
              <w:bottom w:val="single" w:sz="4" w:space="0" w:color="auto"/>
              <w:right w:val="nil"/>
            </w:tcBorders>
            <w:shd w:val="clear" w:color="000000" w:fill="FFFFFF"/>
            <w:noWrap/>
            <w:vAlign w:val="center"/>
          </w:tcPr>
          <w:p w14:paraId="47C14E38" w14:textId="5787C974" w:rsidR="00D7210C" w:rsidRPr="006D631C" w:rsidRDefault="00D7210C" w:rsidP="00D7210C">
            <w:pPr>
              <w:spacing w:line="240" w:lineRule="auto"/>
              <w:ind w:left="37"/>
              <w:jc w:val="left"/>
              <w:rPr>
                <w:color w:val="000000"/>
                <w:sz w:val="12"/>
                <w:szCs w:val="12"/>
              </w:rPr>
            </w:pPr>
            <w:r w:rsidRPr="006D631C">
              <w:rPr>
                <w:sz w:val="12"/>
                <w:szCs w:val="12"/>
              </w:rPr>
              <w:t>50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73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1418" w:type="dxa"/>
            <w:tcBorders>
              <w:top w:val="nil"/>
              <w:left w:val="nil"/>
              <w:bottom w:val="single" w:sz="4" w:space="0" w:color="auto"/>
              <w:right w:val="nil"/>
            </w:tcBorders>
            <w:shd w:val="clear" w:color="000000" w:fill="FFFFFF"/>
            <w:vAlign w:val="center"/>
          </w:tcPr>
          <w:p w14:paraId="5DE29A2D" w14:textId="223538C5" w:rsidR="00D7210C" w:rsidRPr="006D631C" w:rsidRDefault="00D7210C" w:rsidP="00D7210C">
            <w:pPr>
              <w:spacing w:line="240" w:lineRule="auto"/>
              <w:jc w:val="left"/>
              <w:rPr>
                <w:color w:val="000000"/>
                <w:sz w:val="12"/>
                <w:szCs w:val="12"/>
              </w:rPr>
            </w:pPr>
            <w:r w:rsidRPr="006D631C">
              <w:rPr>
                <w:sz w:val="12"/>
                <w:szCs w:val="12"/>
              </w:rPr>
              <w:t>Retention of the structures</w:t>
            </w:r>
          </w:p>
        </w:tc>
        <w:tc>
          <w:tcPr>
            <w:tcW w:w="1134" w:type="dxa"/>
            <w:tcBorders>
              <w:top w:val="nil"/>
              <w:left w:val="nil"/>
              <w:bottom w:val="single" w:sz="4" w:space="0" w:color="auto"/>
              <w:right w:val="nil"/>
            </w:tcBorders>
            <w:shd w:val="clear" w:color="000000" w:fill="FFFFFF"/>
            <w:noWrap/>
            <w:vAlign w:val="center"/>
          </w:tcPr>
          <w:p w14:paraId="59419666" w14:textId="6ECF953C" w:rsidR="00D7210C" w:rsidRPr="006D631C" w:rsidRDefault="00D7210C" w:rsidP="00D7210C">
            <w:pPr>
              <w:spacing w:line="240" w:lineRule="auto"/>
              <w:jc w:val="left"/>
              <w:rPr>
                <w:color w:val="000000"/>
                <w:sz w:val="12"/>
                <w:szCs w:val="12"/>
              </w:rPr>
            </w:pPr>
            <w:r w:rsidRPr="006D631C">
              <w:rPr>
                <w:sz w:val="12"/>
                <w:szCs w:val="12"/>
              </w:rPr>
              <w:t>10.95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 xml:space="preserve">8.34 (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4433B007" w14:textId="2C9D1D6D" w:rsidR="00D7210C" w:rsidRPr="006D631C" w:rsidRDefault="00D7210C" w:rsidP="00D7210C">
            <w:pPr>
              <w:spacing w:line="240" w:lineRule="auto"/>
              <w:jc w:val="left"/>
              <w:rPr>
                <w:color w:val="000000"/>
                <w:sz w:val="12"/>
                <w:szCs w:val="12"/>
              </w:rPr>
            </w:pPr>
            <w:r w:rsidRPr="006D631C">
              <w:rPr>
                <w:sz w:val="12"/>
                <w:szCs w:val="12"/>
              </w:rPr>
              <w:t>10.17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 xml:space="preserve">8.03 (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5244" w:type="dxa"/>
            <w:tcBorders>
              <w:top w:val="nil"/>
              <w:left w:val="nil"/>
              <w:bottom w:val="single" w:sz="4" w:space="0" w:color="auto"/>
              <w:right w:val="nil"/>
            </w:tcBorders>
            <w:shd w:val="clear" w:color="000000" w:fill="FFFFFF"/>
            <w:noWrap/>
            <w:vAlign w:val="center"/>
          </w:tcPr>
          <w:p w14:paraId="0DF4E8BE" w14:textId="0D209881"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The polymerized structure was destroyed when swelled by an organic solvent, but after drying and swelling with water, the original structure was retained</w:t>
            </w:r>
          </w:p>
        </w:tc>
        <w:tc>
          <w:tcPr>
            <w:tcW w:w="426" w:type="dxa"/>
            <w:tcBorders>
              <w:top w:val="nil"/>
              <w:left w:val="nil"/>
              <w:bottom w:val="single" w:sz="4" w:space="0" w:color="auto"/>
              <w:right w:val="nil"/>
            </w:tcBorders>
            <w:shd w:val="clear" w:color="000000" w:fill="FFFFFF"/>
            <w:vAlign w:val="center"/>
          </w:tcPr>
          <w:p w14:paraId="07917F98" w14:textId="2278C029" w:rsidR="00D7210C" w:rsidRPr="006D631C" w:rsidRDefault="00D7210C" w:rsidP="00D7210C">
            <w:pPr>
              <w:spacing w:line="240" w:lineRule="auto"/>
              <w:jc w:val="left"/>
              <w:rPr>
                <w:color w:val="000000"/>
                <w:sz w:val="12"/>
                <w:szCs w:val="12"/>
              </w:rPr>
            </w:pPr>
            <w:r w:rsidRPr="006D631C">
              <w:rPr>
                <w:sz w:val="12"/>
                <w:szCs w:val="12"/>
              </w:rPr>
              <w:fldChar w:fldCharType="begin" w:fldLock="1"/>
            </w:r>
            <w:r w:rsidRPr="006D631C">
              <w:rPr>
                <w:sz w:val="12"/>
                <w:szCs w:val="12"/>
              </w:rPr>
              <w:instrText>ADDIN CSL_CITATION {"citationItems":[{"id":"ITEM-1","itemData":{"DOI":"10.1021/ma00032a027","ISSN":"15205835","abstract":"Photo-cross-linkable ethylene oxide‒dimethylsiloxane PEO‒PDMS‒PEO‒cinnamate triblock copolymers were prepared via Pt-catalyzed hydrosilyation of α,ω-dihydropoly(dimethylsiloxane) with bifunctional propargyl-terminated poly(ethylene oxide)-monomethyl ethers and subsequent esterification with cinnamoyl chloride. Lyotropic mesophases of the copolymer/water system were photo-cross-linked by using UV radiation. The supermolecular structures were retained after photo-cross-linking but could be destroyed by swelling with organic solvents. After the evaporation of the solvent, the films showed the original mesophases by addition of water. © 1992, American Chemical Society. All rights reserved.","author":[{"dropping-particle":"","family":"Yang","given":"Jianling","non-dropping-particle":"","parse-names":false,"suffix":""},{"dropping-particle":"","family":"Wegner","given":"Gerhard","non-dropping-particle":"","parse-names":false,"suffix":""}],"container-title":"Macromolecules","id":"ITEM-1","issue":"6","issued":{"date-parts":[["1992"]]},"page":"1791-1795","title":"Polymerization in Lyotropic Liquid Crystals. 2. Synthesis of Photo-Cross-Linkable PEO-PDMS-PEO Triblock Copolymers and Permanent Stabilization of Their Supermolecular Structures in Lyotropic Mesophases","type":"article-journal","volume":"25"},"uris":["http://www.mendeley.com/documents/?uuid=1504391b-f6a4-4a01-9ba9-2b1dd2fa4d76"]}],"mendeley":{"formattedCitation":"&lt;sup&gt;102&lt;/sup&gt;","plainTextFormattedCitation":"102","previouslyFormattedCitation":"&lt;sup&gt;102&lt;/sup&gt;"},"properties":{"noteIndex":0},"schema":"https://github.com/citation-style-language/schema/raw/master/csl-citation.json"}</w:instrText>
            </w:r>
            <w:r w:rsidRPr="006D631C">
              <w:rPr>
                <w:sz w:val="12"/>
                <w:szCs w:val="12"/>
              </w:rPr>
              <w:fldChar w:fldCharType="separate"/>
            </w:r>
            <w:r w:rsidRPr="006D631C">
              <w:rPr>
                <w:noProof/>
                <w:sz w:val="12"/>
                <w:szCs w:val="12"/>
              </w:rPr>
              <w:t>102</w:t>
            </w:r>
            <w:r w:rsidRPr="006D631C">
              <w:rPr>
                <w:sz w:val="12"/>
                <w:szCs w:val="12"/>
              </w:rPr>
              <w:fldChar w:fldCharType="end"/>
            </w:r>
          </w:p>
        </w:tc>
      </w:tr>
      <w:tr w:rsidR="00D7210C" w:rsidRPr="006D631C" w14:paraId="4EAE3DF8" w14:textId="77777777" w:rsidTr="007D350B">
        <w:trPr>
          <w:trHeight w:val="20"/>
          <w:jc w:val="center"/>
        </w:trPr>
        <w:tc>
          <w:tcPr>
            <w:tcW w:w="851" w:type="dxa"/>
            <w:tcBorders>
              <w:top w:val="nil"/>
              <w:left w:val="nil"/>
              <w:bottom w:val="single" w:sz="4" w:space="0" w:color="auto"/>
              <w:right w:val="nil"/>
            </w:tcBorders>
            <w:shd w:val="clear" w:color="000000" w:fill="FFFFFF"/>
            <w:noWrap/>
            <w:vAlign w:val="center"/>
          </w:tcPr>
          <w:p w14:paraId="49405BC8" w14:textId="609EE36E" w:rsidR="00D7210C" w:rsidRPr="006D631C" w:rsidRDefault="00D7210C" w:rsidP="00D7210C">
            <w:pPr>
              <w:spacing w:line="240" w:lineRule="auto"/>
              <w:jc w:val="left"/>
              <w:rPr>
                <w:color w:val="000000"/>
                <w:sz w:val="12"/>
                <w:szCs w:val="12"/>
              </w:rPr>
            </w:pPr>
            <w:r w:rsidRPr="006D631C">
              <w:rPr>
                <w:sz w:val="12"/>
                <w:szCs w:val="12"/>
              </w:rPr>
              <w:t xml:space="preserve">P-A-59a /    A-7 / A-8 </w:t>
            </w:r>
          </w:p>
        </w:tc>
        <w:tc>
          <w:tcPr>
            <w:tcW w:w="709" w:type="dxa"/>
            <w:tcBorders>
              <w:top w:val="nil"/>
              <w:left w:val="nil"/>
              <w:bottom w:val="single" w:sz="4" w:space="0" w:color="auto"/>
              <w:right w:val="nil"/>
            </w:tcBorders>
            <w:shd w:val="clear" w:color="000000" w:fill="FFFFFF"/>
            <w:vAlign w:val="center"/>
          </w:tcPr>
          <w:p w14:paraId="450DDD39" w14:textId="4A87E3A7" w:rsidR="00D7210C" w:rsidRPr="006D631C" w:rsidRDefault="00D7210C" w:rsidP="00D7210C">
            <w:pPr>
              <w:spacing w:line="240" w:lineRule="auto"/>
              <w:jc w:val="left"/>
              <w:rPr>
                <w:color w:val="000000"/>
                <w:sz w:val="12"/>
                <w:szCs w:val="12"/>
              </w:rPr>
            </w:pPr>
            <w:r w:rsidRPr="006D631C">
              <w:rPr>
                <w:sz w:val="12"/>
                <w:szCs w:val="12"/>
              </w:rPr>
              <w:t>C-10b</w:t>
            </w:r>
          </w:p>
        </w:tc>
        <w:tc>
          <w:tcPr>
            <w:tcW w:w="708" w:type="dxa"/>
            <w:tcBorders>
              <w:top w:val="nil"/>
              <w:left w:val="nil"/>
              <w:bottom w:val="single" w:sz="4" w:space="0" w:color="auto"/>
              <w:right w:val="nil"/>
            </w:tcBorders>
            <w:shd w:val="clear" w:color="000000" w:fill="FFFFFF"/>
            <w:vAlign w:val="center"/>
          </w:tcPr>
          <w:p w14:paraId="3FECBE2E" w14:textId="5A355EB3" w:rsidR="00D7210C" w:rsidRPr="006D631C" w:rsidRDefault="00D7210C" w:rsidP="00D7210C">
            <w:pPr>
              <w:spacing w:line="240" w:lineRule="auto"/>
              <w:jc w:val="left"/>
              <w:rPr>
                <w:color w:val="000000"/>
                <w:sz w:val="12"/>
                <w:szCs w:val="12"/>
              </w:rPr>
            </w:pPr>
            <w:r w:rsidRPr="006D631C">
              <w:rPr>
                <w:sz w:val="12"/>
                <w:szCs w:val="12"/>
              </w:rPr>
              <w:t>I-1</w:t>
            </w:r>
          </w:p>
        </w:tc>
        <w:tc>
          <w:tcPr>
            <w:tcW w:w="1276" w:type="dxa"/>
            <w:tcBorders>
              <w:top w:val="nil"/>
              <w:left w:val="nil"/>
              <w:bottom w:val="single" w:sz="4" w:space="0" w:color="auto"/>
              <w:right w:val="nil"/>
            </w:tcBorders>
            <w:shd w:val="clear" w:color="000000" w:fill="FFFFFF"/>
            <w:noWrap/>
            <w:vAlign w:val="center"/>
          </w:tcPr>
          <w:p w14:paraId="7848C8D1" w14:textId="0FCE4B33" w:rsidR="00D7210C" w:rsidRPr="006D631C" w:rsidRDefault="00D7210C" w:rsidP="00D7210C">
            <w:pPr>
              <w:spacing w:line="240" w:lineRule="auto"/>
              <w:ind w:left="37"/>
              <w:jc w:val="left"/>
              <w:rPr>
                <w:color w:val="000000"/>
                <w:sz w:val="12"/>
                <w:szCs w:val="12"/>
              </w:rPr>
            </w:pPr>
            <w:r w:rsidRPr="006D631C">
              <w:rPr>
                <w:sz w:val="12"/>
                <w:szCs w:val="12"/>
              </w:rPr>
              <w:t>~26.5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1418" w:type="dxa"/>
            <w:tcBorders>
              <w:top w:val="nil"/>
              <w:left w:val="nil"/>
              <w:bottom w:val="single" w:sz="4" w:space="0" w:color="auto"/>
              <w:right w:val="nil"/>
            </w:tcBorders>
            <w:shd w:val="clear" w:color="000000" w:fill="FFFFFF"/>
            <w:vAlign w:val="center"/>
          </w:tcPr>
          <w:p w14:paraId="1B4CFF87" w14:textId="227EB78A" w:rsidR="00D7210C" w:rsidRPr="006D631C" w:rsidRDefault="00D7210C" w:rsidP="00D7210C">
            <w:pPr>
              <w:spacing w:line="240" w:lineRule="auto"/>
              <w:jc w:val="left"/>
              <w:rPr>
                <w:color w:val="000000"/>
                <w:sz w:val="12"/>
                <w:szCs w:val="12"/>
              </w:rPr>
            </w:pPr>
            <w:r w:rsidRPr="006D631C">
              <w:rPr>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73F38C6C" w14:textId="7253F3E9" w:rsidR="00D7210C" w:rsidRPr="006D631C" w:rsidRDefault="00D7210C" w:rsidP="00D7210C">
            <w:pPr>
              <w:spacing w:line="240" w:lineRule="auto"/>
              <w:jc w:val="left"/>
              <w:rPr>
                <w:color w:val="000000"/>
                <w:sz w:val="12"/>
                <w:szCs w:val="12"/>
              </w:rPr>
            </w:pPr>
            <w:r w:rsidRPr="006D631C">
              <w:rPr>
                <w:sz w:val="12"/>
                <w:szCs w:val="12"/>
              </w:rPr>
              <w:t>12.2</w:t>
            </w:r>
          </w:p>
        </w:tc>
        <w:tc>
          <w:tcPr>
            <w:tcW w:w="1134" w:type="dxa"/>
            <w:tcBorders>
              <w:top w:val="nil"/>
              <w:left w:val="nil"/>
              <w:bottom w:val="single" w:sz="4" w:space="0" w:color="auto"/>
              <w:right w:val="nil"/>
            </w:tcBorders>
            <w:shd w:val="clear" w:color="000000" w:fill="FFFFFF"/>
            <w:noWrap/>
            <w:vAlign w:val="center"/>
          </w:tcPr>
          <w:p w14:paraId="615EF5C8" w14:textId="19C11620" w:rsidR="00D7210C" w:rsidRPr="006D631C" w:rsidRDefault="00D7210C" w:rsidP="00D7210C">
            <w:pPr>
              <w:spacing w:line="240" w:lineRule="auto"/>
              <w:jc w:val="left"/>
              <w:rPr>
                <w:color w:val="000000"/>
                <w:sz w:val="12"/>
                <w:szCs w:val="12"/>
              </w:rPr>
            </w:pPr>
            <w:r w:rsidRPr="006D631C">
              <w:rPr>
                <w:sz w:val="12"/>
                <w:szCs w:val="12"/>
              </w:rPr>
              <w:t>11.7</w:t>
            </w:r>
          </w:p>
        </w:tc>
        <w:tc>
          <w:tcPr>
            <w:tcW w:w="5244" w:type="dxa"/>
            <w:tcBorders>
              <w:top w:val="nil"/>
              <w:left w:val="nil"/>
              <w:bottom w:val="single" w:sz="4" w:space="0" w:color="auto"/>
              <w:right w:val="nil"/>
            </w:tcBorders>
            <w:shd w:val="clear" w:color="000000" w:fill="FFFFFF"/>
            <w:noWrap/>
            <w:vAlign w:val="center"/>
          </w:tcPr>
          <w:p w14:paraId="1307DEE3" w14:textId="2D56F218"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 xml:space="preserve">Enhanced mechanical properties and preserving the structure after swelling even by organic solvents were the main characteristics of the obtained hydrogel  </w:t>
            </w:r>
          </w:p>
        </w:tc>
        <w:tc>
          <w:tcPr>
            <w:tcW w:w="426" w:type="dxa"/>
            <w:tcBorders>
              <w:top w:val="nil"/>
              <w:left w:val="nil"/>
              <w:bottom w:val="single" w:sz="4" w:space="0" w:color="auto"/>
              <w:right w:val="nil"/>
            </w:tcBorders>
            <w:shd w:val="clear" w:color="000000" w:fill="FFFFFF"/>
            <w:vAlign w:val="center"/>
          </w:tcPr>
          <w:p w14:paraId="2FFE6D27" w14:textId="1A6B5F02" w:rsidR="00D7210C" w:rsidRPr="006D631C" w:rsidRDefault="00D7210C" w:rsidP="002E14E4">
            <w:pPr>
              <w:spacing w:line="240" w:lineRule="auto"/>
              <w:jc w:val="left"/>
              <w:rPr>
                <w:color w:val="000000"/>
                <w:sz w:val="12"/>
                <w:szCs w:val="12"/>
              </w:rPr>
            </w:pPr>
            <w:r w:rsidRPr="006D631C">
              <w:rPr>
                <w:sz w:val="12"/>
                <w:szCs w:val="12"/>
              </w:rPr>
              <w:fldChar w:fldCharType="begin" w:fldLock="1"/>
            </w:r>
            <w:r w:rsidR="005C60C1" w:rsidRPr="006D631C">
              <w:rPr>
                <w:sz w:val="12"/>
                <w:szCs w:val="12"/>
              </w:rPr>
              <w:instrText>ADDIN CSL_CITATION {"citationItems":[{"id":"ITEM-1","itemData":{"DOI":"10.1039/c1sm06364b","ISSN":"1744-683X","abstract":"A self-supporting biomimetic chemical hydrogel that can be reversibly swollen in water is described. An aqueous dispersion of a diacrylate end-derivatized PEO-PPO-PEO macromer, a saturated phospholipid, and a zwitterionic co-surfactant self-assembles into a multilamellar-structured physical gel at room temperature as determined by SAXS. The addition of a water soluble PEGDA co-monomer and photoinitiator within the water layers does not alter the self-assembled structure. ATR/FT-IR spectroscopy reveals that photoirradiation initiates the crosslinking between the acrylate end groups on the macromer with the PEGDA, forming a polymeric network within the aqueous domains. The primitive cytoskeleton mimic serves to stabilize the amphiphile bilayer, converting the physical gel into an elastic self-supporting chemical gel. Storage under ambient conditions causes dehydration of the hydrogel to 5 wt % water which can be reversed by swelling in water. The fully water swollen gel (85 wt % water) remains self-supporting but converts to a non-lamellar structure. As water is lost the chemical gel regains its lamellar structure. Incubation of the hydrogel in nonpolar organic solvents that do not dissolve the uncrosslinked lipid component (hexane) allow for swelling without loss of structural integrity. Chloroform, which readily solubilizes the lipid, causes irreversible loss of the lamellar structure. © 2011 The Royal Society of Chemistry.","author":[{"dropping-particle":"","family":"Grubjesic","given":"Simonida","non-dropping-particle":"","parse-names":false,"suffix":""},{"dropping-particle":"","family":"Lee","given":"Byeongdu","non-dropping-particle":"","parse-names":false,"suffix":""},{"dropping-particle":"","family":"Seifert","given":"Sönke","non-dropping-particle":"","parse-names":false,"suffix":""},{"dropping-particle":"","family":"Firestone","given":"Millicent A.","non-dropping-particle":"","parse-names":false,"suffix":""}],"container-title":"Soft Matter","id":"ITEM-1","issue":"20","issued":{"date-parts":[["2011"]]},"page":"9695","title":"Preparation of a self-supporting cell architecture mimic by water channel confined photocrosslinking within a lamellar structured hydrogel","type":"article-journal","volume":"7"},"uris":["http://www.mendeley.com/documents/?uuid=6ea39c6f-9a66-47d2-9f3e-f7229ea48288"]}],"mendeley":{"formattedCitation":"&lt;sup&gt;105&lt;/sup&gt;","plainTextFormattedCitation":"105","previouslyFormattedCitation":"&lt;sup&gt;105&lt;/sup&gt;"},"properties":{"noteIndex":0},"schema":"https://github.com/citation-style-language/schema/raw/master/csl-citation.json"}</w:instrText>
            </w:r>
            <w:r w:rsidRPr="006D631C">
              <w:rPr>
                <w:sz w:val="12"/>
                <w:szCs w:val="12"/>
              </w:rPr>
              <w:fldChar w:fldCharType="separate"/>
            </w:r>
            <w:r w:rsidR="002E14E4" w:rsidRPr="006D631C">
              <w:rPr>
                <w:noProof/>
                <w:sz w:val="12"/>
                <w:szCs w:val="12"/>
                <w:vertAlign w:val="superscript"/>
              </w:rPr>
              <w:t>105</w:t>
            </w:r>
            <w:r w:rsidRPr="006D631C">
              <w:rPr>
                <w:sz w:val="12"/>
                <w:szCs w:val="12"/>
              </w:rPr>
              <w:fldChar w:fldCharType="end"/>
            </w:r>
          </w:p>
        </w:tc>
      </w:tr>
      <w:tr w:rsidR="00D7210C" w:rsidRPr="006D631C" w14:paraId="68E8C5CA" w14:textId="77777777" w:rsidTr="007D350B">
        <w:trPr>
          <w:trHeight w:val="20"/>
          <w:jc w:val="center"/>
        </w:trPr>
        <w:tc>
          <w:tcPr>
            <w:tcW w:w="851" w:type="dxa"/>
            <w:tcBorders>
              <w:top w:val="nil"/>
              <w:left w:val="nil"/>
              <w:bottom w:val="single" w:sz="4" w:space="0" w:color="000000"/>
              <w:right w:val="nil"/>
            </w:tcBorders>
            <w:shd w:val="clear" w:color="auto" w:fill="auto"/>
            <w:noWrap/>
            <w:vAlign w:val="center"/>
          </w:tcPr>
          <w:p w14:paraId="0D8C33E8" w14:textId="4C7EDB7C" w:rsidR="00D7210C" w:rsidRPr="006D631C" w:rsidRDefault="00D7210C" w:rsidP="00D7210C">
            <w:pPr>
              <w:spacing w:line="240" w:lineRule="auto"/>
              <w:jc w:val="left"/>
              <w:rPr>
                <w:color w:val="000000"/>
                <w:sz w:val="12"/>
                <w:szCs w:val="12"/>
              </w:rPr>
            </w:pPr>
            <w:r w:rsidRPr="006D631C">
              <w:rPr>
                <w:sz w:val="12"/>
                <w:szCs w:val="12"/>
              </w:rPr>
              <w:t>P-A-59</w:t>
            </w:r>
          </w:p>
        </w:tc>
        <w:tc>
          <w:tcPr>
            <w:tcW w:w="709" w:type="dxa"/>
            <w:tcBorders>
              <w:top w:val="nil"/>
              <w:left w:val="nil"/>
              <w:bottom w:val="single" w:sz="4" w:space="0" w:color="auto"/>
              <w:right w:val="nil"/>
            </w:tcBorders>
            <w:shd w:val="clear" w:color="000000" w:fill="FFFFFF"/>
            <w:vAlign w:val="center"/>
          </w:tcPr>
          <w:p w14:paraId="56AFF278" w14:textId="39B6F173" w:rsidR="00D7210C" w:rsidRPr="006D631C" w:rsidRDefault="00D7210C" w:rsidP="00D7210C">
            <w:pPr>
              <w:spacing w:line="240" w:lineRule="auto"/>
              <w:jc w:val="left"/>
              <w:rPr>
                <w:color w:val="000000"/>
                <w:sz w:val="12"/>
                <w:szCs w:val="12"/>
              </w:rPr>
            </w:pPr>
            <w:r w:rsidRPr="006D631C">
              <w:rPr>
                <w:sz w:val="12"/>
                <w:szCs w:val="12"/>
              </w:rPr>
              <w:t>C-10b</w:t>
            </w:r>
          </w:p>
        </w:tc>
        <w:tc>
          <w:tcPr>
            <w:tcW w:w="708" w:type="dxa"/>
            <w:tcBorders>
              <w:top w:val="nil"/>
              <w:left w:val="nil"/>
              <w:bottom w:val="single" w:sz="4" w:space="0" w:color="auto"/>
              <w:right w:val="nil"/>
            </w:tcBorders>
            <w:shd w:val="clear" w:color="000000" w:fill="FFFFFF"/>
            <w:vAlign w:val="center"/>
          </w:tcPr>
          <w:p w14:paraId="36F5BF5C" w14:textId="3A59949B" w:rsidR="00D7210C" w:rsidRPr="006D631C" w:rsidRDefault="00D7210C" w:rsidP="00D7210C">
            <w:pPr>
              <w:spacing w:line="240" w:lineRule="auto"/>
              <w:jc w:val="left"/>
              <w:rPr>
                <w:color w:val="000000"/>
                <w:sz w:val="12"/>
                <w:szCs w:val="12"/>
              </w:rPr>
            </w:pPr>
            <w:r w:rsidRPr="006D631C">
              <w:rPr>
                <w:sz w:val="12"/>
                <w:szCs w:val="12"/>
              </w:rPr>
              <w:t>I-1</w:t>
            </w:r>
          </w:p>
        </w:tc>
        <w:tc>
          <w:tcPr>
            <w:tcW w:w="1276" w:type="dxa"/>
            <w:tcBorders>
              <w:top w:val="nil"/>
              <w:left w:val="nil"/>
              <w:bottom w:val="single" w:sz="4" w:space="0" w:color="auto"/>
              <w:right w:val="nil"/>
            </w:tcBorders>
            <w:shd w:val="clear" w:color="000000" w:fill="FFFFFF"/>
            <w:noWrap/>
            <w:vAlign w:val="center"/>
          </w:tcPr>
          <w:p w14:paraId="0CBAF721" w14:textId="1FC6361F" w:rsidR="00D7210C" w:rsidRPr="006D631C" w:rsidRDefault="00D7210C" w:rsidP="00D7210C">
            <w:pPr>
              <w:spacing w:line="240" w:lineRule="auto"/>
              <w:ind w:left="37"/>
              <w:jc w:val="left"/>
              <w:rPr>
                <w:color w:val="000000"/>
                <w:sz w:val="12"/>
                <w:szCs w:val="12"/>
              </w:rPr>
            </w:pPr>
            <w:r w:rsidRPr="006D631C">
              <w:rPr>
                <w:sz w:val="12"/>
                <w:szCs w:val="12"/>
              </w:rPr>
              <w:t>22.8 (</w:t>
            </w:r>
            <w:r w:rsidRPr="006D631C">
              <w:rPr>
                <w:color w:val="000000"/>
                <w:sz w:val="12"/>
                <w:szCs w:val="12"/>
              </w:rPr>
              <w:t>L</w:t>
            </w:r>
            <w:r w:rsidRPr="006D631C">
              <w:rPr>
                <w:color w:val="000000"/>
                <w:sz w:val="12"/>
                <w:szCs w:val="12"/>
                <w:vertAlign w:val="subscript"/>
              </w:rPr>
              <w:t>α</w:t>
            </w:r>
            <w:r w:rsidRPr="006D631C">
              <w:rPr>
                <w:sz w:val="12"/>
                <w:szCs w:val="12"/>
              </w:rPr>
              <w:t xml:space="preserve"> + </w:t>
            </w:r>
            <w:r w:rsidRPr="006D631C">
              <w:rPr>
                <w:color w:val="000000"/>
                <w:sz w:val="12"/>
                <w:szCs w:val="12"/>
              </w:rPr>
              <w:t>L</w:t>
            </w:r>
            <w:r w:rsidRPr="006D631C">
              <w:rPr>
                <w:color w:val="000000"/>
                <w:sz w:val="12"/>
                <w:szCs w:val="12"/>
                <w:vertAlign w:val="subscript"/>
              </w:rPr>
              <w:t>1</w:t>
            </w:r>
            <w:r w:rsidRPr="006D631C">
              <w:rPr>
                <w:sz w:val="12"/>
                <w:szCs w:val="12"/>
              </w:rPr>
              <w:t>)</w:t>
            </w:r>
          </w:p>
        </w:tc>
        <w:tc>
          <w:tcPr>
            <w:tcW w:w="1418" w:type="dxa"/>
            <w:tcBorders>
              <w:top w:val="nil"/>
              <w:left w:val="nil"/>
              <w:bottom w:val="single" w:sz="4" w:space="0" w:color="auto"/>
              <w:right w:val="nil"/>
            </w:tcBorders>
            <w:shd w:val="clear" w:color="000000" w:fill="FFFFFF"/>
            <w:vAlign w:val="center"/>
          </w:tcPr>
          <w:p w14:paraId="7BA76422" w14:textId="1F7A936F" w:rsidR="00D7210C" w:rsidRPr="006D631C" w:rsidRDefault="00D7210C" w:rsidP="00D7210C">
            <w:pPr>
              <w:spacing w:line="240" w:lineRule="auto"/>
              <w:jc w:val="left"/>
              <w:rPr>
                <w:color w:val="000000"/>
                <w:sz w:val="12"/>
                <w:szCs w:val="12"/>
              </w:rPr>
            </w:pPr>
            <w:r w:rsidRPr="006D631C">
              <w:rPr>
                <w:sz w:val="12"/>
                <w:szCs w:val="12"/>
              </w:rPr>
              <w:t>Packed hard sphere structure</w:t>
            </w:r>
          </w:p>
        </w:tc>
        <w:tc>
          <w:tcPr>
            <w:tcW w:w="1134" w:type="dxa"/>
            <w:tcBorders>
              <w:top w:val="nil"/>
              <w:left w:val="nil"/>
              <w:bottom w:val="single" w:sz="4" w:space="0" w:color="auto"/>
              <w:right w:val="nil"/>
            </w:tcBorders>
            <w:shd w:val="clear" w:color="000000" w:fill="FFFFFF"/>
            <w:noWrap/>
            <w:vAlign w:val="center"/>
          </w:tcPr>
          <w:p w14:paraId="5FB96090" w14:textId="3C76B994" w:rsidR="00D7210C" w:rsidRPr="006D631C" w:rsidRDefault="00D7210C" w:rsidP="00D7210C">
            <w:pPr>
              <w:spacing w:line="240" w:lineRule="auto"/>
              <w:jc w:val="left"/>
              <w:rPr>
                <w:color w:val="000000"/>
                <w:sz w:val="12"/>
                <w:szCs w:val="12"/>
              </w:rPr>
            </w:pPr>
            <w:r w:rsidRPr="006D631C">
              <w:rPr>
                <w:sz w:val="12"/>
                <w:szCs w:val="12"/>
              </w:rPr>
              <w:t>19.5</w:t>
            </w:r>
          </w:p>
        </w:tc>
        <w:tc>
          <w:tcPr>
            <w:tcW w:w="1134" w:type="dxa"/>
            <w:tcBorders>
              <w:top w:val="nil"/>
              <w:left w:val="nil"/>
              <w:bottom w:val="single" w:sz="4" w:space="0" w:color="auto"/>
              <w:right w:val="nil"/>
            </w:tcBorders>
            <w:shd w:val="clear" w:color="000000" w:fill="FFFFFF"/>
            <w:noWrap/>
            <w:vAlign w:val="center"/>
          </w:tcPr>
          <w:p w14:paraId="65BA6A06" w14:textId="31BA3BB5" w:rsidR="00D7210C" w:rsidRPr="006D631C" w:rsidRDefault="00D7210C" w:rsidP="00D7210C">
            <w:pPr>
              <w:spacing w:line="240" w:lineRule="auto"/>
              <w:jc w:val="left"/>
              <w:rPr>
                <w:color w:val="000000"/>
                <w:sz w:val="12"/>
                <w:szCs w:val="12"/>
              </w:rPr>
            </w:pPr>
            <w:r w:rsidRPr="006D631C">
              <w:rPr>
                <w:sz w:val="12"/>
                <w:szCs w:val="12"/>
              </w:rPr>
              <w:t>26.5</w:t>
            </w:r>
          </w:p>
        </w:tc>
        <w:tc>
          <w:tcPr>
            <w:tcW w:w="5244" w:type="dxa"/>
            <w:tcBorders>
              <w:top w:val="nil"/>
              <w:left w:val="nil"/>
              <w:bottom w:val="single" w:sz="4" w:space="0" w:color="auto"/>
              <w:right w:val="nil"/>
            </w:tcBorders>
            <w:shd w:val="clear" w:color="000000" w:fill="FFFFFF"/>
            <w:noWrap/>
            <w:vAlign w:val="center"/>
          </w:tcPr>
          <w:p w14:paraId="3B824FBB" w14:textId="024B5341"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P-A-59a was used in this study</w:t>
            </w:r>
          </w:p>
        </w:tc>
        <w:tc>
          <w:tcPr>
            <w:tcW w:w="426" w:type="dxa"/>
            <w:tcBorders>
              <w:top w:val="nil"/>
              <w:left w:val="nil"/>
              <w:bottom w:val="single" w:sz="4" w:space="0" w:color="auto"/>
              <w:right w:val="nil"/>
            </w:tcBorders>
            <w:shd w:val="clear" w:color="000000" w:fill="FFFFFF"/>
            <w:vAlign w:val="center"/>
          </w:tcPr>
          <w:p w14:paraId="113993D3" w14:textId="60AEF685" w:rsidR="00D7210C" w:rsidRPr="006D631C" w:rsidRDefault="00D7210C" w:rsidP="002E14E4">
            <w:pPr>
              <w:spacing w:line="240" w:lineRule="auto"/>
              <w:jc w:val="left"/>
              <w:rPr>
                <w:color w:val="000000"/>
                <w:sz w:val="12"/>
                <w:szCs w:val="12"/>
              </w:rPr>
            </w:pPr>
            <w:r w:rsidRPr="006D631C">
              <w:rPr>
                <w:sz w:val="12"/>
                <w:szCs w:val="12"/>
              </w:rPr>
              <w:fldChar w:fldCharType="begin" w:fldLock="1"/>
            </w:r>
            <w:r w:rsidR="005C60C1" w:rsidRPr="006D631C">
              <w:rPr>
                <w:sz w:val="12"/>
                <w:szCs w:val="12"/>
              </w:rPr>
              <w:instrText>ADDIN CSL_CITATION {"citationItems":[{"id":"ITEM-1","itemData":{"DOI":"10.1039/c1sm06364b","ISSN":"1744-683X","abstract":"A self-supporting biomimetic chemical hydrogel that can be reversibly swollen in water is described. An aqueous dispersion of a diacrylate end-derivatized PEO-PPO-PEO macromer, a saturated phospholipid, and a zwitterionic co-surfactant self-assembles into a multilamellar-structured physical gel at room temperature as determined by SAXS. The addition of a water soluble PEGDA co-monomer and photoinitiator within the water layers does not alter the self-assembled structure. ATR/FT-IR spectroscopy reveals that photoirradiation initiates the crosslinking between the acrylate end groups on the macromer with the PEGDA, forming a polymeric network within the aqueous domains. The primitive cytoskeleton mimic serves to stabilize the amphiphile bilayer, converting the physical gel into an elastic self-supporting chemical gel. Storage under ambient conditions causes dehydration of the hydrogel to 5 wt % water which can be reversed by swelling in water. The fully water swollen gel (85 wt % water) remains self-supporting but converts to a non-lamellar structure. As water is lost the chemical gel regains its lamellar structure. Incubation of the hydrogel in nonpolar organic solvents that do not dissolve the uncrosslinked lipid component (hexane) allow for swelling without loss of structural integrity. Chloroform, which readily solubilizes the lipid, causes irreversible loss of the lamellar structure. © 2011 The Royal Society of Chemistry.","author":[{"dropping-particle":"","family":"Grubjesic","given":"Simonida","non-dropping-particle":"","parse-names":false,"suffix":""},{"dropping-particle":"","family":"Lee","given":"Byeongdu","non-dropping-particle":"","parse-names":false,"suffix":""},{"dropping-particle":"","family":"Seifert","given":"Sönke","non-dropping-particle":"","parse-names":false,"suffix":""},{"dropping-particle":"","family":"Firestone","given":"Millicent A.","non-dropping-particle":"","parse-names":false,"suffix":""}],"container-title":"Soft Matter","id":"ITEM-1","issue":"20","issued":{"date-parts":[["2011"]]},"page":"9695","title":"Preparation of a self-supporting cell architecture mimic by water channel confined photocrosslinking within a lamellar structured hydrogel","type":"article-journal","volume":"7"},"uris":["http://www.mendeley.com/documents/?uuid=6ea39c6f-9a66-47d2-9f3e-f7229ea48288"]}],"mendeley":{"formattedCitation":"&lt;sup&gt;105&lt;/sup&gt;","plainTextFormattedCitation":"105","previouslyFormattedCitation":"&lt;sup&gt;105&lt;/sup&gt;"},"properties":{"noteIndex":0},"schema":"https://github.com/citation-style-language/schema/raw/master/csl-citation.json"}</w:instrText>
            </w:r>
            <w:r w:rsidRPr="006D631C">
              <w:rPr>
                <w:sz w:val="12"/>
                <w:szCs w:val="12"/>
              </w:rPr>
              <w:fldChar w:fldCharType="separate"/>
            </w:r>
            <w:r w:rsidR="002E14E4" w:rsidRPr="006D631C">
              <w:rPr>
                <w:noProof/>
                <w:sz w:val="12"/>
                <w:szCs w:val="12"/>
                <w:vertAlign w:val="superscript"/>
              </w:rPr>
              <w:t>105</w:t>
            </w:r>
            <w:r w:rsidRPr="006D631C">
              <w:rPr>
                <w:sz w:val="12"/>
                <w:szCs w:val="12"/>
              </w:rPr>
              <w:fldChar w:fldCharType="end"/>
            </w:r>
          </w:p>
        </w:tc>
      </w:tr>
      <w:tr w:rsidR="00D7210C" w:rsidRPr="006D631C" w14:paraId="7207007F" w14:textId="77777777" w:rsidTr="00D7210C">
        <w:trPr>
          <w:trHeight w:val="20"/>
          <w:jc w:val="center"/>
        </w:trPr>
        <w:tc>
          <w:tcPr>
            <w:tcW w:w="851" w:type="dxa"/>
            <w:tcBorders>
              <w:top w:val="nil"/>
              <w:left w:val="nil"/>
              <w:bottom w:val="single" w:sz="4" w:space="0" w:color="000000"/>
              <w:right w:val="nil"/>
            </w:tcBorders>
            <w:noWrap/>
            <w:vAlign w:val="center"/>
          </w:tcPr>
          <w:p w14:paraId="2494D08C" w14:textId="68DF4725" w:rsidR="00D7210C" w:rsidRPr="006D631C" w:rsidRDefault="00D7210C" w:rsidP="00D7210C">
            <w:pPr>
              <w:spacing w:line="240" w:lineRule="auto"/>
              <w:jc w:val="left"/>
              <w:rPr>
                <w:color w:val="000000"/>
                <w:sz w:val="12"/>
                <w:szCs w:val="12"/>
              </w:rPr>
            </w:pPr>
          </w:p>
        </w:tc>
        <w:tc>
          <w:tcPr>
            <w:tcW w:w="709" w:type="dxa"/>
            <w:tcBorders>
              <w:top w:val="nil"/>
              <w:left w:val="nil"/>
              <w:bottom w:val="single" w:sz="4" w:space="0" w:color="auto"/>
              <w:right w:val="nil"/>
            </w:tcBorders>
            <w:shd w:val="clear" w:color="000000" w:fill="FFFFFF"/>
            <w:vAlign w:val="center"/>
          </w:tcPr>
          <w:p w14:paraId="7C114680" w14:textId="19A6D142" w:rsidR="00D7210C" w:rsidRPr="006D631C" w:rsidRDefault="00D7210C" w:rsidP="00D7210C">
            <w:pPr>
              <w:spacing w:line="240" w:lineRule="auto"/>
              <w:jc w:val="left"/>
              <w:rPr>
                <w:color w:val="000000"/>
                <w:sz w:val="12"/>
                <w:szCs w:val="12"/>
              </w:rPr>
            </w:pPr>
            <w:r w:rsidRPr="006D631C">
              <w:rPr>
                <w:sz w:val="12"/>
                <w:szCs w:val="12"/>
              </w:rPr>
              <w:t>-</w:t>
            </w:r>
          </w:p>
        </w:tc>
        <w:tc>
          <w:tcPr>
            <w:tcW w:w="708" w:type="dxa"/>
            <w:tcBorders>
              <w:top w:val="nil"/>
              <w:left w:val="nil"/>
              <w:bottom w:val="single" w:sz="4" w:space="0" w:color="auto"/>
              <w:right w:val="nil"/>
            </w:tcBorders>
            <w:shd w:val="clear" w:color="000000" w:fill="FFFFFF"/>
            <w:vAlign w:val="center"/>
          </w:tcPr>
          <w:p w14:paraId="3DCA8CD1" w14:textId="2FB68760" w:rsidR="00D7210C" w:rsidRPr="006D631C" w:rsidRDefault="00D7210C" w:rsidP="00D7210C">
            <w:pPr>
              <w:spacing w:line="240" w:lineRule="auto"/>
              <w:jc w:val="left"/>
              <w:rPr>
                <w:color w:val="000000"/>
                <w:sz w:val="12"/>
                <w:szCs w:val="12"/>
              </w:rPr>
            </w:pPr>
            <w:r w:rsidRPr="006D631C">
              <w:rPr>
                <w:sz w:val="12"/>
                <w:szCs w:val="12"/>
              </w:rPr>
              <w:t>I-3 or I-9</w:t>
            </w:r>
          </w:p>
        </w:tc>
        <w:tc>
          <w:tcPr>
            <w:tcW w:w="1276" w:type="dxa"/>
            <w:tcBorders>
              <w:top w:val="nil"/>
              <w:left w:val="nil"/>
              <w:bottom w:val="single" w:sz="4" w:space="0" w:color="auto"/>
              <w:right w:val="nil"/>
            </w:tcBorders>
            <w:shd w:val="clear" w:color="000000" w:fill="FFFFFF"/>
            <w:noWrap/>
            <w:vAlign w:val="center"/>
          </w:tcPr>
          <w:p w14:paraId="1E89128F" w14:textId="189FC3D5" w:rsidR="00D7210C" w:rsidRPr="006D631C" w:rsidRDefault="00D7210C" w:rsidP="000B4053">
            <w:pPr>
              <w:spacing w:line="240" w:lineRule="auto"/>
              <w:ind w:left="37"/>
              <w:jc w:val="left"/>
              <w:rPr>
                <w:color w:val="000000"/>
                <w:sz w:val="12"/>
                <w:szCs w:val="12"/>
              </w:rPr>
            </w:pPr>
            <w:r w:rsidRPr="006D631C">
              <w:rPr>
                <w:sz w:val="12"/>
                <w:szCs w:val="12"/>
              </w:rPr>
              <w:t>5 - 24 (</w:t>
            </w:r>
            <w:r w:rsidR="000B4053" w:rsidRPr="006D631C">
              <w:rPr>
                <w:sz w:val="12"/>
                <w:szCs w:val="12"/>
              </w:rPr>
              <w:t>I</w:t>
            </w:r>
            <w:r w:rsidR="000B4053" w:rsidRPr="006D631C">
              <w:rPr>
                <w:sz w:val="12"/>
                <w:szCs w:val="12"/>
                <w:vertAlign w:val="subscript"/>
              </w:rPr>
              <w:t>1</w:t>
            </w:r>
            <w:r w:rsidRPr="006D631C">
              <w:rPr>
                <w:sz w:val="12"/>
                <w:szCs w:val="12"/>
              </w:rPr>
              <w:t xml:space="preserve"> with FCC lattice)</w:t>
            </w:r>
          </w:p>
        </w:tc>
        <w:tc>
          <w:tcPr>
            <w:tcW w:w="1418" w:type="dxa"/>
            <w:tcBorders>
              <w:top w:val="nil"/>
              <w:left w:val="nil"/>
              <w:bottom w:val="single" w:sz="4" w:space="0" w:color="auto"/>
              <w:right w:val="nil"/>
            </w:tcBorders>
            <w:shd w:val="clear" w:color="000000" w:fill="FFFFFF"/>
            <w:vAlign w:val="center"/>
          </w:tcPr>
          <w:p w14:paraId="0B99A941" w14:textId="50915988" w:rsidR="00D7210C" w:rsidRPr="006D631C" w:rsidRDefault="00D7210C" w:rsidP="00D7210C">
            <w:pPr>
              <w:spacing w:line="240" w:lineRule="auto"/>
              <w:jc w:val="left"/>
              <w:rPr>
                <w:color w:val="000000"/>
                <w:sz w:val="12"/>
                <w:szCs w:val="12"/>
              </w:rPr>
            </w:pPr>
            <w:r w:rsidRPr="006D631C">
              <w:rPr>
                <w:sz w:val="12"/>
                <w:szCs w:val="12"/>
              </w:rPr>
              <w:t>Retention of the structure</w:t>
            </w:r>
          </w:p>
        </w:tc>
        <w:tc>
          <w:tcPr>
            <w:tcW w:w="1134" w:type="dxa"/>
            <w:tcBorders>
              <w:top w:val="nil"/>
              <w:left w:val="nil"/>
              <w:bottom w:val="single" w:sz="4" w:space="0" w:color="auto"/>
              <w:right w:val="nil"/>
            </w:tcBorders>
            <w:shd w:val="clear" w:color="000000" w:fill="FFFFFF"/>
            <w:noWrap/>
            <w:vAlign w:val="center"/>
          </w:tcPr>
          <w:p w14:paraId="20FEEA06" w14:textId="7D3F4D15" w:rsidR="00D7210C" w:rsidRPr="006D631C" w:rsidRDefault="00D7210C" w:rsidP="00D7210C">
            <w:pPr>
              <w:spacing w:line="240" w:lineRule="auto"/>
              <w:jc w:val="left"/>
              <w:rPr>
                <w:color w:val="000000"/>
                <w:sz w:val="12"/>
                <w:szCs w:val="12"/>
              </w:rPr>
            </w:pPr>
            <w:r w:rsidRPr="006D631C">
              <w:rPr>
                <w:sz w:val="12"/>
                <w:szCs w:val="12"/>
              </w:rPr>
              <w:t xml:space="preserve">~15 - 30 </w:t>
            </w:r>
          </w:p>
        </w:tc>
        <w:tc>
          <w:tcPr>
            <w:tcW w:w="1134" w:type="dxa"/>
            <w:tcBorders>
              <w:top w:val="nil"/>
              <w:left w:val="nil"/>
              <w:bottom w:val="single" w:sz="4" w:space="0" w:color="auto"/>
              <w:right w:val="nil"/>
            </w:tcBorders>
            <w:shd w:val="clear" w:color="000000" w:fill="FFFFFF"/>
            <w:noWrap/>
            <w:vAlign w:val="center"/>
          </w:tcPr>
          <w:p w14:paraId="6E649FA0" w14:textId="1B0C4571" w:rsidR="00D7210C" w:rsidRPr="006D631C" w:rsidRDefault="00D7210C" w:rsidP="00D7210C">
            <w:pPr>
              <w:spacing w:line="240" w:lineRule="auto"/>
              <w:jc w:val="left"/>
              <w:rPr>
                <w:color w:val="000000"/>
                <w:sz w:val="12"/>
                <w:szCs w:val="12"/>
              </w:rPr>
            </w:pPr>
            <w:r w:rsidRPr="006D631C">
              <w:rPr>
                <w:sz w:val="12"/>
                <w:szCs w:val="12"/>
              </w:rPr>
              <w:t xml:space="preserve">~15 - 30 </w:t>
            </w:r>
          </w:p>
        </w:tc>
        <w:tc>
          <w:tcPr>
            <w:tcW w:w="5244" w:type="dxa"/>
            <w:tcBorders>
              <w:top w:val="nil"/>
              <w:left w:val="nil"/>
              <w:bottom w:val="single" w:sz="4" w:space="0" w:color="auto"/>
              <w:right w:val="nil"/>
            </w:tcBorders>
            <w:shd w:val="clear" w:color="000000" w:fill="FFFFFF"/>
            <w:noWrap/>
            <w:vAlign w:val="center"/>
          </w:tcPr>
          <w:p w14:paraId="1F3372B1" w14:textId="77777777"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 xml:space="preserve">PolyLLC showed excellent mechanical properties, conductivity, and </w:t>
            </w:r>
            <w:proofErr w:type="spellStart"/>
            <w:r w:rsidRPr="006D631C">
              <w:rPr>
                <w:rFonts w:eastAsia="Times New Roman" w:cs="Times New Roman"/>
                <w:sz w:val="12"/>
                <w:szCs w:val="12"/>
              </w:rPr>
              <w:t>mechanoelectrical</w:t>
            </w:r>
            <w:proofErr w:type="spellEnd"/>
            <w:r w:rsidRPr="006D631C">
              <w:rPr>
                <w:rFonts w:eastAsia="Times New Roman" w:cs="Times New Roman"/>
                <w:sz w:val="12"/>
                <w:szCs w:val="12"/>
              </w:rPr>
              <w:t xml:space="preserve"> response </w:t>
            </w:r>
          </w:p>
          <w:p w14:paraId="254CA6DA" w14:textId="1FDE0D51"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PolyLLC can be used as a motion and temperature sensor with sufficient sensitivity and accuracy</w:t>
            </w:r>
          </w:p>
        </w:tc>
        <w:tc>
          <w:tcPr>
            <w:tcW w:w="426" w:type="dxa"/>
            <w:tcBorders>
              <w:top w:val="nil"/>
              <w:left w:val="nil"/>
              <w:bottom w:val="single" w:sz="4" w:space="0" w:color="auto"/>
              <w:right w:val="nil"/>
            </w:tcBorders>
            <w:shd w:val="clear" w:color="000000" w:fill="FFFFFF"/>
            <w:vAlign w:val="center"/>
          </w:tcPr>
          <w:p w14:paraId="08A9B810" w14:textId="7FF96E79" w:rsidR="00D7210C" w:rsidRPr="006D631C" w:rsidRDefault="00D7210C" w:rsidP="004549E9">
            <w:pPr>
              <w:spacing w:line="240" w:lineRule="auto"/>
              <w:ind w:right="-104"/>
              <w:jc w:val="left"/>
              <w:rPr>
                <w:color w:val="000000"/>
                <w:sz w:val="12"/>
                <w:szCs w:val="12"/>
              </w:rPr>
            </w:pPr>
            <w:r w:rsidRPr="006D631C">
              <w:rPr>
                <w:sz w:val="12"/>
                <w:szCs w:val="12"/>
              </w:rPr>
              <w:fldChar w:fldCharType="begin" w:fldLock="1"/>
            </w:r>
            <w:r w:rsidR="00F5362E" w:rsidRPr="006D631C">
              <w:rPr>
                <w:sz w:val="12"/>
                <w:szCs w:val="12"/>
              </w:rPr>
              <w:instrText>ADDIN CSL_CITATION {"citationItems":[{"id":"ITEM-1","itemData":{"DOI":"10.1021/acsami.8b10672","ISSN":"19448252","abstract":"An ultrastretchable iono-elastomer with resistance sensitive to both elongation strain and temperature has been developed by hierarchical self-assembly of an end functionalized triblock copolymer in a protic ionic liquid (ethylammonium nitrate) followed by cross-linking. Small-angle X-ray scattering experiments in situ with uniaxial elongation reveal a nanoscale microstructural transition of the hierarchically self-assembled cross-linked micelles that is responsible for the material's remarkable mechanical and ionic conductivity responses. The results show that the intermicelle distance extends along the deformation direction while the micelles organize into a long-range ordered face-centered-cubic structure during the uniaxial elongation. Besides good cyclability and resistance to selected physical damage, the iono-elastomer simultaneously achieves an unprecedented combination of high stretchability (340%), highly linear resistance vs elongation strain (R2 = 0.998), and large temperature gauge factor (ΔR/R = 3.24%/°C@30 °C). Human subject testing demonstrates that the iono-elastomer-based wearable thermomechanical sensor is able to effectively and accurately register both body motion and skin temperature simultaneously.","author":[{"dropping-particle":"","family":"Xie","given":"Yunsong","non-dropping-particle":"","parse-names":false,"suffix":""},{"dropping-particle":"","family":"Xie","given":"Ru","non-dropping-particle":"","parse-names":false,"suffix":""},{"dropping-particle":"","family":"Yang","given":"Hao Cheng","non-dropping-particle":"","parse-names":false,"suffix":""},{"dropping-particle":"","family":"Chen","given":"Zhaowei","non-dropping-particle":"","parse-names":false,"suffix":""},{"dropping-particle":"","family":"Hou","given":"Jingwei","non-dropping-particle":"","parse-names":false,"suffix":""},{"dropping-particle":"","family":"López-Barrón","given":"Carlos R.","non-dropping-particle":"","parse-names":false,"suffix":""},{"dropping-particle":"","family":"Wagner","given":"Norman J.","non-dropping-particle":"","parse-names":false,"suffix":""},{"dropping-particle":"","family":"Gao","given":"Kai Zhong","non-dropping-particle":"","parse-names":false,"suffix":""}],"container-title":"ACS Applied Materials and Interfaces","id":"ITEM-1","issue":"38","issued":{"date-parts":[["2018"]]},"page":"32435-32443","title":"Iono-Elastomer-Based Wearable Strain Sensor with Real-Time Thermomechanical Dual Response","type":"article-journal","volume":"10"},"uris":["http://www.mendeley.com/documents/?uuid=ac01ca70-c8c7-4385-90f3-881be2b6ddd1"]},{"id":"ITEM-2","itemData":{"DOI":"10.1021/acs.macromol.6b00205","ISSN":"15205835","abstract":"The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J.","non-dropping-particle":"","parse-names":false,"suffix":""}],"container-title":"Macromolecules","id":"ITEM-2","issue":"14","issued":{"date-parts":[["2016"]]},"page":"5179-5189","title":"Self-Assembly of Pluronic F127 Diacrylate in Ethylammonium Nitrate: Structure, Rheology, and Ionic Conductivity before and after Photo-Cross-Linking","type":"article-journal","volume":"49"},"uris":["http://www.mendeley.com/documents/?uuid=6ddc0c83-b7e6-4ae7-bbbe-b38e8eb525a5"]},{"id":"ITEM-3","itemData":{"DOI":"10.1021/acsmacrolett.6b00790","ISSN":"21611653","abstract":"The emerging technologies involving wearable electronics require new materials with high stretchability, resistance to high loads, and high conductivities. We report a facile synthetic strategy based on self-assembly of concentrated solutions of end-functionalized PEO106-PPO70-PEO106 triblock copolymer in ethylammonium nitrate into face-centered cubic micellar crystals, followed by micelle corona cross-linking to generate elastomeric ion gels (iono-elastomers). These materials exhibit an unprecedented combination of high stretchability, high ionic conductivity, and mechanoelectrical response. The latter consists of a remarkable and counterintuitive increase in ion conductivity with strain during uniaxial extension, which is reversible upon load release. Based on in situ SAXS measurements of reversible crystal structure transformations during deformation, we postulate that the origin of the conductivity increase is a reversible formation of ion nanochannels due to a novel microstructural rearrangement specific to this material.","author":[{"dropping-particle":"","family":"López-Barrón","given":"Carlos R.","non-dropping-particle":"","parse-names":false,"suffix":""},{"dropping-particle":"","family":"Chen","given":"Ru","non-dropping-particle":"","parse-names":false,"suffix":""},{"dropping-particle":"","family":"Wagner","given":"Norman J.","non-dropping-particle":"","parse-names":false,"suffix":""}],"container-title":"ACS Macro Letters","id":"ITEM-3","issue":"12","issued":{"date-parts":[["2016"]]},"page":"1332-1338","title":"Ultrastretchable Iono-Elastomers with Mechanoelectrical Response","type":"article-journal","volume":"5"},"uris":["http://www.mendeley.com/documents/?uuid=d94ed24e-94b1-4abc-96df-3cf80d984941"]}],"mendeley":{"formattedCitation":"&lt;sup&gt;13,47,48&lt;/sup&gt;","plainTextFormattedCitation":"13,47,48","previouslyFormattedCitation":"&lt;sup&gt;13,47,48&lt;/sup&gt;"},"properties":{"noteIndex":0},"schema":"https://github.com/citation-style-language/schema/raw/master/csl-citation.json"}</w:instrText>
            </w:r>
            <w:r w:rsidRPr="006D631C">
              <w:rPr>
                <w:sz w:val="12"/>
                <w:szCs w:val="12"/>
              </w:rPr>
              <w:fldChar w:fldCharType="separate"/>
            </w:r>
            <w:r w:rsidRPr="006D631C">
              <w:rPr>
                <w:noProof/>
                <w:sz w:val="12"/>
                <w:szCs w:val="12"/>
              </w:rPr>
              <w:t>13,47,48</w:t>
            </w:r>
            <w:r w:rsidRPr="006D631C">
              <w:rPr>
                <w:sz w:val="12"/>
                <w:szCs w:val="12"/>
              </w:rPr>
              <w:fldChar w:fldCharType="end"/>
            </w:r>
          </w:p>
        </w:tc>
      </w:tr>
      <w:tr w:rsidR="00D7210C" w:rsidRPr="006D631C" w14:paraId="1EAC136C" w14:textId="77777777" w:rsidTr="00D7210C">
        <w:trPr>
          <w:trHeight w:val="20"/>
          <w:jc w:val="center"/>
        </w:trPr>
        <w:tc>
          <w:tcPr>
            <w:tcW w:w="851" w:type="dxa"/>
            <w:tcBorders>
              <w:top w:val="nil"/>
              <w:left w:val="nil"/>
              <w:bottom w:val="single" w:sz="4" w:space="0" w:color="auto"/>
              <w:right w:val="nil"/>
            </w:tcBorders>
            <w:shd w:val="clear" w:color="000000" w:fill="FFFFFF"/>
            <w:noWrap/>
            <w:vAlign w:val="center"/>
          </w:tcPr>
          <w:p w14:paraId="05ACD30A" w14:textId="087442C6" w:rsidR="00D7210C" w:rsidRPr="006D631C" w:rsidRDefault="00D7210C" w:rsidP="00D7210C">
            <w:pPr>
              <w:spacing w:line="240" w:lineRule="auto"/>
              <w:jc w:val="left"/>
              <w:rPr>
                <w:color w:val="000000"/>
                <w:sz w:val="12"/>
                <w:szCs w:val="12"/>
              </w:rPr>
            </w:pPr>
            <w:r w:rsidRPr="006D631C">
              <w:rPr>
                <w:sz w:val="12"/>
                <w:szCs w:val="12"/>
              </w:rPr>
              <w:t>P-A-60</w:t>
            </w:r>
          </w:p>
        </w:tc>
        <w:tc>
          <w:tcPr>
            <w:tcW w:w="709" w:type="dxa"/>
            <w:tcBorders>
              <w:top w:val="nil"/>
              <w:left w:val="nil"/>
              <w:bottom w:val="single" w:sz="4" w:space="0" w:color="auto"/>
              <w:right w:val="nil"/>
            </w:tcBorders>
            <w:shd w:val="clear" w:color="000000" w:fill="FFFFFF"/>
            <w:vAlign w:val="center"/>
          </w:tcPr>
          <w:p w14:paraId="5228EB44" w14:textId="6F3251AF" w:rsidR="00D7210C" w:rsidRPr="006D631C" w:rsidRDefault="00D7210C" w:rsidP="00D7210C">
            <w:pPr>
              <w:spacing w:line="240" w:lineRule="auto"/>
              <w:jc w:val="left"/>
              <w:rPr>
                <w:color w:val="000000"/>
                <w:sz w:val="12"/>
                <w:szCs w:val="12"/>
              </w:rPr>
            </w:pPr>
            <w:r w:rsidRPr="006D631C">
              <w:rPr>
                <w:sz w:val="12"/>
                <w:szCs w:val="12"/>
              </w:rPr>
              <w:t>C-1</w:t>
            </w:r>
          </w:p>
        </w:tc>
        <w:tc>
          <w:tcPr>
            <w:tcW w:w="708" w:type="dxa"/>
            <w:tcBorders>
              <w:top w:val="nil"/>
              <w:left w:val="nil"/>
              <w:bottom w:val="single" w:sz="4" w:space="0" w:color="auto"/>
              <w:right w:val="nil"/>
            </w:tcBorders>
            <w:shd w:val="clear" w:color="000000" w:fill="FFFFFF"/>
            <w:vAlign w:val="center"/>
          </w:tcPr>
          <w:p w14:paraId="06D6783B" w14:textId="7874A9C5" w:rsidR="00D7210C" w:rsidRPr="006D631C" w:rsidRDefault="00D7210C" w:rsidP="00D7210C">
            <w:pPr>
              <w:spacing w:line="240" w:lineRule="auto"/>
              <w:jc w:val="left"/>
              <w:rPr>
                <w:color w:val="000000"/>
                <w:sz w:val="12"/>
                <w:szCs w:val="12"/>
              </w:rPr>
            </w:pPr>
            <w:r w:rsidRPr="006D631C">
              <w:rPr>
                <w:sz w:val="12"/>
                <w:szCs w:val="12"/>
              </w:rPr>
              <w:t>I-12 or      I-20</w:t>
            </w:r>
          </w:p>
        </w:tc>
        <w:tc>
          <w:tcPr>
            <w:tcW w:w="1276" w:type="dxa"/>
            <w:tcBorders>
              <w:top w:val="single" w:sz="4" w:space="0" w:color="auto"/>
              <w:left w:val="nil"/>
              <w:bottom w:val="single" w:sz="4" w:space="0" w:color="auto"/>
              <w:right w:val="nil"/>
            </w:tcBorders>
            <w:shd w:val="clear" w:color="000000" w:fill="FFFFFF"/>
            <w:noWrap/>
            <w:vAlign w:val="center"/>
          </w:tcPr>
          <w:p w14:paraId="6CCF31D1" w14:textId="6A0413B2" w:rsidR="00D7210C" w:rsidRPr="006D631C" w:rsidRDefault="00D7210C" w:rsidP="00D7210C">
            <w:pPr>
              <w:spacing w:line="240" w:lineRule="auto"/>
              <w:ind w:left="37"/>
              <w:jc w:val="left"/>
              <w:rPr>
                <w:color w:val="000000"/>
                <w:sz w:val="12"/>
                <w:szCs w:val="12"/>
              </w:rPr>
            </w:pPr>
            <w:r w:rsidRPr="006D631C">
              <w:rPr>
                <w:sz w:val="12"/>
                <w:szCs w:val="12"/>
              </w:rPr>
              <w:t>25 (</w:t>
            </w:r>
            <w:r w:rsidRPr="006D631C">
              <w:rPr>
                <w:color w:val="000000"/>
                <w:sz w:val="12"/>
                <w:szCs w:val="12"/>
              </w:rPr>
              <w:t>Q</w:t>
            </w:r>
            <w:r w:rsidRPr="006D631C">
              <w:rPr>
                <w:color w:val="000000"/>
                <w:sz w:val="12"/>
                <w:szCs w:val="12"/>
                <w:vertAlign w:val="subscript"/>
              </w:rPr>
              <w:t>2</w:t>
            </w:r>
            <w:r w:rsidRPr="006D631C">
              <w:rPr>
                <w:sz w:val="12"/>
                <w:szCs w:val="12"/>
              </w:rPr>
              <w:t>)</w:t>
            </w:r>
          </w:p>
        </w:tc>
        <w:tc>
          <w:tcPr>
            <w:tcW w:w="1418" w:type="dxa"/>
            <w:tcBorders>
              <w:top w:val="single" w:sz="4" w:space="0" w:color="auto"/>
              <w:left w:val="nil"/>
              <w:bottom w:val="single" w:sz="4" w:space="0" w:color="auto"/>
              <w:right w:val="nil"/>
            </w:tcBorders>
            <w:shd w:val="clear" w:color="000000" w:fill="FFFFFF"/>
            <w:vAlign w:val="center"/>
          </w:tcPr>
          <w:p w14:paraId="63B71C94" w14:textId="41180DD0" w:rsidR="00D7210C" w:rsidRPr="006D631C" w:rsidRDefault="00D7210C" w:rsidP="00D7210C">
            <w:pPr>
              <w:spacing w:line="240" w:lineRule="auto"/>
              <w:jc w:val="left"/>
              <w:rPr>
                <w:color w:val="000000"/>
                <w:sz w:val="12"/>
                <w:szCs w:val="12"/>
              </w:rPr>
            </w:pPr>
            <w:r w:rsidRPr="006D631C">
              <w:rPr>
                <w:sz w:val="12"/>
                <w:szCs w:val="12"/>
              </w:rPr>
              <w:t>Retention of the structure</w:t>
            </w:r>
          </w:p>
        </w:tc>
        <w:tc>
          <w:tcPr>
            <w:tcW w:w="1134" w:type="dxa"/>
            <w:tcBorders>
              <w:top w:val="single" w:sz="4" w:space="0" w:color="auto"/>
              <w:left w:val="nil"/>
              <w:bottom w:val="single" w:sz="4" w:space="0" w:color="auto"/>
              <w:right w:val="nil"/>
            </w:tcBorders>
            <w:shd w:val="clear" w:color="000000" w:fill="FFFFFF"/>
            <w:noWrap/>
            <w:vAlign w:val="center"/>
          </w:tcPr>
          <w:p w14:paraId="02D04B23" w14:textId="52D6C19F" w:rsidR="00D7210C" w:rsidRPr="006D631C" w:rsidRDefault="00D7210C" w:rsidP="00D7210C">
            <w:pPr>
              <w:spacing w:line="240" w:lineRule="auto"/>
              <w:jc w:val="left"/>
              <w:rPr>
                <w:color w:val="000000"/>
                <w:sz w:val="12"/>
                <w:szCs w:val="12"/>
              </w:rPr>
            </w:pPr>
            <w:r w:rsidRPr="006D631C">
              <w:rPr>
                <w:sz w:val="12"/>
                <w:szCs w:val="12"/>
              </w:rPr>
              <w:t>-</w:t>
            </w:r>
          </w:p>
        </w:tc>
        <w:tc>
          <w:tcPr>
            <w:tcW w:w="1134" w:type="dxa"/>
            <w:tcBorders>
              <w:top w:val="single" w:sz="4" w:space="0" w:color="auto"/>
              <w:left w:val="nil"/>
              <w:bottom w:val="single" w:sz="4" w:space="0" w:color="auto"/>
              <w:right w:val="nil"/>
            </w:tcBorders>
            <w:shd w:val="clear" w:color="000000" w:fill="FFFFFF"/>
            <w:noWrap/>
            <w:vAlign w:val="center"/>
          </w:tcPr>
          <w:p w14:paraId="0BDF2A60" w14:textId="13CEE188" w:rsidR="00D7210C" w:rsidRPr="006D631C" w:rsidRDefault="00D7210C" w:rsidP="00D7210C">
            <w:pPr>
              <w:spacing w:line="240" w:lineRule="auto"/>
              <w:jc w:val="left"/>
              <w:rPr>
                <w:color w:val="000000"/>
                <w:sz w:val="12"/>
                <w:szCs w:val="12"/>
              </w:rPr>
            </w:pPr>
            <w:r w:rsidRPr="006D631C">
              <w:rPr>
                <w:sz w:val="12"/>
                <w:szCs w:val="12"/>
              </w:rPr>
              <w:t>-</w:t>
            </w:r>
          </w:p>
        </w:tc>
        <w:tc>
          <w:tcPr>
            <w:tcW w:w="5244" w:type="dxa"/>
            <w:tcBorders>
              <w:top w:val="single" w:sz="4" w:space="0" w:color="auto"/>
              <w:left w:val="nil"/>
              <w:bottom w:val="single" w:sz="4" w:space="0" w:color="auto"/>
              <w:right w:val="nil"/>
            </w:tcBorders>
            <w:shd w:val="clear" w:color="000000" w:fill="FFFFFF"/>
            <w:noWrap/>
            <w:vAlign w:val="center"/>
          </w:tcPr>
          <w:p w14:paraId="0B69623F" w14:textId="5495521D" w:rsidR="00D7210C" w:rsidRPr="006D631C" w:rsidRDefault="00D7210C" w:rsidP="00D7210C">
            <w:pPr>
              <w:pStyle w:val="ListParagraph"/>
              <w:numPr>
                <w:ilvl w:val="0"/>
                <w:numId w:val="11"/>
              </w:numPr>
              <w:spacing w:after="0" w:line="240" w:lineRule="auto"/>
              <w:ind w:left="173" w:hanging="142"/>
              <w:jc w:val="left"/>
              <w:rPr>
                <w:rFonts w:eastAsia="Times New Roman" w:cs="Times New Roman"/>
                <w:i/>
                <w:iCs/>
                <w:color w:val="000000"/>
                <w:sz w:val="12"/>
                <w:szCs w:val="12"/>
              </w:rPr>
            </w:pPr>
            <w:r w:rsidRPr="006D631C">
              <w:rPr>
                <w:rFonts w:eastAsia="Times New Roman" w:cs="Times New Roman"/>
                <w:sz w:val="12"/>
                <w:szCs w:val="12"/>
              </w:rPr>
              <w:t xml:space="preserve">The LLC was used to prepare and polymerize nanoparticles with </w:t>
            </w:r>
            <w:r w:rsidRPr="006D631C">
              <w:rPr>
                <w:rFonts w:eastAsia="Times New Roman" w:cs="Times New Roman"/>
                <w:color w:val="000000"/>
                <w:sz w:val="12"/>
                <w:szCs w:val="12"/>
              </w:rPr>
              <w:t>Q</w:t>
            </w:r>
            <w:r w:rsidRPr="006D631C">
              <w:rPr>
                <w:rFonts w:eastAsia="Times New Roman" w:cs="Times New Roman"/>
                <w:color w:val="000000"/>
                <w:sz w:val="12"/>
                <w:szCs w:val="12"/>
                <w:vertAlign w:val="subscript"/>
              </w:rPr>
              <w:t>2</w:t>
            </w:r>
            <w:r w:rsidRPr="006D631C">
              <w:rPr>
                <w:rFonts w:eastAsia="Times New Roman" w:cs="Times New Roman"/>
                <w:sz w:val="12"/>
                <w:szCs w:val="12"/>
              </w:rPr>
              <w:t xml:space="preserve"> structure (stabilized </w:t>
            </w:r>
            <w:proofErr w:type="spellStart"/>
            <w:r w:rsidRPr="006D631C">
              <w:rPr>
                <w:rFonts w:eastAsia="Times New Roman" w:cs="Times New Roman"/>
                <w:sz w:val="12"/>
                <w:szCs w:val="12"/>
              </w:rPr>
              <w:t>cubosomes</w:t>
            </w:r>
            <w:proofErr w:type="spellEnd"/>
            <w:r w:rsidRPr="006D631C">
              <w:rPr>
                <w:rFonts w:eastAsia="Times New Roman" w:cs="Times New Roman"/>
                <w:sz w:val="12"/>
                <w:szCs w:val="12"/>
              </w:rPr>
              <w:t>)</w:t>
            </w:r>
          </w:p>
        </w:tc>
        <w:tc>
          <w:tcPr>
            <w:tcW w:w="426" w:type="dxa"/>
            <w:tcBorders>
              <w:top w:val="single" w:sz="4" w:space="0" w:color="auto"/>
              <w:left w:val="nil"/>
              <w:bottom w:val="single" w:sz="4" w:space="0" w:color="auto"/>
              <w:right w:val="nil"/>
            </w:tcBorders>
            <w:shd w:val="clear" w:color="000000" w:fill="FFFFFF"/>
            <w:vAlign w:val="center"/>
          </w:tcPr>
          <w:p w14:paraId="64EACC4A" w14:textId="4958CF8A" w:rsidR="00D7210C" w:rsidRPr="006D631C" w:rsidRDefault="00D7210C" w:rsidP="00D7210C">
            <w:pPr>
              <w:spacing w:line="240" w:lineRule="auto"/>
              <w:jc w:val="left"/>
              <w:rPr>
                <w:color w:val="000000"/>
                <w:sz w:val="12"/>
                <w:szCs w:val="12"/>
              </w:rPr>
            </w:pPr>
            <w:r w:rsidRPr="006D631C">
              <w:rPr>
                <w:sz w:val="12"/>
                <w:szCs w:val="12"/>
              </w:rPr>
              <w:fldChar w:fldCharType="begin" w:fldLock="1"/>
            </w:r>
            <w:r w:rsidRPr="006D631C">
              <w:rPr>
                <w:sz w:val="12"/>
                <w:szCs w:val="12"/>
              </w:rPr>
              <w:instrText>ADDIN CSL_CITATION {"citationItems":[{"id":"ITEM-1","itemData":{"DOI":"10.1021/ja026085g","ISSN":"00027863","abstract":"Bicontinuous cubic phases of monoacylglycerides/Poloxamer 407 (PEO98PPO67PEO98)/water can be dispersed into submicron particles, which are termed \"cubosomes\". Technological applications of these nanoparticles may be possible, if their nonlamellar architecture can be rendered more robust. To accomplish this goal, a polymerizable heterobifunctional monoacylglycerol, 3-(2,4,13-(E,E)-tetradecatrienoyl)-sn-glycerol (1), was synthesized and combined with water to form an optically transparent gel. In the presence of Poloxamer 407 and excess water the cubic phase of 1 was dispersed by ultrasonication into 300-nm diameter nanoparticles. The polymerization of these reactive cubosomes could be initiated either by the use of a photoinitiator or with redox chemistry. The polymerized cubosomes remained stable even after the addition of excess Triton X-100, in a manner consistent with executing cross-linking in the nanostructures. Copyright © 2002 American Chemical Society.","author":[{"dropping-particle":"","family":"Yang","given":"Da","non-dropping-particle":"","parse-names":false,"suffix":""},{"dropping-particle":"","family":"O'Brien","given":"David F.","non-dropping-particle":"","parse-names":false,"suffix":""},{"dropping-particle":"","family":"Marder","given":"Seth R.","non-dropping-particle":"","parse-names":false,"suffix":""}],"container-title":"Journal of the American Chemical Society","id":"ITEM-1","issue":"45","issued":{"date-parts":[["2002"]]},"page":"13388-13389","title":"Polymerized bicontinuous cubic nanoparticles (Cubosomes) from a reactive monoacylglycerol","type":"article-journal","volume":"124"},"uris":["http://www.mendeley.com/documents/?uuid=6ca78313-7040-4c56-88d4-d82fadce02ba"]}],"mendeley":{"formattedCitation":"&lt;sup&gt;110&lt;/sup&gt;","plainTextFormattedCitation":"110","previouslyFormattedCitation":"&lt;sup&gt;110&lt;/sup&gt;"},"properties":{"noteIndex":0},"schema":"https://github.com/citation-style-language/schema/raw/master/csl-citation.json"}</w:instrText>
            </w:r>
            <w:r w:rsidRPr="006D631C">
              <w:rPr>
                <w:sz w:val="12"/>
                <w:szCs w:val="12"/>
              </w:rPr>
              <w:fldChar w:fldCharType="separate"/>
            </w:r>
            <w:r w:rsidRPr="006D631C">
              <w:rPr>
                <w:noProof/>
                <w:sz w:val="12"/>
                <w:szCs w:val="12"/>
              </w:rPr>
              <w:t>110</w:t>
            </w:r>
            <w:r w:rsidRPr="006D631C">
              <w:rPr>
                <w:sz w:val="12"/>
                <w:szCs w:val="12"/>
              </w:rPr>
              <w:fldChar w:fldCharType="end"/>
            </w:r>
          </w:p>
        </w:tc>
      </w:tr>
    </w:tbl>
    <w:p w14:paraId="0E7FFE54" w14:textId="084FA870" w:rsidR="00975360" w:rsidRPr="006D631C" w:rsidRDefault="00975360" w:rsidP="009927F0">
      <w:pPr>
        <w:spacing w:line="276" w:lineRule="auto"/>
      </w:pPr>
      <w:r w:rsidRPr="006D631C">
        <w:rPr>
          <w:rFonts w:asciiTheme="majorBidi" w:hAnsiTheme="majorBidi" w:cstheme="majorBidi"/>
          <w:sz w:val="14"/>
          <w:szCs w:val="14"/>
        </w:rPr>
        <w:t xml:space="preserve">* Calculated d-spacing for the primary reflection in the SAXS profile; TDS: Total dissolved solid; DOC: Dissolved organic carbon; FW: Flow back water; PDA: </w:t>
      </w:r>
      <w:proofErr w:type="spellStart"/>
      <w:r w:rsidRPr="006D631C">
        <w:rPr>
          <w:rFonts w:asciiTheme="majorBidi" w:hAnsiTheme="majorBidi" w:cstheme="majorBidi"/>
          <w:sz w:val="14"/>
          <w:szCs w:val="14"/>
        </w:rPr>
        <w:t>Polydopamine</w:t>
      </w:r>
      <w:proofErr w:type="spellEnd"/>
      <w:r w:rsidRPr="006D631C">
        <w:rPr>
          <w:rFonts w:asciiTheme="majorBidi" w:hAnsiTheme="majorBidi" w:cstheme="majorBidi"/>
          <w:sz w:val="14"/>
          <w:szCs w:val="14"/>
        </w:rPr>
        <w:t xml:space="preserve">; CEES: 2-Chloroethyl ethyl sulfide; DMMP: Dimethyl </w:t>
      </w:r>
      <w:proofErr w:type="spellStart"/>
      <w:r w:rsidRPr="006D631C">
        <w:rPr>
          <w:rFonts w:asciiTheme="majorBidi" w:hAnsiTheme="majorBidi" w:cstheme="majorBidi"/>
          <w:sz w:val="14"/>
          <w:szCs w:val="14"/>
        </w:rPr>
        <w:t>methylphosphonate</w:t>
      </w:r>
      <w:proofErr w:type="spellEnd"/>
      <w:r w:rsidRPr="006D631C">
        <w:rPr>
          <w:rFonts w:asciiTheme="majorBidi" w:hAnsiTheme="majorBidi" w:cstheme="majorBidi"/>
          <w:sz w:val="14"/>
          <w:szCs w:val="14"/>
        </w:rPr>
        <w:t xml:space="preserve">; DOP: </w:t>
      </w:r>
      <w:proofErr w:type="spellStart"/>
      <w:r w:rsidRPr="006D631C">
        <w:rPr>
          <w:rFonts w:asciiTheme="majorBidi" w:hAnsiTheme="majorBidi" w:cstheme="majorBidi"/>
          <w:sz w:val="14"/>
          <w:szCs w:val="14"/>
        </w:rPr>
        <w:t>Dioctyl</w:t>
      </w:r>
      <w:proofErr w:type="spellEnd"/>
      <w:r w:rsidRPr="006D631C">
        <w:rPr>
          <w:rFonts w:asciiTheme="majorBidi" w:hAnsiTheme="majorBidi" w:cstheme="majorBidi"/>
          <w:sz w:val="14"/>
          <w:szCs w:val="14"/>
        </w:rPr>
        <w:t xml:space="preserve"> phthalate; </w:t>
      </w:r>
      <w:proofErr w:type="spellStart"/>
      <w:r w:rsidRPr="006D631C">
        <w:rPr>
          <w:rFonts w:asciiTheme="majorBidi" w:hAnsiTheme="majorBidi" w:cstheme="majorBidi"/>
          <w:sz w:val="14"/>
          <w:szCs w:val="14"/>
        </w:rPr>
        <w:t>ChO</w:t>
      </w:r>
      <w:proofErr w:type="spellEnd"/>
      <w:r w:rsidRPr="006D631C">
        <w:rPr>
          <w:rFonts w:asciiTheme="majorBidi" w:hAnsiTheme="majorBidi" w:cstheme="majorBidi"/>
          <w:sz w:val="14"/>
          <w:szCs w:val="14"/>
        </w:rPr>
        <w:t>: Chemical oxidation</w:t>
      </w:r>
    </w:p>
    <w:p w14:paraId="712DFA6F" w14:textId="77777777" w:rsidR="00E96EE0" w:rsidRPr="006D631C" w:rsidRDefault="00E96EE0" w:rsidP="00E96EE0">
      <w:pPr>
        <w:sectPr w:rsidR="00E96EE0" w:rsidRPr="006D631C" w:rsidSect="00E96EE0">
          <w:pgSz w:w="15840" w:h="12240" w:orient="landscape"/>
          <w:pgMar w:top="1440" w:right="1440" w:bottom="1440" w:left="1440" w:header="720" w:footer="720" w:gutter="0"/>
          <w:cols w:space="720"/>
          <w:docGrid w:linePitch="360"/>
        </w:sectPr>
      </w:pPr>
    </w:p>
    <w:p w14:paraId="61DA4B44" w14:textId="4A1FE558" w:rsidR="00676F6C" w:rsidRPr="006D631C" w:rsidRDefault="00676F6C" w:rsidP="00CB7643">
      <w:pPr>
        <w:pStyle w:val="Heading2"/>
      </w:pPr>
      <w:bookmarkStart w:id="69" w:name="_Toc131082871"/>
      <w:bookmarkStart w:id="70" w:name="_Toc148175789"/>
      <w:r w:rsidRPr="006D631C">
        <w:lastRenderedPageBreak/>
        <w:t>1.4 Transcriptive LLC templating</w:t>
      </w:r>
      <w:bookmarkEnd w:id="69"/>
      <w:bookmarkEnd w:id="70"/>
      <w:r w:rsidRPr="006D631C">
        <w:t xml:space="preserve"> </w:t>
      </w:r>
    </w:p>
    <w:p w14:paraId="3D5AC635" w14:textId="4451F5FF" w:rsidR="00E96EE0" w:rsidRPr="006D631C" w:rsidRDefault="00666CF1" w:rsidP="000B67AC">
      <w:pPr>
        <w:ind w:firstLine="357"/>
        <w:rPr>
          <w:rFonts w:eastAsia="Calibri"/>
        </w:rPr>
      </w:pPr>
      <w:r w:rsidRPr="006D631C">
        <w:rPr>
          <w:rFonts w:eastAsia="Calibri"/>
        </w:rPr>
        <w:t xml:space="preserve">Although synergistic templating is in many cases sufficient for obtaining polymerized LLCs with a variety of nanostructures for different applications, the tedious in-lab synthesis of many reactive </w:t>
      </w:r>
      <w:proofErr w:type="spellStart"/>
      <w:r w:rsidRPr="006D631C">
        <w:rPr>
          <w:rFonts w:eastAsia="Calibri"/>
        </w:rPr>
        <w:t>amphiphiles</w:t>
      </w:r>
      <w:proofErr w:type="spellEnd"/>
      <w:r w:rsidRPr="006D631C">
        <w:rPr>
          <w:rFonts w:eastAsia="Calibri"/>
        </w:rPr>
        <w:t xml:space="preserve"> can be a drawback. While some recent works have used commercially available formulation additives in </w:t>
      </w:r>
      <w:r w:rsidR="00C43DD1" w:rsidRPr="006D631C">
        <w:rPr>
          <w:rFonts w:eastAsia="Calibri"/>
        </w:rPr>
        <w:t>conjunction</w:t>
      </w:r>
      <w:r w:rsidRPr="006D631C">
        <w:rPr>
          <w:rFonts w:eastAsia="Calibri"/>
        </w:rPr>
        <w:t xml:space="preserve"> with surfactants obtained from one-pot synthesis,</w:t>
      </w:r>
      <w:r w:rsidRPr="006D631C">
        <w:rPr>
          <w:rFonts w:eastAsia="Calibri"/>
        </w:rPr>
        <w:fldChar w:fldCharType="begin" w:fldLock="1"/>
      </w:r>
      <w:r w:rsidR="000A36DC" w:rsidRPr="006D631C">
        <w:rPr>
          <w:rFonts w:eastAsia="Calibr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rFonts w:eastAsia="Calibri"/>
        </w:rPr>
        <w:fldChar w:fldCharType="separate"/>
      </w:r>
      <w:r w:rsidR="00F5362E" w:rsidRPr="006D631C">
        <w:rPr>
          <w:rFonts w:eastAsia="Calibri"/>
          <w:noProof/>
          <w:vertAlign w:val="superscript"/>
        </w:rPr>
        <w:t>31</w:t>
      </w:r>
      <w:r w:rsidRPr="006D631C">
        <w:rPr>
          <w:rFonts w:eastAsia="Calibri"/>
        </w:rPr>
        <w:fldChar w:fldCharType="end"/>
      </w:r>
      <w:r w:rsidRPr="006D631C">
        <w:rPr>
          <w:rFonts w:eastAsia="Calibri"/>
        </w:rPr>
        <w:t xml:space="preserve"> the synthesis of many reactive </w:t>
      </w:r>
      <w:proofErr w:type="spellStart"/>
      <w:r w:rsidRPr="006D631C">
        <w:rPr>
          <w:rFonts w:eastAsia="Calibri"/>
        </w:rPr>
        <w:t>amphiphiles</w:t>
      </w:r>
      <w:proofErr w:type="spellEnd"/>
      <w:r w:rsidRPr="006D631C">
        <w:rPr>
          <w:rFonts w:eastAsia="Calibri"/>
        </w:rPr>
        <w:t xml:space="preserve"> can be more involved (e.g. Gemini surfactants for cubic </w:t>
      </w:r>
      <w:proofErr w:type="spellStart"/>
      <w:r w:rsidRPr="006D631C">
        <w:rPr>
          <w:rFonts w:eastAsia="Calibri"/>
        </w:rPr>
        <w:t>bicontinuous</w:t>
      </w:r>
      <w:proofErr w:type="spellEnd"/>
      <w:r w:rsidRPr="006D631C">
        <w:rPr>
          <w:rFonts w:eastAsia="Calibri"/>
        </w:rPr>
        <w:t xml:space="preserve"> mesophases). This issue is also an obstacle in rapid industrial adoption of </w:t>
      </w:r>
      <w:proofErr w:type="spellStart"/>
      <w:r w:rsidRPr="006D631C">
        <w:rPr>
          <w:rFonts w:eastAsia="Calibri"/>
        </w:rPr>
        <w:t>polyLLCs</w:t>
      </w:r>
      <w:proofErr w:type="spellEnd"/>
      <w:r w:rsidRPr="006D631C">
        <w:rPr>
          <w:rFonts w:eastAsia="Calibri"/>
        </w:rPr>
        <w:t>. Therefore, there have been several efforts to use a combination of commercially available surfactants and monomers instead. In this approach, a non-polymerizable surfactant is usually used to direct the LLC formation followed by the polymerization of the monomer. At the end of this process, which is called transcriptive templating, a polymer having the structure of the parent LLC is formed. Both ternary mixtures of water/hydrophobic monomer/surfactant and binary mixtures of hydrophilic monomer + water/surfactant are common in this templating approach. Despite the advantages obtained from easy sourcing of commercially available materials, preserving the structure of LLC template during polymerization is more challenging in transcriptive templating compared to synergistic templating. Because the formed polymer is not chemically bond to the surfactant, polymerization-induced phase separation/inversion becomes highly probable, reducing the chances of successful transcriptive templating. This issue has been addressed by addition of cross-linkers in the mesophase formulation, using reactive (co)surfactants, and employing block copolymer (BCP) surfactants. The first two approaches are centered around the formation of a kinetically trapped cross-linked network and the last one makes phase-separation/inversion process kinetically slow, enhancing the retention of the structure.</w:t>
      </w:r>
      <w:r w:rsidRPr="006D631C">
        <w:rPr>
          <w:rFonts w:eastAsia="Calibri"/>
        </w:rPr>
        <w:fldChar w:fldCharType="begin" w:fldLock="1"/>
      </w:r>
      <w:r w:rsidR="000A36DC" w:rsidRPr="006D631C">
        <w:rPr>
          <w:rFonts w:eastAsia="Calibr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rFonts w:eastAsia="Calibri"/>
        </w:rPr>
        <w:fldChar w:fldCharType="separate"/>
      </w:r>
      <w:r w:rsidR="00F5362E" w:rsidRPr="006D631C">
        <w:rPr>
          <w:rFonts w:eastAsia="Calibri"/>
          <w:noProof/>
          <w:vertAlign w:val="superscript"/>
        </w:rPr>
        <w:t>32</w:t>
      </w:r>
      <w:r w:rsidRPr="006D631C">
        <w:rPr>
          <w:rFonts w:eastAsia="Calibri"/>
        </w:rPr>
        <w:fldChar w:fldCharType="end"/>
      </w:r>
      <w:r w:rsidRPr="006D631C">
        <w:rPr>
          <w:rFonts w:eastAsia="Calibri"/>
        </w:rPr>
        <w:t xml:space="preserve"> Transcriptive templating is very flexible since different monomers can be polymerized with the same surfactant system </w:t>
      </w:r>
      <w:r w:rsidRPr="006D631C">
        <w:rPr>
          <w:rFonts w:eastAsia="Calibri"/>
        </w:rPr>
        <w:lastRenderedPageBreak/>
        <w:t>without the need for synthesis of new chemicals. Moreover, copolymerization can also be used in the process to add chemical functionality to the final product.</w:t>
      </w:r>
      <w:r w:rsidRPr="006D631C">
        <w:rPr>
          <w:rFonts w:eastAsia="Calibri"/>
        </w:rPr>
        <w:fldChar w:fldCharType="begin" w:fldLock="1"/>
      </w:r>
      <w:r w:rsidR="004C7F22" w:rsidRPr="006D631C">
        <w:rPr>
          <w:rFonts w:eastAsia="Calibri"/>
        </w:rPr>
        <w:instrText>ADDIN CSL_CITATION {"citationItems":[{"id":"ITEM-1","itemData":{"DOI":"10.1021/ma9812478","ISSN":"00249297","abstract":"Polymerization of hydrophilic monomers, such as acrylamide, in the confinement of lyotropic liquid crystalline phases of nonionic surfactants produces gels with variable pore architecture in the hundreds of nanometers to micrometers size range. The porous gels are characterized by scanning electron microscopy after critical-point drying. The structure of the gels depends on the type of monomer, cross-linking density, and both monomer and surfactant concentration and can be varied systematically to result in different pore morphologies with different pore sizes. In such a way it is possible to build the polymer network structure on a mesoscopic length scale, optimizing different network properties which are otherwise coupled in an opposite fashion; e.g., polymer networks with very large pore size and high mechanical stability can be made.","author":[{"dropping-particle":"","family":"Antonietti","given":"Markus","non-dropping-particle":"","parse-names":false,"suffix":""},{"dropping-particle":"","family":"Caruso","given":"Rachel A.","non-dropping-particle":"","parse-names":false,"suffix":""},{"dropping-particle":"","family":"Göltner","given":"Christine G.","non-dropping-particle":"","parse-names":false,"suffix":""},{"dropping-particle":"","family":"Weissenberger","given":"Markus C.","non-dropping-particle":"","parse-names":false,"suffix":""}],"container-title":"Macromolecules","id":"ITEM-1","issue":"5","issued":{"date-parts":[["1999"]]},"page":"1383-1389","title":"Morphology Variation of Porous Polymer Gels by Polymerization in Lyotropic Surfactant Phases","type":"article-journal","volume":"32"},"uris":["http://www.mendeley.com/documents/?uuid=b3a9dd2f-70ce-4746-b371-56e7e4cc2c21"]}],"mendeley":{"formattedCitation":"&lt;sup&gt;136&lt;/sup&gt;","plainTextFormattedCitation":"136","previouslyFormattedCitation":"&lt;sup&gt;136&lt;/sup&gt;"},"properties":{"noteIndex":0},"schema":"https://github.com/citation-style-language/schema/raw/master/csl-citation.json"}</w:instrText>
      </w:r>
      <w:r w:rsidRPr="006D631C">
        <w:rPr>
          <w:rFonts w:eastAsia="Calibri"/>
        </w:rPr>
        <w:fldChar w:fldCharType="separate"/>
      </w:r>
      <w:r w:rsidR="000B67AC" w:rsidRPr="006D631C">
        <w:rPr>
          <w:rFonts w:eastAsia="Calibri"/>
          <w:noProof/>
          <w:vertAlign w:val="superscript"/>
        </w:rPr>
        <w:t>136</w:t>
      </w:r>
      <w:r w:rsidRPr="006D631C">
        <w:rPr>
          <w:rFonts w:eastAsia="Calibri"/>
        </w:rPr>
        <w:fldChar w:fldCharType="end"/>
      </w:r>
      <w:r w:rsidRPr="006D631C">
        <w:rPr>
          <w:rFonts w:eastAsia="Calibri"/>
        </w:rPr>
        <w:t xml:space="preserve"> As such, a wide variety of surfactants, (co)monomers, and cross-linkers have been used in transcriptive LLC templating, as shown in Fig</w:t>
      </w:r>
      <w:r w:rsidR="005469E9" w:rsidRPr="006D631C">
        <w:rPr>
          <w:rFonts w:eastAsia="Calibri"/>
        </w:rPr>
        <w:t>ure</w:t>
      </w:r>
      <w:r w:rsidRPr="006D631C">
        <w:rPr>
          <w:rFonts w:eastAsia="Calibri"/>
        </w:rPr>
        <w:t xml:space="preserve"> </w:t>
      </w:r>
      <w:r w:rsidR="005469E9" w:rsidRPr="006D631C">
        <w:rPr>
          <w:rFonts w:eastAsia="Calibri"/>
        </w:rPr>
        <w:t>1-</w:t>
      </w:r>
      <w:r w:rsidRPr="006D631C">
        <w:rPr>
          <w:rFonts w:eastAsia="Calibri"/>
        </w:rPr>
        <w:t>4 and Fig</w:t>
      </w:r>
      <w:r w:rsidR="005469E9" w:rsidRPr="006D631C">
        <w:rPr>
          <w:rFonts w:eastAsia="Calibri"/>
        </w:rPr>
        <w:t>ure</w:t>
      </w:r>
      <w:r w:rsidRPr="006D631C">
        <w:rPr>
          <w:rFonts w:eastAsia="Calibri"/>
        </w:rPr>
        <w:t xml:space="preserve"> </w:t>
      </w:r>
      <w:r w:rsidR="005469E9" w:rsidRPr="006D631C">
        <w:rPr>
          <w:rFonts w:eastAsia="Calibri"/>
        </w:rPr>
        <w:t>1-</w:t>
      </w:r>
      <w:r w:rsidRPr="006D631C">
        <w:rPr>
          <w:rFonts w:eastAsia="Calibri"/>
        </w:rPr>
        <w:t xml:space="preserve">5. A summary of the reported results for each monomer is presented in Table </w:t>
      </w:r>
      <w:r w:rsidR="00681A48" w:rsidRPr="006D631C">
        <w:rPr>
          <w:rFonts w:eastAsia="Calibri"/>
        </w:rPr>
        <w:t>1-</w:t>
      </w:r>
      <w:r w:rsidRPr="006D631C">
        <w:rPr>
          <w:rFonts w:eastAsia="Calibri"/>
        </w:rPr>
        <w:t>3. Similar to synergistic templating, we will discuss the results of transcriptive templating for each type of LLC structure separately in the following sections.</w:t>
      </w:r>
    </w:p>
    <w:p w14:paraId="2517EC71" w14:textId="313DE0EC" w:rsidR="00E66EC7" w:rsidRPr="006D631C" w:rsidRDefault="00E66EC7" w:rsidP="00CB7643">
      <w:pPr>
        <w:pStyle w:val="Heading3"/>
      </w:pPr>
      <w:bookmarkStart w:id="71" w:name="_Toc131082872"/>
      <w:bookmarkStart w:id="72" w:name="_Toc148175790"/>
      <w:r w:rsidRPr="006D631C">
        <w:t>1.4.1 Hexagonal (H</w:t>
      </w:r>
      <w:r w:rsidRPr="006D631C">
        <w:rPr>
          <w:vertAlign w:val="subscript"/>
        </w:rPr>
        <w:t>α</w:t>
      </w:r>
      <w:r w:rsidRPr="006D631C">
        <w:t>)</w:t>
      </w:r>
      <w:bookmarkEnd w:id="71"/>
      <w:bookmarkEnd w:id="72"/>
      <w:r w:rsidRPr="006D631C">
        <w:t xml:space="preserve"> </w:t>
      </w:r>
    </w:p>
    <w:p w14:paraId="5563C7FD" w14:textId="30AA1ACF" w:rsidR="005F1AF8" w:rsidRPr="006D631C" w:rsidRDefault="005F1AF8" w:rsidP="000B67AC">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Transcriptive templating of a variety of monomers has been reported for the hexagonal phase structure. Based on the employed surfactants and LLC formul</w:t>
      </w:r>
      <w:r w:rsidR="00B25D10" w:rsidRPr="006D631C">
        <w:rPr>
          <w:rFonts w:asciiTheme="majorBidi" w:hAnsiTheme="majorBidi" w:cstheme="majorBidi"/>
        </w:rPr>
        <w:t>ations, lattice parameters of ~2.7 to ~</w:t>
      </w:r>
      <w:r w:rsidRPr="006D631C">
        <w:rPr>
          <w:rFonts w:asciiTheme="majorBidi" w:hAnsiTheme="majorBidi" w:cstheme="majorBidi"/>
        </w:rPr>
        <w:t>14 nm have been obtained for the templated products, a range which is quite similar to that obtained for synergistic templating with H</w:t>
      </w:r>
      <w:r w:rsidRPr="006D631C">
        <w:rPr>
          <w:rFonts w:asciiTheme="majorBidi" w:hAnsiTheme="majorBidi" w:cstheme="majorBidi"/>
          <w:vertAlign w:val="subscript"/>
        </w:rPr>
        <w:t>α</w:t>
      </w:r>
      <w:r w:rsidRPr="006D631C">
        <w:rPr>
          <w:rFonts w:asciiTheme="majorBidi" w:hAnsiTheme="majorBidi" w:cstheme="majorBidi"/>
        </w:rPr>
        <w:t xml:space="preserve">. As stated previously, the retention of structure in transcriptive templating is a major concern, especially after removal of the template. While most of the studies have used the three approaches mentioned above, Zhang </w:t>
      </w:r>
      <w:r w:rsidRPr="006D631C">
        <w:rPr>
          <w:rFonts w:asciiTheme="majorBidi" w:hAnsiTheme="majorBidi" w:cstheme="majorBidi"/>
          <w:i/>
          <w:iCs/>
        </w:rPr>
        <w:t>et al.</w:t>
      </w:r>
      <w:r w:rsidRPr="006D631C">
        <w:rPr>
          <w:rFonts w:asciiTheme="majorBidi" w:hAnsiTheme="majorBidi" w:cstheme="majorBidi"/>
        </w:rPr>
        <w:t xml:space="preserve"> have also tried an additional step to preserve the H</w:t>
      </w:r>
      <w:r w:rsidRPr="006D631C">
        <w:rPr>
          <w:rFonts w:asciiTheme="majorBidi" w:hAnsiTheme="majorBidi" w:cstheme="majorBidi"/>
          <w:vertAlign w:val="subscript"/>
        </w:rPr>
        <w:t>1</w:t>
      </w:r>
      <w:r w:rsidRPr="006D631C">
        <w:rPr>
          <w:rFonts w:asciiTheme="majorBidi" w:hAnsiTheme="majorBidi" w:cstheme="majorBidi"/>
        </w:rPr>
        <w:t xml:space="preserve"> structure directed by A-3 or A-14 surfactants after polymerization of M-24c and removal of the template.</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{"citationItems":[{"id":"ITEM-1","itemData":{"DOI":"10.1039/c1sm06526b","ISSN":"1744683X","abstract":"Retaining hexagonal lyotropic liquid crystal (LLC) structures in polymers after surfactant removal and drying is particularly challenging, as the surface tension existing during the drying processes tends to change the morphology. In this study, cross-linked poly(ethylene glycol) diacrylate (PEGDA) hydrogels were prepared in LLC hexagonal phases formed from a dodecyltrimethylammonium bromide (DTAB)/water system. The retention of the hexagonal LLC structures was examined by controlling the surface tension. Polarized light microscopy, X-ray diffraction and small angle X-ray scattering results indicate that the hexagonal LLC structure was successfully formed before polymerization and well retained after polymerization and after surfactant removal when the surface tension forces remained neutral. Controlling the surface tension during the drying process can retain the nanostructures templated from lyotropic liquid crystals which will result in the formation of materials with desired nanostructures. © 2011 The Royal Society of Chemistry.","author":[{"dropping-particle":"","family":"Zhang","given":"Juan","non-dropping-particle":"","parse-names":false,"suffix":""},{"dropping-particle":"","family":"Xie","given":"Zongli","non-dropping-particle":"","parse-names":false,"suffix":""},{"dropping-particle":"","family":"Hill","given":"Anita J.","non-dropping-particle":"","parse-names":false,"suffix":""},{"dropping-particle":"","family":"She","given":"Feng Hua","non-dropping-particle":"","parse-names":false,"suffix":""},{"dropping-particle":"","family":"Thornton","given":"Aaron W.","non-dropping-particle":"","parse-names":false,"suffix":""},{"dropping-particle":"","family":"Hoang","given":"Manh","non-dropping-particle":"","parse-names":false,"suffix":""},{"dropping-particle":"","family":"Kong","given":"Ling Xue","non-dropping-particle":"","parse-names":false,"suffix":""}],"container-title":"Soft Matter","id":"ITEM-1","issue":"7","issued":{"date-parts":[["2012"]]},"page":"2087-2094","title":"Structure retention in cross-linked poly(ethylene glycol) diacrylate hydrogel templated from a hexagonal lyotropic liquid crystal by controlling the surface tension","type":"article-journal","volume":"8"},"uris":["http://www.mendeley.com/documents/?uuid=abd3d476-8eaa-4369-b81b-e4257105514c"]}],"mendeley":{"formattedCitation":"&lt;sup&gt;137&lt;/sup&gt;","plainTextFormattedCitation":"137","previouslyFormattedCitation":"&lt;sup&gt;137&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137</w:t>
      </w:r>
      <w:r w:rsidRPr="006D631C">
        <w:rPr>
          <w:rFonts w:asciiTheme="majorBidi" w:hAnsiTheme="majorBidi" w:cstheme="majorBidi"/>
        </w:rPr>
        <w:fldChar w:fldCharType="end"/>
      </w:r>
      <w:r w:rsidRPr="006D631C">
        <w:rPr>
          <w:rFonts w:asciiTheme="majorBidi" w:hAnsiTheme="majorBidi" w:cstheme="majorBidi"/>
        </w:rPr>
        <w:t xml:space="preserve"> They have reported that when the drying step is carried out under zero surface tension (by replacing water with CO</w:t>
      </w:r>
      <w:r w:rsidRPr="006D631C">
        <w:rPr>
          <w:rFonts w:asciiTheme="majorBidi" w:hAnsiTheme="majorBidi" w:cstheme="majorBidi"/>
          <w:vertAlign w:val="subscript"/>
        </w:rPr>
        <w:t>2</w:t>
      </w:r>
      <w:r w:rsidRPr="006D631C">
        <w:rPr>
          <w:rFonts w:asciiTheme="majorBidi" w:hAnsiTheme="majorBidi" w:cstheme="majorBidi"/>
        </w:rPr>
        <w:t>) it is possible to retain the structure.</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{"citationItems":[{"id":"ITEM-1","itemData":{"DOI":"10.1039/c1sm06526b","ISSN":"1744683X","abstract":"Retaining hexagonal lyotropic liquid crystal (LLC) structures in polymers after surfactant removal and drying is particularly challenging, as the surface tension existing during the drying processes tends to change the morphology. In this study, cross-linked poly(ethylene glycol) diacrylate (PEGDA) hydrogels were prepared in LLC hexagonal phases formed from a dodecyltrimethylammonium bromide (DTAB)/water system. The retention of the hexagonal LLC structures was examined by controlling the surface tension. Polarized light microscopy, X-ray diffraction and small angle X-ray scattering results indicate that the hexagonal LLC structure was successfully formed before polymerization and well retained after polymerization and after surfactant removal when the surface tension forces remained neutral. Controlling the surface tension during the drying process can retain the nanostructures templated from lyotropic liquid crystals which will result in the formation of materials with desired nanostructures. © 2011 The Royal Society of Chemistry.","author":[{"dropping-particle":"","family":"Zhang","given":"Juan","non-dropping-particle":"","parse-names":false,"suffix":""},{"dropping-particle":"","family":"Xie","given":"Zongli","non-dropping-particle":"","parse-names":false,"suffix":""},{"dropping-particle":"","family":"Hill","given":"Anita J.","non-dropping-particle":"","parse-names":false,"suffix":""},{"dropping-particle":"","family":"She","given":"Feng Hua","non-dropping-particle":"","parse-names":false,"suffix":""},{"dropping-particle":"","family":"Thornton","given":"Aaron W.","non-dropping-particle":"","parse-names":false,"suffix":""},{"dropping-particle":"","family":"Hoang","given":"Manh","non-dropping-particle":"","parse-names":false,"suffix":""},{"dropping-particle":"","family":"Kong","given":"Ling Xue","non-dropping-particle":"","parse-names":false,"suffix":""}],"container-title":"Soft Matter","id":"ITEM-1","issue":"7","issued":{"date-parts":[["2012"]]},"page":"2087-2094","title":"Structure retention in cross-linked poly(ethylene glycol) diacrylate hydrogel templated from a hexagonal lyotropic liquid crystal by controlling the surface tension","type":"article-journal","volume":"8"},"uris":["http://www.mendeley.com/documents/?uuid=abd3d476-8eaa-4369-b81b-e4257105514c"]}],"mendeley":{"formattedCitation":"&lt;sup&gt;137&lt;/sup&gt;","plainTextFormattedCitation":"137","previouslyFormattedCitation":"&lt;sup&gt;137&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137</w:t>
      </w:r>
      <w:r w:rsidRPr="006D631C">
        <w:rPr>
          <w:rFonts w:asciiTheme="majorBidi" w:hAnsiTheme="majorBidi" w:cstheme="majorBidi"/>
        </w:rPr>
        <w:fldChar w:fldCharType="end"/>
      </w:r>
      <w:r w:rsidRPr="006D631C">
        <w:rPr>
          <w:rFonts w:asciiTheme="majorBidi" w:hAnsiTheme="majorBidi" w:cstheme="majorBidi"/>
        </w:rPr>
        <w:t xml:space="preserve"> In another effort, they were able to retain the parent structure using a regular drying method via reinforcing the polymerized LLC by an in-situ formed silica network.</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{"citationItems":[{"id":"ITEM-1","itemData":{"DOI":"10.1039/c4sm00589a","ISSN":"17446848","abstract":"Cross-linked poly(ethylene glycol) diacrylate (PEGDA) hydrogels with uniformly controlled nanoporous structures templated from hexagonal lyotropic liquid crystals (LLC) represent separation membrane materials with potentially high permeability and selectivity due to their high pore density and narrow pore size distribution. However, retaining LLC templated nanostructures is a challenge as the polymer gels are not strong enough to sustain the surface tension during the drying process. In the current study, cross-linked PEGDA gels were reinforced with a silica network synthesized via an in situ sol-gel method, which assists in the retention of the hexagonal LLC structure. The silica precursor does not obstruct the formation of hexagonal phases. After surfactant removal and drying, these hexagonal structures in samples with a certain amount of tetraethoxysilane (TEOS) loading are well retained while the nanostructures are collapsed in samples without silica reinforcement, leading to the hypothesis that the reinforcement provided by the silica network stabilizes the LLC structure. The study examines the conditions necessary for a sufficient and well dispersed silica network in PEGDA gels that contributes to the retention of original LLC structures, which potentially enables broad applications of these gels as biomedical and membrane materials. This journal is © the Partner Organisations 2014.","author":[{"dropping-particle":"","family":"Zhang","given":"Juan","non-dropping-particle":"","parse-names":false,"suffix":""},{"dropping-particle":"","family":"Xie","given":"Zongli","non-dropping-particle":"","parse-names":false,"suffix":""},{"dropping-particle":"","family":"Hoang","given":"Manh","non-dropping-particle":"","parse-names":false,"suffix":""},{"dropping-particle":"","family":"Hill","given":"Anita J.","non-dropping-particle":"","parse-names":false,"suffix":""},{"dropping-particle":"","family":"Cong","given":"Weiwei","non-dropping-particle":"","parse-names":false,"suffix":""},{"dropping-particle":"","family":"She","given":"Feng Hua","non-dropping-particle":"","parse-names":false,"suffix":""},{"dropping-particle":"","family":"Gao","given":"Weimin","non-dropping-particle":"","parse-names":false,"suffix":""},{"dropping-particle":"","family":"Kong","given":"Ling Xue","non-dropping-particle":"","parse-names":false,"suffix":""}],"container-title":"Soft Matter","id":"ITEM-1","issue":"28","issued":{"date-parts":[["2014"]]},"page":"5192-5200","title":"Retention of the original LLC structure in a cross-linked poly(ethylene glycol) diacrylate hydrogel with reinforcement from a silica network","type":"article-journal","volume":"10"},"uris":["http://www.mendeley.com/documents/?uuid=b242ed9a-b104-4590-bb54-620fad37889a"]}],"mendeley":{"formattedCitation":"&lt;sup&gt;138&lt;/sup&gt;","plainTextFormattedCitation":"138","previouslyFormattedCitation":"&lt;sup&gt;138&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138</w:t>
      </w:r>
      <w:r w:rsidRPr="006D631C">
        <w:rPr>
          <w:rFonts w:asciiTheme="majorBidi" w:hAnsiTheme="majorBidi" w:cstheme="majorBidi"/>
        </w:rPr>
        <w:fldChar w:fldCharType="end"/>
      </w:r>
      <w:r w:rsidRPr="006D631C">
        <w:rPr>
          <w:rFonts w:asciiTheme="majorBidi" w:hAnsiTheme="majorBidi" w:cstheme="majorBidi"/>
        </w:rPr>
        <w:t xml:space="preserve"> They have also shown that the required silica content for the structure retention can be reduced from 50 to 10 </w:t>
      </w:r>
      <w:proofErr w:type="spellStart"/>
      <w:r w:rsidRPr="006D631C">
        <w:rPr>
          <w:rFonts w:asciiTheme="majorBidi" w:hAnsiTheme="majorBidi" w:cstheme="majorBidi"/>
        </w:rPr>
        <w:t>wt</w:t>
      </w:r>
      <w:proofErr w:type="spellEnd"/>
      <w:r w:rsidRPr="006D631C">
        <w:rPr>
          <w:rFonts w:asciiTheme="majorBidi" w:hAnsiTheme="majorBidi" w:cstheme="majorBidi"/>
        </w:rPr>
        <w:t>% with respect to the total monomer content if low surface tension solvents (e.g., mixture of hexane and ethanol) are used for the template extraction.</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{"citationItems":[{"id":"ITEM-1","itemData":{"DOI":"10.1007/s00289-017-2041-z","ISSN":"01700839","abstract":"Organic polymers with ordered nanostructures templated from lyotropic liquid crystals (LLC) have many potential applications in areas such as membranes, tissue engineering, and drug delivery. However, after removing the LLC templates, the high surface tension during vacuum or air drying will deform the structure to a great extent. This study investigates the structure retention in cross-linked poly(ethylene glycol) diacrylate polymer through reinforcement of a silica network and using a volatile solvent with low surface tension. The LLC templates were formed from non-ionic surfactant, Brij 56/water system. Silica network was obtained through a sol–gel method using TEOS as a silica precursor and hydrochloric acid as a catalyst. The LLC templates were removed and the samples were dried from this solvent using a mixed solvent n-hexane and ethanol (H–E solvent) with lower surface tension. Samples dried from H–E solvent preserved the structure template from LLC even with low TEOS loading due to the presence of a non-polar solvent that has little effect on silica reverse hydrolysis and lower surface tension. This indicates that drying the sample from a volatile solvent with low surface tension combining with the silica network reinforcement facilities the structure retention.","author":[{"dropping-particle":"","family":"Zhang","given":"Juan","non-dropping-particle":"","parse-names":false,"suffix":""},{"dropping-particle":"","family":"Xie","given":"Zongli","non-dropping-particle":"","parse-names":false,"suffix":""},{"dropping-particle":"","family":"Hill","given":"Anita J.","non-dropping-particle":"","parse-names":false,"suffix":""},{"dropping-particle":"","family":"Cong","given":"Weiwei","non-dropping-particle":"","parse-names":false,"suffix":""},{"dropping-particle":"","family":"She","given":"Feng Hua","non-dropping-particle":"","parse-names":false,"suffix":""},{"dropping-particle":"","family":"Gao","given":"Weimin","non-dropping-particle":"","parse-names":false,"suffix":""},{"dropping-particle":"","family":"Hoang","given":"Manh","non-dropping-particle":"","parse-names":false,"suffix":""},{"dropping-particle":"","family":"Kong","given":"Ling Xue","non-dropping-particle":"","parse-names":false,"suffix":""}],"container-title":"Polymer Bulletin","id":"ITEM-1","issue":"2","issued":{"date-parts":[["2018"]]},"page":"581-595","title":"Effects of a volatile solvent with low surface tension combining with the silica network reinforcement on retention of LLC structure in polymer matrix","type":"article-journal","volume":"75"},"uris":["http://www.mendeley.com/documents/?uuid=fdc8a8a4-777f-4a67-9353-f45756b5d5d8"]}],"mendeley":{"formattedCitation":"&lt;sup&gt;139&lt;/sup&gt;","plainTextFormattedCitation":"139","previouslyFormattedCitation":"&lt;sup&gt;139&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139</w:t>
      </w:r>
      <w:r w:rsidRPr="006D631C">
        <w:rPr>
          <w:rFonts w:asciiTheme="majorBidi" w:hAnsiTheme="majorBidi" w:cstheme="majorBidi"/>
        </w:rPr>
        <w:fldChar w:fldCharType="end"/>
      </w:r>
      <w:r w:rsidRPr="006D631C">
        <w:rPr>
          <w:rFonts w:asciiTheme="majorBidi" w:hAnsiTheme="majorBidi" w:cstheme="majorBidi"/>
        </w:rPr>
        <w:t xml:space="preserve"> It is noteworthy to point out that the silica present in the polymerized domains of the obtained composite material not only participates </w:t>
      </w:r>
      <w:r w:rsidRPr="006D631C">
        <w:rPr>
          <w:rFonts w:asciiTheme="majorBidi" w:hAnsiTheme="majorBidi" w:cstheme="majorBidi"/>
        </w:rPr>
        <w:lastRenderedPageBreak/>
        <w:t>in the structure preservation, but also imparts relatively higher thermal stability</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{"citationItems":[{"id":"ITEM-1","itemData":{"DOI":"10.1007/s00289-017-2041-z","ISSN":"01700839","abstract":"Organic polymers with ordered nanostructures templated from lyotropic liquid crystals (LLC) have many potential applications in areas such as membranes, tissue engineering, and drug delivery. However, after removing the LLC templates, the high surface tension during vacuum or air drying will deform the structure to a great extent. This study investigates the structure retention in cross-linked poly(ethylene glycol) diacrylate polymer through reinforcement of a silica network and using a volatile solvent with low surface tension. The LLC templates were formed from non-ionic surfactant, Brij 56/water system. Silica network was obtained through a sol–gel method using TEOS as a silica precursor and hydrochloric acid as a catalyst. The LLC templates were removed and the samples were dried from this solvent using a mixed solvent n-hexane and ethanol (H–E solvent) with lower surface tension. Samples dried from H–E solvent preserved the structure template from LLC even with low TEOS loading due to the presence of a non-polar solvent that has little effect on silica reverse hydrolysis and lower surface tension. This indicates that drying the sample from a volatile solvent with low surface tension combining with the silica network reinforcement facilities the structure retention.","author":[{"dropping-particle":"","family":"Zhang","given":"Juan","non-dropping-particle":"","parse-names":false,"suffix":""},{"dropping-particle":"","family":"Xie","given":"Zongli","non-dropping-particle":"","parse-names":false,"suffix":""},{"dropping-particle":"","family":"Hill","given":"Anita J.","non-dropping-particle":"","parse-names":false,"suffix":""},{"dropping-particle":"","family":"Cong","given":"Weiwei","non-dropping-particle":"","parse-names":false,"suffix":""},{"dropping-particle":"","family":"She","given":"Feng Hua","non-dropping-particle":"","parse-names":false,"suffix":""},{"dropping-particle":"","family":"Gao","given":"Weimin","non-dropping-particle":"","parse-names":false,"suffix":""},{"dropping-particle":"","family":"Hoang","given":"Manh","non-dropping-particle":"","parse-names":false,"suffix":""},{"dropping-particle":"","family":"Kong","given":"Ling Xue","non-dropping-particle":"","parse-names":false,"suffix":""}],"container-title":"Polymer Bulletin","id":"ITEM-1","issue":"2","issued":{"date-parts":[["2018"]]},"page":"581-595","title":"Effects of a volatile solvent with low surface tension combining with the silica network reinforcement on retention of LLC structure in polymer matrix","type":"article-journal","volume":"75"},"uris":["http://www.mendeley.com/documents/?uuid=fdc8a8a4-777f-4a67-9353-f45756b5d5d8"]}],"mendeley":{"formattedCitation":"&lt;sup&gt;139&lt;/sup&gt;","plainTextFormattedCitation":"139","previouslyFormattedCitation":"&lt;sup&gt;139&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139</w:t>
      </w:r>
      <w:r w:rsidRPr="006D631C">
        <w:rPr>
          <w:rFonts w:asciiTheme="majorBidi" w:hAnsiTheme="majorBidi" w:cstheme="majorBidi"/>
        </w:rPr>
        <w:fldChar w:fldCharType="end"/>
      </w:r>
      <w:r w:rsidRPr="006D631C">
        <w:rPr>
          <w:rFonts w:asciiTheme="majorBidi" w:hAnsiTheme="majorBidi" w:cstheme="majorBidi"/>
        </w:rPr>
        <w:t xml:space="preserve"> and enhanced hydrophilicity to the final product.</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{"citationItems":[{"id":"ITEM-1","itemData":{"DOI":"10.1039/c4sm00589a","ISSN":"17446848","abstract":"Cross-linked poly(ethylene glycol) diacrylate (PEGDA) hydrogels with uniformly controlled nanoporous structures templated from hexagonal lyotropic liquid crystals (LLC) represent separation membrane materials with potentially high permeability and selectivity due to their high pore density and narrow pore size distribution. However, retaining LLC templated nanostructures is a challenge as the polymer gels are not strong enough to sustain the surface tension during the drying process. In the current study, cross-linked PEGDA gels were reinforced with a silica network synthesized via an in situ sol-gel method, which assists in the retention of the hexagonal LLC structure. The silica precursor does not obstruct the formation of hexagonal phases. After surfactant removal and drying, these hexagonal structures in samples with a certain amount of tetraethoxysilane (TEOS) loading are well retained while the nanostructures are collapsed in samples without silica reinforcement, leading to the hypothesis that the reinforcement provided by the silica network stabilizes the LLC structure. The study examines the conditions necessary for a sufficient and well dispersed silica network in PEGDA gels that contributes to the retention of original LLC structures, which potentially enables broad applications of these gels as biomedical and membrane materials. This journal is © the Partner Organisations 2014.","author":[{"dropping-particle":"","family":"Zhang","given":"Juan","non-dropping-particle":"","parse-names":false,"suffix":""},{"dropping-particle":"","family":"Xie","given":"Zongli","non-dropping-particle":"","parse-names":false,"suffix":""},{"dropping-particle":"","family":"Hoang","given":"Manh","non-dropping-particle":"","parse-names":false,"suffix":""},{"dropping-particle":"","family":"Hill","given":"Anita J.","non-dropping-particle":"","parse-names":false,"suffix":""},{"dropping-particle":"","family":"Cong","given":"Weiwei","non-dropping-particle":"","parse-names":false,"suffix":""},{"dropping-particle":"","family":"She","given":"Feng Hua","non-dropping-particle":"","parse-names":false,"suffix":""},{"dropping-particle":"","family":"Gao","given":"Weimin","non-dropping-particle":"","parse-names":false,"suffix":""},{"dropping-particle":"","family":"Kong","given":"Ling Xue","non-dropping-particle":"","parse-names":false,"suffix":""}],"container-title":"Soft Matter","id":"ITEM-1","issue":"28","issued":{"date-parts":[["2014"]]},"page":"5192-5200","title":"Retention of the original LLC structure in a cross-linked poly(ethylene glycol) diacrylate hydrogel with reinforcement from a silica network","type":"article-journal","volume":"10"},"uris":["http://www.mendeley.com/documents/?uuid=b242ed9a-b104-4590-bb54-620fad37889a"]}],"mendeley":{"formattedCitation":"&lt;sup&gt;138&lt;/sup&gt;","plainTextFormattedCitation":"138","previouslyFormattedCitation":"&lt;sup&gt;138&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138</w:t>
      </w:r>
      <w:r w:rsidRPr="006D631C">
        <w:rPr>
          <w:rFonts w:asciiTheme="majorBidi" w:hAnsiTheme="majorBidi" w:cstheme="majorBidi"/>
        </w:rPr>
        <w:fldChar w:fldCharType="end"/>
      </w:r>
      <w:r w:rsidRPr="006D631C">
        <w:rPr>
          <w:rFonts w:asciiTheme="majorBidi" w:hAnsiTheme="majorBidi" w:cstheme="majorBidi"/>
        </w:rPr>
        <w:t xml:space="preserve">      </w:t>
      </w:r>
    </w:p>
    <w:p w14:paraId="6FFC2201" w14:textId="6054FFF1" w:rsidR="005F1AF8" w:rsidRPr="006D631C" w:rsidRDefault="005F1AF8"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There have been several efforts to utilize transcriptive templating of H</w:t>
      </w:r>
      <w:r w:rsidRPr="006D631C">
        <w:rPr>
          <w:rFonts w:asciiTheme="majorBidi" w:hAnsiTheme="majorBidi" w:cstheme="majorBidi"/>
          <w:vertAlign w:val="subscript"/>
        </w:rPr>
        <w:t>α</w:t>
      </w:r>
      <w:r w:rsidRPr="006D631C">
        <w:rPr>
          <w:rFonts w:asciiTheme="majorBidi" w:hAnsiTheme="majorBidi" w:cstheme="majorBidi"/>
        </w:rPr>
        <w:t xml:space="preserve"> structures in different applications. For instance, Guymon and co-workers have used this approach to prepare hydrogels that possess a proper balance of water uptake, swelling/de-swelling rate, and mechanical properties without compromising other properties such as stimuli-responsiveness and biodegradability.</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{"citationItems":[{"id":"ITEM-1","itemData":{"DOI":"10.1021/bk-2003-0847.ch032","abstract":"Nanostructured materials have been the focus of much attention due to\\ntheir applicability in nanocomposites, separations media, drug delivery\\ndevices, and many other applications requiring a nanometer size scale.\\nRecently, using lyotropic liquid crystalline (LLC) phases to template\\ntheir unique nanostructure onto organic polymers has been proposed. This\\nwork details the photopolymerization of acrylamide in various phases of\\nLLC systems. The photopolymerization kinetics are correlated to monomer\\norganization for different phases at a variety of concentrations and\\ntemperatures. The photopolymerization kinetics of acrylamide in the LLC\\nphases depend strongly on the LLC morphology. The polymerization rates\\nare significantly faster in compositions of surfactant resulting in a\\nhexagonal geometry as the acrylamide monomer is preferentially oriented.\\nThese results indicate that acrylamide is strongly associated with the\\nLLC interface and the surfactant. Photopolymerization of these templated\\nsystems results in structure retention of the parent, LLC phase.","author":[{"dropping-particle":"","family":"Guymon","given":"C. Allan","non-dropping-particle":"","parse-names":false,"suffix":""},{"dropping-particle":"","family":"Lester","given":"Christopher L.","non-dropping-particle":"","parse-names":false,"suffix":""}],"container-title":"ACS Symposium Series","id":"ITEM-1","issued":{"date-parts":[["2003","3","3"]]},"page":"378-388","title":"Photopolymerization Kinetics of Nanostructured Polymers Templated by Lyotropic Liquid Crystals","type":"article-journal","volume":"847"},"uris":["http://www.mendeley.com/documents/?uuid=e9652ecf-b4ab-44b4-84ff-eacc90331307"]},{"id":"ITEM-2","itemData":{"DOI":"10.1021/la0300784","ISSN":"07437463","abstract":"The synthesis of nanostructured polymer gels via polymerization of hydrophilic monomers in lyotropic liquid crystal (LLC) phases has recently been of great interest. This work describes the effects of monomer organization on the photopolymerization kinetics of acrylamide in various LLC phases of surfactant/water systems. Resutling polymer morphology is reported as well. The polymerization rate of acrylamide is significantly enhanced when performed in the presence of various LLC phases. An unprecedented 10-fold increase in polymerization rate is observed in bicontinuous cubic and hexagonal phases as compared to polymerizations in water. This significant increase in polymerization rate is a result of diffusional limitations on the propagating polymer as well as segregation and ordering phenomena induce by the LLC phase. 13CT1 relaxation times and 14NNMR spectra show that the monomer strongly associates with the interface of the surfactant/water assemblies and assumes the orientationl order of the LLC phases to some degree. When formed using photopolymerization, the resulting polymer morphology appears to be a direct template of the parent LLC phase.","author":[{"dropping-particle":"","family":"Lester","given":"Christopher L.","non-dropping-particle":"","parse-names":false,"suffix":""},{"dropping-particle":"","family":"Smith","given":"Shannon M.","non-dropping-particle":"","parse-names":false,"suffix":""},{"dropping-particle":"","family":"Jarrett","given":"William L.","non-dropping-particle":"","parse-names":false,"suffix":""},{"dropping-particle":"","family":"Allan Guymon","given":"C.","non-dropping-particle":"","parse-names":false,"suffix":""}],"container-title":"Langmuir","id":"ITEM-2","issue":"22","issued":{"date-parts":[["2003"]]},"page":"9466-9472","title":"Effects of Monomer Organization on the Photopolymerization Kinetics of Acrylamide in Lyotropic Liquid Crystalline Phases","type":"article-journal","volume":"19"},"uris":["http://www.mendeley.com/documents/?uuid=ed593b1e-2698-4bb2-89a3-8beb441225de"]},{"id":"ITEM-3","itemData":{"DOI":"10.1016/j.polymer.2004.11.007","ISSN":"00323861","abstract":"Through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Allan","non-dropping-particle":"","parse-names":false,"suffix":""}],"container-title":"Polymer","id":"ITEM-3","issue":"2","issued":{"date-parts":[["2005"]]},"page":"335-345","title":"Effect of photoinitiator segregation on polymerization kinetics in lyotropic liquid crystals","type":"article-journal","volume":"46"},"uris":["http://www.mendeley.com/documents/?uuid=9305a569-bf29-4306-91ea-3a1da5446f5a"]},{"id":"ITEM-4","itemData":{"DOI":"10.1021/cm061969a","ISSN":"08974756","abstract":"Lyotropic liquid crystals (LLCs) have recently been employed as polymerization templates to yield highly ordered nanostructured hydrogels, which have shown promise in biological separations and tissue engineering. To allow greater control of hydrogel structure using LLC templates, this study focuses on the influence of polymerization kinetics and temperature on ultimate polymer morphology and properties. A more in-depth understanding of these phenomena has been obtained through extensive examination of polymer structure with small-angle X-ray scattering (SAXS) and scanning electron microscopy (SEM). The impact of different polymerization rate and temperature regimes on polymer morphology was determined using isotropic, cubic, and hexagonal phases as polymerization templates. Polymer morphology varies dramatically depending on LLC phase template, while within a given phase changes in polymerization time scale and temperature greatly impact polymer structure. SAXS reveals a higher degree of retained liquid crystalline order using rapid polymerization at relatively low temperatures. SEM images demonstrate that rapid polymerization yields polymers with highly ordered network structures and nanoscale morphology. Less ordered, thermodynamically driven polymer features result from relatively slow polymerization. The degree of swelling in aqueous solution increases dramatically in ordered LLC phases relative to bulk polymerization, with lower swelling resulting from faster polymerization. Similarly, higher surface area results from polymerization in LLC media relative to isotropic systems, and surface area increases with increasing polymerization rate. © 2006 American Chemical Society.","author":[{"dropping-particle":"","family":"DePierro","given":"Michael A.","non-dropping-particle":"","parse-names":false,"suffix":""},{"dropping-particle":"","family":"Carpenter","given":"Kyle G.","non-dropping-particle":"","parse-names":false,"suffix":""},{"dropping-particle":"","family":"Guymon","given":"C. Allan","non-dropping-particle":"","parse-names":false,"suffix":""}],"container-title":"Chemistry of Materials","id":"ITEM-4","issue":"23","issued":{"date-parts":[["2006","11"]]},"page":"5609-5617","title":"Influence of polymerization conditions on nanostructure and properties of polyacrylamide hydrogels templated from lyotropic liquid crystals","type":"article-journal","volume":"18"},"uris":["http://www.mendeley.com/documents/?uuid=e0a07ef3-cb63-401e-9e29-f5755f782e7d"]},{"id":"ITEM-5","itemData":{"DOI":"10.1021/cm4004849","ISSN":"08974756","abstract":"A promising method of synthesizing polymers with useful property relationships utilizes self-assembling lyotropic liquid crystals (LLCs) as photopolymerization templates to direct polymer structure on the nanometer scale. Unfortunately, thermodynamically driven phase separation of the polymer from the LLC template often occurs during polymerization and prevents control over final polymer nanostructure and properties. In this work, the nanostructure of polyacrylamide is controlled through photopolymerization in LLC templates formed using specific concentrations of polymerizable and nonreactive surfactants. Polymer structure information obtained using electron microscopy, X-ray scattering, and polarized light microscopy indicates that LLC nanostructure is retained during photopolymerization at particular reactive surfactant concentrations. Physical properties including water uptake, diffusivity, and mechanical strength are greater in polyacrylamide systems that exhibit nanostructure as compared to isotropic controls of the same chemical composition. Useful property relationships typically unattainable in traditional hydrogel systems are also observed for nanostructured hydrogels including simultaneous increases in water uptake and mechanical strength. These results demonstrate methods of generating and retaining polymer nanostructure during photopolymerization in systems that otherwise phase separate from the LLC template and may be utilized to synthesize nanostructured polymers with property relationships useful in a growing number of advanced applications. © 2013 American Chemical Society.","author":[{"dropping-particle":"","family":"Forney","given":"Bradley S.","non-dropping-particle":"","parse-names":false,"suffix":""},{"dropping-particle":"","family":"Baguenard","given":"Céline","non-dropping-particle":"","parse-names":false,"suffix":""},{"dropping-particle":"","family":"Guymon","given":"C. Allan","non-dropping-particle":"","parse-names":false,"suffix":""}],"container-title":"Chemistry of Materials","id":"ITEM-5","issue":"15","issued":{"date-parts":[["2013"]]},"page":"2950-2960","title":"Effects of controlling polymer nanostructure using photopolymerization within lyotropic liquid crystalline templates","type":"article-journal","volume":"25"},"uris":["http://www.mendeley.com/documents/?uuid=3abed647-ad42-477e-bd39-1d39d5b7ac76"]},{"id":"ITEM-6","itemData":{"DOI":"10.1039/c3sm50556a","ISSN":"1744683X","abstract":"Temperature-sensitive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Matter","id":"ITEM-6","issue":"31","issued":{"date-parts":[["2013"]]},"page":"7458-7467","title":"Improved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templates","type":"article-journal","volume":"9"},"uris":["http://www.mendeley.com/documents/?uuid=1744ca1d-c40e-4c6d-aa09-30d94aee5e9f"]},{"id":"ITEM-7","itemData":{"DOI":"10.1021/ma001853e","ISSN":"00249297","abstract":"The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Allan","non-dropping-particle":"","parse-names":false,"suffix":""}],"container-title":"Macromolecules","id":"ITEM-7","issue":"13","issued":{"date-parts":[["2001","6"]]},"page":"4430-4438","title":"Photopolymerization kinetics and structure development of templated lyotropic liquid crystalline systems","type":"article-journal","volume":"34"},"uris":["http://www.mendeley.com/documents/?uuid=5ad8b034-dc0f-455e-ac27-09cb31650bdb"]},{"id":"ITEM-8","itemData":{"DOI":"10.1021/cm021703d","ISSN":"08974756","abstract":"Recently,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Materials","id":"ITEM-8","issue":"17","issued":{"date-parts":[["2003"]]},"page":"3376-3384","title":"Physical properties of hydrogels synthesized from lyotropic liquid crystalline templates","type":"article-journal","volume":"15"},"uris":["http://www.mendeley.com/documents/?uuid=f73d1f78-88b7-4d4c-83b6-c3bbcc68b73f"]},{"id":"ITEM-9","itemData":{"DOI":"10.1021/ma030037e","ISSN":"00249297","abstract":"Nanostructured polymers are of significant interest due to their potential use in applications ranging from ultrafiltration membranes to catalysis supports. To date, much research has focused on using small molecular weight surfactants that form lyotropic liquid crystals (LLCs) as polymerization templates or polymerizing reactive LLCs to form such nanostructure in polymers. LLC phases formed from small molecular weight surfactants, however, are in and of themselves neither thermally nor mechanically stable, often rendering it difficult to preserve the LLC structure throughout polymerization. A relatively new class of surfactant molecules, Pluronic block copolymers, may afford increased flexibility in nanostructure development when used as polymerization templates. This work has focused on the photopolymerization of water and oil-soluble monomers in Pluronic lyotropic liquid crystals. In particular, the effect that LLC order and monomer segregation behavior has on monomer polymerization rate has been examined. The order of the LLC mesophase has a significant impact on polymerization rate with faster polymerization occurring in the normal phases for the oil-soluble monomer hexanediol diacrylate (HDDA) and in the inverse phases for the water-soluble monomer poly(ethylene glycol) diacrylate (PEG-400-DA). In addition, the effect of monomer addition and polymerization on LLC order has been characterized, with retention of LLC order before and after photopolymerization. Mesophase thermal stability, or the persistence of an LC phase at elevated temperatures, has also been examined for the polymer/LLC hydrogels to determine how polymer nanostructure differences affect fundamental LLC properties. Interestingly, when PEG-400-DA is polymerized in the continuous domains of the hexagonal mesophase, the clearing point is increased more than 40°C. However, when HDDA is polymerized in the discontinuous domains of hexagonal phase, the mesophase thermal stability increases only 25°C. Conversely, when HDDA is polymerized in the continuous region of the inverse hexagonal phase, the clearing point increases more than 60°C. The difference in polymer nanostructure that evolves during the polymerizations directly impacts the mesophase thermal stability. The LLC polymerization also affects the physical properties of polymer/Pluronic hydrogels with significant differences in compressive modulus observed based on the LLC phase in which the nanostructured polymer is generated.","author":[{"dropping-particle":"","family":"McCormick","given":"Demetrius T.","non-dropping-particle":"","parse-names":false,"suffix":""},{"dropping-particle":"","family":"Stovall","given":"Kalena D.","non-dropping-particle":"","parse-names":false,"suffix":""},{"dropping-particle":"","family":"Guymon","given":"C. Allan","non-dropping-particle":"","parse-names":false,"suffix":""}],"container-title":"Macromolecules","id":"ITEM-9","issue":"17","issued":{"date-parts":[["2003","8"]]},"page":"6549-6558","title":"Photopolymerization in pluronic lyotropic liquid crystals: Induced mesophase thermal stability","type":"article-journal","volume":"36"},"uris":["http://www.mendeley.com/documents/?uuid=ae7754a0-e1c1-4349-91b8-e716989d935f"]},{"id":"ITEM-10","itemData":{"DOI":"10.1080/15421400903065002","ISSN":"15635287","abstract":"Much research has focused on the control of material structure on the nanometer size scale. The self assembled, highly organized solutions inherent to lyotropic liquid crystals (LLCs) have recently emerged as promising tools in the synthesis of organic nanostructured materials. In this work highly ordered LLC morphologies have been utilized as polymerization templates to dictate and achieve unique polymer network structure. The influence of nanoscale organization of the monomer is directly related to the physical and diffusive behavior of the resulting polymer. Additionally, LLC ordered solutions have shown great promise in compatibilizing blends of immiscible monomers. To this end, the precise organization of the LLC has been investigated as a means to segregate immiscible monomers into isolated nanoscale domains for the copolymerization of two separate but interconnected networks. The results from this study have demonstrated that the network structure of PEGDA hydrogels or PEGDA/HDDA blends can be directed by LLC templates, and that the physical properties of the templated materials are indeed influenced by the network structure induced by the templating process. This work has established that LLCs are an important tool in the creation of materials with nanoscopic architecture that directly leads to attractive and previously unattainable materials properties. Copyright © Taylor &amp; Francis Group, LLC.","author":[{"dropping-particle":"","family":"Clapper","given":"Jason D.","non-dropping-particle":"","parse-names":false,"suffix":""},{"dropping-particle":"","family":"Guymon","given":"C. Allan","non-dropping-particle":"","parse-names":false,"suffix":""}],"container-title":"Molecular Crystals and Liquid Crystals","id":"ITEM-10","issue":"1","issued":{"date-parts":[["2009","9","3"]]},"page":"30/[772]-38/[780]","title":"Nanostructured hydrogels via photopolymerization in lyotropic liquid crystalline systems","type":"article-journal","volume":"509"},"uris":["http://www.mendeley.com/documents/?uuid=05af8024-a4fb-4e19-a6ff-77bdc878f76d"]},{"id":"ITEM-11","itemData":{"DOI":"10.1016/j.polymer.2018.03.016","ISSN":"00323861","abstract":"In this work, stimuli-responsive, superabsorbent materials are created by copolymerization of stimuli-responsive poly(n-isopropyl acrylamide) (PNIPAM) in combination with superabsorbent sodium acrylate (SA) via photopolymerization in lyotropic liquid crystal (LLC) templates. Templating PNIPAM in LLC mesophases imparts nanostructure to the polymer that significantly increases transport and swelling when compared to isotropic hydrogels. These materials exhibit twice the equilibrium swelling of analogous non-templated materials and show a dynamic range between the swollen and deswollen state that is 5 times greater. To further augment this stimuli-responsive range, LLC-templated PNIPAM was combined with the superabsorbent monomer sodium acrylate (SA). As SA concentration is increased, significant structure changes are observed during polymerization that leads to less-defined nanostructure and lower stimuli response. Maximum swelling and temperature response are observed at low concentrations of SA (</w:instrText>
      </w:r>
      <w:r w:rsidR="005C60C1" w:rsidRPr="006D631C">
        <w:rPr>
          <w:rFonts w:ascii="Cambria Math" w:hAnsi="Cambria Math" w:cs="Cambria Math"/>
        </w:rPr>
        <w:instrText>∼</w:instrText>
      </w:r>
      <w:r w:rsidR="005C60C1" w:rsidRPr="006D631C">
        <w:rPr>
          <w:rFonts w:asciiTheme="majorBidi" w:hAnsiTheme="majorBidi" w:cstheme="majorBidi"/>
        </w:rPr>
        <w:instrText>2 wt%). These LLC-templated copolymers exhibit stimuli-responsive volume transitions up to 40 times and equilibrium swelling ratios of 60 times their dry mass. This 600% increase in thermal response is due to the combined high swelling capabilities of SA with the enhanced thermal-response behavior induced by the LLC-templated nanostructure. Additionally, the nanostructure induces fast deswelling rates at temperatures above the lowest critical solution temperature of PNIPAM. The high dynamic range and quick response of this composition could allow for the development of superabsorbent, stimuli-responsive hydrogels in a variety of biomaterial, microfluidic, and water remediation applications.","author":[{"dropping-particle":"","family":"McLaughlin","given":"Jacob R.","non-dropping-particle":"","parse-names":false,"suffix":""},{"dropping-particle":"","family":"Abbott","given":"Nicholas L.","non-dropping-particle":"","parse-names":false,"suffix":""},{"dropping-particle":"","family":"Guymon","given":"C. Allan","non-dropping-particle":"","parse-names":false,"suffix":""}],"container-title":"Polymer","id":"ITEM-11","issued":{"date-parts":[["2018","4"]]},"page":"119-126","title":"Responsive superabsorbent hydrogels via photopolymerization in lyotropic liquid crystal templates","type":"article-journal","volume":"142"},"uris":["http://www.mendeley.com/documents/?uuid=8899ff0c-5b1e-46dd-a332-a7faed8dd226"]}],"mendeley":{"formattedCitation":"&lt;sup&gt;36–46&lt;/sup&gt;","plainTextFormattedCitation":"36–46","previouslyFormattedCitation":"&lt;sup&gt;36–46&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36–46</w:t>
      </w:r>
      <w:r w:rsidRPr="006D631C">
        <w:rPr>
          <w:rFonts w:asciiTheme="majorBidi" w:hAnsiTheme="majorBidi" w:cstheme="majorBidi"/>
        </w:rPr>
        <w:fldChar w:fldCharType="end"/>
      </w:r>
      <w:r w:rsidRPr="006D631C">
        <w:rPr>
          <w:rFonts w:asciiTheme="majorBidi" w:hAnsiTheme="majorBidi" w:cstheme="majorBidi"/>
        </w:rPr>
        <w:t xml:space="preserve"> </w:t>
      </w:r>
      <w:proofErr w:type="gramStart"/>
      <w:r w:rsidRPr="006D631C">
        <w:rPr>
          <w:rFonts w:asciiTheme="majorBidi" w:hAnsiTheme="majorBidi" w:cstheme="majorBidi"/>
        </w:rPr>
        <w:t>They</w:t>
      </w:r>
      <w:proofErr w:type="gramEnd"/>
      <w:r w:rsidRPr="006D631C">
        <w:rPr>
          <w:rFonts w:asciiTheme="majorBidi" w:hAnsiTheme="majorBidi" w:cstheme="majorBidi"/>
        </w:rPr>
        <w:t xml:space="preserve"> have also used transcriptive templating for </w:t>
      </w:r>
      <w:proofErr w:type="spellStart"/>
      <w:r w:rsidRPr="006D631C">
        <w:rPr>
          <w:rFonts w:asciiTheme="majorBidi" w:hAnsiTheme="majorBidi" w:cstheme="majorBidi"/>
        </w:rPr>
        <w:t>compatibilization</w:t>
      </w:r>
      <w:proofErr w:type="spellEnd"/>
      <w:r w:rsidRPr="006D631C">
        <w:rPr>
          <w:rFonts w:asciiTheme="majorBidi" w:hAnsiTheme="majorBidi" w:cstheme="majorBidi"/>
        </w:rPr>
        <w:t xml:space="preserve"> of immiscible monomers. To do so, hydrophilic M-24c and hydrophobic M-20 are mixed with the aqueous solution of A-14, resulting in the formation of a LLC with H</w:t>
      </w:r>
      <w:r w:rsidRPr="006D631C">
        <w:rPr>
          <w:rFonts w:asciiTheme="majorBidi" w:hAnsiTheme="majorBidi" w:cstheme="majorBidi"/>
          <w:vertAlign w:val="subscript"/>
        </w:rPr>
        <w:t>1</w:t>
      </w:r>
      <w:r w:rsidRPr="006D631C">
        <w:rPr>
          <w:rFonts w:asciiTheme="majorBidi" w:hAnsiTheme="majorBidi" w:cstheme="majorBidi"/>
        </w:rPr>
        <w:t xml:space="preserve"> structure. The polymerization of these two monomers in the LLC template results in a semi-interpenetrating polymer network (IPN) structure having excellent polymer compatibility.</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{"citationItems":[{"id":"ITEM-1","itemData":{"DOI":"10.1002/adma.200502608","ISSN":"09359648","author":[{"dropping-particle":"","family":"Clapper","given":"Jason D.","non-dropping-particle":"","parse-names":false,"suffix":""},{"dropping-particle":"","family":"Guymon","given":"C. Allan","non-dropping-particle":"","parse-names":false,"suffix":""}],"container-title":"Advanced Materials","id":"ITEM-1","issue":"12","issued":{"date-parts":[["2006","6","19"]]},"page":"1575-1580","title":"Compatibilization of immiscible polymer networks through photopolymerization in a lyotropic liquid crystal","type":"article-journal","volume":"18"},"uris":["http://www.mendeley.com/documents/?uuid=3785206a-09e2-4cae-94c1-f39e5349f7ea"]}],"mendeley":{"formattedCitation":"&lt;sup&gt;140&lt;/sup&gt;","plainTextFormattedCitation":"140","previouslyFormattedCitation":"&lt;sup&gt;140&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140</w:t>
      </w:r>
      <w:r w:rsidRPr="006D631C">
        <w:rPr>
          <w:rFonts w:asciiTheme="majorBidi" w:hAnsiTheme="majorBidi" w:cstheme="majorBidi"/>
        </w:rPr>
        <w:fldChar w:fldCharType="end"/>
      </w:r>
      <w:r w:rsidRPr="006D631C">
        <w:rPr>
          <w:rFonts w:asciiTheme="majorBidi" w:hAnsiTheme="majorBidi" w:cstheme="majorBidi"/>
        </w:rPr>
        <w:t xml:space="preserve">  </w:t>
      </w:r>
    </w:p>
    <w:p w14:paraId="36B16C30" w14:textId="6F3F06CF" w:rsidR="005F1AF8" w:rsidRPr="006D631C" w:rsidRDefault="005F1AF8" w:rsidP="000B67AC">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Templating with H</w:t>
      </w:r>
      <w:r w:rsidRPr="006D631C">
        <w:rPr>
          <w:rFonts w:asciiTheme="majorBidi" w:hAnsiTheme="majorBidi" w:cstheme="majorBidi"/>
          <w:vertAlign w:val="subscript"/>
        </w:rPr>
        <w:t>2</w:t>
      </w:r>
      <w:r w:rsidRPr="006D631C">
        <w:rPr>
          <w:rFonts w:asciiTheme="majorBidi" w:hAnsiTheme="majorBidi" w:cstheme="majorBidi"/>
        </w:rPr>
        <w:t xml:space="preserve"> structure has also been applied for the fabrication of water filtration membranes. In one such effort, Osuji and co-workers magnetically aligned the </w:t>
      </w:r>
      <w:proofErr w:type="spellStart"/>
      <w:r w:rsidRPr="006D631C">
        <w:rPr>
          <w:rFonts w:asciiTheme="majorBidi" w:hAnsiTheme="majorBidi" w:cstheme="majorBidi"/>
        </w:rPr>
        <w:t>nanochannels</w:t>
      </w:r>
      <w:proofErr w:type="spellEnd"/>
      <w:r w:rsidRPr="006D631C">
        <w:rPr>
          <w:rFonts w:asciiTheme="majorBidi" w:hAnsiTheme="majorBidi" w:cstheme="majorBidi"/>
        </w:rPr>
        <w:t xml:space="preserve"> of a H</w:t>
      </w:r>
      <w:r w:rsidRPr="006D631C">
        <w:rPr>
          <w:rFonts w:asciiTheme="majorBidi" w:hAnsiTheme="majorBidi" w:cstheme="majorBidi"/>
          <w:vertAlign w:val="subscript"/>
        </w:rPr>
        <w:t>2</w:t>
      </w:r>
      <w:r w:rsidRPr="006D631C">
        <w:rPr>
          <w:rFonts w:asciiTheme="majorBidi" w:hAnsiTheme="majorBidi" w:cstheme="majorBidi"/>
        </w:rPr>
        <w:t xml:space="preserve"> phase before polymerization to decrease the tortuosity of the produced membrane. Although they were able to successfully retain the aligned structure after polymerization, the study did not extend to filtration membrane fabrication.</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{"citationItems":[{"id":"ITEM-1","itemData":{"DOI":"10.1021/am504730b","ISSN":"19448252","abstract":"Magnetic-field-directed assembly of lyotropic surfactant mesophases provides a scalable approach for the fabrication of aligned nanoporous polymers by templated polymerization. We develop and characterize a lyotropic liquid crystalline system containing hexagonally packed cylindrical micelles of a polymerizable surfactant in a polymerizable solvent. The system exhibits negative magnetic anisotropy, resulting in the degenerate alignment of cylindrical micelles perpendicular to the magnetic field. Sample rotation during field alignment is used to effectively break this degeneracy and enable the production of uniformly well-aligned mesophases. High-fidelity retentions of the hexagonal structure and alignment were successfully achieved in polymer films produced upon UV exposure of the reactive system. The success of this effort provides a route for the fabrication of aligned nanoporous membranes suitable for highly selective separations, sensing, and templated nanomaterial synthesis.","author":[{"dropping-particle":"","family":"Tousley","given":"Marissa E.","non-dropping-particle":"","parse-names":false,"suffix":""},{"dropping-particle":"","family":"Feng","given":"Xunda","non-dropping-particle":"","parse-names":false,"suffix":""},{"dropping-particle":"","family":"Elimelech","given":"Menachem","non-dropping-particle":"","parse-names":false,"suffix":""},{"dropping-particle":"","family":"Osuji","given":"Chinedum O.","non-dropping-particle":"","parse-names":false,"suffix":""}],"container-title":"ACS Applied Materials and Interfaces","id":"ITEM-1","issue":"22","issued":{"date-parts":[["2014"]]},"page":"19710-19717","title":"Aligned nanostructured polymers by magnetic-field-directed self-assembly of a polymerizable lyotropic mesophase","type":"article-journal","volume":"6"},"uris":["http://www.mendeley.com/documents/?uuid=89712f91-4b89-49cb-a3b3-1514a2d93188"]}],"mendeley":{"formattedCitation":"&lt;sup&gt;141&lt;/sup&gt;","plainTextFormattedCitation":"141","previouslyFormattedCitation":"&lt;sup&gt;141&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141</w:t>
      </w:r>
      <w:r w:rsidRPr="006D631C">
        <w:rPr>
          <w:rFonts w:asciiTheme="majorBidi" w:hAnsiTheme="majorBidi" w:cstheme="majorBidi"/>
        </w:rPr>
        <w:fldChar w:fldCharType="end"/>
      </w:r>
      <w:r w:rsidRPr="006D631C">
        <w:rPr>
          <w:rFonts w:asciiTheme="majorBidi" w:hAnsiTheme="majorBidi" w:cstheme="majorBidi"/>
        </w:rPr>
        <w:t xml:space="preserve"> </w:t>
      </w:r>
      <w:proofErr w:type="spellStart"/>
      <w:r w:rsidRPr="006D631C">
        <w:rPr>
          <w:rFonts w:asciiTheme="majorBidi" w:hAnsiTheme="majorBidi" w:cstheme="majorBidi"/>
        </w:rPr>
        <w:t>Qavi</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Pr="006D631C">
        <w:rPr>
          <w:rFonts w:asciiTheme="majorBidi" w:hAnsiTheme="majorBidi" w:cstheme="majorBidi"/>
        </w:rPr>
        <w:t xml:space="preserve"> have successfully utilized LLC templating of H</w:t>
      </w:r>
      <w:r w:rsidRPr="006D631C">
        <w:rPr>
          <w:rFonts w:asciiTheme="majorBidi" w:hAnsiTheme="majorBidi" w:cstheme="majorBidi"/>
          <w:vertAlign w:val="subscript"/>
        </w:rPr>
        <w:t>2</w:t>
      </w:r>
      <w:r w:rsidRPr="006D631C">
        <w:rPr>
          <w:rFonts w:asciiTheme="majorBidi" w:hAnsiTheme="majorBidi" w:cstheme="majorBidi"/>
        </w:rPr>
        <w:t xml:space="preserve"> structures to fabricate ultrafiltration (UF) membranes that show excellent permeability as well as higher fouling resistance over commercially available UF membranes.</w:t>
      </w:r>
      <w:r w:rsidRPr="006D631C">
        <w:rPr>
          <w:rFonts w:asciiTheme="majorBidi" w:hAnsiTheme="majorBidi" w:cstheme="majorBidi"/>
        </w:rPr>
        <w:fldChar w:fldCharType="begin" w:fldLock="1"/>
      </w:r>
      <w:r w:rsidR="003813C4"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rFonts w:asciiTheme="majorBidi" w:hAnsiTheme="majorBidi" w:cstheme="majorBidi"/>
        </w:rPr>
        <w:fldChar w:fldCharType="separate"/>
      </w:r>
      <w:r w:rsidR="001E385A" w:rsidRPr="006D631C">
        <w:rPr>
          <w:rFonts w:asciiTheme="majorBidi" w:hAnsiTheme="majorBidi" w:cstheme="majorBidi"/>
          <w:noProof/>
          <w:vertAlign w:val="superscript"/>
        </w:rPr>
        <w:t>32</w:t>
      </w:r>
      <w:r w:rsidRPr="006D631C">
        <w:rPr>
          <w:rFonts w:asciiTheme="majorBidi" w:hAnsiTheme="majorBidi" w:cstheme="majorBidi"/>
        </w:rPr>
        <w:fldChar w:fldCharType="end"/>
      </w:r>
      <w:r w:rsidRPr="006D631C">
        <w:rPr>
          <w:rFonts w:asciiTheme="majorBidi" w:hAnsiTheme="majorBidi" w:cstheme="majorBidi"/>
        </w:rPr>
        <w:t xml:space="preserve"> Successful production of antimicrobial UF membranes has also been reported by polymerization of M-32 in the same LLC structure.</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{"citationItems":[{"id":"ITEM-1","itemData":{"author":[{"dropping-particle":"","family":"Qavi","given":"Sahar","non-dropping-particle":"","parse-names":false,"suffix":""}],"id":"ITEM-1","issued":{"date-parts":[["2019"]]},"number-of-pages":"256","publisher":"New Mexico State University","title":"RHEOLOGY, CHEMORHEOLOGY, AND MEMBRANE APPLICATION of AMPHIPHILIC BLOCK COPOLYMER/ WATER/OIL MESOPHASES","type":"thesis"},"uris":["http://www.mendeley.com/documents/?uuid=280cca4d-81d9-4959-a2b7-f5b716bb2755"]}],"mendeley":{"formattedCitation":"&lt;sup&gt;142&lt;/sup&gt;","plainTextFormattedCitation":"142","previouslyFormattedCitation":"&lt;sup&gt;142&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142</w:t>
      </w:r>
      <w:r w:rsidRPr="006D631C">
        <w:rPr>
          <w:rFonts w:asciiTheme="majorBidi" w:hAnsiTheme="majorBidi" w:cstheme="majorBidi"/>
        </w:rPr>
        <w:fldChar w:fldCharType="end"/>
      </w:r>
      <w:r w:rsidRPr="006D631C">
        <w:rPr>
          <w:rFonts w:asciiTheme="majorBidi" w:hAnsiTheme="majorBidi" w:cstheme="majorBidi"/>
        </w:rPr>
        <w:t xml:space="preserve">          </w:t>
      </w:r>
    </w:p>
    <w:p w14:paraId="5A33A15A" w14:textId="3D6F185D" w:rsidR="00647A9E" w:rsidRPr="006D631C" w:rsidRDefault="005F1AF8" w:rsidP="000B67AC">
      <w:pPr>
        <w:tabs>
          <w:tab w:val="left" w:pos="90"/>
          <w:tab w:val="left" w:pos="360"/>
          <w:tab w:val="left" w:pos="992"/>
        </w:tabs>
        <w:ind w:firstLine="357"/>
        <w:rPr>
          <w:rFonts w:eastAsia="Calibri"/>
        </w:rPr>
      </w:pPr>
      <w:r w:rsidRPr="006D631C">
        <w:rPr>
          <w:rFonts w:asciiTheme="majorBidi" w:hAnsiTheme="majorBidi" w:cstheme="majorBidi"/>
        </w:rPr>
        <w:t>Fabrication of ordered mesoporous carbon (OMC) material is another application of transcriptive templating of H</w:t>
      </w:r>
      <w:r w:rsidRPr="006D631C">
        <w:rPr>
          <w:rFonts w:asciiTheme="majorBidi" w:hAnsiTheme="majorBidi" w:cstheme="majorBidi"/>
          <w:vertAlign w:val="subscript"/>
        </w:rPr>
        <w:t>1</w:t>
      </w:r>
      <w:r w:rsidRPr="006D631C">
        <w:rPr>
          <w:rFonts w:asciiTheme="majorBidi" w:hAnsiTheme="majorBidi" w:cstheme="majorBidi"/>
        </w:rPr>
        <w:t xml:space="preserve"> structures. </w:t>
      </w:r>
      <w:proofErr w:type="spellStart"/>
      <w:r w:rsidRPr="006D631C">
        <w:rPr>
          <w:rFonts w:asciiTheme="majorBidi" w:hAnsiTheme="majorBidi" w:cstheme="majorBidi"/>
        </w:rPr>
        <w:t>Polycondensation</w:t>
      </w:r>
      <w:proofErr w:type="spellEnd"/>
      <w:r w:rsidRPr="006D631C">
        <w:rPr>
          <w:rFonts w:asciiTheme="majorBidi" w:hAnsiTheme="majorBidi" w:cstheme="majorBidi"/>
        </w:rPr>
        <w:t xml:space="preserve"> and cross-linking of monomers such as M-34, M-35, M-36 and M-37 results in a nanostructured thermoset polymer such as phenol-</w:t>
      </w:r>
      <w:r w:rsidRPr="006D631C">
        <w:rPr>
          <w:rFonts w:asciiTheme="majorBidi" w:hAnsiTheme="majorBidi" w:cstheme="majorBidi"/>
        </w:rPr>
        <w:lastRenderedPageBreak/>
        <w:t>formaldehyde. Subsequently, calcination and carbonization of the polymerized LLC at high temperature (e.g., above 600 °C) is carried out to obtain OMC species.</w:t>
      </w:r>
      <w:r w:rsidRPr="006D631C">
        <w:rPr>
          <w:rFonts w:asciiTheme="majorBidi" w:hAnsiTheme="majorBidi" w:cstheme="majorBidi"/>
        </w:rPr>
        <w:fldChar w:fldCharType="begin" w:fldLock="1"/>
      </w:r>
      <w:r w:rsidR="004C7F22" w:rsidRPr="006D631C">
        <w:instrText xml:space="preserve">ADDIN CSL_CITATION {"citationItems":[{"id":"ITEM-1","itemData":{"DOI":"10.1021/cm060921u","ISSN":"08974756","abstract":"The syntheses of a family of highly ordered mesoporous polymers and carbon frameworks from organic-organic assembly of triblock copolymers with soluble, low-molecular-weight phenolic resin precursors (resols) by an evaporation induced self-assembly strategy have been reported in detail. The family members include two-dimensional hexagonal (space group, p6m), three-dimensional bicontinuous (Ia3d), body-centered cubic (Im3m), and lamellar mesostructures, which are controlled by simply adjusting the ratio of phenol/template or polyethylene oxide)/poly(propylene oxide) in the templates. A five-step mechanism from organic-organic assembly has been demonstrated. Cubic FDU-14 with a gyroidal mesostructure of polymer resin or carbon has been synthesized for the first time by using the copolymer Pluronic P1 23 as a template in a relatively narrow range. Upon calcination at 350°C, the templates should be removed to obtain mesoporous polymers, and further heating at above a critical temperature of 600°C transforms the mesoporous polymers to the homologous carbon frameworks. The mesoporous polymer resin and carbon product materials exhibit ordered structures, high surface areas, (670-1490 m 2/g), large pore volumes (0.65-0.85 cm 3/g), and uniform, large pore sizes (7.0-3.9 nm), as well as very thick pore walls (6-8 nm). The carbon open frameworks with covalently bonded constructions and thick pore walls exhibit high thermal stability (&gt; 1400°C). Our results show that the feed gas used during the calcination has a great influence on the porosity of the products. The presence of a small amount of oxygen facilitates the large pore sizes and high surface areas of mesoporous materials with different mesostructures. An extraction method employing sulfuric acid can also decompose the template from hexagonal mesostructured polymers with little framework shrinkage. Preliminary studies of the mechanical and electrochemical properties of mesoporous carbon molecular sieves are also presented. © 2006 American Chemical Society.","author":[{"dropping-particle":"","family":"Meng","given":"Yan","non-dropping-particle":"","parse-names":false,"suffix":""},{"dropping-particle":"","family":"Gu","given":"Dong","non-dropping-particle":"","parse-names":false,"suffix":""},{"dropping-particle":"","family":"Zhang","given":"Fuqiang","non-dropping-particle":"","parse-names":false,"suffix":""},{"dropping-particle":"","family":"Shi","given":"Yifeng","non-dropping-particle":"","parse-names":false,"suffix":""},{"dropping-particle":"","family":"Cheng","given":"Liang","non-dropping-particle":"","parse-names":false,"suffix":""},{"dropping-particle":"","family":"Feng","given":"Dan","non-dropping-particle":"","parse-names":false,"suffix":""},{"dropping-particle":"","family":"Wu","given":"Zhangxiong","non-dropping-particle":"","parse-names":false,"suffix":""},{"dropping-particle":"","family":"Chen","given":"Zhenxia","non-dropping-particle":"","parse-names":false,"suffix":""},{"dropping-particle":"","family":"Wan","given":"Ying","non-dropping-particle":"","parse-names":false,"suffix":""},{"dropping-particle":"","family":"Stein","given":"Andreas","non-dropping-particle":"","parse-names":false,"suffix":""},{"dropping-particle":"","family":"Zhao","given":"Dongyuan","non-dropping-particle":"","parse-names":false,"suffix":""}],"container-title":"Chemistry of Materials","id":"ITEM-1","issue":"18","issued":{"date-parts":[["2006"]]},"page":"4447-4464","title":"A family of highly ordered mesoporous polymer resin and carbon structures from organic-organic self-assembly","type":"article-journal","volume":"18"},"uris":["http://www.mendeley.com/documents/?uuid=f487042c-a697-473a-abb9-2394ba5dbd47"]},{"id":"ITEM-2","itemData":{"DOI":"10.1021/ja060242k","ISSN":"00027863","abstract":"A general method based on two-phase polymerization has been described to synthesize mesoporous carbons via self-assembly. Mild reacting conditions and wide composition ranges are the obvious advantages of this method over the techniques previously reported. Copyright © 2006 American Chemical Society.","author":[{"dropping-particle":"","family":"Liang","given":"Chengdu","non-dropping-particle":"","parse-names":false,"suffix":""},{"dropping-particle":"","family":"Dai","given":"Sheng","non-dropping-particle":"","parse-names":false,"suffix":""}],"container-title":"Journal of the American Chemical Society","id":"ITEM-2","issue":"16","issued":{"date-parts":[["2006"]]},"page":"5316-5317","title":"Synthesis of mesoporous carbon materials via enhanced hydrogen-bonding interaction","type":"article-journal","volume":"128"},"uris":["http://www.mendeley.com/documents/?uuid=11247020-80d9-4819-933a-d7e3b6a52ed1"]},{"id":"ITEM-3","itemData":{"DOI":"10.1039/c4ra14246b","ISSN":"20462069","abstract":"The synthesis of ordered porous carbons by a green, simple and rapid approach based on light exposure of a solution of carbon precursors and a soft-template in the presence or not of a photosensitizer is demonstrated herein along with their formation mechanism. The influence of the benzophenone amount on the formation of phenolic resin and the carbon structure, morphology and textural properties was systematically studied. The polymerization, self-assembly and carbonization are promoted in the same step by light. The benzophenone accelerates several times the reaction rate modifying mainly the phenolic-resin structure (higher degree of cross-linking and carbonization) via radical formation, as highlighted by Raman spectroscopy. In addition, the increase of benzophenone amount gradually induces the modification of carbon morphology from a worm-like disordered structure to a highly organized hexagonal one while the surface area and pore volume remain unchanged. The 13C and 1H solid state and relaxation NMR analysis pointed out that this behavior is triggered by the different micellar structuration of the template in the presence of benzophenone, the phenolic-resin composition involving only carbon precursor derived compounds and not benzophenone.","author":[{"dropping-particle":"","family":"Ghimbeu","given":"Camélia Matei","non-dropping-particle":"","parse-names":false,"suffix":""},{"dropping-particle":"","family":"Sopronyi","given":"Mihai","non-dropping-particle":"","parse-names":false,"suffix":""},{"dropping-particle":"","family":"Sima","given":"Felix","non-dropping-particle":"","parse-names":false,"suffix":""},{"dropping-particle":"","family":"Vaulot","given":"Cyril","non-dropping-particle":"","parse-names":false,"suffix":""},{"dropping-particle":"","family":"Vidal","given":"Loïc","non-dropping-particle":"","parse-names":false,"suffix":""},{"dropping-particle":"","family":"Meins","given":"Jean Marc","non-dropping-particle":"Le","parse-names":false,"suffix":""},{"dropping-particle":"","family":"Delmotte","given":"Luc","non-dropping-particle":"","parse-names":false,"suffix":""}],"container-title":"RSC Advances","id":"ITEM-3","issue":"4","issued":{"date-parts":[["2015"]]},"page":"2861-2868","title":"\"Light-assisted evaporation induced self-assembly\": An efficient approach toward ordered carbon materials","type":"article-journal","volume":"5"},"uris":["http://www.mendeley.com/documents/?uuid=a4a8a6be-a1df-4397-97d6-268fb98581fd"]},{"id":"ITEM-4","itemData":{"DOI":"10.1039/c8gc03497d","ISSN":"14639270","abstract":"We report the synthesis of sustainable ordered mesoporous carbons (OMCs) produced from lignin, using the evaporation induced self-assembly (EISA) method. We demonstrated that it is possible to replace half of the phloroglucinol (a well-known carbon precursor currently not derived from bioprecursors) by hardwood organosolv lignin while obtaining a highly ordered pore structure. Notably, we also used glyoxal instead of formaldehyde as a crosslinker, which makes the synthesis route even \"greener\" with respect to the toxicity of the precursors and their renewable sourcing. Finally, we demonstrated that the resulting carbons make powerful electrodes in supercapacitors and we have made clear correlations between the porous structure and their electrochemical performance in symmetric supercapacitors in order to deliver tailored energy storage to meet various demands (i.e. amount of charge stored vs. power of delivery).","author":[{"dropping-particle":"","family":"Herou","given":"Servann","non-dropping-particle":"","parse-names":false,"suffix":""},{"dropping-particle":"","family":"Ribadeneyra","given":"Maria Crespo","non-dropping-particle":"","parse-names":false,"suffix":""},{"dropping-particle":"","family":"Madhu","given":"Rajesh","non-dropping-particle":"","parse-names":false,"suffix":""},{"dropping-particle":"","family":"Araullo-Peters","given":"Vicente","non-dropping-particle":"","parse-names":false,"suffix":""},{"dropping-particle":"","family":"Jensen","given":"Anders","non-dropping-particle":"","parse-names":false,"suffix":""},{"dropping-particle":"","family":"Schlee","given":"Philipp","non-dropping-particle":"","parse-names":false,"suffix":""},{"dropping-particle":"","family":"Titirici","given":"Magdalena","non-dropping-particle":"","parse-names":false,"suffix":""}],"container-title":"Green Chemistry","id":"ITEM-4","issue":"3","issued":{"date-parts":[["2019"]]},"page":"550-559","title":"Ordered mesoporous carbons from lignin: A new class of biobased electrodes for supercapacitors","type":"article-journal","volume":"21"},"uris":["http://www.mendeley.com/documents/?uuid=c93c069e-a3f5-4b9f-9bf6-927989923f52"]},{"id":"ITEM-5","itemData":{"DOI":"10.1002/anie.201500305","ISSN":"15213773","abstract":"A soft chemistry synthetic strategy based on a Friedel-Crafts alkylation reaction is developed for the textural engineering of phenolic resin (PR) with a robust mesoporous framework to avoid serious framework shrinkage and maximize retention of organic functional moieties. By taking advantage of the structural benefits of molecular bridges, the resultant sample maintains a bimodal micro-mesoporous architecture with well-preserved organic functional groups, which is effective for carbon capture. Moreover, this soft chemistry synthetic protocol can be further extended to nanotexture other arene-based polymers with robust frameworks.","author":[{"dropping-particle":"","family":"Zhang","given":"Jinshui","non-dropping-particle":"","parse-names":false,"suffix":""},{"dropping-particle":"","family":"Qiao","given":"Zhen An","non-dropping-particle":"","parse-names":false,"suffix":""},{"dropping-particle":"","family":"Mahurin","given":"Shannon M.","non-dropping-particle":"","parse-names":false,"suffix":""},{"dropping-particle":"","family":"Jiang","given":"Xueguang","non-dropping-particle":"","parse-names":false,"suffix":""},{"dropping-particle":"","family":"Chai","given":"Song Hai","non-dropping-particle":"","parse-names":false,"suffix":""},{"dropping-particle":"","family":"Lu","given":"Hanfeng","non-dropping-particle":"","parse-names":false,"suffix":""},{"dropping-particle":"","family":"Nelson","given":"Kimberly","non-dropping-particle":"","parse-names":false,"suffix":""},{"dropping-particle":"","family":"Dai","given":"Sheng","non-dropping-particle":"","parse-names":false,"suffix":""}],"container-title":"Angewandte Chemie - International Edition","id":"ITEM-5","issue":"15","issued":{"date-parts":[["2015"]]},"page":"4582-4586","title":"Hypercrosslinked Phenolic Polymers with Well-Developed Mesoporous Frameworks","type":"article-journal","volume":"54"},"uris":["http://www.mendeley.com/documents/?uuid=52ccadb5-384b-42ce-bdf4-f3a9e59fbf7b"]},{"id":"ITEM-6","itemData":{"DOI":"10.1021/la800529v","ISSN":"07437463","abstract":"The effect of phenols reactivity with formaldehyde on the formation of ordered mesoporous carbons has been investigated. A strategy to accelerate the polymerization of phenolic resins by using strongly acidic conditions is proposed. The self-assembly of resorcinol-formaldehyde and block copolymers (e.g., F127) under highly acidic concentrations (e.g., 1.5 M HCl) is probably driven by the I+X-S+ mechanism and hydrogen bonding and affords a highly reproducible approach for synthesis of ordered mesoporous carbons. The synthesis can be readily scaled up with no change in sample quality. The carbon material obtained (denoted as C-ORNL-1) exhibits highly ordered hexagonal mesostructure, with a typical BET surface area of </w:instrText>
      </w:r>
      <w:r w:rsidR="004C7F22" w:rsidRPr="006D631C">
        <w:rPr>
          <w:rFonts w:ascii="Cambria Math" w:hAnsi="Cambria Math" w:cs="Cambria Math"/>
        </w:rPr>
        <w:instrText>∼</w:instrText>
      </w:r>
      <w:r w:rsidR="004C7F22" w:rsidRPr="006D631C">
        <w:instrText xml:space="preserve">600 m2/g, pore size of 6.3 nm, and pore volume of </w:instrText>
      </w:r>
      <w:r w:rsidR="004C7F22" w:rsidRPr="006D631C">
        <w:rPr>
          <w:rFonts w:ascii="Cambria Math" w:hAnsi="Cambria Math" w:cs="Cambria Math"/>
        </w:rPr>
        <w:instrText>∼</w:instrText>
      </w:r>
      <w:r w:rsidR="004C7F22" w:rsidRPr="006D631C">
        <w:instrText>0.60 cm3/g. One of the unique structural features of C-ORNL-1 is its high thermal stability; it can be graphitized at 2600°C while considerable mesoporosity is maintained. © 2008 American Chemical Society.","author":[{"dropping-particle":"","family":"Wang","given":"Xiqing","non-dropping-particle":"","parse-names":false,"suffix":""},{"dropping-particle":"","family":"Liang","given":"Chengdu","non-dropping-particle":"","parse-names":false,"suffix":""},{"dropping-particle":"","family":"Dai","given":"Sheng","non-dropping-particle":"","parse-names":false,"suffix":""}],"container-title":"Langmuir","id":"ITEM-6","issue":"14","issued":{"date-parts":[["2008"]]},"page":"7500-7505","title":"Facile synthesis of ordered mesoporous carbons with high thermal stability by self-assembly of resorcinol-formaldehyde and block copolymers under highly acidic conditions","type":"article-journal","volume":"24"},"uris":["http://www.mendeley.com/documents/?uuid=7409a31a-4ea8-4c6d-b83d-2d1c4a2f7c67"]}],"mendeley":{"formattedCitation":"&lt;sup&gt;20,55,143–146&lt;/sup&gt;","plainTextFormattedCitation":"20,55,143–146","previouslyFormattedCitation":"&lt;sup&gt;20,55,143–146&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noProof/>
          <w:vertAlign w:val="superscript"/>
        </w:rPr>
        <w:t>20,55,143–146</w:t>
      </w:r>
      <w:r w:rsidRPr="006D631C">
        <w:rPr>
          <w:rFonts w:asciiTheme="majorBidi" w:hAnsiTheme="majorBidi" w:cstheme="majorBidi"/>
        </w:rPr>
        <w:fldChar w:fldCharType="end"/>
      </w:r>
      <w:r w:rsidRPr="006D631C">
        <w:rPr>
          <w:rFonts w:asciiTheme="majorBidi" w:hAnsiTheme="majorBidi" w:cstheme="majorBidi"/>
        </w:rPr>
        <w:t xml:space="preserve"> In the reported results, OMC materials obtained via this technique show extremely high thermal stability,</w:t>
      </w:r>
      <w:r w:rsidRPr="006D631C">
        <w:rPr>
          <w:rFonts w:asciiTheme="majorBidi" w:hAnsiTheme="majorBidi" w:cstheme="majorBidi"/>
        </w:rPr>
        <w:fldChar w:fldCharType="begin" w:fldLock="1"/>
      </w:r>
      <w:r w:rsidR="004C7F22" w:rsidRPr="006D631C">
        <w:instrText xml:space="preserve">ADDIN CSL_CITATION {"citationItems":[{"id":"ITEM-1","itemData":{"DOI":"10.1021/la800529v","ISSN":"07437463","abstract":"The effect of phenols reactivity with formaldehyde on the formation of ordered mesoporous carbons has been investigated. A strategy to accelerate the polymerization of phenolic resins by using strongly acidic conditions is proposed. The self-assembly of resorcinol-formaldehyde and block copolymers (e.g., F127) under highly acidic concentrations (e.g., 1.5 M HCl) is probably driven by the I+X-S+ mechanism and hydrogen bonding and affords a highly reproducible approach for synthesis of ordered mesoporous carbons. The synthesis can be readily scaled up with no change in sample quality. The carbon material obtained (denoted as C-ORNL-1) exhibits highly ordered hexagonal mesostructure, with a typical BET surface area of </w:instrText>
      </w:r>
      <w:r w:rsidR="004C7F22" w:rsidRPr="006D631C">
        <w:rPr>
          <w:rFonts w:ascii="Cambria Math" w:hAnsi="Cambria Math" w:cs="Cambria Math"/>
        </w:rPr>
        <w:instrText>∼</w:instrText>
      </w:r>
      <w:r w:rsidR="004C7F22" w:rsidRPr="006D631C">
        <w:instrText xml:space="preserve">600 m2/g, pore size of 6.3 nm, and pore volume of </w:instrText>
      </w:r>
      <w:r w:rsidR="004C7F22" w:rsidRPr="006D631C">
        <w:rPr>
          <w:rFonts w:ascii="Cambria Math" w:hAnsi="Cambria Math" w:cs="Cambria Math"/>
        </w:rPr>
        <w:instrText>∼</w:instrText>
      </w:r>
      <w:r w:rsidR="004C7F22" w:rsidRPr="006D631C">
        <w:instrText>0.60 cm3/g. One of the unique structural features of C-ORNL-1 is its high thermal stability; it can be graphitized at 2600°C while considerable mesoporosity is maintained. © 2008 American Chemical Society.","author":[{"dropping-particle":"","family":"Wang","given":"Xiqing","non-dropping-particle":"","parse-names":false,"suffix":""},{"dropping-particle":"","family":"Liang","given":"Chengdu","non-dropping-particle":"","parse-names":false,"suffix":""},{"dropping-particle":"","family":"Dai","given":"Sheng","non-dropping-particle":"","parse-names":false,"suffix":""}],"container-title":"Langmuir","id":"ITEM-1","issue":"14","issued":{"date-parts":[["2008"]]},"page":"7500-7505","title":"Facile synthesis of ordered mesoporous carbons with high thermal stability by self-assembly of resorcinol-formaldehyde and block copolymers under highly acidic conditions","type":"article-journal","volume":"24"},"uris":["http://www.mendeley.com/documents/?uuid=7409a31a-4ea8-4c6d-b83d-2d1c4a2f7c67"]},{"id":"ITEM-2","itemData":{"DOI":"10.1021/cm060921u","ISSN":"08974756","abstract":"The syntheses of a family of highly ordered mesoporous polymers and carbon frameworks from organic-organic assembly of triblock copolymers with soluble, low-molecular-weight phenolic resin precursors (resols) by an evaporation induced self-assembly strategy have been reported in detail. The family members include two-dimensional hexagonal (space group, p6m), three-dimensional bicontinuous (Ia3d), body-centered cubic (Im3m), and lamellar mesostructures, which are controlled by simply adjusting the ratio of phenol/template or polyethylene oxide)/poly(propylene oxide) in the templates. A five-step mechanism from organic-organic assembly has been demonstrated. Cubic FDU-14 with a gyroidal mesostructure of polymer resin or carbon has been synthesized for the first time by using the copolymer Pluronic P1 23 as a template in a relatively narrow range. Upon calcination at 350°C, the templates should be removed to obtain mesoporous polymers, and further heating at above a critical temperature of 600°C transforms the mesoporous polymers to the homologous carbon frameworks. The mesoporous polymer resin and carbon product materials exhibit ordered structures, high surface areas, (670-1490 m 2/g), large pore volumes (0.65-0.85 cm 3/g), and uniform, large pore sizes (7.0-3.9 nm), as well as very thick pore walls (6-8 nm). The carbon open frameworks with covalently bonded constructions and thick pore walls exhibit high thermal stability (&gt; 1400°C). Our results show that the feed gas used during the calcination has a great influence on the porosity of the products. The presence of a small amount of oxygen facilitates the large pore sizes and high surface areas of mesoporous materials with different mesostructures. An extraction method employing sulfuric acid can also decompose the template from hexagonal mesostructured polymers with little framework shrinkage. Preliminary studies of the mechanical and electrochemical properties of mesoporous carbon molecular sieves are also presented. © 2006 American Chemical Society.","author":[{"dropping-particle":"","family":"Meng","given":"Yan","non-dropping-particle":"","parse-names":false,"suffix":""},{"dropping-particle":"","family":"Gu","given":"Dong","non-dropping-particle":"","parse-names":false,"suffix":""},{"dropping-particle":"","family":"Zhang","given":"Fuqiang","non-dropping-particle":"","parse-names":false,"suffix":""},{"dropping-particle":"","family":"Shi","given":"Yifeng","non-dropping-particle":"","parse-names":false,"suffix":""},{"dropping-particle":"","family":"Cheng","given":"Liang","non-dropping-particle":"","parse-names":false,"suffix":""},{"dropping-particle":"","family":"Feng","given":"Dan","non-dropping-particle":"","parse-names":false,"suffix":""},{"dropping-particle":"","family":"Wu","given":"Zhangxiong","non-dropping-particle":"","parse-names":false,"suffix":""},{"dropping-particle":"","family":"Chen","given":"Zhenxia","non-dropping-particle":"","parse-names":false,"suffix":""},{"dropping-particle":"","family":"Wan","given":"Ying","non-dropping-particle":"","parse-names":false,"suffix":""},{"dropping-particle":"","family":"Stein","given":"Andreas","non-dropping-particle":"","parse-names":false,"suffix":""},{"dropping-particle":"","family":"Zhao","given":"Dongyuan","non-dropping-particle":"","parse-names":false,"suffix":""}],"container-title":"Chemistry of Materials","id":"ITEM-2","issue":"18","issued":{"date-parts":[["2006"]]},"page":"4447-4464","title":"A family of highly ordered mesoporous polymer resin and carbon structures from organic-organic self-assembly","type":"article-journal","volume":"18"},"uris":["http://www.mendeley.com/documents/?uuid=f487042c-a697-473a-abb9-2394ba5dbd47"]}],"mendeley":{"formattedCitation":"&lt;sup&gt;20,146&lt;/sup&gt;","plainTextFormattedCitation":"20,146","previouslyFormattedCitation":"&lt;sup&gt;20,146&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noProof/>
          <w:vertAlign w:val="superscript"/>
        </w:rPr>
        <w:t>20,146</w:t>
      </w:r>
      <w:r w:rsidRPr="006D631C">
        <w:rPr>
          <w:rFonts w:asciiTheme="majorBidi" w:hAnsiTheme="majorBidi" w:cstheme="majorBidi"/>
        </w:rPr>
        <w:fldChar w:fldCharType="end"/>
      </w:r>
      <w:r w:rsidRPr="006D631C">
        <w:rPr>
          <w:rFonts w:asciiTheme="majorBidi" w:hAnsiTheme="majorBidi" w:cstheme="majorBidi"/>
        </w:rPr>
        <w:t xml:space="preserve"> excellent mechanical properties,</w:t>
      </w:r>
      <w:r w:rsidRPr="006D631C">
        <w:rPr>
          <w:rFonts w:asciiTheme="majorBidi" w:hAnsiTheme="majorBidi" w:cstheme="majorBidi"/>
        </w:rPr>
        <w:fldChar w:fldCharType="begin" w:fldLock="1"/>
      </w:r>
      <w:r w:rsidR="003813C4" w:rsidRPr="006D631C">
        <w:instrText>ADDIN CSL_CITATION {"citationItems":[{"id":"ITEM-1","itemData":{"DOI":"10.1021/cm060921u","ISSN":"08974756","abstract":"The syntheses of a family of highly ordered mesoporous polymers and carbon frameworks from organic-organic assembly of triblock copolymers with soluble, low-molecular-weight phenolic resin precursors (resols) by an evaporation induced self-assembly strategy have been reported in detail. The family members include two-dimensional hexagonal (space group, p6m), three-dimensional bicontinuous (Ia3d), body-centered cubic (Im3m), and lamellar mesostructures, which are controlled by simply adjusting the ratio of phenol/template or polyethylene oxide)/poly(propylene oxide) in the templates. A five-step mechanism from organic-organic assembly has been demonstrated. Cubic FDU-14 with a gyroidal mesostructure of polymer resin or carbon has been synthesized for the first time by using the copolymer Pluronic P1 23 as a template in a relatively narrow range. Upon calcination at 350°C, the templates should be removed to obtain mesoporous polymers, and further heating at above a critical temperature of 600°C transforms the mesoporous polymers to the homologous carbon frameworks. The mesoporous polymer resin and carbon product materials exhibit ordered structures, high surface areas, (670-1490 m 2/g), large pore volumes (0.65-0.85 cm 3/g), and uniform, large pore sizes (7.0-3.9 nm), as well as very thick pore walls (6-8 nm). The carbon open frameworks with covalently bonded constructions and thick pore walls exhibit high thermal stability (&gt; 1400°C). Our results show that the feed gas used during the calcination has a great influence on the porosity of the products. The presence of a small amount of oxygen facilitates the large pore sizes and high surface areas of mesoporous materials with different mesostructures. An extraction method employing sulfuric acid can also decompose the template from hexagonal mesostructured polymers with little framework shrinkage. Preliminary studies of the mechanical and electrochemical properties of mesoporous carbon molecular sieves are also presented. © 2006 American Chemical Society.","author":[{"dropping-particle":"","family":"Meng","given":"Yan","non-dropping-particle":"","parse-names":false,"suffix":""},{"dropping-particle":"","family":"Gu","given":"Dong","non-dropping-particle":"","parse-names":false,"suffix":""},{"dropping-particle":"","family":"Zhang","given":"Fuqiang","non-dropping-particle":"","parse-names":false,"suffix":""},{"dropping-particle":"","family":"Shi","given":"Yifeng","non-dropping-particle":"","parse-names":false,"suffix":""},{"dropping-particle":"","family":"Cheng","given":"Liang","non-dropping-particle":"","parse-names":false,"suffix":""},{"dropping-particle":"","family":"Feng","given":"Dan","non-dropping-particle":"","parse-names":false,"suffix":""},{"dropping-particle":"","family":"Wu","given":"Zhangxiong","non-dropping-particle":"","parse-names":false,"suffix":""},{"dropping-particle":"","family":"Chen","given":"Zhenxia","non-dropping-particle":"","parse-names":false,"suffix":""},{"dropping-particle":"","family":"Wan","given":"Ying","non-dropping-particle":"","parse-names":false,"suffix":""},{"dropping-particle":"","family":"Stein","given":"Andreas","non-dropping-particle":"","parse-names":false,"suffix":""},{"dropping-particle":"","family":"Zhao","given":"Dongyuan","non-dropping-particle":"","parse-names":false,"suffix":""}],"container-title":"Chemistry of Materials","id":"ITEM-1","issue":"18","issued":{"date-parts":[["2006"]]},"page":"4447-4464","title":"A family of highly ordered mesoporous polymer resin and carbon structures from organic-organic self-assembly","type":"article-journal","volume":"18"},"uris":["http://www.mendeley.com/documents/?uuid=f487042c-a697-473a-abb9-2394ba5dbd47"]},{"id":"ITEM-2","itemData":{"DOI":"10.1002/anie.201500305","ISSN":"15213773","abstract":"A soft chemistry synthetic strategy based on a Friedel-Crafts alkylation reaction is developed for the textural engineering of phenolic resin (PR) with a robust mesoporous framework to avoid serious framework shrinkage and maximize retention of organic functional moieties. By taking advantage of the structural benefits of molecular bridges, the resultant sample maintains a bimodal micro-mesoporous architecture with well-preserved organic functional groups, which is effective for carbon capture. Moreover, this soft chemistry synthetic protocol can be further extended to nanotexture other arene-based polymers with robust frameworks.","author":[{"dropping-particle":"","family":"Zhang","given":"Jinshui","non-dropping-particle":"","parse-names":false,"suffix":""},{"dropping-particle":"","family":"Qiao","given":"Zhen An","non-dropping-particle":"","parse-names":false,"suffix":""},{"dropping-particle":"","family":"Mahurin","given":"Shannon M.","non-dropping-particle":"","parse-names":false,"suffix":""},{"dropping-particle":"","family":"Jiang","given":"Xueguang","non-dropping-particle":"","parse-names":false,"suffix":""},{"dropping-particle":"","family":"Chai","given":"Song Hai","non-dropping-particle":"","parse-names":false,"suffix":""},{"dropping-particle":"","family":"Lu","given":"Hanfeng","non-dropping-particle":"","parse-names":false,"suffix":""},{"dropping-particle":"","family":"Nelson","given":"Kimberly","non-dropping-particle":"","parse-names":false,"suffix":""},{"dropping-particle":"","family":"Dai","given":"Sheng","non-dropping-particle":"","parse-names":false,"suffix":""}],"container-title":"Angewandte Chemie - International Edition","id":"ITEM-2","issue":"15","issued":{"date-parts":[["2015"]]},"page":"4582-4586","title":"Hypercrosslinked Phenolic Polymers with Well-Developed Mesoporous Frameworks","type":"article-journal","volume":"54"},"uris":["http://www.mendeley.com/documents/?uuid=52ccadb5-384b-42ce-bdf4-f3a9e59fbf7b"]}],"mendeley":{"formattedCitation":"&lt;sup&gt;20,55&lt;/sup&gt;","plainTextFormattedCitation":"20,55","previouslyFormattedCitation":"&lt;sup&gt;20,55&lt;/sup&gt;"},"properties":{"noteIndex":0},"schema":"https://github.com/citation-style-language/schema/raw/master/csl-citation.json"}</w:instrText>
      </w:r>
      <w:r w:rsidRPr="006D631C">
        <w:rPr>
          <w:rFonts w:asciiTheme="majorBidi" w:hAnsiTheme="majorBidi" w:cstheme="majorBidi"/>
        </w:rPr>
        <w:fldChar w:fldCharType="separate"/>
      </w:r>
      <w:r w:rsidR="001E385A" w:rsidRPr="006D631C">
        <w:rPr>
          <w:noProof/>
          <w:vertAlign w:val="superscript"/>
        </w:rPr>
        <w:t>20,55</w:t>
      </w:r>
      <w:r w:rsidRPr="006D631C">
        <w:rPr>
          <w:rFonts w:asciiTheme="majorBidi" w:hAnsiTheme="majorBidi" w:cstheme="majorBidi"/>
        </w:rPr>
        <w:fldChar w:fldCharType="end"/>
      </w:r>
      <w:r w:rsidRPr="006D631C">
        <w:rPr>
          <w:rFonts w:asciiTheme="majorBidi" w:hAnsiTheme="majorBidi" w:cstheme="majorBidi"/>
        </w:rPr>
        <w:t xml:space="preserve"> enhanced electrochemical performance,</w:t>
      </w:r>
      <w:r w:rsidRPr="006D631C">
        <w:rPr>
          <w:rFonts w:asciiTheme="majorBidi" w:hAnsiTheme="majorBidi" w:cstheme="majorBidi"/>
        </w:rPr>
        <w:fldChar w:fldCharType="begin" w:fldLock="1"/>
      </w:r>
      <w:r w:rsidR="004C7F22" w:rsidRPr="006D631C">
        <w:instrText>ADDIN CSL_CITATION {"citationItems":[{"id":"ITEM-1","itemData":{"DOI":"10.1039/c8gc03497d","ISSN":"14639270","abstract":"We report the synthesis of sustainable ordered mesoporous carbons (OMCs) produced from lignin, using the evaporation induced self-assembly (EISA) method. We demonstrated that it is possible to replace half of the phloroglucinol (a well-known carbon precursor currently not derived from bioprecursors) by hardwood organosolv lignin while obtaining a highly ordered pore structure. Notably, we also used glyoxal instead of formaldehyde as a crosslinker, which makes the synthesis route even \"greener\" with respect to the toxicity of the precursors and their renewable sourcing. Finally, we demonstrated that the resulting carbons make powerful electrodes in supercapacitors and we have made clear correlations between the porous structure and their electrochemical performance in symmetric supercapacitors in order to deliver tailored energy storage to meet various demands (i.e. amount of charge stored vs. power of delivery).","author":[{"dropping-particle":"","family":"Herou","given":"Servann","non-dropping-particle":"","parse-names":false,"suffix":""},{"dropping-particle":"","family":"Ribadeneyra","given":"Maria Crespo","non-dropping-particle":"","parse-names":false,"suffix":""},{"dropping-particle":"","family":"Madhu","given":"Rajesh","non-dropping-particle":"","parse-names":false,"suffix":""},{"dropping-particle":"","family":"Araullo-Peters","given":"Vicente","non-dropping-particle":"","parse-names":false,"suffix":""},{"dropping-particle":"","family":"Jensen","given":"Anders","non-dropping-particle":"","parse-names":false,"suffix":""},{"dropping-particle":"","family":"Schlee","given":"Philipp","non-dropping-particle":"","parse-names":false,"suffix":""},{"dropping-particle":"","family":"Titirici","given":"Magdalena","non-dropping-particle":"","parse-names":false,"suffix":""}],"container-title":"Green Chemistry","id":"ITEM-1","issue":"3","issued":{"date-parts":[["2019"]]},"page":"550-559","title":"Ordered mesoporous carbons from lignin: A new class of biobased electrodes for supercapacitors","type":"article-journal","volume":"21"},"uris":["http://www.mendeley.com/documents/?uuid=c93c069e-a3f5-4b9f-9bf6-927989923f52"]}],"mendeley":{"formattedCitation":"&lt;sup&gt;145&lt;/sup&gt;","plainTextFormattedCitation":"145","previouslyFormattedCitation":"&lt;sup&gt;145&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noProof/>
          <w:vertAlign w:val="superscript"/>
        </w:rPr>
        <w:t>145</w:t>
      </w:r>
      <w:r w:rsidRPr="006D631C">
        <w:rPr>
          <w:rFonts w:asciiTheme="majorBidi" w:hAnsiTheme="majorBidi" w:cstheme="majorBidi"/>
        </w:rPr>
        <w:fldChar w:fldCharType="end"/>
      </w:r>
      <w:r w:rsidRPr="006D631C">
        <w:rPr>
          <w:rFonts w:asciiTheme="majorBidi" w:hAnsiTheme="majorBidi" w:cstheme="majorBidi"/>
        </w:rPr>
        <w:t xml:space="preserve"> and promising CO</w:t>
      </w:r>
      <w:r w:rsidRPr="006D631C">
        <w:rPr>
          <w:rFonts w:asciiTheme="majorBidi" w:hAnsiTheme="majorBidi" w:cstheme="majorBidi"/>
          <w:vertAlign w:val="subscript"/>
        </w:rPr>
        <w:t>2</w:t>
      </w:r>
      <w:r w:rsidRPr="006D631C">
        <w:rPr>
          <w:rFonts w:asciiTheme="majorBidi" w:hAnsiTheme="majorBidi" w:cstheme="majorBidi"/>
        </w:rPr>
        <w:t xml:space="preserve"> capture properties.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{"citationItems":[{"id":"ITEM-1","itemData":{"DOI":"10.1002/anie.201500305","ISSN":"15213773","abstract":"A soft chemistry synthetic strategy based on a Friedel-Crafts alkylation reaction is developed for the textural engineering of phenolic resin (PR) with a robust mesoporous framework to avoid serious framework shrinkage and maximize retention of organic functional moieties. By taking advantage of the structural benefits of molecular bridges, the resultant sample maintains a bimodal micro-mesoporous architecture with well-preserved organic functional groups, which is effective for carbon capture. Moreover, this soft chemistry synthetic protocol can be further extended to nanotexture other arene-based polymers with robust frameworks.","author":[{"dropping-particle":"","family":"Zhang","given":"Jinshui","non-dropping-particle":"","parse-names":false,"suffix":""},{"dropping-particle":"","family":"Qiao","given":"Zhen An","non-dropping-particle":"","parse-names":false,"suffix":""},{"dropping-particle":"","family":"Mahurin","given":"Shannon M.","non-dropping-particle":"","parse-names":false,"suffix":""},{"dropping-particle":"","family":"Jiang","given":"Xueguang","non-dropping-particle":"","parse-names":false,"suffix":""},{"dropping-particle":"","family":"Chai","given":"Song Hai","non-dropping-particle":"","parse-names":false,"suffix":""},{"dropping-particle":"","family":"Lu","given":"Hanfeng","non-dropping-particle":"","parse-names":false,"suffix":""},{"dropping-particle":"","family":"Nelson","given":"Kimberly","non-dropping-particle":"","parse-names":false,"suffix":""},{"dropping-particle":"","family":"Dai","given":"Sheng","non-dropping-particle":"","parse-names":false,"suffix":""}],"container-title":"Angewandte Chemie - International Edition","id":"ITEM-1","issue":"15","issued":{"date-parts":[["2015"]]},"page":"4582-4586","title":"Hypercrosslinked Phenolic Polymers with Well-Developed Mesoporous Frameworks","type":"article-journal","volume":"54"},"uris":["http://www.mendeley.com/documents/?uuid=52ccadb5-384b-42ce-bdf4-f3a9e59fbf7b"]}],"mendeley":{"formattedCitation":"&lt;sup&gt;55&lt;/sup&gt;","plainTextFormattedCitation":"55","previouslyFormattedCitation":"&lt;sup&gt;55&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55</w:t>
      </w:r>
      <w:r w:rsidRPr="006D631C">
        <w:rPr>
          <w:rFonts w:asciiTheme="majorBidi" w:hAnsiTheme="majorBidi" w:cstheme="majorBidi"/>
        </w:rPr>
        <w:fldChar w:fldCharType="end"/>
      </w:r>
    </w:p>
    <w:p w14:paraId="6C5FE1EC" w14:textId="2F8F3137" w:rsidR="00324257" w:rsidRPr="006D631C" w:rsidRDefault="00324257" w:rsidP="00CB7643">
      <w:pPr>
        <w:pStyle w:val="Heading3"/>
      </w:pPr>
      <w:bookmarkStart w:id="73" w:name="_Toc131082873"/>
      <w:bookmarkStart w:id="74" w:name="_Toc148175791"/>
      <w:r w:rsidRPr="006D631C">
        <w:t xml:space="preserve">1.4.2 </w:t>
      </w:r>
      <w:r w:rsidR="00AA3BD1" w:rsidRPr="006D631C">
        <w:t>Lamellar</w:t>
      </w:r>
      <w:r w:rsidRPr="006D631C">
        <w:t xml:space="preserve"> (</w:t>
      </w:r>
      <w:r w:rsidRPr="006D631C">
        <w:rPr>
          <w:rFonts w:eastAsia="Calibri" w:cs="Times New Roman"/>
          <w:bCs/>
        </w:rPr>
        <w:t>L</w:t>
      </w:r>
      <w:r w:rsidRPr="006D631C">
        <w:rPr>
          <w:rFonts w:eastAsia="Calibri" w:cs="Times New Roman"/>
          <w:bCs/>
          <w:vertAlign w:val="subscript"/>
        </w:rPr>
        <w:t>α</w:t>
      </w:r>
      <w:r w:rsidRPr="006D631C">
        <w:t>)</w:t>
      </w:r>
      <w:bookmarkEnd w:id="73"/>
      <w:bookmarkEnd w:id="74"/>
      <w:r w:rsidRPr="006D631C">
        <w:t xml:space="preserve"> </w:t>
      </w:r>
    </w:p>
    <w:p w14:paraId="0448D7A9" w14:textId="43EE6EF4" w:rsidR="003E7600" w:rsidRPr="006D631C" w:rsidRDefault="007D5B3F" w:rsidP="002E14E4">
      <w:pPr>
        <w:tabs>
          <w:tab w:val="left" w:pos="90"/>
          <w:tab w:val="left" w:pos="360"/>
          <w:tab w:val="left" w:pos="992"/>
        </w:tabs>
        <w:ind w:firstLine="357"/>
      </w:pPr>
      <w:r w:rsidRPr="006D631C">
        <w:rPr>
          <w:rFonts w:asciiTheme="majorBidi" w:hAnsiTheme="majorBidi" w:cstheme="majorBidi"/>
        </w:rPr>
        <w:t xml:space="preserve">The Lamellar phases are easily accessible structures in most LLC formulations (especially in ternary systems). Several studies performed on transcriptive templating of </w:t>
      </w:r>
      <w:bookmarkStart w:id="75" w:name="_Hlk67124804"/>
      <w:r w:rsidRPr="006D631C">
        <w:rPr>
          <w:rFonts w:asciiTheme="majorBidi" w:hAnsiTheme="majorBidi" w:cstheme="majorBidi"/>
        </w:rPr>
        <w:t>L</w:t>
      </w:r>
      <w:r w:rsidRPr="006D631C">
        <w:rPr>
          <w:rFonts w:asciiTheme="majorBidi" w:hAnsiTheme="majorBidi" w:cstheme="majorBidi"/>
          <w:vertAlign w:val="subscript"/>
        </w:rPr>
        <w:t>α</w:t>
      </w:r>
      <w:bookmarkEnd w:id="75"/>
      <w:r w:rsidRPr="006D631C">
        <w:rPr>
          <w:rFonts w:asciiTheme="majorBidi" w:hAnsiTheme="majorBidi" w:cstheme="majorBidi"/>
          <w:vertAlign w:val="subscript"/>
        </w:rPr>
        <w:t xml:space="preserve"> </w:t>
      </w:r>
      <w:r w:rsidRPr="006D631C">
        <w:rPr>
          <w:rFonts w:asciiTheme="majorBidi" w:hAnsiTheme="majorBidi" w:cstheme="majorBidi"/>
        </w:rPr>
        <w:t>structure have report</w:t>
      </w:r>
      <w:r w:rsidR="00665D79" w:rsidRPr="006D631C">
        <w:rPr>
          <w:rFonts w:asciiTheme="majorBidi" w:hAnsiTheme="majorBidi" w:cstheme="majorBidi"/>
        </w:rPr>
        <w:t>ed lattice parameters between ~2.8 to ~</w:t>
      </w:r>
      <w:r w:rsidRPr="006D631C">
        <w:rPr>
          <w:rFonts w:asciiTheme="majorBidi" w:hAnsiTheme="majorBidi" w:cstheme="majorBidi"/>
        </w:rPr>
        <w:t>10.5 nm. In most such studies, the focus has been on the investigation of fundamental/mechanistic underpinnings of retention of the L</w:t>
      </w:r>
      <w:r w:rsidRPr="006D631C">
        <w:rPr>
          <w:rFonts w:asciiTheme="majorBidi" w:hAnsiTheme="majorBidi" w:cstheme="majorBidi"/>
          <w:vertAlign w:val="subscript"/>
        </w:rPr>
        <w:t>α</w:t>
      </w:r>
      <w:r w:rsidRPr="006D631C">
        <w:rPr>
          <w:rFonts w:asciiTheme="majorBidi" w:hAnsiTheme="majorBidi" w:cstheme="majorBidi"/>
        </w:rPr>
        <w:t xml:space="preserve"> structure during templating as well as the polymerization kinetics in </w:t>
      </w:r>
      <w:proofErr w:type="spellStart"/>
      <w:r w:rsidRPr="006D631C">
        <w:rPr>
          <w:rFonts w:asciiTheme="majorBidi" w:hAnsiTheme="majorBidi" w:cstheme="majorBidi"/>
        </w:rPr>
        <w:t>nanoconfinement</w:t>
      </w:r>
      <w:proofErr w:type="spellEnd"/>
      <w:r w:rsidRPr="006D631C">
        <w:rPr>
          <w:rFonts w:asciiTheme="majorBidi" w:hAnsiTheme="majorBidi" w:cstheme="majorBidi"/>
        </w:rPr>
        <w:t xml:space="preserve">. However, there are also studies which primarily focus on the templated products in particular application scenarios. As an illustration, </w:t>
      </w:r>
      <w:proofErr w:type="spellStart"/>
      <w:r w:rsidRPr="006D631C">
        <w:rPr>
          <w:rFonts w:asciiTheme="majorBidi" w:hAnsiTheme="majorBidi" w:cstheme="majorBidi"/>
        </w:rPr>
        <w:t>Qavi</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Pr="006D631C">
        <w:rPr>
          <w:rFonts w:asciiTheme="majorBidi" w:hAnsiTheme="majorBidi" w:cstheme="majorBidi"/>
        </w:rPr>
        <w:t xml:space="preserve"> fabricated UF membranes with transcriptive templating of M-4 in lamellar structure directed by A-19c. According to the obtained results, L</w:t>
      </w:r>
      <w:r w:rsidRPr="006D631C">
        <w:rPr>
          <w:rFonts w:asciiTheme="majorBidi" w:hAnsiTheme="majorBidi" w:cstheme="majorBidi"/>
          <w:vertAlign w:val="subscript"/>
        </w:rPr>
        <w:t>α</w:t>
      </w:r>
      <w:r w:rsidRPr="006D631C">
        <w:rPr>
          <w:rFonts w:asciiTheme="majorBidi" w:hAnsiTheme="majorBidi" w:cstheme="majorBidi"/>
        </w:rPr>
        <w:t>-based membranes not only show higher permeability and fouling resistance over commercially available UF membranes, but also exhibited slightly higher water flux compared to H</w:t>
      </w:r>
      <w:r w:rsidRPr="006D631C">
        <w:rPr>
          <w:rFonts w:asciiTheme="majorBidi" w:hAnsiTheme="majorBidi" w:cstheme="majorBidi"/>
          <w:vertAlign w:val="subscript"/>
        </w:rPr>
        <w:t>2</w:t>
      </w:r>
      <w:r w:rsidRPr="006D631C">
        <w:rPr>
          <w:rFonts w:asciiTheme="majorBidi" w:hAnsiTheme="majorBidi" w:cstheme="majorBidi"/>
        </w:rPr>
        <w:t>-based membranes described earlier.</w:t>
      </w:r>
      <w:r w:rsidRPr="006D631C">
        <w:rPr>
          <w:rFonts w:asciiTheme="majorBidi" w:hAnsiTheme="majorBidi" w:cstheme="majorBidi"/>
        </w:rPr>
        <w:fldChar w:fldCharType="begin" w:fldLock="1"/>
      </w:r>
      <w:r w:rsidR="008460FD"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rFonts w:asciiTheme="majorBidi" w:hAnsiTheme="majorBidi" w:cstheme="majorBidi"/>
        </w:rPr>
        <w:fldChar w:fldCharType="separate"/>
      </w:r>
      <w:r w:rsidR="008460FD" w:rsidRPr="006D631C">
        <w:rPr>
          <w:rFonts w:asciiTheme="majorBidi" w:hAnsiTheme="majorBidi" w:cstheme="majorBidi"/>
          <w:noProof/>
          <w:vertAlign w:val="superscript"/>
        </w:rPr>
        <w:t>32</w:t>
      </w:r>
      <w:r w:rsidRPr="006D631C">
        <w:rPr>
          <w:rFonts w:asciiTheme="majorBidi" w:hAnsiTheme="majorBidi" w:cstheme="majorBidi"/>
        </w:rPr>
        <w:fldChar w:fldCharType="end"/>
      </w:r>
      <w:r w:rsidRPr="006D631C">
        <w:rPr>
          <w:rFonts w:asciiTheme="majorBidi" w:hAnsiTheme="majorBidi" w:cstheme="majorBidi"/>
        </w:rPr>
        <w:t xml:space="preserve"> Antimicrobial membranes with lamellar structure have also been successfully fabricated.</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{"citationItems":[{"id":"ITEM-1","itemData":{"author":[{"dropping-particle":"","family":"Qavi","given":"Sahar","non-dropping-particle":"","parse-names":false,"suffix":""}],"id":"ITEM-1","issued":{"date-parts":[["2019"]]},"number-of-pages":"256","publisher":"New Mexico State University","title":"RHEOLOGY, CHEMORHEOLOGY, AND MEMBRANE APPLICATION of AMPHIPHILIC BLOCK COPOLYMER/ WATER/OIL MESOPHASES","type":"thesis"},"uris":["http://www.mendeley.com/documents/?uuid=280cca4d-81d9-4959-a2b7-f5b716bb2755"]}],"mendeley":{"formattedCitation":"&lt;sup&gt;142&lt;/sup&gt;","plainTextFormattedCitation":"142","previouslyFormattedCitation":"&lt;sup&gt;142&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142</w:t>
      </w:r>
      <w:r w:rsidRPr="006D631C">
        <w:rPr>
          <w:rFonts w:asciiTheme="majorBidi" w:hAnsiTheme="majorBidi" w:cstheme="majorBidi"/>
        </w:rPr>
        <w:fldChar w:fldCharType="end"/>
      </w:r>
      <w:r w:rsidRPr="006D631C">
        <w:rPr>
          <w:rFonts w:asciiTheme="majorBidi" w:hAnsiTheme="majorBidi" w:cstheme="majorBidi"/>
        </w:rPr>
        <w:t xml:space="preserve"> In a recent trial, </w:t>
      </w:r>
      <w:proofErr w:type="spellStart"/>
      <w:r w:rsidRPr="006D631C">
        <w:rPr>
          <w:rFonts w:asciiTheme="majorBidi" w:hAnsiTheme="majorBidi" w:cstheme="majorBidi"/>
        </w:rPr>
        <w:t>Bandegi</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Pr="006D631C">
        <w:rPr>
          <w:rFonts w:asciiTheme="majorBidi" w:hAnsiTheme="majorBidi" w:cstheme="majorBidi"/>
        </w:rPr>
        <w:t xml:space="preserve"> have produced a robust ion gel with decent ion conductivity by LLC templating in the presence of ionic liquid</w:t>
      </w:r>
      <w:r w:rsidR="008460FD" w:rsidRPr="006D631C">
        <w:rPr>
          <w:rFonts w:asciiTheme="majorBidi" w:hAnsiTheme="majorBidi" w:cstheme="majorBidi"/>
        </w:rPr>
        <w:t>s</w:t>
      </w:r>
      <w:r w:rsidRPr="006D631C">
        <w:rPr>
          <w:rFonts w:asciiTheme="majorBidi" w:hAnsiTheme="majorBidi" w:cstheme="majorBidi"/>
        </w:rPr>
        <w:t>.</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{"citationItems":[{"id":"ITEM-1","itemData":{"DOI":"10.1039/D0SM00850H","ISSN":"1744-683X","abstract":"Ion gels can be produced through polymerization of lyotropic liquid crystal templates of a monomer, cross-linker, ionic liquid, and amphiphilic block copolymer. The mechanical strength of ion gels can be increased one order of magnitude without compromising the ionic conductivity.","author":[{"dropping-particle":"","family":"Bandegi","given":"Alireza","non-dropping-particle":"","parse-names":false,"suffix":""},{"dropping-particle":"","family":"Bañuelos","given":"Jose L.","non-dropping-particle":"","parse-names":false,"suffix":""},{"dropping-particle":"","family":"Foudazi","given":"Reza","non-dropping-particle":"","parse-names":false,"suffix":""}],"container-title":"Soft Matter","id":"ITEM-1","issue":"26","issued":{"date-parts":[["2020"]]},"page":"6102-6114","title":"Formation of ion gels by polymerization of block copolymer/ionic liquid/oil mesophases","type":"article-journal","volume":"16"},"uris":["http://www.mendeley.com/documents/?uuid=3c9b1002-6da8-4045-95db-af61dff5546a"]},{"id":"ITEM-2","itemData":{"DOI":"10.1002/pol.20210440","ISSN":"2642-4150","author":[{"dropping-particle":"","family":"Bandegi","given":"Alireza","non-dropping-particle":"","parse-names":false,"suffix":""},{"dropping-particle":"","family":"Kim","given":"Kyungtae","non-dropping-particle":"","parse-names":false,"suffix":""},{"dropping-particle":"","family":"Foudazi","given":"Reza","non-dropping-particle":"","parse-names":false,"suffix":""}],"container-title":"Journal of Polymer Science","id":"ITEM-2","issue":"20","issued":{"date-parts":[["2021","10","15"]]},"page":"2334-2344","title":"Ion transport in polymerized lyotropic liquid crystals containing ionic liquid","type":"article-journal","volume":"59"},"uris":["http://www.mendeley.com/documents/?uuid=46e6f02d-24d9-465c-b1a5-25782cb4f4ce"]}],"mendeley":{"formattedCitation":"&lt;sup&gt;147,148&lt;/sup&gt;","plainTextFormattedCitation":"147,148","previouslyFormattedCitation":"&lt;sup&gt;147,148&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147,148</w:t>
      </w:r>
      <w:r w:rsidRPr="006D631C">
        <w:rPr>
          <w:rFonts w:asciiTheme="majorBidi" w:hAnsiTheme="majorBidi" w:cstheme="majorBidi"/>
        </w:rPr>
        <w:fldChar w:fldCharType="end"/>
      </w:r>
      <w:r w:rsidRPr="006D631C">
        <w:rPr>
          <w:rFonts w:asciiTheme="majorBidi" w:hAnsiTheme="majorBidi" w:cstheme="majorBidi"/>
        </w:rPr>
        <w:t xml:space="preserve"> In other demonstrations of important applications of transcriptive templating in the lamellar phase, Guymon’s team performed </w:t>
      </w:r>
      <w:proofErr w:type="spellStart"/>
      <w:r w:rsidRPr="006D631C">
        <w:rPr>
          <w:rFonts w:asciiTheme="majorBidi" w:hAnsiTheme="majorBidi" w:cstheme="majorBidi"/>
        </w:rPr>
        <w:t>compatibilization</w:t>
      </w:r>
      <w:proofErr w:type="spellEnd"/>
      <w:r w:rsidRPr="006D631C">
        <w:rPr>
          <w:rFonts w:asciiTheme="majorBidi" w:hAnsiTheme="majorBidi" w:cstheme="majorBidi"/>
        </w:rPr>
        <w:t xml:space="preserve"> of immiscible monomers</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{"citationItems":[{"id":"ITEM-1","itemData":{"DOI":"10.1021/ma071070u","ISSN":"00249297","abstract":"In tissue engineering applications the physical properties and degradation behavior of the designed synthetic scaffold are crucial for successful growth and function of desired tissue. Combining two or more biodegradable polymers into a single biomaterial composite may provide a pathway toward achieving new and highly tailorable biomaterial properties by taking advantage of the distinct properties from each blend component. In this work, a nanostructured lyotropic liquid crystal (LLC) was used to induce irascibility between blends of two immiscible biodegradable polymer systems, leading to the formation of a compatible composite with advanced properties. The physical properties and degradative behavior of biomaterials made from formulations of PLA-b-PEG-b-PLA dimethacrylate, caprolactone dimethacrylate, and ethyloxy succinate dimethacrylate were directly controlled using the composition of each material, demonstrating that a high degree of compatibility can be attained from immiscible biopolymer systems using the LLC polymerization template. Specifically, by initially confining the immiscible monomers into the nanometer scale domains of the liquid crystal, composite materials were formed upon cross-linking that demonstrated IPN-type behavior with linear or additive contributions from each biopolymer constituent. The use of a nanostructured LLC to compatibilize immiscible biodegradable monomers represents a significant advancement in the formation of cross-linked biocomposites with highly tailorable properties for tissue engineering applications. © 2007 American Chemical Society.","author":[{"dropping-particle":"","family":"Clapper","given":"Jason D.","non-dropping-particle":"","parse-names":false,"suffix":""},{"dropping-particle":"","family":"Guymon","given":"C. Allan","non-dropping-particle":"","parse-names":false,"suffix":""}],"container-title":"Macromolecules","id":"ITEM-1","issue":"22","issued":{"date-parts":[["2007","10"]]},"page":"7951-7959","title":"Nanostructured biodegradable polymer composites generated using lyotropic liquid crystalline media","type":"article-journal","volume":"40"},"uris":["http://www.mendeley.com/documents/?uuid=57d76004-16a6-4d00-9785-7e68940afd25"]}],"mendeley":{"formattedCitation":"&lt;sup&gt;149&lt;/sup&gt;","plainTextFormattedCitation":"149","previouslyFormattedCitation":"&lt;sup&gt;149&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149</w:t>
      </w:r>
      <w:r w:rsidRPr="006D631C">
        <w:rPr>
          <w:rFonts w:asciiTheme="majorBidi" w:hAnsiTheme="majorBidi" w:cstheme="majorBidi"/>
        </w:rPr>
        <w:fldChar w:fldCharType="end"/>
      </w:r>
      <w:r w:rsidRPr="006D631C">
        <w:rPr>
          <w:rFonts w:asciiTheme="majorBidi" w:hAnsiTheme="majorBidi" w:cstheme="majorBidi"/>
        </w:rPr>
        <w:t xml:space="preserve"> and synthesis of hydrogels which have a good balance of water uptake, swelling/de-swelling rate, and mechanical properties without changing the chemistry or sacrificing the general biocompatibility of the biopolymers.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{"citationItems":[{"id":"ITEM-1","itemData":{"DOI":"10.1021/cm803383d","ISSN":"08974756","abstract":"In applications requiring nanoscale order, control over the structure formation is critical for appropriate function. Reactive surfactants forming reactive lyotropic liquid crystals (LLC) enable the formation of nanotructured polymers that exhibit enhanced physical properties when the original order is retained after polymerization. In this work, the use of a cross-linker to retain the LLC order for a monomethacrylate quaternary ammonium surfactant monomer in water during polymerization was explored. The cross-linker segregates to the polar regions of the surfactant assembly, likely near the quaternary ammonium group of the reactive surfactant. The use of a cross-linker enables the retention of the original LLC order after polymerization for hexagonal LLC phases that are not retained by other means. Increased polymerization rates are observed at low cross-linker concentrations. At higher cross-linker concentrations, the polymerization rates decrease because of a decrease in LLC order. More regular ordered morphologies are observed for systems that retain the hexagonal LLC order during polymerization. The resulting LLC order is also present after drying and swelling the polymer in water, therefore producing a polymer with robust LLC order. Enhancements in water uptake were also observed for polymers that retain the original order through cross-linking compared to systems that exhibit change in order. This behavior is directly related to the retention of the original LLC order. © 2009 American Chemical Society.","author":[{"dropping-particle":"","family":"Sievens-Figueroa","given":"Lucas","non-dropping-particle":"","parse-names":false,"suffix":""},{"dropping-particle":"","family":"Guymon","given":"C. Allan","non-dropping-particle":"","parse-names":false,"suffix":""}],"container-title":"Chemistry of Materials","id":"ITEM-1","issue":"6","issued":{"date-parts":[["2009"]]},"page":"1060-1068","title":"Cross-linking of reactive lyotropic liquid crystals for nanostrueture retention","type":"article-journal","volume":"21"},"uris":["http://www.mendeley.com/documents/?uuid=6aacfd18-62db-4cc9-925f-9fb614d08f5a"]},{"id":"ITEM-2","itemData":{"DOI":"10.1021/bm070167l","ISSN":"15257797","abstract":"The physical properties, porosity, and physiological behavior of synthetic biodegradable hydrogels have been identified as highly critical design parameters in most tissue engineering materials applications. Nanotechnology may provide the means to manipulate these parameters by accessing control over the network structure of the biomaterial, providing unique property relationships that often result from nanostructured materials. In this study, a lyotropic liquid crystal (LLC) was used as a polymerization template in the formation of a photopolymerizable biodegradable PLA-b-PEG-b-PLA (PEG = poly(ethylene glycol); PLA = poly(lactic acid)) material with nanoscale lamellar morphology. Through ordering of the biodegradable monomer within the liquid crystal assembly, a 2-fold increase in maximum polymerization rate and a 30% increase in double bond conversion were realized over isotropic monomer formulations. The resulting network structure of the templated PLA-b-PEG-b-PLA material has a dramatic affect on the physical properties of the hydrogel including an 80% increase in network swelling and an approximately 230% increase in diffusivity. This increase in permeability and solvent uptake leads to rapid degradation of the lamellar templated samples, further demonstrating the influence of the LLC directed network structure on the porosity and physical properties of the biodegradable material. The ability to control the porosity, physical properties, and behavior of a biodegradable hydrogel simply by imparting LLC network structure, without changing the chemistry or biocompatibility of the polymer, could prove highly advantageous in the design of synthetic biomaterials for potential medical applications. © 2007 American Chemical Society.","author":[{"dropping-particle":"","family":"Clapper","given":"Jason D.","non-dropping-particle":"","parse-names":false,"suffix":""},{"dropping-particle":"","family":"Iverson","given":"Stephanie L.","non-dropping-particle":"","parse-names":false,"suffix":""},{"dropping-particle":"","family":"Guymon","given":"C. Allan","non-dropping-particle":"","parse-names":false,"suffix":""}],"container-title":"Biomacromolecules","id":"ITEM-2","issue":"7","issued":{"date-parts":[["2007"]]},"page":"2104-2111","title":"Nanostructured biodegradable polymer networks using lyotropic liquid crystalline templates","type":"article-journal","volume":"8"},"uris":["http://www.mendeley.com/documents/?uuid=bb658b55-8b6d-4dd4-9f02-48a4156f2348"]},{"id":"ITEM-3","itemData":{"DOI":"10.1080/15421400903065002","ISSN":"15635287","abstract":"Much research has focused on the control of material structure on the nanometer size scale. The self assembled, highly organized solutions inherent to lyotropic liquid crystals (LLCs) have recently emerged as promising tools in the synthesis of organic nanostructured materials. In this work highly ordered LLC morphologies have been utilized as polymerization templates to dictate and achieve unique polymer network structure. The influence of nanoscale organization of the monomer is directly related to the physical and diffusive behavior of the resulting polymer. Additionally, LLC ordered solutions have shown great promise in compatibilizing blends of immiscible monomers. To this end, the precise organization of the LLC has been investigated as a means to segregate immiscible monomers into isolated nanoscale domains for the copolymerization of two separate but interconnected networks. The results from this study have demonstrated that the network structure of PEGDA hydrogels or PEGDA/HDDA blends can be directed by LLC templates, and that the physical properties of the templated materials are indeed influenced by the network structure induced by the templating process. This work has established that LLCs are an important tool in the creation of materials with nanoscopic architecture that directly leads to attractive and previously unattainable materials properties. Copyright © Taylor &amp; Francis Group, LLC.","author":[{"dropping-particle":"","family":"Clapper","given":"Jason D.","non-dropping-particle":"","parse-names":false,"suffix":""},{"dropping-particle":"","family":"Guymon","given":"C. Allan","non-dropping-particle":"","parse-names":false,"suffix":""}],"container-title":"Molecular Crystals and Liquid Crystals","id":"ITEM-3","issue":"1","issued":{"date-parts":[["2009","9","3"]]},"page":"30/[772]-38/[780]","title":"Nanostructured hydrogels via photopolymerization in lyotropic liquid crystalline systems","type":"article-journal","volume":"509"},"uris":["http://www.mendeley.com/documents/?uuid=05af8024-a4fb-4e19-a6ff-77bdc878f76d"]}],"mendeley":{"formattedCitation":"&lt;sup&gt;46,89,150&lt;/sup&gt;","plainTextFormattedCitation":"46,89,150","previouslyFormattedCitation":"&lt;sup&gt;46,89,150&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46,89,150</w:t>
      </w:r>
      <w:r w:rsidRPr="006D631C">
        <w:rPr>
          <w:rFonts w:asciiTheme="majorBidi" w:hAnsiTheme="majorBidi" w:cstheme="majorBidi"/>
        </w:rPr>
        <w:fldChar w:fldCharType="end"/>
      </w:r>
    </w:p>
    <w:p w14:paraId="5E1A9738" w14:textId="3344951E" w:rsidR="004D5EC2" w:rsidRPr="006D631C" w:rsidRDefault="004D5EC2" w:rsidP="00CB7643">
      <w:pPr>
        <w:pStyle w:val="Heading3"/>
      </w:pPr>
      <w:bookmarkStart w:id="76" w:name="_Toc131082874"/>
      <w:bookmarkStart w:id="77" w:name="_Toc148175792"/>
      <w:r w:rsidRPr="006D631C">
        <w:lastRenderedPageBreak/>
        <w:t xml:space="preserve">1.4.3 </w:t>
      </w:r>
      <w:proofErr w:type="spellStart"/>
      <w:r w:rsidRPr="006D631C">
        <w:t>Bicontinuous</w:t>
      </w:r>
      <w:proofErr w:type="spellEnd"/>
      <w:r w:rsidRPr="006D631C">
        <w:t xml:space="preserve"> cubic (Q</w:t>
      </w:r>
      <w:r w:rsidRPr="006D631C">
        <w:rPr>
          <w:vertAlign w:val="subscript"/>
        </w:rPr>
        <w:t>α</w:t>
      </w:r>
      <w:r w:rsidRPr="006D631C">
        <w:t>)</w:t>
      </w:r>
      <w:bookmarkEnd w:id="76"/>
      <w:bookmarkEnd w:id="77"/>
    </w:p>
    <w:p w14:paraId="1F0705FF" w14:textId="35B3E597" w:rsidR="00E96EE0" w:rsidRPr="006D631C" w:rsidRDefault="006F15D3" w:rsidP="002E14E4">
      <w:pPr>
        <w:tabs>
          <w:tab w:val="left" w:pos="90"/>
          <w:tab w:val="left" w:pos="360"/>
          <w:tab w:val="left" w:pos="992"/>
        </w:tabs>
        <w:ind w:firstLine="357"/>
      </w:pPr>
      <w:r w:rsidRPr="006D631C">
        <w:rPr>
          <w:rFonts w:asciiTheme="majorBidi" w:hAnsiTheme="majorBidi" w:cstheme="majorBidi"/>
        </w:rPr>
        <w:t>The Q</w:t>
      </w:r>
      <w:r w:rsidRPr="006D631C">
        <w:rPr>
          <w:rFonts w:asciiTheme="majorBidi" w:hAnsiTheme="majorBidi" w:cstheme="majorBidi"/>
          <w:vertAlign w:val="subscript"/>
        </w:rPr>
        <w:t>α</w:t>
      </w:r>
      <w:r w:rsidRPr="006D631C">
        <w:rPr>
          <w:rFonts w:asciiTheme="majorBidi" w:hAnsiTheme="majorBidi" w:cstheme="majorBidi"/>
        </w:rPr>
        <w:t xml:space="preserve"> phases have been studied less than H</w:t>
      </w:r>
      <w:r w:rsidRPr="006D631C">
        <w:rPr>
          <w:rFonts w:asciiTheme="majorBidi" w:hAnsiTheme="majorBidi" w:cstheme="majorBidi"/>
          <w:vertAlign w:val="subscript"/>
        </w:rPr>
        <w:t>α</w:t>
      </w:r>
      <w:r w:rsidRPr="006D631C">
        <w:rPr>
          <w:rFonts w:asciiTheme="majorBidi" w:hAnsiTheme="majorBidi" w:cstheme="majorBidi"/>
        </w:rPr>
        <w:t xml:space="preserve"> and L</w:t>
      </w:r>
      <w:r w:rsidRPr="006D631C">
        <w:rPr>
          <w:rFonts w:asciiTheme="majorBidi" w:hAnsiTheme="majorBidi" w:cstheme="majorBidi"/>
          <w:vertAlign w:val="subscript"/>
        </w:rPr>
        <w:t>α</w:t>
      </w:r>
      <w:r w:rsidRPr="006D631C">
        <w:rPr>
          <w:rFonts w:asciiTheme="majorBidi" w:hAnsiTheme="majorBidi" w:cstheme="majorBidi"/>
        </w:rPr>
        <w:t xml:space="preserve"> for transcriptive templating due to the limited accessibility of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phase in LLC systems and difficulties in structure retention after polymerization. As shown in Table </w:t>
      </w:r>
      <w:r w:rsidR="00087CB2" w:rsidRPr="006D631C">
        <w:rPr>
          <w:rFonts w:asciiTheme="majorBidi" w:hAnsiTheme="majorBidi" w:cstheme="majorBidi"/>
        </w:rPr>
        <w:t>1-</w:t>
      </w:r>
      <w:r w:rsidR="00CC37AB" w:rsidRPr="006D631C">
        <w:rPr>
          <w:rFonts w:asciiTheme="majorBidi" w:hAnsiTheme="majorBidi" w:cstheme="majorBidi"/>
        </w:rPr>
        <w:t>3, lattice parameters of ~6 to ~</w:t>
      </w:r>
      <w:r w:rsidRPr="006D631C">
        <w:rPr>
          <w:rFonts w:asciiTheme="majorBidi" w:hAnsiTheme="majorBidi" w:cstheme="majorBidi"/>
        </w:rPr>
        <w:t>23.5 nm have been reported so far for the Q</w:t>
      </w:r>
      <w:r w:rsidRPr="006D631C">
        <w:rPr>
          <w:rFonts w:asciiTheme="majorBidi" w:hAnsiTheme="majorBidi" w:cstheme="majorBidi"/>
          <w:vertAlign w:val="subscript"/>
        </w:rPr>
        <w:t>α</w:t>
      </w:r>
      <w:r w:rsidRPr="006D631C">
        <w:rPr>
          <w:rFonts w:asciiTheme="majorBidi" w:hAnsiTheme="majorBidi" w:cstheme="majorBidi"/>
        </w:rPr>
        <w:t xml:space="preserve"> structures used for the templating. In addition to the fundamental studies on the transcriptive templating process with this structure,</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{"citationItems":[{"id":"ITEM-1","itemData":{"DOI":"10.1021/bk-1989-0384.ch013","ISBN":"9780841215610","author":[{"dropping-particle":"","family":"Anderson","given":"David M.","non-dropping-particle":"","parse-names":false,"suffix":""},{"dropping-particle":"","family":"Ström","given":"Pelle","non-dropping-particle":"","parse-names":false,"suffix":""}],"id":"ITEM-1","issued":{"date-parts":[["1989","12","30"]]},"page":"204-224","publisher":"ACS Symposium Series","title":"Polymerization of Lyotropic Liquid Crystals","type":"chapter"},"uris":["http://www.mendeley.com/documents/?uuid=e35fdacf-78aa-4fe8-9ea7-fa8265e4c084"]},{"id":"ITEM-2","itemData":{"DOI":"10.1021/la00038a065","ISSN":"15205827","abstract":"The determination of five separate one-phase regions, corresponding to five distinct bicontinuous cubic phase microstructures, in the phase diagram of DDAB (didodecyldimethylammonium bromide)-waterstyrene at 20 °C, provides a unique opportunity to study progressions between distinct cubic phases. A thorough phase behavior study of this region is reported, involving hundreds of samples and aided by the NMR self-diffusion technique and small-angle X-ray scattering (SAXS) technique. Two-phase samples have been found in each of the four two-phase regions separating these different monophasic regions, as well as the required three-phase samples involving cubic, lamellar, water-rich, and microemulsion phases. The structural sequence for the four cubic regions starting at lowest water content and increasing, identified by reference to the minimal surface dividing the infinitely connected bilayer, is proposed to be G (Ia3d) → D (Pn3m) → P (Im3m) → C(P) (Im3m) (Neovius' surface). The structure of the fifth cubic phase is unknown, but it is shown that the minimal surface describing this structure has a low value of γ = -(2/π)(S/V2/3)3/XE, more specifically γ &lt; 1.7 and probably γ &lt; 1.5, where the dimensionless area and the Euler characteristic are measured over any representative patch of surface. We conjecture that the “C(D)” minimal surface describes this cubic phase. A free energy theory based on surfactant chain lengths and head group areas gives qualitative agreement with the observed phase boundaries and with lattice parameters reported in the literature with cyclohexane and octane as hydrophobe. This progression can also be qualitatively understood in terms of simple arguments focusing on the mean curvature of the polar-apolar interface and does not require the introduction of a second curvature free energy contribution such as a Gaussian curvature term; a more precise interpretation is that the mean curvature term far outweighs the “difference curvature” term. The same two theoretical approaches also explain the strong slope of the phase boundaries with respect to the lines of constant waiter content, the “slowing down” of the lattice parameter increase as the phase boundaries are approached, and the tell-tale jump in the monolayer mean curvature across each of the two-phase regions. The water self-diffusion rate plotted as a function of water volume fraction falls on five curves corresponding to the five one-phase regions, with discontinuities at the phas…","author":[{"dropping-particle":"","family":"Ström","given":"Pelle","non-dropping-particle":"","parse-names":false,"suffix":""},{"dropping-particle":"","family":"Anderson","given":"David M.","non-dropping-particle":"","parse-names":false,"suffix":""}],"container-title":"Langmuir","id":"ITEM-2","issue":"2","issued":{"date-parts":[["1992"]]},"page":"691-709","title":"The Cubic Phase Region in the System Didodecyldimethylammonium Bromide-Water-Styrene","type":"article-journal","volume":"8"},"uris":["http://www.mendeley.com/documents/?uuid=2d5adf0f-e14e-4b98-9688-13e88e40a84c"]},{"id":"ITEM-3","itemData":{"DOI":"10.1007/s003960000382","ISSN":"0303402X","abstract":"The polymerisation of styrene in lyotropic liquid-crystalline (LC) phases of dioctadecyldimethylammonium bromide (DODAB) in water is explored. Amphiphile concentrations between 20 and 50 wt % are employed. The study is set out as a model study for polymerisation reactions in nonstabilised, nonfunctional bilayer systems. X-ray characterisation was used to assess the phase behaviour of the lyotropic mesophases before, during and after polymerisation. The DODAB/water system forms the lamellar phase within the concentration range considered. Addition of styrene to the lamellar phase of DODAB at an equimolar ratio induces a phase shift to a bicontinuous cubic phase at elevated temperatures near the phase-transition temperature. Upon polymerisation within this cubic phase, the phase structure is maintained if the system is kept at constant temperature; however, if the polymer/amphiphile phase is cooled, the lamellar phase, being typical of the DODAB/water system, is restored. It is concluded that, as a result of phase separation between the polymer and the amphiphile phase, the polymerisation in lyotropic LC phases does not provide a stable copy of the templating amphiphile phase. This is in analogy to the observations for polymerisations in other lyotropic phases.","author":[{"dropping-particle":"","family":"Jung","given":"M.","non-dropping-particle":"","parse-names":false,"suffix":""},{"dropping-particle":"","family":"German","given":"A. L.","non-dropping-particle":"","parse-names":false,"suffix":""},{"dropping-particle":"","family":"Fischer","given":"H. R.","non-dropping-particle":"","parse-names":false,"suffix":""}],"container-title":"Colloid and Polymer Science","id":"ITEM-3","issue":"2","issued":{"date-parts":[["2001"]]},"page":"105-113","title":"Polymerisation in lyotropic liquid-crystalline phases of dioctadecyldimethylammonium bromide","type":"article-journal","volume":"279"},"uris":["http://www.mendeley.com/documents/?uuid=696234bb-8ae6-4ecd-883f-b3d45015813d"]},{"id":"ITEM-4","itemData":{"DOI":"10.1016/0378-4371(91)90438-I","ISSN":"03784371","abstract":"When an aqueous solution of a hydrophilic monomer such as 2-hydroxyethylmetharylate (HEMA) is mixed with a surfactant at the correct proportions, the components self-assemble into a lytropic liquid crystal comprising a highly ordered periodic microstructure, and polymerization of the monomer and removal of the surfactant results in a macroporous hydrogel of potential importance as a material for contact lenses and other prostheses. The two most important properties of these structured polymers as contact lens materials are: (1) unlike simple hydrogels which have irregular pores with a highly polydispersed size distribution, these new materials have an extremely well-characterized-in fact, triply periodic-network of pores of identical size, which can be preselected so as to allow for the transport of proteins, mucins, and other components of the pre-ocular tear film; and (2) this pore size can be selected independently of the polymer concentration and crosslink density, unlike simple hydrogels where large pores can only be obtained by reducing the crosslink density and along with it the shear modulus. The pore diameter can be selected in the range 20-400 Å and possibly higher. A wide variety of surfactant systems that have been shown to yield materials of this degree of precision and versatility is reviewed. © 1991.","author":[{"dropping-particle":"","family":"Anderson","given":"David M.","non-dropping-particle":"","parse-names":false,"suffix":""},{"dropping-particle":"","family":"Ström","given":"Pelle","non-dropping-particle":"","parse-names":false,"suffix":""}],"container-title":"Physica A: Statistical Mechanics and its Applications","id":"ITEM-4","issue":"1","issued":{"date-parts":[["1991"]]},"page":"151-167","title":"Polymerized lyotropic liquid crystals as contact lens materials","type":"article-journal","volume":"176"},"uris":["http://www.mendeley.com/documents/?uuid=01e69713-490c-4cd9-ad95-b9461a214451"]},{"id":"ITEM-5","itemData":{"DOI":"10.1021/ma00027a077","ISSN":"15205835","author":[{"dropping-particle":"","family":"Laversanne","given":"R.","non-dropping-particle":"","parse-names":false,"suffix":""}],"container-title":"Macromolecules","id":"ITEM-5","issue":"1","issued":{"date-parts":[["1992"]]},"page":"489-491","title":"Polymerization of Acrylamide in Lamellar, Hexagonal, and Cubic Lyotropic Phases","type":"article-journal","volume":"25"},"uris":["http://www.mendeley.com/documents/?uuid=b1dd0422-3c31-4f28-ac49-1c4deadce2a6"]}],"mendeley":{"formattedCitation":"&lt;sup&gt;54,151–154&lt;/sup&gt;","plainTextFormattedCitation":"54,151–154","previouslyFormattedCitation":"&lt;sup&gt;54,151–154&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54,151–154</w:t>
      </w:r>
      <w:r w:rsidRPr="006D631C">
        <w:rPr>
          <w:rFonts w:asciiTheme="majorBidi" w:hAnsiTheme="majorBidi" w:cstheme="majorBidi"/>
        </w:rPr>
        <w:fldChar w:fldCharType="end"/>
      </w:r>
      <w:r w:rsidRPr="006D631C">
        <w:rPr>
          <w:rFonts w:asciiTheme="majorBidi" w:hAnsiTheme="majorBidi" w:cstheme="majorBidi"/>
        </w:rPr>
        <w:t xml:space="preserve"> a handful of works have also investigated the applicability of the final product. For instance, Guymon’s group has been able to produce a hydrogel with an improved water uptake and de-swelling rate while keeping the mechanical properties intact by taking the advantages of structural interconnectivity in Q</w:t>
      </w:r>
      <w:r w:rsidRPr="006D631C">
        <w:rPr>
          <w:rFonts w:asciiTheme="majorBidi" w:hAnsiTheme="majorBidi" w:cstheme="majorBidi"/>
          <w:vertAlign w:val="subscript"/>
        </w:rPr>
        <w:t>1</w:t>
      </w:r>
      <w:r w:rsidRPr="006D631C">
        <w:rPr>
          <w:rFonts w:asciiTheme="majorBidi" w:hAnsiTheme="majorBidi" w:cstheme="majorBidi"/>
        </w:rPr>
        <w:t xml:space="preserve"> phase created by a mixture of A-13 and M-10.</w:t>
      </w:r>
      <w:r w:rsidRPr="006D631C">
        <w:rPr>
          <w:rFonts w:asciiTheme="majorBidi" w:hAnsiTheme="majorBidi" w:cstheme="majorBidi"/>
        </w:rPr>
        <w:fldChar w:fldCharType="begin" w:fldLock="1"/>
      </w:r>
      <w:r w:rsidR="004C7F22" w:rsidRPr="006D631C">
        <w:rPr>
          <w:rFonts w:asciiTheme="majorBidi" w:hAnsiTheme="majorBidi" w:cstheme="majorBidi"/>
        </w:rPr>
        <w:instrText>ADDIN CSL_CITATION {"citationItems":[{"id":"ITEM-1","itemData":{"DOI":"10.1002/marc.201100046","ISSN":"10221336","abstract":"The thermal-response and mechanical properties of poly(N- isopropylacrylamide) (PNIPAm) are improved by controlling the polymer nanostructure through photopolymerization in a bicontinuous cubic lyotropic liquid crystal (LLC) template. The bicontinuous cubic nanostructure increases the rate and amount of water expelled from PNIPAm for heating above the lower critical solution temperature (LCST) relative to an isotropic PNIPAm hydrogel while maintaining the mechanical integrity of the polymer. These results could allow development of PNIPAm hydrogels with proper water uptake, deswelling kinetics, volume transition, and mechanical properties required for successful performance in a growing number of advanced biological and industrial applications. A bicontinuous cubic lyotropic liquid crystal mesophase is utilized as a photopolymerization template to control the nanostructure and properties of poly(N-isopropylacrylamide) (PNIPAm). The cubic nanostructure increases the rate and degree of PNIPAm water loss for heating above the lower critical solution temperature relative to a traditional PNIPAm hydrogel while maintaining the mechanical integrity of the polymer. © 2011 WILEY-VCH Verlag GmbH &amp; Co. KGaA, Weinheim.","author":[{"dropping-particle":"","family":"Forney","given":"Bradley S.","non-dropping-particle":"","parse-names":false,"suffix":""},{"dropping-particle":"","family":"Allan Guymon","given":"C.","non-dropping-particle":"","parse-names":false,"suffix":""}],"container-title":"Macromolecular Rapid Communications","id":"ITEM-1","issue":"9-10","issued":{"date-parts":[["2011"]]},"page":"765-769","title":"Fast deswelling kinetics of nanostructured poly(N-isopropylacrylamide) photopolymerized in a lyotropic liquid crystal template","type":"article-journal","volume":"32"},"uris":["http://www.mendeley.com/documents/?uuid=c119d839-1f6e-4e30-8b2f-14cb6b16df3a"]}],"mendeley":{"formattedCitation":"&lt;sup&gt;155&lt;/sup&gt;","plainTextFormattedCitation":"155","previouslyFormattedCitation":"&lt;sup&gt;155&lt;/sup&gt;"},"properties":{"noteIndex":0},"schema":"https://github.com/citation-style-language/schema/raw/master/csl-citation.json"}</w:instrText>
      </w:r>
      <w:r w:rsidRPr="006D631C">
        <w:rPr>
          <w:rFonts w:asciiTheme="majorBidi" w:hAnsiTheme="majorBidi" w:cstheme="majorBidi"/>
        </w:rPr>
        <w:fldChar w:fldCharType="separate"/>
      </w:r>
      <w:r w:rsidR="000B67AC" w:rsidRPr="006D631C">
        <w:rPr>
          <w:rFonts w:asciiTheme="majorBidi" w:hAnsiTheme="majorBidi" w:cstheme="majorBidi"/>
          <w:noProof/>
          <w:vertAlign w:val="superscript"/>
        </w:rPr>
        <w:t>155</w:t>
      </w:r>
      <w:r w:rsidRPr="006D631C">
        <w:rPr>
          <w:rFonts w:asciiTheme="majorBidi" w:hAnsiTheme="majorBidi" w:cstheme="majorBidi"/>
        </w:rPr>
        <w:fldChar w:fldCharType="end"/>
      </w:r>
      <w:r w:rsidRPr="006D631C">
        <w:rPr>
          <w:rFonts w:asciiTheme="majorBidi" w:hAnsiTheme="majorBidi" w:cstheme="majorBidi"/>
        </w:rPr>
        <w:t xml:space="preserve"> They have also used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structure directed by A-15 to polymerize M-9 and produce a hydrogel with a faster swelling rate, higher swelling capacity, and higher compressive modulus over non-LLC product.</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Materials","id":"ITEM-1","issue":"17","issued":{"date-parts":[["2003"]]},"page":"3376-3384","title":"Physical properties of hydrogels synthesized from lyotropic liquid crystalline templates","type":"article-journal","volume":"15"},"uris":["http://www.mendeley.com/documents/?uuid=f73d1f78-88b7-4d4c-83b6-c3bbcc68b73f"]}],"mendeley":{"formattedCitation":"&lt;sup&gt;44&lt;/sup&gt;","plainTextFormattedCitation":"44","previouslyFormattedCitation":"&lt;sup&gt;44&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44</w:t>
      </w:r>
      <w:r w:rsidRPr="006D631C">
        <w:rPr>
          <w:rFonts w:asciiTheme="majorBidi" w:hAnsiTheme="majorBidi" w:cstheme="majorBidi"/>
        </w:rPr>
        <w:fldChar w:fldCharType="end"/>
      </w:r>
      <w:r w:rsidRPr="006D631C">
        <w:rPr>
          <w:rFonts w:asciiTheme="majorBidi" w:hAnsiTheme="majorBidi" w:cstheme="majorBidi"/>
        </w:rPr>
        <w:t xml:space="preserve"> In another trial, they have employed P-A-37, a Gemini surfactant, to make Q</w:t>
      </w:r>
      <w:r w:rsidRPr="006D631C">
        <w:rPr>
          <w:rFonts w:asciiTheme="majorBidi" w:hAnsiTheme="majorBidi" w:cstheme="majorBidi"/>
          <w:vertAlign w:val="subscript"/>
        </w:rPr>
        <w:t>1</w:t>
      </w:r>
      <w:r w:rsidRPr="006D631C">
        <w:rPr>
          <w:rFonts w:asciiTheme="majorBidi" w:hAnsiTheme="majorBidi" w:cstheme="majorBidi"/>
        </w:rPr>
        <w:t xml:space="preserve"> phase easily accessible. Although the retention of the structure after the template removal was not possible, they observed an enhanced swelling of the polyLLC in water and 2-propanol.</w:t>
      </w:r>
      <w:r w:rsidRPr="006D631C">
        <w:rPr>
          <w:rFonts w:asciiTheme="majorBidi" w:hAnsiTheme="majorBidi" w:cstheme="majorBidi"/>
        </w:rPr>
        <w:fldChar w:fldCharType="begin" w:fldLock="1"/>
      </w:r>
      <w:r w:rsidR="00DB3CE3" w:rsidRPr="006D631C">
        <w:rPr>
          <w:rFonts w:asciiTheme="majorBidi" w:hAnsiTheme="majorBidi" w:cstheme="majorBidi"/>
        </w:rPr>
        <w:instrText>ADDIN CSL_CITATION {"citationItems":[{"id":"ITEM-1","itemData":{"DOI":"10.1021/acs.chemmater.7b04183","ISSN":"15205002","abstract":"Nanoporous polymers with periodic, ordered structures have attracted significant interest for their potential applications as drug delivery vehicles, biomaterials, separations membranes, and materials for energy storage. Inducing polymer nanostructure through lyotropic liquid crystal-templated (LLC-templated) cross-linking photopolymerizations offers a promising means for morphological control at smaller length scales, which are difficult to access by other established strategies. We report the synthesis of a gemini dicarboxylate surfactant that self-assembles in water to form various aqueous LLC mesophases over a broad range of amphiphile concentrations, with an especially strong propensity to form the coveted bicontinuous double gyroid (GI) network mesophase. Aqueous GI LLCs surprisingly persist upon incorporation of as much as 10-37 wt % hexane-1,6-diol dimethacrylate (HDDMA) into the hydrophobic domains of these supramolecular surfactant assemblies, and cross-linking photopolymerization of the HDDMA unexpectedly proceeds with retention of this intricate LLC nanostructure. The nanoporous nature of the resulting templated polymers remains after surfactant removal by solvent extraction, as manifested by increased swelling ratios in water and 2-propanol as compared to isotropic materials of similar compositions. The exquisite level of control over polymer network porosity provided by templating within GI phases furnishes a promising new route toward nanostructured hydrophobic polymers.","author":[{"dropping-particle":"","family":"Jennings","given":"James","non-dropping-particle":"","parse-names":false,"suffix":""},{"dropping-particle":"","family":"Green","given":"Brian","non-dropping-particle":"","parse-names":false,"suffix":""},{"dropping-particle":"","family":"Mann","given":"Tyler J.","non-dropping-particle":"","parse-names":false,"suffix":""},{"dropping-particle":"","family":"Guymon","given":"C. Allan","non-dropping-particle":"","parse-names":false,"suffix":""},{"dropping-particle":"","family":"Mahanthappa","given":"Mahesh K.","non-dropping-particle":"","parse-names":false,"suffix":""}],"container-title":"Chemistry of Materials","id":"ITEM-1","issue":"1","issued":{"date-parts":[["2018"]]},"page":"185-196","title":"Nanoporous Polymer Networks Templated by Gemini Surfactant Lyotropic Liquid Crystals","type":"article-journal","volume":"30"},"uris":["http://www.mendeley.com/documents/?uuid=f9051fa6-7de9-4802-9014-f295ab0bf347"]}],"mendeley":{"formattedCitation":"&lt;sup&gt;23&lt;/sup&gt;","plainTextFormattedCitation":"23","previouslyFormattedCitation":"&lt;sup&gt;23&lt;/sup&gt;"},"properties":{"noteIndex":0},"schema":"https://github.com/citation-style-language/schema/raw/master/csl-citation.json"}</w:instrText>
      </w:r>
      <w:r w:rsidRPr="006D631C">
        <w:rPr>
          <w:rFonts w:asciiTheme="majorBidi" w:hAnsiTheme="majorBidi" w:cstheme="majorBidi"/>
        </w:rPr>
        <w:fldChar w:fldCharType="separate"/>
      </w:r>
      <w:r w:rsidR="00CB748F" w:rsidRPr="006D631C">
        <w:rPr>
          <w:rFonts w:asciiTheme="majorBidi" w:hAnsiTheme="majorBidi" w:cstheme="majorBidi"/>
          <w:noProof/>
          <w:vertAlign w:val="superscript"/>
        </w:rPr>
        <w:t>23</w:t>
      </w:r>
      <w:r w:rsidRPr="006D631C">
        <w:rPr>
          <w:rFonts w:asciiTheme="majorBidi" w:hAnsiTheme="majorBidi" w:cstheme="majorBidi"/>
        </w:rPr>
        <w:fldChar w:fldCharType="end"/>
      </w:r>
      <w:r w:rsidRPr="006D631C">
        <w:rPr>
          <w:rFonts w:asciiTheme="majorBidi" w:hAnsiTheme="majorBidi" w:cstheme="majorBidi"/>
        </w:rPr>
        <w:t xml:space="preserve"> Generation of a Q</w:t>
      </w:r>
      <w:r w:rsidRPr="006D631C">
        <w:rPr>
          <w:rFonts w:asciiTheme="majorBidi" w:hAnsiTheme="majorBidi" w:cstheme="majorBidi"/>
          <w:vertAlign w:val="subscript"/>
        </w:rPr>
        <w:t>1</w:t>
      </w:r>
      <w:r w:rsidRPr="006D631C">
        <w:rPr>
          <w:rFonts w:asciiTheme="majorBidi" w:hAnsiTheme="majorBidi" w:cstheme="majorBidi"/>
        </w:rPr>
        <w:t xml:space="preserve"> structured OMC material with excellent thermal stability and mechanical properties is another notable application of transcriptive templating via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mesophase.</w:t>
      </w:r>
      <w:r w:rsidRPr="006D631C">
        <w:rPr>
          <w:rFonts w:asciiTheme="majorBidi" w:hAnsiTheme="majorBidi" w:cstheme="majorBidi"/>
        </w:rPr>
        <w:fldChar w:fldCharType="begin" w:fldLock="1"/>
      </w:r>
      <w:r w:rsidR="00DB3CE3" w:rsidRPr="006D631C">
        <w:rPr>
          <w:rFonts w:asciiTheme="majorBidi" w:hAnsiTheme="majorBidi" w:cstheme="majorBidi"/>
        </w:rPr>
        <w:instrText>ADDIN CSL_CITATION {"citationItems":[{"id":"ITEM-1","itemData":{"DOI":"10.1021/cm060921u","ISSN":"08974756","abstract":"The syntheses of a family of highly ordered mesoporous polymers and carbon frameworks from organic-organic assembly of triblock copolymers with soluble, low-molecular-weight phenolic resin precursors (resols) by an evaporation induced self-assembly strategy have been reported in detail. The family members include two-dimensional hexagonal (space group, p6m), three-dimensional bicontinuous (Ia3d), body-centered cubic (Im3m), and lamellar mesostructures, which are controlled by simply adjusting the ratio of phenol/template or polyethylene oxide)/poly(propylene oxide) in the templates. A five-step mechanism from organic-organic assembly has been demonstrated. Cubic FDU-14 with a gyroidal mesostructure of polymer resin or carbon has been synthesized for the first time by using the copolymer Pluronic P1 23 as a template in a relatively narrow range. Upon calcination at 350°C, the templates should be removed to obtain mesoporous polymers, and further heating at above a critical temperature of 600°C transforms the mesoporous polymers to the homologous carbon frameworks. The mesoporous polymer resin and carbon product materials exhibit ordered structures, high surface areas, (670-1490 m 2/g), large pore volumes (0.65-0.85 cm 3/g), and uniform, large pore sizes (7.0-3.9 nm), as well as very thick pore walls (6-8 nm). The carbon open frameworks with covalently bonded constructions and thick pore walls exhibit high thermal stability (&gt; 1400°C). Our results show that the feed gas used during the calcination has a great influence on the porosity of the products. The presence of a small amount of oxygen facilitates the large pore sizes and high surface areas of mesoporous materials with different mesostructures. An extraction method employing sulfuric acid can also decompose the template from hexagonal mesostructured polymers with little framework shrinkage. Preliminary studies of the mechanical and electrochemical properties of mesoporous carbon molecular sieves are also presented. © 2006 American Chemical Society.","author":[{"dropping-particle":"","family":"Meng","given":"Yan","non-dropping-particle":"","parse-names":false,"suffix":""},{"dropping-particle":"","family":"Gu","given":"Dong","non-dropping-particle":"","parse-names":false,"suffix":""},{"dropping-particle":"","family":"Zhang","given":"Fuqiang","non-dropping-particle":"","parse-names":false,"suffix":""},{"dropping-particle":"","family":"Shi","given":"Yifeng","non-dropping-particle":"","parse-names":false,"suffix":""},{"dropping-particle":"","family":"Cheng","given":"Liang","non-dropping-particle":"","parse-names":false,"suffix":""},{"dropping-particle":"","family":"Feng","given":"Dan","non-dropping-particle":"","parse-names":false,"suffix":""},{"dropping-particle":"","family":"Wu","given":"Zhangxiong","non-dropping-particle":"","parse-names":false,"suffix":""},{"dropping-particle":"","family":"Chen","given":"Zhenxia","non-dropping-particle":"","parse-names":false,"suffix":""},{"dropping-particle":"","family":"Wan","given":"Ying","non-dropping-particle":"","parse-names":false,"suffix":""},{"dropping-particle":"","family":"Stein","given":"Andreas","non-dropping-particle":"","parse-names":false,"suffix":""},{"dropping-particle":"","family":"Zhao","given":"Dongyuan","non-dropping-particle":"","parse-names":false,"suffix":""}],"container-title":"Chemistry of Materials","id":"ITEM-1","issue":"18","issued":{"date-parts":[["2006"]]},"page":"4447-4464","title":"A family of highly ordered mesoporous polymer resin and carbon structures from organic-organic self-assembly","type":"article-journal","volume":"18"},"uris":["http://www.mendeley.com/documents/?uuid=f487042c-a697-473a-abb9-2394ba5dbd47"]}],"mendeley":{"formattedCitation":"&lt;sup&gt;20&lt;/sup&gt;","plainTextFormattedCitation":"20","previouslyFormattedCitation":"&lt;sup&gt;20&lt;/sup&gt;"},"properties":{"noteIndex":0},"schema":"https://github.com/citation-style-language/schema/raw/master/csl-citation.json"}</w:instrText>
      </w:r>
      <w:r w:rsidRPr="006D631C">
        <w:rPr>
          <w:rFonts w:asciiTheme="majorBidi" w:hAnsiTheme="majorBidi" w:cstheme="majorBidi"/>
        </w:rPr>
        <w:fldChar w:fldCharType="separate"/>
      </w:r>
      <w:r w:rsidR="00CB748F" w:rsidRPr="006D631C">
        <w:rPr>
          <w:rFonts w:asciiTheme="majorBidi" w:hAnsiTheme="majorBidi" w:cstheme="majorBidi"/>
          <w:noProof/>
          <w:vertAlign w:val="superscript"/>
        </w:rPr>
        <w:t>20</w:t>
      </w:r>
      <w:r w:rsidRPr="006D631C">
        <w:rPr>
          <w:rFonts w:asciiTheme="majorBidi" w:hAnsiTheme="majorBidi" w:cstheme="majorBidi"/>
        </w:rPr>
        <w:fldChar w:fldCharType="end"/>
      </w:r>
    </w:p>
    <w:p w14:paraId="1C74F5F6" w14:textId="0E042080" w:rsidR="00C25DBB" w:rsidRPr="006D631C" w:rsidRDefault="00C25DBB" w:rsidP="00CB7643">
      <w:pPr>
        <w:pStyle w:val="Heading3"/>
      </w:pPr>
      <w:bookmarkStart w:id="78" w:name="_Toc131082875"/>
      <w:bookmarkStart w:id="79" w:name="_Toc148175793"/>
      <w:r w:rsidRPr="006D631C">
        <w:t xml:space="preserve">1.4.4 </w:t>
      </w:r>
      <w:r w:rsidR="0003006F" w:rsidRPr="006D631C">
        <w:t>Discontinuous cubic</w:t>
      </w:r>
      <w:r w:rsidR="00EA7902" w:rsidRPr="006D631C">
        <w:t xml:space="preserve"> (I</w:t>
      </w:r>
      <w:r w:rsidR="00EA7902" w:rsidRPr="006D631C">
        <w:rPr>
          <w:vertAlign w:val="subscript"/>
        </w:rPr>
        <w:t>α</w:t>
      </w:r>
      <w:r w:rsidR="00EA7902" w:rsidRPr="006D631C">
        <w:t>)</w:t>
      </w:r>
      <w:bookmarkEnd w:id="78"/>
      <w:bookmarkEnd w:id="79"/>
    </w:p>
    <w:p w14:paraId="4EA32D7E" w14:textId="1F20BACE" w:rsidR="001376FF" w:rsidRPr="006D631C" w:rsidRDefault="00607999" w:rsidP="002E14E4">
      <w:pPr>
        <w:ind w:firstLine="357"/>
      </w:pPr>
      <w:r w:rsidRPr="006D631C">
        <w:rPr>
          <w:rFonts w:asciiTheme="majorBidi" w:hAnsiTheme="majorBidi" w:cstheme="majorBidi"/>
        </w:rPr>
        <w:t>The discontinuous cubic phases are the least studied structure for transcriptive templating. Almost all of the studies on these mesophases, which have been conducted by Guymon and co-workers, have focused on revealing the differences among LLC structures in terms of polymerization kinetics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Allan","non-dropping-particle":"","parse-names":false,"suffix":""}],"container-title":"Macromolecules","id":"ITEM-1","issue":"13","issued":{"date-parts":[["2001","6"]]},"page":"4430-4438","title":"Photopolymerization kinetics and structure development of templated lyotropic liquid crystalline systems","type":"article-journal","volume":"34"},"uris":["http://www.mendeley.com/documents/?uuid=5ad8b034-dc0f-455e-ac27-09cb31650bdb"]},{"id":"ITEM-2","itemData":{"DOI":"10.1002/pola.27783","ISSN":"10990518","abstract":"Polymerization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Chemistry","id":"ITEM-2","issue":"1","issued":{"date-parts":[["2016","1","1"]]},"page":"144-154","title":"Radical polymerization behavior and molecular weight development of homologous monoacrylate monomers in lyotropic liquid crystal phases","type":"article-journal","volume":"54"},"uris":["http://www.mendeley.com/documents/?uuid=4f7b9c95-7916-4292-a0f1-82a611583a7f"]},{"id":"ITEM-3","itemData":{"DOI":"10.1021/bk-2003-0847.ch032","abstract":"Nanostructured materials have been the focus of much attention due to\\ntheir applicability in nanocomposites, separations media, drug delivery\\ndevices, and many other applications requiring a nanometer size scale.\\nRecently, using lyotropic liquid crystalline (LLC) phases to template\\ntheir unique nanostructure onto organic polymers has been proposed. This\\nwork details the photopolymerization of acrylamide in various phases of\\nLLC systems. The photopolymerization kinetics are correlated to monomer\\norganization for different phases at a variety of concentrations and\\ntemperatures. The photopolymerization kinetics of acrylamide in the LLC\\nphases depend strongly on the LLC morphology. The polymerization rates\\nare significantly faster in compositions of surfactant resulting in a\\nhexagonal geometry as the acrylamide monomer is preferentially oriented.\\nThese results indicate that acrylamide is strongly associated with the\\nLLC interface and the surfactant. Photopolymerization of these templated\\nsystems results in structure retention of the parent, LLC phase.","author":[{"dropping-particle":"","family":"Guymon","given":"C. Allan","non-dropping-particle":"","parse-names":false,"suffix":""},{"dropping-particle":"","family":"Lester","given":"Christopher L.","non-dropping-particle":"","parse-names":false,"suffix":""}],"container-title":"ACS Symposium Series","id":"ITEM-3","issued":{"date-parts":[["2003","3","3"]]},"page":"378-388","title":"Photopolymerization Kinetics of Nanostructured Polymers Templated by Lyotropic Liquid Crystals","type":"article-journal","volume":"847"},"uris":["http://www.mendeley.com/documents/?uuid=e9652ecf-b4ab-44b4-84ff-eacc90331307"]},{"id":"ITEM-4","itemData":{"DOI":"10.1021/la0300784","ISSN":"07437463","abstract":"The synthesis of nanostructured polymer gels via polymerization of hydrophilic monomers in lyotropic liquid crystal (LLC) phases has recently been of great interest. This work describes the effects of monomer organization on the photopolymerization kinetics of acrylamide in various LLC phases of surfactant/water systems. Resutling polymer morphology is reported as well. The polymerization rate of acrylamide is significantly enhanced when performed in the presence of various LLC phases. An unprecedented 10-fold increase in polymerization rate is observed in bicontinuous cubic and hexagonal phases as compared to polymerizations in water. This significant increase in polymerization rate is a result of diffusional limitations on the propagating polymer as well as segregation and ordering phenomena induce by the LLC phase. 13CT1 relaxation times and 14NNMR spectra show that the monomer strongly associates with the interface of the surfactant/water assemblies and assumes the orientationl order of the LLC phases to some degree. When formed using photopolymerization, the resulting polymer morphology appears to be a direct template of the parent LLC phase.","author":[{"dropping-particle":"","family":"Lester","given":"Christopher L.","non-dropping-particle":"","parse-names":false,"suffix":""},{"dropping-particle":"","family":"Smith","given":"Shannon M.","non-dropping-particle":"","parse-names":false,"suffix":""},{"dropping-particle":"","family":"Jarrett","given":"William L.","non-dropping-particle":"","parse-names":false,"suffix":""},{"dropping-particle":"","family":"Allan Guymon","given":"C.","non-dropping-particle":"","parse-names":false,"suffix":""}],"container-title":"Langmuir","id":"ITEM-4","issue":"22","issued":{"date-parts":[["2003"]]},"page":"9466-9472","title":"Effects of Monomer Organization on the Photopolymerization Kinetics of Acrylamide in Lyotropic Liquid Crystalline Phases","type":"article-journal","volume":"19"},"uris":["http://www.mendeley.com/documents/?uuid=ed593b1e-2698-4bb2-89a3-8beb441225de"]},{"id":"ITEM-5","itemData":{"DOI":"10.1016/j.polymer.2004.11.007","ISSN":"00323861","abstract":"Through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Allan","non-dropping-particle":"","parse-names":false,"suffix":""}],"container-title":"Polymer","id":"ITEM-5","issue":"2","issued":{"date-parts":[["2005"]]},"page":"335-345","title":"Effect of photoinitiator segregation on polymerization kinetics in lyotropic liquid crystals","type":"article-journal","volume":"46"},"uris":["http://www.mendeley.com/documents/?uuid=9305a569-bf29-4306-91ea-3a1da5446f5a"]},{"id":"ITEM-6","itemData":{"DOI":"10.1021/cm061969a","ISSN":"08974756","abstract":"Lyotropic liquid crystals (LLCs) have recently been employed as polymerization templates to yield highly ordered nanostructured hydrogels, which have shown promise in biological separations and tissue engineering. To allow greater control of hydrogel structure using LLC templates, this study focuses on the influence of polymerization kinetics and temperature on ultimate polymer morphology and properties. A more in-depth understanding of these phenomena has been obtained through extensive examination of polymer structure with small-angle X-ray scattering (SAXS) and scanning electron microscopy (SEM). The impact of different polymerization rate and temperature regimes on polymer morphology was determined using isotropic, cubic, and hexagonal phases as polymerization templates. Polymer morphology varies dramatically depending on LLC phase template, while within a given phase changes in polymerization time scale and temperature greatly impact polymer structure. SAXS reveals a higher degree of retained liquid crystalline order using rapid polymerization at relatively low temperatures. SEM images demonstrate that rapid polymerization yields polymers with highly ordered network structures and nanoscale morphology. Less ordered, thermodynamically driven polymer features result from relatively slow polymerization. The degree of swelling in aqueous solution increases dramatically in ordered LLC phases relative to bulk polymerization, with lower swelling resulting from faster polymerization. Similarly, higher surface area results from polymerization in LLC media relative to isotropic systems, and surface area increases with increasing polymerization rate. © 2006 American Chemical Society.","author":[{"dropping-particle":"","family":"DePierro","given":"Michael A.","non-dropping-particle":"","parse-names":false,"suffix":""},{"dropping-particle":"","family":"Carpenter","given":"Kyle G.","non-dropping-particle":"","parse-names":false,"suffix":""},{"dropping-particle":"","family":"Guymon","given":"C. Allan","non-dropping-particle":"","parse-names":false,"suffix":""}],"container-title":"Chemistry of Materials","id":"ITEM-6","issue":"23","issued":{"date-parts":[["2006","11"]]},"page":"5609-5617","title":"Influence of polymerization conditions on nanostructure and properties of polyacrylamide hydrogels templated from lyotropic liquid crystals","type":"article-journal","volume":"18"},"uris":["http://www.mendeley.com/documents/?uuid=e0a07ef3-cb63-401e-9e29-f5755f782e7d"]},{"id":"ITEM-7","itemData":{"DOI":"10.1021/cm021703d","ISSN":"08974756","abstract":"Recently,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Materials","id":"ITEM-7","issue":"17","issued":{"date-parts":[["2003"]]},"page":"3376-3384","title":"Physical properties of hydrogels synthesized from lyotropic liquid crystalline templates","type":"article-journal","volume":"15"},"uris":["http://www.mendeley.com/documents/?uuid=f73d1f78-88b7-4d4c-83b6-c3bbcc68b73f"]},{"id":"ITEM-8","itemData":{"DOI":"10.1021/ma0518196","ISSN":"00249297","abstract":"Lyotropic liquid crystals (LLC's) have recently been employed as polymerization templates to yield highly ordered nanostructured materials with potential applications in regulated transport, ultrafiltration, and catalysis. With the goal of understanding the reaction mechanisms ultimately determining polymer morphology in these highly ordered systems, this study focuses on the influence of LLC order on photoinitiation efficiency and monomer segregation behavior. These phenomena have been elucidated through extensive examination of the polymerization kinetics utilizing photodifferential scanning calorimetry. The polymerization kinetics in these ordered liquids are highly dependent on phase morphology because liquid crystalline alignment has a profound effect on monomer segregation, and photoinitiation efficiency is a function of viscosity, polarity, and the diffusional constraints inherent in LLC phases. Through studies of the polymerization kinetics in different LLC phases using a free radical inhibitor, the relative initiation efficiencies of a number of photoinitiators were determined. By incorporating relative efficiency information in the analysis of propagation and termination rate parameters, the individual contributions of monomer segregation and photoinitiation behavior to the polymerization kinetics were differentiated. While segregation of polar monomers in the continuous phase leads to increased polymerization rate in more ordered LLC phases, nonpolar monomers exhibit the opposite trend due to segregation in the discontinuous region of the phases studied. Changes in photoinitiation efficiency either compound or negate the effect of monomer segregation on the polymerization rate depending on initiator structure and polarity. The initiation efficiency with relatively bulky, hydrophobic initiators increases substantially in more ordered systems while the efficiency of less hydrophobic initiators decreases slightly in more ordered phases. © 2006 American Chemical Society.","author":[{"dropping-particle":"","family":"DePierro","given":"Michael A.","non-dropping-particle":"","parse-names":false,"suffix":""},{"dropping-particle":"","family":"Guymon","given":"C. Allan","non-dropping-particle":"","parse-names":false,"suffix":""}],"container-title":"Macromolecules","id":"ITEM-8","issue":"2","issued":{"date-parts":[["2006"]]},"page":"617-626","title":"Photoinitiation and monomer segregation behavior in polymerization of lyotropic liquid crystalline systems","type":"article-journal","volume":"39"},"uris":["http://www.mendeley.com/documents/?uuid=81e039e7-fbf5-4fa4-87e8-7195480e9a1d"]},{"id":"ITEM-9","itemData":{"DOI":"10.1021/ma101418e","ISSN":"00249297","abstract":"The ability to direct polymer structure on the nanometer scale has provided access to enhanced material properties that may be tailored to accommodate a growing number of advanced biological and industrial applications. A promising method of generating nanostructure in organic polymers uses self-assembling lyotropic liquid crystalline (LLC) mesophases as templates for polymerization. Unfortunately, thermodynamically driven phase separation often prevents polymer morphology from being precisely controlled. As the demand for polymers with accurately engineered properties increases, a detailed understanding of the phase separation process is needed to control the nanostructure and properties of LLC templated polymers. In this study, photopolymerization kinetics are utilized to identify phase separation events occurring during the photopolymerization of poly(ethylene glycol) diacrylate and hexanediol diacrylate monomers templated in the normal hexagonal or lamellar LLC mesophases. Discontinuities are found in the polymerization rate of anisotropic polymers at several double bond conversions that are not present in the rate profiles of isotropic controls. The polymer morphology was subsequently characterized at particular conversions using small angle X-ray scattering. Changes in polymer nanostructure occur at double bond conversions that coincide with the observed rate discontinuities. These results demonstrate that photopolymerization kinetics can be used as a probe to monitor the evolution of polymer nanostructure during polymerization and optimize the conditions governing the control of polymer morphology to enhance properties dependent on nanostructure. © 2010 American Chemical Society.","author":[{"dropping-particle":"","family":"Forney","given":"Bradley S.","non-dropping-particle":"","parse-names":false,"suffix":""},{"dropping-particle":"","family":"Guymon","given":"C. Allan","non-dropping-particle":"","parse-names":false,"suffix":""}],"container-title":"Macromolecules","id":"ITEM-9","issue":"20","issued":{"date-parts":[["2010","10","26"]]},"page":"8502-8510","title":"Nanostructure evolution during photopolymerization in lyotropic liquid crystal templates","type":"article-journal","volume":"43"},"uris":["http://www.mendeley.com/documents/?uuid=862518bf-5405-45d5-af85-3c72739c9ed0"]}],"mendeley":{"formattedCitation":"&lt;sup&gt;36,37,39,40,43,44,99,156,157&lt;/sup&gt;","plainTextFormattedCitation":"36,37,39,40,43,44,99,156,157","previouslyFormattedCitation":"&lt;sup&gt;36,37,39,40,43,44,99,156,157&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36,37,39,40,43,44,99,156,157</w:t>
      </w:r>
      <w:r w:rsidRPr="006D631C">
        <w:rPr>
          <w:rFonts w:asciiTheme="majorBidi" w:hAnsiTheme="majorBidi" w:cstheme="majorBidi"/>
        </w:rPr>
        <w:fldChar w:fldCharType="end"/>
      </w:r>
      <w:r w:rsidRPr="006D631C">
        <w:rPr>
          <w:rFonts w:asciiTheme="majorBidi" w:hAnsiTheme="majorBidi" w:cstheme="majorBidi"/>
        </w:rPr>
        <w:t>. However, the observed higher water uptake in prepared hydrogels with micellar cubic structure over ones with H</w:t>
      </w:r>
      <w:r w:rsidRPr="006D631C">
        <w:rPr>
          <w:rFonts w:asciiTheme="majorBidi" w:hAnsiTheme="majorBidi" w:cstheme="majorBidi"/>
          <w:vertAlign w:val="subscript"/>
        </w:rPr>
        <w:t>1</w:t>
      </w:r>
      <w:r w:rsidRPr="006D631C">
        <w:rPr>
          <w:rFonts w:asciiTheme="majorBidi" w:hAnsiTheme="majorBidi" w:cstheme="majorBidi"/>
        </w:rPr>
        <w:t xml:space="preserve"> structure</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{"citationItems":[{"id":"ITEM-1","itemData":{"DOI":"10.1021/cm061969a","ISSN":"08974756","abstract":"Lyotropic liquid crystals (LLCs) have recently been employed as polymerization templates to yield highly ordered nanostructured hydrogels, which have shown promise in biological separations and tissue engineering. To allow greater control of hydrogel structure using LLC templates, this study focuses on the influence of polymerization kinetics and temperature on ultimate polymer morphology and properties. A more in-depth understanding of these phenomena has been obtained through extensive examination of polymer structure with small-angle X-ray scattering (SAXS) and scanning electron microscopy (SEM). The impact of different polymerization rate and temperature regimes on polymer morphology was determined using isotropic, cubic, and hexagonal phases as polymerization templates. Polymer morphology varies dramatically depending on LLC phase template, while within a given phase changes in polymerization time scale and temperature greatly impact polymer structure. SAXS reveals a higher degree of retained liquid crystalline order using rapid polymerization at relatively low temperatures. SEM images demonstrate that rapid polymerization yields polymers with highly ordered network structures and nanoscale morphology. Less ordered, thermodynamically driven polymer features result from relatively slow polymerization. The degree of swelling in aqueous solution increases dramatically in ordered LLC phases relative to bulk polymerization, with lower swelling resulting from faster polymerization. Similarly, higher surface area results from polymerization in LLC media relative to isotropic systems, and surface area increases with increasing polymerization rate. © 2006 American Chemical Society.","author":[{"dropping-particle":"","family":"DePierro","given":"Michael A.","non-dropping-particle":"","parse-names":false,"suffix":""},{"dropping-particle":"","family":"Carpenter","given":"Kyle G.","non-dropping-particle":"","parse-names":false,"suffix":""},{"dropping-particle":"","family":"Guymon","given":"C. Allan","non-dropping-particle":"","parse-names":false,"suffix":""}],"container-title":"Chemistry of Materials","id":"ITEM-1","issue":"23","issued":{"date-parts":[["2006","11"]]},"page":"5609-5617","title":"Influence of polymerization conditions on nanostructure and properties of polyacrylamide hydrogels templated from lyotropic liquid crystals","type":"article-journal","volume":"18"},"uris":["http://www.mendeley.com/documents/?uuid=e0a07ef3-cb63-401e-9e29-f5755f782e7d"]}],"mendeley":{"formattedCitation":"&lt;sup&gt;40&lt;/sup&gt;","plainTextFormattedCitation":"40","previouslyFormattedCitation":"&lt;sup&gt;40&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40</w:t>
      </w:r>
      <w:r w:rsidRPr="006D631C">
        <w:rPr>
          <w:rFonts w:asciiTheme="majorBidi" w:hAnsiTheme="majorBidi" w:cstheme="majorBidi"/>
        </w:rPr>
        <w:fldChar w:fldCharType="end"/>
      </w:r>
      <w:r w:rsidRPr="006D631C">
        <w:rPr>
          <w:rFonts w:asciiTheme="majorBidi" w:hAnsiTheme="majorBidi" w:cstheme="majorBidi"/>
        </w:rPr>
        <w:t xml:space="preserve">, as well as the </w:t>
      </w:r>
      <w:r w:rsidRPr="006D631C">
        <w:rPr>
          <w:rFonts w:asciiTheme="majorBidi" w:hAnsiTheme="majorBidi" w:cstheme="majorBidi"/>
        </w:rPr>
        <w:lastRenderedPageBreak/>
        <w:t>impressive properties of the ion gels obtained from synergistic templating within discontinuous cubic structure</w:t>
      </w:r>
      <w:r w:rsidRPr="006D631C">
        <w:rPr>
          <w:rFonts w:asciiTheme="majorBidi" w:hAnsiTheme="majorBidi" w:cstheme="majorBidi"/>
        </w:rPr>
        <w:fldChar w:fldCharType="begin" w:fldLock="1"/>
      </w:r>
      <w:r w:rsidR="000E44B6" w:rsidRPr="006D631C">
        <w:rPr>
          <w:rFonts w:asciiTheme="majorBidi" w:hAnsiTheme="majorBidi" w:cstheme="majorBidi"/>
        </w:rPr>
        <w:instrText>ADDIN CSL_CITATION {"citationItems":[{"id":"ITEM-1","itemData":{"DOI":"10.1021/acs.macromol.6b00205","ISSN":"15205835","abstract":"The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J.","non-dropping-particle":"","parse-names":false,"suffix":""}],"container-title":"Macromolecules","id":"ITEM-1","issue":"14","issued":{"date-parts":[["2016"]]},"page":"5179-5189","title":"Self-Assembly of Pluronic F127 Diacrylate in Ethylammonium Nitrate: Structure, Rheology, and Ionic Conductivity before and after Photo-Cross-Linking","type":"article-journal","volume":"49"},"uris":["http://www.mendeley.com/documents/?uuid=6ddc0c83-b7e6-4ae7-bbbe-b38e8eb525a5"]},{"id":"ITEM-2","itemData":{"DOI":"10.1021/acsmacrolett.6b00790","ISSN":"21611653","abstract":"The emerging technologies involving wearable electronics require new materials with high stretchability, resistance to high loads, and high conductivities. We report a facile synthetic strategy based on self-assembly of concentrated solutions of end-functionalized PEO106-PPO70-PEO106 triblock copolymer in ethylammonium nitrate into face-centered cubic micellar crystals, followed by micelle corona cross-linking to generate elastomeric ion gels (iono-elastomers). These materials exhibit an unprecedented combination of high stretchability, high ionic conductivity, and mechanoelectrical response. The latter consists of a remarkable and counterintuitive increase in ion conductivity with strain during uniaxial extension, which is reversible upon load release. Based on in situ SAXS measurements of reversible crystal structure transformations during deformation, we postulate that the origin of the conductivity increase is a reversible formation of ion nanochannels due to a novel microstructural rearrangement specific to this material.","author":[{"dropping-particle":"","family":"López-Barrón","given":"Carlos R.","non-dropping-particle":"","parse-names":false,"suffix":""},{"dropping-particle":"","family":"Chen","given":"Ru","non-dropping-particle":"","parse-names":false,"suffix":""},{"dropping-particle":"","family":"Wagner","given":"Norman J.","non-dropping-particle":"","parse-names":false,"suffix":""}],"container-title":"ACS Macro Letters","id":"ITEM-2","issue":"12","issued":{"date-parts":[["2016"]]},"page":"1332-1338","title":"Ultrastretchable Iono-Elastomers with Mechanoelectrical Response","type":"article-journal","volume":"5"},"uris":["http://www.mendeley.com/documents/?uuid=d94ed24e-94b1-4abc-96df-3cf80d984941"]},{"id":"ITEM-3","itemData":{"DOI":"10.1021/acsami.8b10672","ISSN":"19448252","abstract":"An ultrastretchable iono-elastomer with resistance sensitive to both elongation strain and temperature has been developed by hierarchical self-assembly of an end functionalized triblock copolymer in a protic ionic liquid (ethylammonium nitrate) followed by cross-linking. Small-angle X-ray scattering experiments in situ with uniaxial elongation reveal a nanoscale microstructural transition of the hierarchically self-assembled cross-linked micelles that is responsible for the material's remarkable mechanical and ionic conductivity responses. The results show that the intermicelle distance extends along the deformation direction while the micelles organize into a long-range ordered face-centered-cubic structure during the uniaxial elongation. Besides good cyclability and resistance to selected physical damage, the iono-elastomer simultaneously achieves an unprecedented combination of high stretchability (340%), highly linear resistance vs elongation strain (R2 = 0.998), and large temperature gauge factor (ΔR/R = 3.24%/°C@30 °C). Human subject testing demonstrates that the iono-elastomer-based wearable thermomechanical sensor is able to effectively and accurately register both body motion and skin temperature simultaneously.","author":[{"dropping-particle":"","family":"Xie","given":"Yunsong","non-dropping-particle":"","parse-names":false,"suffix":""},{"dropping-particle":"","family":"Xie","given":"Ru","non-dropping-particle":"","parse-names":false,"suffix":""},{"dropping-particle":"","family":"Yang","given":"Hao Cheng","non-dropping-particle":"","parse-names":false,"suffix":""},{"dropping-particle":"","family":"Chen","given":"Zhaowei","non-dropping-particle":"","parse-names":false,"suffix":""},{"dropping-particle":"","family":"Hou","given":"Jingwei","non-dropping-particle":"","parse-names":false,"suffix":""},{"dropping-particle":"","family":"López-Barrón","given":"Carlos R.","non-dropping-particle":"","parse-names":false,"suffix":""},{"dropping-particle":"","family":"Wagner","given":"Norman J.","non-dropping-particle":"","parse-names":false,"suffix":""},{"dropping-particle":"","family":"Gao","given":"Kai Zhong","non-dropping-particle":"","parse-names":false,"suffix":""}],"container-title":"ACS Applied Materials and Interfaces","id":"ITEM-3","issue":"38","issued":{"date-parts":[["2018"]]},"page":"32435-32443","title":"Iono-Elastomer-Based Wearable Strain Sensor with Real-Time Thermomechanical Dual Response","type":"article-journal","volume":"10"},"uris":["http://www.mendeley.com/documents/?uuid=ac01ca70-c8c7-4385-90f3-881be2b6ddd1"]}],"mendeley":{"formattedCitation":"&lt;sup&gt;13,47,48&lt;/sup&gt;","plainTextFormattedCitation":"13,47,48","previouslyFormattedCitation":"&lt;sup&gt;13,47,48&lt;/sup&gt;"},"properties":{"noteIndex":0},"schema":"https://github.com/citation-style-language/schema/raw/master/csl-citation.json"}</w:instrText>
      </w:r>
      <w:r w:rsidRPr="006D631C">
        <w:rPr>
          <w:rFonts w:asciiTheme="majorBidi" w:hAnsiTheme="majorBidi" w:cstheme="majorBidi"/>
        </w:rPr>
        <w:fldChar w:fldCharType="separate"/>
      </w:r>
      <w:r w:rsidR="00DB3CE3" w:rsidRPr="006D631C">
        <w:rPr>
          <w:rFonts w:asciiTheme="majorBidi" w:hAnsiTheme="majorBidi" w:cstheme="majorBidi"/>
          <w:noProof/>
          <w:vertAlign w:val="superscript"/>
        </w:rPr>
        <w:t>13,47,48</w:t>
      </w:r>
      <w:r w:rsidRPr="006D631C">
        <w:rPr>
          <w:rFonts w:asciiTheme="majorBidi" w:hAnsiTheme="majorBidi" w:cstheme="majorBidi"/>
        </w:rPr>
        <w:fldChar w:fldCharType="end"/>
      </w:r>
      <w:r w:rsidRPr="006D631C">
        <w:rPr>
          <w:rFonts w:asciiTheme="majorBidi" w:hAnsiTheme="majorBidi" w:cstheme="majorBidi"/>
        </w:rPr>
        <w:t xml:space="preserve"> indicate that there may be plenty of opportunities in transcriptive templating of such structures to fabricate materials with exceptional properties.</w:t>
      </w:r>
    </w:p>
    <w:p w14:paraId="04EFD40F" w14:textId="7097EE26" w:rsidR="001376FF" w:rsidRPr="006D631C" w:rsidRDefault="001376FF" w:rsidP="001376FF"/>
    <w:p w14:paraId="0F9814C1" w14:textId="3A4C7144" w:rsidR="008C0FB7" w:rsidRPr="006D631C" w:rsidRDefault="008C0FB7" w:rsidP="00861405">
      <w:pPr>
        <w:pStyle w:val="TOC1"/>
      </w:pPr>
    </w:p>
    <w:p w14:paraId="21A206AF" w14:textId="676A3312" w:rsidR="008C0FB7" w:rsidRPr="006D631C" w:rsidRDefault="008C0FB7" w:rsidP="008C0FB7"/>
    <w:p w14:paraId="7036395D" w14:textId="59E01B90" w:rsidR="008C0FB7" w:rsidRPr="006D631C" w:rsidRDefault="008C0FB7" w:rsidP="00861405">
      <w:pPr>
        <w:pStyle w:val="TOC1"/>
      </w:pPr>
    </w:p>
    <w:p w14:paraId="058E3C08" w14:textId="30774A84" w:rsidR="008C0FB7" w:rsidRPr="006D631C" w:rsidRDefault="008C0FB7" w:rsidP="008C0FB7"/>
    <w:p w14:paraId="6B726EBC" w14:textId="192FEB82" w:rsidR="008C0FB7" w:rsidRPr="006D631C" w:rsidRDefault="008C0FB7" w:rsidP="00861405">
      <w:pPr>
        <w:pStyle w:val="TOC1"/>
      </w:pPr>
    </w:p>
    <w:p w14:paraId="5E6AA2FB" w14:textId="5BDB8E13" w:rsidR="008C0FB7" w:rsidRPr="006D631C" w:rsidRDefault="008C0FB7" w:rsidP="008C0FB7"/>
    <w:p w14:paraId="10E64AB1" w14:textId="17C60A5D" w:rsidR="008C0FB7" w:rsidRPr="006D631C" w:rsidRDefault="008C0FB7" w:rsidP="00861405">
      <w:pPr>
        <w:pStyle w:val="TOC1"/>
      </w:pPr>
    </w:p>
    <w:p w14:paraId="23885705" w14:textId="729738DB" w:rsidR="008C0FB7" w:rsidRPr="006D631C" w:rsidRDefault="008C0FB7" w:rsidP="008C0FB7"/>
    <w:p w14:paraId="2E6D2065" w14:textId="1BF3E16E" w:rsidR="008C0FB7" w:rsidRPr="006D631C" w:rsidRDefault="008C0FB7" w:rsidP="00861405">
      <w:pPr>
        <w:pStyle w:val="TOC1"/>
      </w:pPr>
    </w:p>
    <w:p w14:paraId="761C0B01" w14:textId="448B5AED" w:rsidR="008C0FB7" w:rsidRPr="006D631C" w:rsidRDefault="008C0FB7" w:rsidP="008C0FB7"/>
    <w:p w14:paraId="312C0CF1" w14:textId="3772FA3B" w:rsidR="008C0FB7" w:rsidRPr="006D631C" w:rsidRDefault="008C0FB7" w:rsidP="00861405">
      <w:pPr>
        <w:pStyle w:val="TOC1"/>
      </w:pPr>
    </w:p>
    <w:p w14:paraId="50F68D03" w14:textId="1D7CDEA6" w:rsidR="008C0FB7" w:rsidRPr="006D631C" w:rsidRDefault="008C0FB7" w:rsidP="008C0FB7"/>
    <w:p w14:paraId="5A764E29" w14:textId="69D569C9" w:rsidR="008C0FB7" w:rsidRPr="006D631C" w:rsidRDefault="008C0FB7" w:rsidP="00861405">
      <w:pPr>
        <w:pStyle w:val="TOC1"/>
      </w:pPr>
    </w:p>
    <w:p w14:paraId="3B4836BC" w14:textId="4133EE9D" w:rsidR="008C0FB7" w:rsidRPr="006D631C" w:rsidRDefault="008C0FB7" w:rsidP="008C0FB7"/>
    <w:p w14:paraId="0055E62A" w14:textId="3B771C7C" w:rsidR="008C0FB7" w:rsidRPr="006D631C" w:rsidRDefault="008C0FB7" w:rsidP="00861405">
      <w:pPr>
        <w:pStyle w:val="TOC1"/>
      </w:pPr>
    </w:p>
    <w:p w14:paraId="31DEA375" w14:textId="77777777" w:rsidR="00172905" w:rsidRPr="006D631C" w:rsidRDefault="00172905" w:rsidP="00861405">
      <w:pPr>
        <w:pStyle w:val="TOC1"/>
        <w:sectPr w:rsidR="00172905" w:rsidRPr="006D631C" w:rsidSect="00E96EE0">
          <w:pgSz w:w="12240" w:h="15840"/>
          <w:pgMar w:top="1440" w:right="1440" w:bottom="1440" w:left="1440" w:header="720" w:footer="720" w:gutter="0"/>
          <w:cols w:space="720"/>
          <w:docGrid w:linePitch="360"/>
        </w:sectPr>
      </w:pPr>
    </w:p>
    <w:p w14:paraId="2E6FAC45" w14:textId="79728AC2" w:rsidR="00901CB6" w:rsidRPr="006D631C" w:rsidRDefault="00901CB6" w:rsidP="003B3252">
      <w:pPr>
        <w:pStyle w:val="Caption"/>
        <w:spacing w:after="0"/>
        <w:jc w:val="center"/>
        <w:rPr>
          <w:rFonts w:asciiTheme="majorBidi" w:hAnsiTheme="majorBidi" w:cstheme="majorBidi"/>
          <w:sz w:val="22"/>
          <w:szCs w:val="22"/>
        </w:rPr>
      </w:pPr>
      <w:bookmarkStart w:id="80" w:name="_Toc148175967"/>
      <w:r w:rsidRPr="006D631C">
        <w:rPr>
          <w:sz w:val="22"/>
          <w:szCs w:val="22"/>
        </w:rPr>
        <w:lastRenderedPageBreak/>
        <w:t xml:space="preserve">Table </w:t>
      </w:r>
      <w:r w:rsidR="0093296F" w:rsidRPr="006D631C">
        <w:rPr>
          <w:sz w:val="22"/>
          <w:szCs w:val="22"/>
        </w:rPr>
        <w:fldChar w:fldCharType="begin"/>
      </w:r>
      <w:r w:rsidR="0093296F" w:rsidRPr="006D631C">
        <w:rPr>
          <w:sz w:val="22"/>
          <w:szCs w:val="22"/>
        </w:rPr>
        <w:instrText xml:space="preserve"> STYLEREF 1 \s </w:instrText>
      </w:r>
      <w:r w:rsidR="0093296F" w:rsidRPr="006D631C">
        <w:rPr>
          <w:sz w:val="22"/>
          <w:szCs w:val="22"/>
        </w:rPr>
        <w:fldChar w:fldCharType="separate"/>
      </w:r>
      <w:r w:rsidR="0093296F" w:rsidRPr="006D631C">
        <w:rPr>
          <w:sz w:val="22"/>
          <w:szCs w:val="22"/>
          <w:cs/>
        </w:rPr>
        <w:t>‎</w:t>
      </w:r>
      <w:r w:rsidR="0093296F" w:rsidRPr="006D631C">
        <w:rPr>
          <w:sz w:val="22"/>
          <w:szCs w:val="22"/>
        </w:rPr>
        <w:t>1</w:t>
      </w:r>
      <w:r w:rsidR="0093296F" w:rsidRPr="006D631C">
        <w:rPr>
          <w:sz w:val="22"/>
          <w:szCs w:val="22"/>
        </w:rPr>
        <w:fldChar w:fldCharType="end"/>
      </w:r>
      <w:r w:rsidR="0093296F" w:rsidRPr="006D631C">
        <w:rPr>
          <w:sz w:val="22"/>
          <w:szCs w:val="22"/>
        </w:rPr>
        <w:noBreakHyphen/>
      </w:r>
      <w:r w:rsidR="0093296F" w:rsidRPr="006D631C">
        <w:rPr>
          <w:sz w:val="22"/>
          <w:szCs w:val="22"/>
        </w:rPr>
        <w:fldChar w:fldCharType="begin"/>
      </w:r>
      <w:r w:rsidR="0093296F" w:rsidRPr="006D631C">
        <w:rPr>
          <w:sz w:val="22"/>
          <w:szCs w:val="22"/>
        </w:rPr>
        <w:instrText xml:space="preserve"> SEQ Table \* ARABIC \s 1 </w:instrText>
      </w:r>
      <w:r w:rsidR="0093296F" w:rsidRPr="006D631C">
        <w:rPr>
          <w:sz w:val="22"/>
          <w:szCs w:val="22"/>
        </w:rPr>
        <w:fldChar w:fldCharType="separate"/>
      </w:r>
      <w:r w:rsidR="0093296F" w:rsidRPr="006D631C">
        <w:rPr>
          <w:sz w:val="22"/>
          <w:szCs w:val="22"/>
        </w:rPr>
        <w:t>3</w:t>
      </w:r>
      <w:r w:rsidR="0093296F" w:rsidRPr="006D631C">
        <w:rPr>
          <w:sz w:val="22"/>
          <w:szCs w:val="22"/>
        </w:rPr>
        <w:fldChar w:fldCharType="end"/>
      </w:r>
      <w:r w:rsidRPr="006D631C">
        <w:rPr>
          <w:sz w:val="22"/>
          <w:szCs w:val="22"/>
        </w:rPr>
        <w:t xml:space="preserve">. </w:t>
      </w:r>
      <w:r w:rsidR="003B3252" w:rsidRPr="006D631C">
        <w:rPr>
          <w:rFonts w:asciiTheme="majorBidi" w:hAnsiTheme="majorBidi" w:cstheme="majorBidi"/>
          <w:sz w:val="22"/>
          <w:szCs w:val="22"/>
        </w:rPr>
        <w:t>Summary of the reported results for transcriptive LLC templating.</w:t>
      </w:r>
      <w:bookmarkEnd w:id="80"/>
    </w:p>
    <w:tbl>
      <w:tblPr>
        <w:tblpPr w:leftFromText="180" w:rightFromText="180" w:vertAnchor="text" w:tblpXSpec="center" w:tblpY="1"/>
        <w:tblOverlap w:val="never"/>
        <w:tblW w:w="12899" w:type="dxa"/>
        <w:tblLayout w:type="fixed"/>
        <w:tblLook w:val="04A0" w:firstRow="1" w:lastRow="0" w:firstColumn="1" w:lastColumn="0" w:noHBand="0" w:noVBand="1"/>
      </w:tblPr>
      <w:tblGrid>
        <w:gridCol w:w="851"/>
        <w:gridCol w:w="850"/>
        <w:gridCol w:w="567"/>
        <w:gridCol w:w="709"/>
        <w:gridCol w:w="1134"/>
        <w:gridCol w:w="992"/>
        <w:gridCol w:w="993"/>
        <w:gridCol w:w="1134"/>
        <w:gridCol w:w="5103"/>
        <w:gridCol w:w="566"/>
      </w:tblGrid>
      <w:tr w:rsidR="00FC2A6D" w:rsidRPr="006D631C" w14:paraId="6BFB66C6" w14:textId="77777777" w:rsidTr="007C7410">
        <w:trPr>
          <w:trHeight w:val="20"/>
        </w:trPr>
        <w:tc>
          <w:tcPr>
            <w:tcW w:w="851" w:type="dxa"/>
            <w:tcBorders>
              <w:top w:val="single" w:sz="8" w:space="0" w:color="auto"/>
              <w:left w:val="nil"/>
              <w:bottom w:val="single" w:sz="8" w:space="0" w:color="auto"/>
              <w:right w:val="nil"/>
            </w:tcBorders>
            <w:shd w:val="clear" w:color="000000" w:fill="FFFFFF"/>
            <w:vAlign w:val="center"/>
          </w:tcPr>
          <w:p w14:paraId="6846712A" w14:textId="0B8CC900" w:rsidR="00FC2A6D" w:rsidRPr="006D631C" w:rsidRDefault="00FC2A6D" w:rsidP="00FC2A6D">
            <w:pPr>
              <w:spacing w:line="240" w:lineRule="auto"/>
              <w:jc w:val="left"/>
              <w:rPr>
                <w:b/>
                <w:bCs/>
                <w:color w:val="000000"/>
                <w:sz w:val="12"/>
                <w:szCs w:val="12"/>
              </w:rPr>
            </w:pPr>
            <w:r w:rsidRPr="006D631C">
              <w:rPr>
                <w:b/>
                <w:bCs/>
                <w:color w:val="000000"/>
                <w:sz w:val="12"/>
                <w:szCs w:val="12"/>
              </w:rPr>
              <w:t>Monomer</w:t>
            </w:r>
          </w:p>
        </w:tc>
        <w:tc>
          <w:tcPr>
            <w:tcW w:w="850" w:type="dxa"/>
            <w:tcBorders>
              <w:top w:val="single" w:sz="8" w:space="0" w:color="auto"/>
              <w:left w:val="nil"/>
              <w:bottom w:val="single" w:sz="8" w:space="0" w:color="auto"/>
              <w:right w:val="nil"/>
            </w:tcBorders>
            <w:shd w:val="clear" w:color="000000" w:fill="FFFFFF"/>
            <w:noWrap/>
            <w:vAlign w:val="center"/>
            <w:hideMark/>
          </w:tcPr>
          <w:p w14:paraId="0D30A75D" w14:textId="7032CF45" w:rsidR="00FC2A6D" w:rsidRPr="006D631C" w:rsidRDefault="00FC2A6D" w:rsidP="00FC2A6D">
            <w:pPr>
              <w:spacing w:line="240" w:lineRule="auto"/>
              <w:jc w:val="left"/>
              <w:rPr>
                <w:b/>
                <w:bCs/>
                <w:color w:val="000000"/>
                <w:sz w:val="12"/>
                <w:szCs w:val="12"/>
              </w:rPr>
            </w:pPr>
            <w:proofErr w:type="spellStart"/>
            <w:r w:rsidRPr="006D631C">
              <w:rPr>
                <w:b/>
                <w:bCs/>
                <w:color w:val="000000"/>
                <w:sz w:val="12"/>
                <w:szCs w:val="12"/>
              </w:rPr>
              <w:t>Amphiphile</w:t>
            </w:r>
            <w:proofErr w:type="spellEnd"/>
          </w:p>
        </w:tc>
        <w:tc>
          <w:tcPr>
            <w:tcW w:w="567" w:type="dxa"/>
            <w:tcBorders>
              <w:top w:val="single" w:sz="8" w:space="0" w:color="auto"/>
              <w:left w:val="nil"/>
              <w:bottom w:val="single" w:sz="8" w:space="0" w:color="auto"/>
              <w:right w:val="nil"/>
            </w:tcBorders>
            <w:shd w:val="clear" w:color="000000" w:fill="FFFFFF"/>
            <w:vAlign w:val="center"/>
            <w:hideMark/>
          </w:tcPr>
          <w:p w14:paraId="1E915B87" w14:textId="77777777" w:rsidR="00FC2A6D" w:rsidRPr="006D631C" w:rsidRDefault="00FC2A6D" w:rsidP="00FC2A6D">
            <w:pPr>
              <w:spacing w:line="240" w:lineRule="auto"/>
              <w:jc w:val="left"/>
              <w:rPr>
                <w:b/>
                <w:bCs/>
                <w:color w:val="000000"/>
                <w:sz w:val="12"/>
                <w:szCs w:val="12"/>
              </w:rPr>
            </w:pPr>
            <w:r w:rsidRPr="006D631C">
              <w:rPr>
                <w:b/>
                <w:bCs/>
                <w:color w:val="000000"/>
                <w:sz w:val="12"/>
                <w:szCs w:val="12"/>
              </w:rPr>
              <w:t>Cross-linker</w:t>
            </w:r>
          </w:p>
        </w:tc>
        <w:tc>
          <w:tcPr>
            <w:tcW w:w="709" w:type="dxa"/>
            <w:tcBorders>
              <w:top w:val="single" w:sz="8" w:space="0" w:color="auto"/>
              <w:left w:val="nil"/>
              <w:bottom w:val="single" w:sz="8" w:space="0" w:color="auto"/>
              <w:right w:val="nil"/>
            </w:tcBorders>
            <w:shd w:val="clear" w:color="000000" w:fill="FFFFFF"/>
            <w:vAlign w:val="center"/>
            <w:hideMark/>
          </w:tcPr>
          <w:p w14:paraId="4970FB1F" w14:textId="77777777" w:rsidR="00FC2A6D" w:rsidRPr="006D631C" w:rsidRDefault="00FC2A6D" w:rsidP="00FC2A6D">
            <w:pPr>
              <w:spacing w:line="240" w:lineRule="auto"/>
              <w:jc w:val="left"/>
              <w:rPr>
                <w:b/>
                <w:bCs/>
                <w:color w:val="000000"/>
                <w:sz w:val="12"/>
                <w:szCs w:val="12"/>
              </w:rPr>
            </w:pPr>
            <w:r w:rsidRPr="006D631C">
              <w:rPr>
                <w:b/>
                <w:bCs/>
                <w:color w:val="000000"/>
                <w:sz w:val="12"/>
                <w:szCs w:val="12"/>
              </w:rPr>
              <w:t>Initiation system</w:t>
            </w:r>
          </w:p>
        </w:tc>
        <w:tc>
          <w:tcPr>
            <w:tcW w:w="1134" w:type="dxa"/>
            <w:tcBorders>
              <w:top w:val="single" w:sz="8" w:space="0" w:color="auto"/>
              <w:left w:val="nil"/>
              <w:bottom w:val="single" w:sz="8" w:space="0" w:color="auto"/>
              <w:right w:val="nil"/>
            </w:tcBorders>
            <w:shd w:val="clear" w:color="000000" w:fill="FFFFFF"/>
            <w:vAlign w:val="center"/>
            <w:hideMark/>
          </w:tcPr>
          <w:p w14:paraId="0E5EAD21" w14:textId="3909A1EF" w:rsidR="00FC2A6D" w:rsidRPr="006D631C" w:rsidRDefault="00E81314" w:rsidP="006A4B01">
            <w:pPr>
              <w:spacing w:line="240" w:lineRule="auto"/>
              <w:jc w:val="left"/>
              <w:rPr>
                <w:b/>
                <w:bCs/>
                <w:color w:val="000000"/>
                <w:sz w:val="12"/>
                <w:szCs w:val="12"/>
              </w:rPr>
            </w:pPr>
            <w:proofErr w:type="spellStart"/>
            <w:r w:rsidRPr="006D631C">
              <w:rPr>
                <w:b/>
                <w:bCs/>
                <w:color w:val="000000"/>
                <w:sz w:val="12"/>
                <w:szCs w:val="12"/>
              </w:rPr>
              <w:t>Amphiphile</w:t>
            </w:r>
            <w:proofErr w:type="spellEnd"/>
            <w:r w:rsidRPr="006D631C">
              <w:rPr>
                <w:b/>
                <w:bCs/>
                <w:color w:val="000000"/>
                <w:sz w:val="12"/>
                <w:szCs w:val="12"/>
              </w:rPr>
              <w:t xml:space="preserve"> / monomer</w:t>
            </w:r>
            <w:r w:rsidR="006A4B01" w:rsidRPr="006D631C">
              <w:rPr>
                <w:b/>
                <w:bCs/>
                <w:color w:val="000000"/>
                <w:sz w:val="12"/>
                <w:szCs w:val="12"/>
              </w:rPr>
              <w:t xml:space="preserve"> </w:t>
            </w:r>
            <w:r w:rsidR="00FC2A6D" w:rsidRPr="006D631C">
              <w:rPr>
                <w:b/>
                <w:bCs/>
                <w:color w:val="000000"/>
                <w:sz w:val="12"/>
                <w:szCs w:val="12"/>
              </w:rPr>
              <w:t>[</w:t>
            </w:r>
            <w:r w:rsidRPr="006D631C">
              <w:rPr>
                <w:b/>
                <w:bCs/>
                <w:color w:val="000000"/>
                <w:sz w:val="12"/>
                <w:szCs w:val="12"/>
              </w:rPr>
              <w:t>w/w</w:t>
            </w:r>
            <w:r w:rsidR="00FC2A6D" w:rsidRPr="006D631C">
              <w:rPr>
                <w:b/>
                <w:bCs/>
                <w:color w:val="000000"/>
                <w:sz w:val="12"/>
                <w:szCs w:val="12"/>
              </w:rPr>
              <w:t>] and structure before reaction</w:t>
            </w:r>
          </w:p>
        </w:tc>
        <w:tc>
          <w:tcPr>
            <w:tcW w:w="992" w:type="dxa"/>
            <w:tcBorders>
              <w:top w:val="single" w:sz="8" w:space="0" w:color="auto"/>
              <w:left w:val="nil"/>
              <w:bottom w:val="single" w:sz="8" w:space="0" w:color="auto"/>
              <w:right w:val="nil"/>
            </w:tcBorders>
            <w:shd w:val="clear" w:color="000000" w:fill="FFFFFF"/>
            <w:vAlign w:val="center"/>
            <w:hideMark/>
          </w:tcPr>
          <w:p w14:paraId="61248ECC" w14:textId="77777777" w:rsidR="00FC2A6D" w:rsidRPr="006D631C" w:rsidRDefault="00FC2A6D" w:rsidP="00FC2A6D">
            <w:pPr>
              <w:spacing w:line="240" w:lineRule="auto"/>
              <w:jc w:val="left"/>
              <w:rPr>
                <w:b/>
                <w:bCs/>
                <w:color w:val="000000"/>
                <w:sz w:val="12"/>
                <w:szCs w:val="12"/>
              </w:rPr>
            </w:pPr>
            <w:r w:rsidRPr="006D631C">
              <w:rPr>
                <w:b/>
                <w:bCs/>
                <w:color w:val="000000"/>
                <w:sz w:val="12"/>
                <w:szCs w:val="12"/>
              </w:rPr>
              <w:t>Structure after polymerization</w:t>
            </w:r>
          </w:p>
        </w:tc>
        <w:tc>
          <w:tcPr>
            <w:tcW w:w="993" w:type="dxa"/>
            <w:tcBorders>
              <w:top w:val="single" w:sz="8" w:space="0" w:color="auto"/>
              <w:left w:val="nil"/>
              <w:bottom w:val="single" w:sz="8" w:space="0" w:color="auto"/>
              <w:right w:val="nil"/>
            </w:tcBorders>
            <w:shd w:val="clear" w:color="000000" w:fill="FFFFFF"/>
            <w:vAlign w:val="center"/>
            <w:hideMark/>
          </w:tcPr>
          <w:p w14:paraId="528710B5" w14:textId="77777777" w:rsidR="00FC2A6D" w:rsidRPr="006D631C" w:rsidRDefault="00FC2A6D" w:rsidP="00FC2A6D">
            <w:pPr>
              <w:spacing w:line="240" w:lineRule="auto"/>
              <w:jc w:val="left"/>
              <w:rPr>
                <w:b/>
                <w:bCs/>
                <w:color w:val="000000"/>
                <w:sz w:val="12"/>
                <w:szCs w:val="12"/>
              </w:rPr>
            </w:pPr>
            <w:r w:rsidRPr="006D631C">
              <w:rPr>
                <w:b/>
                <w:bCs/>
                <w:color w:val="000000"/>
                <w:sz w:val="12"/>
                <w:szCs w:val="12"/>
              </w:rPr>
              <w:t>Lattice parameter before reaction</w:t>
            </w:r>
            <w:r w:rsidRPr="006D631C">
              <w:rPr>
                <w:b/>
                <w:bCs/>
                <w:color w:val="000000"/>
                <w:sz w:val="12"/>
                <w:szCs w:val="12"/>
              </w:rPr>
              <w:br/>
              <w:t>[nm]</w:t>
            </w:r>
          </w:p>
        </w:tc>
        <w:tc>
          <w:tcPr>
            <w:tcW w:w="1134" w:type="dxa"/>
            <w:tcBorders>
              <w:top w:val="single" w:sz="8" w:space="0" w:color="auto"/>
              <w:left w:val="nil"/>
              <w:bottom w:val="single" w:sz="8" w:space="0" w:color="auto"/>
              <w:right w:val="nil"/>
            </w:tcBorders>
            <w:shd w:val="clear" w:color="000000" w:fill="FFFFFF"/>
            <w:vAlign w:val="center"/>
            <w:hideMark/>
          </w:tcPr>
          <w:p w14:paraId="2298DF79" w14:textId="77777777" w:rsidR="00FC2A6D" w:rsidRPr="006D631C" w:rsidRDefault="00FC2A6D" w:rsidP="00FC2A6D">
            <w:pPr>
              <w:spacing w:line="240" w:lineRule="auto"/>
              <w:jc w:val="left"/>
              <w:rPr>
                <w:b/>
                <w:bCs/>
                <w:color w:val="000000"/>
                <w:sz w:val="12"/>
                <w:szCs w:val="12"/>
              </w:rPr>
            </w:pPr>
            <w:r w:rsidRPr="006D631C">
              <w:rPr>
                <w:b/>
                <w:bCs/>
                <w:color w:val="000000"/>
                <w:sz w:val="12"/>
                <w:szCs w:val="12"/>
              </w:rPr>
              <w:t>Lattice parameter after reaction</w:t>
            </w:r>
            <w:r w:rsidRPr="006D631C">
              <w:rPr>
                <w:b/>
                <w:bCs/>
                <w:color w:val="000000"/>
                <w:sz w:val="12"/>
                <w:szCs w:val="12"/>
              </w:rPr>
              <w:br/>
              <w:t>[nm]</w:t>
            </w:r>
          </w:p>
        </w:tc>
        <w:tc>
          <w:tcPr>
            <w:tcW w:w="5103" w:type="dxa"/>
            <w:tcBorders>
              <w:top w:val="single" w:sz="8" w:space="0" w:color="auto"/>
              <w:left w:val="nil"/>
              <w:bottom w:val="single" w:sz="8" w:space="0" w:color="auto"/>
              <w:right w:val="nil"/>
            </w:tcBorders>
            <w:shd w:val="clear" w:color="000000" w:fill="FFFFFF"/>
            <w:vAlign w:val="center"/>
          </w:tcPr>
          <w:p w14:paraId="5DC1F820" w14:textId="77777777" w:rsidR="00FC2A6D" w:rsidRPr="006D631C" w:rsidRDefault="00FC2A6D" w:rsidP="00FC2A6D">
            <w:pPr>
              <w:spacing w:line="240" w:lineRule="auto"/>
              <w:jc w:val="left"/>
              <w:rPr>
                <w:b/>
                <w:bCs/>
                <w:color w:val="000000"/>
                <w:sz w:val="12"/>
                <w:szCs w:val="12"/>
              </w:rPr>
            </w:pPr>
            <w:r w:rsidRPr="006D631C">
              <w:rPr>
                <w:b/>
                <w:bCs/>
                <w:color w:val="000000"/>
                <w:sz w:val="12"/>
                <w:szCs w:val="12"/>
              </w:rPr>
              <w:t>Remarks</w:t>
            </w:r>
          </w:p>
        </w:tc>
        <w:tc>
          <w:tcPr>
            <w:tcW w:w="566" w:type="dxa"/>
            <w:tcBorders>
              <w:top w:val="single" w:sz="8" w:space="0" w:color="auto"/>
              <w:left w:val="nil"/>
              <w:bottom w:val="single" w:sz="8" w:space="0" w:color="auto"/>
              <w:right w:val="nil"/>
            </w:tcBorders>
            <w:shd w:val="clear" w:color="000000" w:fill="FFFFFF"/>
            <w:noWrap/>
            <w:vAlign w:val="center"/>
            <w:hideMark/>
          </w:tcPr>
          <w:p w14:paraId="7558D54A" w14:textId="77777777" w:rsidR="00FC2A6D" w:rsidRPr="006D631C" w:rsidRDefault="00FC2A6D" w:rsidP="00FC2A6D">
            <w:pPr>
              <w:spacing w:line="240" w:lineRule="auto"/>
              <w:jc w:val="left"/>
              <w:rPr>
                <w:b/>
                <w:bCs/>
                <w:color w:val="000000"/>
                <w:sz w:val="12"/>
                <w:szCs w:val="12"/>
              </w:rPr>
            </w:pPr>
            <w:r w:rsidRPr="006D631C">
              <w:rPr>
                <w:b/>
                <w:bCs/>
                <w:color w:val="000000"/>
                <w:sz w:val="12"/>
                <w:szCs w:val="12"/>
              </w:rPr>
              <w:t>Ref.</w:t>
            </w:r>
          </w:p>
        </w:tc>
      </w:tr>
      <w:tr w:rsidR="00A14AF8" w:rsidRPr="006D631C" w14:paraId="26DBECD1" w14:textId="77777777" w:rsidTr="007D350B">
        <w:trPr>
          <w:trHeight w:val="20"/>
        </w:trPr>
        <w:tc>
          <w:tcPr>
            <w:tcW w:w="851" w:type="dxa"/>
            <w:vMerge w:val="restart"/>
            <w:tcBorders>
              <w:top w:val="nil"/>
              <w:left w:val="nil"/>
              <w:bottom w:val="single" w:sz="4" w:space="0" w:color="000000"/>
              <w:right w:val="nil"/>
            </w:tcBorders>
            <w:shd w:val="clear" w:color="000000" w:fill="FFFFFF"/>
            <w:vAlign w:val="center"/>
          </w:tcPr>
          <w:p w14:paraId="7DA27CAD" w14:textId="185EE036" w:rsidR="00A14AF8" w:rsidRPr="006D631C" w:rsidRDefault="00A14AF8" w:rsidP="00A14AF8">
            <w:pPr>
              <w:spacing w:line="240" w:lineRule="auto"/>
              <w:jc w:val="left"/>
              <w:rPr>
                <w:color w:val="000000"/>
                <w:sz w:val="12"/>
                <w:szCs w:val="12"/>
              </w:rPr>
            </w:pPr>
            <w:r w:rsidRPr="006D631C">
              <w:rPr>
                <w:color w:val="000000"/>
                <w:sz w:val="12"/>
                <w:szCs w:val="12"/>
              </w:rPr>
              <w:t>M-1</w:t>
            </w:r>
          </w:p>
        </w:tc>
        <w:tc>
          <w:tcPr>
            <w:tcW w:w="850" w:type="dxa"/>
            <w:tcBorders>
              <w:top w:val="nil"/>
              <w:left w:val="nil"/>
              <w:bottom w:val="single" w:sz="4" w:space="0" w:color="auto"/>
              <w:right w:val="nil"/>
            </w:tcBorders>
            <w:shd w:val="clear" w:color="000000" w:fill="FFFFFF"/>
            <w:noWrap/>
            <w:vAlign w:val="center"/>
          </w:tcPr>
          <w:p w14:paraId="26A2B38A" w14:textId="0ACC44B9" w:rsidR="00A14AF8" w:rsidRPr="006D631C" w:rsidRDefault="00A14AF8" w:rsidP="00A14AF8">
            <w:pPr>
              <w:spacing w:line="240" w:lineRule="auto"/>
              <w:jc w:val="left"/>
              <w:rPr>
                <w:color w:val="000000"/>
                <w:sz w:val="12"/>
                <w:szCs w:val="12"/>
              </w:rPr>
            </w:pPr>
            <w:r w:rsidRPr="006D631C">
              <w:rPr>
                <w:color w:val="000000"/>
                <w:sz w:val="12"/>
                <w:szCs w:val="12"/>
              </w:rPr>
              <w:t>A-1</w:t>
            </w:r>
          </w:p>
        </w:tc>
        <w:tc>
          <w:tcPr>
            <w:tcW w:w="567" w:type="dxa"/>
            <w:tcBorders>
              <w:top w:val="nil"/>
              <w:left w:val="nil"/>
              <w:bottom w:val="single" w:sz="4" w:space="0" w:color="auto"/>
              <w:right w:val="nil"/>
            </w:tcBorders>
            <w:shd w:val="clear" w:color="000000" w:fill="FFFFFF"/>
            <w:vAlign w:val="center"/>
          </w:tcPr>
          <w:p w14:paraId="4ACE877B" w14:textId="59751D29" w:rsidR="00A14AF8" w:rsidRPr="006D631C" w:rsidRDefault="00A14AF8" w:rsidP="00A14AF8">
            <w:pPr>
              <w:spacing w:line="240" w:lineRule="auto"/>
              <w:jc w:val="left"/>
              <w:rPr>
                <w:color w:val="000000"/>
                <w:sz w:val="12"/>
                <w:szCs w:val="12"/>
              </w:rPr>
            </w:pPr>
            <w:r w:rsidRPr="006D631C">
              <w:rPr>
                <w:color w:val="000000"/>
                <w:sz w:val="12"/>
                <w:szCs w:val="12"/>
              </w:rPr>
              <w:t>C-1</w:t>
            </w:r>
          </w:p>
        </w:tc>
        <w:tc>
          <w:tcPr>
            <w:tcW w:w="709" w:type="dxa"/>
            <w:tcBorders>
              <w:top w:val="nil"/>
              <w:left w:val="nil"/>
              <w:bottom w:val="single" w:sz="4" w:space="0" w:color="auto"/>
              <w:right w:val="nil"/>
            </w:tcBorders>
            <w:shd w:val="clear" w:color="000000" w:fill="FFFFFF"/>
            <w:vAlign w:val="center"/>
          </w:tcPr>
          <w:p w14:paraId="7030450F" w14:textId="7CEC9152" w:rsidR="00A14AF8" w:rsidRPr="006D631C" w:rsidRDefault="00A14AF8" w:rsidP="00A14AF8">
            <w:pPr>
              <w:spacing w:line="240" w:lineRule="auto"/>
              <w:jc w:val="left"/>
              <w:rPr>
                <w:color w:val="000000"/>
                <w:sz w:val="12"/>
                <w:szCs w:val="12"/>
              </w:rPr>
            </w:pPr>
            <w:r w:rsidRPr="006D631C">
              <w:rPr>
                <w:color w:val="000000"/>
                <w:sz w:val="12"/>
                <w:szCs w:val="12"/>
              </w:rPr>
              <w:t>I-15</w:t>
            </w:r>
          </w:p>
        </w:tc>
        <w:tc>
          <w:tcPr>
            <w:tcW w:w="1134" w:type="dxa"/>
            <w:tcBorders>
              <w:top w:val="nil"/>
              <w:left w:val="nil"/>
              <w:bottom w:val="single" w:sz="4" w:space="0" w:color="auto"/>
              <w:right w:val="nil"/>
            </w:tcBorders>
            <w:shd w:val="clear" w:color="000000" w:fill="FFFFFF"/>
            <w:vAlign w:val="center"/>
          </w:tcPr>
          <w:p w14:paraId="06D64651" w14:textId="0E0724AE" w:rsidR="00A14AF8" w:rsidRPr="006D631C" w:rsidRDefault="00A14AF8" w:rsidP="00A14AF8">
            <w:pPr>
              <w:spacing w:line="240" w:lineRule="auto"/>
              <w:jc w:val="left"/>
              <w:rPr>
                <w:color w:val="000000"/>
                <w:sz w:val="12"/>
                <w:szCs w:val="12"/>
              </w:rPr>
            </w:pPr>
            <w:r w:rsidRPr="006D631C">
              <w:rPr>
                <w:color w:val="000000"/>
                <w:sz w:val="12"/>
                <w:szCs w:val="12"/>
              </w:rPr>
              <w:t>44.9 / 7 (Q</w:t>
            </w:r>
            <w:r w:rsidRPr="006D631C">
              <w:rPr>
                <w:rFonts w:ascii="Calibri" w:hAnsi="Calibri" w:cs="Calibri"/>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vAlign w:val="center"/>
          </w:tcPr>
          <w:p w14:paraId="65543A42" w14:textId="137EC8C7"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993" w:type="dxa"/>
            <w:tcBorders>
              <w:top w:val="nil"/>
              <w:left w:val="nil"/>
              <w:bottom w:val="single" w:sz="4" w:space="0" w:color="auto"/>
              <w:right w:val="nil"/>
            </w:tcBorders>
            <w:shd w:val="clear" w:color="000000" w:fill="FFFFFF"/>
            <w:noWrap/>
            <w:vAlign w:val="center"/>
          </w:tcPr>
          <w:p w14:paraId="6B4BF5F4" w14:textId="01E936C4"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5C2774C5" w14:textId="6AE6A0B8"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vAlign w:val="center"/>
          </w:tcPr>
          <w:p w14:paraId="4D04E9C3" w14:textId="5B23443B" w:rsidR="00A14AF8" w:rsidRPr="006D631C" w:rsidRDefault="00A14AF8" w:rsidP="00A14AF8">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Uniform microporous materials of arbitrary size and shape was produced</w:t>
            </w:r>
          </w:p>
        </w:tc>
        <w:tc>
          <w:tcPr>
            <w:tcW w:w="566" w:type="dxa"/>
            <w:tcBorders>
              <w:top w:val="nil"/>
              <w:left w:val="nil"/>
              <w:bottom w:val="single" w:sz="4" w:space="0" w:color="auto"/>
              <w:right w:val="nil"/>
            </w:tcBorders>
            <w:shd w:val="clear" w:color="000000" w:fill="FFFFFF"/>
            <w:noWrap/>
            <w:vAlign w:val="center"/>
          </w:tcPr>
          <w:p w14:paraId="5088B02F" w14:textId="5D6A5F2F" w:rsidR="00A14AF8" w:rsidRPr="006D631C" w:rsidRDefault="00A14AF8"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{"citationItems":[{"id":"ITEM-1","itemData":{"DOI":"10.1021/bk-1989-0384.ch013","ISBN":"9780841215610","author":[{"dropping-particle":"","family":"Anderson","given":"David M.","non-dropping-particle":"","parse-names":false,"suffix":""},{"dropping-particle":"","family":"Ström","given":"Pelle","non-dropping-particle":"","parse-names":false,"suffix":""}],"id":"ITEM-1","issued":{"date-parts":[["1989","12","30"]]},"page":"204-224","publisher":"ACS Symposium Series","title":"Polymerization of Lyotropic Liquid Crystals","type":"chapter"},"uris":["http://www.mendeley.com/documents/?uuid=e35fdacf-78aa-4fe8-9ea7-fa8265e4c084"]}],"mendeley":{"formattedCitation":"&lt;sup&gt;151&lt;/sup&gt;","plainTextFormattedCitation":"151","previouslyFormattedCitation":"&lt;sup&gt;151&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151</w:t>
            </w:r>
            <w:r w:rsidRPr="006D631C">
              <w:rPr>
                <w:color w:val="000000"/>
                <w:sz w:val="12"/>
                <w:szCs w:val="12"/>
              </w:rPr>
              <w:fldChar w:fldCharType="end"/>
            </w:r>
          </w:p>
        </w:tc>
      </w:tr>
      <w:tr w:rsidR="00A14AF8" w:rsidRPr="006D631C" w14:paraId="7CE865EC" w14:textId="77777777" w:rsidTr="007D350B">
        <w:trPr>
          <w:trHeight w:val="20"/>
        </w:trPr>
        <w:tc>
          <w:tcPr>
            <w:tcW w:w="851" w:type="dxa"/>
            <w:vMerge/>
            <w:tcBorders>
              <w:top w:val="nil"/>
              <w:left w:val="nil"/>
              <w:bottom w:val="single" w:sz="4" w:space="0" w:color="000000"/>
              <w:right w:val="nil"/>
            </w:tcBorders>
            <w:vAlign w:val="center"/>
          </w:tcPr>
          <w:p w14:paraId="5A38DF3B" w14:textId="77777777" w:rsidR="00A14AF8" w:rsidRPr="006D631C" w:rsidRDefault="00A14AF8" w:rsidP="00A14AF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5E18DD6C" w14:textId="1A8FF86B" w:rsidR="00A14AF8" w:rsidRPr="006D631C" w:rsidRDefault="00A14AF8" w:rsidP="00A14AF8">
            <w:pPr>
              <w:spacing w:line="240" w:lineRule="auto"/>
              <w:jc w:val="left"/>
              <w:rPr>
                <w:color w:val="000000"/>
                <w:sz w:val="12"/>
                <w:szCs w:val="12"/>
              </w:rPr>
            </w:pPr>
            <w:r w:rsidRPr="006D631C">
              <w:rPr>
                <w:color w:val="000000"/>
                <w:sz w:val="12"/>
                <w:szCs w:val="12"/>
              </w:rPr>
              <w:t>A-1</w:t>
            </w:r>
          </w:p>
        </w:tc>
        <w:tc>
          <w:tcPr>
            <w:tcW w:w="567" w:type="dxa"/>
            <w:tcBorders>
              <w:top w:val="nil"/>
              <w:left w:val="nil"/>
              <w:bottom w:val="single" w:sz="4" w:space="0" w:color="auto"/>
              <w:right w:val="nil"/>
            </w:tcBorders>
            <w:shd w:val="clear" w:color="000000" w:fill="FFFFFF"/>
            <w:vAlign w:val="center"/>
          </w:tcPr>
          <w:p w14:paraId="7AF36DB8" w14:textId="2039DDA4"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67C524DA" w14:textId="66F89BF7" w:rsidR="00A14AF8" w:rsidRPr="006D631C" w:rsidRDefault="00A14AF8" w:rsidP="00A14AF8">
            <w:pPr>
              <w:spacing w:line="240" w:lineRule="auto"/>
              <w:jc w:val="left"/>
              <w:rPr>
                <w:color w:val="000000"/>
                <w:sz w:val="12"/>
                <w:szCs w:val="12"/>
              </w:rPr>
            </w:pPr>
            <w:r w:rsidRPr="006D631C">
              <w:rPr>
                <w:color w:val="000000"/>
                <w:sz w:val="12"/>
                <w:szCs w:val="12"/>
              </w:rPr>
              <w:t>I-15 / UV</w:t>
            </w:r>
          </w:p>
        </w:tc>
        <w:tc>
          <w:tcPr>
            <w:tcW w:w="1134" w:type="dxa"/>
            <w:tcBorders>
              <w:top w:val="nil"/>
              <w:left w:val="nil"/>
              <w:bottom w:val="single" w:sz="4" w:space="0" w:color="auto"/>
              <w:right w:val="nil"/>
            </w:tcBorders>
            <w:shd w:val="clear" w:color="000000" w:fill="FFFFFF"/>
            <w:noWrap/>
            <w:vAlign w:val="center"/>
          </w:tcPr>
          <w:p w14:paraId="1123A686" w14:textId="4DAA2EEB" w:rsidR="00A14AF8" w:rsidRPr="006D631C" w:rsidRDefault="00A14AF8" w:rsidP="00A14AF8">
            <w:pPr>
              <w:spacing w:line="240" w:lineRule="auto"/>
              <w:jc w:val="left"/>
              <w:rPr>
                <w:color w:val="000000"/>
                <w:sz w:val="12"/>
                <w:szCs w:val="12"/>
              </w:rPr>
            </w:pPr>
            <w:r w:rsidRPr="006D631C">
              <w:rPr>
                <w:color w:val="000000"/>
                <w:sz w:val="12"/>
                <w:szCs w:val="12"/>
              </w:rPr>
              <w:t>42.66-64.32 / 7.23-19.81 (Q</w:t>
            </w:r>
            <w:r w:rsidRPr="006D631C">
              <w:rPr>
                <w:rFonts w:ascii="Calibri" w:hAnsi="Calibri" w:cs="Calibri"/>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vAlign w:val="center"/>
          </w:tcPr>
          <w:p w14:paraId="1FB828AA" w14:textId="2CB0906F" w:rsidR="00A14AF8" w:rsidRPr="006D631C" w:rsidRDefault="00A14AF8" w:rsidP="00A14AF8">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76FCCE42" w14:textId="0CA1B7C9" w:rsidR="00A14AF8" w:rsidRPr="006D631C" w:rsidRDefault="00A14AF8" w:rsidP="00A14AF8">
            <w:pPr>
              <w:spacing w:line="240" w:lineRule="auto"/>
              <w:jc w:val="left"/>
              <w:rPr>
                <w:color w:val="000000"/>
                <w:sz w:val="12"/>
                <w:szCs w:val="12"/>
              </w:rPr>
            </w:pPr>
            <w:r w:rsidRPr="006D631C">
              <w:rPr>
                <w:color w:val="000000"/>
                <w:sz w:val="12"/>
                <w:szCs w:val="12"/>
              </w:rPr>
              <w:t>6.01 - 10.017</w:t>
            </w:r>
          </w:p>
        </w:tc>
        <w:tc>
          <w:tcPr>
            <w:tcW w:w="1134" w:type="dxa"/>
            <w:tcBorders>
              <w:top w:val="nil"/>
              <w:left w:val="nil"/>
              <w:bottom w:val="single" w:sz="4" w:space="0" w:color="auto"/>
              <w:right w:val="nil"/>
            </w:tcBorders>
            <w:shd w:val="clear" w:color="000000" w:fill="FFFFFF"/>
            <w:noWrap/>
            <w:vAlign w:val="center"/>
          </w:tcPr>
          <w:p w14:paraId="5B81A546" w14:textId="33145C1B" w:rsidR="00A14AF8" w:rsidRPr="006D631C" w:rsidRDefault="00A14AF8" w:rsidP="00A14AF8">
            <w:pPr>
              <w:spacing w:line="240" w:lineRule="auto"/>
              <w:jc w:val="left"/>
              <w:rPr>
                <w:color w:val="000000"/>
                <w:sz w:val="12"/>
                <w:szCs w:val="12"/>
              </w:rPr>
            </w:pPr>
            <w:r w:rsidRPr="006D631C">
              <w:rPr>
                <w:color w:val="000000"/>
                <w:sz w:val="12"/>
                <w:szCs w:val="12"/>
              </w:rPr>
              <w:t>Remained almost unchanged</w:t>
            </w:r>
          </w:p>
        </w:tc>
        <w:tc>
          <w:tcPr>
            <w:tcW w:w="5103" w:type="dxa"/>
            <w:tcBorders>
              <w:top w:val="nil"/>
              <w:left w:val="nil"/>
              <w:bottom w:val="single" w:sz="4" w:space="0" w:color="auto"/>
              <w:right w:val="nil"/>
            </w:tcBorders>
            <w:shd w:val="clear" w:color="000000" w:fill="FFFFFF"/>
            <w:noWrap/>
            <w:vAlign w:val="center"/>
          </w:tcPr>
          <w:p w14:paraId="40C927E9" w14:textId="77777777" w:rsidR="00A14AF8" w:rsidRPr="006D631C" w:rsidRDefault="00A14AF8" w:rsidP="00A14AF8">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C-1 was also used as monomer instead of M-1 to increase the cross-linking density</w:t>
            </w:r>
          </w:p>
          <w:p w14:paraId="17AE4C78" w14:textId="24C55135" w:rsidR="00A14AF8" w:rsidRPr="006D631C" w:rsidRDefault="00A14AF8" w:rsidP="00A14AF8">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Q</w:t>
            </w:r>
            <w:r w:rsidRPr="006D631C">
              <w:rPr>
                <w:rFonts w:ascii="Calibri" w:eastAsia="Times New Roman" w:hAnsi="Calibri" w:cs="Calibri"/>
                <w:color w:val="000000"/>
                <w:sz w:val="12"/>
                <w:szCs w:val="12"/>
                <w:vertAlign w:val="subscript"/>
              </w:rPr>
              <w:t>α</w:t>
            </w:r>
            <w:r w:rsidRPr="006D631C">
              <w:rPr>
                <w:rFonts w:eastAsia="Times New Roman" w:cs="Times New Roman"/>
                <w:color w:val="000000"/>
                <w:sz w:val="12"/>
                <w:szCs w:val="12"/>
              </w:rPr>
              <w:t xml:space="preserve"> structure was obtained in surfactant/oil ratio of  30.43 / 4.99  for C-1</w:t>
            </w:r>
          </w:p>
        </w:tc>
        <w:tc>
          <w:tcPr>
            <w:tcW w:w="566" w:type="dxa"/>
            <w:tcBorders>
              <w:top w:val="nil"/>
              <w:left w:val="nil"/>
              <w:bottom w:val="single" w:sz="4" w:space="0" w:color="auto"/>
              <w:right w:val="nil"/>
            </w:tcBorders>
            <w:shd w:val="clear" w:color="000000" w:fill="FFFFFF"/>
            <w:noWrap/>
            <w:vAlign w:val="center"/>
          </w:tcPr>
          <w:p w14:paraId="14B84980" w14:textId="2E6DBFC9" w:rsidR="00A14AF8" w:rsidRPr="006D631C" w:rsidRDefault="00A14AF8" w:rsidP="00A14AF8">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{"citationItems":[{"id":"ITEM-1","itemData":{"DOI":"10.1021/la00038a065","ISSN":"15205827","abstract":"The determination of five separate one-phase regions, corresponding to five distinct bicontinuous cubic phase microstructures, in the phase diagram of DDAB (didodecyldimethylammonium bromide)-waterstyrene at 20 °C, provides a unique opportunity to study progressions between distinct cubic phases. A thorough phase behavior study of this region is reported, involving hundreds of samples and aided by the NMR self-diffusion technique and small-angle X-ray scattering (SAXS) technique. Two-phase samples have been found in each of the four two-phase regions separating these different monophasic regions, as well as the required three-phase samples involving cubic, lamellar, water-rich, and microemulsion phases. The structural sequence for the four cubic regions starting at lowest water content and increasing, identified by reference to the minimal surface dividing the infinitely connected bilayer, is proposed to be G (Ia3d) → D (Pn3m) → P (Im3m) → C(P) (Im3m) (Neovius' surface). The structure of the fifth cubic phase is unknown, but it is shown that the minimal surface describing this structure has a low value of γ = -(2/π)(S/V2/3)3/XE, more specifically γ &lt; 1.7 and probably γ &lt; 1.5, where the dimensionless area and the Euler characteristic are measured over any representative patch of surface. We conjecture that the “C(D)” minimal surface describes this cubic phase. A free energy theory based on surfactant chain lengths and head group areas gives qualitative agreement with the observed phase boundaries and with lattice parameters reported in the literature with cyclohexane and octane as hydrophobe. This progression can also be qualitatively understood in terms of simple arguments focusing on the mean curvature of the polar-apolar interface and does not require the introduction of a second curvature free energy contribution such as a Gaussian curvature term; a more precise interpretation is that the mean curvature term far outweighs the “difference curvature” term. The same two theoretical approaches also explain the strong slope of the phase boundaries with respect to the lines of constant waiter content, the “slowing down” of the lattice parameter increase as the phase boundaries are approached, and the tell-tale jump in the monolayer mean curvature across each of the two-phase regions. The water self-diffusion rate plotted as a function of water volume fraction falls on five curves corresponding to the five one-phase regions, with discontinuities at the phas…","author":[{"dropping-particle":"","family":"Ström","given":"Pelle","non-dropping-particle":"","parse-names":false,"suffix":""},{"dropping-particle":"","family":"Anderson","given":"David M.","non-dropping-particle":"","parse-names":false,"suffix":""}],"container-title":"Langmuir","id":"ITEM-1","issue":"2","issued":{"date-parts":[["1992"]]},"page":"691-709","title":"The Cubic Phase Region in the System Didodecyldimethylammonium Bromide-Water-Styrene","type":"article-journal","volume":"8"},"uris":["http://www.mendeley.com/documents/?uuid=2d5adf0f-e14e-4b98-9688-13e88e40a84c"]}],"mendeley":{"formattedCitation":"&lt;sup&gt;54&lt;/sup&gt;","plainTextFormattedCitation":"54","previouslyFormattedCitation":"&lt;sup&gt;54&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54</w:t>
            </w:r>
            <w:r w:rsidRPr="006D631C">
              <w:rPr>
                <w:color w:val="000000"/>
                <w:sz w:val="12"/>
                <w:szCs w:val="12"/>
              </w:rPr>
              <w:fldChar w:fldCharType="end"/>
            </w:r>
          </w:p>
        </w:tc>
      </w:tr>
      <w:tr w:rsidR="00A14AF8" w:rsidRPr="006D631C" w14:paraId="005996D8" w14:textId="77777777" w:rsidTr="007D350B">
        <w:trPr>
          <w:trHeight w:val="20"/>
        </w:trPr>
        <w:tc>
          <w:tcPr>
            <w:tcW w:w="851" w:type="dxa"/>
            <w:vMerge/>
            <w:tcBorders>
              <w:top w:val="nil"/>
              <w:left w:val="nil"/>
              <w:bottom w:val="single" w:sz="4" w:space="0" w:color="000000"/>
              <w:right w:val="nil"/>
            </w:tcBorders>
            <w:vAlign w:val="center"/>
          </w:tcPr>
          <w:p w14:paraId="619F2F89" w14:textId="77777777" w:rsidR="00A14AF8" w:rsidRPr="006D631C" w:rsidRDefault="00A14AF8" w:rsidP="00A14AF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7A9B184D" w14:textId="6A844631" w:rsidR="00A14AF8" w:rsidRPr="006D631C" w:rsidRDefault="00A14AF8" w:rsidP="00A14AF8">
            <w:pPr>
              <w:spacing w:line="240" w:lineRule="auto"/>
              <w:jc w:val="left"/>
              <w:rPr>
                <w:color w:val="000000"/>
                <w:sz w:val="12"/>
                <w:szCs w:val="12"/>
              </w:rPr>
            </w:pPr>
            <w:r w:rsidRPr="006D631C">
              <w:rPr>
                <w:color w:val="000000"/>
                <w:sz w:val="12"/>
                <w:szCs w:val="12"/>
              </w:rPr>
              <w:t>A-2</w:t>
            </w:r>
          </w:p>
        </w:tc>
        <w:tc>
          <w:tcPr>
            <w:tcW w:w="567" w:type="dxa"/>
            <w:tcBorders>
              <w:top w:val="nil"/>
              <w:left w:val="nil"/>
              <w:bottom w:val="single" w:sz="4" w:space="0" w:color="auto"/>
              <w:right w:val="nil"/>
            </w:tcBorders>
            <w:shd w:val="clear" w:color="000000" w:fill="FFFFFF"/>
            <w:vAlign w:val="center"/>
          </w:tcPr>
          <w:p w14:paraId="2B002EB2" w14:textId="6F85C27B"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410C2BB8" w14:textId="7982CC1C" w:rsidR="00A14AF8" w:rsidRPr="006D631C" w:rsidRDefault="00A14AF8" w:rsidP="00A14AF8">
            <w:pPr>
              <w:spacing w:line="240" w:lineRule="auto"/>
              <w:jc w:val="left"/>
              <w:rPr>
                <w:color w:val="000000"/>
                <w:sz w:val="12"/>
                <w:szCs w:val="12"/>
              </w:rPr>
            </w:pPr>
            <w:r w:rsidRPr="006D631C">
              <w:rPr>
                <w:color w:val="000000"/>
                <w:sz w:val="12"/>
                <w:szCs w:val="12"/>
              </w:rPr>
              <w:t>I-15</w:t>
            </w:r>
          </w:p>
        </w:tc>
        <w:tc>
          <w:tcPr>
            <w:tcW w:w="1134" w:type="dxa"/>
            <w:tcBorders>
              <w:top w:val="nil"/>
              <w:left w:val="nil"/>
              <w:bottom w:val="single" w:sz="4" w:space="0" w:color="auto"/>
              <w:right w:val="nil"/>
            </w:tcBorders>
            <w:shd w:val="clear" w:color="000000" w:fill="FFFFFF"/>
            <w:vAlign w:val="center"/>
          </w:tcPr>
          <w:p w14:paraId="0AF60F82" w14:textId="0C8A7DAB" w:rsidR="00A14AF8" w:rsidRPr="006D631C" w:rsidRDefault="00A14AF8" w:rsidP="00A14AF8">
            <w:pPr>
              <w:spacing w:line="240" w:lineRule="auto"/>
              <w:jc w:val="left"/>
              <w:rPr>
                <w:color w:val="000000"/>
                <w:sz w:val="12"/>
                <w:szCs w:val="12"/>
              </w:rPr>
            </w:pPr>
            <w:r w:rsidRPr="006D631C">
              <w:rPr>
                <w:color w:val="000000"/>
                <w:sz w:val="12"/>
                <w:szCs w:val="12"/>
              </w:rPr>
              <w:t>19.4 - 37.5  / 3.2 - 6.2 (Q</w:t>
            </w:r>
            <w:r w:rsidRPr="006D631C">
              <w:rPr>
                <w:rFonts w:ascii="Calibri" w:hAnsi="Calibri" w:cs="Calibri"/>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vAlign w:val="center"/>
          </w:tcPr>
          <w:p w14:paraId="1CBDA3A7" w14:textId="2F1E5997" w:rsidR="00A14AF8" w:rsidRPr="006D631C" w:rsidRDefault="00A14AF8" w:rsidP="00A14AF8">
            <w:pPr>
              <w:spacing w:line="240" w:lineRule="auto"/>
              <w:jc w:val="left"/>
              <w:rPr>
                <w:color w:val="000000"/>
                <w:sz w:val="12"/>
                <w:szCs w:val="12"/>
              </w:rPr>
            </w:pPr>
            <w:r w:rsidRPr="006D631C">
              <w:rPr>
                <w:color w:val="000000"/>
                <w:sz w:val="12"/>
                <w:szCs w:val="12"/>
              </w:rPr>
              <w:t>Q</w:t>
            </w:r>
            <w:r w:rsidRPr="006D631C">
              <w:rPr>
                <w:rFonts w:ascii="Calibri" w:hAnsi="Calibri" w:cs="Calibri"/>
                <w:color w:val="000000"/>
                <w:sz w:val="12"/>
                <w:szCs w:val="12"/>
                <w:vertAlign w:val="subscript"/>
              </w:rPr>
              <w:t>α</w:t>
            </w:r>
            <w:r w:rsidRPr="006D631C">
              <w:rPr>
                <w:color w:val="000000"/>
                <w:sz w:val="12"/>
                <w:szCs w:val="12"/>
              </w:rPr>
              <w:t xml:space="preserve"> changed to L</w:t>
            </w:r>
            <w:r w:rsidRPr="006D631C">
              <w:rPr>
                <w:color w:val="000000"/>
                <w:sz w:val="12"/>
                <w:szCs w:val="12"/>
                <w:vertAlign w:val="subscript"/>
              </w:rPr>
              <w:t>α</w:t>
            </w:r>
          </w:p>
        </w:tc>
        <w:tc>
          <w:tcPr>
            <w:tcW w:w="993" w:type="dxa"/>
            <w:tcBorders>
              <w:top w:val="nil"/>
              <w:left w:val="nil"/>
              <w:bottom w:val="single" w:sz="4" w:space="0" w:color="auto"/>
              <w:right w:val="nil"/>
            </w:tcBorders>
            <w:shd w:val="clear" w:color="000000" w:fill="FFFFFF"/>
            <w:noWrap/>
            <w:vAlign w:val="center"/>
          </w:tcPr>
          <w:p w14:paraId="323C04B3" w14:textId="3A5FD145" w:rsidR="00A14AF8" w:rsidRPr="006D631C" w:rsidRDefault="00A14AF8" w:rsidP="00A14AF8">
            <w:pPr>
              <w:spacing w:line="240" w:lineRule="auto"/>
              <w:jc w:val="left"/>
              <w:rPr>
                <w:color w:val="000000"/>
                <w:sz w:val="12"/>
                <w:szCs w:val="12"/>
              </w:rPr>
            </w:pPr>
            <w:r w:rsidRPr="006D631C">
              <w:rPr>
                <w:color w:val="000000"/>
                <w:sz w:val="12"/>
                <w:szCs w:val="12"/>
              </w:rPr>
              <w:t>9.4 - 18.8</w:t>
            </w:r>
          </w:p>
        </w:tc>
        <w:tc>
          <w:tcPr>
            <w:tcW w:w="1134" w:type="dxa"/>
            <w:tcBorders>
              <w:top w:val="nil"/>
              <w:left w:val="nil"/>
              <w:bottom w:val="single" w:sz="4" w:space="0" w:color="auto"/>
              <w:right w:val="nil"/>
            </w:tcBorders>
            <w:shd w:val="clear" w:color="000000" w:fill="FFFFFF"/>
            <w:vAlign w:val="center"/>
          </w:tcPr>
          <w:p w14:paraId="438D285C" w14:textId="08EC0EA0" w:rsidR="00A14AF8" w:rsidRPr="006D631C" w:rsidRDefault="00A14AF8" w:rsidP="00A14AF8">
            <w:pPr>
              <w:spacing w:line="240" w:lineRule="auto"/>
              <w:jc w:val="left"/>
              <w:rPr>
                <w:color w:val="000000"/>
                <w:sz w:val="12"/>
                <w:szCs w:val="12"/>
              </w:rPr>
            </w:pPr>
            <w:r w:rsidRPr="006D631C">
              <w:rPr>
                <w:color w:val="000000"/>
                <w:sz w:val="12"/>
                <w:szCs w:val="12"/>
              </w:rPr>
              <w:t>8.4 - 14.2</w:t>
            </w:r>
          </w:p>
        </w:tc>
        <w:tc>
          <w:tcPr>
            <w:tcW w:w="5103" w:type="dxa"/>
            <w:tcBorders>
              <w:top w:val="nil"/>
              <w:left w:val="nil"/>
              <w:bottom w:val="single" w:sz="4" w:space="0" w:color="auto"/>
              <w:right w:val="nil"/>
            </w:tcBorders>
            <w:shd w:val="clear" w:color="000000" w:fill="FFFFFF"/>
            <w:vAlign w:val="center"/>
          </w:tcPr>
          <w:p w14:paraId="000A9E40" w14:textId="7AAD1AEE" w:rsidR="00A14AF8" w:rsidRPr="006D631C" w:rsidRDefault="00A14AF8" w:rsidP="00A14AF8">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Phase separation  was observed between polymer and the template</w:t>
            </w:r>
          </w:p>
        </w:tc>
        <w:tc>
          <w:tcPr>
            <w:tcW w:w="566" w:type="dxa"/>
            <w:tcBorders>
              <w:top w:val="nil"/>
              <w:left w:val="nil"/>
              <w:bottom w:val="single" w:sz="4" w:space="0" w:color="auto"/>
              <w:right w:val="nil"/>
            </w:tcBorders>
            <w:shd w:val="clear" w:color="000000" w:fill="FFFFFF"/>
            <w:vAlign w:val="center"/>
          </w:tcPr>
          <w:p w14:paraId="3265A437" w14:textId="2EEB33E3" w:rsidR="00A14AF8" w:rsidRPr="006D631C" w:rsidRDefault="00A14AF8"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{"citationItems":[{"id":"ITEM-1","itemData":{"DOI":"10.1007/s003960000382","ISSN":"0303402X","abstract":"The polymerisation of styrene in lyotropic liquid-crystalline (LC) phases of dioctadecyldimethylammonium bromide (DODAB) in water is explored. Amphiphile concentrations between 20 and 50 wt % are employed. The study is set out as a model study for polymerisation reactions in nonstabilised, nonfunctional bilayer systems. X-ray characterisation was used to assess the phase behaviour of the lyotropic mesophases before, during and after polymerisation. The DODAB/water system forms the lamellar phase within the concentration range considered. Addition of styrene to the lamellar phase of DODAB at an equimolar ratio induces a phase shift to a bicontinuous cubic phase at elevated temperatures near the phase-transition temperature. Upon polymerisation within this cubic phase, the phase structure is maintained if the system is kept at constant temperature; however, if the polymer/amphiphile phase is cooled, the lamellar phase, being typical of the DODAB/water system, is restored. It is concluded that, as a result of phase separation between the polymer and the amphiphile phase, the polymerisation in lyotropic LC phases does not provide a stable copy of the templating amphiphile phase. This is in analogy to the observations for polymerisations in other lyotropic phases.","author":[{"dropping-particle":"","family":"Jung","given":"M.","non-dropping-particle":"","parse-names":false,"suffix":""},{"dropping-particle":"","family":"German","given":"A. L.","non-dropping-particle":"","parse-names":false,"suffix":""},{"dropping-particle":"","family":"Fischer","given":"H. R.","non-dropping-particle":"","parse-names":false,"suffix":""}],"container-title":"Colloid and Polymer Science","id":"ITEM-1","issue":"2","issued":{"date-parts":[["2001"]]},"page":"105-113","title":"Polymerisation in lyotropic liquid-crystalline phases of dioctadecyldimethylammonium bromide","type":"article-journal","volume":"279"},"uris":["http://www.mendeley.com/documents/?uuid=696234bb-8ae6-4ecd-883f-b3d45015813d"]}],"mendeley":{"formattedCitation":"&lt;sup&gt;152&lt;/sup&gt;","plainTextFormattedCitation":"152","previouslyFormattedCitation":"&lt;sup&gt;152&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152</w:t>
            </w:r>
            <w:r w:rsidRPr="006D631C">
              <w:rPr>
                <w:color w:val="000000"/>
                <w:sz w:val="12"/>
                <w:szCs w:val="12"/>
              </w:rPr>
              <w:fldChar w:fldCharType="end"/>
            </w:r>
          </w:p>
        </w:tc>
      </w:tr>
      <w:tr w:rsidR="00A14AF8" w:rsidRPr="006D631C" w14:paraId="5376BDCE" w14:textId="77777777" w:rsidTr="007D350B">
        <w:trPr>
          <w:trHeight w:val="20"/>
        </w:trPr>
        <w:tc>
          <w:tcPr>
            <w:tcW w:w="851" w:type="dxa"/>
            <w:vMerge/>
            <w:tcBorders>
              <w:top w:val="nil"/>
              <w:left w:val="nil"/>
              <w:bottom w:val="single" w:sz="4" w:space="0" w:color="000000"/>
              <w:right w:val="nil"/>
            </w:tcBorders>
            <w:vAlign w:val="center"/>
          </w:tcPr>
          <w:p w14:paraId="29EB98BB" w14:textId="77777777" w:rsidR="00A14AF8" w:rsidRPr="006D631C" w:rsidRDefault="00A14AF8" w:rsidP="00A14AF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58447FEE" w14:textId="29DD4FE0" w:rsidR="00A14AF8" w:rsidRPr="006D631C" w:rsidRDefault="00A14AF8" w:rsidP="00A14AF8">
            <w:pPr>
              <w:spacing w:line="240" w:lineRule="auto"/>
              <w:jc w:val="left"/>
              <w:rPr>
                <w:color w:val="000000"/>
                <w:sz w:val="12"/>
                <w:szCs w:val="12"/>
              </w:rPr>
            </w:pPr>
            <w:r w:rsidRPr="006D631C">
              <w:rPr>
                <w:color w:val="000000"/>
                <w:sz w:val="12"/>
                <w:szCs w:val="12"/>
              </w:rPr>
              <w:t>A-17</w:t>
            </w:r>
          </w:p>
        </w:tc>
        <w:tc>
          <w:tcPr>
            <w:tcW w:w="567" w:type="dxa"/>
            <w:tcBorders>
              <w:top w:val="nil"/>
              <w:left w:val="nil"/>
              <w:bottom w:val="single" w:sz="4" w:space="0" w:color="auto"/>
              <w:right w:val="nil"/>
            </w:tcBorders>
            <w:shd w:val="clear" w:color="000000" w:fill="FFFFFF"/>
            <w:vAlign w:val="center"/>
          </w:tcPr>
          <w:p w14:paraId="56ECAE0B" w14:textId="2A4E0809"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50DDBB01" w14:textId="0E971BF0"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655BFB7D" w14:textId="62D7661F" w:rsidR="00A14AF8" w:rsidRPr="006D631C" w:rsidRDefault="00A14AF8" w:rsidP="00A14AF8">
            <w:pPr>
              <w:spacing w:line="240" w:lineRule="auto"/>
              <w:jc w:val="left"/>
              <w:rPr>
                <w:color w:val="000000"/>
                <w:sz w:val="12"/>
                <w:szCs w:val="12"/>
              </w:rPr>
            </w:pPr>
            <w:r w:rsidRPr="006D631C">
              <w:rPr>
                <w:color w:val="000000"/>
                <w:sz w:val="12"/>
                <w:szCs w:val="12"/>
              </w:rPr>
              <w:t>50 / 33 (H</w:t>
            </w:r>
            <w:r w:rsidRPr="006D631C">
              <w:rPr>
                <w:color w:val="000000"/>
                <w:sz w:val="12"/>
                <w:szCs w:val="12"/>
                <w:vertAlign w:val="subscript"/>
              </w:rPr>
              <w:t>1</w:t>
            </w:r>
            <w:r w:rsidRPr="006D631C">
              <w:rPr>
                <w:color w:val="000000"/>
                <w:sz w:val="12"/>
                <w:szCs w:val="12"/>
              </w:rPr>
              <w:t>)</w:t>
            </w:r>
            <w:r w:rsidRPr="006D631C">
              <w:rPr>
                <w:color w:val="000000"/>
                <w:sz w:val="12"/>
                <w:szCs w:val="12"/>
              </w:rPr>
              <w:br/>
              <w:t>63 / 16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14CBDA5B" w14:textId="62F9B955" w:rsidR="00A14AF8" w:rsidRPr="006D631C" w:rsidRDefault="00A14AF8" w:rsidP="00A14AF8">
            <w:pPr>
              <w:spacing w:line="240" w:lineRule="auto"/>
              <w:jc w:val="left"/>
              <w:rPr>
                <w:color w:val="000000"/>
                <w:sz w:val="12"/>
                <w:szCs w:val="12"/>
              </w:rPr>
            </w:pP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changed to L</w:t>
            </w:r>
            <w:r w:rsidRPr="006D631C">
              <w:rPr>
                <w:color w:val="000000"/>
                <w:sz w:val="12"/>
                <w:szCs w:val="12"/>
                <w:vertAlign w:val="subscript"/>
              </w:rPr>
              <w:t>α</w:t>
            </w:r>
            <w:r w:rsidRPr="006D631C">
              <w:rPr>
                <w:color w:val="000000"/>
                <w:sz w:val="12"/>
                <w:szCs w:val="12"/>
              </w:rPr>
              <w:br/>
              <w:t>Disordered L</w:t>
            </w:r>
            <w:r w:rsidRPr="006D631C">
              <w:rPr>
                <w:color w:val="000000"/>
                <w:sz w:val="12"/>
                <w:szCs w:val="12"/>
                <w:vertAlign w:val="subscript"/>
              </w:rPr>
              <w:t>α</w:t>
            </w:r>
            <w:r w:rsidRPr="006D631C">
              <w:rPr>
                <w:color w:val="000000"/>
                <w:sz w:val="12"/>
                <w:szCs w:val="12"/>
              </w:rPr>
              <w:t xml:space="preserve"> </w:t>
            </w:r>
          </w:p>
        </w:tc>
        <w:tc>
          <w:tcPr>
            <w:tcW w:w="993" w:type="dxa"/>
            <w:tcBorders>
              <w:top w:val="nil"/>
              <w:left w:val="nil"/>
              <w:bottom w:val="single" w:sz="4" w:space="0" w:color="auto"/>
              <w:right w:val="nil"/>
            </w:tcBorders>
            <w:shd w:val="clear" w:color="000000" w:fill="FFFFFF"/>
            <w:noWrap/>
            <w:vAlign w:val="center"/>
          </w:tcPr>
          <w:p w14:paraId="6B8496C5" w14:textId="2147EE56"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5898E8DE" w14:textId="5F8F27C4"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7D2A7CAA" w14:textId="3BFCA878" w:rsidR="00A14AF8" w:rsidRPr="006D631C" w:rsidRDefault="00672B7D" w:rsidP="00672B7D">
            <w:pPr>
              <w:spacing w:line="240" w:lineRule="auto"/>
              <w:jc w:val="left"/>
              <w:rPr>
                <w:color w:val="000000"/>
                <w:sz w:val="12"/>
                <w:szCs w:val="12"/>
              </w:rPr>
            </w:pPr>
            <w:r w:rsidRPr="006D631C">
              <w:rPr>
                <w:color w:val="000000"/>
                <w:sz w:val="12"/>
                <w:szCs w:val="12"/>
              </w:rPr>
              <w:t>-</w:t>
            </w:r>
          </w:p>
        </w:tc>
        <w:tc>
          <w:tcPr>
            <w:tcW w:w="566" w:type="dxa"/>
            <w:tcBorders>
              <w:top w:val="nil"/>
              <w:left w:val="nil"/>
              <w:bottom w:val="single" w:sz="4" w:space="0" w:color="auto"/>
              <w:right w:val="nil"/>
            </w:tcBorders>
            <w:shd w:val="clear" w:color="000000" w:fill="FFFFFF"/>
            <w:vAlign w:val="center"/>
          </w:tcPr>
          <w:p w14:paraId="61FD74CD" w14:textId="60308671" w:rsidR="00A14AF8" w:rsidRPr="006D631C" w:rsidRDefault="00A14AF8"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{"citationItems":[{"id":"ITEM-1","itemData":{"DOI":"10.1002/bbpc.19971011130","ISSN":"0940483X","abstract":"The synthesis of fine polymer latices and ordered polymer gels by polymerization in microemulsions and lyotropic mesophases is described. For this purpose, a new class of surfactants based on the coupling of cetyl trimethylammonium groups with organic counterions was developed. Interface activity, critical micelle concentration as well as lyotropic liquid crystalline phase behavior of these surfactants were investigated, and very high efficiency and high phase stability was found. Systems optimized such do not only allow the synthesis of very small polymer latices (Rh≥7.5 nm) in reverse systems, but also the generation of gels with lamellar order. Due to the occurrence of phase transitions during polymerization, direct templating of the original lyotropic phase by the polymer gel is prevented, but the final polymer gels are highly ordered and reflect some of the characteristics of the surfactant template. © WILEY-VCH Verlag GmbH, 1997.","author":[{"dropping-particle":"","family":"Hentze","given":"Hans Peter","non-dropping-particle":"","parse-names":false,"suffix":""},{"dropping-particle":"","family":"Göltner","given":"Christine G.","non-dropping-particle":"","parse-names":false,"suffix":""},{"dropping-particle":"","family":"Antonietti","given":"Markus","non-dropping-particle":"","parse-names":false,"suffix":""}],"container-title":"Berichte der Bunsengesellschaft/Physical Chemistry Chemical Physics","id":"ITEM-1","issue":"11","issued":{"date-parts":[["1997"]]},"page":"1699-1702","title":"Synthesis of organic polymer gels in microemulsions and lyotropic mesophases","type":"article-journal","volume":"101"},"uris":["http://www.mendeley.com/documents/?uuid=84f97a65-8cfe-4c7b-b1c4-5ea5f3c790bd"]}],"mendeley":{"formattedCitation":"&lt;sup&gt;158&lt;/sup&gt;","plainTextFormattedCitation":"158","previouslyFormattedCitation":"&lt;sup&gt;158&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158</w:t>
            </w:r>
            <w:r w:rsidRPr="006D631C">
              <w:rPr>
                <w:color w:val="000000"/>
                <w:sz w:val="12"/>
                <w:szCs w:val="12"/>
              </w:rPr>
              <w:fldChar w:fldCharType="end"/>
            </w:r>
          </w:p>
        </w:tc>
      </w:tr>
      <w:tr w:rsidR="00A14AF8" w:rsidRPr="006D631C" w14:paraId="06F0C644" w14:textId="77777777" w:rsidTr="007D350B">
        <w:trPr>
          <w:trHeight w:val="20"/>
        </w:trPr>
        <w:tc>
          <w:tcPr>
            <w:tcW w:w="851" w:type="dxa"/>
            <w:vMerge/>
            <w:tcBorders>
              <w:top w:val="nil"/>
              <w:left w:val="nil"/>
              <w:bottom w:val="single" w:sz="4" w:space="0" w:color="000000"/>
              <w:right w:val="nil"/>
            </w:tcBorders>
            <w:vAlign w:val="center"/>
          </w:tcPr>
          <w:p w14:paraId="47CC2115" w14:textId="77777777" w:rsidR="00A14AF8" w:rsidRPr="006D631C" w:rsidRDefault="00A14AF8" w:rsidP="00A14AF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0D5C5FCE" w14:textId="5617716C" w:rsidR="00A14AF8" w:rsidRPr="006D631C" w:rsidRDefault="00A14AF8" w:rsidP="00A14AF8">
            <w:pPr>
              <w:spacing w:line="240" w:lineRule="auto"/>
              <w:jc w:val="left"/>
              <w:rPr>
                <w:color w:val="000000"/>
                <w:sz w:val="12"/>
                <w:szCs w:val="12"/>
              </w:rPr>
            </w:pPr>
            <w:r w:rsidRPr="006D631C">
              <w:rPr>
                <w:color w:val="000000"/>
                <w:sz w:val="12"/>
                <w:szCs w:val="12"/>
              </w:rPr>
              <w:t>A-19f</w:t>
            </w:r>
          </w:p>
        </w:tc>
        <w:tc>
          <w:tcPr>
            <w:tcW w:w="567" w:type="dxa"/>
            <w:tcBorders>
              <w:top w:val="nil"/>
              <w:left w:val="nil"/>
              <w:bottom w:val="single" w:sz="4" w:space="0" w:color="auto"/>
              <w:right w:val="nil"/>
            </w:tcBorders>
            <w:shd w:val="clear" w:color="000000" w:fill="FFFFFF"/>
            <w:vAlign w:val="center"/>
          </w:tcPr>
          <w:p w14:paraId="2BD41EC1" w14:textId="5C670EA7" w:rsidR="00A14AF8" w:rsidRPr="006D631C" w:rsidRDefault="00A14AF8" w:rsidP="00A14AF8">
            <w:pPr>
              <w:spacing w:line="240" w:lineRule="auto"/>
              <w:jc w:val="left"/>
              <w:rPr>
                <w:color w:val="000000"/>
                <w:sz w:val="12"/>
                <w:szCs w:val="12"/>
              </w:rPr>
            </w:pPr>
            <w:r w:rsidRPr="006D631C">
              <w:rPr>
                <w:color w:val="000000"/>
                <w:sz w:val="12"/>
                <w:szCs w:val="12"/>
              </w:rPr>
              <w:t>C-1</w:t>
            </w:r>
          </w:p>
        </w:tc>
        <w:tc>
          <w:tcPr>
            <w:tcW w:w="709" w:type="dxa"/>
            <w:tcBorders>
              <w:top w:val="nil"/>
              <w:left w:val="nil"/>
              <w:bottom w:val="single" w:sz="4" w:space="0" w:color="auto"/>
              <w:right w:val="nil"/>
            </w:tcBorders>
            <w:shd w:val="clear" w:color="000000" w:fill="FFFFFF"/>
            <w:vAlign w:val="center"/>
          </w:tcPr>
          <w:p w14:paraId="03AC9F71" w14:textId="78AA1560" w:rsidR="00A14AF8" w:rsidRPr="006D631C" w:rsidRDefault="00A14AF8" w:rsidP="00A14AF8">
            <w:pPr>
              <w:spacing w:line="240" w:lineRule="auto"/>
              <w:jc w:val="left"/>
              <w:rPr>
                <w:color w:val="000000"/>
                <w:sz w:val="12"/>
                <w:szCs w:val="12"/>
              </w:rPr>
            </w:pPr>
            <w:r w:rsidRPr="006D631C">
              <w:rPr>
                <w:color w:val="000000"/>
                <w:sz w:val="12"/>
                <w:szCs w:val="12"/>
              </w:rPr>
              <w:t>I-15</w:t>
            </w:r>
          </w:p>
        </w:tc>
        <w:tc>
          <w:tcPr>
            <w:tcW w:w="1134" w:type="dxa"/>
            <w:tcBorders>
              <w:top w:val="nil"/>
              <w:left w:val="nil"/>
              <w:bottom w:val="single" w:sz="4" w:space="0" w:color="auto"/>
              <w:right w:val="nil"/>
            </w:tcBorders>
            <w:shd w:val="clear" w:color="000000" w:fill="FFFFFF"/>
            <w:vAlign w:val="center"/>
          </w:tcPr>
          <w:p w14:paraId="106D76EA" w14:textId="7C75B0C3" w:rsidR="00A14AF8" w:rsidRPr="006D631C" w:rsidRDefault="00A14AF8" w:rsidP="00A14AF8">
            <w:pPr>
              <w:spacing w:line="240" w:lineRule="auto"/>
              <w:jc w:val="left"/>
              <w:rPr>
                <w:color w:val="000000"/>
                <w:sz w:val="12"/>
                <w:szCs w:val="12"/>
              </w:rPr>
            </w:pPr>
            <w:r w:rsidRPr="006D631C">
              <w:rPr>
                <w:color w:val="000000"/>
                <w:sz w:val="12"/>
                <w:szCs w:val="12"/>
              </w:rPr>
              <w:t>45 - 65 / 10 - 30</w:t>
            </w:r>
          </w:p>
        </w:tc>
        <w:tc>
          <w:tcPr>
            <w:tcW w:w="992" w:type="dxa"/>
            <w:tcBorders>
              <w:top w:val="nil"/>
              <w:left w:val="nil"/>
              <w:bottom w:val="single" w:sz="4" w:space="0" w:color="auto"/>
              <w:right w:val="nil"/>
            </w:tcBorders>
            <w:shd w:val="clear" w:color="000000" w:fill="FFFFFF"/>
            <w:noWrap/>
            <w:vAlign w:val="center"/>
          </w:tcPr>
          <w:p w14:paraId="52779FB6" w14:textId="6EB6B308" w:rsidR="00A14AF8" w:rsidRPr="006D631C" w:rsidRDefault="00A14AF8" w:rsidP="00A14AF8">
            <w:pPr>
              <w:spacing w:line="240" w:lineRule="auto"/>
              <w:jc w:val="left"/>
              <w:rPr>
                <w:color w:val="000000"/>
                <w:sz w:val="12"/>
                <w:szCs w:val="12"/>
              </w:rPr>
            </w:pPr>
            <w:r w:rsidRPr="006D631C">
              <w:rPr>
                <w:color w:val="000000"/>
                <w:sz w:val="12"/>
                <w:szCs w:val="12"/>
              </w:rPr>
              <w:t>H</w:t>
            </w:r>
            <w:r w:rsidRPr="006D631C">
              <w:rPr>
                <w:rFonts w:ascii="Calibri" w:hAnsi="Calibri" w:cs="Calibri"/>
                <w:color w:val="000000"/>
                <w:sz w:val="12"/>
                <w:szCs w:val="12"/>
                <w:vertAlign w:val="subscript"/>
              </w:rPr>
              <w:t>α</w:t>
            </w:r>
            <w:r w:rsidRPr="006D631C">
              <w:rPr>
                <w:color w:val="000000"/>
                <w:sz w:val="12"/>
                <w:szCs w:val="12"/>
              </w:rPr>
              <w:t xml:space="preserve"> or L</w:t>
            </w:r>
            <w:r w:rsidRPr="006D631C">
              <w:rPr>
                <w:color w:val="000000"/>
                <w:sz w:val="12"/>
                <w:szCs w:val="12"/>
                <w:vertAlign w:val="subscript"/>
              </w:rPr>
              <w:t>α</w:t>
            </w:r>
            <w:r w:rsidRPr="006D631C">
              <w:rPr>
                <w:color w:val="000000"/>
                <w:sz w:val="12"/>
                <w:szCs w:val="12"/>
              </w:rPr>
              <w:t xml:space="preserve"> having some disordered domains</w:t>
            </w:r>
          </w:p>
        </w:tc>
        <w:tc>
          <w:tcPr>
            <w:tcW w:w="993" w:type="dxa"/>
            <w:tcBorders>
              <w:top w:val="nil"/>
              <w:left w:val="nil"/>
              <w:bottom w:val="single" w:sz="4" w:space="0" w:color="auto"/>
              <w:right w:val="nil"/>
            </w:tcBorders>
            <w:shd w:val="clear" w:color="000000" w:fill="FFFFFF"/>
            <w:noWrap/>
            <w:vAlign w:val="center"/>
          </w:tcPr>
          <w:p w14:paraId="5236E581" w14:textId="101CB3E0"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1F0F5E48" w14:textId="382D5465"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3DAD6193" w14:textId="25429C0D" w:rsidR="00281953" w:rsidRPr="006D631C" w:rsidRDefault="00281953" w:rsidP="002423C7">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 xml:space="preserve">1-Ethyl-3-methylimidazolium </w:t>
            </w:r>
            <w:proofErr w:type="spellStart"/>
            <w:r w:rsidRPr="006D631C">
              <w:rPr>
                <w:rFonts w:eastAsia="Times New Roman" w:cs="Times New Roman"/>
                <w:color w:val="000000"/>
                <w:sz w:val="12"/>
                <w:szCs w:val="12"/>
              </w:rPr>
              <w:t>tetrafluoroborate</w:t>
            </w:r>
            <w:proofErr w:type="spellEnd"/>
            <w:r w:rsidRPr="006D631C">
              <w:rPr>
                <w:rFonts w:eastAsia="Times New Roman" w:cs="Times New Roman"/>
                <w:color w:val="000000"/>
                <w:sz w:val="12"/>
                <w:szCs w:val="12"/>
              </w:rPr>
              <w:t xml:space="preserve"> ionic liquid was used </w:t>
            </w:r>
            <w:r w:rsidR="000F143F" w:rsidRPr="006D631C">
              <w:rPr>
                <w:rFonts w:eastAsia="Times New Roman" w:cs="Times New Roman"/>
                <w:color w:val="000000"/>
                <w:sz w:val="12"/>
                <w:szCs w:val="12"/>
              </w:rPr>
              <w:t xml:space="preserve">as polar </w:t>
            </w:r>
            <w:r w:rsidR="002423C7" w:rsidRPr="006D631C">
              <w:rPr>
                <w:rFonts w:eastAsia="Times New Roman" w:cs="Times New Roman"/>
                <w:color w:val="000000"/>
                <w:sz w:val="12"/>
                <w:szCs w:val="12"/>
              </w:rPr>
              <w:t>phase</w:t>
            </w:r>
            <w:r w:rsidRPr="006D631C">
              <w:rPr>
                <w:rFonts w:eastAsia="Times New Roman" w:cs="Times New Roman"/>
                <w:color w:val="000000"/>
                <w:sz w:val="12"/>
                <w:szCs w:val="12"/>
              </w:rPr>
              <w:t xml:space="preserve"> </w:t>
            </w:r>
          </w:p>
          <w:p w14:paraId="6211E6AC" w14:textId="77777777" w:rsidR="00A14AF8" w:rsidRPr="006D631C" w:rsidRDefault="00281953" w:rsidP="00A14AF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Polymerization of M-1 was used to enhance the mechanical properties of the ion gel</w:t>
            </w:r>
          </w:p>
          <w:p w14:paraId="2BA0B085" w14:textId="50DC8336" w:rsidR="00281953" w:rsidRPr="006D631C" w:rsidRDefault="00281953" w:rsidP="00A14AF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High mechanical properties while maintaining proper ion conductivity was the main feature of the product</w:t>
            </w:r>
          </w:p>
        </w:tc>
        <w:tc>
          <w:tcPr>
            <w:tcW w:w="566" w:type="dxa"/>
            <w:tcBorders>
              <w:top w:val="nil"/>
              <w:left w:val="nil"/>
              <w:bottom w:val="single" w:sz="4" w:space="0" w:color="auto"/>
              <w:right w:val="nil"/>
            </w:tcBorders>
            <w:shd w:val="clear" w:color="000000" w:fill="FFFFFF"/>
            <w:vAlign w:val="center"/>
          </w:tcPr>
          <w:p w14:paraId="4EA0B947" w14:textId="0040572B" w:rsidR="00A14AF8" w:rsidRPr="006D631C" w:rsidRDefault="00A14AF8"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{"citationItems":[{"id":"ITEM-1","itemData":{"DOI":"10.1039/D0SM00850H","ISSN":"1744-683X","abstract":"Ion gels can be produced through polymerization of lyotropic liquid crystal templates of a monomer, cross-linker, ionic liquid, and amphiphilic block copolymer. The mechanical strength of ion gels can be increased one order of magnitude without compromising the ionic conductivity.","author":[{"dropping-particle":"","family":"Bandegi","given":"Alireza","non-dropping-particle":"","parse-names":false,"suffix":""},{"dropping-particle":"","family":"Bañuelos","given":"Jose L.","non-dropping-particle":"","parse-names":false,"suffix":""},{"dropping-particle":"","family":"Foudazi","given":"Reza","non-dropping-particle":"","parse-names":false,"suffix":""}],"container-title":"Soft Matter","id":"ITEM-1","issue":"26","issued":{"date-parts":[["2020"]]},"page":"6102-6114","title":"Formation of ion gels by polymerization of block copolymer/ionic liquid/oil mesophases","type":"article-journal","volume":"16"},"uris":["http://www.mendeley.com/documents/?uuid=3c9b1002-6da8-4045-95db-af61dff5546a"]}],"mendeley":{"formattedCitation":"&lt;sup&gt;147&lt;/sup&gt;","plainTextFormattedCitation":"147","previouslyFormattedCitation":"&lt;sup&gt;147&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147</w:t>
            </w:r>
            <w:r w:rsidRPr="006D631C">
              <w:rPr>
                <w:color w:val="000000"/>
                <w:sz w:val="12"/>
                <w:szCs w:val="12"/>
              </w:rPr>
              <w:fldChar w:fldCharType="end"/>
            </w:r>
          </w:p>
        </w:tc>
      </w:tr>
      <w:tr w:rsidR="00A14AF8" w:rsidRPr="006D631C" w14:paraId="2BA96CE4" w14:textId="77777777" w:rsidTr="007D350B">
        <w:trPr>
          <w:trHeight w:val="20"/>
        </w:trPr>
        <w:tc>
          <w:tcPr>
            <w:tcW w:w="851" w:type="dxa"/>
            <w:tcBorders>
              <w:top w:val="nil"/>
              <w:left w:val="nil"/>
              <w:bottom w:val="single" w:sz="4" w:space="0" w:color="auto"/>
              <w:right w:val="nil"/>
            </w:tcBorders>
            <w:shd w:val="clear" w:color="000000" w:fill="FFFFFF"/>
            <w:vAlign w:val="center"/>
          </w:tcPr>
          <w:p w14:paraId="002F5301" w14:textId="3002F59E" w:rsidR="00A14AF8" w:rsidRPr="006D631C" w:rsidRDefault="00A14AF8" w:rsidP="00A14AF8">
            <w:pPr>
              <w:spacing w:line="240" w:lineRule="auto"/>
              <w:jc w:val="left"/>
              <w:rPr>
                <w:color w:val="000000"/>
                <w:sz w:val="12"/>
                <w:szCs w:val="12"/>
              </w:rPr>
            </w:pPr>
            <w:r w:rsidRPr="006D631C">
              <w:rPr>
                <w:color w:val="000000"/>
                <w:sz w:val="12"/>
                <w:szCs w:val="12"/>
              </w:rPr>
              <w:t>M-2</w:t>
            </w:r>
          </w:p>
        </w:tc>
        <w:tc>
          <w:tcPr>
            <w:tcW w:w="850" w:type="dxa"/>
            <w:tcBorders>
              <w:top w:val="nil"/>
              <w:left w:val="nil"/>
              <w:bottom w:val="single" w:sz="4" w:space="0" w:color="auto"/>
              <w:right w:val="nil"/>
            </w:tcBorders>
            <w:shd w:val="clear" w:color="000000" w:fill="FFFFFF"/>
            <w:noWrap/>
            <w:vAlign w:val="center"/>
          </w:tcPr>
          <w:p w14:paraId="5DF2E0A3" w14:textId="7C957E0B" w:rsidR="00A14AF8" w:rsidRPr="006D631C" w:rsidRDefault="00A14AF8" w:rsidP="00A14AF8">
            <w:pPr>
              <w:spacing w:line="240" w:lineRule="auto"/>
              <w:jc w:val="left"/>
              <w:rPr>
                <w:color w:val="000000"/>
                <w:sz w:val="12"/>
                <w:szCs w:val="12"/>
              </w:rPr>
            </w:pPr>
            <w:r w:rsidRPr="006D631C">
              <w:rPr>
                <w:color w:val="000000"/>
                <w:sz w:val="12"/>
                <w:szCs w:val="12"/>
              </w:rPr>
              <w:t>A-1</w:t>
            </w:r>
          </w:p>
        </w:tc>
        <w:tc>
          <w:tcPr>
            <w:tcW w:w="567" w:type="dxa"/>
            <w:tcBorders>
              <w:top w:val="nil"/>
              <w:left w:val="nil"/>
              <w:bottom w:val="single" w:sz="4" w:space="0" w:color="auto"/>
              <w:right w:val="nil"/>
            </w:tcBorders>
            <w:shd w:val="clear" w:color="000000" w:fill="FFFFFF"/>
            <w:vAlign w:val="center"/>
          </w:tcPr>
          <w:p w14:paraId="49A0C76C" w14:textId="0E116F6C"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380F5DE4" w14:textId="4DEC4CCA" w:rsidR="00A14AF8" w:rsidRPr="006D631C" w:rsidRDefault="00A14AF8" w:rsidP="00A14AF8">
            <w:pPr>
              <w:spacing w:line="240" w:lineRule="auto"/>
              <w:jc w:val="left"/>
              <w:rPr>
                <w:color w:val="000000"/>
                <w:sz w:val="12"/>
                <w:szCs w:val="12"/>
              </w:rPr>
            </w:pPr>
            <w:r w:rsidRPr="006D631C">
              <w:rPr>
                <w:color w:val="000000"/>
                <w:sz w:val="12"/>
                <w:szCs w:val="12"/>
              </w:rPr>
              <w:t>I-15</w:t>
            </w:r>
          </w:p>
        </w:tc>
        <w:tc>
          <w:tcPr>
            <w:tcW w:w="1134" w:type="dxa"/>
            <w:tcBorders>
              <w:top w:val="nil"/>
              <w:left w:val="nil"/>
              <w:bottom w:val="single" w:sz="4" w:space="0" w:color="auto"/>
              <w:right w:val="nil"/>
            </w:tcBorders>
            <w:shd w:val="clear" w:color="000000" w:fill="FFFFFF"/>
            <w:vAlign w:val="center"/>
          </w:tcPr>
          <w:p w14:paraId="4091BDA2" w14:textId="57D72545" w:rsidR="00A14AF8" w:rsidRPr="006D631C" w:rsidRDefault="00A14AF8" w:rsidP="00A14AF8">
            <w:pPr>
              <w:spacing w:line="240" w:lineRule="auto"/>
              <w:jc w:val="left"/>
              <w:rPr>
                <w:color w:val="000000"/>
                <w:sz w:val="12"/>
                <w:szCs w:val="12"/>
              </w:rPr>
            </w:pPr>
            <w:r w:rsidRPr="006D631C">
              <w:rPr>
                <w:color w:val="000000"/>
                <w:sz w:val="12"/>
                <w:szCs w:val="12"/>
              </w:rPr>
              <w:t>55 / 10 (Q</w:t>
            </w:r>
            <w:r w:rsidRPr="006D631C">
              <w:rPr>
                <w:rFonts w:ascii="Calibri" w:hAnsi="Calibri" w:cs="Calibri"/>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3224C678" w14:textId="3E0B6D20" w:rsidR="00A14AF8" w:rsidRPr="006D631C" w:rsidRDefault="00A14AF8" w:rsidP="00A14AF8">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47DEC289" w14:textId="57663493"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47D9CC8C" w14:textId="06FBBDFA" w:rsidR="00A14AF8" w:rsidRPr="006D631C" w:rsidRDefault="00A14AF8" w:rsidP="00A14AF8">
            <w:pPr>
              <w:spacing w:line="240" w:lineRule="auto"/>
              <w:jc w:val="left"/>
              <w:rPr>
                <w:color w:val="000000"/>
                <w:sz w:val="12"/>
                <w:szCs w:val="12"/>
              </w:rPr>
            </w:pPr>
            <w:r w:rsidRPr="006D631C">
              <w:rPr>
                <w:color w:val="000000"/>
                <w:sz w:val="12"/>
                <w:szCs w:val="12"/>
              </w:rPr>
              <w:t>11.8</w:t>
            </w:r>
          </w:p>
        </w:tc>
        <w:tc>
          <w:tcPr>
            <w:tcW w:w="5103" w:type="dxa"/>
            <w:tcBorders>
              <w:top w:val="nil"/>
              <w:left w:val="nil"/>
              <w:bottom w:val="single" w:sz="4" w:space="0" w:color="auto"/>
              <w:right w:val="nil"/>
            </w:tcBorders>
            <w:shd w:val="clear" w:color="000000" w:fill="FFFFFF"/>
            <w:noWrap/>
            <w:vAlign w:val="center"/>
          </w:tcPr>
          <w:p w14:paraId="0988FB58" w14:textId="49DEA7DB" w:rsidR="00A14AF8" w:rsidRPr="006D631C" w:rsidRDefault="00C7577E" w:rsidP="00C7577E">
            <w:pPr>
              <w:spacing w:line="240" w:lineRule="auto"/>
              <w:jc w:val="left"/>
              <w:rPr>
                <w:color w:val="000000"/>
                <w:sz w:val="12"/>
                <w:szCs w:val="12"/>
              </w:rPr>
            </w:pPr>
            <w:r w:rsidRPr="006D631C">
              <w:rPr>
                <w:color w:val="000000"/>
                <w:sz w:val="12"/>
                <w:szCs w:val="12"/>
              </w:rPr>
              <w:t>-</w:t>
            </w:r>
          </w:p>
        </w:tc>
        <w:tc>
          <w:tcPr>
            <w:tcW w:w="566" w:type="dxa"/>
            <w:tcBorders>
              <w:top w:val="nil"/>
              <w:left w:val="nil"/>
              <w:bottom w:val="single" w:sz="4" w:space="0" w:color="auto"/>
              <w:right w:val="nil"/>
            </w:tcBorders>
            <w:shd w:val="clear" w:color="000000" w:fill="FFFFFF"/>
            <w:vAlign w:val="center"/>
          </w:tcPr>
          <w:p w14:paraId="671F0255" w14:textId="3740F161" w:rsidR="00A14AF8" w:rsidRPr="006D631C" w:rsidRDefault="00A14AF8"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{"citationItems":[{"id":"ITEM-1","itemData":{"DOI":"10.1021/bk-1989-0384.ch013","ISBN":"9780841215610","author":[{"dropping-particle":"","family":"Anderson","given":"David M.","non-dropping-particle":"","parse-names":false,"suffix":""},{"dropping-particle":"","family":"Ström","given":"Pelle","non-dropping-particle":"","parse-names":false,"suffix":""}],"id":"ITEM-1","issued":{"date-parts":[["1989","12","30"]]},"page":"204-224","publisher":"ACS Symposium Series","title":"Polymerization of Lyotropic Liquid Crystals","type":"chapter"},"uris":["http://www.mendeley.com/documents/?uuid=e35fdacf-78aa-4fe8-9ea7-fa8265e4c084"]}],"mendeley":{"formattedCitation":"&lt;sup&gt;151&lt;/sup&gt;","plainTextFormattedCitation":"151","previouslyFormattedCitation":"&lt;sup&gt;151&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151</w:t>
            </w:r>
            <w:r w:rsidRPr="006D631C">
              <w:rPr>
                <w:color w:val="000000"/>
                <w:sz w:val="12"/>
                <w:szCs w:val="12"/>
              </w:rPr>
              <w:fldChar w:fldCharType="end"/>
            </w:r>
          </w:p>
        </w:tc>
      </w:tr>
      <w:tr w:rsidR="00A14AF8" w:rsidRPr="006D631C" w14:paraId="1B57D565" w14:textId="77777777" w:rsidTr="007D350B">
        <w:trPr>
          <w:trHeight w:val="20"/>
        </w:trPr>
        <w:tc>
          <w:tcPr>
            <w:tcW w:w="851" w:type="dxa"/>
            <w:vMerge w:val="restart"/>
            <w:tcBorders>
              <w:top w:val="nil"/>
              <w:left w:val="nil"/>
              <w:bottom w:val="single" w:sz="4" w:space="0" w:color="000000"/>
              <w:right w:val="nil"/>
            </w:tcBorders>
            <w:shd w:val="clear" w:color="000000" w:fill="FFFFFF"/>
            <w:vAlign w:val="center"/>
          </w:tcPr>
          <w:p w14:paraId="5B997177" w14:textId="7D4AB0F4" w:rsidR="00A14AF8" w:rsidRPr="006D631C" w:rsidRDefault="00A14AF8" w:rsidP="00A14AF8">
            <w:pPr>
              <w:spacing w:line="240" w:lineRule="auto"/>
              <w:jc w:val="left"/>
              <w:rPr>
                <w:color w:val="000000"/>
                <w:sz w:val="12"/>
                <w:szCs w:val="12"/>
              </w:rPr>
            </w:pPr>
            <w:r w:rsidRPr="006D631C">
              <w:rPr>
                <w:color w:val="000000"/>
                <w:sz w:val="12"/>
                <w:szCs w:val="12"/>
              </w:rPr>
              <w:t>M-3</w:t>
            </w:r>
          </w:p>
        </w:tc>
        <w:tc>
          <w:tcPr>
            <w:tcW w:w="850" w:type="dxa"/>
            <w:tcBorders>
              <w:top w:val="nil"/>
              <w:left w:val="nil"/>
              <w:bottom w:val="single" w:sz="4" w:space="0" w:color="auto"/>
              <w:right w:val="nil"/>
            </w:tcBorders>
            <w:shd w:val="clear" w:color="000000" w:fill="FFFFFF"/>
            <w:noWrap/>
            <w:vAlign w:val="center"/>
          </w:tcPr>
          <w:p w14:paraId="1DC343E4" w14:textId="35737D19" w:rsidR="00A14AF8" w:rsidRPr="006D631C" w:rsidRDefault="00A14AF8" w:rsidP="00A14AF8">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67104C3B" w14:textId="2A92F6AF" w:rsidR="00A14AF8" w:rsidRPr="006D631C" w:rsidRDefault="00A14AF8" w:rsidP="00A14AF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77495B6E" w14:textId="630E5FCE" w:rsidR="00A14AF8" w:rsidRPr="006D631C" w:rsidRDefault="00A14AF8" w:rsidP="00A14AF8">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54458FA8" w14:textId="2A9F6C65" w:rsidR="00A14AF8" w:rsidRPr="006D631C" w:rsidRDefault="00A14AF8" w:rsidP="00A14AF8">
            <w:pPr>
              <w:spacing w:line="240" w:lineRule="auto"/>
              <w:jc w:val="left"/>
              <w:rPr>
                <w:color w:val="000000"/>
                <w:sz w:val="12"/>
                <w:szCs w:val="12"/>
              </w:rPr>
            </w:pPr>
            <w:r w:rsidRPr="006D631C">
              <w:rPr>
                <w:color w:val="000000"/>
                <w:sz w:val="12"/>
                <w:szCs w:val="12"/>
              </w:rPr>
              <w:t>35 / 25 (L</w:t>
            </w:r>
            <w:r w:rsidRPr="006D631C">
              <w:rPr>
                <w:color w:val="000000"/>
                <w:sz w:val="12"/>
                <w:szCs w:val="12"/>
                <w:vertAlign w:val="subscript"/>
              </w:rPr>
              <w:t>1</w:t>
            </w:r>
            <w:r w:rsidRPr="006D631C">
              <w:rPr>
                <w:color w:val="000000"/>
                <w:sz w:val="12"/>
                <w:szCs w:val="12"/>
              </w:rPr>
              <w:t>)</w:t>
            </w:r>
            <w:r w:rsidRPr="006D631C">
              <w:rPr>
                <w:color w:val="000000"/>
                <w:sz w:val="12"/>
                <w:szCs w:val="12"/>
              </w:rPr>
              <w:br/>
              <w:t>40 / 25 (Q</w:t>
            </w:r>
            <w:r w:rsidRPr="006D631C">
              <w:rPr>
                <w:color w:val="000000"/>
                <w:sz w:val="12"/>
                <w:szCs w:val="12"/>
                <w:vertAlign w:val="subscript"/>
              </w:rPr>
              <w:t>1</w:t>
            </w:r>
            <w:r w:rsidRPr="006D631C">
              <w:rPr>
                <w:color w:val="000000"/>
                <w:sz w:val="12"/>
                <w:szCs w:val="12"/>
              </w:rPr>
              <w:t>)</w:t>
            </w:r>
            <w:r w:rsidRPr="006D631C">
              <w:rPr>
                <w:color w:val="000000"/>
                <w:sz w:val="12"/>
                <w:szCs w:val="12"/>
              </w:rPr>
              <w:br/>
              <w:t>45 / 25 (H</w:t>
            </w:r>
            <w:r w:rsidRPr="006D631C">
              <w:rPr>
                <w:color w:val="000000"/>
                <w:sz w:val="12"/>
                <w:szCs w:val="12"/>
                <w:vertAlign w:val="subscript"/>
              </w:rPr>
              <w:t>1</w:t>
            </w:r>
            <w:r w:rsidRPr="006D631C">
              <w:rPr>
                <w:color w:val="000000"/>
                <w:sz w:val="12"/>
                <w:szCs w:val="12"/>
              </w:rPr>
              <w:t>)</w:t>
            </w:r>
            <w:r w:rsidRPr="006D631C">
              <w:rPr>
                <w:color w:val="000000"/>
                <w:sz w:val="12"/>
                <w:szCs w:val="12"/>
              </w:rPr>
              <w:br/>
              <w:t>65 / 25 (L</w:t>
            </w:r>
            <w:r w:rsidRPr="006D631C">
              <w:rPr>
                <w:color w:val="000000"/>
                <w:sz w:val="12"/>
                <w:szCs w:val="12"/>
                <w:vertAlign w:val="subscript"/>
              </w:rPr>
              <w:t>α</w:t>
            </w:r>
            <w:r w:rsidRPr="006D631C">
              <w:rPr>
                <w:rFonts w:ascii="Calibri" w:hAnsi="Calibri" w:cs="Calibri"/>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0BA51440" w14:textId="02B3D9BE" w:rsidR="00A14AF8" w:rsidRPr="006D631C" w:rsidRDefault="00A14AF8" w:rsidP="00A14AF8">
            <w:pPr>
              <w:spacing w:line="240" w:lineRule="auto"/>
              <w:jc w:val="left"/>
              <w:rPr>
                <w:color w:val="000000"/>
                <w:sz w:val="12"/>
                <w:szCs w:val="12"/>
              </w:rPr>
            </w:pPr>
            <w:r w:rsidRPr="006D631C">
              <w:rPr>
                <w:color w:val="000000"/>
                <w:sz w:val="12"/>
                <w:szCs w:val="12"/>
              </w:rPr>
              <w:t>Retention of H</w:t>
            </w:r>
            <w:r w:rsidRPr="006D631C">
              <w:rPr>
                <w:color w:val="000000"/>
                <w:sz w:val="12"/>
                <w:szCs w:val="12"/>
                <w:vertAlign w:val="subscript"/>
              </w:rPr>
              <w:t>1</w:t>
            </w:r>
          </w:p>
        </w:tc>
        <w:tc>
          <w:tcPr>
            <w:tcW w:w="993" w:type="dxa"/>
            <w:tcBorders>
              <w:top w:val="nil"/>
              <w:left w:val="nil"/>
              <w:bottom w:val="single" w:sz="4" w:space="0" w:color="auto"/>
              <w:right w:val="nil"/>
            </w:tcBorders>
            <w:shd w:val="clear" w:color="000000" w:fill="FFFFFF"/>
            <w:noWrap/>
            <w:vAlign w:val="center"/>
          </w:tcPr>
          <w:p w14:paraId="57068429" w14:textId="48B51129" w:rsidR="00A14AF8" w:rsidRPr="006D631C" w:rsidRDefault="00A14AF8" w:rsidP="00A14AF8">
            <w:pPr>
              <w:spacing w:line="240" w:lineRule="auto"/>
              <w:jc w:val="left"/>
              <w:rPr>
                <w:color w:val="000000"/>
                <w:sz w:val="12"/>
                <w:szCs w:val="12"/>
              </w:rPr>
            </w:pPr>
            <w:r w:rsidRPr="006D631C">
              <w:rPr>
                <w:color w:val="000000"/>
                <w:sz w:val="12"/>
                <w:szCs w:val="12"/>
              </w:rPr>
              <w:t>4.28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3008F97A" w14:textId="65602225" w:rsidR="00A14AF8" w:rsidRPr="006D631C" w:rsidRDefault="00A14AF8" w:rsidP="00A14AF8">
            <w:pPr>
              <w:spacing w:line="240" w:lineRule="auto"/>
              <w:jc w:val="left"/>
              <w:rPr>
                <w:color w:val="000000"/>
                <w:sz w:val="12"/>
                <w:szCs w:val="12"/>
              </w:rPr>
            </w:pPr>
            <w:r w:rsidRPr="006D631C">
              <w:rPr>
                <w:color w:val="000000"/>
                <w:sz w:val="12"/>
                <w:szCs w:val="12"/>
              </w:rPr>
              <w:t>4.31 (H</w:t>
            </w:r>
            <w:r w:rsidRPr="006D631C">
              <w:rPr>
                <w:color w:val="000000"/>
                <w:sz w:val="12"/>
                <w:szCs w:val="12"/>
                <w:vertAlign w:val="subscript"/>
              </w:rPr>
              <w:t>2</w:t>
            </w: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39CF03F4" w14:textId="77777777" w:rsidR="00A14AF8" w:rsidRPr="006D631C" w:rsidRDefault="000F117A" w:rsidP="00A14AF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L</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&lt;&lt;&lt; Q</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L</w:t>
            </w:r>
            <w:r w:rsidRPr="006D631C">
              <w:rPr>
                <w:rFonts w:eastAsia="Times New Roman" w:cs="Times New Roman"/>
                <w:color w:val="000000"/>
                <w:sz w:val="12"/>
                <w:szCs w:val="12"/>
                <w:vertAlign w:val="subscript"/>
              </w:rPr>
              <w:t>α</w:t>
            </w:r>
          </w:p>
          <w:p w14:paraId="331528A5" w14:textId="06BAF0BF" w:rsidR="000F117A" w:rsidRPr="006D631C" w:rsidRDefault="000F117A" w:rsidP="00A14AF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Relative water solubility of M-3 resulted in polymerization in the polar domains of the self-assembled molecules and therefore encapsulation of the surfactant aggregates</w:t>
            </w:r>
          </w:p>
        </w:tc>
        <w:tc>
          <w:tcPr>
            <w:tcW w:w="566" w:type="dxa"/>
            <w:tcBorders>
              <w:top w:val="nil"/>
              <w:left w:val="nil"/>
              <w:bottom w:val="single" w:sz="4" w:space="0" w:color="auto"/>
              <w:right w:val="nil"/>
            </w:tcBorders>
            <w:shd w:val="clear" w:color="000000" w:fill="FFFFFF"/>
            <w:vAlign w:val="center"/>
          </w:tcPr>
          <w:p w14:paraId="4DC50B85" w14:textId="49CDFE57" w:rsidR="00A14AF8" w:rsidRPr="006D631C" w:rsidRDefault="00A14AF8"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{"citationItems":[{"id":"ITEM-1","itemData":{"author":[{"dropping-particle":"","family":"DePierro","given":"Michael A.","non-dropping-particle":"","parse-names":false,"suffix":""},{"dropping-particle":"","family":"Carpenter","given":"Kyle G.","non-dropping-particle":"","parse-names":false,"suffix":""},{"dropping-particle":"","family":"Guymon","given":"C. A.","non-dropping-particle":"","parse-names":false,"suffix":""}],"container-title":"Radtech Technical Proceedings","id":"ITEM-1","issue":"-","issued":{"date-parts":[["2006"]]},"page":"-","title":"Nanostructure Development of Polymers Templated from Lyotropic Liquid Crystals","type":"article-journal","volume":"-"},"uris":["http://www.mendeley.com/documents/?uuid=2586cb60-8c78-474d-9556-16c9719a021a"]}],"mendeley":{"formattedCitation":"&lt;sup&gt;159&lt;/sup&gt;","plainTextFormattedCitation":"159","previouslyFormattedCitation":"&lt;sup&gt;159&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159</w:t>
            </w:r>
            <w:r w:rsidRPr="006D631C">
              <w:rPr>
                <w:color w:val="000000"/>
                <w:sz w:val="12"/>
                <w:szCs w:val="12"/>
              </w:rPr>
              <w:fldChar w:fldCharType="end"/>
            </w:r>
          </w:p>
        </w:tc>
      </w:tr>
      <w:tr w:rsidR="00565194" w:rsidRPr="006D631C" w14:paraId="1DF14452" w14:textId="77777777" w:rsidTr="007D350B">
        <w:trPr>
          <w:trHeight w:val="20"/>
        </w:trPr>
        <w:tc>
          <w:tcPr>
            <w:tcW w:w="851" w:type="dxa"/>
            <w:vMerge/>
            <w:tcBorders>
              <w:top w:val="nil"/>
              <w:left w:val="nil"/>
              <w:bottom w:val="single" w:sz="4" w:space="0" w:color="000000"/>
              <w:right w:val="nil"/>
            </w:tcBorders>
            <w:vAlign w:val="center"/>
          </w:tcPr>
          <w:p w14:paraId="070D0518" w14:textId="77777777" w:rsidR="00565194" w:rsidRPr="006D631C" w:rsidRDefault="00565194" w:rsidP="00565194">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13A242A2" w14:textId="397E3F92" w:rsidR="00565194" w:rsidRPr="006D631C" w:rsidRDefault="00565194" w:rsidP="00565194">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52E30A81" w14:textId="3B59A6CC" w:rsidR="00565194" w:rsidRPr="006D631C" w:rsidRDefault="00565194" w:rsidP="00565194">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6B16E5E8" w14:textId="7960A304" w:rsidR="00565194" w:rsidRPr="006D631C" w:rsidRDefault="00565194" w:rsidP="00565194">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687ED676" w14:textId="410E2D5E" w:rsidR="00565194" w:rsidRPr="006D631C" w:rsidRDefault="00565194" w:rsidP="00565194">
            <w:pPr>
              <w:spacing w:line="240" w:lineRule="auto"/>
              <w:jc w:val="left"/>
              <w:rPr>
                <w:color w:val="000000"/>
                <w:sz w:val="12"/>
                <w:szCs w:val="12"/>
              </w:rPr>
            </w:pPr>
            <w:r w:rsidRPr="006D631C">
              <w:rPr>
                <w:color w:val="000000"/>
                <w:sz w:val="12"/>
                <w:szCs w:val="12"/>
              </w:rPr>
              <w:t>30 / 10 (L</w:t>
            </w:r>
            <w:r w:rsidRPr="006D631C">
              <w:rPr>
                <w:color w:val="000000"/>
                <w:sz w:val="12"/>
                <w:szCs w:val="12"/>
                <w:vertAlign w:val="subscript"/>
              </w:rPr>
              <w:t>1</w:t>
            </w:r>
            <w:r w:rsidRPr="006D631C">
              <w:rPr>
                <w:color w:val="000000"/>
                <w:sz w:val="12"/>
                <w:szCs w:val="12"/>
              </w:rPr>
              <w:t>)</w:t>
            </w:r>
            <w:r w:rsidRPr="006D631C">
              <w:rPr>
                <w:color w:val="000000"/>
                <w:sz w:val="12"/>
                <w:szCs w:val="12"/>
              </w:rPr>
              <w:br/>
              <w:t>50 / 10 (H</w:t>
            </w:r>
            <w:r w:rsidRPr="006D631C">
              <w:rPr>
                <w:color w:val="000000"/>
                <w:sz w:val="12"/>
                <w:szCs w:val="12"/>
                <w:vertAlign w:val="subscript"/>
              </w:rPr>
              <w:t>1</w:t>
            </w:r>
            <w:r w:rsidRPr="006D631C">
              <w:rPr>
                <w:color w:val="000000"/>
                <w:sz w:val="12"/>
                <w:szCs w:val="12"/>
              </w:rPr>
              <w:t>)</w:t>
            </w:r>
            <w:r w:rsidRPr="006D631C">
              <w:rPr>
                <w:color w:val="000000"/>
                <w:sz w:val="12"/>
                <w:szCs w:val="12"/>
              </w:rPr>
              <w:br/>
              <w:t>70 / 10 (Q</w:t>
            </w:r>
            <w:r w:rsidRPr="006D631C">
              <w:rPr>
                <w:color w:val="000000"/>
                <w:sz w:val="12"/>
                <w:szCs w:val="12"/>
                <w:vertAlign w:val="subscript"/>
              </w:rPr>
              <w:t>1</w:t>
            </w:r>
            <w:r w:rsidRPr="006D631C">
              <w:rPr>
                <w:color w:val="000000"/>
                <w:sz w:val="12"/>
                <w:szCs w:val="12"/>
              </w:rPr>
              <w:t>)</w:t>
            </w:r>
            <w:r w:rsidRPr="006D631C">
              <w:rPr>
                <w:color w:val="000000"/>
                <w:sz w:val="12"/>
                <w:szCs w:val="12"/>
              </w:rPr>
              <w:br/>
              <w:t>75 / 10 (L</w:t>
            </w:r>
            <w:r w:rsidRPr="006D631C">
              <w:rPr>
                <w:color w:val="000000"/>
                <w:sz w:val="12"/>
                <w:szCs w:val="12"/>
                <w:vertAlign w:val="subscript"/>
              </w:rPr>
              <w:t>α</w:t>
            </w:r>
            <w:r w:rsidRPr="006D631C">
              <w:rPr>
                <w:rFonts w:ascii="Calibri" w:hAnsi="Calibri" w:cs="Calibri"/>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64F65D55" w14:textId="340AC487" w:rsidR="00565194" w:rsidRPr="006D631C" w:rsidRDefault="00565194" w:rsidP="00565194">
            <w:pPr>
              <w:spacing w:line="240" w:lineRule="auto"/>
              <w:jc w:val="left"/>
              <w:rPr>
                <w:color w:val="000000"/>
                <w:sz w:val="12"/>
                <w:szCs w:val="12"/>
              </w:rPr>
            </w:pPr>
            <w:r w:rsidRPr="006D631C">
              <w:rPr>
                <w:color w:val="000000"/>
                <w:sz w:val="12"/>
                <w:szCs w:val="12"/>
              </w:rPr>
              <w:t>-</w:t>
            </w:r>
          </w:p>
        </w:tc>
        <w:tc>
          <w:tcPr>
            <w:tcW w:w="993" w:type="dxa"/>
            <w:tcBorders>
              <w:top w:val="nil"/>
              <w:left w:val="nil"/>
              <w:bottom w:val="single" w:sz="4" w:space="0" w:color="auto"/>
              <w:right w:val="nil"/>
            </w:tcBorders>
            <w:shd w:val="clear" w:color="000000" w:fill="FFFFFF"/>
            <w:noWrap/>
            <w:vAlign w:val="center"/>
          </w:tcPr>
          <w:p w14:paraId="5A67785E" w14:textId="1C2235C7" w:rsidR="00565194" w:rsidRPr="006D631C" w:rsidRDefault="00565194" w:rsidP="00565194">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4E819CF8" w14:textId="6775D8C0" w:rsidR="00565194" w:rsidRPr="006D631C" w:rsidRDefault="00565194" w:rsidP="00565194">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7E685A6B" w14:textId="77777777" w:rsidR="00565194" w:rsidRPr="006D631C" w:rsidRDefault="00565194" w:rsidP="00565194">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L</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&lt;&lt;&lt;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Q</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L</w:t>
            </w:r>
            <w:r w:rsidRPr="006D631C">
              <w:rPr>
                <w:rFonts w:eastAsia="Times New Roman" w:cs="Times New Roman"/>
                <w:color w:val="000000"/>
                <w:sz w:val="12"/>
                <w:szCs w:val="12"/>
                <w:vertAlign w:val="subscript"/>
              </w:rPr>
              <w:t>α</w:t>
            </w:r>
          </w:p>
          <w:p w14:paraId="5D6FA25F" w14:textId="70E10D43" w:rsidR="00565194" w:rsidRPr="006D631C" w:rsidRDefault="00565194" w:rsidP="00565194">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Higher reaction rate resulted in higher MW of the produced polymer</w:t>
            </w:r>
          </w:p>
        </w:tc>
        <w:tc>
          <w:tcPr>
            <w:tcW w:w="566" w:type="dxa"/>
            <w:tcBorders>
              <w:top w:val="nil"/>
              <w:left w:val="nil"/>
              <w:bottom w:val="single" w:sz="4" w:space="0" w:color="auto"/>
              <w:right w:val="nil"/>
            </w:tcBorders>
            <w:shd w:val="clear" w:color="000000" w:fill="FFFFFF"/>
            <w:vAlign w:val="center"/>
          </w:tcPr>
          <w:p w14:paraId="1EB4ECE8" w14:textId="4453FF2C" w:rsidR="00565194" w:rsidRPr="006D631C" w:rsidRDefault="00565194" w:rsidP="00565194">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Chemistry","id":"ITEM-1","issue":"1","issued":{"date-parts":[["2016","1","1"]]},"page":"144-154","title":"Radical polymerization behavior and molecular weight development of homologous monoacrylate monomers in lyotropic liquid crystal phases","type":"article-journal","volume":"54"},"uris":["http://www.mendeley.com/documents/?uuid=4f7b9c95-7916-4292-a0f1-82a611583a7f"]}],"mendeley":{"formattedCitation":"&lt;sup&gt;99&lt;/sup&gt;","plainTextFormattedCitation":"99","previouslyFormattedCitation":"&lt;sup&gt;99&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99</w:t>
            </w:r>
            <w:r w:rsidRPr="006D631C">
              <w:rPr>
                <w:color w:val="000000"/>
                <w:sz w:val="12"/>
                <w:szCs w:val="12"/>
              </w:rPr>
              <w:fldChar w:fldCharType="end"/>
            </w:r>
          </w:p>
        </w:tc>
      </w:tr>
      <w:tr w:rsidR="002D2143" w:rsidRPr="006D631C" w14:paraId="69A2182B" w14:textId="77777777" w:rsidTr="007D350B">
        <w:trPr>
          <w:trHeight w:val="20"/>
        </w:trPr>
        <w:tc>
          <w:tcPr>
            <w:tcW w:w="851" w:type="dxa"/>
            <w:vMerge w:val="restart"/>
            <w:tcBorders>
              <w:top w:val="nil"/>
              <w:left w:val="nil"/>
              <w:right w:val="nil"/>
            </w:tcBorders>
            <w:shd w:val="clear" w:color="000000" w:fill="FFFFFF"/>
            <w:vAlign w:val="center"/>
          </w:tcPr>
          <w:p w14:paraId="778F1610" w14:textId="0B5AD887" w:rsidR="002D2143" w:rsidRPr="006D631C" w:rsidRDefault="002D2143" w:rsidP="00565194">
            <w:pPr>
              <w:spacing w:line="240" w:lineRule="auto"/>
              <w:jc w:val="left"/>
              <w:rPr>
                <w:color w:val="000000"/>
                <w:sz w:val="12"/>
                <w:szCs w:val="12"/>
              </w:rPr>
            </w:pPr>
            <w:r w:rsidRPr="006D631C">
              <w:rPr>
                <w:color w:val="000000"/>
                <w:sz w:val="12"/>
                <w:szCs w:val="12"/>
              </w:rPr>
              <w:t>M-4</w:t>
            </w:r>
          </w:p>
        </w:tc>
        <w:tc>
          <w:tcPr>
            <w:tcW w:w="850" w:type="dxa"/>
            <w:tcBorders>
              <w:top w:val="nil"/>
              <w:left w:val="nil"/>
              <w:bottom w:val="single" w:sz="4" w:space="0" w:color="auto"/>
              <w:right w:val="nil"/>
            </w:tcBorders>
            <w:shd w:val="clear" w:color="000000" w:fill="FFFFFF"/>
            <w:noWrap/>
            <w:vAlign w:val="center"/>
          </w:tcPr>
          <w:p w14:paraId="474E61B1" w14:textId="37316120" w:rsidR="002D2143" w:rsidRPr="006D631C" w:rsidRDefault="002D2143" w:rsidP="00565194">
            <w:pPr>
              <w:spacing w:line="240" w:lineRule="auto"/>
              <w:jc w:val="left"/>
              <w:rPr>
                <w:color w:val="000000"/>
                <w:sz w:val="12"/>
                <w:szCs w:val="12"/>
              </w:rPr>
            </w:pPr>
            <w:r w:rsidRPr="006D631C">
              <w:rPr>
                <w:color w:val="000000"/>
                <w:sz w:val="12"/>
                <w:szCs w:val="12"/>
              </w:rPr>
              <w:t>P-A-25 /         P-A-50</w:t>
            </w:r>
          </w:p>
        </w:tc>
        <w:tc>
          <w:tcPr>
            <w:tcW w:w="567" w:type="dxa"/>
            <w:tcBorders>
              <w:top w:val="nil"/>
              <w:left w:val="nil"/>
              <w:bottom w:val="single" w:sz="4" w:space="0" w:color="auto"/>
              <w:right w:val="nil"/>
            </w:tcBorders>
            <w:shd w:val="clear" w:color="000000" w:fill="FFFFFF"/>
            <w:vAlign w:val="center"/>
          </w:tcPr>
          <w:p w14:paraId="2506A323" w14:textId="7C67D74C" w:rsidR="002D2143" w:rsidRPr="006D631C" w:rsidRDefault="002D2143" w:rsidP="00565194">
            <w:pPr>
              <w:spacing w:line="240" w:lineRule="auto"/>
              <w:jc w:val="left"/>
              <w:rPr>
                <w:color w:val="000000"/>
                <w:sz w:val="12"/>
                <w:szCs w:val="12"/>
              </w:rPr>
            </w:pPr>
            <w:r w:rsidRPr="006D631C">
              <w:rPr>
                <w:color w:val="000000"/>
                <w:sz w:val="12"/>
                <w:szCs w:val="12"/>
              </w:rPr>
              <w:t>C-7</w:t>
            </w:r>
          </w:p>
        </w:tc>
        <w:tc>
          <w:tcPr>
            <w:tcW w:w="709" w:type="dxa"/>
            <w:tcBorders>
              <w:top w:val="nil"/>
              <w:left w:val="nil"/>
              <w:bottom w:val="single" w:sz="4" w:space="0" w:color="auto"/>
              <w:right w:val="nil"/>
            </w:tcBorders>
            <w:shd w:val="clear" w:color="000000" w:fill="FFFFFF"/>
            <w:vAlign w:val="center"/>
          </w:tcPr>
          <w:p w14:paraId="0AAD3568" w14:textId="36BB742C" w:rsidR="002D2143" w:rsidRPr="006D631C" w:rsidRDefault="002D2143" w:rsidP="00565194">
            <w:pPr>
              <w:spacing w:line="240" w:lineRule="auto"/>
              <w:jc w:val="left"/>
              <w:rPr>
                <w:color w:val="000000"/>
                <w:sz w:val="12"/>
                <w:szCs w:val="12"/>
              </w:rPr>
            </w:pPr>
            <w:r w:rsidRPr="006D631C">
              <w:rPr>
                <w:color w:val="000000"/>
                <w:sz w:val="12"/>
                <w:szCs w:val="12"/>
              </w:rPr>
              <w:t>I-18</w:t>
            </w:r>
          </w:p>
        </w:tc>
        <w:tc>
          <w:tcPr>
            <w:tcW w:w="1134" w:type="dxa"/>
            <w:tcBorders>
              <w:top w:val="nil"/>
              <w:left w:val="nil"/>
              <w:bottom w:val="single" w:sz="4" w:space="0" w:color="auto"/>
              <w:right w:val="nil"/>
            </w:tcBorders>
            <w:shd w:val="clear" w:color="000000" w:fill="FFFFFF"/>
            <w:vAlign w:val="center"/>
          </w:tcPr>
          <w:p w14:paraId="31E69965" w14:textId="71092AE7" w:rsidR="002D2143" w:rsidRPr="006D631C" w:rsidRDefault="002D2143" w:rsidP="00565194">
            <w:pPr>
              <w:spacing w:line="240" w:lineRule="auto"/>
              <w:jc w:val="left"/>
              <w:rPr>
                <w:color w:val="000000"/>
                <w:sz w:val="12"/>
                <w:szCs w:val="12"/>
              </w:rPr>
            </w:pPr>
            <w:r w:rsidRPr="006D631C">
              <w:rPr>
                <w:color w:val="000000"/>
                <w:sz w:val="12"/>
                <w:szCs w:val="12"/>
              </w:rPr>
              <w:t>63.2 / 19 (H</w:t>
            </w:r>
            <w:r w:rsidRPr="006D631C">
              <w:rPr>
                <w:rFonts w:ascii="Calibri" w:hAnsi="Calibri" w:cs="Calibri"/>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76977D86" w14:textId="2F092634" w:rsidR="002D2143" w:rsidRPr="006D631C" w:rsidRDefault="002D2143" w:rsidP="00565194">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2CB7629C" w14:textId="0D0B5450" w:rsidR="002D2143" w:rsidRPr="006D631C" w:rsidRDefault="002D2143" w:rsidP="00565194">
            <w:pPr>
              <w:spacing w:line="240" w:lineRule="auto"/>
              <w:jc w:val="left"/>
              <w:rPr>
                <w:color w:val="000000"/>
                <w:sz w:val="12"/>
                <w:szCs w:val="12"/>
              </w:rPr>
            </w:pPr>
            <w:r w:rsidRPr="006D631C">
              <w:rPr>
                <w:color w:val="000000"/>
                <w:sz w:val="12"/>
                <w:szCs w:val="12"/>
              </w:rPr>
              <w:t>5.37</w:t>
            </w:r>
          </w:p>
        </w:tc>
        <w:tc>
          <w:tcPr>
            <w:tcW w:w="1134" w:type="dxa"/>
            <w:tcBorders>
              <w:top w:val="nil"/>
              <w:left w:val="nil"/>
              <w:bottom w:val="single" w:sz="4" w:space="0" w:color="auto"/>
              <w:right w:val="nil"/>
            </w:tcBorders>
            <w:shd w:val="clear" w:color="000000" w:fill="FFFFFF"/>
            <w:noWrap/>
            <w:vAlign w:val="center"/>
          </w:tcPr>
          <w:p w14:paraId="124EC7ED" w14:textId="06AE361E" w:rsidR="002D2143" w:rsidRPr="006D631C" w:rsidRDefault="002D2143" w:rsidP="00565194">
            <w:pPr>
              <w:spacing w:line="240" w:lineRule="auto"/>
              <w:jc w:val="left"/>
              <w:rPr>
                <w:color w:val="000000"/>
                <w:sz w:val="12"/>
                <w:szCs w:val="12"/>
              </w:rPr>
            </w:pPr>
            <w:r w:rsidRPr="006D631C">
              <w:rPr>
                <w:color w:val="000000"/>
                <w:sz w:val="12"/>
                <w:szCs w:val="12"/>
              </w:rPr>
              <w:t>5.5</w:t>
            </w:r>
          </w:p>
        </w:tc>
        <w:tc>
          <w:tcPr>
            <w:tcW w:w="5103" w:type="dxa"/>
            <w:tcBorders>
              <w:top w:val="nil"/>
              <w:left w:val="nil"/>
              <w:bottom w:val="single" w:sz="4" w:space="0" w:color="auto"/>
              <w:right w:val="nil"/>
            </w:tcBorders>
            <w:shd w:val="clear" w:color="000000" w:fill="FFFFFF"/>
            <w:noWrap/>
            <w:vAlign w:val="center"/>
          </w:tcPr>
          <w:p w14:paraId="5DC93D59" w14:textId="77777777" w:rsidR="002D2143" w:rsidRPr="006D631C" w:rsidRDefault="002D2143" w:rsidP="00565194">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To be able to preserve the structure, 6.3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xml:space="preserve">% cyclohexane was added to the mixture as a non-reactive oil phase </w:t>
            </w:r>
          </w:p>
          <w:p w14:paraId="73588CFC" w14:textId="1D3B431B" w:rsidR="002D2143" w:rsidRPr="006D631C" w:rsidRDefault="002D2143" w:rsidP="006A26C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Nano-channels alignment was carried out via 5 - 6 T magnetic field before polymerization</w:t>
            </w:r>
          </w:p>
        </w:tc>
        <w:tc>
          <w:tcPr>
            <w:tcW w:w="566" w:type="dxa"/>
            <w:tcBorders>
              <w:top w:val="nil"/>
              <w:left w:val="nil"/>
              <w:bottom w:val="single" w:sz="4" w:space="0" w:color="auto"/>
              <w:right w:val="nil"/>
            </w:tcBorders>
            <w:shd w:val="clear" w:color="000000" w:fill="FFFFFF"/>
            <w:vAlign w:val="center"/>
          </w:tcPr>
          <w:p w14:paraId="2725A11A" w14:textId="2A0E539B" w:rsidR="002D2143" w:rsidRPr="006D631C" w:rsidRDefault="002D2143"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{"citationItems":[{"id":"ITEM-1","itemData":{"DOI":"10.1021/am504730b","ISSN":"19448252","abstract":"Magnetic-field-directed assembly of lyotropic surfactant mesophases provides a scalable approach for the fabrication of aligned nanoporous polymers by templated polymerization. We develop and characterize a lyotropic liquid crystalline system containing hexagonally packed cylindrical micelles of a polymerizable surfactant in a polymerizable solvent. The system exhibits negative magnetic anisotropy, resulting in the degenerate alignment of cylindrical micelles perpendicular to the magnetic field. Sample rotation during field alignment is used to effectively break this degeneracy and enable the production of uniformly well-aligned mesophases. High-fidelity retentions of the hexagonal structure and alignment were successfully achieved in polymer films produced upon UV exposure of the reactive system. The success of this effort provides a route for the fabrication of aligned nanoporous membranes suitable for highly selective separations, sensing, and templated nanomaterial synthesis.","author":[{"dropping-particle":"","family":"Tousley","given":"Marissa E.","non-dropping-particle":"","parse-names":false,"suffix":""},{"dropping-particle":"","family":"Feng","given":"Xunda","non-dropping-particle":"","parse-names":false,"suffix":""},{"dropping-particle":"","family":"Elimelech","given":"Menachem","non-dropping-particle":"","parse-names":false,"suffix":""},{"dropping-particle":"","family":"Osuji","given":"Chinedum O.","non-dropping-particle":"","parse-names":false,"suffix":""}],"container-title":"ACS Applied Materials and Interfaces","id":"ITEM-1","issue":"22","issued":{"date-parts":[["2014"]]},"page":"19710-19717","title":"Aligned nanostructured polymers by magnetic-field-directed self-assembly of a polymerizable lyotropic mesophase","type":"article-journal","volume":"6"},"uris":["http://www.mendeley.com/documents/?uuid=89712f91-4b89-49cb-a3b3-1514a2d93188"]}],"mendeley":{"formattedCitation":"&lt;sup&gt;141&lt;/sup&gt;","plainTextFormattedCitation":"141","previouslyFormattedCitation":"&lt;sup&gt;141&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141</w:t>
            </w:r>
            <w:r w:rsidRPr="006D631C">
              <w:rPr>
                <w:color w:val="000000"/>
                <w:sz w:val="12"/>
                <w:szCs w:val="12"/>
              </w:rPr>
              <w:fldChar w:fldCharType="end"/>
            </w:r>
          </w:p>
        </w:tc>
      </w:tr>
      <w:tr w:rsidR="002D2143" w:rsidRPr="006D631C" w14:paraId="58D9A159" w14:textId="77777777" w:rsidTr="007D350B">
        <w:trPr>
          <w:trHeight w:val="20"/>
        </w:trPr>
        <w:tc>
          <w:tcPr>
            <w:tcW w:w="851" w:type="dxa"/>
            <w:vMerge/>
            <w:tcBorders>
              <w:left w:val="nil"/>
              <w:right w:val="nil"/>
            </w:tcBorders>
            <w:vAlign w:val="center"/>
          </w:tcPr>
          <w:p w14:paraId="0A860C88" w14:textId="77777777" w:rsidR="002D2143" w:rsidRPr="006D631C" w:rsidRDefault="002D2143" w:rsidP="00565194">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539B67E4" w14:textId="506495AC" w:rsidR="002D2143" w:rsidRPr="006D631C" w:rsidRDefault="002D2143" w:rsidP="00565194">
            <w:pPr>
              <w:spacing w:line="240" w:lineRule="auto"/>
              <w:jc w:val="left"/>
              <w:rPr>
                <w:color w:val="000000"/>
                <w:sz w:val="12"/>
                <w:szCs w:val="12"/>
              </w:rPr>
            </w:pPr>
            <w:r w:rsidRPr="006D631C">
              <w:rPr>
                <w:color w:val="000000"/>
                <w:sz w:val="12"/>
                <w:szCs w:val="12"/>
              </w:rPr>
              <w:t>A-19</w:t>
            </w:r>
          </w:p>
        </w:tc>
        <w:tc>
          <w:tcPr>
            <w:tcW w:w="567" w:type="dxa"/>
            <w:tcBorders>
              <w:top w:val="nil"/>
              <w:left w:val="nil"/>
              <w:bottom w:val="single" w:sz="4" w:space="0" w:color="auto"/>
              <w:right w:val="nil"/>
            </w:tcBorders>
            <w:shd w:val="clear" w:color="000000" w:fill="FFFFFF"/>
            <w:vAlign w:val="center"/>
          </w:tcPr>
          <w:p w14:paraId="0BED6F4C" w14:textId="3DCED195" w:rsidR="002D2143" w:rsidRPr="006D631C" w:rsidRDefault="002D2143" w:rsidP="00565194">
            <w:pPr>
              <w:spacing w:line="240" w:lineRule="auto"/>
              <w:jc w:val="left"/>
              <w:rPr>
                <w:color w:val="000000"/>
                <w:sz w:val="12"/>
                <w:szCs w:val="12"/>
              </w:rPr>
            </w:pPr>
            <w:r w:rsidRPr="006D631C">
              <w:rPr>
                <w:color w:val="000000"/>
                <w:sz w:val="12"/>
                <w:szCs w:val="12"/>
              </w:rPr>
              <w:t>C-8</w:t>
            </w:r>
          </w:p>
        </w:tc>
        <w:tc>
          <w:tcPr>
            <w:tcW w:w="709" w:type="dxa"/>
            <w:tcBorders>
              <w:top w:val="nil"/>
              <w:left w:val="nil"/>
              <w:bottom w:val="single" w:sz="4" w:space="0" w:color="auto"/>
              <w:right w:val="nil"/>
            </w:tcBorders>
            <w:shd w:val="clear" w:color="000000" w:fill="FFFFFF"/>
            <w:vAlign w:val="center"/>
          </w:tcPr>
          <w:p w14:paraId="2ED36571" w14:textId="424B22C3" w:rsidR="002D2143" w:rsidRPr="006D631C" w:rsidRDefault="002D2143" w:rsidP="00565194">
            <w:pPr>
              <w:spacing w:line="240" w:lineRule="auto"/>
              <w:jc w:val="left"/>
              <w:rPr>
                <w:color w:val="000000"/>
                <w:sz w:val="12"/>
                <w:szCs w:val="12"/>
              </w:rPr>
            </w:pPr>
            <w:r w:rsidRPr="006D631C">
              <w:rPr>
                <w:color w:val="000000"/>
                <w:sz w:val="12"/>
                <w:szCs w:val="12"/>
              </w:rPr>
              <w:t>I-9 / I-15</w:t>
            </w:r>
          </w:p>
        </w:tc>
        <w:tc>
          <w:tcPr>
            <w:tcW w:w="1134" w:type="dxa"/>
            <w:tcBorders>
              <w:top w:val="nil"/>
              <w:left w:val="nil"/>
              <w:bottom w:val="single" w:sz="4" w:space="0" w:color="auto"/>
              <w:right w:val="nil"/>
            </w:tcBorders>
            <w:shd w:val="clear" w:color="000000" w:fill="FFFFFF"/>
            <w:vAlign w:val="center"/>
          </w:tcPr>
          <w:p w14:paraId="7EE767AE" w14:textId="1037B5F3" w:rsidR="002D2143" w:rsidRPr="006D631C" w:rsidRDefault="002D2143" w:rsidP="00565194">
            <w:pPr>
              <w:spacing w:line="240" w:lineRule="auto"/>
              <w:jc w:val="left"/>
              <w:rPr>
                <w:color w:val="000000"/>
                <w:sz w:val="12"/>
                <w:szCs w:val="12"/>
              </w:rPr>
            </w:pPr>
            <w:r w:rsidRPr="006D631C">
              <w:rPr>
                <w:color w:val="000000"/>
                <w:sz w:val="12"/>
                <w:szCs w:val="12"/>
              </w:rPr>
              <w:t>55 - 60 / 25 - 30 (H</w:t>
            </w:r>
            <w:r w:rsidRPr="006D631C">
              <w:rPr>
                <w:color w:val="000000"/>
                <w:sz w:val="12"/>
                <w:szCs w:val="12"/>
                <w:vertAlign w:val="subscript"/>
              </w:rPr>
              <w:t>2</w:t>
            </w:r>
            <w:r w:rsidRPr="006D631C">
              <w:rPr>
                <w:color w:val="000000"/>
                <w:sz w:val="12"/>
                <w:szCs w:val="12"/>
              </w:rPr>
              <w:t>)</w:t>
            </w:r>
            <w:r w:rsidRPr="006D631C">
              <w:rPr>
                <w:color w:val="000000"/>
                <w:sz w:val="12"/>
                <w:szCs w:val="12"/>
              </w:rPr>
              <w:br/>
              <w:t>50 - 60 / 10 - 15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0E8170EE" w14:textId="645EC116" w:rsidR="002D2143" w:rsidRPr="006D631C" w:rsidRDefault="002D2143" w:rsidP="00565194">
            <w:pPr>
              <w:spacing w:line="240" w:lineRule="auto"/>
              <w:jc w:val="left"/>
              <w:rPr>
                <w:color w:val="000000"/>
                <w:sz w:val="12"/>
                <w:szCs w:val="12"/>
              </w:rPr>
            </w:pPr>
            <w:r w:rsidRPr="006D631C">
              <w:rPr>
                <w:color w:val="000000"/>
                <w:sz w:val="12"/>
                <w:szCs w:val="12"/>
              </w:rPr>
              <w:t>Retention of the structures</w:t>
            </w:r>
          </w:p>
        </w:tc>
        <w:tc>
          <w:tcPr>
            <w:tcW w:w="993" w:type="dxa"/>
            <w:tcBorders>
              <w:top w:val="nil"/>
              <w:left w:val="nil"/>
              <w:bottom w:val="single" w:sz="4" w:space="0" w:color="auto"/>
              <w:right w:val="nil"/>
            </w:tcBorders>
            <w:shd w:val="clear" w:color="000000" w:fill="FFFFFF"/>
            <w:noWrap/>
            <w:vAlign w:val="center"/>
          </w:tcPr>
          <w:p w14:paraId="16D61189" w14:textId="22225EEE" w:rsidR="002D2143" w:rsidRPr="006D631C" w:rsidRDefault="002D2143" w:rsidP="00565194">
            <w:pPr>
              <w:spacing w:line="240" w:lineRule="auto"/>
              <w:jc w:val="left"/>
              <w:rPr>
                <w:color w:val="000000"/>
                <w:sz w:val="12"/>
                <w:szCs w:val="12"/>
              </w:rPr>
            </w:pPr>
            <w:r w:rsidRPr="006D631C">
              <w:rPr>
                <w:color w:val="000000"/>
                <w:sz w:val="12"/>
                <w:szCs w:val="12"/>
              </w:rPr>
              <w:t>10.2 - 10.4 (H</w:t>
            </w:r>
            <w:r w:rsidRPr="006D631C">
              <w:rPr>
                <w:color w:val="000000"/>
                <w:sz w:val="12"/>
                <w:szCs w:val="12"/>
                <w:vertAlign w:val="subscript"/>
              </w:rPr>
              <w:t>2</w:t>
            </w:r>
            <w:r w:rsidRPr="006D631C">
              <w:rPr>
                <w:color w:val="000000"/>
                <w:sz w:val="12"/>
                <w:szCs w:val="12"/>
              </w:rPr>
              <w:t>)</w:t>
            </w:r>
            <w:r w:rsidRPr="006D631C">
              <w:rPr>
                <w:color w:val="000000"/>
                <w:sz w:val="12"/>
                <w:szCs w:val="12"/>
              </w:rPr>
              <w:br/>
              <w:t>7.4 - 8.5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2D6B7BA7" w14:textId="1BA0A68E" w:rsidR="002D2143" w:rsidRPr="006D631C" w:rsidRDefault="002D2143" w:rsidP="00565194">
            <w:pPr>
              <w:spacing w:line="240" w:lineRule="auto"/>
              <w:jc w:val="left"/>
              <w:rPr>
                <w:color w:val="000000"/>
                <w:sz w:val="12"/>
                <w:szCs w:val="12"/>
              </w:rPr>
            </w:pPr>
            <w:r w:rsidRPr="006D631C">
              <w:rPr>
                <w:color w:val="000000"/>
                <w:sz w:val="12"/>
                <w:szCs w:val="12"/>
              </w:rPr>
              <w:t>10.4 - 10.7 (H</w:t>
            </w:r>
            <w:r w:rsidRPr="006D631C">
              <w:rPr>
                <w:color w:val="000000"/>
                <w:sz w:val="12"/>
                <w:szCs w:val="12"/>
                <w:vertAlign w:val="subscript"/>
              </w:rPr>
              <w:t>2</w:t>
            </w:r>
            <w:r w:rsidRPr="006D631C">
              <w:rPr>
                <w:color w:val="000000"/>
                <w:sz w:val="12"/>
                <w:szCs w:val="12"/>
              </w:rPr>
              <w:t>)</w:t>
            </w:r>
            <w:r w:rsidRPr="006D631C">
              <w:rPr>
                <w:color w:val="000000"/>
                <w:sz w:val="12"/>
                <w:szCs w:val="12"/>
              </w:rPr>
              <w:br/>
              <w:t>7.8 - 9.2 (L</w:t>
            </w:r>
            <w:r w:rsidRPr="006D631C">
              <w:rPr>
                <w:color w:val="000000"/>
                <w:sz w:val="12"/>
                <w:szCs w:val="12"/>
                <w:vertAlign w:val="subscript"/>
              </w:rPr>
              <w:t>α</w:t>
            </w: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476CCD19" w14:textId="77777777" w:rsidR="002D2143" w:rsidRPr="006D631C" w:rsidRDefault="002D2143" w:rsidP="00565194">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A-19c was used</w:t>
            </w:r>
          </w:p>
          <w:p w14:paraId="0F738911" w14:textId="11C0F2FD" w:rsidR="002D2143" w:rsidRPr="006D631C" w:rsidRDefault="002D2143" w:rsidP="00533A1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The synthesized membrane showed excellent permeability as well as higher fouling resistance over a commercially used UF membrane  </w:t>
            </w:r>
          </w:p>
        </w:tc>
        <w:tc>
          <w:tcPr>
            <w:tcW w:w="566" w:type="dxa"/>
            <w:tcBorders>
              <w:top w:val="nil"/>
              <w:left w:val="nil"/>
              <w:bottom w:val="single" w:sz="4" w:space="0" w:color="auto"/>
              <w:right w:val="nil"/>
            </w:tcBorders>
            <w:shd w:val="clear" w:color="000000" w:fill="FFFFFF"/>
            <w:vAlign w:val="center"/>
          </w:tcPr>
          <w:p w14:paraId="5E5E0B05" w14:textId="390853EE" w:rsidR="002D2143" w:rsidRPr="006D631C" w:rsidRDefault="002D2143" w:rsidP="00565194">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32</w:t>
            </w:r>
            <w:r w:rsidRPr="006D631C">
              <w:rPr>
                <w:color w:val="000000"/>
                <w:sz w:val="12"/>
                <w:szCs w:val="12"/>
              </w:rPr>
              <w:fldChar w:fldCharType="end"/>
            </w:r>
          </w:p>
        </w:tc>
      </w:tr>
      <w:tr w:rsidR="002D2143" w:rsidRPr="006D631C" w14:paraId="0CEDB483" w14:textId="77777777" w:rsidTr="0093049F">
        <w:trPr>
          <w:trHeight w:val="20"/>
        </w:trPr>
        <w:tc>
          <w:tcPr>
            <w:tcW w:w="851" w:type="dxa"/>
            <w:vMerge/>
            <w:tcBorders>
              <w:left w:val="nil"/>
              <w:bottom w:val="single" w:sz="4" w:space="0" w:color="auto"/>
              <w:right w:val="nil"/>
            </w:tcBorders>
            <w:vAlign w:val="center"/>
          </w:tcPr>
          <w:p w14:paraId="300FA7B4" w14:textId="77777777" w:rsidR="002D2143" w:rsidRPr="006D631C" w:rsidRDefault="002D2143" w:rsidP="00565194">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63A16C18" w14:textId="57816051" w:rsidR="002D2143" w:rsidRPr="006D631C" w:rsidRDefault="002D2143" w:rsidP="00565194">
            <w:pPr>
              <w:spacing w:line="240" w:lineRule="auto"/>
              <w:jc w:val="left"/>
              <w:rPr>
                <w:color w:val="000000"/>
                <w:sz w:val="12"/>
                <w:szCs w:val="12"/>
              </w:rPr>
            </w:pPr>
            <w:r w:rsidRPr="006D631C">
              <w:rPr>
                <w:color w:val="000000"/>
                <w:sz w:val="12"/>
                <w:szCs w:val="12"/>
              </w:rPr>
              <w:t>A-19</w:t>
            </w:r>
          </w:p>
        </w:tc>
        <w:tc>
          <w:tcPr>
            <w:tcW w:w="567" w:type="dxa"/>
            <w:tcBorders>
              <w:top w:val="nil"/>
              <w:left w:val="nil"/>
              <w:bottom w:val="single" w:sz="4" w:space="0" w:color="auto"/>
              <w:right w:val="nil"/>
            </w:tcBorders>
            <w:shd w:val="clear" w:color="000000" w:fill="FFFFFF"/>
            <w:vAlign w:val="center"/>
          </w:tcPr>
          <w:p w14:paraId="42BCCE67" w14:textId="1958D639" w:rsidR="002D2143" w:rsidRPr="006D631C" w:rsidRDefault="002D2143" w:rsidP="00565194">
            <w:pPr>
              <w:spacing w:line="240" w:lineRule="auto"/>
              <w:jc w:val="left"/>
              <w:rPr>
                <w:color w:val="000000"/>
                <w:sz w:val="12"/>
                <w:szCs w:val="12"/>
              </w:rPr>
            </w:pPr>
            <w:r w:rsidRPr="006D631C">
              <w:rPr>
                <w:color w:val="000000"/>
                <w:sz w:val="12"/>
                <w:szCs w:val="12"/>
              </w:rPr>
              <w:t>C-8</w:t>
            </w:r>
          </w:p>
        </w:tc>
        <w:tc>
          <w:tcPr>
            <w:tcW w:w="709" w:type="dxa"/>
            <w:tcBorders>
              <w:top w:val="nil"/>
              <w:left w:val="nil"/>
              <w:bottom w:val="single" w:sz="4" w:space="0" w:color="auto"/>
              <w:right w:val="nil"/>
            </w:tcBorders>
            <w:shd w:val="clear" w:color="000000" w:fill="FFFFFF"/>
            <w:vAlign w:val="center"/>
          </w:tcPr>
          <w:p w14:paraId="60471EA8" w14:textId="001F1789" w:rsidR="002D2143" w:rsidRPr="006D631C" w:rsidRDefault="002D2143" w:rsidP="00565194">
            <w:pPr>
              <w:spacing w:line="240" w:lineRule="auto"/>
              <w:jc w:val="left"/>
              <w:rPr>
                <w:color w:val="000000"/>
                <w:sz w:val="12"/>
                <w:szCs w:val="12"/>
              </w:rPr>
            </w:pPr>
            <w:r w:rsidRPr="006D631C">
              <w:rPr>
                <w:color w:val="000000"/>
                <w:sz w:val="12"/>
                <w:szCs w:val="12"/>
              </w:rPr>
              <w:t>I-15</w:t>
            </w:r>
          </w:p>
        </w:tc>
        <w:tc>
          <w:tcPr>
            <w:tcW w:w="1134" w:type="dxa"/>
            <w:tcBorders>
              <w:top w:val="nil"/>
              <w:left w:val="nil"/>
              <w:bottom w:val="single" w:sz="4" w:space="0" w:color="auto"/>
              <w:right w:val="nil"/>
            </w:tcBorders>
            <w:shd w:val="clear" w:color="000000" w:fill="FFFFFF"/>
            <w:vAlign w:val="center"/>
          </w:tcPr>
          <w:p w14:paraId="236FF9AF" w14:textId="444BE80B" w:rsidR="002D2143" w:rsidRPr="006D631C" w:rsidRDefault="002D2143" w:rsidP="00565194">
            <w:pPr>
              <w:spacing w:line="240" w:lineRule="auto"/>
              <w:jc w:val="left"/>
              <w:rPr>
                <w:color w:val="000000"/>
                <w:sz w:val="12"/>
                <w:szCs w:val="12"/>
              </w:rPr>
            </w:pPr>
            <w:r w:rsidRPr="006D631C">
              <w:rPr>
                <w:color w:val="000000"/>
                <w:sz w:val="12"/>
                <w:szCs w:val="12"/>
              </w:rPr>
              <w:t>40 - 55 / 25 (H</w:t>
            </w:r>
            <w:r w:rsidRPr="006D631C">
              <w:rPr>
                <w:color w:val="000000"/>
                <w:sz w:val="12"/>
                <w:szCs w:val="12"/>
                <w:vertAlign w:val="subscript"/>
              </w:rPr>
              <w:t>2</w:t>
            </w:r>
            <w:r w:rsidRPr="006D631C">
              <w:rPr>
                <w:color w:val="000000"/>
                <w:sz w:val="12"/>
                <w:szCs w:val="12"/>
              </w:rPr>
              <w:t>)</w:t>
            </w:r>
            <w:r w:rsidRPr="006D631C">
              <w:rPr>
                <w:color w:val="000000"/>
                <w:sz w:val="12"/>
                <w:szCs w:val="12"/>
              </w:rPr>
              <w:br/>
              <w:t>57 - 60 / 25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19CA8292" w14:textId="7D22641B" w:rsidR="002D2143" w:rsidRPr="006D631C" w:rsidRDefault="002D2143" w:rsidP="00565194">
            <w:pPr>
              <w:spacing w:line="240" w:lineRule="auto"/>
              <w:jc w:val="left"/>
              <w:rPr>
                <w:color w:val="000000"/>
                <w:sz w:val="12"/>
                <w:szCs w:val="12"/>
              </w:rPr>
            </w:pPr>
            <w:r w:rsidRPr="006D631C">
              <w:rPr>
                <w:color w:val="000000"/>
                <w:sz w:val="12"/>
                <w:szCs w:val="12"/>
              </w:rPr>
              <w:t>Retention of the structures</w:t>
            </w:r>
          </w:p>
        </w:tc>
        <w:tc>
          <w:tcPr>
            <w:tcW w:w="993" w:type="dxa"/>
            <w:tcBorders>
              <w:top w:val="nil"/>
              <w:left w:val="nil"/>
              <w:bottom w:val="single" w:sz="4" w:space="0" w:color="auto"/>
              <w:right w:val="nil"/>
            </w:tcBorders>
            <w:shd w:val="clear" w:color="000000" w:fill="FFFFFF"/>
            <w:noWrap/>
            <w:vAlign w:val="center"/>
          </w:tcPr>
          <w:p w14:paraId="08FFE645" w14:textId="2B676DCD" w:rsidR="002D2143" w:rsidRPr="006D631C" w:rsidRDefault="002D2143" w:rsidP="00565194">
            <w:pPr>
              <w:spacing w:line="240" w:lineRule="auto"/>
              <w:jc w:val="left"/>
              <w:rPr>
                <w:color w:val="000000"/>
                <w:sz w:val="12"/>
                <w:szCs w:val="12"/>
              </w:rPr>
            </w:pPr>
            <w:r w:rsidRPr="006D631C">
              <w:rPr>
                <w:color w:val="000000"/>
                <w:sz w:val="12"/>
                <w:szCs w:val="12"/>
              </w:rPr>
              <w:t>6.6 - 7.4 (H</w:t>
            </w:r>
            <w:r w:rsidRPr="006D631C">
              <w:rPr>
                <w:color w:val="000000"/>
                <w:sz w:val="12"/>
                <w:szCs w:val="12"/>
                <w:vertAlign w:val="subscript"/>
              </w:rPr>
              <w:t>2</w:t>
            </w:r>
            <w:r w:rsidRPr="006D631C">
              <w:rPr>
                <w:color w:val="000000"/>
                <w:sz w:val="12"/>
                <w:szCs w:val="12"/>
              </w:rPr>
              <w:t>)</w:t>
            </w:r>
            <w:r w:rsidRPr="006D631C">
              <w:rPr>
                <w:color w:val="000000"/>
                <w:sz w:val="12"/>
                <w:szCs w:val="12"/>
              </w:rPr>
              <w:br/>
              <w:t>6 - 10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5C31A6A1" w14:textId="39EC0D0B" w:rsidR="002D2143" w:rsidRPr="006D631C" w:rsidRDefault="002D2143" w:rsidP="00565194">
            <w:pPr>
              <w:spacing w:line="240" w:lineRule="auto"/>
              <w:jc w:val="left"/>
              <w:rPr>
                <w:color w:val="000000"/>
                <w:sz w:val="12"/>
                <w:szCs w:val="12"/>
              </w:rPr>
            </w:pPr>
            <w:r w:rsidRPr="006D631C">
              <w:rPr>
                <w:color w:val="000000"/>
                <w:sz w:val="12"/>
                <w:szCs w:val="12"/>
              </w:rPr>
              <w:t>7.32 - 7.41 (H</w:t>
            </w:r>
            <w:r w:rsidRPr="006D631C">
              <w:rPr>
                <w:color w:val="000000"/>
                <w:sz w:val="12"/>
                <w:szCs w:val="12"/>
                <w:vertAlign w:val="subscript"/>
              </w:rPr>
              <w:t>2</w:t>
            </w:r>
            <w:r w:rsidRPr="006D631C">
              <w:rPr>
                <w:color w:val="000000"/>
                <w:sz w:val="12"/>
                <w:szCs w:val="12"/>
              </w:rPr>
              <w:t>)</w:t>
            </w:r>
            <w:r w:rsidRPr="006D631C">
              <w:rPr>
                <w:color w:val="000000"/>
                <w:sz w:val="12"/>
                <w:szCs w:val="12"/>
              </w:rPr>
              <w:br/>
              <w:t>6 - 10.18 (L</w:t>
            </w:r>
            <w:r w:rsidRPr="006D631C">
              <w:rPr>
                <w:color w:val="000000"/>
                <w:sz w:val="12"/>
                <w:szCs w:val="12"/>
                <w:vertAlign w:val="subscript"/>
              </w:rPr>
              <w:t>α</w:t>
            </w: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0DEB6768" w14:textId="77777777" w:rsidR="002D2143" w:rsidRPr="006D631C" w:rsidRDefault="002D2143" w:rsidP="00565194">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&lt; H</w:t>
            </w:r>
            <w:r w:rsidRPr="006D631C">
              <w:rPr>
                <w:rFonts w:eastAsia="Times New Roman" w:cs="Times New Roman"/>
                <w:color w:val="000000"/>
                <w:sz w:val="12"/>
                <w:szCs w:val="12"/>
                <w:vertAlign w:val="subscript"/>
              </w:rPr>
              <w:t xml:space="preserve">2 </w:t>
            </w:r>
            <w:r w:rsidRPr="006D631C">
              <w:rPr>
                <w:rFonts w:eastAsia="Times New Roman" w:cs="Times New Roman"/>
                <w:color w:val="000000"/>
                <w:sz w:val="12"/>
                <w:szCs w:val="12"/>
              </w:rPr>
              <w:t>&lt;&lt;&lt; non-LLC</w:t>
            </w:r>
          </w:p>
          <w:p w14:paraId="77D245DA" w14:textId="07613F6E" w:rsidR="002D2143" w:rsidRPr="006D631C" w:rsidRDefault="002D2143" w:rsidP="00AB2100">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A-19a, A-19c, and A-19d were used</w:t>
            </w:r>
          </w:p>
        </w:tc>
        <w:tc>
          <w:tcPr>
            <w:tcW w:w="566" w:type="dxa"/>
            <w:tcBorders>
              <w:top w:val="nil"/>
              <w:left w:val="nil"/>
              <w:bottom w:val="single" w:sz="4" w:space="0" w:color="auto"/>
              <w:right w:val="nil"/>
            </w:tcBorders>
            <w:shd w:val="clear" w:color="000000" w:fill="FFFFFF"/>
            <w:vAlign w:val="center"/>
          </w:tcPr>
          <w:p w14:paraId="58CEB474" w14:textId="269BCE2A" w:rsidR="002D2143" w:rsidRPr="006D631C" w:rsidRDefault="002D2143" w:rsidP="00565194">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56</w:t>
            </w:r>
            <w:r w:rsidRPr="006D631C">
              <w:rPr>
                <w:color w:val="000000"/>
                <w:sz w:val="12"/>
                <w:szCs w:val="12"/>
              </w:rPr>
              <w:fldChar w:fldCharType="end"/>
            </w:r>
          </w:p>
        </w:tc>
      </w:tr>
      <w:tr w:rsidR="002D2143" w:rsidRPr="006D631C" w14:paraId="104F01E9" w14:textId="77777777" w:rsidTr="0093049F">
        <w:trPr>
          <w:trHeight w:val="20"/>
        </w:trPr>
        <w:tc>
          <w:tcPr>
            <w:tcW w:w="851" w:type="dxa"/>
            <w:vMerge w:val="restart"/>
            <w:tcBorders>
              <w:top w:val="single" w:sz="4" w:space="0" w:color="auto"/>
              <w:left w:val="nil"/>
              <w:bottom w:val="single" w:sz="4" w:space="0" w:color="000000"/>
              <w:right w:val="nil"/>
            </w:tcBorders>
            <w:shd w:val="clear" w:color="000000" w:fill="FFFFFF"/>
            <w:vAlign w:val="center"/>
          </w:tcPr>
          <w:p w14:paraId="72C652E9" w14:textId="2BF212EC" w:rsidR="002D2143" w:rsidRPr="006D631C" w:rsidRDefault="002D2143" w:rsidP="002D2143">
            <w:pPr>
              <w:spacing w:line="240" w:lineRule="auto"/>
              <w:jc w:val="left"/>
              <w:rPr>
                <w:color w:val="000000"/>
                <w:sz w:val="12"/>
                <w:szCs w:val="12"/>
              </w:rPr>
            </w:pPr>
            <w:r w:rsidRPr="006D631C">
              <w:rPr>
                <w:color w:val="000000"/>
                <w:sz w:val="12"/>
                <w:szCs w:val="12"/>
              </w:rPr>
              <w:t>M-5</w:t>
            </w:r>
          </w:p>
        </w:tc>
        <w:tc>
          <w:tcPr>
            <w:tcW w:w="850" w:type="dxa"/>
            <w:tcBorders>
              <w:top w:val="single" w:sz="4" w:space="0" w:color="auto"/>
              <w:left w:val="nil"/>
              <w:bottom w:val="single" w:sz="4" w:space="0" w:color="auto"/>
              <w:right w:val="nil"/>
            </w:tcBorders>
            <w:shd w:val="clear" w:color="000000" w:fill="FFFFFF"/>
            <w:noWrap/>
            <w:vAlign w:val="center"/>
          </w:tcPr>
          <w:p w14:paraId="3D67A736" w14:textId="00CCC061" w:rsidR="002D2143" w:rsidRPr="006D631C" w:rsidRDefault="002D2143" w:rsidP="002D2143">
            <w:pPr>
              <w:spacing w:line="240" w:lineRule="auto"/>
              <w:jc w:val="left"/>
              <w:rPr>
                <w:color w:val="000000"/>
                <w:sz w:val="12"/>
                <w:szCs w:val="12"/>
              </w:rPr>
            </w:pPr>
            <w:r w:rsidRPr="006D631C">
              <w:rPr>
                <w:color w:val="000000"/>
                <w:sz w:val="12"/>
                <w:szCs w:val="12"/>
              </w:rPr>
              <w:t>A-3</w:t>
            </w:r>
          </w:p>
        </w:tc>
        <w:tc>
          <w:tcPr>
            <w:tcW w:w="567" w:type="dxa"/>
            <w:tcBorders>
              <w:top w:val="single" w:sz="4" w:space="0" w:color="auto"/>
              <w:left w:val="nil"/>
              <w:bottom w:val="single" w:sz="4" w:space="0" w:color="auto"/>
              <w:right w:val="nil"/>
            </w:tcBorders>
            <w:shd w:val="clear" w:color="000000" w:fill="FFFFFF"/>
            <w:vAlign w:val="center"/>
          </w:tcPr>
          <w:p w14:paraId="4C86921E" w14:textId="49FCF825"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709" w:type="dxa"/>
            <w:tcBorders>
              <w:top w:val="single" w:sz="4" w:space="0" w:color="auto"/>
              <w:left w:val="nil"/>
              <w:bottom w:val="single" w:sz="4" w:space="0" w:color="auto"/>
              <w:right w:val="nil"/>
            </w:tcBorders>
            <w:shd w:val="clear" w:color="000000" w:fill="FFFFFF"/>
            <w:vAlign w:val="center"/>
          </w:tcPr>
          <w:p w14:paraId="61A05805" w14:textId="08C8720C" w:rsidR="002D2143" w:rsidRPr="006D631C" w:rsidRDefault="002D2143" w:rsidP="002D2143">
            <w:pPr>
              <w:spacing w:line="240" w:lineRule="auto"/>
              <w:jc w:val="left"/>
              <w:rPr>
                <w:color w:val="000000"/>
                <w:sz w:val="12"/>
                <w:szCs w:val="12"/>
              </w:rPr>
            </w:pPr>
            <w:r w:rsidRPr="006D631C">
              <w:rPr>
                <w:color w:val="000000"/>
                <w:sz w:val="12"/>
                <w:szCs w:val="12"/>
              </w:rPr>
              <w:t>I-2</w:t>
            </w:r>
          </w:p>
        </w:tc>
        <w:tc>
          <w:tcPr>
            <w:tcW w:w="1134" w:type="dxa"/>
            <w:tcBorders>
              <w:top w:val="single" w:sz="4" w:space="0" w:color="auto"/>
              <w:left w:val="nil"/>
              <w:bottom w:val="single" w:sz="4" w:space="0" w:color="auto"/>
              <w:right w:val="nil"/>
            </w:tcBorders>
            <w:shd w:val="clear" w:color="000000" w:fill="FFFFFF"/>
            <w:vAlign w:val="center"/>
          </w:tcPr>
          <w:p w14:paraId="5F5DB0D3" w14:textId="2FB93684" w:rsidR="002D2143" w:rsidRPr="006D631C" w:rsidRDefault="002D2143" w:rsidP="002D2143">
            <w:pPr>
              <w:spacing w:line="240" w:lineRule="auto"/>
              <w:jc w:val="left"/>
              <w:rPr>
                <w:color w:val="000000"/>
                <w:sz w:val="12"/>
                <w:szCs w:val="12"/>
              </w:rPr>
            </w:pPr>
            <w:r w:rsidRPr="006D631C">
              <w:rPr>
                <w:color w:val="000000"/>
                <w:sz w:val="12"/>
                <w:szCs w:val="12"/>
              </w:rPr>
              <w:t>50 / 25 (H</w:t>
            </w:r>
            <w:r w:rsidRPr="006D631C">
              <w:rPr>
                <w:color w:val="000000"/>
                <w:sz w:val="12"/>
                <w:szCs w:val="12"/>
                <w:vertAlign w:val="subscript"/>
              </w:rPr>
              <w:t>1</w:t>
            </w:r>
            <w:r w:rsidRPr="006D631C">
              <w:rPr>
                <w:color w:val="000000"/>
                <w:sz w:val="12"/>
                <w:szCs w:val="12"/>
              </w:rPr>
              <w:t>)</w:t>
            </w:r>
          </w:p>
        </w:tc>
        <w:tc>
          <w:tcPr>
            <w:tcW w:w="992" w:type="dxa"/>
            <w:tcBorders>
              <w:top w:val="single" w:sz="4" w:space="0" w:color="auto"/>
              <w:left w:val="nil"/>
              <w:bottom w:val="single" w:sz="4" w:space="0" w:color="auto"/>
              <w:right w:val="nil"/>
            </w:tcBorders>
            <w:shd w:val="clear" w:color="000000" w:fill="FFFFFF"/>
            <w:noWrap/>
            <w:vAlign w:val="center"/>
          </w:tcPr>
          <w:p w14:paraId="285575E8" w14:textId="6BCD37DD" w:rsidR="002D2143" w:rsidRPr="006D631C" w:rsidRDefault="002D2143" w:rsidP="002D2143">
            <w:pPr>
              <w:spacing w:line="240" w:lineRule="auto"/>
              <w:jc w:val="left"/>
              <w:rPr>
                <w:color w:val="000000"/>
                <w:sz w:val="12"/>
                <w:szCs w:val="12"/>
              </w:rPr>
            </w:pPr>
            <w:r w:rsidRPr="006D631C">
              <w:rPr>
                <w:color w:val="000000"/>
                <w:sz w:val="12"/>
                <w:szCs w:val="12"/>
              </w:rPr>
              <w:t>Disordered structure</w:t>
            </w:r>
          </w:p>
        </w:tc>
        <w:tc>
          <w:tcPr>
            <w:tcW w:w="993" w:type="dxa"/>
            <w:tcBorders>
              <w:top w:val="single" w:sz="4" w:space="0" w:color="auto"/>
              <w:left w:val="nil"/>
              <w:bottom w:val="single" w:sz="4" w:space="0" w:color="auto"/>
              <w:right w:val="nil"/>
            </w:tcBorders>
            <w:shd w:val="clear" w:color="000000" w:fill="FFFFFF"/>
            <w:noWrap/>
            <w:vAlign w:val="center"/>
          </w:tcPr>
          <w:p w14:paraId="7199044B" w14:textId="3AE504A8"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1134" w:type="dxa"/>
            <w:tcBorders>
              <w:top w:val="single" w:sz="4" w:space="0" w:color="auto"/>
              <w:left w:val="nil"/>
              <w:bottom w:val="single" w:sz="4" w:space="0" w:color="auto"/>
              <w:right w:val="nil"/>
            </w:tcBorders>
            <w:shd w:val="clear" w:color="000000" w:fill="FFFFFF"/>
            <w:noWrap/>
            <w:vAlign w:val="bottom"/>
          </w:tcPr>
          <w:p w14:paraId="1646A83C" w14:textId="7EF0861B" w:rsidR="002D2143" w:rsidRPr="006D631C" w:rsidRDefault="002D2143" w:rsidP="002D2143">
            <w:pPr>
              <w:spacing w:line="240" w:lineRule="auto"/>
              <w:jc w:val="left"/>
              <w:rPr>
                <w:color w:val="000000"/>
                <w:sz w:val="12"/>
                <w:szCs w:val="12"/>
              </w:rPr>
            </w:pPr>
            <w:r w:rsidRPr="006D631C">
              <w:rPr>
                <w:rFonts w:ascii="Calibri" w:hAnsi="Calibri" w:cs="Calibri"/>
                <w:color w:val="000000"/>
                <w:sz w:val="12"/>
                <w:szCs w:val="12"/>
              </w:rPr>
              <w:t>-</w:t>
            </w:r>
          </w:p>
        </w:tc>
        <w:tc>
          <w:tcPr>
            <w:tcW w:w="5103" w:type="dxa"/>
            <w:tcBorders>
              <w:top w:val="single" w:sz="4" w:space="0" w:color="auto"/>
              <w:left w:val="nil"/>
              <w:bottom w:val="single" w:sz="4" w:space="0" w:color="auto"/>
              <w:right w:val="nil"/>
            </w:tcBorders>
            <w:shd w:val="clear" w:color="000000" w:fill="FFFFFF"/>
            <w:noWrap/>
            <w:vAlign w:val="center"/>
          </w:tcPr>
          <w:p w14:paraId="2FB0CA5C" w14:textId="4D6F5735" w:rsidR="002D2143" w:rsidRPr="006D631C" w:rsidRDefault="005E4621" w:rsidP="005E4621">
            <w:pPr>
              <w:spacing w:line="240" w:lineRule="auto"/>
              <w:jc w:val="left"/>
              <w:rPr>
                <w:color w:val="000000"/>
                <w:sz w:val="12"/>
                <w:szCs w:val="12"/>
              </w:rPr>
            </w:pPr>
            <w:r w:rsidRPr="006D631C">
              <w:rPr>
                <w:color w:val="000000"/>
                <w:sz w:val="12"/>
                <w:szCs w:val="12"/>
              </w:rPr>
              <w:t>-</w:t>
            </w:r>
          </w:p>
        </w:tc>
        <w:tc>
          <w:tcPr>
            <w:tcW w:w="566" w:type="dxa"/>
            <w:tcBorders>
              <w:top w:val="single" w:sz="4" w:space="0" w:color="auto"/>
              <w:left w:val="nil"/>
              <w:bottom w:val="single" w:sz="4" w:space="0" w:color="auto"/>
              <w:right w:val="nil"/>
            </w:tcBorders>
            <w:shd w:val="clear" w:color="000000" w:fill="FFFFFF"/>
            <w:vAlign w:val="center"/>
          </w:tcPr>
          <w:p w14:paraId="2C4FE69E" w14:textId="1C1B79E9" w:rsidR="002D2143" w:rsidRPr="006D631C" w:rsidRDefault="002D2143" w:rsidP="000B67AC">
            <w:pPr>
              <w:spacing w:line="240" w:lineRule="auto"/>
              <w:jc w:val="left"/>
              <w:rPr>
                <w:color w:val="000000"/>
                <w:sz w:val="12"/>
                <w:szCs w:val="12"/>
              </w:rPr>
            </w:pPr>
            <w:r w:rsidRPr="006D631C">
              <w:rPr>
                <w:rFonts w:asciiTheme="majorBidi" w:hAnsiTheme="majorBidi" w:cstheme="majorBidi"/>
                <w:color w:val="000000"/>
                <w:sz w:val="12"/>
                <w:szCs w:val="12"/>
              </w:rPr>
              <w:fldChar w:fldCharType="begin" w:fldLock="1"/>
            </w:r>
            <w:r w:rsidR="004C7F22" w:rsidRPr="006D631C">
              <w:rPr>
                <w:rFonts w:asciiTheme="majorBidi" w:hAnsiTheme="majorBidi" w:cstheme="majorBidi"/>
                <w:color w:val="000000"/>
                <w:sz w:val="12"/>
                <w:szCs w:val="12"/>
              </w:rPr>
              <w:instrText>ADDIN CSL_CITATION {"citationItems":[{"id":"ITEM-1","itemData":{"author":[{"dropping-particle":"","family":"DePierro","given":"Michael A.","non-dropping-particle":"","parse-names":false,"suffix":""},{"dropping-particle":"","family":"Carpenter","given":"Kyle G.","non-dropping-particle":"","parse-names":false,"suffix":""},{"dropping-particle":"","family":"Guymon","given":"C. A.","non-dropping-particle":"","parse-names":false,"suffix":""}],"container-title":"Radtech Technical Proceedings","id":"ITEM-1","issue":"-","issued":{"date-parts":[["2006"]]},"page":"-","title":"Nanostructure Development of Polymers Templated from Lyotropic Liquid Crystals","type":"article-journal","volume":"-"},"uris":["http://www.mendeley.com/documents/?uuid=2586cb60-8c78-474d-9556-16c9719a021a"]}],"mendeley":{"formattedCitation":"&lt;sup&gt;159&lt;/sup&gt;","plainTextFormattedCitation":"159","previouslyFormattedCitation":"&lt;sup&gt;159&lt;/sup&gt;"},"properties":{"noteIndex":0},"schema":"https://github.com/citation-style-language/schema/raw/master/csl-citation.json"}</w:instrText>
            </w:r>
            <w:r w:rsidRPr="006D631C">
              <w:rPr>
                <w:rFonts w:asciiTheme="majorBidi" w:hAnsiTheme="majorBidi" w:cstheme="majorBidi"/>
                <w:color w:val="000000"/>
                <w:sz w:val="12"/>
                <w:szCs w:val="12"/>
              </w:rPr>
              <w:fldChar w:fldCharType="separate"/>
            </w:r>
            <w:r w:rsidR="000B67AC" w:rsidRPr="006D631C">
              <w:rPr>
                <w:rFonts w:asciiTheme="majorBidi" w:hAnsiTheme="majorBidi" w:cstheme="majorBidi"/>
                <w:noProof/>
                <w:color w:val="000000"/>
                <w:sz w:val="12"/>
                <w:szCs w:val="12"/>
                <w:vertAlign w:val="superscript"/>
              </w:rPr>
              <w:t>159</w:t>
            </w:r>
            <w:r w:rsidRPr="006D631C">
              <w:rPr>
                <w:rFonts w:asciiTheme="majorBidi" w:hAnsiTheme="majorBidi" w:cstheme="majorBidi"/>
                <w:color w:val="000000"/>
                <w:sz w:val="12"/>
                <w:szCs w:val="12"/>
              </w:rPr>
              <w:fldChar w:fldCharType="end"/>
            </w:r>
          </w:p>
        </w:tc>
      </w:tr>
      <w:tr w:rsidR="002D2143" w:rsidRPr="006D631C" w14:paraId="65084140" w14:textId="77777777" w:rsidTr="007D350B">
        <w:trPr>
          <w:trHeight w:val="20"/>
        </w:trPr>
        <w:tc>
          <w:tcPr>
            <w:tcW w:w="851" w:type="dxa"/>
            <w:vMerge/>
            <w:tcBorders>
              <w:top w:val="nil"/>
              <w:left w:val="nil"/>
              <w:bottom w:val="single" w:sz="4" w:space="0" w:color="000000"/>
              <w:right w:val="nil"/>
            </w:tcBorders>
            <w:vAlign w:val="center"/>
          </w:tcPr>
          <w:p w14:paraId="4208F833" w14:textId="77777777" w:rsidR="002D2143" w:rsidRPr="006D631C" w:rsidRDefault="002D2143" w:rsidP="002D2143">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6D268AFA" w14:textId="0CCBE3B2" w:rsidR="002D2143" w:rsidRPr="006D631C" w:rsidRDefault="002D2143" w:rsidP="002D2143">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7AAE7979" w14:textId="04EAD306"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12772373" w14:textId="3FAE38DD" w:rsidR="002D2143" w:rsidRPr="006D631C" w:rsidRDefault="002D2143" w:rsidP="002D2143">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7F97BC6E" w14:textId="6F6D2304" w:rsidR="002D2143" w:rsidRPr="006D631C" w:rsidRDefault="002D2143" w:rsidP="002D2143">
            <w:pPr>
              <w:spacing w:line="240" w:lineRule="auto"/>
              <w:jc w:val="left"/>
              <w:rPr>
                <w:color w:val="000000"/>
                <w:sz w:val="12"/>
                <w:szCs w:val="12"/>
              </w:rPr>
            </w:pPr>
            <w:r w:rsidRPr="006D631C">
              <w:rPr>
                <w:color w:val="000000"/>
                <w:sz w:val="12"/>
                <w:szCs w:val="12"/>
              </w:rPr>
              <w:t>30 / 10 (L</w:t>
            </w:r>
            <w:r w:rsidRPr="006D631C">
              <w:rPr>
                <w:color w:val="000000"/>
                <w:sz w:val="12"/>
                <w:szCs w:val="12"/>
                <w:vertAlign w:val="subscript"/>
              </w:rPr>
              <w:t>1</w:t>
            </w:r>
            <w:r w:rsidRPr="006D631C">
              <w:rPr>
                <w:color w:val="000000"/>
                <w:sz w:val="12"/>
                <w:szCs w:val="12"/>
              </w:rPr>
              <w:t>)</w:t>
            </w:r>
            <w:r w:rsidRPr="006D631C">
              <w:rPr>
                <w:color w:val="000000"/>
                <w:sz w:val="12"/>
                <w:szCs w:val="12"/>
              </w:rPr>
              <w:br/>
              <w:t>50 / 10 (H</w:t>
            </w:r>
            <w:r w:rsidRPr="006D631C">
              <w:rPr>
                <w:color w:val="000000"/>
                <w:sz w:val="12"/>
                <w:szCs w:val="12"/>
                <w:vertAlign w:val="subscript"/>
              </w:rPr>
              <w:t>1</w:t>
            </w:r>
            <w:r w:rsidRPr="006D631C">
              <w:rPr>
                <w:color w:val="000000"/>
                <w:sz w:val="12"/>
                <w:szCs w:val="12"/>
              </w:rPr>
              <w:t>)</w:t>
            </w:r>
            <w:r w:rsidRPr="006D631C">
              <w:rPr>
                <w:color w:val="000000"/>
                <w:sz w:val="12"/>
                <w:szCs w:val="12"/>
              </w:rPr>
              <w:br/>
              <w:t>80 / 10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7B24B700" w14:textId="6C55BB48" w:rsidR="002D2143" w:rsidRPr="006D631C" w:rsidRDefault="002D2143" w:rsidP="002D2143">
            <w:pPr>
              <w:spacing w:line="240" w:lineRule="auto"/>
              <w:jc w:val="left"/>
              <w:rPr>
                <w:color w:val="000000"/>
                <w:sz w:val="12"/>
                <w:szCs w:val="12"/>
              </w:rPr>
            </w:pPr>
            <w:r w:rsidRPr="006D631C">
              <w:rPr>
                <w:color w:val="000000"/>
                <w:sz w:val="12"/>
                <w:szCs w:val="12"/>
              </w:rPr>
              <w:t>Disordered structure for H</w:t>
            </w:r>
            <w:r w:rsidRPr="006D631C">
              <w:rPr>
                <w:color w:val="000000"/>
                <w:sz w:val="12"/>
                <w:szCs w:val="12"/>
                <w:vertAlign w:val="subscript"/>
              </w:rPr>
              <w:t>1</w:t>
            </w:r>
          </w:p>
        </w:tc>
        <w:tc>
          <w:tcPr>
            <w:tcW w:w="993" w:type="dxa"/>
            <w:tcBorders>
              <w:top w:val="nil"/>
              <w:left w:val="nil"/>
              <w:bottom w:val="single" w:sz="4" w:space="0" w:color="auto"/>
              <w:right w:val="nil"/>
            </w:tcBorders>
            <w:shd w:val="clear" w:color="000000" w:fill="FFFFFF"/>
            <w:noWrap/>
            <w:vAlign w:val="center"/>
          </w:tcPr>
          <w:p w14:paraId="4A8D82B2" w14:textId="2FFEB491" w:rsidR="002D2143" w:rsidRPr="006D631C" w:rsidRDefault="002D2143" w:rsidP="002D2143">
            <w:pPr>
              <w:spacing w:line="240" w:lineRule="auto"/>
              <w:jc w:val="left"/>
              <w:rPr>
                <w:color w:val="000000"/>
                <w:sz w:val="12"/>
                <w:szCs w:val="12"/>
              </w:rPr>
            </w:pPr>
            <w:r w:rsidRPr="006D631C">
              <w:rPr>
                <w:color w:val="000000"/>
                <w:sz w:val="12"/>
                <w:szCs w:val="12"/>
              </w:rPr>
              <w:t>4.92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31DBBEB5" w14:textId="5961D872" w:rsidR="002D2143" w:rsidRPr="006D631C" w:rsidRDefault="002D2143" w:rsidP="002D2143">
            <w:pPr>
              <w:spacing w:line="240" w:lineRule="auto"/>
              <w:jc w:val="left"/>
              <w:rPr>
                <w:color w:val="000000"/>
                <w:sz w:val="12"/>
                <w:szCs w:val="12"/>
              </w:rPr>
            </w:pPr>
            <w:r w:rsidRPr="006D631C">
              <w:rPr>
                <w:color w:val="000000"/>
                <w:sz w:val="12"/>
                <w:szCs w:val="12"/>
              </w:rPr>
              <w:t>4.46 (H</w:t>
            </w:r>
            <w:r w:rsidRPr="006D631C">
              <w:rPr>
                <w:color w:val="000000"/>
                <w:sz w:val="12"/>
                <w:szCs w:val="12"/>
                <w:vertAlign w:val="subscript"/>
              </w:rPr>
              <w:t>1</w:t>
            </w: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0F6856F3" w14:textId="568997D2" w:rsidR="002D2143" w:rsidRPr="006D631C" w:rsidRDefault="00BC0D70" w:rsidP="00E64399">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&lt;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L</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 xml:space="preserve">&lt; </w:t>
            </w:r>
            <w:r w:rsidR="00E64399" w:rsidRPr="006D631C">
              <w:rPr>
                <w:rFonts w:eastAsia="Times New Roman" w:cs="Times New Roman"/>
                <w:color w:val="000000"/>
                <w:sz w:val="12"/>
                <w:szCs w:val="12"/>
              </w:rPr>
              <w:t xml:space="preserve">mixed phase of </w:t>
            </w:r>
            <w:r w:rsidRPr="006D631C">
              <w:rPr>
                <w:rFonts w:eastAsia="Times New Roman" w:cs="Times New Roman"/>
                <w:color w:val="000000"/>
                <w:sz w:val="12"/>
                <w:szCs w:val="12"/>
              </w:rPr>
              <w:t>L</w:t>
            </w:r>
            <w:r w:rsidRPr="006D631C">
              <w:rPr>
                <w:rFonts w:eastAsia="Times New Roman" w:cs="Times New Roman"/>
                <w:color w:val="000000"/>
                <w:sz w:val="12"/>
                <w:szCs w:val="12"/>
                <w:vertAlign w:val="subscript"/>
              </w:rPr>
              <w:t>1</w:t>
            </w:r>
            <w:r w:rsidR="00E64399" w:rsidRPr="006D631C">
              <w:rPr>
                <w:rFonts w:eastAsia="Times New Roman" w:cs="Times New Roman"/>
                <w:color w:val="000000"/>
                <w:sz w:val="12"/>
                <w:szCs w:val="12"/>
              </w:rPr>
              <w:t xml:space="preserve"> and </w:t>
            </w:r>
            <w:r w:rsidRPr="006D631C">
              <w:rPr>
                <w:rFonts w:eastAsia="Times New Roman" w:cs="Times New Roman"/>
                <w:color w:val="000000"/>
                <w:sz w:val="12"/>
                <w:szCs w:val="12"/>
              </w:rPr>
              <w:t>H</w:t>
            </w:r>
            <w:r w:rsidRPr="006D631C">
              <w:rPr>
                <w:rFonts w:eastAsia="Times New Roman" w:cs="Times New Roman"/>
                <w:color w:val="000000"/>
                <w:sz w:val="12"/>
                <w:szCs w:val="12"/>
                <w:vertAlign w:val="subscript"/>
              </w:rPr>
              <w:t>1</w:t>
            </w:r>
          </w:p>
          <w:p w14:paraId="3C08665F" w14:textId="77777777" w:rsidR="00BC0D70" w:rsidRPr="006D631C" w:rsidRDefault="00BC0D70" w:rsidP="002D2143">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Higher reaction rate resulted in higher MW of the produced polymer</w:t>
            </w:r>
          </w:p>
          <w:p w14:paraId="562FE9A3" w14:textId="7D6022AA" w:rsidR="00BC0D70" w:rsidRPr="006D631C" w:rsidRDefault="00BC0D70" w:rsidP="002D2143">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Phase separation was seen for LLC and polymer for H</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structure</w:t>
            </w:r>
          </w:p>
        </w:tc>
        <w:tc>
          <w:tcPr>
            <w:tcW w:w="566" w:type="dxa"/>
            <w:tcBorders>
              <w:top w:val="nil"/>
              <w:left w:val="nil"/>
              <w:bottom w:val="single" w:sz="4" w:space="0" w:color="auto"/>
              <w:right w:val="nil"/>
            </w:tcBorders>
            <w:shd w:val="clear" w:color="000000" w:fill="FFFFFF"/>
            <w:vAlign w:val="center"/>
          </w:tcPr>
          <w:p w14:paraId="072301C9" w14:textId="10097692" w:rsidR="002D2143" w:rsidRPr="006D631C" w:rsidRDefault="002D2143" w:rsidP="002D2143">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Chemistry","id":"ITEM-1","issue":"1","issued":{"date-parts":[["2016","1","1"]]},"page":"144-154","title":"Radical polymerization behavior and molecular weight development of homologous monoacrylate monomers in lyotropic liquid crystal phases","type":"article-journal","volume":"54"},"uris":["http://www.mendeley.com/documents/?uuid=4f7b9c95-7916-4292-a0f1-82a611583a7f"]}],"mendeley":{"formattedCitation":"&lt;sup&gt;99&lt;/sup&gt;","plainTextFormattedCitation":"99","previouslyFormattedCitation":"&lt;sup&gt;99&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99</w:t>
            </w:r>
            <w:r w:rsidRPr="006D631C">
              <w:rPr>
                <w:color w:val="000000"/>
                <w:sz w:val="12"/>
                <w:szCs w:val="12"/>
              </w:rPr>
              <w:fldChar w:fldCharType="end"/>
            </w:r>
          </w:p>
        </w:tc>
      </w:tr>
      <w:tr w:rsidR="002D2143" w:rsidRPr="006D631C" w14:paraId="39F37016" w14:textId="77777777" w:rsidTr="007D350B">
        <w:trPr>
          <w:trHeight w:val="20"/>
        </w:trPr>
        <w:tc>
          <w:tcPr>
            <w:tcW w:w="851" w:type="dxa"/>
            <w:vMerge w:val="restart"/>
            <w:tcBorders>
              <w:top w:val="nil"/>
              <w:left w:val="nil"/>
              <w:bottom w:val="single" w:sz="4" w:space="0" w:color="000000"/>
              <w:right w:val="nil"/>
            </w:tcBorders>
            <w:shd w:val="clear" w:color="000000" w:fill="FFFFFF"/>
            <w:vAlign w:val="center"/>
          </w:tcPr>
          <w:p w14:paraId="7B456EAD" w14:textId="19C84C28" w:rsidR="002D2143" w:rsidRPr="006D631C" w:rsidRDefault="002D2143" w:rsidP="002D2143">
            <w:pPr>
              <w:spacing w:line="240" w:lineRule="auto"/>
              <w:jc w:val="left"/>
              <w:rPr>
                <w:color w:val="000000"/>
                <w:sz w:val="12"/>
                <w:szCs w:val="12"/>
              </w:rPr>
            </w:pPr>
            <w:r w:rsidRPr="006D631C">
              <w:rPr>
                <w:color w:val="000000"/>
                <w:sz w:val="12"/>
                <w:szCs w:val="12"/>
              </w:rPr>
              <w:t>M-6</w:t>
            </w:r>
          </w:p>
        </w:tc>
        <w:tc>
          <w:tcPr>
            <w:tcW w:w="850" w:type="dxa"/>
            <w:tcBorders>
              <w:top w:val="nil"/>
              <w:left w:val="nil"/>
              <w:bottom w:val="single" w:sz="4" w:space="0" w:color="auto"/>
              <w:right w:val="nil"/>
            </w:tcBorders>
            <w:shd w:val="clear" w:color="000000" w:fill="FFFFFF"/>
            <w:noWrap/>
            <w:vAlign w:val="center"/>
          </w:tcPr>
          <w:p w14:paraId="31B3C9E0" w14:textId="341E5427" w:rsidR="002D2143" w:rsidRPr="006D631C" w:rsidRDefault="002D2143" w:rsidP="002D2143">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595466EC" w14:textId="0A8F29CC"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15FD4FB1" w14:textId="3143317B" w:rsidR="002D2143" w:rsidRPr="006D631C" w:rsidRDefault="002D2143" w:rsidP="002D2143">
            <w:pPr>
              <w:spacing w:line="240" w:lineRule="auto"/>
              <w:jc w:val="left"/>
              <w:rPr>
                <w:color w:val="000000"/>
                <w:sz w:val="12"/>
                <w:szCs w:val="12"/>
              </w:rPr>
            </w:pPr>
            <w:r w:rsidRPr="006D631C">
              <w:rPr>
                <w:color w:val="000000"/>
                <w:sz w:val="12"/>
                <w:szCs w:val="12"/>
              </w:rPr>
              <w:t>I-2/I-5</w:t>
            </w:r>
          </w:p>
        </w:tc>
        <w:tc>
          <w:tcPr>
            <w:tcW w:w="1134" w:type="dxa"/>
            <w:tcBorders>
              <w:top w:val="nil"/>
              <w:left w:val="nil"/>
              <w:bottom w:val="single" w:sz="4" w:space="0" w:color="auto"/>
              <w:right w:val="nil"/>
            </w:tcBorders>
            <w:shd w:val="clear" w:color="000000" w:fill="FFFFFF"/>
            <w:vAlign w:val="center"/>
          </w:tcPr>
          <w:p w14:paraId="31E6F89E" w14:textId="5DC06D89" w:rsidR="002D2143" w:rsidRPr="006D631C" w:rsidRDefault="002D2143" w:rsidP="00AA23E0">
            <w:pPr>
              <w:spacing w:line="240" w:lineRule="auto"/>
              <w:jc w:val="left"/>
              <w:rPr>
                <w:color w:val="000000"/>
                <w:sz w:val="12"/>
                <w:szCs w:val="12"/>
              </w:rPr>
            </w:pPr>
            <w:r w:rsidRPr="006D631C">
              <w:rPr>
                <w:color w:val="000000"/>
                <w:sz w:val="12"/>
                <w:szCs w:val="12"/>
              </w:rPr>
              <w:t>35 / 10 (L</w:t>
            </w:r>
            <w:r w:rsidRPr="006D631C">
              <w:rPr>
                <w:color w:val="000000"/>
                <w:sz w:val="12"/>
                <w:szCs w:val="12"/>
                <w:vertAlign w:val="subscript"/>
              </w:rPr>
              <w:t>1</w:t>
            </w:r>
            <w:r w:rsidRPr="006D631C">
              <w:rPr>
                <w:color w:val="000000"/>
                <w:sz w:val="12"/>
                <w:szCs w:val="12"/>
              </w:rPr>
              <w:t>)</w:t>
            </w:r>
            <w:r w:rsidRPr="006D631C">
              <w:rPr>
                <w:color w:val="000000"/>
                <w:sz w:val="12"/>
                <w:szCs w:val="12"/>
              </w:rPr>
              <w:br/>
              <w:t>40 / 10 (</w:t>
            </w:r>
            <w:r w:rsidR="00AA23E0" w:rsidRPr="006D631C">
              <w:rPr>
                <w:color w:val="000000"/>
                <w:sz w:val="12"/>
                <w:szCs w:val="12"/>
              </w:rPr>
              <w:t>I</w:t>
            </w:r>
            <w:r w:rsidR="00AA23E0" w:rsidRPr="006D631C">
              <w:rPr>
                <w:color w:val="000000"/>
                <w:sz w:val="12"/>
                <w:szCs w:val="12"/>
                <w:vertAlign w:val="subscript"/>
              </w:rPr>
              <w:t>1</w:t>
            </w:r>
            <w:r w:rsidRPr="006D631C">
              <w:rPr>
                <w:color w:val="000000"/>
                <w:sz w:val="12"/>
                <w:szCs w:val="12"/>
              </w:rPr>
              <w:t>)</w:t>
            </w:r>
            <w:r w:rsidRPr="006D631C">
              <w:rPr>
                <w:color w:val="000000"/>
                <w:sz w:val="12"/>
                <w:szCs w:val="12"/>
              </w:rPr>
              <w:br/>
              <w:t>55 / 10 (H</w:t>
            </w:r>
            <w:r w:rsidRPr="006D631C">
              <w:rPr>
                <w:color w:val="000000"/>
                <w:sz w:val="12"/>
                <w:szCs w:val="12"/>
                <w:vertAlign w:val="subscript"/>
              </w:rPr>
              <w:t>1</w:t>
            </w:r>
            <w:r w:rsidRPr="006D631C">
              <w:rPr>
                <w:color w:val="000000"/>
                <w:sz w:val="12"/>
                <w:szCs w:val="12"/>
              </w:rPr>
              <w:t>)</w:t>
            </w:r>
            <w:r w:rsidRPr="006D631C">
              <w:rPr>
                <w:color w:val="000000"/>
                <w:sz w:val="12"/>
                <w:szCs w:val="12"/>
              </w:rPr>
              <w:br/>
              <w:t>&gt; 60 / 10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04DC8B89" w14:textId="19B968FB"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993" w:type="dxa"/>
            <w:tcBorders>
              <w:top w:val="nil"/>
              <w:left w:val="nil"/>
              <w:bottom w:val="single" w:sz="4" w:space="0" w:color="auto"/>
              <w:right w:val="nil"/>
            </w:tcBorders>
            <w:shd w:val="clear" w:color="000000" w:fill="FFFFFF"/>
            <w:noWrap/>
            <w:vAlign w:val="center"/>
          </w:tcPr>
          <w:p w14:paraId="1BE1BAD9" w14:textId="78FD174F"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3DC9D386" w14:textId="20741F66"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02C49A78" w14:textId="027438CE" w:rsidR="002D2143" w:rsidRPr="006D631C" w:rsidRDefault="00E50701" w:rsidP="007B45BD">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&lt;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 xml:space="preserve">&lt; </w:t>
            </w:r>
            <w:r w:rsidR="007B45BD" w:rsidRPr="006D631C">
              <w:rPr>
                <w:rFonts w:eastAsia="Times New Roman" w:cs="Times New Roman"/>
                <w:color w:val="000000"/>
                <w:sz w:val="12"/>
                <w:szCs w:val="12"/>
              </w:rPr>
              <w:t>I</w:t>
            </w:r>
            <w:r w:rsidR="007B45BD"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&lt;L</w:t>
            </w:r>
            <w:r w:rsidRPr="006D631C">
              <w:rPr>
                <w:rFonts w:eastAsia="Times New Roman" w:cs="Times New Roman"/>
                <w:color w:val="000000"/>
                <w:sz w:val="12"/>
                <w:szCs w:val="12"/>
                <w:vertAlign w:val="subscript"/>
              </w:rPr>
              <w:t>1</w:t>
            </w:r>
          </w:p>
        </w:tc>
        <w:tc>
          <w:tcPr>
            <w:tcW w:w="566" w:type="dxa"/>
            <w:tcBorders>
              <w:top w:val="nil"/>
              <w:left w:val="nil"/>
              <w:bottom w:val="single" w:sz="4" w:space="0" w:color="auto"/>
              <w:right w:val="nil"/>
            </w:tcBorders>
            <w:shd w:val="clear" w:color="000000" w:fill="FFFFFF"/>
            <w:vAlign w:val="center"/>
          </w:tcPr>
          <w:p w14:paraId="4B669874" w14:textId="7705DC53" w:rsidR="002D2143" w:rsidRPr="006D631C" w:rsidRDefault="002D2143"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Allan","non-dropping-particle":"","parse-names":false,"suffix":""}],"container-title":"Macromolecules","id":"ITEM-1","issue":"13","issued":{"date-parts":[["2001","6"]]},"page":"4430-4438","title":"Photopolymerization kinetics and structure development of templated lyotropic liquid crystalline systems","type":"article-journal","volume":"34"},"uris":["http://www.mendeley.com/documents/?uuid=5ad8b034-dc0f-455e-ac27-09cb31650bdb"]}],"mendeley":{"formattedCitation":"&lt;sup&gt;43&lt;/sup&gt;","plainTextFormattedCitation":"43","previouslyFormattedCitation":"&lt;sup&gt;43&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43</w:t>
            </w:r>
            <w:r w:rsidRPr="006D631C">
              <w:rPr>
                <w:color w:val="000000"/>
                <w:sz w:val="12"/>
                <w:szCs w:val="12"/>
              </w:rPr>
              <w:fldChar w:fldCharType="end"/>
            </w:r>
          </w:p>
        </w:tc>
      </w:tr>
      <w:tr w:rsidR="002D2143" w:rsidRPr="006D631C" w14:paraId="061EC005" w14:textId="77777777" w:rsidTr="007D350B">
        <w:trPr>
          <w:trHeight w:val="20"/>
        </w:trPr>
        <w:tc>
          <w:tcPr>
            <w:tcW w:w="851" w:type="dxa"/>
            <w:vMerge/>
            <w:tcBorders>
              <w:top w:val="nil"/>
              <w:left w:val="nil"/>
              <w:bottom w:val="single" w:sz="4" w:space="0" w:color="000000"/>
              <w:right w:val="nil"/>
            </w:tcBorders>
            <w:vAlign w:val="center"/>
          </w:tcPr>
          <w:p w14:paraId="4B1FD395" w14:textId="77777777" w:rsidR="002D2143" w:rsidRPr="006D631C" w:rsidRDefault="002D2143" w:rsidP="002D2143">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1F04E1EF" w14:textId="79CE0243" w:rsidR="002D2143" w:rsidRPr="006D631C" w:rsidRDefault="002D2143" w:rsidP="002D2143">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195C4965" w14:textId="6F39C896"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04786AAE" w14:textId="16D11343" w:rsidR="002D2143" w:rsidRPr="006D631C" w:rsidRDefault="002D2143" w:rsidP="002D2143">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1AA15786" w14:textId="208AAC66" w:rsidR="002D2143" w:rsidRPr="006D631C" w:rsidRDefault="002D2143" w:rsidP="002D2143">
            <w:pPr>
              <w:spacing w:line="240" w:lineRule="auto"/>
              <w:jc w:val="left"/>
              <w:rPr>
                <w:color w:val="000000"/>
                <w:sz w:val="12"/>
                <w:szCs w:val="12"/>
              </w:rPr>
            </w:pPr>
            <w:r w:rsidRPr="006D631C">
              <w:rPr>
                <w:color w:val="000000"/>
                <w:sz w:val="12"/>
                <w:szCs w:val="12"/>
              </w:rPr>
              <w:t>40 / 25 (Q</w:t>
            </w:r>
            <w:r w:rsidRPr="006D631C">
              <w:rPr>
                <w:color w:val="000000"/>
                <w:sz w:val="12"/>
                <w:szCs w:val="12"/>
                <w:vertAlign w:val="subscript"/>
              </w:rPr>
              <w:t>1</w:t>
            </w:r>
            <w:r w:rsidRPr="006D631C">
              <w:rPr>
                <w:color w:val="000000"/>
                <w:sz w:val="12"/>
                <w:szCs w:val="12"/>
              </w:rPr>
              <w:t>)</w:t>
            </w:r>
            <w:r w:rsidRPr="006D631C">
              <w:rPr>
                <w:color w:val="000000"/>
                <w:sz w:val="12"/>
                <w:szCs w:val="12"/>
              </w:rPr>
              <w:br/>
              <w:t>50 / 25 (H</w:t>
            </w:r>
            <w:r w:rsidRPr="006D631C">
              <w:rPr>
                <w:color w:val="000000"/>
                <w:sz w:val="12"/>
                <w:szCs w:val="12"/>
                <w:vertAlign w:val="subscript"/>
              </w:rPr>
              <w:t>1</w:t>
            </w:r>
            <w:r w:rsidRPr="006D631C">
              <w:rPr>
                <w:color w:val="000000"/>
                <w:sz w:val="12"/>
                <w:szCs w:val="12"/>
              </w:rPr>
              <w:t>)</w:t>
            </w:r>
            <w:r w:rsidRPr="006D631C">
              <w:rPr>
                <w:color w:val="000000"/>
                <w:sz w:val="12"/>
                <w:szCs w:val="12"/>
              </w:rPr>
              <w:br/>
              <w:t>60 / 25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3AA78001" w14:textId="58884B58" w:rsidR="002D2143" w:rsidRPr="006D631C" w:rsidRDefault="002D2143" w:rsidP="002D2143">
            <w:pPr>
              <w:spacing w:line="240" w:lineRule="auto"/>
              <w:jc w:val="left"/>
              <w:rPr>
                <w:color w:val="000000"/>
                <w:sz w:val="12"/>
                <w:szCs w:val="12"/>
              </w:rPr>
            </w:pPr>
            <w:r w:rsidRPr="006D631C">
              <w:rPr>
                <w:color w:val="000000"/>
                <w:sz w:val="12"/>
                <w:szCs w:val="12"/>
              </w:rPr>
              <w:t>Disordered structure for H</w:t>
            </w:r>
            <w:r w:rsidRPr="006D631C">
              <w:rPr>
                <w:color w:val="000000"/>
                <w:sz w:val="12"/>
                <w:szCs w:val="12"/>
                <w:vertAlign w:val="subscript"/>
              </w:rPr>
              <w:t>1</w:t>
            </w:r>
          </w:p>
        </w:tc>
        <w:tc>
          <w:tcPr>
            <w:tcW w:w="993" w:type="dxa"/>
            <w:tcBorders>
              <w:top w:val="nil"/>
              <w:left w:val="nil"/>
              <w:bottom w:val="single" w:sz="4" w:space="0" w:color="auto"/>
              <w:right w:val="nil"/>
            </w:tcBorders>
            <w:shd w:val="clear" w:color="000000" w:fill="FFFFFF"/>
            <w:noWrap/>
            <w:vAlign w:val="center"/>
          </w:tcPr>
          <w:p w14:paraId="46E6756A" w14:textId="72501B40" w:rsidR="002D2143" w:rsidRPr="006D631C" w:rsidRDefault="002D2143" w:rsidP="002D2143">
            <w:pPr>
              <w:spacing w:line="240" w:lineRule="auto"/>
              <w:jc w:val="left"/>
              <w:rPr>
                <w:color w:val="000000"/>
                <w:sz w:val="12"/>
                <w:szCs w:val="12"/>
              </w:rPr>
            </w:pPr>
            <w:r w:rsidRPr="006D631C">
              <w:rPr>
                <w:color w:val="000000"/>
                <w:sz w:val="12"/>
                <w:szCs w:val="12"/>
              </w:rPr>
              <w:t>5.52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12332F30" w14:textId="06324B08" w:rsidR="002D2143" w:rsidRPr="006D631C" w:rsidRDefault="002D2143" w:rsidP="002D2143">
            <w:pPr>
              <w:spacing w:line="240" w:lineRule="auto"/>
              <w:jc w:val="left"/>
              <w:rPr>
                <w:color w:val="000000"/>
                <w:sz w:val="12"/>
                <w:szCs w:val="12"/>
              </w:rPr>
            </w:pPr>
            <w:r w:rsidRPr="006D631C">
              <w:rPr>
                <w:color w:val="000000"/>
                <w:sz w:val="12"/>
                <w:szCs w:val="12"/>
              </w:rPr>
              <w:t>4.25</w:t>
            </w:r>
          </w:p>
        </w:tc>
        <w:tc>
          <w:tcPr>
            <w:tcW w:w="5103" w:type="dxa"/>
            <w:tcBorders>
              <w:top w:val="nil"/>
              <w:left w:val="nil"/>
              <w:bottom w:val="single" w:sz="4" w:space="0" w:color="auto"/>
              <w:right w:val="nil"/>
            </w:tcBorders>
            <w:shd w:val="clear" w:color="000000" w:fill="FFFFFF"/>
            <w:noWrap/>
            <w:vAlign w:val="center"/>
          </w:tcPr>
          <w:p w14:paraId="6E930D44" w14:textId="77777777" w:rsidR="002D2143" w:rsidRPr="006D631C" w:rsidRDefault="00566188" w:rsidP="002D2143">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&lt;H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Q</w:t>
            </w:r>
            <w:r w:rsidRPr="006D631C">
              <w:rPr>
                <w:rFonts w:eastAsia="Times New Roman" w:cs="Times New Roman"/>
                <w:color w:val="000000"/>
                <w:sz w:val="12"/>
                <w:szCs w:val="12"/>
                <w:vertAlign w:val="subscript"/>
              </w:rPr>
              <w:t>1</w:t>
            </w:r>
          </w:p>
          <w:p w14:paraId="50A60972" w14:textId="485F3C4B" w:rsidR="00566188" w:rsidRPr="006D631C" w:rsidRDefault="00566188" w:rsidP="00566188">
            <w:pPr>
              <w:pStyle w:val="ListParagraph"/>
              <w:numPr>
                <w:ilvl w:val="0"/>
                <w:numId w:val="11"/>
              </w:numPr>
              <w:spacing w:after="0" w:line="240" w:lineRule="auto"/>
              <w:ind w:left="176" w:hanging="144"/>
              <w:jc w:val="left"/>
              <w:rPr>
                <w:color w:val="000000"/>
                <w:sz w:val="12"/>
                <w:szCs w:val="12"/>
              </w:rPr>
            </w:pPr>
            <w:r w:rsidRPr="006D631C">
              <w:rPr>
                <w:color w:val="000000"/>
                <w:sz w:val="12"/>
                <w:szCs w:val="12"/>
              </w:rPr>
              <w:t xml:space="preserve">M-6 tends to be present at </w:t>
            </w:r>
            <w:r w:rsidRPr="006D631C">
              <w:rPr>
                <w:rFonts w:eastAsia="Times New Roman" w:cs="Times New Roman"/>
                <w:color w:val="000000"/>
                <w:sz w:val="12"/>
                <w:szCs w:val="12"/>
              </w:rPr>
              <w:t>nonpolar</w:t>
            </w:r>
            <w:r w:rsidRPr="006D631C">
              <w:rPr>
                <w:color w:val="000000"/>
                <w:sz w:val="12"/>
                <w:szCs w:val="12"/>
              </w:rPr>
              <w:t xml:space="preserve"> domains, so the formed polymer framework was weak, resulting in structure disruption</w:t>
            </w:r>
          </w:p>
        </w:tc>
        <w:tc>
          <w:tcPr>
            <w:tcW w:w="566" w:type="dxa"/>
            <w:tcBorders>
              <w:top w:val="nil"/>
              <w:left w:val="nil"/>
              <w:bottom w:val="single" w:sz="4" w:space="0" w:color="auto"/>
              <w:right w:val="nil"/>
            </w:tcBorders>
            <w:shd w:val="clear" w:color="000000" w:fill="FFFFFF"/>
            <w:vAlign w:val="center"/>
          </w:tcPr>
          <w:p w14:paraId="0CC53F6C" w14:textId="6565D25E" w:rsidR="002D2143" w:rsidRPr="006D631C" w:rsidRDefault="002D2143"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{"citationItems":[{"id":"ITEM-1","itemData":{"author":[{"dropping-particle":"","family":"DePierro","given":"Michael A.","non-dropping-particle":"","parse-names":false,"suffix":""},{"dropping-particle":"","family":"Carpenter","given":"Kyle G.","non-dropping-particle":"","parse-names":false,"suffix":""},{"dropping-particle":"","family":"Guymon","given":"C. A.","non-dropping-particle":"","parse-names":false,"suffix":""}],"container-title":"Radtech Technical Proceedings","id":"ITEM-1","issue":"-","issued":{"date-parts":[["2006"]]},"page":"-","title":"Nanostructure Development of Polymers Templated from Lyotropic Liquid Crystals","type":"article-journal","volume":"-"},"uris":["http://www.mendeley.com/documents/?uuid=2586cb60-8c78-474d-9556-16c9719a021a"]}],"mendeley":{"formattedCitation":"&lt;sup&gt;159&lt;/sup&gt;","plainTextFormattedCitation":"159","previouslyFormattedCitation":"&lt;sup&gt;159&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159</w:t>
            </w:r>
            <w:r w:rsidRPr="006D631C">
              <w:rPr>
                <w:color w:val="000000"/>
                <w:sz w:val="12"/>
                <w:szCs w:val="12"/>
              </w:rPr>
              <w:fldChar w:fldCharType="end"/>
            </w:r>
          </w:p>
        </w:tc>
      </w:tr>
      <w:tr w:rsidR="002D2143" w:rsidRPr="006D631C" w14:paraId="15A4EE5E" w14:textId="77777777" w:rsidTr="007C7410">
        <w:trPr>
          <w:trHeight w:val="20"/>
        </w:trPr>
        <w:tc>
          <w:tcPr>
            <w:tcW w:w="851" w:type="dxa"/>
            <w:vMerge/>
            <w:tcBorders>
              <w:left w:val="nil"/>
              <w:bottom w:val="single" w:sz="4" w:space="0" w:color="auto"/>
              <w:right w:val="nil"/>
            </w:tcBorders>
            <w:shd w:val="clear" w:color="000000" w:fill="FFFFFF"/>
            <w:vAlign w:val="center"/>
          </w:tcPr>
          <w:p w14:paraId="64B9329E" w14:textId="77777777" w:rsidR="002D2143" w:rsidRPr="006D631C" w:rsidRDefault="002D2143" w:rsidP="002D2143">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2FD7B715" w14:textId="1CB52F70" w:rsidR="002D2143" w:rsidRPr="006D631C" w:rsidRDefault="002D2143" w:rsidP="002D2143">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019778C0" w14:textId="6DE98E43"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2B00023E" w14:textId="3403917C" w:rsidR="002D2143" w:rsidRPr="006D631C" w:rsidRDefault="002D2143" w:rsidP="002D2143">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3A62C99C" w14:textId="157BB6A4" w:rsidR="002D2143" w:rsidRPr="006D631C" w:rsidRDefault="002D2143" w:rsidP="007B45BD">
            <w:pPr>
              <w:spacing w:line="240" w:lineRule="auto"/>
              <w:jc w:val="left"/>
              <w:rPr>
                <w:color w:val="000000"/>
                <w:sz w:val="12"/>
                <w:szCs w:val="12"/>
              </w:rPr>
            </w:pPr>
            <w:r w:rsidRPr="006D631C">
              <w:rPr>
                <w:color w:val="000000"/>
                <w:sz w:val="12"/>
                <w:szCs w:val="12"/>
              </w:rPr>
              <w:t>30 / 10 (L</w:t>
            </w:r>
            <w:r w:rsidRPr="006D631C">
              <w:rPr>
                <w:color w:val="000000"/>
                <w:sz w:val="12"/>
                <w:szCs w:val="12"/>
                <w:vertAlign w:val="subscript"/>
              </w:rPr>
              <w:t>1</w:t>
            </w:r>
            <w:r w:rsidRPr="006D631C">
              <w:rPr>
                <w:color w:val="000000"/>
                <w:sz w:val="12"/>
                <w:szCs w:val="12"/>
              </w:rPr>
              <w:t>)</w:t>
            </w:r>
            <w:r w:rsidRPr="006D631C">
              <w:rPr>
                <w:color w:val="000000"/>
                <w:sz w:val="12"/>
                <w:szCs w:val="12"/>
              </w:rPr>
              <w:br/>
              <w:t>40 / 10 (</w:t>
            </w:r>
            <w:r w:rsidR="007B45BD" w:rsidRPr="006D631C">
              <w:rPr>
                <w:color w:val="000000"/>
                <w:sz w:val="12"/>
                <w:szCs w:val="12"/>
              </w:rPr>
              <w:t>I</w:t>
            </w:r>
            <w:r w:rsidR="007B45BD" w:rsidRPr="006D631C">
              <w:rPr>
                <w:color w:val="000000"/>
                <w:sz w:val="12"/>
                <w:szCs w:val="12"/>
                <w:vertAlign w:val="subscript"/>
              </w:rPr>
              <w:t>1</w:t>
            </w:r>
            <w:r w:rsidRPr="006D631C">
              <w:rPr>
                <w:color w:val="000000"/>
                <w:sz w:val="12"/>
                <w:szCs w:val="12"/>
              </w:rPr>
              <w:t>)</w:t>
            </w:r>
            <w:r w:rsidRPr="006D631C">
              <w:rPr>
                <w:color w:val="000000"/>
                <w:sz w:val="12"/>
                <w:szCs w:val="12"/>
              </w:rPr>
              <w:br/>
              <w:t>55 / 10 (H</w:t>
            </w:r>
            <w:r w:rsidRPr="006D631C">
              <w:rPr>
                <w:color w:val="000000"/>
                <w:sz w:val="12"/>
                <w:szCs w:val="12"/>
                <w:vertAlign w:val="subscript"/>
              </w:rPr>
              <w:t>1</w:t>
            </w:r>
            <w:r w:rsidRPr="006D631C">
              <w:rPr>
                <w:color w:val="000000"/>
                <w:sz w:val="12"/>
                <w:szCs w:val="12"/>
              </w:rPr>
              <w:t>)</w:t>
            </w:r>
            <w:r w:rsidRPr="006D631C">
              <w:rPr>
                <w:color w:val="000000"/>
                <w:sz w:val="12"/>
                <w:szCs w:val="12"/>
              </w:rPr>
              <w:br/>
              <w:t>75 / 10 (L</w:t>
            </w:r>
            <w:r w:rsidRPr="006D631C">
              <w:rPr>
                <w:color w:val="000000"/>
                <w:sz w:val="12"/>
                <w:szCs w:val="12"/>
                <w:vertAlign w:val="subscript"/>
              </w:rPr>
              <w:t>α</w:t>
            </w:r>
            <w:r w:rsidRPr="006D631C">
              <w:rPr>
                <w:rFonts w:ascii="Calibri" w:hAnsi="Calibri" w:cs="Calibri"/>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7ADD36C7" w14:textId="3299AF33"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993" w:type="dxa"/>
            <w:tcBorders>
              <w:top w:val="nil"/>
              <w:left w:val="nil"/>
              <w:bottom w:val="single" w:sz="4" w:space="0" w:color="auto"/>
              <w:right w:val="nil"/>
            </w:tcBorders>
            <w:shd w:val="clear" w:color="000000" w:fill="FFFFFF"/>
            <w:noWrap/>
            <w:vAlign w:val="center"/>
          </w:tcPr>
          <w:p w14:paraId="138B755E" w14:textId="4CE2F604"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68226166" w14:textId="3A04E406" w:rsidR="002D2143" w:rsidRPr="006D631C" w:rsidRDefault="002D2143" w:rsidP="002D2143">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3B9B6463" w14:textId="77777777" w:rsidR="002D2143" w:rsidRPr="006D631C" w:rsidRDefault="00E23A23" w:rsidP="00E23A23">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L</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&lt; I</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&lt; H</w:t>
            </w:r>
            <w:r w:rsidRPr="006D631C">
              <w:rPr>
                <w:rFonts w:eastAsia="Times New Roman" w:cs="Times New Roman"/>
                <w:color w:val="000000"/>
                <w:sz w:val="12"/>
                <w:szCs w:val="12"/>
                <w:vertAlign w:val="subscript"/>
              </w:rPr>
              <w:t>1</w:t>
            </w:r>
          </w:p>
          <w:p w14:paraId="09FF867C" w14:textId="782C0471" w:rsidR="00E23A23" w:rsidRPr="006D631C" w:rsidRDefault="00E23A23" w:rsidP="00E23A23">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MW of the produced polymer</w:t>
            </w:r>
            <w:r w:rsidRPr="006D631C" w:rsidDel="006265C1">
              <w:rPr>
                <w:rFonts w:eastAsia="Times New Roman" w:cs="Times New Roman"/>
                <w:color w:val="000000"/>
                <w:sz w:val="12"/>
                <w:szCs w:val="12"/>
              </w:rPr>
              <w:t xml:space="preserve"> </w:t>
            </w:r>
            <w:r w:rsidRPr="006D631C">
              <w:rPr>
                <w:rFonts w:eastAsia="Times New Roman" w:cs="Times New Roman"/>
                <w:color w:val="000000"/>
                <w:sz w:val="12"/>
                <w:szCs w:val="12"/>
              </w:rPr>
              <w:t>increased from micellar to H</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and then decreased in L</w:t>
            </w:r>
            <w:r w:rsidRPr="006D631C">
              <w:rPr>
                <w:rFonts w:eastAsia="Times New Roman" w:cs="Times New Roman"/>
                <w:color w:val="000000"/>
                <w:sz w:val="12"/>
                <w:szCs w:val="12"/>
                <w:vertAlign w:val="subscript"/>
              </w:rPr>
              <w:t>α</w:t>
            </w:r>
            <w:r w:rsidRPr="006D631C">
              <w:rPr>
                <w:rFonts w:eastAsia="Times New Roman" w:cs="Times New Roman"/>
                <w:color w:val="000000"/>
                <w:sz w:val="12"/>
                <w:szCs w:val="12"/>
              </w:rPr>
              <w:t xml:space="preserve"> structure</w:t>
            </w:r>
          </w:p>
        </w:tc>
        <w:tc>
          <w:tcPr>
            <w:tcW w:w="566" w:type="dxa"/>
            <w:tcBorders>
              <w:top w:val="nil"/>
              <w:left w:val="nil"/>
              <w:bottom w:val="single" w:sz="4" w:space="0" w:color="auto"/>
              <w:right w:val="nil"/>
            </w:tcBorders>
            <w:shd w:val="clear" w:color="auto" w:fill="auto"/>
            <w:vAlign w:val="center"/>
          </w:tcPr>
          <w:p w14:paraId="2AD70343" w14:textId="1F548114" w:rsidR="002D2143" w:rsidRPr="006D631C" w:rsidRDefault="002D2143" w:rsidP="002D2143">
            <w:pPr>
              <w:spacing w:line="240" w:lineRule="auto"/>
              <w:jc w:val="left"/>
              <w:rPr>
                <w:color w:val="000000"/>
                <w:sz w:val="12"/>
                <w:szCs w:val="12"/>
              </w:rPr>
            </w:pPr>
            <w:r w:rsidRPr="006D631C">
              <w:rPr>
                <w:color w:val="000000"/>
                <w:sz w:val="12"/>
                <w:szCs w:val="12"/>
              </w:rPr>
              <w:fldChar w:fldCharType="begin" w:fldLock="1"/>
            </w:r>
            <w:r w:rsidRPr="006D631C">
              <w:rPr>
                <w:color w:val="000000"/>
                <w:sz w:val="12"/>
                <w:szCs w:val="12"/>
              </w:rPr>
              <w:instrText>ADDIN CSL_CITATION {"citationItems":[{"id":"ITEM-1","itemData":{"DOI":"10.1002/pola.27783","ISSN":"10990518","abstract":"Polymerization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Chemistry","id":"ITEM-1","issue":"1","issued":{"date-parts":[["2016","1","1"]]},"page":"144-154","title":"Radical polymerization behavior and molecular weight development of homologous monoacrylate monomers in lyotropic liquid crystal phases","type":"article-journal","volume":"54"},"uris":["http://www.mendeley.com/documents/?uuid=4f7b9c95-7916-4292-a0f1-82a611583a7f"]}],"mendeley":{"formattedCitation":"&lt;sup&gt;99&lt;/sup&gt;","plainTextFormattedCitation":"99","previouslyFormattedCitation":"&lt;sup&gt;99&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rPr>
              <w:t>99</w:t>
            </w:r>
            <w:r w:rsidRPr="006D631C">
              <w:rPr>
                <w:color w:val="000000"/>
                <w:sz w:val="12"/>
                <w:szCs w:val="12"/>
              </w:rPr>
              <w:fldChar w:fldCharType="end"/>
            </w:r>
          </w:p>
        </w:tc>
      </w:tr>
      <w:tr w:rsidR="00212A5C" w:rsidRPr="006D631C" w14:paraId="3D5C0A37" w14:textId="77777777" w:rsidTr="007D350B">
        <w:trPr>
          <w:trHeight w:val="20"/>
        </w:trPr>
        <w:tc>
          <w:tcPr>
            <w:tcW w:w="851" w:type="dxa"/>
            <w:tcBorders>
              <w:top w:val="single" w:sz="4" w:space="0" w:color="auto"/>
              <w:left w:val="nil"/>
              <w:bottom w:val="single" w:sz="4" w:space="0" w:color="auto"/>
              <w:right w:val="nil"/>
            </w:tcBorders>
            <w:shd w:val="clear" w:color="000000" w:fill="FFFFFF"/>
            <w:vAlign w:val="center"/>
          </w:tcPr>
          <w:p w14:paraId="6EE25497" w14:textId="4BCC16F8" w:rsidR="00212A5C" w:rsidRPr="006D631C" w:rsidRDefault="00212A5C" w:rsidP="00212A5C">
            <w:pPr>
              <w:spacing w:line="240" w:lineRule="auto"/>
              <w:jc w:val="left"/>
              <w:rPr>
                <w:color w:val="000000"/>
                <w:sz w:val="12"/>
                <w:szCs w:val="12"/>
              </w:rPr>
            </w:pPr>
            <w:r w:rsidRPr="006D631C">
              <w:rPr>
                <w:color w:val="000000"/>
                <w:sz w:val="12"/>
                <w:szCs w:val="12"/>
              </w:rPr>
              <w:t>M-7</w:t>
            </w:r>
          </w:p>
        </w:tc>
        <w:tc>
          <w:tcPr>
            <w:tcW w:w="850" w:type="dxa"/>
            <w:tcBorders>
              <w:top w:val="nil"/>
              <w:left w:val="nil"/>
              <w:bottom w:val="single" w:sz="4" w:space="0" w:color="auto"/>
              <w:right w:val="nil"/>
            </w:tcBorders>
            <w:shd w:val="clear" w:color="000000" w:fill="FFFFFF"/>
            <w:noWrap/>
            <w:vAlign w:val="center"/>
          </w:tcPr>
          <w:p w14:paraId="7BD41146" w14:textId="6F99F98A" w:rsidR="00212A5C" w:rsidRPr="006D631C" w:rsidRDefault="00212A5C" w:rsidP="00212A5C">
            <w:pPr>
              <w:spacing w:line="240" w:lineRule="auto"/>
              <w:jc w:val="left"/>
              <w:rPr>
                <w:color w:val="000000"/>
                <w:sz w:val="12"/>
                <w:szCs w:val="12"/>
              </w:rPr>
            </w:pPr>
            <w:r w:rsidRPr="006D631C">
              <w:rPr>
                <w:color w:val="000000"/>
                <w:sz w:val="12"/>
                <w:szCs w:val="12"/>
              </w:rPr>
              <w:t>P-A-51 /        A-16b</w:t>
            </w:r>
          </w:p>
        </w:tc>
        <w:tc>
          <w:tcPr>
            <w:tcW w:w="567" w:type="dxa"/>
            <w:tcBorders>
              <w:top w:val="nil"/>
              <w:left w:val="nil"/>
              <w:bottom w:val="single" w:sz="4" w:space="0" w:color="auto"/>
              <w:right w:val="nil"/>
            </w:tcBorders>
            <w:shd w:val="clear" w:color="000000" w:fill="FFFFFF"/>
            <w:vAlign w:val="center"/>
          </w:tcPr>
          <w:p w14:paraId="11A7A457" w14:textId="01070DFC" w:rsidR="00212A5C" w:rsidRPr="006D631C" w:rsidRDefault="00212A5C" w:rsidP="00212A5C">
            <w:pPr>
              <w:spacing w:line="240" w:lineRule="auto"/>
              <w:jc w:val="left"/>
              <w:rPr>
                <w:color w:val="000000"/>
                <w:sz w:val="12"/>
                <w:szCs w:val="12"/>
              </w:rPr>
            </w:pPr>
            <w:r w:rsidRPr="006D631C">
              <w:rPr>
                <w:color w:val="000000"/>
                <w:sz w:val="12"/>
                <w:szCs w:val="12"/>
              </w:rPr>
              <w:t>C-5</w:t>
            </w:r>
          </w:p>
        </w:tc>
        <w:tc>
          <w:tcPr>
            <w:tcW w:w="709" w:type="dxa"/>
            <w:tcBorders>
              <w:top w:val="nil"/>
              <w:left w:val="nil"/>
              <w:bottom w:val="single" w:sz="4" w:space="0" w:color="auto"/>
              <w:right w:val="nil"/>
            </w:tcBorders>
            <w:shd w:val="clear" w:color="000000" w:fill="FFFFFF"/>
            <w:vAlign w:val="center"/>
          </w:tcPr>
          <w:p w14:paraId="67586576" w14:textId="06B030ED" w:rsidR="00212A5C" w:rsidRPr="006D631C" w:rsidRDefault="00212A5C" w:rsidP="00212A5C">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45394120" w14:textId="06390286" w:rsidR="00212A5C" w:rsidRPr="006D631C" w:rsidRDefault="00212A5C" w:rsidP="00212A5C">
            <w:pPr>
              <w:spacing w:line="240" w:lineRule="auto"/>
              <w:jc w:val="left"/>
              <w:rPr>
                <w:color w:val="000000"/>
                <w:sz w:val="12"/>
                <w:szCs w:val="12"/>
              </w:rPr>
            </w:pPr>
            <w:r w:rsidRPr="006D631C">
              <w:rPr>
                <w:color w:val="000000"/>
                <w:sz w:val="12"/>
                <w:szCs w:val="12"/>
              </w:rPr>
              <w:t>21.6 / 20 (L</w:t>
            </w:r>
            <w:r w:rsidRPr="006D631C">
              <w:rPr>
                <w:color w:val="000000"/>
                <w:sz w:val="12"/>
                <w:szCs w:val="12"/>
                <w:vertAlign w:val="subscript"/>
              </w:rPr>
              <w:t>α</w:t>
            </w:r>
            <w:r w:rsidRPr="006D631C">
              <w:rPr>
                <w:color w:val="000000"/>
                <w:sz w:val="12"/>
                <w:szCs w:val="12"/>
              </w:rPr>
              <w:t>)</w:t>
            </w:r>
          </w:p>
        </w:tc>
        <w:tc>
          <w:tcPr>
            <w:tcW w:w="992" w:type="dxa"/>
            <w:tcBorders>
              <w:top w:val="single" w:sz="4" w:space="0" w:color="auto"/>
              <w:left w:val="nil"/>
              <w:bottom w:val="single" w:sz="4" w:space="0" w:color="auto"/>
              <w:right w:val="nil"/>
            </w:tcBorders>
            <w:shd w:val="clear" w:color="000000" w:fill="FFFFFF"/>
            <w:noWrap/>
            <w:vAlign w:val="center"/>
          </w:tcPr>
          <w:p w14:paraId="4084399F" w14:textId="50366759" w:rsidR="00212A5C" w:rsidRPr="006D631C" w:rsidRDefault="00212A5C" w:rsidP="00212A5C">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2BA3702A" w14:textId="52279746" w:rsidR="00212A5C" w:rsidRPr="006D631C" w:rsidRDefault="00212A5C" w:rsidP="00212A5C">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3812C836" w14:textId="53E33F61" w:rsidR="00212A5C" w:rsidRPr="006D631C" w:rsidRDefault="00212A5C" w:rsidP="00212A5C">
            <w:pPr>
              <w:spacing w:line="240" w:lineRule="auto"/>
              <w:jc w:val="left"/>
              <w:rPr>
                <w:color w:val="000000"/>
                <w:sz w:val="12"/>
                <w:szCs w:val="12"/>
              </w:rPr>
            </w:pPr>
            <w:r w:rsidRPr="006D631C">
              <w:rPr>
                <w:color w:val="000000"/>
                <w:sz w:val="12"/>
                <w:szCs w:val="12"/>
              </w:rPr>
              <w:t>7.2</w:t>
            </w:r>
          </w:p>
        </w:tc>
        <w:tc>
          <w:tcPr>
            <w:tcW w:w="5103" w:type="dxa"/>
            <w:tcBorders>
              <w:top w:val="nil"/>
              <w:left w:val="nil"/>
              <w:bottom w:val="single" w:sz="4" w:space="0" w:color="auto"/>
              <w:right w:val="nil"/>
            </w:tcBorders>
            <w:shd w:val="clear" w:color="000000" w:fill="FFFFFF"/>
            <w:noWrap/>
            <w:vAlign w:val="center"/>
          </w:tcPr>
          <w:p w14:paraId="4DC310B0" w14:textId="61BA8E75" w:rsidR="00D51E62" w:rsidRPr="006D631C" w:rsidRDefault="00D51E62" w:rsidP="00212A5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3.8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P-A-51 was used in this study</w:t>
            </w:r>
          </w:p>
          <w:p w14:paraId="2A66FE81" w14:textId="52BD9327" w:rsidR="00212A5C" w:rsidRPr="006D631C" w:rsidRDefault="00212A5C" w:rsidP="00212A5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structure was retained even after removal of the template</w:t>
            </w:r>
          </w:p>
          <w:p w14:paraId="3DE5CBF5" w14:textId="77777777" w:rsidR="00212A5C" w:rsidRPr="006D631C" w:rsidRDefault="00212A5C" w:rsidP="00212A5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2 T magnetic field was used for the alignment of the structure before polymerization</w:t>
            </w:r>
          </w:p>
          <w:p w14:paraId="439787FF" w14:textId="660E448E" w:rsidR="00212A5C" w:rsidRPr="006D631C" w:rsidRDefault="00212A5C" w:rsidP="00212A5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Anisotropic increase of the dimensions through swelling with water</w:t>
            </w:r>
          </w:p>
        </w:tc>
        <w:tc>
          <w:tcPr>
            <w:tcW w:w="566" w:type="dxa"/>
            <w:tcBorders>
              <w:top w:val="nil"/>
              <w:left w:val="nil"/>
              <w:bottom w:val="single" w:sz="4" w:space="0" w:color="auto"/>
              <w:right w:val="nil"/>
            </w:tcBorders>
            <w:shd w:val="clear" w:color="000000" w:fill="FFFFFF"/>
            <w:vAlign w:val="center"/>
          </w:tcPr>
          <w:p w14:paraId="27492D4F" w14:textId="16CA3E58" w:rsidR="00212A5C" w:rsidRPr="006D631C" w:rsidRDefault="00212A5C"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{"citationItems":[{"id":"ITEM-1","itemData":{"DOI":"10.1021/ma971728b","ISSN":"00249297","abstract":"The lamellar liquid crystalline phase of a pentaethylene glycol monododecyl ether (C12E5)/ decane/water system is used as a matrix to create amphiphilic polymer network structures from α,ω-hydrophobically modified poly(oxyethylenes) bearing polymerizable end groups and hydrophobic comonomers. The polymer networks preserve the characteristic layer structure and the orientation of the liquid crystalline phase even after extraction of the templating matrix. This allows the preparation of highly anisotropic polymer gels from magnetic field aligned liquid crystalline phases. The changes of the macroscopic dimensions and the layer spacings of the polymer network structure upon swelling these systems in a selective solvent, like water, are strongly of the bridging poly(oxyethylene) chains on the equil.","author":[{"dropping-particle":"","family":"Meier","given":"Wolfgang","non-dropping-particle":"","parse-names":false,"suffix":""}],"container-title":"Macromolecules","id":"ITEM-1","issue":"7","issued":{"date-parts":[["1998"]]},"page":"2212-2217","title":"Polymer networks with lamellar structure","type":"article-journal","volume":"31"},"uris":["http://www.mendeley.com/documents/?uuid=72ded890-db49-40b2-b482-d13014ec8c40"]}],"mendeley":{"formattedCitation":"&lt;sup&gt;160&lt;/sup&gt;","plainTextFormattedCitation":"160","previouslyFormattedCitation":"&lt;sup&gt;160&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160</w:t>
            </w:r>
            <w:r w:rsidRPr="006D631C">
              <w:rPr>
                <w:color w:val="000000"/>
                <w:sz w:val="12"/>
                <w:szCs w:val="12"/>
              </w:rPr>
              <w:fldChar w:fldCharType="end"/>
            </w:r>
          </w:p>
        </w:tc>
      </w:tr>
      <w:tr w:rsidR="00212A5C" w:rsidRPr="006D631C" w14:paraId="53A2EE27" w14:textId="77777777" w:rsidTr="007D350B">
        <w:trPr>
          <w:trHeight w:val="20"/>
        </w:trPr>
        <w:tc>
          <w:tcPr>
            <w:tcW w:w="851" w:type="dxa"/>
            <w:tcBorders>
              <w:top w:val="nil"/>
              <w:left w:val="nil"/>
              <w:bottom w:val="single" w:sz="4" w:space="0" w:color="auto"/>
              <w:right w:val="nil"/>
            </w:tcBorders>
            <w:shd w:val="clear" w:color="000000" w:fill="FFFFFF"/>
            <w:vAlign w:val="center"/>
          </w:tcPr>
          <w:p w14:paraId="0F00A3A5" w14:textId="3051A64D" w:rsidR="00212A5C" w:rsidRPr="006D631C" w:rsidRDefault="00212A5C" w:rsidP="00212A5C">
            <w:pPr>
              <w:spacing w:line="240" w:lineRule="auto"/>
              <w:jc w:val="left"/>
              <w:rPr>
                <w:color w:val="000000"/>
                <w:sz w:val="12"/>
                <w:szCs w:val="12"/>
              </w:rPr>
            </w:pPr>
            <w:r w:rsidRPr="006D631C">
              <w:rPr>
                <w:color w:val="000000"/>
                <w:sz w:val="12"/>
                <w:szCs w:val="12"/>
              </w:rPr>
              <w:t>M-8</w:t>
            </w:r>
          </w:p>
        </w:tc>
        <w:tc>
          <w:tcPr>
            <w:tcW w:w="850" w:type="dxa"/>
            <w:tcBorders>
              <w:top w:val="nil"/>
              <w:left w:val="nil"/>
              <w:bottom w:val="single" w:sz="4" w:space="0" w:color="auto"/>
              <w:right w:val="nil"/>
            </w:tcBorders>
            <w:shd w:val="clear" w:color="000000" w:fill="FFFFFF"/>
            <w:noWrap/>
            <w:vAlign w:val="center"/>
          </w:tcPr>
          <w:p w14:paraId="2692A53E" w14:textId="4765B1C6" w:rsidR="00212A5C" w:rsidRPr="006D631C" w:rsidRDefault="00212A5C" w:rsidP="00212A5C">
            <w:pPr>
              <w:spacing w:line="240" w:lineRule="auto"/>
              <w:jc w:val="left"/>
              <w:rPr>
                <w:color w:val="000000"/>
                <w:sz w:val="12"/>
                <w:szCs w:val="12"/>
              </w:rPr>
            </w:pPr>
            <w:r w:rsidRPr="006D631C">
              <w:rPr>
                <w:color w:val="000000"/>
                <w:sz w:val="12"/>
                <w:szCs w:val="12"/>
              </w:rPr>
              <w:t>A-15 or         A-20</w:t>
            </w:r>
          </w:p>
        </w:tc>
        <w:tc>
          <w:tcPr>
            <w:tcW w:w="567" w:type="dxa"/>
            <w:tcBorders>
              <w:top w:val="nil"/>
              <w:left w:val="nil"/>
              <w:bottom w:val="single" w:sz="4" w:space="0" w:color="auto"/>
              <w:right w:val="nil"/>
            </w:tcBorders>
            <w:shd w:val="clear" w:color="000000" w:fill="FFFFFF"/>
            <w:vAlign w:val="center"/>
          </w:tcPr>
          <w:p w14:paraId="62DA0D1E" w14:textId="2361DA4D" w:rsidR="00212A5C" w:rsidRPr="006D631C" w:rsidRDefault="00212A5C" w:rsidP="00212A5C">
            <w:pPr>
              <w:spacing w:line="240" w:lineRule="auto"/>
              <w:jc w:val="left"/>
              <w:rPr>
                <w:color w:val="000000"/>
                <w:sz w:val="12"/>
                <w:szCs w:val="12"/>
              </w:rPr>
            </w:pPr>
            <w:r w:rsidRPr="006D631C">
              <w:rPr>
                <w:color w:val="000000"/>
                <w:sz w:val="12"/>
                <w:szCs w:val="12"/>
              </w:rPr>
              <w:t>C-8</w:t>
            </w:r>
          </w:p>
        </w:tc>
        <w:tc>
          <w:tcPr>
            <w:tcW w:w="709" w:type="dxa"/>
            <w:tcBorders>
              <w:top w:val="nil"/>
              <w:left w:val="nil"/>
              <w:bottom w:val="single" w:sz="4" w:space="0" w:color="auto"/>
              <w:right w:val="nil"/>
            </w:tcBorders>
            <w:shd w:val="clear" w:color="000000" w:fill="FFFFFF"/>
            <w:vAlign w:val="center"/>
          </w:tcPr>
          <w:p w14:paraId="623630AE" w14:textId="7C008433" w:rsidR="00212A5C" w:rsidRPr="006D631C" w:rsidRDefault="00212A5C" w:rsidP="00212A5C">
            <w:pPr>
              <w:spacing w:line="240" w:lineRule="auto"/>
              <w:jc w:val="left"/>
              <w:rPr>
                <w:color w:val="000000"/>
                <w:sz w:val="12"/>
                <w:szCs w:val="12"/>
              </w:rPr>
            </w:pPr>
            <w:r w:rsidRPr="006D631C">
              <w:rPr>
                <w:color w:val="000000"/>
                <w:sz w:val="12"/>
                <w:szCs w:val="12"/>
              </w:rPr>
              <w:t>I-18</w:t>
            </w:r>
          </w:p>
        </w:tc>
        <w:tc>
          <w:tcPr>
            <w:tcW w:w="1134" w:type="dxa"/>
            <w:tcBorders>
              <w:top w:val="nil"/>
              <w:left w:val="nil"/>
              <w:bottom w:val="single" w:sz="4" w:space="0" w:color="auto"/>
              <w:right w:val="nil"/>
            </w:tcBorders>
            <w:shd w:val="clear" w:color="000000" w:fill="FFFFFF"/>
            <w:vAlign w:val="center"/>
          </w:tcPr>
          <w:p w14:paraId="53F67BEB" w14:textId="2B2C7759" w:rsidR="00212A5C" w:rsidRPr="006D631C" w:rsidRDefault="00212A5C" w:rsidP="00212A5C">
            <w:pPr>
              <w:spacing w:line="240" w:lineRule="auto"/>
              <w:jc w:val="left"/>
              <w:rPr>
                <w:color w:val="000000"/>
                <w:sz w:val="12"/>
                <w:szCs w:val="12"/>
              </w:rPr>
            </w:pPr>
            <w:r w:rsidRPr="006D631C">
              <w:rPr>
                <w:color w:val="000000"/>
                <w:sz w:val="12"/>
                <w:szCs w:val="12"/>
              </w:rPr>
              <w:t>7 -9 / 20 -37 for A-15</w:t>
            </w:r>
            <w:r w:rsidRPr="006D631C">
              <w:rPr>
                <w:color w:val="000000"/>
                <w:sz w:val="12"/>
                <w:szCs w:val="12"/>
              </w:rPr>
              <w:br/>
              <w:t>30 / 7.6 for A-20</w:t>
            </w:r>
          </w:p>
        </w:tc>
        <w:tc>
          <w:tcPr>
            <w:tcW w:w="992" w:type="dxa"/>
            <w:tcBorders>
              <w:top w:val="nil"/>
              <w:left w:val="nil"/>
              <w:bottom w:val="single" w:sz="4" w:space="0" w:color="auto"/>
              <w:right w:val="nil"/>
            </w:tcBorders>
            <w:shd w:val="clear" w:color="000000" w:fill="FFFFFF"/>
            <w:noWrap/>
            <w:vAlign w:val="center"/>
          </w:tcPr>
          <w:p w14:paraId="31FCD81D" w14:textId="50035C1B" w:rsidR="00212A5C" w:rsidRPr="006D631C" w:rsidRDefault="00212A5C" w:rsidP="00212A5C">
            <w:pPr>
              <w:spacing w:line="240" w:lineRule="auto"/>
              <w:jc w:val="left"/>
              <w:rPr>
                <w:color w:val="000000"/>
                <w:sz w:val="12"/>
                <w:szCs w:val="12"/>
              </w:rPr>
            </w:pPr>
            <w:r w:rsidRPr="006D631C">
              <w:rPr>
                <w:color w:val="000000"/>
                <w:sz w:val="12"/>
                <w:szCs w:val="12"/>
              </w:rPr>
              <w:t>-</w:t>
            </w:r>
          </w:p>
        </w:tc>
        <w:tc>
          <w:tcPr>
            <w:tcW w:w="993" w:type="dxa"/>
            <w:tcBorders>
              <w:top w:val="nil"/>
              <w:left w:val="nil"/>
              <w:bottom w:val="single" w:sz="4" w:space="0" w:color="auto"/>
              <w:right w:val="nil"/>
            </w:tcBorders>
            <w:shd w:val="clear" w:color="000000" w:fill="FFFFFF"/>
            <w:noWrap/>
            <w:vAlign w:val="center"/>
          </w:tcPr>
          <w:p w14:paraId="4BFBA009" w14:textId="2BF158EB" w:rsidR="00212A5C" w:rsidRPr="006D631C" w:rsidRDefault="00212A5C" w:rsidP="00212A5C">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0F374866" w14:textId="64ECF26E" w:rsidR="00212A5C" w:rsidRPr="006D631C" w:rsidRDefault="00212A5C" w:rsidP="00212A5C">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55CA28FC" w14:textId="77777777" w:rsidR="00212A5C" w:rsidRPr="006D631C" w:rsidRDefault="00212A5C" w:rsidP="00212A5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produced copolymer showed continuous gel structures of high connectivity, where the gel is composed of polymer strings, resembling the morphology of a marine sponge</w:t>
            </w:r>
          </w:p>
          <w:p w14:paraId="56E11D56" w14:textId="6CD64BDB" w:rsidR="00212A5C" w:rsidRPr="006D631C" w:rsidRDefault="00212A5C" w:rsidP="00212A5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type of surfactant had only a marginal influence on the final gel structure</w:t>
            </w:r>
          </w:p>
        </w:tc>
        <w:tc>
          <w:tcPr>
            <w:tcW w:w="566" w:type="dxa"/>
            <w:tcBorders>
              <w:top w:val="nil"/>
              <w:left w:val="nil"/>
              <w:bottom w:val="single" w:sz="4" w:space="0" w:color="auto"/>
              <w:right w:val="nil"/>
            </w:tcBorders>
            <w:shd w:val="clear" w:color="000000" w:fill="FFFFFF"/>
            <w:vAlign w:val="center"/>
          </w:tcPr>
          <w:p w14:paraId="152F537F" w14:textId="30320770" w:rsidR="00212A5C" w:rsidRPr="006D631C" w:rsidRDefault="00212A5C"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{"citationItems":[{"id":"ITEM-1","itemData":{"DOI":"10.1021/ma9812478","ISSN":"00249297","abstract":"Polymerization of hydrophilic monomers, such as acrylamide, in the confinement of lyotropic liquid crystalline phases of nonionic surfactants produces gels with variable pore architecture in the hundreds of nanometers to micrometers size range. The porous gels are characterized by scanning electron microscopy after critical-point drying. The structure of the gels depends on the type of monomer, cross-linking density, and both monomer and surfactant concentration and can be varied systematically to result in different pore morphologies with different pore sizes. In such a way it is possible to build the polymer network structure on a mesoscopic length scale, optimizing different network properties which are otherwise coupled in an opposite fashion; e.g., polymer networks with very large pore size and high mechanical stability can be made.","author":[{"dropping-particle":"","family":"Antonietti","given":"Markus","non-dropping-particle":"","parse-names":false,"suffix":""},{"dropping-particle":"","family":"Caruso","given":"Rachel A.","non-dropping-particle":"","parse-names":false,"suffix":""},{"dropping-particle":"","family":"Göltner","given":"Christine G.","non-dropping-particle":"","parse-names":false,"suffix":""},{"dropping-particle":"","family":"Weissenberger","given":"Markus C.","non-dropping-particle":"","parse-names":false,"suffix":""}],"container-title":"Macromolecules","id":"ITEM-1","issue":"5","issued":{"date-parts":[["1999"]]},"page":"1383-1389","title":"Morphology Variation of Porous Polymer Gels by Polymerization in Lyotropic Surfactant Phases","type":"article-journal","volume":"32"},"uris":["http://www.mendeley.com/documents/?uuid=b3a9dd2f-70ce-4746-b371-56e7e4cc2c21"]}],"mendeley":{"formattedCitation":"&lt;sup&gt;136&lt;/sup&gt;","plainTextFormattedCitation":"136","previouslyFormattedCitation":"&lt;sup&gt;136&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136</w:t>
            </w:r>
            <w:r w:rsidRPr="006D631C">
              <w:rPr>
                <w:color w:val="000000"/>
                <w:sz w:val="12"/>
                <w:szCs w:val="12"/>
              </w:rPr>
              <w:fldChar w:fldCharType="end"/>
            </w:r>
          </w:p>
        </w:tc>
      </w:tr>
    </w:tbl>
    <w:p w14:paraId="274EEDBF" w14:textId="77777777" w:rsidR="00A43ECE" w:rsidRPr="006D631C" w:rsidRDefault="00A43ECE" w:rsidP="00A43ECE">
      <w:pPr>
        <w:pStyle w:val="Caption"/>
        <w:spacing w:after="0"/>
        <w:jc w:val="center"/>
        <w:rPr>
          <w:sz w:val="22"/>
          <w:szCs w:val="22"/>
        </w:rPr>
      </w:pPr>
    </w:p>
    <w:p w14:paraId="1D96DDFA" w14:textId="52D8D4CE" w:rsidR="00A43ECE" w:rsidRPr="006D631C" w:rsidRDefault="00EA3559" w:rsidP="003B3252">
      <w:pPr>
        <w:pStyle w:val="Caption"/>
        <w:spacing w:after="0"/>
        <w:jc w:val="center"/>
        <w:rPr>
          <w:rFonts w:asciiTheme="majorBidi" w:hAnsiTheme="majorBidi" w:cstheme="majorBidi"/>
          <w:sz w:val="22"/>
          <w:szCs w:val="22"/>
        </w:rPr>
      </w:pPr>
      <w:r w:rsidRPr="006D631C">
        <w:rPr>
          <w:sz w:val="22"/>
          <w:szCs w:val="22"/>
        </w:rPr>
        <w:lastRenderedPageBreak/>
        <w:t>Table 1-3</w:t>
      </w:r>
      <w:r w:rsidR="00A43ECE" w:rsidRPr="006D631C">
        <w:rPr>
          <w:sz w:val="22"/>
          <w:szCs w:val="22"/>
        </w:rPr>
        <w:t xml:space="preserve">. </w:t>
      </w:r>
      <w:r w:rsidR="003B3252" w:rsidRPr="006D631C">
        <w:rPr>
          <w:i/>
          <w:sz w:val="22"/>
          <w:szCs w:val="22"/>
        </w:rPr>
        <w:t>(Contd.)</w:t>
      </w:r>
    </w:p>
    <w:tbl>
      <w:tblPr>
        <w:tblpPr w:leftFromText="180" w:rightFromText="180" w:vertAnchor="text" w:tblpXSpec="center" w:tblpY="1"/>
        <w:tblOverlap w:val="never"/>
        <w:tblW w:w="12899" w:type="dxa"/>
        <w:tblLayout w:type="fixed"/>
        <w:tblLook w:val="04A0" w:firstRow="1" w:lastRow="0" w:firstColumn="1" w:lastColumn="0" w:noHBand="0" w:noVBand="1"/>
      </w:tblPr>
      <w:tblGrid>
        <w:gridCol w:w="851"/>
        <w:gridCol w:w="850"/>
        <w:gridCol w:w="567"/>
        <w:gridCol w:w="709"/>
        <w:gridCol w:w="1134"/>
        <w:gridCol w:w="992"/>
        <w:gridCol w:w="993"/>
        <w:gridCol w:w="1134"/>
        <w:gridCol w:w="5103"/>
        <w:gridCol w:w="566"/>
      </w:tblGrid>
      <w:tr w:rsidR="00A43ECE" w:rsidRPr="006D631C" w14:paraId="15C8BA80" w14:textId="77777777" w:rsidTr="007D350B">
        <w:trPr>
          <w:trHeight w:val="20"/>
        </w:trPr>
        <w:tc>
          <w:tcPr>
            <w:tcW w:w="851" w:type="dxa"/>
            <w:tcBorders>
              <w:top w:val="single" w:sz="8" w:space="0" w:color="auto"/>
              <w:left w:val="nil"/>
              <w:bottom w:val="single" w:sz="8" w:space="0" w:color="auto"/>
              <w:right w:val="nil"/>
            </w:tcBorders>
            <w:shd w:val="clear" w:color="000000" w:fill="FFFFFF"/>
            <w:vAlign w:val="center"/>
          </w:tcPr>
          <w:p w14:paraId="3FCE929E" w14:textId="77777777" w:rsidR="00A43ECE" w:rsidRPr="006D631C" w:rsidRDefault="00A43ECE" w:rsidP="007D350B">
            <w:pPr>
              <w:spacing w:line="240" w:lineRule="auto"/>
              <w:jc w:val="left"/>
              <w:rPr>
                <w:b/>
                <w:bCs/>
                <w:color w:val="000000"/>
                <w:sz w:val="12"/>
                <w:szCs w:val="12"/>
              </w:rPr>
            </w:pPr>
            <w:r w:rsidRPr="006D631C">
              <w:rPr>
                <w:b/>
                <w:bCs/>
                <w:color w:val="000000"/>
                <w:sz w:val="12"/>
                <w:szCs w:val="12"/>
              </w:rPr>
              <w:t>Monomer</w:t>
            </w:r>
          </w:p>
        </w:tc>
        <w:tc>
          <w:tcPr>
            <w:tcW w:w="850" w:type="dxa"/>
            <w:tcBorders>
              <w:top w:val="single" w:sz="8" w:space="0" w:color="auto"/>
              <w:left w:val="nil"/>
              <w:bottom w:val="single" w:sz="8" w:space="0" w:color="auto"/>
              <w:right w:val="nil"/>
            </w:tcBorders>
            <w:shd w:val="clear" w:color="000000" w:fill="FFFFFF"/>
            <w:noWrap/>
            <w:vAlign w:val="center"/>
            <w:hideMark/>
          </w:tcPr>
          <w:p w14:paraId="72DB8638" w14:textId="77777777" w:rsidR="00A43ECE" w:rsidRPr="006D631C" w:rsidRDefault="00A43ECE" w:rsidP="007D350B">
            <w:pPr>
              <w:spacing w:line="240" w:lineRule="auto"/>
              <w:jc w:val="left"/>
              <w:rPr>
                <w:b/>
                <w:bCs/>
                <w:color w:val="000000"/>
                <w:sz w:val="12"/>
                <w:szCs w:val="12"/>
              </w:rPr>
            </w:pPr>
            <w:proofErr w:type="spellStart"/>
            <w:r w:rsidRPr="006D631C">
              <w:rPr>
                <w:b/>
                <w:bCs/>
                <w:color w:val="000000"/>
                <w:sz w:val="12"/>
                <w:szCs w:val="12"/>
              </w:rPr>
              <w:t>Amphiphile</w:t>
            </w:r>
            <w:proofErr w:type="spellEnd"/>
          </w:p>
        </w:tc>
        <w:tc>
          <w:tcPr>
            <w:tcW w:w="567" w:type="dxa"/>
            <w:tcBorders>
              <w:top w:val="single" w:sz="8" w:space="0" w:color="auto"/>
              <w:left w:val="nil"/>
              <w:bottom w:val="single" w:sz="8" w:space="0" w:color="auto"/>
              <w:right w:val="nil"/>
            </w:tcBorders>
            <w:shd w:val="clear" w:color="000000" w:fill="FFFFFF"/>
            <w:vAlign w:val="center"/>
            <w:hideMark/>
          </w:tcPr>
          <w:p w14:paraId="6AB915D7" w14:textId="77777777" w:rsidR="00A43ECE" w:rsidRPr="006D631C" w:rsidRDefault="00A43ECE" w:rsidP="007D350B">
            <w:pPr>
              <w:spacing w:line="240" w:lineRule="auto"/>
              <w:jc w:val="left"/>
              <w:rPr>
                <w:b/>
                <w:bCs/>
                <w:color w:val="000000"/>
                <w:sz w:val="12"/>
                <w:szCs w:val="12"/>
              </w:rPr>
            </w:pPr>
            <w:r w:rsidRPr="006D631C">
              <w:rPr>
                <w:b/>
                <w:bCs/>
                <w:color w:val="000000"/>
                <w:sz w:val="12"/>
                <w:szCs w:val="12"/>
              </w:rPr>
              <w:t>Cross-linker</w:t>
            </w:r>
          </w:p>
        </w:tc>
        <w:tc>
          <w:tcPr>
            <w:tcW w:w="709" w:type="dxa"/>
            <w:tcBorders>
              <w:top w:val="single" w:sz="8" w:space="0" w:color="auto"/>
              <w:left w:val="nil"/>
              <w:bottom w:val="single" w:sz="8" w:space="0" w:color="auto"/>
              <w:right w:val="nil"/>
            </w:tcBorders>
            <w:shd w:val="clear" w:color="000000" w:fill="FFFFFF"/>
            <w:vAlign w:val="center"/>
            <w:hideMark/>
          </w:tcPr>
          <w:p w14:paraId="5987D0EA" w14:textId="77777777" w:rsidR="00A43ECE" w:rsidRPr="006D631C" w:rsidRDefault="00A43ECE" w:rsidP="007D350B">
            <w:pPr>
              <w:spacing w:line="240" w:lineRule="auto"/>
              <w:jc w:val="left"/>
              <w:rPr>
                <w:b/>
                <w:bCs/>
                <w:color w:val="000000"/>
                <w:sz w:val="12"/>
                <w:szCs w:val="12"/>
              </w:rPr>
            </w:pPr>
            <w:r w:rsidRPr="006D631C">
              <w:rPr>
                <w:b/>
                <w:bCs/>
                <w:color w:val="000000"/>
                <w:sz w:val="12"/>
                <w:szCs w:val="12"/>
              </w:rPr>
              <w:t>Initiation system</w:t>
            </w:r>
          </w:p>
        </w:tc>
        <w:tc>
          <w:tcPr>
            <w:tcW w:w="1134" w:type="dxa"/>
            <w:tcBorders>
              <w:top w:val="single" w:sz="8" w:space="0" w:color="auto"/>
              <w:left w:val="nil"/>
              <w:bottom w:val="single" w:sz="8" w:space="0" w:color="auto"/>
              <w:right w:val="nil"/>
            </w:tcBorders>
            <w:shd w:val="clear" w:color="000000" w:fill="FFFFFF"/>
            <w:vAlign w:val="center"/>
            <w:hideMark/>
          </w:tcPr>
          <w:p w14:paraId="4A668BDB" w14:textId="77777777" w:rsidR="00A43ECE" w:rsidRPr="006D631C" w:rsidRDefault="00A43ECE" w:rsidP="007D350B">
            <w:pPr>
              <w:spacing w:line="240" w:lineRule="auto"/>
              <w:jc w:val="left"/>
              <w:rPr>
                <w:b/>
                <w:bCs/>
                <w:color w:val="000000"/>
                <w:sz w:val="12"/>
                <w:szCs w:val="12"/>
              </w:rPr>
            </w:pPr>
            <w:proofErr w:type="spellStart"/>
            <w:r w:rsidRPr="006D631C">
              <w:rPr>
                <w:b/>
                <w:bCs/>
                <w:color w:val="000000"/>
                <w:sz w:val="12"/>
                <w:szCs w:val="12"/>
              </w:rPr>
              <w:t>Amphiphile</w:t>
            </w:r>
            <w:proofErr w:type="spellEnd"/>
            <w:r w:rsidRPr="006D631C">
              <w:rPr>
                <w:b/>
                <w:bCs/>
                <w:color w:val="000000"/>
                <w:sz w:val="12"/>
                <w:szCs w:val="12"/>
              </w:rPr>
              <w:t xml:space="preserve"> / monomer [w/w] and structure before reaction</w:t>
            </w:r>
          </w:p>
        </w:tc>
        <w:tc>
          <w:tcPr>
            <w:tcW w:w="992" w:type="dxa"/>
            <w:tcBorders>
              <w:top w:val="single" w:sz="8" w:space="0" w:color="auto"/>
              <w:left w:val="nil"/>
              <w:bottom w:val="single" w:sz="8" w:space="0" w:color="auto"/>
              <w:right w:val="nil"/>
            </w:tcBorders>
            <w:shd w:val="clear" w:color="000000" w:fill="FFFFFF"/>
            <w:vAlign w:val="center"/>
            <w:hideMark/>
          </w:tcPr>
          <w:p w14:paraId="5B102B25" w14:textId="77777777" w:rsidR="00A43ECE" w:rsidRPr="006D631C" w:rsidRDefault="00A43ECE" w:rsidP="007D350B">
            <w:pPr>
              <w:spacing w:line="240" w:lineRule="auto"/>
              <w:jc w:val="left"/>
              <w:rPr>
                <w:b/>
                <w:bCs/>
                <w:color w:val="000000"/>
                <w:sz w:val="12"/>
                <w:szCs w:val="12"/>
              </w:rPr>
            </w:pPr>
            <w:r w:rsidRPr="006D631C">
              <w:rPr>
                <w:b/>
                <w:bCs/>
                <w:color w:val="000000"/>
                <w:sz w:val="12"/>
                <w:szCs w:val="12"/>
              </w:rPr>
              <w:t>Structure after polymerization</w:t>
            </w:r>
          </w:p>
        </w:tc>
        <w:tc>
          <w:tcPr>
            <w:tcW w:w="993" w:type="dxa"/>
            <w:tcBorders>
              <w:top w:val="single" w:sz="8" w:space="0" w:color="auto"/>
              <w:left w:val="nil"/>
              <w:bottom w:val="single" w:sz="8" w:space="0" w:color="auto"/>
              <w:right w:val="nil"/>
            </w:tcBorders>
            <w:shd w:val="clear" w:color="000000" w:fill="FFFFFF"/>
            <w:vAlign w:val="center"/>
            <w:hideMark/>
          </w:tcPr>
          <w:p w14:paraId="16541B70" w14:textId="77777777" w:rsidR="00A43ECE" w:rsidRPr="006D631C" w:rsidRDefault="00A43ECE" w:rsidP="007D350B">
            <w:pPr>
              <w:spacing w:line="240" w:lineRule="auto"/>
              <w:jc w:val="left"/>
              <w:rPr>
                <w:b/>
                <w:bCs/>
                <w:color w:val="000000"/>
                <w:sz w:val="12"/>
                <w:szCs w:val="12"/>
              </w:rPr>
            </w:pPr>
            <w:r w:rsidRPr="006D631C">
              <w:rPr>
                <w:b/>
                <w:bCs/>
                <w:color w:val="000000"/>
                <w:sz w:val="12"/>
                <w:szCs w:val="12"/>
              </w:rPr>
              <w:t>Lattice parameter before reaction</w:t>
            </w:r>
            <w:r w:rsidRPr="006D631C">
              <w:rPr>
                <w:b/>
                <w:bCs/>
                <w:color w:val="000000"/>
                <w:sz w:val="12"/>
                <w:szCs w:val="12"/>
              </w:rPr>
              <w:br/>
              <w:t>[nm]</w:t>
            </w:r>
          </w:p>
        </w:tc>
        <w:tc>
          <w:tcPr>
            <w:tcW w:w="1134" w:type="dxa"/>
            <w:tcBorders>
              <w:top w:val="single" w:sz="8" w:space="0" w:color="auto"/>
              <w:left w:val="nil"/>
              <w:bottom w:val="single" w:sz="8" w:space="0" w:color="auto"/>
              <w:right w:val="nil"/>
            </w:tcBorders>
            <w:shd w:val="clear" w:color="000000" w:fill="FFFFFF"/>
            <w:vAlign w:val="center"/>
            <w:hideMark/>
          </w:tcPr>
          <w:p w14:paraId="33AD47DE" w14:textId="77777777" w:rsidR="00A43ECE" w:rsidRPr="006D631C" w:rsidRDefault="00A43ECE" w:rsidP="007D350B">
            <w:pPr>
              <w:spacing w:line="240" w:lineRule="auto"/>
              <w:jc w:val="left"/>
              <w:rPr>
                <w:b/>
                <w:bCs/>
                <w:color w:val="000000"/>
                <w:sz w:val="12"/>
                <w:szCs w:val="12"/>
              </w:rPr>
            </w:pPr>
            <w:r w:rsidRPr="006D631C">
              <w:rPr>
                <w:b/>
                <w:bCs/>
                <w:color w:val="000000"/>
                <w:sz w:val="12"/>
                <w:szCs w:val="12"/>
              </w:rPr>
              <w:t>Lattice parameter after reaction</w:t>
            </w:r>
            <w:r w:rsidRPr="006D631C">
              <w:rPr>
                <w:b/>
                <w:bCs/>
                <w:color w:val="000000"/>
                <w:sz w:val="12"/>
                <w:szCs w:val="12"/>
              </w:rPr>
              <w:br/>
              <w:t>[nm]</w:t>
            </w:r>
          </w:p>
        </w:tc>
        <w:tc>
          <w:tcPr>
            <w:tcW w:w="5103" w:type="dxa"/>
            <w:tcBorders>
              <w:top w:val="single" w:sz="8" w:space="0" w:color="auto"/>
              <w:left w:val="nil"/>
              <w:bottom w:val="single" w:sz="8" w:space="0" w:color="auto"/>
              <w:right w:val="nil"/>
            </w:tcBorders>
            <w:shd w:val="clear" w:color="000000" w:fill="FFFFFF"/>
            <w:vAlign w:val="center"/>
          </w:tcPr>
          <w:p w14:paraId="19AAE19F" w14:textId="77777777" w:rsidR="00A43ECE" w:rsidRPr="006D631C" w:rsidRDefault="00A43ECE" w:rsidP="007D350B">
            <w:pPr>
              <w:spacing w:line="240" w:lineRule="auto"/>
              <w:jc w:val="left"/>
              <w:rPr>
                <w:b/>
                <w:bCs/>
                <w:color w:val="000000"/>
                <w:sz w:val="12"/>
                <w:szCs w:val="12"/>
              </w:rPr>
            </w:pPr>
            <w:r w:rsidRPr="006D631C">
              <w:rPr>
                <w:b/>
                <w:bCs/>
                <w:color w:val="000000"/>
                <w:sz w:val="12"/>
                <w:szCs w:val="12"/>
              </w:rPr>
              <w:t>Remarks</w:t>
            </w:r>
          </w:p>
        </w:tc>
        <w:tc>
          <w:tcPr>
            <w:tcW w:w="566" w:type="dxa"/>
            <w:tcBorders>
              <w:top w:val="single" w:sz="8" w:space="0" w:color="auto"/>
              <w:left w:val="nil"/>
              <w:bottom w:val="single" w:sz="8" w:space="0" w:color="auto"/>
              <w:right w:val="nil"/>
            </w:tcBorders>
            <w:shd w:val="clear" w:color="000000" w:fill="FFFFFF"/>
            <w:noWrap/>
            <w:vAlign w:val="center"/>
            <w:hideMark/>
          </w:tcPr>
          <w:p w14:paraId="4B9E5FA9" w14:textId="77777777" w:rsidR="00A43ECE" w:rsidRPr="006D631C" w:rsidRDefault="00A43ECE" w:rsidP="007D350B">
            <w:pPr>
              <w:spacing w:line="240" w:lineRule="auto"/>
              <w:jc w:val="left"/>
              <w:rPr>
                <w:b/>
                <w:bCs/>
                <w:color w:val="000000"/>
                <w:sz w:val="12"/>
                <w:szCs w:val="12"/>
              </w:rPr>
            </w:pPr>
            <w:r w:rsidRPr="006D631C">
              <w:rPr>
                <w:b/>
                <w:bCs/>
                <w:color w:val="000000"/>
                <w:sz w:val="12"/>
                <w:szCs w:val="12"/>
              </w:rPr>
              <w:t>Ref.</w:t>
            </w:r>
          </w:p>
        </w:tc>
      </w:tr>
      <w:tr w:rsidR="003E6E8C" w:rsidRPr="006D631C" w14:paraId="5A875128" w14:textId="77777777" w:rsidTr="00713029">
        <w:trPr>
          <w:trHeight w:val="20"/>
        </w:trPr>
        <w:tc>
          <w:tcPr>
            <w:tcW w:w="851" w:type="dxa"/>
            <w:vMerge w:val="restart"/>
            <w:tcBorders>
              <w:top w:val="nil"/>
              <w:left w:val="nil"/>
              <w:bottom w:val="single" w:sz="4" w:space="0" w:color="000000"/>
              <w:right w:val="nil"/>
            </w:tcBorders>
            <w:shd w:val="clear" w:color="000000" w:fill="FFFFFF"/>
            <w:vAlign w:val="center"/>
          </w:tcPr>
          <w:p w14:paraId="50A78DC0" w14:textId="7A31F5E0" w:rsidR="003E6E8C" w:rsidRPr="006D631C" w:rsidRDefault="003E6E8C" w:rsidP="003E6E8C">
            <w:pPr>
              <w:spacing w:line="240" w:lineRule="auto"/>
              <w:jc w:val="left"/>
              <w:rPr>
                <w:color w:val="000000"/>
                <w:sz w:val="12"/>
                <w:szCs w:val="12"/>
              </w:rPr>
            </w:pPr>
            <w:r w:rsidRPr="006D631C">
              <w:rPr>
                <w:color w:val="000000"/>
                <w:sz w:val="12"/>
                <w:szCs w:val="12"/>
              </w:rPr>
              <w:t>M-9</w:t>
            </w:r>
          </w:p>
        </w:tc>
        <w:tc>
          <w:tcPr>
            <w:tcW w:w="850" w:type="dxa"/>
            <w:tcBorders>
              <w:top w:val="nil"/>
              <w:left w:val="nil"/>
              <w:bottom w:val="single" w:sz="4" w:space="0" w:color="auto"/>
              <w:right w:val="nil"/>
            </w:tcBorders>
            <w:shd w:val="clear" w:color="000000" w:fill="FFFFFF"/>
            <w:noWrap/>
            <w:vAlign w:val="center"/>
          </w:tcPr>
          <w:p w14:paraId="46F5E301" w14:textId="4E60AD69" w:rsidR="003E6E8C" w:rsidRPr="006D631C" w:rsidRDefault="003E6E8C" w:rsidP="003E6E8C">
            <w:pPr>
              <w:spacing w:line="240" w:lineRule="auto"/>
              <w:jc w:val="left"/>
              <w:rPr>
                <w:color w:val="000000"/>
                <w:sz w:val="12"/>
                <w:szCs w:val="12"/>
              </w:rPr>
            </w:pPr>
            <w:r w:rsidRPr="006D631C">
              <w:rPr>
                <w:color w:val="000000"/>
                <w:sz w:val="12"/>
                <w:szCs w:val="12"/>
              </w:rPr>
              <w:t>A-1 or            A-16a</w:t>
            </w:r>
          </w:p>
        </w:tc>
        <w:tc>
          <w:tcPr>
            <w:tcW w:w="567" w:type="dxa"/>
            <w:tcBorders>
              <w:top w:val="nil"/>
              <w:left w:val="nil"/>
              <w:bottom w:val="single" w:sz="4" w:space="0" w:color="auto"/>
              <w:right w:val="nil"/>
            </w:tcBorders>
            <w:shd w:val="clear" w:color="000000" w:fill="FFFFFF"/>
            <w:vAlign w:val="center"/>
          </w:tcPr>
          <w:p w14:paraId="6212788D" w14:textId="32A0A533" w:rsidR="003E6E8C" w:rsidRPr="006D631C" w:rsidRDefault="003E6E8C" w:rsidP="003E6E8C">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79A7953B" w14:textId="6DC96222" w:rsidR="003E6E8C" w:rsidRPr="006D631C" w:rsidRDefault="003E6E8C" w:rsidP="003E6E8C">
            <w:pPr>
              <w:spacing w:line="240" w:lineRule="auto"/>
              <w:jc w:val="left"/>
              <w:rPr>
                <w:color w:val="000000"/>
                <w:sz w:val="12"/>
                <w:szCs w:val="12"/>
              </w:rPr>
            </w:pPr>
            <w:r w:rsidRPr="006D631C">
              <w:rPr>
                <w:color w:val="000000"/>
                <w:sz w:val="12"/>
                <w:szCs w:val="12"/>
              </w:rPr>
              <w:t>I-16 / UV</w:t>
            </w:r>
          </w:p>
        </w:tc>
        <w:tc>
          <w:tcPr>
            <w:tcW w:w="1134" w:type="dxa"/>
            <w:tcBorders>
              <w:top w:val="nil"/>
              <w:left w:val="nil"/>
              <w:bottom w:val="single" w:sz="4" w:space="0" w:color="auto"/>
              <w:right w:val="nil"/>
            </w:tcBorders>
            <w:shd w:val="clear" w:color="000000" w:fill="FFFFFF"/>
            <w:vAlign w:val="center"/>
          </w:tcPr>
          <w:p w14:paraId="2D14FABC" w14:textId="577A57C1" w:rsidR="003E6E8C" w:rsidRPr="006D631C" w:rsidRDefault="003E6E8C" w:rsidP="003E6E8C">
            <w:pPr>
              <w:spacing w:line="240" w:lineRule="auto"/>
              <w:jc w:val="left"/>
              <w:rPr>
                <w:color w:val="000000"/>
                <w:sz w:val="12"/>
                <w:szCs w:val="12"/>
              </w:rPr>
            </w:pPr>
            <w:r w:rsidRPr="006D631C">
              <w:rPr>
                <w:color w:val="000000"/>
                <w:sz w:val="12"/>
                <w:szCs w:val="12"/>
              </w:rPr>
              <w:t>24.3 / 10 for A-1 (Q</w:t>
            </w:r>
            <w:r w:rsidRPr="006D631C">
              <w:rPr>
                <w:rFonts w:ascii="Calibri" w:hAnsi="Calibri" w:cs="Calibri"/>
                <w:color w:val="000000"/>
                <w:sz w:val="12"/>
                <w:szCs w:val="12"/>
                <w:vertAlign w:val="subscript"/>
              </w:rPr>
              <w:t>α</w:t>
            </w:r>
            <w:r w:rsidRPr="006D631C">
              <w:rPr>
                <w:color w:val="000000"/>
                <w:sz w:val="12"/>
                <w:szCs w:val="12"/>
              </w:rPr>
              <w:t>)</w:t>
            </w:r>
            <w:r w:rsidRPr="006D631C">
              <w:rPr>
                <w:color w:val="000000"/>
                <w:sz w:val="12"/>
                <w:szCs w:val="12"/>
              </w:rPr>
              <w:br/>
              <w:t>69.7 / 6.05 for A-16a (Q</w:t>
            </w:r>
            <w:r w:rsidRPr="006D631C">
              <w:rPr>
                <w:rFonts w:ascii="Calibri" w:hAnsi="Calibri" w:cs="Calibri"/>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vAlign w:val="center"/>
          </w:tcPr>
          <w:p w14:paraId="18E3D358" w14:textId="7DBF9C9D" w:rsidR="003E6E8C" w:rsidRPr="006D631C" w:rsidRDefault="003E6E8C" w:rsidP="003E6E8C">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772F90A9" w14:textId="3AE81C63" w:rsidR="003E6E8C" w:rsidRPr="006D631C" w:rsidRDefault="003E6E8C" w:rsidP="003E6E8C">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76CD9E59" w14:textId="7595C46C" w:rsidR="003E6E8C" w:rsidRPr="006D631C" w:rsidRDefault="003E6E8C" w:rsidP="003E6E8C">
            <w:pPr>
              <w:spacing w:line="240" w:lineRule="auto"/>
              <w:jc w:val="left"/>
              <w:rPr>
                <w:color w:val="000000"/>
                <w:sz w:val="12"/>
                <w:szCs w:val="12"/>
              </w:rPr>
            </w:pPr>
            <w:r w:rsidRPr="006D631C">
              <w:rPr>
                <w:color w:val="000000"/>
                <w:sz w:val="12"/>
                <w:szCs w:val="12"/>
              </w:rPr>
              <w:t>9.3 for A-16a</w:t>
            </w:r>
          </w:p>
        </w:tc>
        <w:tc>
          <w:tcPr>
            <w:tcW w:w="5103" w:type="dxa"/>
            <w:tcBorders>
              <w:top w:val="nil"/>
              <w:left w:val="nil"/>
              <w:bottom w:val="single" w:sz="4" w:space="0" w:color="auto"/>
              <w:right w:val="nil"/>
            </w:tcBorders>
            <w:shd w:val="clear" w:color="000000" w:fill="FFFFFF"/>
            <w:vAlign w:val="center"/>
          </w:tcPr>
          <w:p w14:paraId="4940BF62" w14:textId="6047EC12" w:rsidR="003E6E8C" w:rsidRPr="006D631C" w:rsidRDefault="003E6E8C" w:rsidP="003E6E8C">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n-</w:t>
            </w:r>
            <w:proofErr w:type="spellStart"/>
            <w:r w:rsidRPr="006D631C">
              <w:rPr>
                <w:rFonts w:eastAsia="Times New Roman" w:cs="Times New Roman"/>
                <w:color w:val="000000"/>
                <w:sz w:val="12"/>
                <w:szCs w:val="12"/>
              </w:rPr>
              <w:t>Decane</w:t>
            </w:r>
            <w:proofErr w:type="spellEnd"/>
            <w:r w:rsidRPr="006D631C">
              <w:rPr>
                <w:rFonts w:eastAsia="Times New Roman" w:cs="Times New Roman"/>
                <w:color w:val="000000"/>
                <w:sz w:val="12"/>
                <w:szCs w:val="12"/>
              </w:rPr>
              <w:t xml:space="preserve"> was also used in preparation of LLC with A-1</w:t>
            </w:r>
          </w:p>
        </w:tc>
        <w:tc>
          <w:tcPr>
            <w:tcW w:w="566" w:type="dxa"/>
            <w:tcBorders>
              <w:top w:val="nil"/>
              <w:left w:val="nil"/>
              <w:bottom w:val="single" w:sz="4" w:space="0" w:color="auto"/>
              <w:right w:val="nil"/>
            </w:tcBorders>
            <w:shd w:val="clear" w:color="000000" w:fill="FFFFFF"/>
            <w:noWrap/>
            <w:vAlign w:val="center"/>
          </w:tcPr>
          <w:p w14:paraId="53FAE09A" w14:textId="5968021C" w:rsidR="003E6E8C" w:rsidRPr="006D631C" w:rsidRDefault="003E6E8C" w:rsidP="000B67AC">
            <w:pPr>
              <w:spacing w:line="240" w:lineRule="auto"/>
              <w:ind w:right="-103"/>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{"citationItems":[{"id":"ITEM-1","itemData":{"DOI":"10.1021/bk-1989-0384.ch013","ISBN":"9780841215610","author":[{"dropping-particle":"","family":"Anderson","given":"David M.","non-dropping-particle":"","parse-names":false,"suffix":""},{"dropping-particle":"","family":"Ström","given":"Pelle","non-dropping-particle":"","parse-names":false,"suffix":""}],"id":"ITEM-1","issued":{"date-parts":[["1989","12","30"]]},"page":"204-224","publisher":"ACS Symposium Series","title":"Polymerization of Lyotropic Liquid Crystals","type":"chapter"},"uris":["http://www.mendeley.com/documents/?uuid=e35fdacf-78aa-4fe8-9ea7-fa8265e4c084"]},{"id":"ITEM-2","itemData":{"DOI":"10.1016/0378-4371(91)90438-I","ISSN":"03784371","abstract":"When an aqueous solution of a hydrophilic monomer such as 2-hydroxyethylmetharylate (HEMA) is mixed with a surfactant at the correct proportions, the components self-assemble into a lytropic liquid crystal comprising a highly ordered periodic microstructure, and polymerization of the monomer and removal of the surfactant results in a macroporous hydrogel of potential importance as a material for contact lenses and other prostheses. The two most important properties of these structured polymers as contact lens materials are: (1) unlike simple hydrogels which have irregular pores with a highly polydispersed size distribution, these new materials have an extremely well-characterized-in fact, triply periodic-network of pores of identical size, which can be preselected so as to allow for the transport of proteins, mucins, and other components of the pre-ocular tear film; and (2) this pore size can be selected independently of the polymer concentration and crosslink density, unlike simple hydrogels where large pores can only be obtained by reducing the crosslink density and along with it the shear modulus. The pore diameter can be selected in the range 20-400 Å and possibly higher. A wide variety of surfactant systems that have been shown to yield materials of this degree of precision and versatility is reviewed. © 1991.","author":[{"dropping-particle":"","family":"Anderson","given":"David M.","non-dropping-particle":"","parse-names":false,"suffix":""},{"dropping-particle":"","family":"Ström","given":"Pelle","non-dropping-particle":"","parse-names":false,"suffix":""}],"container-title":"Physica A: Statistical Mechanics and its Applications","id":"ITEM-2","issue":"1","issued":{"date-parts":[["1991"]]},"page":"151-167","title":"Polymerized lyotropic liquid crystals as contact lens materials","type":"article-journal","volume":"176"},"uris":["http://www.mendeley.com/documents/?uuid=01e69713-490c-4cd9-ad95-b9461a214451"]}],"mendeley":{"formattedCitation":"&lt;sup&gt;151,153&lt;/sup&gt;","plainTextFormattedCitation":"151,153","previouslyFormattedCitation":"&lt;sup&gt;151,153&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151,153</w:t>
            </w:r>
            <w:r w:rsidRPr="006D631C">
              <w:rPr>
                <w:color w:val="000000"/>
                <w:sz w:val="12"/>
                <w:szCs w:val="12"/>
              </w:rPr>
              <w:fldChar w:fldCharType="end"/>
            </w:r>
          </w:p>
        </w:tc>
      </w:tr>
      <w:tr w:rsidR="003E6E8C" w:rsidRPr="006D631C" w14:paraId="057E5C7B" w14:textId="77777777" w:rsidTr="00713029">
        <w:trPr>
          <w:trHeight w:val="20"/>
        </w:trPr>
        <w:tc>
          <w:tcPr>
            <w:tcW w:w="851" w:type="dxa"/>
            <w:vMerge/>
            <w:tcBorders>
              <w:top w:val="nil"/>
              <w:left w:val="nil"/>
              <w:bottom w:val="single" w:sz="4" w:space="0" w:color="000000"/>
              <w:right w:val="nil"/>
            </w:tcBorders>
            <w:vAlign w:val="center"/>
          </w:tcPr>
          <w:p w14:paraId="144143E0" w14:textId="77777777" w:rsidR="003E6E8C" w:rsidRPr="006D631C" w:rsidRDefault="003E6E8C" w:rsidP="003E6E8C">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26D5A1C6" w14:textId="1CB19ADF" w:rsidR="003E6E8C" w:rsidRPr="006D631C" w:rsidRDefault="003E6E8C" w:rsidP="003E6E8C">
            <w:pPr>
              <w:spacing w:line="240" w:lineRule="auto"/>
              <w:jc w:val="left"/>
              <w:rPr>
                <w:color w:val="000000"/>
                <w:sz w:val="12"/>
                <w:szCs w:val="12"/>
              </w:rPr>
            </w:pPr>
            <w:r w:rsidRPr="006D631C">
              <w:rPr>
                <w:color w:val="000000"/>
                <w:sz w:val="12"/>
                <w:szCs w:val="12"/>
              </w:rPr>
              <w:t>A-10 or     A-12</w:t>
            </w:r>
          </w:p>
        </w:tc>
        <w:tc>
          <w:tcPr>
            <w:tcW w:w="567" w:type="dxa"/>
            <w:tcBorders>
              <w:top w:val="nil"/>
              <w:left w:val="nil"/>
              <w:bottom w:val="single" w:sz="4" w:space="0" w:color="auto"/>
              <w:right w:val="nil"/>
            </w:tcBorders>
            <w:shd w:val="clear" w:color="000000" w:fill="FFFFFF"/>
            <w:vAlign w:val="center"/>
          </w:tcPr>
          <w:p w14:paraId="6CABE1A6" w14:textId="639D0D5C" w:rsidR="003E6E8C" w:rsidRPr="006D631C" w:rsidRDefault="003E6E8C" w:rsidP="003E6E8C">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18FC8A67" w14:textId="45E0D0DD" w:rsidR="003E6E8C" w:rsidRPr="006D631C" w:rsidRDefault="003E6E8C" w:rsidP="003E6E8C">
            <w:pPr>
              <w:spacing w:line="240" w:lineRule="auto"/>
              <w:jc w:val="left"/>
              <w:rPr>
                <w:color w:val="000000"/>
                <w:sz w:val="12"/>
                <w:szCs w:val="12"/>
              </w:rPr>
            </w:pPr>
            <w:r w:rsidRPr="006D631C">
              <w:rPr>
                <w:color w:val="000000"/>
                <w:sz w:val="12"/>
                <w:szCs w:val="12"/>
              </w:rPr>
              <w:t>I-14</w:t>
            </w:r>
          </w:p>
        </w:tc>
        <w:tc>
          <w:tcPr>
            <w:tcW w:w="1134" w:type="dxa"/>
            <w:tcBorders>
              <w:top w:val="nil"/>
              <w:left w:val="nil"/>
              <w:bottom w:val="single" w:sz="4" w:space="0" w:color="auto"/>
              <w:right w:val="nil"/>
            </w:tcBorders>
            <w:shd w:val="clear" w:color="000000" w:fill="FFFFFF"/>
            <w:noWrap/>
            <w:vAlign w:val="center"/>
          </w:tcPr>
          <w:p w14:paraId="2B5656E1" w14:textId="029E67B4" w:rsidR="003E6E8C" w:rsidRPr="006D631C" w:rsidRDefault="003E6E8C" w:rsidP="003E6E8C">
            <w:pPr>
              <w:spacing w:line="240" w:lineRule="auto"/>
              <w:jc w:val="left"/>
              <w:rPr>
                <w:color w:val="000000"/>
                <w:sz w:val="12"/>
                <w:szCs w:val="12"/>
              </w:rPr>
            </w:pPr>
            <w:r w:rsidRPr="006D631C">
              <w:rPr>
                <w:color w:val="000000"/>
                <w:sz w:val="12"/>
                <w:szCs w:val="12"/>
              </w:rPr>
              <w:t>47.7 / 10 for A-10 (H</w:t>
            </w:r>
            <w:r w:rsidRPr="006D631C">
              <w:rPr>
                <w:color w:val="000000"/>
                <w:sz w:val="12"/>
                <w:szCs w:val="12"/>
                <w:vertAlign w:val="subscript"/>
              </w:rPr>
              <w:t>1</w:t>
            </w:r>
            <w:r w:rsidRPr="006D631C">
              <w:rPr>
                <w:color w:val="000000"/>
                <w:sz w:val="12"/>
                <w:szCs w:val="12"/>
              </w:rPr>
              <w:t>)</w:t>
            </w:r>
            <w:r w:rsidRPr="006D631C">
              <w:rPr>
                <w:color w:val="000000"/>
                <w:sz w:val="12"/>
                <w:szCs w:val="12"/>
              </w:rPr>
              <w:br/>
              <w:t>50 / 10 for A-12 (Q</w:t>
            </w:r>
            <w:r w:rsidRPr="006D631C">
              <w:rPr>
                <w:rFonts w:ascii="Calibri" w:hAnsi="Calibri" w:cs="Calibri"/>
                <w:color w:val="000000"/>
                <w:sz w:val="12"/>
                <w:szCs w:val="12"/>
                <w:vertAlign w:val="subscript"/>
              </w:rPr>
              <w:t>α</w:t>
            </w:r>
            <w:r w:rsidRPr="006D631C">
              <w:rPr>
                <w:color w:val="000000"/>
                <w:sz w:val="12"/>
                <w:szCs w:val="12"/>
              </w:rPr>
              <w:t xml:space="preserve"> and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vAlign w:val="center"/>
          </w:tcPr>
          <w:p w14:paraId="2A4FB7D4" w14:textId="6AA629E0" w:rsidR="003E6E8C" w:rsidRPr="006D631C" w:rsidRDefault="003E6E8C" w:rsidP="003E6E8C">
            <w:pPr>
              <w:spacing w:line="240" w:lineRule="auto"/>
              <w:jc w:val="left"/>
              <w:rPr>
                <w:color w:val="000000"/>
                <w:sz w:val="12"/>
                <w:szCs w:val="12"/>
              </w:rPr>
            </w:pPr>
            <w:r w:rsidRPr="006D631C">
              <w:rPr>
                <w:color w:val="000000"/>
                <w:sz w:val="12"/>
                <w:szCs w:val="12"/>
              </w:rPr>
              <w:t>Retention of the structures</w:t>
            </w:r>
          </w:p>
        </w:tc>
        <w:tc>
          <w:tcPr>
            <w:tcW w:w="993" w:type="dxa"/>
            <w:tcBorders>
              <w:top w:val="nil"/>
              <w:left w:val="nil"/>
              <w:bottom w:val="single" w:sz="4" w:space="0" w:color="auto"/>
              <w:right w:val="nil"/>
            </w:tcBorders>
            <w:shd w:val="clear" w:color="000000" w:fill="FFFFFF"/>
            <w:noWrap/>
            <w:vAlign w:val="center"/>
          </w:tcPr>
          <w:p w14:paraId="4F4BFB6F" w14:textId="03A1771B" w:rsidR="003E6E8C" w:rsidRPr="006D631C" w:rsidRDefault="003E6E8C" w:rsidP="003E6E8C">
            <w:pPr>
              <w:spacing w:line="240" w:lineRule="auto"/>
              <w:jc w:val="left"/>
              <w:rPr>
                <w:color w:val="000000"/>
                <w:sz w:val="12"/>
                <w:szCs w:val="12"/>
              </w:rPr>
            </w:pPr>
            <w:r w:rsidRPr="006D631C">
              <w:rPr>
                <w:color w:val="000000"/>
                <w:sz w:val="12"/>
                <w:szCs w:val="12"/>
              </w:rPr>
              <w:t>4.53 (H</w:t>
            </w:r>
            <w:r w:rsidRPr="006D631C">
              <w:rPr>
                <w:color w:val="000000"/>
                <w:sz w:val="12"/>
                <w:szCs w:val="12"/>
                <w:vertAlign w:val="subscript"/>
              </w:rPr>
              <w:t>1</w:t>
            </w:r>
            <w:r w:rsidRPr="006D631C">
              <w:rPr>
                <w:color w:val="000000"/>
                <w:sz w:val="12"/>
                <w:szCs w:val="12"/>
              </w:rPr>
              <w:t>)</w:t>
            </w:r>
            <w:r w:rsidRPr="006D631C">
              <w:rPr>
                <w:color w:val="000000"/>
                <w:sz w:val="12"/>
                <w:szCs w:val="12"/>
              </w:rPr>
              <w:br/>
              <w:t>3.81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30F9ACBD" w14:textId="6462FC88" w:rsidR="003E6E8C" w:rsidRPr="006D631C" w:rsidRDefault="003E6E8C" w:rsidP="003E6E8C">
            <w:pPr>
              <w:spacing w:line="240" w:lineRule="auto"/>
              <w:jc w:val="left"/>
              <w:rPr>
                <w:color w:val="000000"/>
                <w:sz w:val="12"/>
                <w:szCs w:val="12"/>
              </w:rPr>
            </w:pPr>
            <w:r w:rsidRPr="006D631C">
              <w:rPr>
                <w:color w:val="000000"/>
                <w:sz w:val="12"/>
                <w:szCs w:val="12"/>
              </w:rPr>
              <w:t>4.69 (H</w:t>
            </w:r>
            <w:r w:rsidRPr="006D631C">
              <w:rPr>
                <w:color w:val="000000"/>
                <w:sz w:val="12"/>
                <w:szCs w:val="12"/>
                <w:vertAlign w:val="subscript"/>
              </w:rPr>
              <w:t>1</w:t>
            </w:r>
            <w:r w:rsidRPr="006D631C">
              <w:rPr>
                <w:color w:val="000000"/>
                <w:sz w:val="12"/>
                <w:szCs w:val="12"/>
              </w:rPr>
              <w:t>)</w:t>
            </w:r>
            <w:r w:rsidRPr="006D631C">
              <w:rPr>
                <w:color w:val="000000"/>
                <w:sz w:val="12"/>
                <w:szCs w:val="12"/>
              </w:rPr>
              <w:br/>
              <w:t>3.69 (L</w:t>
            </w:r>
            <w:r w:rsidRPr="006D631C">
              <w:rPr>
                <w:color w:val="000000"/>
                <w:sz w:val="12"/>
                <w:szCs w:val="12"/>
                <w:vertAlign w:val="subscript"/>
              </w:rPr>
              <w:t>α</w:t>
            </w: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2F56A28E" w14:textId="28A43C40" w:rsidR="003E6E8C" w:rsidRPr="006D631C" w:rsidRDefault="003E6E8C" w:rsidP="003E6E8C">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Q</w:t>
            </w:r>
            <w:r w:rsidRPr="006D631C">
              <w:rPr>
                <w:rFonts w:ascii="Calibri" w:eastAsia="Times New Roman" w:hAnsi="Calibri" w:cs="Calibri"/>
                <w:color w:val="000000"/>
                <w:sz w:val="12"/>
                <w:szCs w:val="12"/>
                <w:vertAlign w:val="subscript"/>
              </w:rPr>
              <w:t>α</w:t>
            </w:r>
            <w:r w:rsidRPr="006D631C">
              <w:rPr>
                <w:rFonts w:eastAsia="Times New Roman" w:cs="Times New Roman"/>
                <w:color w:val="000000"/>
                <w:sz w:val="12"/>
                <w:szCs w:val="12"/>
              </w:rPr>
              <w:t xml:space="preserve"> was obtained from ternary system of water/A-12/</w:t>
            </w:r>
            <w:proofErr w:type="spellStart"/>
            <w:r w:rsidRPr="006D631C">
              <w:rPr>
                <w:rFonts w:eastAsia="Times New Roman" w:cs="Times New Roman"/>
                <w:color w:val="000000"/>
                <w:sz w:val="12"/>
                <w:szCs w:val="12"/>
              </w:rPr>
              <w:t>decanol</w:t>
            </w:r>
            <w:proofErr w:type="spellEnd"/>
          </w:p>
        </w:tc>
        <w:tc>
          <w:tcPr>
            <w:tcW w:w="566" w:type="dxa"/>
            <w:tcBorders>
              <w:top w:val="nil"/>
              <w:left w:val="nil"/>
              <w:bottom w:val="single" w:sz="4" w:space="0" w:color="auto"/>
              <w:right w:val="nil"/>
            </w:tcBorders>
            <w:shd w:val="clear" w:color="000000" w:fill="FFFFFF"/>
            <w:noWrap/>
            <w:vAlign w:val="center"/>
          </w:tcPr>
          <w:p w14:paraId="29A6F7D5" w14:textId="225F5D40" w:rsidR="003E6E8C" w:rsidRPr="006D631C" w:rsidRDefault="003E6E8C"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10.1021/ma00027a077","ISSN":"15205835","author":[{"dropping-particle":"","family":"Laversanne","given":"R.","non-dropping-particle":"","parse-names":false,"suffix":""}],"container-title":"Macromolecules","id":"ITEM-1","issue":"1","issued":{"date-parts":[["1992"]]},"page":"489-491","title":"Polymerization of Acrylamide in Lamellar, Hexagonal, and Cubic Lyotropic Phases","type":"article-journal","volume":"25"},"uris":["http://www.mendeley.com/documents/?uuid=b1dd0422-3c31-4f28-ac49-1c4deadce2a6"]}],"mendeley":{"formattedCitation":"&lt;sup&gt;154&lt;/sup&gt;","plainTextFormattedCitation":"154","previouslyFormattedCitation":"&lt;sup&gt;154&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154</w:t>
            </w:r>
            <w:r w:rsidRPr="006D631C">
              <w:rPr>
                <w:color w:val="000000"/>
                <w:sz w:val="12"/>
                <w:szCs w:val="12"/>
              </w:rPr>
              <w:fldChar w:fldCharType="end"/>
            </w:r>
          </w:p>
        </w:tc>
      </w:tr>
      <w:tr w:rsidR="003E6E8C" w:rsidRPr="006D631C" w14:paraId="2A85BF6B" w14:textId="77777777" w:rsidTr="00713029">
        <w:trPr>
          <w:trHeight w:val="20"/>
        </w:trPr>
        <w:tc>
          <w:tcPr>
            <w:tcW w:w="851" w:type="dxa"/>
            <w:vMerge/>
            <w:tcBorders>
              <w:top w:val="nil"/>
              <w:left w:val="nil"/>
              <w:bottom w:val="single" w:sz="4" w:space="0" w:color="000000"/>
              <w:right w:val="nil"/>
            </w:tcBorders>
            <w:vAlign w:val="center"/>
          </w:tcPr>
          <w:p w14:paraId="5BAE93B4" w14:textId="77777777" w:rsidR="003E6E8C" w:rsidRPr="006D631C" w:rsidRDefault="003E6E8C" w:rsidP="003E6E8C">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536542FF" w14:textId="53467534" w:rsidR="003E6E8C" w:rsidRPr="006D631C" w:rsidRDefault="003E6E8C" w:rsidP="003E6E8C">
            <w:pPr>
              <w:spacing w:line="240" w:lineRule="auto"/>
              <w:jc w:val="left"/>
              <w:rPr>
                <w:color w:val="000000"/>
                <w:sz w:val="12"/>
                <w:szCs w:val="12"/>
              </w:rPr>
            </w:pPr>
            <w:r w:rsidRPr="006D631C">
              <w:rPr>
                <w:color w:val="000000"/>
                <w:sz w:val="12"/>
                <w:szCs w:val="12"/>
              </w:rPr>
              <w:t>A-5 or A-11</w:t>
            </w:r>
          </w:p>
        </w:tc>
        <w:tc>
          <w:tcPr>
            <w:tcW w:w="567" w:type="dxa"/>
            <w:tcBorders>
              <w:top w:val="nil"/>
              <w:left w:val="nil"/>
              <w:bottom w:val="single" w:sz="4" w:space="0" w:color="auto"/>
              <w:right w:val="nil"/>
            </w:tcBorders>
            <w:shd w:val="clear" w:color="000000" w:fill="FFFFFF"/>
            <w:vAlign w:val="center"/>
          </w:tcPr>
          <w:p w14:paraId="6EC80BF9" w14:textId="34DB5B49" w:rsidR="003E6E8C" w:rsidRPr="006D631C" w:rsidRDefault="003E6E8C" w:rsidP="003E6E8C">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0B803969" w14:textId="51B45523" w:rsidR="003E6E8C" w:rsidRPr="006D631C" w:rsidRDefault="003E6E8C" w:rsidP="003E6E8C">
            <w:pPr>
              <w:spacing w:line="240" w:lineRule="auto"/>
              <w:jc w:val="left"/>
              <w:rPr>
                <w:color w:val="000000"/>
                <w:sz w:val="12"/>
                <w:szCs w:val="12"/>
              </w:rPr>
            </w:pPr>
            <w:r w:rsidRPr="006D631C">
              <w:rPr>
                <w:color w:val="000000"/>
                <w:sz w:val="12"/>
                <w:szCs w:val="12"/>
              </w:rPr>
              <w:t>I-18</w:t>
            </w:r>
          </w:p>
        </w:tc>
        <w:tc>
          <w:tcPr>
            <w:tcW w:w="1134" w:type="dxa"/>
            <w:tcBorders>
              <w:top w:val="nil"/>
              <w:left w:val="nil"/>
              <w:bottom w:val="single" w:sz="4" w:space="0" w:color="auto"/>
              <w:right w:val="nil"/>
            </w:tcBorders>
            <w:shd w:val="clear" w:color="000000" w:fill="FFFFFF"/>
            <w:vAlign w:val="center"/>
          </w:tcPr>
          <w:p w14:paraId="51271EA0" w14:textId="0DB263C5" w:rsidR="003E6E8C" w:rsidRPr="006D631C" w:rsidRDefault="003E6E8C" w:rsidP="003E6E8C">
            <w:pPr>
              <w:spacing w:line="240" w:lineRule="auto"/>
              <w:jc w:val="left"/>
              <w:rPr>
                <w:color w:val="000000"/>
                <w:sz w:val="12"/>
                <w:szCs w:val="12"/>
              </w:rPr>
            </w:pPr>
            <w:r w:rsidRPr="006D631C">
              <w:rPr>
                <w:color w:val="000000"/>
                <w:sz w:val="12"/>
                <w:szCs w:val="12"/>
              </w:rPr>
              <w:t>43 - 48 / 26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vAlign w:val="center"/>
          </w:tcPr>
          <w:p w14:paraId="64CEC3C7" w14:textId="447ED050" w:rsidR="003E6E8C" w:rsidRPr="006D631C" w:rsidRDefault="003E6E8C" w:rsidP="003E6E8C">
            <w:pPr>
              <w:spacing w:line="240" w:lineRule="auto"/>
              <w:jc w:val="left"/>
              <w:rPr>
                <w:color w:val="000000"/>
                <w:sz w:val="12"/>
                <w:szCs w:val="12"/>
              </w:rPr>
            </w:pPr>
            <w:r w:rsidRPr="006D631C">
              <w:rPr>
                <w:color w:val="000000"/>
                <w:sz w:val="12"/>
                <w:szCs w:val="12"/>
              </w:rPr>
              <w:t>H</w:t>
            </w:r>
            <w:r w:rsidRPr="006D631C">
              <w:rPr>
                <w:color w:val="000000"/>
                <w:sz w:val="12"/>
                <w:szCs w:val="12"/>
                <w:vertAlign w:val="subscript"/>
              </w:rPr>
              <w:t>1</w:t>
            </w:r>
            <w:r w:rsidRPr="006D631C">
              <w:rPr>
                <w:color w:val="000000"/>
                <w:sz w:val="12"/>
                <w:szCs w:val="12"/>
              </w:rPr>
              <w:t xml:space="preserve"> changed to L</w:t>
            </w:r>
            <w:r w:rsidRPr="006D631C">
              <w:rPr>
                <w:color w:val="000000"/>
                <w:sz w:val="12"/>
                <w:szCs w:val="12"/>
                <w:vertAlign w:val="subscript"/>
              </w:rPr>
              <w:t>α</w:t>
            </w:r>
            <w:r w:rsidRPr="006D631C">
              <w:rPr>
                <w:color w:val="000000"/>
                <w:sz w:val="12"/>
                <w:szCs w:val="12"/>
              </w:rPr>
              <w:t xml:space="preserve"> with A-11</w:t>
            </w:r>
          </w:p>
        </w:tc>
        <w:tc>
          <w:tcPr>
            <w:tcW w:w="993" w:type="dxa"/>
            <w:tcBorders>
              <w:top w:val="nil"/>
              <w:left w:val="nil"/>
              <w:bottom w:val="single" w:sz="4" w:space="0" w:color="auto"/>
              <w:right w:val="nil"/>
            </w:tcBorders>
            <w:shd w:val="clear" w:color="000000" w:fill="FFFFFF"/>
            <w:noWrap/>
            <w:vAlign w:val="center"/>
          </w:tcPr>
          <w:p w14:paraId="6B399975" w14:textId="500A5DE9" w:rsidR="003E6E8C" w:rsidRPr="006D631C" w:rsidRDefault="003E6E8C" w:rsidP="003E6E8C">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1BC11A7D" w14:textId="38C18D1C" w:rsidR="003E6E8C" w:rsidRPr="006D631C" w:rsidRDefault="003E6E8C" w:rsidP="003E6E8C">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vAlign w:val="center"/>
          </w:tcPr>
          <w:p w14:paraId="3B29551A" w14:textId="77777777" w:rsidR="003E6E8C" w:rsidRPr="006D631C" w:rsidRDefault="003E6E8C" w:rsidP="003E6E8C">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The structures can be destroyed with the removal of the template</w:t>
            </w:r>
          </w:p>
          <w:p w14:paraId="2D28A2E7" w14:textId="77777777" w:rsidR="003E6E8C" w:rsidRPr="006D631C" w:rsidRDefault="003E6E8C" w:rsidP="003E6E8C">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The prepared gels can be chemically functionalized by incorporation of M-17, M-15, M-12, M-14 and M-13/M-21</w:t>
            </w:r>
          </w:p>
          <w:p w14:paraId="5A21DFFC" w14:textId="69A8FF42" w:rsidR="003E6E8C" w:rsidRPr="006D631C" w:rsidRDefault="003E6E8C" w:rsidP="003E6E8C">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Enhanced mechanical stability of water-swollen gels obtained from templating</w:t>
            </w:r>
          </w:p>
        </w:tc>
        <w:tc>
          <w:tcPr>
            <w:tcW w:w="566" w:type="dxa"/>
            <w:tcBorders>
              <w:top w:val="nil"/>
              <w:left w:val="nil"/>
              <w:bottom w:val="single" w:sz="4" w:space="0" w:color="auto"/>
              <w:right w:val="nil"/>
            </w:tcBorders>
            <w:shd w:val="clear" w:color="000000" w:fill="FFFFFF"/>
            <w:vAlign w:val="center"/>
          </w:tcPr>
          <w:p w14:paraId="609AB7B0" w14:textId="18739403" w:rsidR="003E6E8C" w:rsidRPr="006D631C" w:rsidRDefault="003E6E8C" w:rsidP="000B67AC">
            <w:pPr>
              <w:spacing w:line="240" w:lineRule="auto"/>
              <w:ind w:right="-103"/>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{"citationItems":[{"id":"ITEM-1","itemData":{"DOI":"10.1002/bbpc.19971011130","ISSN":"0940483X","abstract":"The synthesis of fine polymer latices and ordered polymer gels by polymerization in microemulsions and lyotropic mesophases is described. For this purpose, a new class of surfactants based on the coupling of cetyl trimethylammonium groups with organic counterions was developed. Interface activity, critical micelle concentration as well as lyotropic liquid crystalline phase behavior of these surfactants were investigated, and very high efficiency and high phase stability was found. Systems optimized such do not only allow the synthesis of very small polymer latices (Rh≥7.5 nm) in reverse systems, but also the generation of gels with lamellar order. Due to the occurrence of phase transitions during polymerization, direct templating of the original lyotropic phase by the polymer gel is prevented, but the final polymer gels are highly ordered and reflect some of the characteristics of the surfactant template. © WILEY-VCH Verlag GmbH, 1997.","author":[{"dropping-particle":"","family":"Hentze","given":"Hans Peter","non-dropping-particle":"","parse-names":false,"suffix":""},{"dropping-particle":"","family":"Göltner","given":"Christine G.","non-dropping-particle":"","parse-names":false,"suffix":""},{"dropping-particle":"","family":"Antonietti","given":"Markus","non-dropping-particle":"","parse-names":false,"suffix":""}],"container-title":"Berichte der Bunsengesellschaft/Physical Chemistry Chemical Physics","id":"ITEM-1","issue":"11","issued":{"date-parts":[["1997"]]},"page":"1699-1702","title":"Synthesis of organic polymer gels in microemulsions and lyotropic mesophases","type":"article-journal","volume":"101"},"uris":["http://www.mendeley.com/documents/?uuid=84f97a65-8cfe-4c7b-b1c4-5ea5f3c790bd"]},{"id":"ITEM-2","itemData":{"DOI":"10.1021/la971054y","ISSN":"07437463","abstract":"Polymerization of hydrophilic monomers, such as acrylamide, in the aqueous lyotropic phases of counterion-coupled gemini surfactants (\"cocogems\") results in highly ordered gels with a layerlike architecture between the submicrometer and micrometer length scale. The order of such gels is preserved even after removing the templating surfactant. The evolution of the gels is monitored using polarized light optical microscopy, rheology, small-angle X-ray scattering, and scanning electron microscopy (SEM). The synthesis envokes structural changes of the templating lyotropic phase structure as well as demixing of the gelling polymer and the surfactant phase. The overall gel morphology is, however, still controlled by the anisotropy of the surfactant assembly. Hence, the polymer gel is not a direct cast of the original phase structure, but its growth is indirectly controlled by the ordered arrays. The persistence of the lyotropic liquid crystalline phases of cocogems is high enough to preserve a layered order, however with the characteristic size of a demixing structure rather than that of the parental lyotropic phase. Chemical functionalization of these gels is easily achieved by copolymerizing functional comonomers, such as acrylic acid or dimethylaminoethyl methacrylate. It is expected that these ordered gels, simple to prepare and inexpensive, will find a number of applications in various fields of modern materials science, such as for the construction of size-selective membranes or high-performance material hybrides.","author":[{"dropping-particle":"","family":"Antonietti","given":"Markus","non-dropping-particle":"","parse-names":false,"suffix":""},{"dropping-particle":"","family":"Göltner","given":"Christine","non-dropping-particle":"","parse-names":false,"suffix":""},{"dropping-particle":"","family":"Hentze","given":"Hans Peter","non-dropping-particle":"","parse-names":false,"suffix":""}],"container-title":"Langmuir","id":"ITEM-2","issue":"10","issued":{"date-parts":[["1998"]]},"page":"2670-2672","title":"Polymer gels with a micron-sized, layer-like architecture by polymerization in lyotropic cocogem phases","type":"article-journal","volume":"14"},"uris":["http://www.mendeley.com/documents/?uuid=c5d8d08e-3233-45c5-9918-120e3d247118"]}],"mendeley":{"formattedCitation":"&lt;sup&gt;158,161&lt;/sup&gt;","plainTextFormattedCitation":"158,161","previouslyFormattedCitation":"&lt;sup&gt;158,161&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158,161</w:t>
            </w:r>
            <w:r w:rsidRPr="006D631C">
              <w:rPr>
                <w:color w:val="000000"/>
                <w:sz w:val="12"/>
                <w:szCs w:val="12"/>
              </w:rPr>
              <w:fldChar w:fldCharType="end"/>
            </w:r>
          </w:p>
        </w:tc>
      </w:tr>
      <w:tr w:rsidR="003E6E8C" w:rsidRPr="006D631C" w14:paraId="18616F30" w14:textId="77777777" w:rsidTr="00713029">
        <w:trPr>
          <w:trHeight w:val="20"/>
        </w:trPr>
        <w:tc>
          <w:tcPr>
            <w:tcW w:w="851" w:type="dxa"/>
            <w:vMerge/>
            <w:tcBorders>
              <w:top w:val="nil"/>
              <w:left w:val="nil"/>
              <w:bottom w:val="single" w:sz="4" w:space="0" w:color="000000"/>
              <w:right w:val="nil"/>
            </w:tcBorders>
            <w:vAlign w:val="center"/>
          </w:tcPr>
          <w:p w14:paraId="680D3599" w14:textId="77777777" w:rsidR="003E6E8C" w:rsidRPr="006D631C" w:rsidRDefault="003E6E8C" w:rsidP="003E6E8C">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5DCE2498" w14:textId="55A2227D" w:rsidR="003E6E8C" w:rsidRPr="006D631C" w:rsidRDefault="003E6E8C" w:rsidP="003E6E8C">
            <w:pPr>
              <w:spacing w:line="240" w:lineRule="auto"/>
              <w:jc w:val="left"/>
              <w:rPr>
                <w:color w:val="000000"/>
                <w:sz w:val="12"/>
                <w:szCs w:val="12"/>
              </w:rPr>
            </w:pPr>
            <w:r w:rsidRPr="006D631C">
              <w:rPr>
                <w:color w:val="000000"/>
                <w:sz w:val="12"/>
                <w:szCs w:val="12"/>
              </w:rPr>
              <w:t>A-14</w:t>
            </w:r>
          </w:p>
        </w:tc>
        <w:tc>
          <w:tcPr>
            <w:tcW w:w="567" w:type="dxa"/>
            <w:tcBorders>
              <w:top w:val="nil"/>
              <w:left w:val="nil"/>
              <w:bottom w:val="single" w:sz="4" w:space="0" w:color="auto"/>
              <w:right w:val="nil"/>
            </w:tcBorders>
            <w:shd w:val="clear" w:color="000000" w:fill="FFFFFF"/>
            <w:vAlign w:val="center"/>
          </w:tcPr>
          <w:p w14:paraId="485EB848" w14:textId="744D8DD3" w:rsidR="003E6E8C" w:rsidRPr="006D631C" w:rsidRDefault="003E6E8C" w:rsidP="003E6E8C">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74D06C8F" w14:textId="5AAF0E1A" w:rsidR="003E6E8C" w:rsidRPr="006D631C" w:rsidRDefault="003E6E8C" w:rsidP="003E6E8C">
            <w:pPr>
              <w:spacing w:line="240" w:lineRule="auto"/>
              <w:jc w:val="left"/>
              <w:rPr>
                <w:color w:val="000000"/>
                <w:sz w:val="12"/>
                <w:szCs w:val="12"/>
              </w:rPr>
            </w:pPr>
            <w:r w:rsidRPr="006D631C">
              <w:rPr>
                <w:color w:val="000000"/>
                <w:sz w:val="12"/>
                <w:szCs w:val="12"/>
              </w:rPr>
              <w:t>I-18</w:t>
            </w:r>
          </w:p>
        </w:tc>
        <w:tc>
          <w:tcPr>
            <w:tcW w:w="1134" w:type="dxa"/>
            <w:tcBorders>
              <w:top w:val="nil"/>
              <w:left w:val="nil"/>
              <w:bottom w:val="single" w:sz="4" w:space="0" w:color="auto"/>
              <w:right w:val="nil"/>
            </w:tcBorders>
            <w:shd w:val="clear" w:color="000000" w:fill="FFFFFF"/>
            <w:vAlign w:val="center"/>
          </w:tcPr>
          <w:p w14:paraId="7AE191F2" w14:textId="368E4EDE" w:rsidR="003E6E8C" w:rsidRPr="006D631C" w:rsidRDefault="003E6E8C" w:rsidP="003E6E8C">
            <w:pPr>
              <w:spacing w:line="240" w:lineRule="auto"/>
              <w:jc w:val="left"/>
              <w:rPr>
                <w:color w:val="000000"/>
                <w:sz w:val="12"/>
                <w:szCs w:val="12"/>
              </w:rPr>
            </w:pPr>
            <w:r w:rsidRPr="006D631C">
              <w:rPr>
                <w:color w:val="000000"/>
                <w:sz w:val="12"/>
                <w:szCs w:val="12"/>
              </w:rPr>
              <w:t>6 -28 / 23 - 30</w:t>
            </w:r>
          </w:p>
        </w:tc>
        <w:tc>
          <w:tcPr>
            <w:tcW w:w="992" w:type="dxa"/>
            <w:tcBorders>
              <w:top w:val="nil"/>
              <w:left w:val="nil"/>
              <w:bottom w:val="single" w:sz="4" w:space="0" w:color="auto"/>
              <w:right w:val="nil"/>
            </w:tcBorders>
            <w:shd w:val="clear" w:color="000000" w:fill="FFFFFF"/>
            <w:noWrap/>
            <w:vAlign w:val="center"/>
          </w:tcPr>
          <w:p w14:paraId="3AA8F59D" w14:textId="744F405D" w:rsidR="003E6E8C" w:rsidRPr="006D631C" w:rsidRDefault="003E6E8C" w:rsidP="003E6E8C">
            <w:pPr>
              <w:spacing w:line="240" w:lineRule="auto"/>
              <w:jc w:val="left"/>
              <w:rPr>
                <w:color w:val="000000"/>
                <w:sz w:val="12"/>
                <w:szCs w:val="12"/>
              </w:rPr>
            </w:pPr>
            <w:r w:rsidRPr="006D631C">
              <w:rPr>
                <w:color w:val="000000"/>
                <w:sz w:val="12"/>
                <w:szCs w:val="12"/>
              </w:rPr>
              <w:t>-</w:t>
            </w:r>
          </w:p>
        </w:tc>
        <w:tc>
          <w:tcPr>
            <w:tcW w:w="993" w:type="dxa"/>
            <w:tcBorders>
              <w:top w:val="nil"/>
              <w:left w:val="nil"/>
              <w:bottom w:val="single" w:sz="4" w:space="0" w:color="auto"/>
              <w:right w:val="nil"/>
            </w:tcBorders>
            <w:shd w:val="clear" w:color="000000" w:fill="FFFFFF"/>
            <w:noWrap/>
            <w:vAlign w:val="center"/>
          </w:tcPr>
          <w:p w14:paraId="7EE355E2" w14:textId="1F651DC8" w:rsidR="003E6E8C" w:rsidRPr="006D631C" w:rsidRDefault="003E6E8C" w:rsidP="003E6E8C">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7262B4BC" w14:textId="05344E03" w:rsidR="003E6E8C" w:rsidRPr="006D631C" w:rsidRDefault="003E6E8C" w:rsidP="003E6E8C">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44B0FAB1" w14:textId="77777777" w:rsidR="00650857" w:rsidRPr="006D631C" w:rsidRDefault="00650857" w:rsidP="00650857">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 xml:space="preserve">Continuous gel structures of high mechanical strength was obtained due to the presence of a structure having connected spherical gel particles of ~ 500 nm diameter  </w:t>
            </w:r>
          </w:p>
          <w:p w14:paraId="4FBC9764" w14:textId="548E24E0" w:rsidR="003E6E8C" w:rsidRPr="006D631C" w:rsidRDefault="00650857" w:rsidP="00650857">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The prepared gel showed a reduction of the moduli by only 10 - 40%</w:t>
            </w:r>
          </w:p>
        </w:tc>
        <w:tc>
          <w:tcPr>
            <w:tcW w:w="566" w:type="dxa"/>
            <w:tcBorders>
              <w:top w:val="nil"/>
              <w:left w:val="nil"/>
              <w:bottom w:val="single" w:sz="4" w:space="0" w:color="auto"/>
              <w:right w:val="nil"/>
            </w:tcBorders>
            <w:shd w:val="clear" w:color="000000" w:fill="FFFFFF"/>
            <w:vAlign w:val="center"/>
          </w:tcPr>
          <w:p w14:paraId="1108C45A" w14:textId="1CF3A002" w:rsidR="003E6E8C" w:rsidRPr="006D631C" w:rsidRDefault="003E6E8C"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{"citationItems":[{"id":"ITEM-1","itemData":{"DOI":"10.1021/ma9812478","ISSN":"00249297","abstract":"Polymerization of hydrophilic monomers, such as acrylamide, in the confinement of lyotropic liquid crystalline phases of nonionic surfactants produces gels with variable pore architecture in the hundreds of nanometers to micrometers size range. The porous gels are characterized by scanning electron microscopy after critical-point drying. The structure of the gels depends on the type of monomer, cross-linking density, and both monomer and surfactant concentration and can be varied systematically to result in different pore morphologies with different pore sizes. In such a way it is possible to build the polymer network structure on a mesoscopic length scale, optimizing different network properties which are otherwise coupled in an opposite fashion; e.g., polymer networks with very large pore size and high mechanical stability can be made.","author":[{"dropping-particle":"","family":"Antonietti","given":"Markus","non-dropping-particle":"","parse-names":false,"suffix":""},{"dropping-particle":"","family":"Caruso","given":"Rachel A.","non-dropping-particle":"","parse-names":false,"suffix":""},{"dropping-particle":"","family":"Göltner","given":"Christine G.","non-dropping-particle":"","parse-names":false,"suffix":""},{"dropping-particle":"","family":"Weissenberger","given":"Markus C.","non-dropping-particle":"","parse-names":false,"suffix":""}],"container-title":"Macromolecules","id":"ITEM-1","issue":"5","issued":{"date-parts":[["1999"]]},"page":"1383-1389","title":"Morphology Variation of Porous Polymer Gels by Polymerization in Lyotropic Surfactant Phases","type":"article-journal","volume":"32"},"uris":["http://www.mendeley.com/documents/?uuid=b3a9dd2f-70ce-4746-b371-56e7e4cc2c21"]}],"mendeley":{"formattedCitation":"&lt;sup&gt;136&lt;/sup&gt;","plainTextFormattedCitation":"136","previouslyFormattedCitation":"&lt;sup&gt;136&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136</w:t>
            </w:r>
            <w:r w:rsidRPr="006D631C">
              <w:rPr>
                <w:color w:val="000000"/>
                <w:sz w:val="12"/>
                <w:szCs w:val="12"/>
              </w:rPr>
              <w:fldChar w:fldCharType="end"/>
            </w:r>
          </w:p>
        </w:tc>
      </w:tr>
      <w:tr w:rsidR="003E6E8C" w:rsidRPr="006D631C" w14:paraId="43B2BBBC" w14:textId="77777777" w:rsidTr="00713029">
        <w:trPr>
          <w:trHeight w:val="20"/>
        </w:trPr>
        <w:tc>
          <w:tcPr>
            <w:tcW w:w="851" w:type="dxa"/>
            <w:vMerge/>
            <w:tcBorders>
              <w:top w:val="nil"/>
              <w:left w:val="nil"/>
              <w:bottom w:val="single" w:sz="4" w:space="0" w:color="000000"/>
              <w:right w:val="nil"/>
            </w:tcBorders>
            <w:vAlign w:val="center"/>
          </w:tcPr>
          <w:p w14:paraId="6CF34AA5" w14:textId="77777777" w:rsidR="003E6E8C" w:rsidRPr="006D631C" w:rsidRDefault="003E6E8C" w:rsidP="003E6E8C">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4C837D59" w14:textId="4F40C3D6" w:rsidR="003E6E8C" w:rsidRPr="006D631C" w:rsidRDefault="003E6E8C" w:rsidP="003E6E8C">
            <w:pPr>
              <w:spacing w:line="240" w:lineRule="auto"/>
              <w:jc w:val="left"/>
              <w:rPr>
                <w:color w:val="000000"/>
                <w:sz w:val="12"/>
                <w:szCs w:val="12"/>
              </w:rPr>
            </w:pPr>
            <w:r w:rsidRPr="006D631C">
              <w:rPr>
                <w:color w:val="000000"/>
                <w:sz w:val="12"/>
                <w:szCs w:val="12"/>
              </w:rPr>
              <w:t>A-15</w:t>
            </w:r>
          </w:p>
        </w:tc>
        <w:tc>
          <w:tcPr>
            <w:tcW w:w="567" w:type="dxa"/>
            <w:tcBorders>
              <w:top w:val="nil"/>
              <w:left w:val="nil"/>
              <w:bottom w:val="single" w:sz="4" w:space="0" w:color="auto"/>
              <w:right w:val="nil"/>
            </w:tcBorders>
            <w:shd w:val="clear" w:color="000000" w:fill="FFFFFF"/>
            <w:vAlign w:val="center"/>
          </w:tcPr>
          <w:p w14:paraId="6B6C9E44" w14:textId="2F2BDD03" w:rsidR="003E6E8C" w:rsidRPr="006D631C" w:rsidRDefault="003E6E8C" w:rsidP="003E6E8C">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410075DD" w14:textId="376DCE0F" w:rsidR="003E6E8C" w:rsidRPr="006D631C" w:rsidRDefault="003E6E8C" w:rsidP="003E6E8C">
            <w:pPr>
              <w:spacing w:line="240" w:lineRule="auto"/>
              <w:jc w:val="left"/>
              <w:rPr>
                <w:color w:val="000000"/>
                <w:sz w:val="12"/>
                <w:szCs w:val="12"/>
              </w:rPr>
            </w:pPr>
            <w:r w:rsidRPr="006D631C">
              <w:rPr>
                <w:color w:val="000000"/>
                <w:sz w:val="12"/>
                <w:szCs w:val="12"/>
              </w:rPr>
              <w:t>I-5 or I-15</w:t>
            </w:r>
          </w:p>
        </w:tc>
        <w:tc>
          <w:tcPr>
            <w:tcW w:w="1134" w:type="dxa"/>
            <w:tcBorders>
              <w:top w:val="nil"/>
              <w:left w:val="nil"/>
              <w:bottom w:val="single" w:sz="4" w:space="0" w:color="auto"/>
              <w:right w:val="nil"/>
            </w:tcBorders>
            <w:shd w:val="clear" w:color="000000" w:fill="FFFFFF"/>
            <w:vAlign w:val="center"/>
          </w:tcPr>
          <w:p w14:paraId="49B66D23" w14:textId="0C746581" w:rsidR="003E6E8C" w:rsidRPr="006D631C" w:rsidRDefault="003E6E8C" w:rsidP="003E6E8C">
            <w:pPr>
              <w:spacing w:line="240" w:lineRule="auto"/>
              <w:jc w:val="left"/>
              <w:rPr>
                <w:color w:val="000000"/>
                <w:sz w:val="12"/>
                <w:szCs w:val="12"/>
              </w:rPr>
            </w:pPr>
            <w:r w:rsidRPr="006D631C">
              <w:rPr>
                <w:color w:val="000000"/>
                <w:sz w:val="12"/>
                <w:szCs w:val="12"/>
              </w:rPr>
              <w:t>30 / 25 (L</w:t>
            </w:r>
            <w:r w:rsidRPr="006D631C">
              <w:rPr>
                <w:color w:val="000000"/>
                <w:sz w:val="12"/>
                <w:szCs w:val="12"/>
                <w:vertAlign w:val="subscript"/>
              </w:rPr>
              <w:t>1</w:t>
            </w:r>
            <w:r w:rsidRPr="006D631C">
              <w:rPr>
                <w:color w:val="000000"/>
                <w:sz w:val="12"/>
                <w:szCs w:val="12"/>
              </w:rPr>
              <w:t>)</w:t>
            </w:r>
            <w:r w:rsidRPr="006D631C">
              <w:rPr>
                <w:color w:val="000000"/>
                <w:sz w:val="12"/>
                <w:szCs w:val="12"/>
              </w:rPr>
              <w:br/>
              <w:t>40 - 60 / 25 (Q</w:t>
            </w:r>
            <w:r w:rsidRPr="006D631C">
              <w:rPr>
                <w:color w:val="000000"/>
                <w:sz w:val="12"/>
                <w:szCs w:val="12"/>
                <w:vertAlign w:val="subscript"/>
              </w:rPr>
              <w:t>2</w:t>
            </w:r>
            <w:r w:rsidRPr="006D631C">
              <w:rPr>
                <w:color w:val="000000"/>
                <w:sz w:val="12"/>
                <w:szCs w:val="12"/>
              </w:rPr>
              <w:t>)</w:t>
            </w:r>
            <w:r w:rsidRPr="006D631C">
              <w:rPr>
                <w:color w:val="000000"/>
                <w:sz w:val="12"/>
                <w:szCs w:val="12"/>
              </w:rPr>
              <w:br/>
              <w:t>70 / 25 (L</w:t>
            </w:r>
            <w:r w:rsidRPr="006D631C">
              <w:rPr>
                <w:color w:val="000000"/>
                <w:sz w:val="12"/>
                <w:szCs w:val="12"/>
                <w:vertAlign w:val="subscript"/>
              </w:rPr>
              <w:t>2</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7685A6FC" w14:textId="42A18016" w:rsidR="003E6E8C" w:rsidRPr="006D631C" w:rsidRDefault="003E6E8C" w:rsidP="003E6E8C">
            <w:pPr>
              <w:spacing w:line="240" w:lineRule="auto"/>
              <w:jc w:val="left"/>
              <w:rPr>
                <w:color w:val="000000"/>
                <w:sz w:val="12"/>
                <w:szCs w:val="12"/>
              </w:rPr>
            </w:pPr>
            <w:r w:rsidRPr="006D631C">
              <w:rPr>
                <w:color w:val="000000"/>
                <w:sz w:val="12"/>
                <w:szCs w:val="12"/>
              </w:rPr>
              <w:t>Retention of Q</w:t>
            </w:r>
            <w:r w:rsidRPr="006D631C">
              <w:rPr>
                <w:color w:val="000000"/>
                <w:sz w:val="12"/>
                <w:szCs w:val="12"/>
                <w:vertAlign w:val="subscript"/>
              </w:rPr>
              <w:t>2</w:t>
            </w:r>
          </w:p>
        </w:tc>
        <w:tc>
          <w:tcPr>
            <w:tcW w:w="993" w:type="dxa"/>
            <w:tcBorders>
              <w:top w:val="nil"/>
              <w:left w:val="nil"/>
              <w:bottom w:val="single" w:sz="4" w:space="0" w:color="auto"/>
              <w:right w:val="nil"/>
            </w:tcBorders>
            <w:shd w:val="clear" w:color="000000" w:fill="FFFFFF"/>
            <w:noWrap/>
            <w:vAlign w:val="center"/>
          </w:tcPr>
          <w:p w14:paraId="0064187F" w14:textId="48BBB245" w:rsidR="003E6E8C" w:rsidRPr="006D631C" w:rsidRDefault="003E6E8C" w:rsidP="003E6E8C">
            <w:pPr>
              <w:spacing w:line="240" w:lineRule="auto"/>
              <w:jc w:val="left"/>
              <w:rPr>
                <w:color w:val="000000"/>
                <w:sz w:val="12"/>
                <w:szCs w:val="12"/>
              </w:rPr>
            </w:pPr>
            <w:r w:rsidRPr="006D631C">
              <w:rPr>
                <w:color w:val="000000"/>
                <w:sz w:val="12"/>
                <w:szCs w:val="12"/>
              </w:rPr>
              <w:t>6.1 (Q</w:t>
            </w:r>
            <w:r w:rsidRPr="006D631C">
              <w:rPr>
                <w:color w:val="000000"/>
                <w:sz w:val="12"/>
                <w:szCs w:val="12"/>
                <w:vertAlign w:val="subscript"/>
              </w:rPr>
              <w:t>2</w:t>
            </w:r>
            <w:r w:rsidRPr="006D631C">
              <w:rPr>
                <w:color w:val="000000"/>
                <w:sz w:val="12"/>
                <w:szCs w:val="12"/>
              </w:rPr>
              <w:t>) *</w:t>
            </w:r>
          </w:p>
        </w:tc>
        <w:tc>
          <w:tcPr>
            <w:tcW w:w="1134" w:type="dxa"/>
            <w:tcBorders>
              <w:top w:val="nil"/>
              <w:left w:val="nil"/>
              <w:bottom w:val="single" w:sz="4" w:space="0" w:color="auto"/>
              <w:right w:val="nil"/>
            </w:tcBorders>
            <w:shd w:val="clear" w:color="000000" w:fill="FFFFFF"/>
            <w:noWrap/>
            <w:vAlign w:val="center"/>
          </w:tcPr>
          <w:p w14:paraId="1B0C78DC" w14:textId="63B2D895" w:rsidR="003E6E8C" w:rsidRPr="006D631C" w:rsidRDefault="003E6E8C" w:rsidP="003E6E8C">
            <w:pPr>
              <w:spacing w:line="240" w:lineRule="auto"/>
              <w:jc w:val="left"/>
              <w:rPr>
                <w:color w:val="000000"/>
                <w:sz w:val="12"/>
                <w:szCs w:val="12"/>
              </w:rPr>
            </w:pPr>
            <w:r w:rsidRPr="006D631C">
              <w:rPr>
                <w:color w:val="000000"/>
                <w:sz w:val="12"/>
                <w:szCs w:val="12"/>
              </w:rPr>
              <w:t>Remained almost unchanged</w:t>
            </w:r>
          </w:p>
        </w:tc>
        <w:tc>
          <w:tcPr>
            <w:tcW w:w="5103" w:type="dxa"/>
            <w:tcBorders>
              <w:top w:val="nil"/>
              <w:left w:val="nil"/>
              <w:bottom w:val="single" w:sz="4" w:space="0" w:color="auto"/>
              <w:right w:val="nil"/>
            </w:tcBorders>
            <w:shd w:val="clear" w:color="000000" w:fill="FFFFFF"/>
            <w:noWrap/>
            <w:vAlign w:val="center"/>
          </w:tcPr>
          <w:p w14:paraId="1F3455FE" w14:textId="77777777" w:rsidR="00ED71DF" w:rsidRPr="006D631C" w:rsidRDefault="00ED71DF" w:rsidP="00ED71D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Polymerization</w:t>
            </w:r>
            <w:r w:rsidRPr="006D631C">
              <w:rPr>
                <w:color w:val="000000"/>
                <w:sz w:val="12"/>
                <w:szCs w:val="12"/>
              </w:rPr>
              <w:t xml:space="preserve"> rate: non-LLC &lt;&lt;&lt; L</w:t>
            </w:r>
            <w:r w:rsidRPr="006D631C">
              <w:rPr>
                <w:color w:val="000000"/>
                <w:sz w:val="12"/>
                <w:szCs w:val="12"/>
                <w:vertAlign w:val="subscript"/>
              </w:rPr>
              <w:t xml:space="preserve">1 </w:t>
            </w:r>
            <w:r w:rsidRPr="006D631C">
              <w:rPr>
                <w:color w:val="000000"/>
                <w:sz w:val="12"/>
                <w:szCs w:val="12"/>
              </w:rPr>
              <w:t>= L</w:t>
            </w:r>
            <w:r w:rsidRPr="006D631C">
              <w:rPr>
                <w:color w:val="000000"/>
                <w:sz w:val="12"/>
                <w:szCs w:val="12"/>
                <w:vertAlign w:val="subscript"/>
              </w:rPr>
              <w:t xml:space="preserve">2 </w:t>
            </w:r>
            <w:r w:rsidRPr="006D631C">
              <w:rPr>
                <w:color w:val="000000"/>
                <w:sz w:val="12"/>
                <w:szCs w:val="12"/>
              </w:rPr>
              <w:t>&lt; Q</w:t>
            </w:r>
            <w:r w:rsidRPr="006D631C">
              <w:rPr>
                <w:color w:val="000000"/>
                <w:sz w:val="12"/>
                <w:szCs w:val="12"/>
                <w:vertAlign w:val="subscript"/>
              </w:rPr>
              <w:t>2</w:t>
            </w:r>
          </w:p>
          <w:p w14:paraId="35D3B875" w14:textId="77777777" w:rsidR="00ED71DF" w:rsidRPr="006D631C" w:rsidRDefault="00ED71DF" w:rsidP="00ED71D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Q</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xml:space="preserve"> changed to L</w:t>
            </w:r>
            <w:r w:rsidRPr="006D631C">
              <w:rPr>
                <w:rFonts w:eastAsia="Times New Roman" w:cs="Times New Roman"/>
                <w:color w:val="000000"/>
                <w:sz w:val="12"/>
                <w:szCs w:val="12"/>
                <w:vertAlign w:val="subscript"/>
              </w:rPr>
              <w:t>α</w:t>
            </w:r>
            <w:r w:rsidRPr="006D631C">
              <w:rPr>
                <w:rFonts w:eastAsia="Times New Roman" w:cs="Times New Roman"/>
                <w:color w:val="000000"/>
                <w:sz w:val="12"/>
                <w:szCs w:val="12"/>
              </w:rPr>
              <w:t xml:space="preserve"> when I-15 was used to carry out the reaction at 60 °C</w:t>
            </w:r>
          </w:p>
          <w:p w14:paraId="272AFB08" w14:textId="16582969" w:rsidR="003E6E8C" w:rsidRPr="006D631C" w:rsidRDefault="00ED71DF" w:rsidP="00ED71D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Faster swelling rate, higher swelling capacity and higher compressive modulus of the structured gel compared to non-LLC one</w:t>
            </w:r>
          </w:p>
        </w:tc>
        <w:tc>
          <w:tcPr>
            <w:tcW w:w="566" w:type="dxa"/>
            <w:tcBorders>
              <w:top w:val="nil"/>
              <w:left w:val="nil"/>
              <w:bottom w:val="single" w:sz="4" w:space="0" w:color="auto"/>
              <w:right w:val="nil"/>
            </w:tcBorders>
            <w:shd w:val="clear" w:color="000000" w:fill="FFFFFF"/>
            <w:vAlign w:val="center"/>
          </w:tcPr>
          <w:p w14:paraId="36ED2BB6" w14:textId="605D4FB1" w:rsidR="003E6E8C" w:rsidRPr="006D631C" w:rsidRDefault="003E6E8C"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{"citationItems":[{"id":"ITEM-1","itemData":{"DOI":"10.1021/ma011314p","ISSN":"00249297","author":[{"dropping-particle":"","family":"Lester","given":"C. L.","non-dropping-particle":"","parse-names":false,"suffix":""},{"dropping-particle":"","family":"Smith","given":"S. M.","non-dropping-particle":"","parse-names":false,"suffix":""},{"dropping-particle":"","family":"Guymon","given":"C. A.","non-dropping-particle":"","parse-names":false,"suffix":""}],"container-title":"Macromolecules","id":"ITEM-1","issue":"25","issued":{"date-parts":[["2001"]]},"page":"8587-8589","title":"Acceleration of polyacrylamide photopolymerization using lyotropic liquid crystals","type":"article-journal","volume":"34"},"uris":["http://www.mendeley.com/documents/?uuid=034459fb-7192-4cee-89bc-072ef1154a17"]},{"id":"ITEM-2","itemData":{"DOI":"10.1021/bk-2003-0847.ch032","abstract":"Nanostructured materials have been the focus of much attention due to\\ntheir applicability in nanocomposites, separations media, drug delivery\\ndevices, and many other applications requiring a nanometer size scale.\\nRecently, using lyotropic liquid crystalline (LLC) phases to template\\ntheir unique nanostructure onto organic polymers has been proposed. This\\nwork details the photopolymerization of acrylamide in various phases of\\nLLC systems. The photopolymerization kinetics are correlated to monomer\\norganization for different phases at a variety of concentrations and\\ntemperatures. The photopolymerization kinetics of acrylamide in the LLC\\nphases depend strongly on the LLC morphology. The polymerization rates\\nare significantly faster in compositions of surfactant resulting in a\\nhexagonal geometry as the acrylamide monomer is preferentially oriented.\\nThese results indicate that acrylamide is strongly associated with the\\nLLC interface and the surfactant. Photopolymerization of these templated\\nsystems results in structure retention of the parent, LLC phase.","author":[{"dropping-particle":"","family":"Guymon","given":"C. Allan","non-dropping-particle":"","parse-names":false,"suffix":""},{"dropping-particle":"","family":"Lester","given":"Christopher L.","non-dropping-particle":"","parse-names":false,"suffix":""}],"container-title":"ACS Symposium Series","id":"ITEM-2","issued":{"date-parts":[["2003","3","3"]]},"page":"378-388","title":"Photopolymerization Kinetics of Nanostructured Polymers Templated by Lyotropic Liquid Crystals","type":"article-journal","volume":"847"},"uris":["http://www.mendeley.com/documents/?uuid=e9652ecf-b4ab-44b4-84ff-eacc90331307"]},{"id":"ITEM-3","itemData":{"DOI":"10.1021/cm021703d","ISSN":"08974756","abstract":"Recently,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Materials","id":"ITEM-3","issue":"17","issued":{"date-parts":[["2003"]]},"page":"3376-3384","title":"Physical properties of hydrogels synthesized from lyotropic liquid crystalline templates","type":"article-journal","volume":"15"},"uris":["http://www.mendeley.com/documents/?uuid=f73d1f78-88b7-4d4c-83b6-c3bbcc68b73f"]},{"id":"ITEM-4","itemData":{"DOI":"10.1021/la0300784","ISSN":"07437463","abstract":"The synthesis of nanostructured polymer gels via polymerization of hydrophilic monomers in lyotropic liquid crystal (LLC) phases has recently been of great interest. This work describes the effects of monomer organization on the photopolymerization kinetics of acrylamide in various LLC phases of surfactant/water systems. Resutling polymer morphology is reported as well. The polymerization rate of acrylamide is significantly enhanced when performed in the presence of various LLC phases. An unprecedented 10-fold increase in polymerization rate is observed in bicontinuous cubic and hexagonal phases as compared to polymerizations in water. This significant increase in polymerization rate is a result of diffusional limitations on the propagating polymer as well as segregation and ordering phenomena induce by the LLC phase. 13CT1 relaxation times and 14NNMR spectra show that the monomer strongly associates with the interface of the surfactant/water assemblies and assumes the orientationl order of the LLC phases to some degree. When formed using photopolymerization, the resulting polymer morphology appears to be a direct template of the parent LLC phase.","author":[{"dropping-particle":"","family":"Lester","given":"Christopher L.","non-dropping-particle":"","parse-names":false,"suffix":""},{"dropping-particle":"","family":"Smith","given":"Shannon M.","non-dropping-particle":"","parse-names":false,"suffix":""},{"dropping-particle":"","family":"Jarrett","given":"William L.","non-dropping-particle":"","parse-names":false,"suffix":""},{"dropping-particle":"","family":"Allan Guymon","given":"C.","non-dropping-particle":"","parse-names":false,"suffix":""}],"container-title":"Langmuir","id":"ITEM-4","issue":"22","issued":{"date-parts":[["2003"]]},"page":"9466-9472","title":"Effects of Monomer Organization on the Photopolymerization Kinetics of Acrylamide in Lyotropic Liquid Crystalline Phases","type":"article-journal","volume":"19"},"uris":["http://www.mendeley.com/documents/?uuid=ed593b1e-2698-4bb2-89a3-8beb441225de"]}],"mendeley":{"formattedCitation":"&lt;sup&gt;36,37,44,162&lt;/sup&gt;","plainTextFormattedCitation":"36,37,44,162","previouslyFormattedCitation":"&lt;sup&gt;36,37,44,162&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36,37,44,162</w:t>
            </w:r>
            <w:r w:rsidRPr="006D631C">
              <w:rPr>
                <w:color w:val="000000"/>
                <w:sz w:val="12"/>
                <w:szCs w:val="12"/>
              </w:rPr>
              <w:fldChar w:fldCharType="end"/>
            </w:r>
          </w:p>
        </w:tc>
      </w:tr>
      <w:tr w:rsidR="003E6E8C" w:rsidRPr="006D631C" w14:paraId="2BAFE31F" w14:textId="77777777" w:rsidTr="00713029">
        <w:trPr>
          <w:trHeight w:val="20"/>
        </w:trPr>
        <w:tc>
          <w:tcPr>
            <w:tcW w:w="851" w:type="dxa"/>
            <w:vMerge/>
            <w:tcBorders>
              <w:top w:val="nil"/>
              <w:left w:val="nil"/>
              <w:bottom w:val="single" w:sz="4" w:space="0" w:color="000000"/>
              <w:right w:val="nil"/>
            </w:tcBorders>
            <w:vAlign w:val="center"/>
          </w:tcPr>
          <w:p w14:paraId="3AD8F43D" w14:textId="4CDB6AF2" w:rsidR="003E6E8C" w:rsidRPr="006D631C" w:rsidRDefault="003E6E8C" w:rsidP="003E6E8C">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301E92F1" w14:textId="73E1CF36" w:rsidR="003E6E8C" w:rsidRPr="006D631C" w:rsidRDefault="003E6E8C" w:rsidP="003E6E8C">
            <w:pPr>
              <w:spacing w:line="240" w:lineRule="auto"/>
              <w:jc w:val="left"/>
              <w:rPr>
                <w:color w:val="000000"/>
                <w:sz w:val="12"/>
                <w:szCs w:val="12"/>
              </w:rPr>
            </w:pPr>
            <w:r w:rsidRPr="006D631C">
              <w:rPr>
                <w:color w:val="000000"/>
                <w:sz w:val="12"/>
                <w:szCs w:val="12"/>
              </w:rPr>
              <w:t>A-14</w:t>
            </w:r>
          </w:p>
        </w:tc>
        <w:tc>
          <w:tcPr>
            <w:tcW w:w="567" w:type="dxa"/>
            <w:tcBorders>
              <w:top w:val="nil"/>
              <w:left w:val="nil"/>
              <w:bottom w:val="single" w:sz="4" w:space="0" w:color="auto"/>
              <w:right w:val="nil"/>
            </w:tcBorders>
            <w:shd w:val="clear" w:color="000000" w:fill="FFFFFF"/>
            <w:vAlign w:val="center"/>
          </w:tcPr>
          <w:p w14:paraId="1FF7E5AB" w14:textId="3270194D" w:rsidR="003E6E8C" w:rsidRPr="006D631C" w:rsidRDefault="003E6E8C" w:rsidP="003E6E8C">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04329ADB" w14:textId="13DC84A1" w:rsidR="003E6E8C" w:rsidRPr="006D631C" w:rsidRDefault="003E6E8C" w:rsidP="003E6E8C">
            <w:pPr>
              <w:spacing w:line="240" w:lineRule="auto"/>
              <w:jc w:val="left"/>
              <w:rPr>
                <w:color w:val="000000"/>
                <w:sz w:val="12"/>
                <w:szCs w:val="12"/>
              </w:rPr>
            </w:pPr>
            <w:r w:rsidRPr="006D631C">
              <w:rPr>
                <w:color w:val="000000"/>
                <w:sz w:val="12"/>
                <w:szCs w:val="12"/>
              </w:rPr>
              <w:t>I-5, I-6 or     I-15</w:t>
            </w:r>
          </w:p>
        </w:tc>
        <w:tc>
          <w:tcPr>
            <w:tcW w:w="1134" w:type="dxa"/>
            <w:tcBorders>
              <w:top w:val="nil"/>
              <w:left w:val="nil"/>
              <w:bottom w:val="single" w:sz="4" w:space="0" w:color="auto"/>
              <w:right w:val="nil"/>
            </w:tcBorders>
            <w:shd w:val="clear" w:color="000000" w:fill="FFFFFF"/>
            <w:vAlign w:val="center"/>
          </w:tcPr>
          <w:p w14:paraId="246B6CD9" w14:textId="43CB87BB" w:rsidR="003E6E8C" w:rsidRPr="006D631C" w:rsidRDefault="003E6E8C" w:rsidP="003E6E8C">
            <w:pPr>
              <w:spacing w:line="240" w:lineRule="auto"/>
              <w:jc w:val="left"/>
              <w:rPr>
                <w:color w:val="000000"/>
                <w:sz w:val="12"/>
                <w:szCs w:val="12"/>
              </w:rPr>
            </w:pPr>
            <w:r w:rsidRPr="006D631C">
              <w:rPr>
                <w:color w:val="000000"/>
                <w:sz w:val="12"/>
                <w:szCs w:val="12"/>
              </w:rPr>
              <w:t>40 / 25 (I</w:t>
            </w:r>
            <w:r w:rsidRPr="006D631C">
              <w:rPr>
                <w:color w:val="000000"/>
                <w:sz w:val="12"/>
                <w:szCs w:val="12"/>
                <w:vertAlign w:val="subscript"/>
              </w:rPr>
              <w:t>1</w:t>
            </w:r>
            <w:r w:rsidRPr="006D631C">
              <w:rPr>
                <w:color w:val="000000"/>
                <w:sz w:val="12"/>
                <w:szCs w:val="12"/>
              </w:rPr>
              <w:t>)</w:t>
            </w:r>
            <w:r w:rsidRPr="006D631C">
              <w:rPr>
                <w:color w:val="000000"/>
                <w:sz w:val="12"/>
                <w:szCs w:val="12"/>
              </w:rPr>
              <w:br/>
              <w:t>50 - 60 / 25 (H</w:t>
            </w:r>
            <w:r w:rsidRPr="006D631C">
              <w:rPr>
                <w:color w:val="000000"/>
                <w:sz w:val="12"/>
                <w:szCs w:val="12"/>
                <w:vertAlign w:val="subscript"/>
              </w:rPr>
              <w:t>1</w:t>
            </w:r>
            <w:r w:rsidRPr="006D631C">
              <w:rPr>
                <w:color w:val="000000"/>
                <w:sz w:val="12"/>
                <w:szCs w:val="12"/>
              </w:rPr>
              <w:t>)</w:t>
            </w:r>
            <w:r w:rsidRPr="006D631C">
              <w:rPr>
                <w:color w:val="000000"/>
                <w:sz w:val="12"/>
                <w:szCs w:val="12"/>
              </w:rPr>
              <w:br/>
              <w:t>70 / 25 (L</w:t>
            </w:r>
            <w:r w:rsidRPr="006D631C">
              <w:rPr>
                <w:color w:val="000000"/>
                <w:sz w:val="12"/>
                <w:szCs w:val="12"/>
                <w:vertAlign w:val="subscript"/>
              </w:rPr>
              <w:t>2</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7A6F0B95" w14:textId="77777777" w:rsidR="003E6E8C" w:rsidRPr="006D631C" w:rsidRDefault="003E6E8C" w:rsidP="003E6E8C">
            <w:pPr>
              <w:spacing w:line="240" w:lineRule="auto"/>
              <w:jc w:val="left"/>
              <w:rPr>
                <w:color w:val="000000"/>
                <w:sz w:val="12"/>
                <w:szCs w:val="12"/>
              </w:rPr>
            </w:pPr>
            <w:r w:rsidRPr="006D631C">
              <w:rPr>
                <w:color w:val="000000"/>
                <w:sz w:val="12"/>
                <w:szCs w:val="12"/>
              </w:rPr>
              <w:t>Retention of the structures when I-5 was used</w:t>
            </w:r>
          </w:p>
          <w:p w14:paraId="483B7788" w14:textId="6C044244" w:rsidR="003E6E8C" w:rsidRPr="006D631C" w:rsidRDefault="003E6E8C" w:rsidP="003E6E8C">
            <w:pPr>
              <w:spacing w:line="240" w:lineRule="auto"/>
              <w:jc w:val="left"/>
              <w:rPr>
                <w:color w:val="000000"/>
                <w:sz w:val="12"/>
                <w:szCs w:val="12"/>
              </w:rPr>
            </w:pPr>
            <w:r w:rsidRPr="006D631C">
              <w:rPr>
                <w:color w:val="000000"/>
                <w:sz w:val="6"/>
                <w:szCs w:val="6"/>
              </w:rPr>
              <w:br/>
            </w:r>
            <w:r w:rsidRPr="006D631C">
              <w:rPr>
                <w:color w:val="000000"/>
                <w:sz w:val="12"/>
                <w:szCs w:val="12"/>
              </w:rPr>
              <w:t xml:space="preserve">Disruption of the structures when I-15 was used for thermal polymerization  </w:t>
            </w:r>
          </w:p>
        </w:tc>
        <w:tc>
          <w:tcPr>
            <w:tcW w:w="993" w:type="dxa"/>
            <w:tcBorders>
              <w:top w:val="nil"/>
              <w:left w:val="nil"/>
              <w:bottom w:val="single" w:sz="4" w:space="0" w:color="auto"/>
              <w:right w:val="nil"/>
            </w:tcBorders>
            <w:shd w:val="clear" w:color="000000" w:fill="FFFFFF"/>
            <w:noWrap/>
            <w:vAlign w:val="center"/>
          </w:tcPr>
          <w:p w14:paraId="2C6566D0" w14:textId="2970E26C" w:rsidR="003E6E8C" w:rsidRPr="006D631C" w:rsidRDefault="003E6E8C" w:rsidP="003E6E8C">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4925FB33" w14:textId="6AAB0BD8" w:rsidR="003E6E8C" w:rsidRPr="006D631C" w:rsidRDefault="003E6E8C" w:rsidP="003E6E8C">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5BC83A9E" w14:textId="77777777" w:rsidR="00C41C29" w:rsidRPr="006D631C" w:rsidRDefault="00C41C29" w:rsidP="00C41C29">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Polymerization rate with I-5: non-LLC &lt;&lt;&lt; L</w:t>
            </w:r>
            <w:r w:rsidRPr="006D631C">
              <w:rPr>
                <w:rFonts w:eastAsia="Times New Roman" w:cs="Times New Roman"/>
                <w:color w:val="000000"/>
                <w:sz w:val="12"/>
                <w:szCs w:val="12"/>
                <w:vertAlign w:val="subscript"/>
              </w:rPr>
              <w:t xml:space="preserve">2 </w:t>
            </w:r>
            <w:r w:rsidRPr="006D631C">
              <w:rPr>
                <w:rFonts w:eastAsia="Times New Roman" w:cs="Times New Roman"/>
                <w:color w:val="000000"/>
                <w:sz w:val="12"/>
                <w:szCs w:val="12"/>
              </w:rPr>
              <w:t>&lt; I</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&lt; H</w:t>
            </w:r>
            <w:r w:rsidRPr="006D631C">
              <w:rPr>
                <w:rFonts w:eastAsia="Times New Roman" w:cs="Times New Roman"/>
                <w:color w:val="000000"/>
                <w:sz w:val="12"/>
                <w:szCs w:val="12"/>
                <w:vertAlign w:val="subscript"/>
              </w:rPr>
              <w:t>1</w:t>
            </w:r>
          </w:p>
          <w:p w14:paraId="1BB3374D" w14:textId="77777777" w:rsidR="00C41C29" w:rsidRPr="006D631C" w:rsidRDefault="00C41C29" w:rsidP="00C41C29">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Polymerization rate with I-6: non-LLC &lt;&lt;&lt; I</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 L</w:t>
            </w:r>
            <w:r w:rsidRPr="006D631C">
              <w:rPr>
                <w:rFonts w:eastAsia="Times New Roman" w:cs="Times New Roman"/>
                <w:color w:val="000000"/>
                <w:sz w:val="12"/>
                <w:szCs w:val="12"/>
                <w:vertAlign w:val="subscript"/>
              </w:rPr>
              <w:t>2</w:t>
            </w:r>
          </w:p>
          <w:p w14:paraId="516BD5DC" w14:textId="77777777" w:rsidR="003E6E8C" w:rsidRPr="006D631C" w:rsidRDefault="00C41C29" w:rsidP="00C41C29">
            <w:pPr>
              <w:pStyle w:val="ListParagraph"/>
              <w:numPr>
                <w:ilvl w:val="0"/>
                <w:numId w:val="11"/>
              </w:numPr>
              <w:spacing w:after="0" w:line="240" w:lineRule="auto"/>
              <w:ind w:left="176" w:hanging="142"/>
              <w:jc w:val="left"/>
              <w:rPr>
                <w:color w:val="000000"/>
                <w:sz w:val="12"/>
                <w:szCs w:val="12"/>
              </w:rPr>
            </w:pPr>
            <w:proofErr w:type="spellStart"/>
            <w:r w:rsidRPr="006D631C">
              <w:rPr>
                <w:rFonts w:eastAsia="Times New Roman" w:cs="Times New Roman"/>
                <w:color w:val="000000"/>
                <w:sz w:val="12"/>
                <w:szCs w:val="12"/>
              </w:rPr>
              <w:t>Photoinitiation</w:t>
            </w:r>
            <w:proofErr w:type="spellEnd"/>
            <w:r w:rsidRPr="006D631C">
              <w:rPr>
                <w:rFonts w:eastAsia="Times New Roman" w:cs="Times New Roman"/>
                <w:color w:val="000000"/>
                <w:sz w:val="12"/>
                <w:szCs w:val="12"/>
              </w:rPr>
              <w:t xml:space="preserve"> resulted in much faster polymerization rate compared to thermal initiation</w:t>
            </w:r>
          </w:p>
          <w:p w14:paraId="5F954821" w14:textId="77777777" w:rsidR="009904EF" w:rsidRPr="006D631C" w:rsidRDefault="009904EF" w:rsidP="009904EF">
            <w:pPr>
              <w:pStyle w:val="ListParagraph"/>
              <w:numPr>
                <w:ilvl w:val="0"/>
                <w:numId w:val="11"/>
              </w:numPr>
              <w:spacing w:after="0" w:line="240" w:lineRule="auto"/>
              <w:ind w:left="176" w:hanging="142"/>
              <w:jc w:val="left"/>
              <w:rPr>
                <w:rFonts w:eastAsia="Times New Roman" w:cs="Times New Roman"/>
                <w:color w:val="000000"/>
                <w:sz w:val="12"/>
                <w:szCs w:val="12"/>
              </w:rPr>
            </w:pPr>
            <w:r w:rsidRPr="006D631C">
              <w:rPr>
                <w:rFonts w:eastAsia="Times New Roman" w:cs="Times New Roman"/>
                <w:color w:val="000000"/>
                <w:sz w:val="12"/>
                <w:szCs w:val="12"/>
              </w:rPr>
              <w:t xml:space="preserve">Higher temperature resulted in lower reaction rate by changing structure to micellar </w:t>
            </w:r>
          </w:p>
          <w:p w14:paraId="3DEADA86" w14:textId="77777777" w:rsidR="00C41C29" w:rsidRPr="006D631C" w:rsidRDefault="009904EF" w:rsidP="009904E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Slow reaction</w:t>
            </w:r>
            <w:r w:rsidRPr="006D631C">
              <w:rPr>
                <w:color w:val="000000"/>
                <w:sz w:val="12"/>
                <w:szCs w:val="12"/>
              </w:rPr>
              <w:t xml:space="preserve"> rate was the reason of structure lose after polymerization by I-15</w:t>
            </w:r>
          </w:p>
          <w:p w14:paraId="32A79ECF" w14:textId="77777777" w:rsidR="00C32555" w:rsidRPr="006D631C" w:rsidRDefault="00C32555" w:rsidP="009904E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Anisotropic increase of the dimensions through swelling with water in the case of the LLCs polymerized via I-15 and I-5 at high temperatures</w:t>
            </w:r>
          </w:p>
          <w:p w14:paraId="5122B1DD" w14:textId="18EBD97B" w:rsidR="00C32555" w:rsidRPr="006D631C" w:rsidRDefault="00C32555" w:rsidP="009904E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Higher water uptake for the polymerized Dis. Cube structure compared to H</w:t>
            </w:r>
            <w:r w:rsidRPr="006D631C">
              <w:rPr>
                <w:rFonts w:eastAsia="Times New Roman" w:cs="Times New Roman"/>
                <w:color w:val="000000"/>
                <w:sz w:val="12"/>
                <w:szCs w:val="12"/>
                <w:vertAlign w:val="subscript"/>
              </w:rPr>
              <w:t>1</w:t>
            </w:r>
          </w:p>
        </w:tc>
        <w:tc>
          <w:tcPr>
            <w:tcW w:w="566" w:type="dxa"/>
            <w:tcBorders>
              <w:top w:val="nil"/>
              <w:left w:val="nil"/>
              <w:bottom w:val="single" w:sz="4" w:space="0" w:color="auto"/>
              <w:right w:val="nil"/>
            </w:tcBorders>
            <w:shd w:val="clear" w:color="000000" w:fill="FFFFFF"/>
            <w:vAlign w:val="center"/>
          </w:tcPr>
          <w:p w14:paraId="3B0E3910" w14:textId="7329AE67" w:rsidR="003E6E8C" w:rsidRPr="006D631C" w:rsidRDefault="003E6E8C"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{"citationItems":[{"id":"ITEM-1","itemData":{"DOI":"10.1021/bk-2003-0847.ch032","abstract":"Nanostructured materials have been the focus of much attention due to\\ntheir applicability in nanocomposites, separations media, drug delivery\\ndevices, and many other applications requiring a nanometer size scale.\\nRecently, using lyotropic liquid crystalline (LLC) phases to template\\ntheir unique nanostructure onto organic polymers has been proposed. This\\nwork details the photopolymerization of acrylamide in various phases of\\nLLC systems. The photopolymerization kinetics are correlated to monomer\\norganization for different phases at a variety of concentrations and\\ntemperatures. The photopolymerization kinetics of acrylamide in the LLC\\nphases depend strongly on the LLC morphology. The polymerization rates\\nare significantly faster in compositions of surfactant resulting in a\\nhexagonal geometry as the acrylamide monomer is preferentially oriented.\\nThese results indicate that acrylamide is strongly associated with the\\nLLC interface and the surfactant. Photopolymerization of these templated\\nsystems results in structure retention of the parent, LLC phase.","author":[{"dropping-particle":"","family":"Guymon","given":"C. Allan","non-dropping-particle":"","parse-names":false,"suffix":""},{"dropping-particle":"","family":"Lester","given":"Christopher L.","non-dropping-particle":"","parse-names":false,"suffix":""}],"container-title":"ACS Symposium Series","id":"ITEM-1","issued":{"date-parts":[["2003","3","3"]]},"page":"378-388","title":"Photopolymerization Kinetics of Nanostructured Polymers Templated by Lyotropic Liquid Crystals","type":"article-journal","volume":"847"},"uris":["http://www.mendeley.com/documents/?uuid=e9652ecf-b4ab-44b4-84ff-eacc90331307"]},{"id":"ITEM-2","itemData":{"DOI":"10.1021/la0300784","ISSN":"07437463","abstract":"The synthesis of nanostructured polymer gels via polymerization of hydrophilic monomers in lyotropic liquid crystal (LLC) phases has recently been of great interest. This work describes the effects of monomer organization on the photopolymerization kinetics of acrylamide in various LLC phases of surfactant/water systems. Resutling polymer morphology is reported as well. The polymerization rate of acrylamide is significantly enhanced when performed in the presence of various LLC phases. An unprecedented 10-fold increase in polymerization rate is observed in bicontinuous cubic and hexagonal phases as compared to polymerizations in water. This significant increase in polymerization rate is a result of diffusional limitations on the propagating polymer as well as segregation and ordering phenomena induce by the LLC phase. 13CT1 relaxation times and 14NNMR spectra show that the monomer strongly associates with the interface of the surfactant/water assemblies and assumes the orientationl order of the LLC phases to some degree. When formed using photopolymerization, the resulting polymer morphology appears to be a direct template of the parent LLC phase.","author":[{"dropping-particle":"","family":"Lester","given":"Christopher L.","non-dropping-particle":"","parse-names":false,"suffix":""},{"dropping-particle":"","family":"Smith","given":"Shannon M.","non-dropping-particle":"","parse-names":false,"suffix":""},{"dropping-particle":"","family":"Jarrett","given":"William L.","non-dropping-particle":"","parse-names":false,"suffix":""},{"dropping-particle":"","family":"Allan Guymon","given":"C.","non-dropping-particle":"","parse-names":false,"suffix":""}],"container-title":"Langmuir","id":"ITEM-2","issue":"22","issued":{"date-parts":[["2003"]]},"page":"9466-9472","title":"Effects of Monomer Organization on the Photopolymerization Kinetics of Acrylamide in Lyotropic Liquid Crystalline Phases","type":"article-journal","volume":"19"},"uris":["http://www.mendeley.com/documents/?uuid=ed593b1e-2698-4bb2-89a3-8beb441225de"]},{"id":"ITEM-3","itemData":{"DOI":"10.1016/j.polymer.2004.11.007","ISSN":"00323861","abstract":"Through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Allan","non-dropping-particle":"","parse-names":false,"suffix":""}],"container-title":"Polymer","id":"ITEM-3","issue":"2","issued":{"date-parts":[["2005"]]},"page":"335-345","title":"Effect of photoinitiator segregation on polymerization kinetics in lyotropic liquid crystals","type":"article-journal","volume":"46"},"uris":["http://www.mendeley.com/documents/?uuid=9305a569-bf29-4306-91ea-3a1da5446f5a"]},{"id":"ITEM-4","itemData":{"DOI":"10.1021/cm061969a","ISSN":"08974756","abstract":"Lyotropic liquid crystals (LLCs) have recently been employed as polymerization templates to yield highly ordered nanostructured hydrogels, which have shown promise in biological separations and tissue engineering. To allow greater control of hydrogel structure using LLC templates, this study focuses on the influence of polymerization kinetics and temperature on ultimate polymer morphology and properties. A more in-depth understanding of these phenomena has been obtained through extensive examination of polymer structure with small-angle X-ray scattering (SAXS) and scanning electron microscopy (SEM). The impact of different polymerization rate and temperature regimes on polymer morphology was determined using isotropic, cubic, and hexagonal phases as polymerization templates. Polymer morphology varies dramatically depending on LLC phase template, while within a given phase changes in polymerization time scale and temperature greatly impact polymer structure. SAXS reveals a higher degree of retained liquid crystalline order using rapid polymerization at relatively low temperatures. SEM images demonstrate that rapid polymerization yields polymers with highly ordered network structures and nanoscale morphology. Less ordered, thermodynamically driven polymer features result from relatively slow polymerization. The degree of swelling in aqueous solution increases dramatically in ordered LLC phases relative to bulk polymerization, with lower swelling resulting from faster polymerization. Similarly, higher surface area results from polymerization in LLC media relative to isotropic systems, and surface area increases with increasing polymerization rate. © 2006 American Chemical Society.","author":[{"dropping-particle":"","family":"DePierro","given":"Michael A.","non-dropping-particle":"","parse-names":false,"suffix":""},{"dropping-particle":"","family":"Carpenter","given":"Kyle G.","non-dropping-particle":"","parse-names":false,"suffix":""},{"dropping-particle":"","family":"Guymon","given":"C. Allan","non-dropping-particle":"","parse-names":false,"suffix":""}],"container-title":"Chemistry of Materials","id":"ITEM-4","issue":"23","issued":{"date-parts":[["2006","11"]]},"page":"5609-5617","title":"Influence of polymerization conditions on nanostructure and properties of polyacrylamide hydrogels templated from lyotropic liquid crystals","type":"article-journal","volume":"18"},"uris":["http://www.mendeley.com/documents/?uuid=e0a07ef3-cb63-401e-9e29-f5755f782e7d"]}],"mendeley":{"formattedCitation":"&lt;sup&gt;36,37,39,40&lt;/sup&gt;","plainTextFormattedCitation":"36,37,39,40","previouslyFormattedCitation":"&lt;sup&gt;36,37,39,40&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36,37,39,40</w:t>
            </w:r>
            <w:r w:rsidRPr="006D631C">
              <w:rPr>
                <w:color w:val="000000"/>
                <w:sz w:val="12"/>
                <w:szCs w:val="12"/>
              </w:rPr>
              <w:fldChar w:fldCharType="end"/>
            </w:r>
          </w:p>
        </w:tc>
      </w:tr>
      <w:tr w:rsidR="003E6E8C" w:rsidRPr="006D631C" w14:paraId="0B536937" w14:textId="77777777" w:rsidTr="00713029">
        <w:trPr>
          <w:trHeight w:val="20"/>
        </w:trPr>
        <w:tc>
          <w:tcPr>
            <w:tcW w:w="851" w:type="dxa"/>
            <w:vMerge/>
            <w:tcBorders>
              <w:top w:val="nil"/>
              <w:left w:val="nil"/>
              <w:bottom w:val="single" w:sz="4" w:space="0" w:color="auto"/>
              <w:right w:val="nil"/>
            </w:tcBorders>
            <w:vAlign w:val="center"/>
          </w:tcPr>
          <w:p w14:paraId="069A29B8" w14:textId="3C097940" w:rsidR="003E6E8C" w:rsidRPr="006D631C" w:rsidRDefault="003E6E8C" w:rsidP="003E6E8C">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633F1F54" w14:textId="4F2BCF88" w:rsidR="003E6E8C" w:rsidRPr="006D631C" w:rsidRDefault="003E6E8C" w:rsidP="003E6E8C">
            <w:pPr>
              <w:spacing w:line="240" w:lineRule="auto"/>
              <w:jc w:val="left"/>
              <w:rPr>
                <w:color w:val="000000"/>
                <w:sz w:val="12"/>
                <w:szCs w:val="12"/>
              </w:rPr>
            </w:pPr>
            <w:r w:rsidRPr="006D631C">
              <w:rPr>
                <w:color w:val="000000"/>
                <w:sz w:val="12"/>
                <w:szCs w:val="12"/>
              </w:rPr>
              <w:t>A-5 / P-A-10</w:t>
            </w:r>
          </w:p>
        </w:tc>
        <w:tc>
          <w:tcPr>
            <w:tcW w:w="567" w:type="dxa"/>
            <w:tcBorders>
              <w:top w:val="nil"/>
              <w:left w:val="nil"/>
              <w:bottom w:val="single" w:sz="4" w:space="0" w:color="auto"/>
              <w:right w:val="nil"/>
            </w:tcBorders>
            <w:shd w:val="clear" w:color="000000" w:fill="FFFFFF"/>
            <w:vAlign w:val="center"/>
          </w:tcPr>
          <w:p w14:paraId="07A1CF28" w14:textId="5A5673B3" w:rsidR="003E6E8C" w:rsidRPr="006D631C" w:rsidRDefault="003E6E8C" w:rsidP="003E6E8C">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6594EBC0" w14:textId="6C0BE49E" w:rsidR="003E6E8C" w:rsidRPr="006D631C" w:rsidRDefault="003E6E8C" w:rsidP="003E6E8C">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1D2503C3" w14:textId="0336E0F8" w:rsidR="003E6E8C" w:rsidRPr="006D631C" w:rsidRDefault="003E6E8C" w:rsidP="003E6E8C">
            <w:pPr>
              <w:spacing w:line="240" w:lineRule="auto"/>
              <w:jc w:val="left"/>
              <w:rPr>
                <w:color w:val="000000"/>
                <w:sz w:val="12"/>
                <w:szCs w:val="12"/>
              </w:rPr>
            </w:pPr>
            <w:r w:rsidRPr="006D631C">
              <w:rPr>
                <w:color w:val="000000"/>
                <w:sz w:val="12"/>
                <w:szCs w:val="12"/>
              </w:rPr>
              <w:t>50 / 20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6AE93D02" w14:textId="7031447B" w:rsidR="003E6E8C" w:rsidRPr="006D631C" w:rsidRDefault="00275913" w:rsidP="00275913">
            <w:pPr>
              <w:spacing w:line="240" w:lineRule="auto"/>
              <w:jc w:val="left"/>
              <w:rPr>
                <w:color w:val="000000"/>
                <w:sz w:val="12"/>
                <w:szCs w:val="12"/>
              </w:rPr>
            </w:pPr>
            <w:r w:rsidRPr="006D631C">
              <w:rPr>
                <w:color w:val="000000"/>
                <w:sz w:val="12"/>
                <w:szCs w:val="12"/>
              </w:rPr>
              <w:t>No structure r</w:t>
            </w:r>
            <w:r w:rsidR="003E6E8C" w:rsidRPr="006D631C">
              <w:rPr>
                <w:color w:val="000000"/>
                <w:sz w:val="12"/>
                <w:szCs w:val="12"/>
              </w:rPr>
              <w:t>etention with</w:t>
            </w:r>
            <w:r w:rsidRPr="006D631C">
              <w:rPr>
                <w:color w:val="000000"/>
                <w:sz w:val="12"/>
                <w:szCs w:val="12"/>
              </w:rPr>
              <w:t>out</w:t>
            </w:r>
            <w:r w:rsidR="003E6E8C" w:rsidRPr="006D631C">
              <w:rPr>
                <w:color w:val="000000"/>
                <w:sz w:val="12"/>
                <w:szCs w:val="12"/>
              </w:rPr>
              <w:t xml:space="preserve"> A-5</w:t>
            </w:r>
          </w:p>
          <w:p w14:paraId="300E0F9B" w14:textId="05F1E81B" w:rsidR="003E6E8C" w:rsidRPr="006D631C" w:rsidRDefault="003E6E8C" w:rsidP="00275913">
            <w:pPr>
              <w:spacing w:line="240" w:lineRule="auto"/>
              <w:jc w:val="left"/>
              <w:rPr>
                <w:color w:val="000000"/>
                <w:sz w:val="12"/>
                <w:szCs w:val="12"/>
              </w:rPr>
            </w:pPr>
            <w:r w:rsidRPr="006D631C">
              <w:rPr>
                <w:color w:val="000000"/>
                <w:sz w:val="6"/>
                <w:szCs w:val="6"/>
              </w:rPr>
              <w:br/>
            </w:r>
            <w:r w:rsidRPr="006D631C">
              <w:rPr>
                <w:color w:val="000000"/>
                <w:sz w:val="12"/>
                <w:szCs w:val="12"/>
              </w:rPr>
              <w:t xml:space="preserve">Addition of 10-15 </w:t>
            </w:r>
            <w:proofErr w:type="spellStart"/>
            <w:r w:rsidRPr="006D631C">
              <w:rPr>
                <w:color w:val="000000"/>
                <w:sz w:val="12"/>
                <w:szCs w:val="12"/>
              </w:rPr>
              <w:t>wt</w:t>
            </w:r>
            <w:proofErr w:type="spellEnd"/>
            <w:r w:rsidRPr="006D631C">
              <w:rPr>
                <w:color w:val="000000"/>
                <w:sz w:val="12"/>
                <w:szCs w:val="12"/>
              </w:rPr>
              <w:t xml:space="preserve">% P-A-10 </w:t>
            </w:r>
            <w:r w:rsidR="00275913" w:rsidRPr="006D631C">
              <w:rPr>
                <w:color w:val="000000"/>
                <w:sz w:val="12"/>
                <w:szCs w:val="12"/>
              </w:rPr>
              <w:t>to retain</w:t>
            </w:r>
            <w:r w:rsidRPr="006D631C">
              <w:rPr>
                <w:color w:val="000000"/>
                <w:sz w:val="12"/>
                <w:szCs w:val="12"/>
              </w:rPr>
              <w:t xml:space="preserve"> structure </w:t>
            </w:r>
          </w:p>
        </w:tc>
        <w:tc>
          <w:tcPr>
            <w:tcW w:w="993" w:type="dxa"/>
            <w:tcBorders>
              <w:top w:val="nil"/>
              <w:left w:val="nil"/>
              <w:bottom w:val="single" w:sz="4" w:space="0" w:color="auto"/>
              <w:right w:val="nil"/>
            </w:tcBorders>
            <w:shd w:val="clear" w:color="000000" w:fill="FFFFFF"/>
            <w:noWrap/>
            <w:vAlign w:val="center"/>
          </w:tcPr>
          <w:p w14:paraId="267976E4" w14:textId="7000E3AF" w:rsidR="003E6E8C" w:rsidRPr="006D631C" w:rsidRDefault="003E6E8C" w:rsidP="003E6E8C">
            <w:pPr>
              <w:spacing w:line="240" w:lineRule="auto"/>
              <w:jc w:val="left"/>
              <w:rPr>
                <w:color w:val="000000"/>
                <w:sz w:val="12"/>
                <w:szCs w:val="12"/>
              </w:rPr>
            </w:pPr>
            <w:r w:rsidRPr="006D631C">
              <w:rPr>
                <w:color w:val="000000"/>
                <w:sz w:val="12"/>
                <w:szCs w:val="12"/>
              </w:rPr>
              <w:t>4.53 - 4.68</w:t>
            </w:r>
          </w:p>
        </w:tc>
        <w:tc>
          <w:tcPr>
            <w:tcW w:w="1134" w:type="dxa"/>
            <w:tcBorders>
              <w:top w:val="nil"/>
              <w:left w:val="nil"/>
              <w:bottom w:val="single" w:sz="4" w:space="0" w:color="auto"/>
              <w:right w:val="nil"/>
            </w:tcBorders>
            <w:shd w:val="clear" w:color="000000" w:fill="FFFFFF"/>
            <w:noWrap/>
            <w:vAlign w:val="center"/>
          </w:tcPr>
          <w:p w14:paraId="1CD2CA8B" w14:textId="6D2BA41C" w:rsidR="003E6E8C" w:rsidRPr="006D631C" w:rsidRDefault="003E6E8C" w:rsidP="003E6E8C">
            <w:pPr>
              <w:spacing w:line="240" w:lineRule="auto"/>
              <w:jc w:val="left"/>
              <w:rPr>
                <w:color w:val="000000"/>
                <w:sz w:val="12"/>
                <w:szCs w:val="12"/>
              </w:rPr>
            </w:pPr>
            <w:r w:rsidRPr="006D631C">
              <w:rPr>
                <w:color w:val="000000"/>
                <w:sz w:val="12"/>
                <w:szCs w:val="12"/>
              </w:rPr>
              <w:t>5.58 - 6.04</w:t>
            </w:r>
          </w:p>
        </w:tc>
        <w:tc>
          <w:tcPr>
            <w:tcW w:w="5103" w:type="dxa"/>
            <w:tcBorders>
              <w:top w:val="nil"/>
              <w:left w:val="nil"/>
              <w:bottom w:val="single" w:sz="4" w:space="0" w:color="auto"/>
              <w:right w:val="nil"/>
            </w:tcBorders>
            <w:shd w:val="clear" w:color="000000" w:fill="FFFFFF"/>
            <w:noWrap/>
            <w:vAlign w:val="center"/>
          </w:tcPr>
          <w:p w14:paraId="7F0F7442" w14:textId="77777777" w:rsidR="003E6E8C" w:rsidRPr="006D631C" w:rsidRDefault="008A2AA2" w:rsidP="003E6E8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polymerization rate increased with an increase in the content of P-A-10 due to the structure retention</w:t>
            </w:r>
          </w:p>
          <w:p w14:paraId="77F3F279" w14:textId="77777777" w:rsidR="008A2AA2" w:rsidRPr="006D631C" w:rsidRDefault="008A2AA2" w:rsidP="003E6E8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Higher water swelling rate was seen for the hydrogel having H</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structure </w:t>
            </w:r>
          </w:p>
          <w:p w14:paraId="7022F178" w14:textId="77777777" w:rsidR="008A2AA2" w:rsidRPr="006D631C" w:rsidRDefault="008A2AA2" w:rsidP="003E6E8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water uptake decreased with an increase in hydrophobic P-A-10 content</w:t>
            </w:r>
          </w:p>
          <w:p w14:paraId="4ABC9EA7" w14:textId="77777777" w:rsidR="008A2AA2" w:rsidRPr="006D631C" w:rsidRDefault="008A2AA2" w:rsidP="003E6E8C">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hydrogel with H</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structure showed improved release properties</w:t>
            </w:r>
          </w:p>
          <w:p w14:paraId="5E43447C" w14:textId="578AA929" w:rsidR="008A2AA2" w:rsidRPr="006D631C" w:rsidRDefault="008A2AA2" w:rsidP="00781A66">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Higher compressive modulus was seen in dehydrated state for </w:t>
            </w:r>
            <w:r w:rsidR="00781A66" w:rsidRPr="006D631C">
              <w:rPr>
                <w:rFonts w:eastAsia="Times New Roman" w:cs="Times New Roman"/>
                <w:color w:val="000000"/>
                <w:sz w:val="12"/>
                <w:szCs w:val="12"/>
              </w:rPr>
              <w:t>polyLLC</w:t>
            </w:r>
            <w:r w:rsidRPr="006D631C">
              <w:rPr>
                <w:rFonts w:eastAsia="Times New Roman" w:cs="Times New Roman"/>
                <w:color w:val="000000"/>
                <w:sz w:val="12"/>
                <w:szCs w:val="12"/>
              </w:rPr>
              <w:t xml:space="preserve"> compared to non-LLC sample</w:t>
            </w:r>
          </w:p>
        </w:tc>
        <w:tc>
          <w:tcPr>
            <w:tcW w:w="566" w:type="dxa"/>
            <w:tcBorders>
              <w:top w:val="nil"/>
              <w:left w:val="nil"/>
              <w:bottom w:val="single" w:sz="4" w:space="0" w:color="auto"/>
              <w:right w:val="nil"/>
            </w:tcBorders>
            <w:shd w:val="clear" w:color="000000" w:fill="FFFFFF"/>
            <w:vAlign w:val="center"/>
          </w:tcPr>
          <w:p w14:paraId="55A73970" w14:textId="4D4D7C5C" w:rsidR="003E6E8C" w:rsidRPr="006D631C" w:rsidRDefault="003E6E8C"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{"citationItems":[{"id":"ITEM-1","itemData":{"DOI":"10.1021/cm4004849","ISSN":"08974756","abstract":"A promising method of synthesizing polymers with useful property relationships utilizes self-assembling lyotropic liquid crystals (LLCs) as photopolymerization templates to direct polymer structure on the nanometer scale. Unfortunately, thermodynamically driven phase separation of the polymer from the LLC template often occurs during polymerization and prevents control over final polymer nanostructure and properties. In this work, the nanostructure of polyacrylamide is controlled through photopolymerization in LLC templates formed using specific concentrations of polymerizable and nonreactive surfactants. Polymer structure information obtained using electron microscopy, X-ray scattering, and polarized light microscopy indicates that LLC nanostructure is retained during photopolymerization at particular reactive surfactant concentrations. Physical properties including water uptake, diffusivity, and mechanical strength are greater in polyacrylamide systems that exhibit nanostructure as compared to isotropic controls of the same chemical composition. Useful property relationships typically unattainable in traditional hydrogel systems are also observed for nanostructured hydrogels including simultaneous increases in water uptake and mechanical strength. These results demonstrate methods of generating and retaining polymer nanostructure during photopolymerization in systems that otherwise phase separate from the LLC template and may be utilized to synthesize nanostructured polymers with property relationships useful in a growing number of advanced applications. © 2013 American Chemical Society.","author":[{"dropping-particle":"","family":"Forney","given":"Bradley S.","non-dropping-particle":"","parse-names":false,"suffix":""},{"dropping-particle":"","family":"Baguenard","given":"Céline","non-dropping-particle":"","parse-names":false,"suffix":""},{"dropping-particle":"","family":"Guymon","given":"C. Allan","non-dropping-particle":"","parse-names":false,"suffix":""}],"container-title":"Chemistry of Materials","id":"ITEM-1","issue":"15","issued":{"date-parts":[["2013"]]},"page":"2950-2960","title":"Effects of controlling polymer nanostructure using photopolymerization within lyotropic liquid crystalline templates","type":"article-journal","volume":"25"},"uris":["http://www.mendeley.com/documents/?uuid=3abed647-ad42-477e-bd39-1d39d5b7ac76"]}],"mendeley":{"formattedCitation":"&lt;sup&gt;41&lt;/sup&gt;","plainTextFormattedCitation":"41","previouslyFormattedCitation":"&lt;sup&gt;41&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41</w:t>
            </w:r>
            <w:r w:rsidRPr="006D631C">
              <w:rPr>
                <w:color w:val="000000"/>
                <w:sz w:val="12"/>
                <w:szCs w:val="12"/>
              </w:rPr>
              <w:fldChar w:fldCharType="end"/>
            </w:r>
          </w:p>
        </w:tc>
      </w:tr>
      <w:tr w:rsidR="00505F91" w:rsidRPr="006D631C" w14:paraId="17DD6B52" w14:textId="77777777" w:rsidTr="0035691D">
        <w:trPr>
          <w:trHeight w:val="20"/>
        </w:trPr>
        <w:tc>
          <w:tcPr>
            <w:tcW w:w="851" w:type="dxa"/>
            <w:vMerge w:val="restart"/>
            <w:tcBorders>
              <w:top w:val="single" w:sz="4" w:space="0" w:color="auto"/>
              <w:left w:val="nil"/>
              <w:right w:val="nil"/>
            </w:tcBorders>
            <w:vAlign w:val="center"/>
          </w:tcPr>
          <w:p w14:paraId="055AFCA8" w14:textId="2CD58D89" w:rsidR="00505F91" w:rsidRPr="006D631C" w:rsidRDefault="00505F91" w:rsidP="00713029">
            <w:pPr>
              <w:spacing w:line="240" w:lineRule="auto"/>
              <w:jc w:val="left"/>
              <w:rPr>
                <w:color w:val="000000"/>
                <w:sz w:val="12"/>
                <w:szCs w:val="12"/>
              </w:rPr>
            </w:pPr>
            <w:r w:rsidRPr="006D631C">
              <w:rPr>
                <w:color w:val="000000"/>
                <w:sz w:val="12"/>
                <w:szCs w:val="12"/>
              </w:rPr>
              <w:t>M-10</w:t>
            </w:r>
          </w:p>
        </w:tc>
        <w:tc>
          <w:tcPr>
            <w:tcW w:w="850" w:type="dxa"/>
            <w:tcBorders>
              <w:top w:val="nil"/>
              <w:left w:val="nil"/>
              <w:bottom w:val="single" w:sz="4" w:space="0" w:color="auto"/>
              <w:right w:val="nil"/>
            </w:tcBorders>
            <w:shd w:val="clear" w:color="000000" w:fill="FFFFFF"/>
            <w:noWrap/>
            <w:vAlign w:val="center"/>
          </w:tcPr>
          <w:p w14:paraId="0E9B5FB3" w14:textId="17A38362" w:rsidR="00505F91" w:rsidRPr="006D631C" w:rsidRDefault="00505F91" w:rsidP="00713029">
            <w:pPr>
              <w:spacing w:line="240" w:lineRule="auto"/>
              <w:jc w:val="left"/>
              <w:rPr>
                <w:color w:val="000000"/>
                <w:sz w:val="12"/>
                <w:szCs w:val="12"/>
              </w:rPr>
            </w:pPr>
            <w:r w:rsidRPr="006D631C">
              <w:rPr>
                <w:color w:val="000000"/>
                <w:sz w:val="12"/>
                <w:szCs w:val="12"/>
              </w:rPr>
              <w:t>A-14</w:t>
            </w:r>
          </w:p>
        </w:tc>
        <w:tc>
          <w:tcPr>
            <w:tcW w:w="567" w:type="dxa"/>
            <w:tcBorders>
              <w:top w:val="nil"/>
              <w:left w:val="nil"/>
              <w:bottom w:val="single" w:sz="4" w:space="0" w:color="auto"/>
              <w:right w:val="nil"/>
            </w:tcBorders>
            <w:shd w:val="clear" w:color="000000" w:fill="FFFFFF"/>
            <w:vAlign w:val="center"/>
          </w:tcPr>
          <w:p w14:paraId="79B2FF03" w14:textId="76F40C6F" w:rsidR="00505F91" w:rsidRPr="006D631C" w:rsidRDefault="00505F91" w:rsidP="00713029">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62EDFDA4" w14:textId="0B8DE342" w:rsidR="00505F91" w:rsidRPr="006D631C" w:rsidRDefault="00505F91" w:rsidP="00713029">
            <w:pPr>
              <w:spacing w:line="240" w:lineRule="auto"/>
              <w:jc w:val="left"/>
              <w:rPr>
                <w:color w:val="000000"/>
                <w:sz w:val="12"/>
                <w:szCs w:val="12"/>
              </w:rPr>
            </w:pPr>
            <w:r w:rsidRPr="006D631C">
              <w:rPr>
                <w:color w:val="000000"/>
                <w:sz w:val="12"/>
                <w:szCs w:val="12"/>
              </w:rPr>
              <w:t>I-18</w:t>
            </w:r>
          </w:p>
        </w:tc>
        <w:tc>
          <w:tcPr>
            <w:tcW w:w="1134" w:type="dxa"/>
            <w:tcBorders>
              <w:top w:val="single" w:sz="4" w:space="0" w:color="auto"/>
              <w:left w:val="nil"/>
              <w:bottom w:val="single" w:sz="4" w:space="0" w:color="auto"/>
              <w:right w:val="nil"/>
            </w:tcBorders>
            <w:shd w:val="clear" w:color="000000" w:fill="FFFFFF"/>
            <w:vAlign w:val="center"/>
          </w:tcPr>
          <w:p w14:paraId="5F28579D" w14:textId="6ACA2028" w:rsidR="00505F91" w:rsidRPr="006D631C" w:rsidRDefault="00505F91" w:rsidP="00713029">
            <w:pPr>
              <w:spacing w:line="240" w:lineRule="auto"/>
              <w:jc w:val="left"/>
              <w:rPr>
                <w:color w:val="000000"/>
                <w:sz w:val="12"/>
                <w:szCs w:val="12"/>
              </w:rPr>
            </w:pPr>
            <w:r w:rsidRPr="006D631C">
              <w:rPr>
                <w:color w:val="000000"/>
                <w:sz w:val="12"/>
                <w:szCs w:val="12"/>
              </w:rPr>
              <w:t>10 - 24 / 24 - 30</w:t>
            </w:r>
          </w:p>
        </w:tc>
        <w:tc>
          <w:tcPr>
            <w:tcW w:w="992" w:type="dxa"/>
            <w:tcBorders>
              <w:top w:val="nil"/>
              <w:left w:val="nil"/>
              <w:bottom w:val="single" w:sz="4" w:space="0" w:color="auto"/>
              <w:right w:val="nil"/>
            </w:tcBorders>
            <w:shd w:val="clear" w:color="000000" w:fill="FFFFFF"/>
            <w:noWrap/>
            <w:vAlign w:val="center"/>
          </w:tcPr>
          <w:p w14:paraId="29B6167A" w14:textId="1F37C488" w:rsidR="00505F91" w:rsidRPr="006D631C" w:rsidRDefault="00505F91" w:rsidP="00713029">
            <w:pPr>
              <w:spacing w:line="240" w:lineRule="auto"/>
              <w:jc w:val="left"/>
              <w:rPr>
                <w:color w:val="000000"/>
                <w:sz w:val="12"/>
                <w:szCs w:val="12"/>
              </w:rPr>
            </w:pPr>
            <w:r w:rsidRPr="006D631C">
              <w:rPr>
                <w:color w:val="000000"/>
                <w:sz w:val="12"/>
                <w:szCs w:val="12"/>
              </w:rPr>
              <w:t>-</w:t>
            </w:r>
          </w:p>
        </w:tc>
        <w:tc>
          <w:tcPr>
            <w:tcW w:w="993" w:type="dxa"/>
            <w:tcBorders>
              <w:top w:val="single" w:sz="4" w:space="0" w:color="auto"/>
              <w:left w:val="nil"/>
              <w:bottom w:val="single" w:sz="4" w:space="0" w:color="auto"/>
              <w:right w:val="nil"/>
            </w:tcBorders>
            <w:shd w:val="clear" w:color="000000" w:fill="FFFFFF"/>
            <w:noWrap/>
            <w:vAlign w:val="center"/>
          </w:tcPr>
          <w:p w14:paraId="49890423" w14:textId="397B55B2" w:rsidR="00505F91" w:rsidRPr="006D631C" w:rsidRDefault="00505F91" w:rsidP="00713029">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287086F0" w14:textId="4B9361A9" w:rsidR="00505F91" w:rsidRPr="006D631C" w:rsidRDefault="00505F91" w:rsidP="00713029">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1AE66867" w14:textId="77777777" w:rsidR="00505F91" w:rsidRPr="006D631C" w:rsidRDefault="00505F91" w:rsidP="00713029">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A “cauliflower” morphology was obtained</w:t>
            </w:r>
          </w:p>
          <w:p w14:paraId="7FF55EF4" w14:textId="4F949D31" w:rsidR="00505F91" w:rsidRPr="006D631C" w:rsidRDefault="00505F91" w:rsidP="00713029">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moduli of the formed gels strongly depend on the frequency and the gels have a low absolute strength</w:t>
            </w:r>
          </w:p>
        </w:tc>
        <w:tc>
          <w:tcPr>
            <w:tcW w:w="566" w:type="dxa"/>
            <w:tcBorders>
              <w:top w:val="single" w:sz="4" w:space="0" w:color="auto"/>
              <w:left w:val="nil"/>
              <w:bottom w:val="single" w:sz="4" w:space="0" w:color="auto"/>
              <w:right w:val="nil"/>
            </w:tcBorders>
            <w:shd w:val="clear" w:color="000000" w:fill="FFFFFF"/>
            <w:vAlign w:val="center"/>
          </w:tcPr>
          <w:p w14:paraId="0348B892" w14:textId="4A3773CC" w:rsidR="00505F91" w:rsidRPr="006D631C" w:rsidRDefault="00505F91"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{"citationItems":[{"id":"ITEM-1","itemData":{"DOI":"10.1021/ma9812478","ISSN":"00249297","abstract":"Polymerization of hydrophilic monomers, such as acrylamide, in the confinement of lyotropic liquid crystalline phases of nonionic surfactants produces gels with variable pore architecture in the hundreds of nanometers to micrometers size range. The porous gels are characterized by scanning electron microscopy after critical-point drying. The structure of the gels depends on the type of monomer, cross-linking density, and both monomer and surfactant concentration and can be varied systematically to result in different pore morphologies with different pore sizes. In such a way it is possible to build the polymer network structure on a mesoscopic length scale, optimizing different network properties which are otherwise coupled in an opposite fashion; e.g., polymer networks with very large pore size and high mechanical stability can be made.","author":[{"dropping-particle":"","family":"Antonietti","given":"Markus","non-dropping-particle":"","parse-names":false,"suffix":""},{"dropping-particle":"","family":"Caruso","given":"Rachel A.","non-dropping-particle":"","parse-names":false,"suffix":""},{"dropping-particle":"","family":"Göltner","given":"Christine G.","non-dropping-particle":"","parse-names":false,"suffix":""},{"dropping-particle":"","family":"Weissenberger","given":"Markus C.","non-dropping-particle":"","parse-names":false,"suffix":""}],"container-title":"Macromolecules","id":"ITEM-1","issue":"5","issued":{"date-parts":[["1999"]]},"page":"1383-1389","title":"Morphology Variation of Porous Polymer Gels by Polymerization in Lyotropic Surfactant Phases","type":"article-journal","volume":"32"},"uris":["http://www.mendeley.com/documents/?uuid=b3a9dd2f-70ce-4746-b371-56e7e4cc2c21"]}],"mendeley":{"formattedCitation":"&lt;sup&gt;136&lt;/sup&gt;","plainTextFormattedCitation":"136","previouslyFormattedCitation":"&lt;sup&gt;136&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136</w:t>
            </w:r>
            <w:r w:rsidRPr="006D631C">
              <w:rPr>
                <w:color w:val="000000"/>
                <w:sz w:val="12"/>
                <w:szCs w:val="12"/>
              </w:rPr>
              <w:fldChar w:fldCharType="end"/>
            </w:r>
          </w:p>
        </w:tc>
      </w:tr>
      <w:tr w:rsidR="001219ED" w:rsidRPr="006D631C" w14:paraId="49462F4E" w14:textId="77777777" w:rsidTr="0035691D">
        <w:trPr>
          <w:trHeight w:val="20"/>
        </w:trPr>
        <w:tc>
          <w:tcPr>
            <w:tcW w:w="851" w:type="dxa"/>
            <w:vMerge/>
            <w:tcBorders>
              <w:left w:val="nil"/>
              <w:right w:val="nil"/>
            </w:tcBorders>
            <w:shd w:val="clear" w:color="000000" w:fill="FFFFFF"/>
            <w:vAlign w:val="center"/>
          </w:tcPr>
          <w:p w14:paraId="246AD7B3" w14:textId="77777777" w:rsidR="001219ED" w:rsidRPr="006D631C" w:rsidRDefault="001219ED" w:rsidP="001219ED">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31E1AD45" w14:textId="0834A666" w:rsidR="001219ED" w:rsidRPr="006D631C" w:rsidRDefault="001219ED" w:rsidP="001219ED">
            <w:pPr>
              <w:spacing w:line="240" w:lineRule="auto"/>
              <w:jc w:val="left"/>
              <w:rPr>
                <w:color w:val="000000"/>
                <w:sz w:val="12"/>
                <w:szCs w:val="12"/>
              </w:rPr>
            </w:pPr>
            <w:r w:rsidRPr="006D631C">
              <w:rPr>
                <w:color w:val="000000"/>
                <w:sz w:val="12"/>
                <w:szCs w:val="12"/>
              </w:rPr>
              <w:t>A-13</w:t>
            </w:r>
          </w:p>
        </w:tc>
        <w:tc>
          <w:tcPr>
            <w:tcW w:w="567" w:type="dxa"/>
            <w:tcBorders>
              <w:top w:val="nil"/>
              <w:left w:val="nil"/>
              <w:bottom w:val="single" w:sz="4" w:space="0" w:color="auto"/>
              <w:right w:val="nil"/>
            </w:tcBorders>
            <w:shd w:val="clear" w:color="000000" w:fill="FFFFFF"/>
            <w:vAlign w:val="center"/>
          </w:tcPr>
          <w:p w14:paraId="39C0EF3B" w14:textId="66E04D13" w:rsidR="001219ED" w:rsidRPr="006D631C" w:rsidRDefault="001219ED" w:rsidP="001219ED">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39A688FE" w14:textId="45F9D0AE" w:rsidR="001219ED" w:rsidRPr="006D631C" w:rsidRDefault="001219ED" w:rsidP="001219ED">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44E25AF4" w14:textId="6DA40DA4" w:rsidR="001219ED" w:rsidRPr="006D631C" w:rsidRDefault="001219ED" w:rsidP="001219ED">
            <w:pPr>
              <w:spacing w:line="240" w:lineRule="auto"/>
              <w:jc w:val="left"/>
              <w:rPr>
                <w:color w:val="000000"/>
                <w:sz w:val="12"/>
                <w:szCs w:val="12"/>
              </w:rPr>
            </w:pPr>
            <w:r w:rsidRPr="006D631C">
              <w:rPr>
                <w:color w:val="000000"/>
                <w:sz w:val="12"/>
                <w:szCs w:val="12"/>
              </w:rPr>
              <w:t>50 / 20 (Q</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3AC824F2" w14:textId="36D79D7E" w:rsidR="001219ED" w:rsidRPr="006D631C" w:rsidRDefault="001219ED" w:rsidP="001219ED">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2B3E3DBE" w14:textId="08C1C8D0" w:rsidR="001219ED" w:rsidRPr="006D631C" w:rsidRDefault="001219ED" w:rsidP="001219ED">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0DD37619" w14:textId="0D418578" w:rsidR="001219ED" w:rsidRPr="006D631C" w:rsidRDefault="001219ED" w:rsidP="001219ED">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046648EB" w14:textId="3CB6318B" w:rsidR="001219ED" w:rsidRPr="006D631C" w:rsidRDefault="001219ED" w:rsidP="001219ED">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400% more water uptake in the temperatures less than 33 °C, similar compressive modulus despite of higher water uptake and higher de-swelling rate of templated hydrogel compared to non-LLC sample</w:t>
            </w:r>
          </w:p>
        </w:tc>
        <w:tc>
          <w:tcPr>
            <w:tcW w:w="566" w:type="dxa"/>
            <w:tcBorders>
              <w:top w:val="nil"/>
              <w:left w:val="nil"/>
              <w:bottom w:val="single" w:sz="4" w:space="0" w:color="auto"/>
              <w:right w:val="nil"/>
            </w:tcBorders>
            <w:shd w:val="clear" w:color="000000" w:fill="FFFFFF"/>
            <w:vAlign w:val="center"/>
          </w:tcPr>
          <w:p w14:paraId="63081CCF" w14:textId="0AC0C652" w:rsidR="001219ED" w:rsidRPr="006D631C" w:rsidRDefault="001219ED"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{"citationItems":[{"id":"ITEM-1","itemData":{"DOI":"10.1002/marc.201100046","ISSN":"10221336","abstract":"The thermal-response and mechanical properties of poly(N- isopropylacrylamide) (PNIPAm) are improved by controlling the polymer nanostructure through photopolymerization in a bicontinuous cubic lyotropic liquid crystal (LLC) template. The bicontinuous cubic nanostructure increases the rate and amount of water expelled from PNIPAm for heating above the lower critical solution temperature (LCST) relative to an isotropic PNIPAm hydrogel while maintaining the mechanical integrity of the polymer. These results could allow development of PNIPAm hydrogels with proper water uptake, deswelling kinetics, volume transition, and mechanical properties required for successful performance in a growing number of advanced biological and industrial applications. A bicontinuous cubic lyotropic liquid crystal mesophase is utilized as a photopolymerization template to control the nanostructure and properties of poly(N-isopropylacrylamide) (PNIPAm). The cubic nanostructure increases the rate and degree of PNIPAm water loss for heating above the lower critical solution temperature relative to a traditional PNIPAm hydrogel while maintaining the mechanical integrity of the polymer. © 2011 WILEY-VCH Verlag GmbH &amp; Co. KGaA, Weinheim.","author":[{"dropping-particle":"","family":"Forney","given":"Bradley S.","non-dropping-particle":"","parse-names":false,"suffix":""},{"dropping-particle":"","family":"Allan Guymon","given":"C.","non-dropping-particle":"","parse-names":false,"suffix":""}],"container-title":"Macromolecular Rapid Communications","id":"ITEM-1","issue":"9-10","issued":{"date-parts":[["2011"]]},"page":"765-769","title":"Fast deswelling kinetics of nanostructured poly(N-isopropylacrylamide) photopolymerized in a lyotropic liquid crystal template","type":"article-journal","volume":"32"},"uris":["http://www.mendeley.com/documents/?uuid=c119d839-1f6e-4e30-8b2f-14cb6b16df3a"]}],"mendeley":{"formattedCitation":"&lt;sup&gt;155&lt;/sup&gt;","plainTextFormattedCitation":"155","previouslyFormattedCitation":"&lt;sup&gt;155&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155</w:t>
            </w:r>
            <w:r w:rsidRPr="006D631C">
              <w:rPr>
                <w:color w:val="000000"/>
                <w:sz w:val="12"/>
                <w:szCs w:val="12"/>
              </w:rPr>
              <w:fldChar w:fldCharType="end"/>
            </w:r>
          </w:p>
        </w:tc>
      </w:tr>
      <w:tr w:rsidR="001219ED" w:rsidRPr="006D631C" w14:paraId="495C8819" w14:textId="77777777" w:rsidTr="0035691D">
        <w:trPr>
          <w:trHeight w:val="20"/>
        </w:trPr>
        <w:tc>
          <w:tcPr>
            <w:tcW w:w="851" w:type="dxa"/>
            <w:vMerge/>
            <w:tcBorders>
              <w:left w:val="nil"/>
              <w:right w:val="nil"/>
            </w:tcBorders>
            <w:shd w:val="clear" w:color="000000" w:fill="FFFFFF"/>
            <w:vAlign w:val="center"/>
          </w:tcPr>
          <w:p w14:paraId="1A146395" w14:textId="77777777" w:rsidR="001219ED" w:rsidRPr="006D631C" w:rsidRDefault="001219ED" w:rsidP="001219ED">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1B3D0C52" w14:textId="1BC789F1" w:rsidR="001219ED" w:rsidRPr="006D631C" w:rsidRDefault="001219ED" w:rsidP="001219ED">
            <w:pPr>
              <w:spacing w:line="240" w:lineRule="auto"/>
              <w:jc w:val="left"/>
              <w:rPr>
                <w:color w:val="000000"/>
                <w:sz w:val="12"/>
                <w:szCs w:val="12"/>
              </w:rPr>
            </w:pPr>
            <w:r w:rsidRPr="006D631C">
              <w:rPr>
                <w:color w:val="000000"/>
                <w:sz w:val="12"/>
                <w:szCs w:val="12"/>
              </w:rPr>
              <w:t>A-13</w:t>
            </w:r>
          </w:p>
        </w:tc>
        <w:tc>
          <w:tcPr>
            <w:tcW w:w="567" w:type="dxa"/>
            <w:tcBorders>
              <w:top w:val="nil"/>
              <w:left w:val="nil"/>
              <w:bottom w:val="single" w:sz="4" w:space="0" w:color="auto"/>
              <w:right w:val="nil"/>
            </w:tcBorders>
            <w:shd w:val="clear" w:color="000000" w:fill="FFFFFF"/>
            <w:vAlign w:val="center"/>
          </w:tcPr>
          <w:p w14:paraId="100E5A51" w14:textId="51039726" w:rsidR="001219ED" w:rsidRPr="006D631C" w:rsidRDefault="001219ED" w:rsidP="001219ED">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11AB9591" w14:textId="11CA7A47" w:rsidR="001219ED" w:rsidRPr="006D631C" w:rsidRDefault="001219ED" w:rsidP="001219ED">
            <w:pPr>
              <w:spacing w:line="240" w:lineRule="auto"/>
              <w:jc w:val="left"/>
              <w:rPr>
                <w:color w:val="000000"/>
                <w:sz w:val="12"/>
                <w:szCs w:val="12"/>
              </w:rPr>
            </w:pPr>
            <w:r w:rsidRPr="006D631C">
              <w:rPr>
                <w:color w:val="000000"/>
                <w:sz w:val="12"/>
                <w:szCs w:val="12"/>
              </w:rPr>
              <w:t>I-1</w:t>
            </w:r>
          </w:p>
        </w:tc>
        <w:tc>
          <w:tcPr>
            <w:tcW w:w="1134" w:type="dxa"/>
            <w:tcBorders>
              <w:top w:val="nil"/>
              <w:left w:val="nil"/>
              <w:bottom w:val="single" w:sz="4" w:space="0" w:color="auto"/>
              <w:right w:val="nil"/>
            </w:tcBorders>
            <w:shd w:val="clear" w:color="000000" w:fill="FFFFFF"/>
            <w:vAlign w:val="center"/>
          </w:tcPr>
          <w:p w14:paraId="7E95A1BB" w14:textId="702E43D5" w:rsidR="001219ED" w:rsidRPr="006D631C" w:rsidRDefault="001219ED" w:rsidP="001219ED">
            <w:pPr>
              <w:spacing w:line="240" w:lineRule="auto"/>
              <w:jc w:val="left"/>
              <w:rPr>
                <w:color w:val="000000"/>
                <w:sz w:val="12"/>
                <w:szCs w:val="12"/>
              </w:rPr>
            </w:pPr>
            <w:r w:rsidRPr="006D631C">
              <w:rPr>
                <w:color w:val="000000"/>
                <w:sz w:val="12"/>
                <w:szCs w:val="12"/>
              </w:rPr>
              <w:t>50 / 40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4D6A7CC4" w14:textId="463662C0" w:rsidR="001219ED" w:rsidRPr="006D631C" w:rsidRDefault="001219ED" w:rsidP="001219ED">
            <w:pPr>
              <w:spacing w:line="240" w:lineRule="auto"/>
              <w:jc w:val="left"/>
              <w:rPr>
                <w:color w:val="000000"/>
                <w:sz w:val="12"/>
                <w:szCs w:val="12"/>
              </w:rPr>
            </w:pPr>
            <w:r w:rsidRPr="006D631C">
              <w:rPr>
                <w:color w:val="000000"/>
                <w:sz w:val="12"/>
                <w:szCs w:val="12"/>
              </w:rPr>
              <w:t xml:space="preserve">Retention of the structure </w:t>
            </w:r>
          </w:p>
        </w:tc>
        <w:tc>
          <w:tcPr>
            <w:tcW w:w="993" w:type="dxa"/>
            <w:tcBorders>
              <w:top w:val="nil"/>
              <w:left w:val="nil"/>
              <w:bottom w:val="single" w:sz="4" w:space="0" w:color="auto"/>
              <w:right w:val="nil"/>
            </w:tcBorders>
            <w:shd w:val="clear" w:color="000000" w:fill="FFFFFF"/>
            <w:noWrap/>
            <w:vAlign w:val="center"/>
          </w:tcPr>
          <w:p w14:paraId="09415288" w14:textId="05A94606" w:rsidR="001219ED" w:rsidRPr="006D631C" w:rsidRDefault="001219ED" w:rsidP="001219ED">
            <w:pPr>
              <w:spacing w:line="240" w:lineRule="auto"/>
              <w:jc w:val="left"/>
              <w:rPr>
                <w:color w:val="000000"/>
                <w:sz w:val="12"/>
                <w:szCs w:val="12"/>
              </w:rPr>
            </w:pPr>
            <w:r w:rsidRPr="006D631C">
              <w:rPr>
                <w:color w:val="000000"/>
                <w:sz w:val="12"/>
                <w:szCs w:val="12"/>
              </w:rPr>
              <w:t>7.18 - 7.65</w:t>
            </w:r>
          </w:p>
        </w:tc>
        <w:tc>
          <w:tcPr>
            <w:tcW w:w="1134" w:type="dxa"/>
            <w:tcBorders>
              <w:top w:val="nil"/>
              <w:left w:val="nil"/>
              <w:bottom w:val="single" w:sz="4" w:space="0" w:color="auto"/>
              <w:right w:val="nil"/>
            </w:tcBorders>
            <w:shd w:val="clear" w:color="000000" w:fill="FFFFFF"/>
            <w:noWrap/>
            <w:vAlign w:val="center"/>
          </w:tcPr>
          <w:p w14:paraId="2A07F164" w14:textId="49F01A89" w:rsidR="001219ED" w:rsidRPr="006D631C" w:rsidRDefault="001219ED" w:rsidP="001219ED">
            <w:pPr>
              <w:spacing w:line="240" w:lineRule="auto"/>
              <w:jc w:val="left"/>
              <w:rPr>
                <w:color w:val="000000"/>
                <w:sz w:val="12"/>
                <w:szCs w:val="12"/>
              </w:rPr>
            </w:pPr>
            <w:r w:rsidRPr="006D631C">
              <w:rPr>
                <w:color w:val="000000"/>
                <w:sz w:val="12"/>
                <w:szCs w:val="12"/>
              </w:rPr>
              <w:t>7.04 - 7.18</w:t>
            </w:r>
          </w:p>
        </w:tc>
        <w:tc>
          <w:tcPr>
            <w:tcW w:w="5103" w:type="dxa"/>
            <w:tcBorders>
              <w:top w:val="nil"/>
              <w:left w:val="nil"/>
              <w:bottom w:val="single" w:sz="4" w:space="0" w:color="auto"/>
              <w:right w:val="nil"/>
            </w:tcBorders>
            <w:shd w:val="clear" w:color="000000" w:fill="FFFFFF"/>
            <w:noWrap/>
            <w:vAlign w:val="center"/>
          </w:tcPr>
          <w:p w14:paraId="52157F65" w14:textId="77777777" w:rsidR="001219ED" w:rsidRPr="006D631C" w:rsidRDefault="001219ED" w:rsidP="001219ED">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M-29 was incorporated in the LLC (6.7 - 50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with respect to the total monomer content) to improve the mechanical properties of the produced hydrogel without compromising other properties</w:t>
            </w:r>
          </w:p>
          <w:p w14:paraId="0DC455D5" w14:textId="5C4D1249" w:rsidR="001219ED" w:rsidRPr="006D631C" w:rsidRDefault="001219ED" w:rsidP="001219ED">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Relatively lower water uptake, intact thermoresponsive behavior, high de-swelling rate and appropriate mechanical properties when M-29 was incorporated in LLC</w:t>
            </w:r>
          </w:p>
        </w:tc>
        <w:tc>
          <w:tcPr>
            <w:tcW w:w="566" w:type="dxa"/>
            <w:tcBorders>
              <w:top w:val="nil"/>
              <w:left w:val="nil"/>
              <w:bottom w:val="single" w:sz="4" w:space="0" w:color="auto"/>
              <w:right w:val="nil"/>
            </w:tcBorders>
            <w:shd w:val="clear" w:color="000000" w:fill="FFFFFF"/>
            <w:vAlign w:val="center"/>
          </w:tcPr>
          <w:p w14:paraId="401D9150" w14:textId="67FDF252" w:rsidR="001219ED" w:rsidRPr="006D631C" w:rsidRDefault="001219ED" w:rsidP="002E14E4">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Matter","id":"ITEM-1","issue":"31","issued":{"date-parts":[["2013"]]},"page":"7458-7467","title":"Improved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mendeley":{"formattedCitation":"&lt;sup&gt;42&lt;/sup&gt;","plainTextFormattedCitation":"42","previouslyFormattedCitation":"&lt;sup&gt;42&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42</w:t>
            </w:r>
            <w:r w:rsidRPr="006D631C">
              <w:rPr>
                <w:color w:val="000000"/>
                <w:sz w:val="12"/>
                <w:szCs w:val="12"/>
              </w:rPr>
              <w:fldChar w:fldCharType="end"/>
            </w:r>
          </w:p>
        </w:tc>
      </w:tr>
      <w:tr w:rsidR="001219ED" w:rsidRPr="006D631C" w14:paraId="58D8484D" w14:textId="77777777" w:rsidTr="009F7601">
        <w:trPr>
          <w:trHeight w:val="20"/>
        </w:trPr>
        <w:tc>
          <w:tcPr>
            <w:tcW w:w="851" w:type="dxa"/>
            <w:vMerge/>
            <w:tcBorders>
              <w:left w:val="nil"/>
              <w:bottom w:val="single" w:sz="4" w:space="0" w:color="auto"/>
              <w:right w:val="nil"/>
            </w:tcBorders>
            <w:shd w:val="clear" w:color="000000" w:fill="FFFFFF"/>
            <w:vAlign w:val="center"/>
          </w:tcPr>
          <w:p w14:paraId="7DDDFF58" w14:textId="77777777" w:rsidR="001219ED" w:rsidRPr="006D631C" w:rsidRDefault="001219ED" w:rsidP="001219ED">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4899D21F" w14:textId="1FC1B7BB" w:rsidR="001219ED" w:rsidRPr="006D631C" w:rsidRDefault="001219ED" w:rsidP="001219ED">
            <w:pPr>
              <w:spacing w:line="240" w:lineRule="auto"/>
              <w:jc w:val="left"/>
              <w:rPr>
                <w:color w:val="000000"/>
                <w:sz w:val="12"/>
                <w:szCs w:val="12"/>
              </w:rPr>
            </w:pPr>
            <w:r w:rsidRPr="006D631C">
              <w:rPr>
                <w:color w:val="000000"/>
                <w:sz w:val="12"/>
                <w:szCs w:val="12"/>
              </w:rPr>
              <w:t>A-13</w:t>
            </w:r>
          </w:p>
        </w:tc>
        <w:tc>
          <w:tcPr>
            <w:tcW w:w="567" w:type="dxa"/>
            <w:tcBorders>
              <w:top w:val="nil"/>
              <w:left w:val="nil"/>
              <w:bottom w:val="single" w:sz="4" w:space="0" w:color="auto"/>
              <w:right w:val="nil"/>
            </w:tcBorders>
            <w:shd w:val="clear" w:color="000000" w:fill="FFFFFF"/>
            <w:vAlign w:val="center"/>
          </w:tcPr>
          <w:p w14:paraId="501ED28B" w14:textId="65B254C7" w:rsidR="001219ED" w:rsidRPr="006D631C" w:rsidRDefault="001219ED" w:rsidP="001219ED">
            <w:pPr>
              <w:spacing w:line="240" w:lineRule="auto"/>
              <w:jc w:val="left"/>
              <w:rPr>
                <w:color w:val="000000"/>
                <w:sz w:val="12"/>
                <w:szCs w:val="12"/>
              </w:rPr>
            </w:pPr>
            <w:r w:rsidRPr="006D631C">
              <w:rPr>
                <w:color w:val="000000"/>
                <w:sz w:val="12"/>
                <w:szCs w:val="12"/>
              </w:rPr>
              <w:t>C-2</w:t>
            </w:r>
          </w:p>
        </w:tc>
        <w:tc>
          <w:tcPr>
            <w:tcW w:w="709" w:type="dxa"/>
            <w:tcBorders>
              <w:top w:val="nil"/>
              <w:left w:val="nil"/>
              <w:bottom w:val="single" w:sz="4" w:space="0" w:color="auto"/>
              <w:right w:val="nil"/>
            </w:tcBorders>
            <w:shd w:val="clear" w:color="000000" w:fill="FFFFFF"/>
            <w:vAlign w:val="center"/>
          </w:tcPr>
          <w:p w14:paraId="497FEBD2" w14:textId="056B39F4" w:rsidR="001219ED" w:rsidRPr="006D631C" w:rsidRDefault="001219ED" w:rsidP="001219ED">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4B86C283" w14:textId="1EB3A47F" w:rsidR="001219ED" w:rsidRPr="006D631C" w:rsidRDefault="001219ED" w:rsidP="001219ED">
            <w:pPr>
              <w:spacing w:line="240" w:lineRule="auto"/>
              <w:jc w:val="left"/>
              <w:rPr>
                <w:color w:val="000000"/>
                <w:sz w:val="12"/>
                <w:szCs w:val="12"/>
              </w:rPr>
            </w:pPr>
            <w:r w:rsidRPr="006D631C">
              <w:rPr>
                <w:color w:val="000000"/>
                <w:sz w:val="12"/>
                <w:szCs w:val="12"/>
              </w:rPr>
              <w:t>40 / 20 (Q</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0BE0F2A9" w14:textId="1B36E91E" w:rsidR="001219ED" w:rsidRPr="006D631C" w:rsidRDefault="001219ED" w:rsidP="001219ED">
            <w:pPr>
              <w:spacing w:line="240" w:lineRule="auto"/>
              <w:jc w:val="left"/>
              <w:rPr>
                <w:color w:val="000000"/>
                <w:sz w:val="12"/>
                <w:szCs w:val="12"/>
              </w:rPr>
            </w:pPr>
            <w:r w:rsidRPr="006D631C">
              <w:rPr>
                <w:color w:val="000000"/>
                <w:sz w:val="12"/>
                <w:szCs w:val="12"/>
              </w:rPr>
              <w:t>Retention of Q</w:t>
            </w:r>
            <w:r w:rsidRPr="006D631C">
              <w:rPr>
                <w:color w:val="000000"/>
                <w:sz w:val="12"/>
                <w:szCs w:val="12"/>
                <w:vertAlign w:val="subscript"/>
              </w:rPr>
              <w:t>1</w:t>
            </w:r>
            <w:r w:rsidRPr="006D631C">
              <w:rPr>
                <w:color w:val="000000"/>
                <w:sz w:val="12"/>
                <w:szCs w:val="12"/>
              </w:rPr>
              <w:t xml:space="preserve"> at low M-16 contents</w:t>
            </w:r>
            <w:r w:rsidRPr="006D631C">
              <w:rPr>
                <w:color w:val="000000"/>
                <w:sz w:val="12"/>
                <w:szCs w:val="12"/>
              </w:rPr>
              <w:br/>
              <w:t>Q</w:t>
            </w:r>
            <w:r w:rsidRPr="006D631C">
              <w:rPr>
                <w:color w:val="000000"/>
                <w:sz w:val="12"/>
                <w:szCs w:val="12"/>
                <w:vertAlign w:val="subscript"/>
              </w:rPr>
              <w:t>1</w:t>
            </w:r>
            <w:r w:rsidRPr="006D631C">
              <w:rPr>
                <w:color w:val="000000"/>
                <w:sz w:val="12"/>
                <w:szCs w:val="12"/>
              </w:rPr>
              <w:t xml:space="preserve"> changed to H</w:t>
            </w:r>
            <w:r w:rsidRPr="006D631C">
              <w:rPr>
                <w:color w:val="000000"/>
                <w:sz w:val="12"/>
                <w:szCs w:val="12"/>
                <w:vertAlign w:val="subscript"/>
              </w:rPr>
              <w:t>1</w:t>
            </w:r>
            <w:r w:rsidRPr="006D631C">
              <w:rPr>
                <w:color w:val="000000"/>
                <w:sz w:val="12"/>
                <w:szCs w:val="12"/>
              </w:rPr>
              <w:t xml:space="preserve"> at 4 </w:t>
            </w:r>
            <w:proofErr w:type="spellStart"/>
            <w:r w:rsidRPr="006D631C">
              <w:rPr>
                <w:color w:val="000000"/>
                <w:sz w:val="12"/>
                <w:szCs w:val="12"/>
              </w:rPr>
              <w:t>wt</w:t>
            </w:r>
            <w:proofErr w:type="spellEnd"/>
            <w:r w:rsidRPr="006D631C">
              <w:rPr>
                <w:color w:val="000000"/>
                <w:sz w:val="12"/>
                <w:szCs w:val="12"/>
              </w:rPr>
              <w:t>% M-16 content</w:t>
            </w:r>
          </w:p>
        </w:tc>
        <w:tc>
          <w:tcPr>
            <w:tcW w:w="993" w:type="dxa"/>
            <w:tcBorders>
              <w:top w:val="nil"/>
              <w:left w:val="nil"/>
              <w:bottom w:val="single" w:sz="4" w:space="0" w:color="auto"/>
              <w:right w:val="nil"/>
            </w:tcBorders>
            <w:shd w:val="clear" w:color="000000" w:fill="FFFFFF"/>
            <w:noWrap/>
            <w:vAlign w:val="center"/>
          </w:tcPr>
          <w:p w14:paraId="4FC9F36B" w14:textId="2499D43B" w:rsidR="001219ED" w:rsidRPr="006D631C" w:rsidRDefault="001219ED" w:rsidP="001219ED">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118C284A" w14:textId="3C6F94FB" w:rsidR="001219ED" w:rsidRPr="006D631C" w:rsidRDefault="001219ED" w:rsidP="001219ED">
            <w:pPr>
              <w:spacing w:line="240" w:lineRule="auto"/>
              <w:jc w:val="left"/>
              <w:rPr>
                <w:color w:val="000000"/>
                <w:sz w:val="12"/>
                <w:szCs w:val="12"/>
              </w:rPr>
            </w:pPr>
            <w:r w:rsidRPr="006D631C">
              <w:rPr>
                <w:color w:val="000000"/>
                <w:sz w:val="12"/>
                <w:szCs w:val="12"/>
              </w:rPr>
              <w:t>8.24 (H</w:t>
            </w:r>
            <w:r w:rsidRPr="006D631C">
              <w:rPr>
                <w:color w:val="000000"/>
                <w:sz w:val="12"/>
                <w:szCs w:val="12"/>
                <w:vertAlign w:val="subscript"/>
              </w:rPr>
              <w:t>1</w:t>
            </w: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07A14167" w14:textId="77777777" w:rsidR="001219ED" w:rsidRPr="006D631C" w:rsidRDefault="001219ED" w:rsidP="001219ED">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M-16 was incorporated in the structure of the LLC (up to 4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with respect to the total monomer content) to improve water uptake while preserving other properties</w:t>
            </w:r>
          </w:p>
          <w:p w14:paraId="48F25F3F" w14:textId="73F30DA7" w:rsidR="001219ED" w:rsidRPr="006D631C" w:rsidRDefault="001219ED" w:rsidP="001219ED">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Dramatic increase in water uptake, shifting the thermoresponsive behavior to higher temperatures and lower de-swelling rate by incorporation of M-16 in the LLC structure</w:t>
            </w:r>
          </w:p>
        </w:tc>
        <w:tc>
          <w:tcPr>
            <w:tcW w:w="566" w:type="dxa"/>
            <w:tcBorders>
              <w:top w:val="nil"/>
              <w:left w:val="nil"/>
              <w:bottom w:val="single" w:sz="4" w:space="0" w:color="auto"/>
              <w:right w:val="nil"/>
            </w:tcBorders>
            <w:shd w:val="clear" w:color="000000" w:fill="FFFFFF"/>
            <w:vAlign w:val="center"/>
          </w:tcPr>
          <w:p w14:paraId="153CCEDA" w14:textId="60D11C45" w:rsidR="001219ED" w:rsidRPr="006D631C" w:rsidRDefault="001219ED" w:rsidP="002E14E4">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{"citationItems":[{"id":"ITEM-1","itemData":{"DOI":"10.1016/j.polymer.2018.03.016","ISSN":"00323861","abstract":"In this work, stimuli-responsive, superabsorbent materials are created by copolymerization of stimuli-responsive poly(n-isopropyl acrylamide) (PNIPAM) in combination with superabsorbent sodium acrylate (SA) via photopolymerization in lyotropic liquid crystal (LLC) templates. Templating PNIPAM in LLC mesophases imparts nanostructure to the polymer that significantly increases transport and swelling when compared to isotropic hydrogels. These materials exhibit twice the equilibrium swelling of analogous non-templated materials and show a dynamic range between the swollen and deswollen state that is 5 times greater. To further augment this stimuli-responsive range, LLC-templated PNIPAM was combined with the superabsorbent monomer sodium acrylate (SA). As SA concentration is increased, significant structure changes are observed during polymerization that leads to less-defined nanostructure and lower stimuli response. Maximum swelling and temperature response are observed at low concentrations of SA (</w:instrText>
            </w:r>
            <w:r w:rsidR="005C60C1" w:rsidRPr="006D631C">
              <w:rPr>
                <w:rFonts w:ascii="Cambria Math" w:hAnsi="Cambria Math" w:cs="Cambria Math"/>
                <w:color w:val="000000"/>
                <w:sz w:val="12"/>
                <w:szCs w:val="12"/>
              </w:rPr>
              <w:instrText>∼</w:instrText>
            </w:r>
            <w:r w:rsidR="005C60C1" w:rsidRPr="006D631C">
              <w:rPr>
                <w:color w:val="000000"/>
                <w:sz w:val="12"/>
                <w:szCs w:val="12"/>
              </w:rPr>
              <w:instrText>2 wt%). These LLC-templated copolymers exhibit stimuli-responsive volume transitions up to 40 times and equilibrium swelling ratios of 60 times their dry mass. This 600% increase in thermal response is due to the combined high swelling capabilities of SA with the enhanced thermal-response behavior induced by the LLC-templated nanostructure. Additionally, the nanostructure induces fast deswelling rates at temperatures above the lowest critical solution temperature of PNIPAM. The high dynamic range and quick response of this composition could allow for the development of superabsorbent, stimuli-responsive hydrogels in a variety of biomaterial, microfluidic, and water remediation applications.","author":[{"dropping-particle":"","family":"McLaughlin","given":"Jacob R.","non-dropping-particle":"","parse-names":false,"suffix":""},{"dropping-particle":"","family":"Abbott","given":"Nicholas L.","non-dropping-particle":"","parse-names":false,"suffix":""},{"dropping-particle":"","family":"Guymon","given":"C. Allan","non-dropping-particle":"","parse-names":false,"suffix":""}],"container-title":"Polymer","id":"ITEM-1","issued":{"date-parts":[["2018","4"]]},"page":"119-126","title":"Responsive superabsorbent hydrogels via photopolymerization in lyotropic liquid crystal templates","type":"article-journal","volume":"142"},"uris":["http://www.mendeley.com/documents/?uuid=8899ff0c-5b1e-46dd-a332-a7faed8dd226"]}],"mendeley":{"formattedCitation":"&lt;sup&gt;38&lt;/sup&gt;","plainTextFormattedCitation":"38","previouslyFormattedCitation":"&lt;sup&gt;38&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38</w:t>
            </w:r>
            <w:r w:rsidRPr="006D631C">
              <w:rPr>
                <w:color w:val="000000"/>
                <w:sz w:val="12"/>
                <w:szCs w:val="12"/>
              </w:rPr>
              <w:fldChar w:fldCharType="end"/>
            </w:r>
          </w:p>
        </w:tc>
      </w:tr>
      <w:tr w:rsidR="001219ED" w:rsidRPr="006D631C" w14:paraId="2A89480D" w14:textId="77777777" w:rsidTr="0035691D">
        <w:trPr>
          <w:trHeight w:val="20"/>
        </w:trPr>
        <w:tc>
          <w:tcPr>
            <w:tcW w:w="851" w:type="dxa"/>
            <w:tcBorders>
              <w:top w:val="single" w:sz="4" w:space="0" w:color="auto"/>
              <w:left w:val="nil"/>
              <w:bottom w:val="single" w:sz="4" w:space="0" w:color="auto"/>
              <w:right w:val="nil"/>
            </w:tcBorders>
            <w:shd w:val="clear" w:color="000000" w:fill="FFFFFF"/>
            <w:vAlign w:val="center"/>
          </w:tcPr>
          <w:p w14:paraId="4E53FC91" w14:textId="189EA437" w:rsidR="001219ED" w:rsidRPr="006D631C" w:rsidRDefault="001219ED" w:rsidP="001219ED">
            <w:pPr>
              <w:spacing w:line="240" w:lineRule="auto"/>
              <w:jc w:val="left"/>
              <w:rPr>
                <w:color w:val="000000"/>
                <w:sz w:val="12"/>
                <w:szCs w:val="12"/>
              </w:rPr>
            </w:pPr>
            <w:r w:rsidRPr="006D631C">
              <w:rPr>
                <w:color w:val="000000"/>
                <w:sz w:val="12"/>
                <w:szCs w:val="12"/>
              </w:rPr>
              <w:t>M-11</w:t>
            </w:r>
          </w:p>
        </w:tc>
        <w:tc>
          <w:tcPr>
            <w:tcW w:w="850" w:type="dxa"/>
            <w:tcBorders>
              <w:top w:val="single" w:sz="4" w:space="0" w:color="auto"/>
              <w:left w:val="nil"/>
              <w:bottom w:val="single" w:sz="4" w:space="0" w:color="auto"/>
              <w:right w:val="nil"/>
            </w:tcBorders>
            <w:shd w:val="clear" w:color="000000" w:fill="FFFFFF"/>
            <w:noWrap/>
            <w:vAlign w:val="center"/>
          </w:tcPr>
          <w:p w14:paraId="070D1AAD" w14:textId="7B5AA9D4" w:rsidR="001219ED" w:rsidRPr="006D631C" w:rsidRDefault="001219ED" w:rsidP="001219ED">
            <w:pPr>
              <w:spacing w:line="240" w:lineRule="auto"/>
              <w:jc w:val="left"/>
              <w:rPr>
                <w:color w:val="000000"/>
                <w:sz w:val="12"/>
                <w:szCs w:val="12"/>
              </w:rPr>
            </w:pPr>
            <w:r w:rsidRPr="006D631C">
              <w:rPr>
                <w:color w:val="000000"/>
                <w:sz w:val="12"/>
                <w:szCs w:val="12"/>
              </w:rPr>
              <w:t>A-14 or         A-20</w:t>
            </w:r>
          </w:p>
        </w:tc>
        <w:tc>
          <w:tcPr>
            <w:tcW w:w="567" w:type="dxa"/>
            <w:tcBorders>
              <w:top w:val="single" w:sz="4" w:space="0" w:color="auto"/>
              <w:left w:val="nil"/>
              <w:bottom w:val="single" w:sz="4" w:space="0" w:color="auto"/>
              <w:right w:val="nil"/>
            </w:tcBorders>
            <w:shd w:val="clear" w:color="000000" w:fill="FFFFFF"/>
            <w:vAlign w:val="center"/>
          </w:tcPr>
          <w:p w14:paraId="1CC503B7" w14:textId="6138FC19" w:rsidR="001219ED" w:rsidRPr="006D631C" w:rsidRDefault="001219ED" w:rsidP="001219ED">
            <w:pPr>
              <w:spacing w:line="240" w:lineRule="auto"/>
              <w:jc w:val="left"/>
              <w:rPr>
                <w:color w:val="000000"/>
                <w:sz w:val="12"/>
                <w:szCs w:val="12"/>
              </w:rPr>
            </w:pPr>
            <w:r w:rsidRPr="006D631C">
              <w:rPr>
                <w:color w:val="000000"/>
                <w:sz w:val="12"/>
                <w:szCs w:val="12"/>
              </w:rPr>
              <w:t>C-2</w:t>
            </w:r>
          </w:p>
        </w:tc>
        <w:tc>
          <w:tcPr>
            <w:tcW w:w="709" w:type="dxa"/>
            <w:tcBorders>
              <w:top w:val="single" w:sz="4" w:space="0" w:color="auto"/>
              <w:left w:val="nil"/>
              <w:bottom w:val="single" w:sz="4" w:space="0" w:color="auto"/>
              <w:right w:val="nil"/>
            </w:tcBorders>
            <w:shd w:val="clear" w:color="000000" w:fill="FFFFFF"/>
            <w:vAlign w:val="center"/>
          </w:tcPr>
          <w:p w14:paraId="4D2C450B" w14:textId="622C46F0" w:rsidR="001219ED" w:rsidRPr="006D631C" w:rsidRDefault="001219ED" w:rsidP="001219ED">
            <w:pPr>
              <w:spacing w:line="240" w:lineRule="auto"/>
              <w:jc w:val="left"/>
              <w:rPr>
                <w:color w:val="000000"/>
                <w:sz w:val="12"/>
                <w:szCs w:val="12"/>
              </w:rPr>
            </w:pPr>
            <w:r w:rsidRPr="006D631C">
              <w:rPr>
                <w:color w:val="000000"/>
                <w:sz w:val="12"/>
                <w:szCs w:val="12"/>
              </w:rPr>
              <w:t>I-18</w:t>
            </w:r>
          </w:p>
        </w:tc>
        <w:tc>
          <w:tcPr>
            <w:tcW w:w="1134" w:type="dxa"/>
            <w:tcBorders>
              <w:top w:val="nil"/>
              <w:left w:val="nil"/>
              <w:bottom w:val="single" w:sz="4" w:space="0" w:color="auto"/>
              <w:right w:val="nil"/>
            </w:tcBorders>
            <w:shd w:val="clear" w:color="000000" w:fill="FFFFFF"/>
            <w:vAlign w:val="center"/>
          </w:tcPr>
          <w:p w14:paraId="36618E5D" w14:textId="05A838B6" w:rsidR="001219ED" w:rsidRPr="006D631C" w:rsidRDefault="001219ED" w:rsidP="001219ED">
            <w:pPr>
              <w:spacing w:line="240" w:lineRule="auto"/>
              <w:jc w:val="left"/>
              <w:rPr>
                <w:color w:val="000000"/>
                <w:sz w:val="12"/>
                <w:szCs w:val="12"/>
              </w:rPr>
            </w:pPr>
            <w:r w:rsidRPr="006D631C">
              <w:rPr>
                <w:color w:val="000000"/>
                <w:sz w:val="12"/>
                <w:szCs w:val="12"/>
              </w:rPr>
              <w:t>24 / 24 for A-14</w:t>
            </w:r>
            <w:r w:rsidRPr="006D631C">
              <w:rPr>
                <w:color w:val="000000"/>
                <w:sz w:val="12"/>
                <w:szCs w:val="12"/>
              </w:rPr>
              <w:br/>
              <w:t>28 / 14 for A-20</w:t>
            </w:r>
          </w:p>
        </w:tc>
        <w:tc>
          <w:tcPr>
            <w:tcW w:w="992" w:type="dxa"/>
            <w:tcBorders>
              <w:top w:val="nil"/>
              <w:left w:val="nil"/>
              <w:bottom w:val="single" w:sz="4" w:space="0" w:color="auto"/>
              <w:right w:val="nil"/>
            </w:tcBorders>
            <w:shd w:val="clear" w:color="000000" w:fill="FFFFFF"/>
            <w:noWrap/>
            <w:vAlign w:val="center"/>
          </w:tcPr>
          <w:p w14:paraId="579F57AE" w14:textId="1314206D" w:rsidR="001219ED" w:rsidRPr="006D631C" w:rsidRDefault="001219ED" w:rsidP="001219ED">
            <w:pPr>
              <w:spacing w:line="240" w:lineRule="auto"/>
              <w:jc w:val="left"/>
              <w:rPr>
                <w:color w:val="000000"/>
                <w:sz w:val="12"/>
                <w:szCs w:val="12"/>
              </w:rPr>
            </w:pPr>
            <w:r w:rsidRPr="006D631C">
              <w:rPr>
                <w:color w:val="000000"/>
                <w:sz w:val="12"/>
                <w:szCs w:val="12"/>
              </w:rPr>
              <w:t>-</w:t>
            </w:r>
          </w:p>
        </w:tc>
        <w:tc>
          <w:tcPr>
            <w:tcW w:w="993" w:type="dxa"/>
            <w:tcBorders>
              <w:top w:val="nil"/>
              <w:left w:val="nil"/>
              <w:bottom w:val="single" w:sz="4" w:space="0" w:color="auto"/>
              <w:right w:val="nil"/>
            </w:tcBorders>
            <w:shd w:val="clear" w:color="000000" w:fill="FFFFFF"/>
            <w:noWrap/>
            <w:vAlign w:val="center"/>
          </w:tcPr>
          <w:p w14:paraId="16F39C82" w14:textId="062CA388" w:rsidR="001219ED" w:rsidRPr="006D631C" w:rsidRDefault="001219ED" w:rsidP="001219ED">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1AC7E917" w14:textId="798A5924" w:rsidR="001219ED" w:rsidRPr="006D631C" w:rsidRDefault="001219ED" w:rsidP="001219ED">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1BD18637" w14:textId="77777777" w:rsidR="001219ED" w:rsidRPr="006D631C" w:rsidRDefault="00275913" w:rsidP="00275913">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Continuous gel structures of high mechanical strength was obtained </w:t>
            </w:r>
          </w:p>
          <w:p w14:paraId="0245E43C" w14:textId="1B3B1A95" w:rsidR="00275913" w:rsidRPr="006D631C" w:rsidRDefault="00275913" w:rsidP="00275913">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prepared gel showed a reduction of the moduli by only 10 - 40%, a weak frequency dependence and low mechanical loss</w:t>
            </w:r>
          </w:p>
        </w:tc>
        <w:tc>
          <w:tcPr>
            <w:tcW w:w="566" w:type="dxa"/>
            <w:tcBorders>
              <w:top w:val="nil"/>
              <w:left w:val="nil"/>
              <w:bottom w:val="single" w:sz="4" w:space="0" w:color="auto"/>
              <w:right w:val="nil"/>
            </w:tcBorders>
            <w:shd w:val="clear" w:color="000000" w:fill="FFFFFF"/>
            <w:vAlign w:val="center"/>
          </w:tcPr>
          <w:p w14:paraId="4E519335" w14:textId="61638B24" w:rsidR="001219ED" w:rsidRPr="006D631C" w:rsidRDefault="00AF78AA"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{"citationItems":[{"id":"ITEM-1","itemData":{"DOI":"10.1021/ma9812478","ISSN":"00249297","abstract":"Polymerization of hydrophilic monomers, such as acrylamide, in the confinement of lyotropic liquid crystalline phases of nonionic surfactants produces gels with variable pore architecture in the hundreds of nanometers to micrometers size range. The porous gels are characterized by scanning electron microscopy after critical-point drying. The structure of the gels depends on the type of monomer, cross-linking density, and both monomer and surfactant concentration and can be varied systematically to result in different pore morphologies with different pore sizes. In such a way it is possible to build the polymer network structure on a mesoscopic length scale, optimizing different network properties which are otherwise coupled in an opposite fashion; e.g., polymer networks with very large pore size and high mechanical stability can be made.","author":[{"dropping-particle":"","family":"Antonietti","given":"Markus","non-dropping-particle":"","parse-names":false,"suffix":""},{"dropping-particle":"","family":"Caruso","given":"Rachel A.","non-dropping-particle":"","parse-names":false,"suffix":""},{"dropping-particle":"","family":"Göltner","given":"Christine G.","non-dropping-particle":"","parse-names":false,"suffix":""},{"dropping-particle":"","family":"Weissenberger","given":"Markus C.","non-dropping-particle":"","parse-names":false,"suffix":""}],"container-title":"Macromolecules","id":"ITEM-1","issue":"5","issued":{"date-parts":[["1999"]]},"page":"1383-1389","title":"Morphology Variation of Porous Polymer Gels by Polymerization in Lyotropic Surfactant Phases","type":"article-journal","volume":"32"},"uris":["http://www.mendeley.com/documents/?uuid=b3a9dd2f-70ce-4746-b371-56e7e4cc2c21"]}],"mendeley":{"formattedCitation":"&lt;sup&gt;136&lt;/sup&gt;","plainTextFormattedCitation":"136","previouslyFormattedCitation":"&lt;sup&gt;136&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136</w:t>
            </w:r>
            <w:r w:rsidRPr="006D631C">
              <w:rPr>
                <w:color w:val="000000"/>
                <w:sz w:val="12"/>
                <w:szCs w:val="12"/>
              </w:rPr>
              <w:fldChar w:fldCharType="end"/>
            </w:r>
          </w:p>
        </w:tc>
      </w:tr>
    </w:tbl>
    <w:p w14:paraId="60177C1F" w14:textId="77777777" w:rsidR="005216A0" w:rsidRPr="006D631C" w:rsidRDefault="005216A0" w:rsidP="005216A0">
      <w:pPr>
        <w:pStyle w:val="Caption"/>
        <w:spacing w:after="0"/>
        <w:jc w:val="center"/>
        <w:rPr>
          <w:rFonts w:asciiTheme="majorBidi" w:hAnsiTheme="majorBidi" w:cstheme="majorBidi"/>
          <w:sz w:val="22"/>
          <w:szCs w:val="22"/>
        </w:rPr>
      </w:pPr>
      <w:r w:rsidRPr="006D631C">
        <w:rPr>
          <w:sz w:val="22"/>
          <w:szCs w:val="22"/>
        </w:rPr>
        <w:lastRenderedPageBreak/>
        <w:t xml:space="preserve">Table 1-3. </w:t>
      </w:r>
      <w:r w:rsidRPr="006D631C">
        <w:rPr>
          <w:i/>
          <w:sz w:val="22"/>
          <w:szCs w:val="22"/>
        </w:rPr>
        <w:t>(Contd.)</w:t>
      </w:r>
    </w:p>
    <w:tbl>
      <w:tblPr>
        <w:tblpPr w:leftFromText="180" w:rightFromText="180" w:vertAnchor="text" w:tblpXSpec="center" w:tblpY="1"/>
        <w:tblOverlap w:val="never"/>
        <w:tblW w:w="12899" w:type="dxa"/>
        <w:tblLayout w:type="fixed"/>
        <w:tblLook w:val="04A0" w:firstRow="1" w:lastRow="0" w:firstColumn="1" w:lastColumn="0" w:noHBand="0" w:noVBand="1"/>
      </w:tblPr>
      <w:tblGrid>
        <w:gridCol w:w="851"/>
        <w:gridCol w:w="850"/>
        <w:gridCol w:w="567"/>
        <w:gridCol w:w="709"/>
        <w:gridCol w:w="1134"/>
        <w:gridCol w:w="992"/>
        <w:gridCol w:w="993"/>
        <w:gridCol w:w="1134"/>
        <w:gridCol w:w="5103"/>
        <w:gridCol w:w="566"/>
      </w:tblGrid>
      <w:tr w:rsidR="005216A0" w:rsidRPr="006D631C" w14:paraId="01E44119" w14:textId="77777777" w:rsidTr="0035691D">
        <w:trPr>
          <w:trHeight w:val="20"/>
        </w:trPr>
        <w:tc>
          <w:tcPr>
            <w:tcW w:w="851" w:type="dxa"/>
            <w:tcBorders>
              <w:top w:val="single" w:sz="8" w:space="0" w:color="auto"/>
              <w:left w:val="nil"/>
              <w:bottom w:val="single" w:sz="8" w:space="0" w:color="auto"/>
              <w:right w:val="nil"/>
            </w:tcBorders>
            <w:shd w:val="clear" w:color="000000" w:fill="FFFFFF"/>
            <w:vAlign w:val="center"/>
          </w:tcPr>
          <w:p w14:paraId="0001A46E" w14:textId="77777777" w:rsidR="005216A0" w:rsidRPr="006D631C" w:rsidRDefault="005216A0" w:rsidP="0035691D">
            <w:pPr>
              <w:spacing w:line="240" w:lineRule="auto"/>
              <w:jc w:val="left"/>
              <w:rPr>
                <w:b/>
                <w:bCs/>
                <w:color w:val="000000"/>
                <w:sz w:val="12"/>
                <w:szCs w:val="12"/>
              </w:rPr>
            </w:pPr>
            <w:r w:rsidRPr="006D631C">
              <w:rPr>
                <w:b/>
                <w:bCs/>
                <w:color w:val="000000"/>
                <w:sz w:val="12"/>
                <w:szCs w:val="12"/>
              </w:rPr>
              <w:t>Monomer</w:t>
            </w:r>
          </w:p>
        </w:tc>
        <w:tc>
          <w:tcPr>
            <w:tcW w:w="850" w:type="dxa"/>
            <w:tcBorders>
              <w:top w:val="single" w:sz="8" w:space="0" w:color="auto"/>
              <w:left w:val="nil"/>
              <w:bottom w:val="single" w:sz="8" w:space="0" w:color="auto"/>
              <w:right w:val="nil"/>
            </w:tcBorders>
            <w:shd w:val="clear" w:color="000000" w:fill="FFFFFF"/>
            <w:noWrap/>
            <w:vAlign w:val="center"/>
            <w:hideMark/>
          </w:tcPr>
          <w:p w14:paraId="5A0DCA67" w14:textId="77777777" w:rsidR="005216A0" w:rsidRPr="006D631C" w:rsidRDefault="005216A0" w:rsidP="0035691D">
            <w:pPr>
              <w:spacing w:line="240" w:lineRule="auto"/>
              <w:jc w:val="left"/>
              <w:rPr>
                <w:b/>
                <w:bCs/>
                <w:color w:val="000000"/>
                <w:sz w:val="12"/>
                <w:szCs w:val="12"/>
              </w:rPr>
            </w:pPr>
            <w:proofErr w:type="spellStart"/>
            <w:r w:rsidRPr="006D631C">
              <w:rPr>
                <w:b/>
                <w:bCs/>
                <w:color w:val="000000"/>
                <w:sz w:val="12"/>
                <w:szCs w:val="12"/>
              </w:rPr>
              <w:t>Amphiphile</w:t>
            </w:r>
            <w:proofErr w:type="spellEnd"/>
          </w:p>
        </w:tc>
        <w:tc>
          <w:tcPr>
            <w:tcW w:w="567" w:type="dxa"/>
            <w:tcBorders>
              <w:top w:val="single" w:sz="8" w:space="0" w:color="auto"/>
              <w:left w:val="nil"/>
              <w:bottom w:val="single" w:sz="8" w:space="0" w:color="auto"/>
              <w:right w:val="nil"/>
            </w:tcBorders>
            <w:shd w:val="clear" w:color="000000" w:fill="FFFFFF"/>
            <w:vAlign w:val="center"/>
            <w:hideMark/>
          </w:tcPr>
          <w:p w14:paraId="5E1AC555" w14:textId="77777777" w:rsidR="005216A0" w:rsidRPr="006D631C" w:rsidRDefault="005216A0" w:rsidP="0035691D">
            <w:pPr>
              <w:spacing w:line="240" w:lineRule="auto"/>
              <w:jc w:val="left"/>
              <w:rPr>
                <w:b/>
                <w:bCs/>
                <w:color w:val="000000"/>
                <w:sz w:val="12"/>
                <w:szCs w:val="12"/>
              </w:rPr>
            </w:pPr>
            <w:r w:rsidRPr="006D631C">
              <w:rPr>
                <w:b/>
                <w:bCs/>
                <w:color w:val="000000"/>
                <w:sz w:val="12"/>
                <w:szCs w:val="12"/>
              </w:rPr>
              <w:t>Cross-linker</w:t>
            </w:r>
          </w:p>
        </w:tc>
        <w:tc>
          <w:tcPr>
            <w:tcW w:w="709" w:type="dxa"/>
            <w:tcBorders>
              <w:top w:val="single" w:sz="8" w:space="0" w:color="auto"/>
              <w:left w:val="nil"/>
              <w:bottom w:val="single" w:sz="8" w:space="0" w:color="auto"/>
              <w:right w:val="nil"/>
            </w:tcBorders>
            <w:shd w:val="clear" w:color="000000" w:fill="FFFFFF"/>
            <w:vAlign w:val="center"/>
            <w:hideMark/>
          </w:tcPr>
          <w:p w14:paraId="44113581" w14:textId="77777777" w:rsidR="005216A0" w:rsidRPr="006D631C" w:rsidRDefault="005216A0" w:rsidP="0035691D">
            <w:pPr>
              <w:spacing w:line="240" w:lineRule="auto"/>
              <w:jc w:val="left"/>
              <w:rPr>
                <w:b/>
                <w:bCs/>
                <w:color w:val="000000"/>
                <w:sz w:val="12"/>
                <w:szCs w:val="12"/>
              </w:rPr>
            </w:pPr>
            <w:r w:rsidRPr="006D631C">
              <w:rPr>
                <w:b/>
                <w:bCs/>
                <w:color w:val="000000"/>
                <w:sz w:val="12"/>
                <w:szCs w:val="12"/>
              </w:rPr>
              <w:t>Initiation system</w:t>
            </w:r>
          </w:p>
        </w:tc>
        <w:tc>
          <w:tcPr>
            <w:tcW w:w="1134" w:type="dxa"/>
            <w:tcBorders>
              <w:top w:val="single" w:sz="8" w:space="0" w:color="auto"/>
              <w:left w:val="nil"/>
              <w:bottom w:val="single" w:sz="8" w:space="0" w:color="auto"/>
              <w:right w:val="nil"/>
            </w:tcBorders>
            <w:shd w:val="clear" w:color="000000" w:fill="FFFFFF"/>
            <w:vAlign w:val="center"/>
            <w:hideMark/>
          </w:tcPr>
          <w:p w14:paraId="633E77B8" w14:textId="77777777" w:rsidR="005216A0" w:rsidRPr="006D631C" w:rsidRDefault="005216A0" w:rsidP="0035691D">
            <w:pPr>
              <w:spacing w:line="240" w:lineRule="auto"/>
              <w:jc w:val="left"/>
              <w:rPr>
                <w:b/>
                <w:bCs/>
                <w:color w:val="000000"/>
                <w:sz w:val="12"/>
                <w:szCs w:val="12"/>
              </w:rPr>
            </w:pPr>
            <w:proofErr w:type="spellStart"/>
            <w:r w:rsidRPr="006D631C">
              <w:rPr>
                <w:b/>
                <w:bCs/>
                <w:color w:val="000000"/>
                <w:sz w:val="12"/>
                <w:szCs w:val="12"/>
              </w:rPr>
              <w:t>Amphiphile</w:t>
            </w:r>
            <w:proofErr w:type="spellEnd"/>
            <w:r w:rsidRPr="006D631C">
              <w:rPr>
                <w:b/>
                <w:bCs/>
                <w:color w:val="000000"/>
                <w:sz w:val="12"/>
                <w:szCs w:val="12"/>
              </w:rPr>
              <w:t xml:space="preserve"> / monomer [w/w] and structure before reaction</w:t>
            </w:r>
          </w:p>
        </w:tc>
        <w:tc>
          <w:tcPr>
            <w:tcW w:w="992" w:type="dxa"/>
            <w:tcBorders>
              <w:top w:val="single" w:sz="8" w:space="0" w:color="auto"/>
              <w:left w:val="nil"/>
              <w:bottom w:val="single" w:sz="8" w:space="0" w:color="auto"/>
              <w:right w:val="nil"/>
            </w:tcBorders>
            <w:shd w:val="clear" w:color="000000" w:fill="FFFFFF"/>
            <w:vAlign w:val="center"/>
            <w:hideMark/>
          </w:tcPr>
          <w:p w14:paraId="6E83B039" w14:textId="77777777" w:rsidR="005216A0" w:rsidRPr="006D631C" w:rsidRDefault="005216A0" w:rsidP="0035691D">
            <w:pPr>
              <w:spacing w:line="240" w:lineRule="auto"/>
              <w:jc w:val="left"/>
              <w:rPr>
                <w:b/>
                <w:bCs/>
                <w:color w:val="000000"/>
                <w:sz w:val="12"/>
                <w:szCs w:val="12"/>
              </w:rPr>
            </w:pPr>
            <w:r w:rsidRPr="006D631C">
              <w:rPr>
                <w:b/>
                <w:bCs/>
                <w:color w:val="000000"/>
                <w:sz w:val="12"/>
                <w:szCs w:val="12"/>
              </w:rPr>
              <w:t>Structure after polymerization</w:t>
            </w:r>
          </w:p>
        </w:tc>
        <w:tc>
          <w:tcPr>
            <w:tcW w:w="993" w:type="dxa"/>
            <w:tcBorders>
              <w:top w:val="single" w:sz="8" w:space="0" w:color="auto"/>
              <w:left w:val="nil"/>
              <w:bottom w:val="single" w:sz="8" w:space="0" w:color="auto"/>
              <w:right w:val="nil"/>
            </w:tcBorders>
            <w:shd w:val="clear" w:color="000000" w:fill="FFFFFF"/>
            <w:vAlign w:val="center"/>
            <w:hideMark/>
          </w:tcPr>
          <w:p w14:paraId="4D0C6781" w14:textId="77777777" w:rsidR="005216A0" w:rsidRPr="006D631C" w:rsidRDefault="005216A0" w:rsidP="0035691D">
            <w:pPr>
              <w:spacing w:line="240" w:lineRule="auto"/>
              <w:jc w:val="left"/>
              <w:rPr>
                <w:b/>
                <w:bCs/>
                <w:color w:val="000000"/>
                <w:sz w:val="12"/>
                <w:szCs w:val="12"/>
              </w:rPr>
            </w:pPr>
            <w:r w:rsidRPr="006D631C">
              <w:rPr>
                <w:b/>
                <w:bCs/>
                <w:color w:val="000000"/>
                <w:sz w:val="12"/>
                <w:szCs w:val="12"/>
              </w:rPr>
              <w:t>Lattice parameter before reaction</w:t>
            </w:r>
            <w:r w:rsidRPr="006D631C">
              <w:rPr>
                <w:b/>
                <w:bCs/>
                <w:color w:val="000000"/>
                <w:sz w:val="12"/>
                <w:szCs w:val="12"/>
              </w:rPr>
              <w:br/>
              <w:t>[nm]</w:t>
            </w:r>
          </w:p>
        </w:tc>
        <w:tc>
          <w:tcPr>
            <w:tcW w:w="1134" w:type="dxa"/>
            <w:tcBorders>
              <w:top w:val="single" w:sz="8" w:space="0" w:color="auto"/>
              <w:left w:val="nil"/>
              <w:bottom w:val="single" w:sz="8" w:space="0" w:color="auto"/>
              <w:right w:val="nil"/>
            </w:tcBorders>
            <w:shd w:val="clear" w:color="000000" w:fill="FFFFFF"/>
            <w:vAlign w:val="center"/>
            <w:hideMark/>
          </w:tcPr>
          <w:p w14:paraId="6FEB8FCF" w14:textId="77777777" w:rsidR="005216A0" w:rsidRPr="006D631C" w:rsidRDefault="005216A0" w:rsidP="0035691D">
            <w:pPr>
              <w:spacing w:line="240" w:lineRule="auto"/>
              <w:jc w:val="left"/>
              <w:rPr>
                <w:b/>
                <w:bCs/>
                <w:color w:val="000000"/>
                <w:sz w:val="12"/>
                <w:szCs w:val="12"/>
              </w:rPr>
            </w:pPr>
            <w:r w:rsidRPr="006D631C">
              <w:rPr>
                <w:b/>
                <w:bCs/>
                <w:color w:val="000000"/>
                <w:sz w:val="12"/>
                <w:szCs w:val="12"/>
              </w:rPr>
              <w:t>Lattice parameter after reaction</w:t>
            </w:r>
            <w:r w:rsidRPr="006D631C">
              <w:rPr>
                <w:b/>
                <w:bCs/>
                <w:color w:val="000000"/>
                <w:sz w:val="12"/>
                <w:szCs w:val="12"/>
              </w:rPr>
              <w:br/>
              <w:t>[nm]</w:t>
            </w:r>
          </w:p>
        </w:tc>
        <w:tc>
          <w:tcPr>
            <w:tcW w:w="5103" w:type="dxa"/>
            <w:tcBorders>
              <w:top w:val="single" w:sz="8" w:space="0" w:color="auto"/>
              <w:left w:val="nil"/>
              <w:bottom w:val="single" w:sz="8" w:space="0" w:color="auto"/>
              <w:right w:val="nil"/>
            </w:tcBorders>
            <w:shd w:val="clear" w:color="000000" w:fill="FFFFFF"/>
            <w:vAlign w:val="center"/>
          </w:tcPr>
          <w:p w14:paraId="3AF8F122" w14:textId="77777777" w:rsidR="005216A0" w:rsidRPr="006D631C" w:rsidRDefault="005216A0" w:rsidP="0035691D">
            <w:pPr>
              <w:spacing w:line="240" w:lineRule="auto"/>
              <w:jc w:val="left"/>
              <w:rPr>
                <w:b/>
                <w:bCs/>
                <w:color w:val="000000"/>
                <w:sz w:val="12"/>
                <w:szCs w:val="12"/>
              </w:rPr>
            </w:pPr>
            <w:r w:rsidRPr="006D631C">
              <w:rPr>
                <w:b/>
                <w:bCs/>
                <w:color w:val="000000"/>
                <w:sz w:val="12"/>
                <w:szCs w:val="12"/>
              </w:rPr>
              <w:t>Remarks</w:t>
            </w:r>
          </w:p>
        </w:tc>
        <w:tc>
          <w:tcPr>
            <w:tcW w:w="566" w:type="dxa"/>
            <w:tcBorders>
              <w:top w:val="single" w:sz="8" w:space="0" w:color="auto"/>
              <w:left w:val="nil"/>
              <w:bottom w:val="single" w:sz="8" w:space="0" w:color="auto"/>
              <w:right w:val="nil"/>
            </w:tcBorders>
            <w:shd w:val="clear" w:color="000000" w:fill="FFFFFF"/>
            <w:noWrap/>
            <w:vAlign w:val="center"/>
            <w:hideMark/>
          </w:tcPr>
          <w:p w14:paraId="7B4785C8" w14:textId="77777777" w:rsidR="005216A0" w:rsidRPr="006D631C" w:rsidRDefault="005216A0" w:rsidP="0035691D">
            <w:pPr>
              <w:spacing w:line="240" w:lineRule="auto"/>
              <w:jc w:val="left"/>
              <w:rPr>
                <w:b/>
                <w:bCs/>
                <w:color w:val="000000"/>
                <w:sz w:val="12"/>
                <w:szCs w:val="12"/>
              </w:rPr>
            </w:pPr>
            <w:r w:rsidRPr="006D631C">
              <w:rPr>
                <w:b/>
                <w:bCs/>
                <w:color w:val="000000"/>
                <w:sz w:val="12"/>
                <w:szCs w:val="12"/>
              </w:rPr>
              <w:t>Ref.</w:t>
            </w:r>
          </w:p>
        </w:tc>
      </w:tr>
      <w:tr w:rsidR="0083285D" w:rsidRPr="006D631C" w14:paraId="58B5C9B1" w14:textId="77777777" w:rsidTr="0035691D">
        <w:trPr>
          <w:trHeight w:val="20"/>
        </w:trPr>
        <w:tc>
          <w:tcPr>
            <w:tcW w:w="851" w:type="dxa"/>
            <w:tcBorders>
              <w:left w:val="nil"/>
              <w:bottom w:val="single" w:sz="4" w:space="0" w:color="auto"/>
              <w:right w:val="nil"/>
            </w:tcBorders>
            <w:shd w:val="clear" w:color="000000" w:fill="FFFFFF"/>
            <w:vAlign w:val="center"/>
          </w:tcPr>
          <w:p w14:paraId="07B5F7AB" w14:textId="07A70FCA" w:rsidR="0083285D" w:rsidRPr="006D631C" w:rsidRDefault="0083285D" w:rsidP="0035691D">
            <w:pPr>
              <w:spacing w:line="240" w:lineRule="auto"/>
              <w:jc w:val="left"/>
              <w:rPr>
                <w:color w:val="000000"/>
                <w:sz w:val="12"/>
                <w:szCs w:val="12"/>
              </w:rPr>
            </w:pPr>
            <w:r w:rsidRPr="006D631C">
              <w:rPr>
                <w:color w:val="000000"/>
                <w:sz w:val="12"/>
                <w:szCs w:val="12"/>
              </w:rPr>
              <w:t>M-12</w:t>
            </w:r>
          </w:p>
        </w:tc>
        <w:tc>
          <w:tcPr>
            <w:tcW w:w="12048" w:type="dxa"/>
            <w:gridSpan w:val="9"/>
            <w:tcBorders>
              <w:top w:val="nil"/>
              <w:left w:val="nil"/>
              <w:bottom w:val="single" w:sz="4" w:space="0" w:color="auto"/>
              <w:right w:val="nil"/>
            </w:tcBorders>
            <w:shd w:val="clear" w:color="000000" w:fill="FFFFFF"/>
            <w:noWrap/>
            <w:vAlign w:val="center"/>
          </w:tcPr>
          <w:p w14:paraId="4AF29E75" w14:textId="06090B43" w:rsidR="0083285D" w:rsidRPr="006D631C" w:rsidRDefault="0083285D" w:rsidP="0035691D">
            <w:pPr>
              <w:spacing w:line="240" w:lineRule="auto"/>
              <w:jc w:val="left"/>
              <w:rPr>
                <w:color w:val="000000"/>
                <w:sz w:val="12"/>
                <w:szCs w:val="12"/>
              </w:rPr>
            </w:pPr>
            <w:r w:rsidRPr="006D631C">
              <w:rPr>
                <w:color w:val="000000"/>
                <w:sz w:val="12"/>
                <w:szCs w:val="12"/>
              </w:rPr>
              <w:t>This monomer was discussed in M-9 section </w:t>
            </w:r>
          </w:p>
        </w:tc>
      </w:tr>
      <w:tr w:rsidR="00045DAF" w:rsidRPr="006D631C" w14:paraId="7BDD53C0" w14:textId="77777777" w:rsidTr="0035691D">
        <w:trPr>
          <w:trHeight w:val="20"/>
        </w:trPr>
        <w:tc>
          <w:tcPr>
            <w:tcW w:w="851" w:type="dxa"/>
            <w:vMerge w:val="restart"/>
            <w:tcBorders>
              <w:top w:val="nil"/>
              <w:left w:val="nil"/>
              <w:bottom w:val="single" w:sz="4" w:space="0" w:color="000000"/>
              <w:right w:val="nil"/>
            </w:tcBorders>
            <w:shd w:val="clear" w:color="000000" w:fill="FFFFFF"/>
            <w:vAlign w:val="center"/>
          </w:tcPr>
          <w:p w14:paraId="51076750" w14:textId="51BD1458" w:rsidR="00045DAF" w:rsidRPr="006D631C" w:rsidRDefault="00045DAF" w:rsidP="00045DAF">
            <w:pPr>
              <w:spacing w:line="240" w:lineRule="auto"/>
              <w:jc w:val="left"/>
              <w:rPr>
                <w:color w:val="000000"/>
                <w:sz w:val="12"/>
                <w:szCs w:val="12"/>
              </w:rPr>
            </w:pPr>
            <w:r w:rsidRPr="006D631C">
              <w:rPr>
                <w:color w:val="000000"/>
                <w:sz w:val="12"/>
                <w:szCs w:val="12"/>
              </w:rPr>
              <w:t>M-13</w:t>
            </w:r>
          </w:p>
        </w:tc>
        <w:tc>
          <w:tcPr>
            <w:tcW w:w="850" w:type="dxa"/>
            <w:tcBorders>
              <w:top w:val="nil"/>
              <w:left w:val="nil"/>
              <w:bottom w:val="single" w:sz="4" w:space="0" w:color="auto"/>
              <w:right w:val="nil"/>
            </w:tcBorders>
            <w:shd w:val="clear" w:color="000000" w:fill="FFFFFF"/>
            <w:noWrap/>
            <w:vAlign w:val="center"/>
          </w:tcPr>
          <w:p w14:paraId="24134400" w14:textId="5DC25A65" w:rsidR="00045DAF" w:rsidRPr="006D631C" w:rsidRDefault="00045DAF" w:rsidP="00045DAF">
            <w:pPr>
              <w:spacing w:line="240" w:lineRule="auto"/>
              <w:jc w:val="left"/>
              <w:rPr>
                <w:color w:val="000000"/>
                <w:sz w:val="12"/>
                <w:szCs w:val="12"/>
              </w:rPr>
            </w:pPr>
            <w:r w:rsidRPr="006D631C">
              <w:rPr>
                <w:color w:val="000000"/>
                <w:sz w:val="12"/>
                <w:szCs w:val="12"/>
              </w:rPr>
              <w:t>A-14 or     A-20</w:t>
            </w:r>
          </w:p>
        </w:tc>
        <w:tc>
          <w:tcPr>
            <w:tcW w:w="567" w:type="dxa"/>
            <w:tcBorders>
              <w:top w:val="nil"/>
              <w:left w:val="nil"/>
              <w:bottom w:val="single" w:sz="4" w:space="0" w:color="auto"/>
              <w:right w:val="nil"/>
            </w:tcBorders>
            <w:shd w:val="clear" w:color="000000" w:fill="FFFFFF"/>
            <w:vAlign w:val="center"/>
          </w:tcPr>
          <w:p w14:paraId="122488F9" w14:textId="0412BA26" w:rsidR="00045DAF" w:rsidRPr="006D631C" w:rsidRDefault="00045DAF" w:rsidP="00045DAF">
            <w:pPr>
              <w:spacing w:line="240" w:lineRule="auto"/>
              <w:jc w:val="left"/>
              <w:rPr>
                <w:color w:val="000000"/>
                <w:sz w:val="12"/>
                <w:szCs w:val="12"/>
              </w:rPr>
            </w:pPr>
            <w:r w:rsidRPr="006D631C">
              <w:rPr>
                <w:color w:val="000000"/>
                <w:sz w:val="12"/>
                <w:szCs w:val="12"/>
              </w:rPr>
              <w:t>C-8</w:t>
            </w:r>
          </w:p>
        </w:tc>
        <w:tc>
          <w:tcPr>
            <w:tcW w:w="709" w:type="dxa"/>
            <w:tcBorders>
              <w:top w:val="nil"/>
              <w:left w:val="nil"/>
              <w:bottom w:val="single" w:sz="4" w:space="0" w:color="auto"/>
              <w:right w:val="nil"/>
            </w:tcBorders>
            <w:shd w:val="clear" w:color="000000" w:fill="FFFFFF"/>
            <w:vAlign w:val="center"/>
          </w:tcPr>
          <w:p w14:paraId="1EA76B30" w14:textId="5D7BF508" w:rsidR="00045DAF" w:rsidRPr="006D631C" w:rsidRDefault="00045DAF" w:rsidP="00045DAF">
            <w:pPr>
              <w:spacing w:line="240" w:lineRule="auto"/>
              <w:jc w:val="left"/>
              <w:rPr>
                <w:color w:val="000000"/>
                <w:sz w:val="12"/>
                <w:szCs w:val="12"/>
              </w:rPr>
            </w:pPr>
            <w:r w:rsidRPr="006D631C">
              <w:rPr>
                <w:color w:val="000000"/>
                <w:sz w:val="12"/>
                <w:szCs w:val="12"/>
              </w:rPr>
              <w:t>I-18</w:t>
            </w:r>
          </w:p>
        </w:tc>
        <w:tc>
          <w:tcPr>
            <w:tcW w:w="1134" w:type="dxa"/>
            <w:tcBorders>
              <w:top w:val="nil"/>
              <w:left w:val="nil"/>
              <w:bottom w:val="nil"/>
              <w:right w:val="nil"/>
            </w:tcBorders>
            <w:shd w:val="clear" w:color="000000" w:fill="FFFFFF"/>
            <w:vAlign w:val="center"/>
          </w:tcPr>
          <w:p w14:paraId="17C7C2CB" w14:textId="0258F174" w:rsidR="00045DAF" w:rsidRPr="006D631C" w:rsidRDefault="00045DAF" w:rsidP="00045DAF">
            <w:pPr>
              <w:spacing w:line="240" w:lineRule="auto"/>
              <w:jc w:val="left"/>
              <w:rPr>
                <w:color w:val="000000"/>
                <w:sz w:val="12"/>
                <w:szCs w:val="12"/>
              </w:rPr>
            </w:pPr>
            <w:r w:rsidRPr="006D631C">
              <w:rPr>
                <w:color w:val="000000"/>
                <w:sz w:val="12"/>
                <w:szCs w:val="12"/>
              </w:rPr>
              <w:t>24 / 24 for A-14</w:t>
            </w:r>
            <w:r w:rsidRPr="006D631C">
              <w:rPr>
                <w:color w:val="000000"/>
                <w:sz w:val="12"/>
                <w:szCs w:val="12"/>
              </w:rPr>
              <w:br/>
              <w:t>28 / 14 for A-20</w:t>
            </w:r>
          </w:p>
        </w:tc>
        <w:tc>
          <w:tcPr>
            <w:tcW w:w="992" w:type="dxa"/>
            <w:tcBorders>
              <w:top w:val="single" w:sz="4" w:space="0" w:color="auto"/>
              <w:left w:val="nil"/>
              <w:bottom w:val="single" w:sz="4" w:space="0" w:color="auto"/>
              <w:right w:val="nil"/>
            </w:tcBorders>
            <w:shd w:val="clear" w:color="000000" w:fill="FFFFFF"/>
            <w:noWrap/>
            <w:vAlign w:val="center"/>
          </w:tcPr>
          <w:p w14:paraId="65889B9E" w14:textId="1873EECB" w:rsidR="00045DAF" w:rsidRPr="006D631C" w:rsidRDefault="00045DAF" w:rsidP="00045DAF">
            <w:pPr>
              <w:spacing w:line="240" w:lineRule="auto"/>
              <w:jc w:val="left"/>
              <w:rPr>
                <w:color w:val="000000"/>
                <w:sz w:val="12"/>
                <w:szCs w:val="12"/>
              </w:rPr>
            </w:pPr>
            <w:r w:rsidRPr="006D631C">
              <w:rPr>
                <w:color w:val="000000"/>
                <w:sz w:val="12"/>
                <w:szCs w:val="12"/>
              </w:rPr>
              <w:t>-</w:t>
            </w:r>
          </w:p>
        </w:tc>
        <w:tc>
          <w:tcPr>
            <w:tcW w:w="993" w:type="dxa"/>
            <w:tcBorders>
              <w:top w:val="single" w:sz="4" w:space="0" w:color="auto"/>
              <w:left w:val="nil"/>
              <w:bottom w:val="single" w:sz="4" w:space="0" w:color="auto"/>
              <w:right w:val="nil"/>
            </w:tcBorders>
            <w:shd w:val="clear" w:color="000000" w:fill="FFFFFF"/>
            <w:noWrap/>
            <w:vAlign w:val="center"/>
          </w:tcPr>
          <w:p w14:paraId="44C6ED3E" w14:textId="329C8DE1" w:rsidR="00045DAF" w:rsidRPr="006D631C" w:rsidRDefault="00045DAF" w:rsidP="00045DAF">
            <w:pPr>
              <w:spacing w:line="240" w:lineRule="auto"/>
              <w:jc w:val="left"/>
              <w:rPr>
                <w:color w:val="000000"/>
                <w:sz w:val="12"/>
                <w:szCs w:val="12"/>
              </w:rPr>
            </w:pPr>
            <w:r w:rsidRPr="006D631C">
              <w:rPr>
                <w:color w:val="000000"/>
                <w:sz w:val="12"/>
                <w:szCs w:val="12"/>
              </w:rPr>
              <w:t>-</w:t>
            </w:r>
          </w:p>
        </w:tc>
        <w:tc>
          <w:tcPr>
            <w:tcW w:w="1134" w:type="dxa"/>
            <w:tcBorders>
              <w:top w:val="single" w:sz="4" w:space="0" w:color="auto"/>
              <w:left w:val="nil"/>
              <w:bottom w:val="single" w:sz="4" w:space="0" w:color="auto"/>
              <w:right w:val="nil"/>
            </w:tcBorders>
            <w:shd w:val="clear" w:color="000000" w:fill="FFFFFF"/>
            <w:noWrap/>
            <w:vAlign w:val="center"/>
          </w:tcPr>
          <w:p w14:paraId="1E882C22" w14:textId="3AFBCA0E" w:rsidR="00045DAF" w:rsidRPr="006D631C" w:rsidRDefault="00045DAF" w:rsidP="00045DAF">
            <w:pPr>
              <w:spacing w:line="240" w:lineRule="auto"/>
              <w:jc w:val="left"/>
              <w:rPr>
                <w:color w:val="000000"/>
                <w:sz w:val="12"/>
                <w:szCs w:val="12"/>
              </w:rPr>
            </w:pPr>
            <w:r w:rsidRPr="006D631C">
              <w:rPr>
                <w:color w:val="000000"/>
                <w:sz w:val="12"/>
                <w:szCs w:val="12"/>
              </w:rPr>
              <w:t>-</w:t>
            </w:r>
          </w:p>
        </w:tc>
        <w:tc>
          <w:tcPr>
            <w:tcW w:w="5103" w:type="dxa"/>
            <w:tcBorders>
              <w:top w:val="single" w:sz="4" w:space="0" w:color="auto"/>
              <w:left w:val="nil"/>
              <w:bottom w:val="single" w:sz="4" w:space="0" w:color="auto"/>
              <w:right w:val="nil"/>
            </w:tcBorders>
            <w:shd w:val="clear" w:color="000000" w:fill="FFFFFF"/>
            <w:noWrap/>
            <w:vAlign w:val="center"/>
          </w:tcPr>
          <w:p w14:paraId="17012DF2" w14:textId="77777777" w:rsidR="00045DAF" w:rsidRPr="006D631C" w:rsidRDefault="00045DAF" w:rsidP="00045DAF">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obtained gel showed a morphology consisting of porous sheets</w:t>
            </w:r>
          </w:p>
          <w:p w14:paraId="6A3A410A" w14:textId="527DB017" w:rsidR="00045DAF" w:rsidRPr="006D631C" w:rsidRDefault="00045DAF" w:rsidP="00045DAF">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prepared gels had a low absolute modulus and a very high mechanical loss</w:t>
            </w:r>
          </w:p>
        </w:tc>
        <w:tc>
          <w:tcPr>
            <w:tcW w:w="566" w:type="dxa"/>
            <w:tcBorders>
              <w:top w:val="nil"/>
              <w:left w:val="nil"/>
              <w:bottom w:val="single" w:sz="4" w:space="0" w:color="auto"/>
              <w:right w:val="nil"/>
            </w:tcBorders>
            <w:shd w:val="clear" w:color="000000" w:fill="FFFFFF"/>
            <w:vAlign w:val="center"/>
          </w:tcPr>
          <w:p w14:paraId="57DE07C7" w14:textId="015E299C" w:rsidR="00045DAF" w:rsidRPr="006D631C" w:rsidRDefault="00045DAF"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{"citationItems":[{"id":"ITEM-1","itemData":{"DOI":"10.1021/ma9812478","ISSN":"00249297","abstract":"Polymerization of hydrophilic monomers, such as acrylamide, in the confinement of lyotropic liquid crystalline phases of nonionic surfactants produces gels with variable pore architecture in the hundreds of nanometers to micrometers size range. The porous gels are characterized by scanning electron microscopy after critical-point drying. The structure of the gels depends on the type of monomer, cross-linking density, and both monomer and surfactant concentration and can be varied systematically to result in different pore morphologies with different pore sizes. In such a way it is possible to build the polymer network structure on a mesoscopic length scale, optimizing different network properties which are otherwise coupled in an opposite fashion; e.g., polymer networks with very large pore size and high mechanical stability can be made.","author":[{"dropping-particle":"","family":"Antonietti","given":"Markus","non-dropping-particle":"","parse-names":false,"suffix":""},{"dropping-particle":"","family":"Caruso","given":"Rachel A.","non-dropping-particle":"","parse-names":false,"suffix":""},{"dropping-particle":"","family":"Göltner","given":"Christine G.","non-dropping-particle":"","parse-names":false,"suffix":""},{"dropping-particle":"","family":"Weissenberger","given":"Markus C.","non-dropping-particle":"","parse-names":false,"suffix":""}],"container-title":"Macromolecules","id":"ITEM-1","issue":"5","issued":{"date-parts":[["1999"]]},"page":"1383-1389","title":"Morphology Variation of Porous Polymer Gels by Polymerization in Lyotropic Surfactant Phases","type":"article-journal","volume":"32"},"uris":["http://www.mendeley.com/documents/?uuid=b3a9dd2f-70ce-4746-b371-56e7e4cc2c21"]}],"mendeley":{"formattedCitation":"&lt;sup&gt;136&lt;/sup&gt;","plainTextFormattedCitation":"136","previouslyFormattedCitation":"&lt;sup&gt;136&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136</w:t>
            </w:r>
            <w:r w:rsidRPr="006D631C">
              <w:rPr>
                <w:color w:val="000000"/>
                <w:sz w:val="12"/>
                <w:szCs w:val="12"/>
              </w:rPr>
              <w:fldChar w:fldCharType="end"/>
            </w:r>
          </w:p>
        </w:tc>
      </w:tr>
      <w:tr w:rsidR="00045DAF" w:rsidRPr="006D631C" w14:paraId="5762FCF9" w14:textId="77777777" w:rsidTr="0035691D">
        <w:trPr>
          <w:trHeight w:val="20"/>
        </w:trPr>
        <w:tc>
          <w:tcPr>
            <w:tcW w:w="851" w:type="dxa"/>
            <w:vMerge/>
            <w:tcBorders>
              <w:top w:val="nil"/>
              <w:left w:val="nil"/>
              <w:bottom w:val="single" w:sz="4" w:space="0" w:color="000000"/>
              <w:right w:val="nil"/>
            </w:tcBorders>
            <w:vAlign w:val="center"/>
          </w:tcPr>
          <w:p w14:paraId="197AC10C" w14:textId="77777777" w:rsidR="00045DAF" w:rsidRPr="006D631C" w:rsidRDefault="00045DAF" w:rsidP="00045DAF">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154C9E56" w14:textId="77741AB4" w:rsidR="00045DAF" w:rsidRPr="006D631C" w:rsidRDefault="00045DAF" w:rsidP="00045DAF">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37630CD4" w14:textId="3C3173B0" w:rsidR="00045DAF" w:rsidRPr="006D631C" w:rsidRDefault="00045DAF" w:rsidP="00045DAF">
            <w:pPr>
              <w:spacing w:line="240" w:lineRule="auto"/>
              <w:jc w:val="left"/>
              <w:rPr>
                <w:color w:val="000000"/>
                <w:sz w:val="12"/>
                <w:szCs w:val="12"/>
              </w:rPr>
            </w:pPr>
            <w:r w:rsidRPr="006D631C">
              <w:rPr>
                <w:color w:val="000000"/>
                <w:sz w:val="12"/>
                <w:szCs w:val="12"/>
              </w:rPr>
              <w:t>C-9</w:t>
            </w:r>
          </w:p>
        </w:tc>
        <w:tc>
          <w:tcPr>
            <w:tcW w:w="709" w:type="dxa"/>
            <w:tcBorders>
              <w:top w:val="nil"/>
              <w:left w:val="nil"/>
              <w:bottom w:val="single" w:sz="4" w:space="0" w:color="auto"/>
              <w:right w:val="nil"/>
            </w:tcBorders>
            <w:shd w:val="clear" w:color="000000" w:fill="FFFFFF"/>
            <w:vAlign w:val="center"/>
          </w:tcPr>
          <w:p w14:paraId="6DEFF4B5" w14:textId="502FE9FF" w:rsidR="00045DAF" w:rsidRPr="006D631C" w:rsidRDefault="00045DAF" w:rsidP="00045DAF">
            <w:pPr>
              <w:spacing w:line="240" w:lineRule="auto"/>
              <w:jc w:val="left"/>
              <w:rPr>
                <w:color w:val="000000"/>
                <w:sz w:val="12"/>
                <w:szCs w:val="12"/>
              </w:rPr>
            </w:pPr>
            <w:r w:rsidRPr="006D631C">
              <w:rPr>
                <w:color w:val="000000"/>
                <w:sz w:val="12"/>
                <w:szCs w:val="12"/>
              </w:rPr>
              <w:t>I-2 / I-5</w:t>
            </w:r>
          </w:p>
        </w:tc>
        <w:tc>
          <w:tcPr>
            <w:tcW w:w="1134" w:type="dxa"/>
            <w:tcBorders>
              <w:top w:val="single" w:sz="4" w:space="0" w:color="auto"/>
              <w:left w:val="nil"/>
              <w:bottom w:val="single" w:sz="4" w:space="0" w:color="auto"/>
              <w:right w:val="nil"/>
            </w:tcBorders>
            <w:shd w:val="clear" w:color="000000" w:fill="FFFFFF"/>
            <w:vAlign w:val="center"/>
          </w:tcPr>
          <w:p w14:paraId="298BBFD6" w14:textId="658B9F47" w:rsidR="00045DAF" w:rsidRPr="006D631C" w:rsidRDefault="00045DAF" w:rsidP="00045DAF">
            <w:pPr>
              <w:spacing w:line="240" w:lineRule="auto"/>
              <w:jc w:val="left"/>
              <w:rPr>
                <w:color w:val="000000"/>
                <w:sz w:val="12"/>
                <w:szCs w:val="12"/>
              </w:rPr>
            </w:pPr>
            <w:r w:rsidRPr="006D631C">
              <w:rPr>
                <w:color w:val="000000"/>
                <w:sz w:val="12"/>
                <w:szCs w:val="12"/>
              </w:rPr>
              <w:t>40 - 45 / 20 (I</w:t>
            </w:r>
            <w:r w:rsidRPr="006D631C">
              <w:rPr>
                <w:color w:val="000000"/>
                <w:sz w:val="12"/>
                <w:szCs w:val="12"/>
                <w:vertAlign w:val="subscript"/>
              </w:rPr>
              <w:t>1</w:t>
            </w:r>
            <w:r w:rsidRPr="006D631C">
              <w:rPr>
                <w:color w:val="000000"/>
                <w:sz w:val="12"/>
                <w:szCs w:val="12"/>
              </w:rPr>
              <w:t>)</w:t>
            </w:r>
            <w:r w:rsidRPr="006D631C">
              <w:rPr>
                <w:color w:val="000000"/>
                <w:sz w:val="12"/>
                <w:szCs w:val="12"/>
              </w:rPr>
              <w:br/>
              <w:t>50 - 55 / 20 (H</w:t>
            </w:r>
            <w:r w:rsidRPr="006D631C">
              <w:rPr>
                <w:color w:val="000000"/>
                <w:sz w:val="12"/>
                <w:szCs w:val="12"/>
                <w:vertAlign w:val="subscript"/>
              </w:rPr>
              <w:t>1</w:t>
            </w:r>
            <w:r w:rsidRPr="006D631C">
              <w:rPr>
                <w:color w:val="000000"/>
                <w:sz w:val="12"/>
                <w:szCs w:val="12"/>
              </w:rPr>
              <w:t>)</w:t>
            </w:r>
            <w:r w:rsidRPr="006D631C">
              <w:rPr>
                <w:color w:val="000000"/>
                <w:sz w:val="12"/>
                <w:szCs w:val="12"/>
              </w:rPr>
              <w:br/>
              <w:t>60 - 65 / 20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714B46C9" w14:textId="40CB2EE1" w:rsidR="00045DAF" w:rsidRPr="006D631C" w:rsidRDefault="00045DAF" w:rsidP="00045DAF">
            <w:pPr>
              <w:spacing w:line="240" w:lineRule="auto"/>
              <w:jc w:val="left"/>
              <w:rPr>
                <w:color w:val="000000"/>
                <w:sz w:val="12"/>
                <w:szCs w:val="12"/>
              </w:rPr>
            </w:pPr>
            <w:r w:rsidRPr="006D631C">
              <w:rPr>
                <w:color w:val="000000"/>
                <w:sz w:val="12"/>
                <w:szCs w:val="12"/>
              </w:rPr>
              <w:t>Disordered H</w:t>
            </w:r>
            <w:r w:rsidRPr="006D631C">
              <w:rPr>
                <w:color w:val="000000"/>
                <w:sz w:val="12"/>
                <w:szCs w:val="12"/>
                <w:vertAlign w:val="subscript"/>
              </w:rPr>
              <w:t>1</w:t>
            </w:r>
            <w:r w:rsidRPr="006D631C">
              <w:rPr>
                <w:color w:val="000000"/>
                <w:sz w:val="12"/>
                <w:szCs w:val="12"/>
              </w:rPr>
              <w:t xml:space="preserve"> and L</w:t>
            </w:r>
            <w:r w:rsidRPr="006D631C">
              <w:rPr>
                <w:color w:val="000000"/>
                <w:sz w:val="12"/>
                <w:szCs w:val="12"/>
                <w:vertAlign w:val="subscript"/>
              </w:rPr>
              <w:t>α</w:t>
            </w:r>
          </w:p>
        </w:tc>
        <w:tc>
          <w:tcPr>
            <w:tcW w:w="993" w:type="dxa"/>
            <w:tcBorders>
              <w:top w:val="nil"/>
              <w:left w:val="nil"/>
              <w:bottom w:val="single" w:sz="4" w:space="0" w:color="auto"/>
              <w:right w:val="nil"/>
            </w:tcBorders>
            <w:shd w:val="clear" w:color="000000" w:fill="FFFFFF"/>
            <w:noWrap/>
            <w:vAlign w:val="center"/>
          </w:tcPr>
          <w:p w14:paraId="6FE78940" w14:textId="4DD2476D" w:rsidR="00045DAF" w:rsidRPr="006D631C" w:rsidRDefault="00045DAF" w:rsidP="00045DAF">
            <w:pPr>
              <w:spacing w:line="240" w:lineRule="auto"/>
              <w:jc w:val="left"/>
              <w:rPr>
                <w:color w:val="000000"/>
                <w:sz w:val="12"/>
                <w:szCs w:val="12"/>
              </w:rPr>
            </w:pPr>
            <w:r w:rsidRPr="006D631C">
              <w:rPr>
                <w:color w:val="000000"/>
                <w:sz w:val="12"/>
                <w:szCs w:val="12"/>
              </w:rPr>
              <w:t>4.2 (H</w:t>
            </w:r>
            <w:r w:rsidRPr="006D631C">
              <w:rPr>
                <w:color w:val="000000"/>
                <w:sz w:val="12"/>
                <w:szCs w:val="12"/>
                <w:vertAlign w:val="subscript"/>
              </w:rPr>
              <w:t>1</w:t>
            </w:r>
            <w:r w:rsidRPr="006D631C">
              <w:rPr>
                <w:color w:val="000000"/>
                <w:sz w:val="12"/>
                <w:szCs w:val="12"/>
              </w:rPr>
              <w:t>)</w:t>
            </w:r>
            <w:r w:rsidRPr="006D631C">
              <w:rPr>
                <w:color w:val="000000"/>
                <w:sz w:val="12"/>
                <w:szCs w:val="12"/>
              </w:rPr>
              <w:br/>
              <w:t>2.96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20893C63" w14:textId="170B0AB3" w:rsidR="00045DAF" w:rsidRPr="006D631C" w:rsidRDefault="00045DAF" w:rsidP="00045DAF">
            <w:pPr>
              <w:spacing w:line="240" w:lineRule="auto"/>
              <w:jc w:val="left"/>
              <w:rPr>
                <w:color w:val="000000"/>
                <w:sz w:val="12"/>
                <w:szCs w:val="12"/>
              </w:rPr>
            </w:pPr>
            <w:r w:rsidRPr="006D631C">
              <w:rPr>
                <w:color w:val="000000"/>
                <w:sz w:val="12"/>
                <w:szCs w:val="12"/>
              </w:rPr>
              <w:t>4.4 (H</w:t>
            </w:r>
            <w:r w:rsidRPr="006D631C">
              <w:rPr>
                <w:color w:val="000000"/>
                <w:sz w:val="12"/>
                <w:szCs w:val="12"/>
                <w:vertAlign w:val="subscript"/>
              </w:rPr>
              <w:t>1</w:t>
            </w:r>
            <w:r w:rsidRPr="006D631C">
              <w:rPr>
                <w:color w:val="000000"/>
                <w:sz w:val="12"/>
                <w:szCs w:val="12"/>
              </w:rPr>
              <w:t>)</w:t>
            </w:r>
            <w:r w:rsidRPr="006D631C">
              <w:rPr>
                <w:color w:val="000000"/>
                <w:sz w:val="12"/>
                <w:szCs w:val="12"/>
              </w:rPr>
              <w:br/>
              <w:t>3.22 (L</w:t>
            </w:r>
            <w:r w:rsidRPr="006D631C">
              <w:rPr>
                <w:color w:val="000000"/>
                <w:sz w:val="12"/>
                <w:szCs w:val="12"/>
                <w:vertAlign w:val="subscript"/>
              </w:rPr>
              <w:t>α</w:t>
            </w:r>
            <w:r w:rsidRPr="006D631C">
              <w:rPr>
                <w:color w:val="000000"/>
                <w:sz w:val="12"/>
                <w:szCs w:val="12"/>
              </w:rPr>
              <w:t>)</w:t>
            </w:r>
          </w:p>
        </w:tc>
        <w:tc>
          <w:tcPr>
            <w:tcW w:w="5103" w:type="dxa"/>
            <w:tcBorders>
              <w:top w:val="single" w:sz="4" w:space="0" w:color="auto"/>
              <w:left w:val="nil"/>
              <w:bottom w:val="single" w:sz="4" w:space="0" w:color="auto"/>
              <w:right w:val="nil"/>
            </w:tcBorders>
            <w:shd w:val="clear" w:color="000000" w:fill="FFFFFF"/>
            <w:noWrap/>
            <w:vAlign w:val="center"/>
          </w:tcPr>
          <w:p w14:paraId="1EA0A717" w14:textId="77777777" w:rsidR="00045DAF" w:rsidRPr="006D631C" w:rsidRDefault="00045DAF" w:rsidP="00045DAF">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non-LLC &lt;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 I</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L</w:t>
            </w:r>
            <w:r w:rsidRPr="006D631C">
              <w:rPr>
                <w:rFonts w:eastAsia="Times New Roman" w:cs="Times New Roman"/>
                <w:color w:val="000000"/>
                <w:sz w:val="12"/>
                <w:szCs w:val="12"/>
                <w:vertAlign w:val="subscript"/>
              </w:rPr>
              <w:t>α</w:t>
            </w:r>
          </w:p>
          <w:p w14:paraId="4BDE573D" w14:textId="242BB382" w:rsidR="00045DAF" w:rsidRPr="006D631C" w:rsidRDefault="00045DAF" w:rsidP="00045DAF">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Lower water uptake, slower swelling rate and lower compressive modulus compared to non-LLC sample</w:t>
            </w:r>
          </w:p>
        </w:tc>
        <w:tc>
          <w:tcPr>
            <w:tcW w:w="566" w:type="dxa"/>
            <w:tcBorders>
              <w:top w:val="nil"/>
              <w:left w:val="nil"/>
              <w:bottom w:val="single" w:sz="4" w:space="0" w:color="auto"/>
              <w:right w:val="nil"/>
            </w:tcBorders>
            <w:shd w:val="clear" w:color="000000" w:fill="FFFFFF"/>
            <w:vAlign w:val="center"/>
          </w:tcPr>
          <w:p w14:paraId="2BC59E9F" w14:textId="7BCE9DEE" w:rsidR="00045DAF" w:rsidRPr="006D631C" w:rsidRDefault="00045DAF" w:rsidP="002E14E4">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Allan","non-dropping-particle":"","parse-names":false,"suffix":""}],"container-title":"Macromolecules","id":"ITEM-1","issue":"13","issued":{"date-parts":[["2001","6"]]},"page":"4430-4438","title":"Photopolymerization kinetics and structure development of templated lyotropic liquid crystalline systems","type":"article-journal","volume":"34"},"uris":["http://www.mendeley.com/documents/?uuid=5ad8b034-dc0f-455e-ac27-09cb31650bdb"]},{"id":"ITEM-2","itemData":{"DOI":"10.1021/cm021703d","ISSN":"08974756","abstract":"Recently,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Materials","id":"ITEM-2","issue":"17","issued":{"date-parts":[["2003"]]},"page":"3376-3384","title":"Physical properties of hydrogels synthesized from lyotropic liquid crystalline templates","type":"article-journal","volume":"15"},"uris":["http://www.mendeley.com/documents/?uuid=f73d1f78-88b7-4d4c-83b6-c3bbcc68b73f"]}],"mendeley":{"formattedCitation":"&lt;sup&gt;43,44&lt;/sup&gt;","plainTextFormattedCitation":"43,44","previouslyFormattedCitation":"&lt;sup&gt;43,44&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43,44</w:t>
            </w:r>
            <w:r w:rsidRPr="006D631C">
              <w:rPr>
                <w:color w:val="000000"/>
                <w:sz w:val="12"/>
                <w:szCs w:val="12"/>
              </w:rPr>
              <w:fldChar w:fldCharType="end"/>
            </w:r>
          </w:p>
        </w:tc>
      </w:tr>
      <w:tr w:rsidR="00045DAF" w:rsidRPr="006D631C" w14:paraId="22FF4765" w14:textId="77777777" w:rsidTr="0035691D">
        <w:trPr>
          <w:trHeight w:val="20"/>
        </w:trPr>
        <w:tc>
          <w:tcPr>
            <w:tcW w:w="851" w:type="dxa"/>
            <w:vMerge/>
            <w:tcBorders>
              <w:top w:val="nil"/>
              <w:left w:val="nil"/>
              <w:bottom w:val="single" w:sz="4" w:space="0" w:color="000000"/>
              <w:right w:val="nil"/>
            </w:tcBorders>
            <w:vAlign w:val="center"/>
          </w:tcPr>
          <w:p w14:paraId="3262FF4F" w14:textId="77777777" w:rsidR="00045DAF" w:rsidRPr="006D631C" w:rsidRDefault="00045DAF" w:rsidP="00045DAF">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1AE93B90" w14:textId="5930CB47" w:rsidR="00045DAF" w:rsidRPr="006D631C" w:rsidRDefault="00045DAF" w:rsidP="00045DAF">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009ED031" w14:textId="3FF3555C" w:rsidR="00045DAF" w:rsidRPr="006D631C" w:rsidRDefault="00045DAF" w:rsidP="00045DAF">
            <w:pPr>
              <w:spacing w:line="240" w:lineRule="auto"/>
              <w:jc w:val="left"/>
              <w:rPr>
                <w:color w:val="000000"/>
                <w:sz w:val="12"/>
                <w:szCs w:val="12"/>
              </w:rPr>
            </w:pPr>
            <w:r w:rsidRPr="006D631C">
              <w:rPr>
                <w:color w:val="000000"/>
                <w:sz w:val="12"/>
                <w:szCs w:val="12"/>
              </w:rPr>
              <w:t>C-9</w:t>
            </w:r>
          </w:p>
        </w:tc>
        <w:tc>
          <w:tcPr>
            <w:tcW w:w="709" w:type="dxa"/>
            <w:tcBorders>
              <w:top w:val="nil"/>
              <w:left w:val="nil"/>
              <w:bottom w:val="single" w:sz="4" w:space="0" w:color="auto"/>
              <w:right w:val="nil"/>
            </w:tcBorders>
            <w:shd w:val="clear" w:color="000000" w:fill="FFFFFF"/>
            <w:vAlign w:val="center"/>
          </w:tcPr>
          <w:p w14:paraId="67A5A936" w14:textId="751E79D8" w:rsidR="00045DAF" w:rsidRPr="006D631C" w:rsidRDefault="00045DAF" w:rsidP="00045DAF">
            <w:pPr>
              <w:spacing w:line="240" w:lineRule="auto"/>
              <w:jc w:val="left"/>
              <w:rPr>
                <w:color w:val="000000"/>
                <w:sz w:val="12"/>
                <w:szCs w:val="12"/>
              </w:rPr>
            </w:pPr>
            <w:r w:rsidRPr="006D631C">
              <w:rPr>
                <w:color w:val="000000"/>
                <w:sz w:val="12"/>
                <w:szCs w:val="12"/>
              </w:rPr>
              <w:t>I-4</w:t>
            </w:r>
          </w:p>
        </w:tc>
        <w:tc>
          <w:tcPr>
            <w:tcW w:w="1134" w:type="dxa"/>
            <w:tcBorders>
              <w:top w:val="nil"/>
              <w:left w:val="nil"/>
              <w:bottom w:val="single" w:sz="4" w:space="0" w:color="auto"/>
              <w:right w:val="nil"/>
            </w:tcBorders>
            <w:shd w:val="clear" w:color="000000" w:fill="FFFFFF"/>
            <w:vAlign w:val="center"/>
          </w:tcPr>
          <w:p w14:paraId="59596C69" w14:textId="0122DE30" w:rsidR="00045DAF" w:rsidRPr="006D631C" w:rsidRDefault="00045DAF" w:rsidP="00045DAF">
            <w:pPr>
              <w:spacing w:line="240" w:lineRule="auto"/>
              <w:jc w:val="left"/>
              <w:rPr>
                <w:color w:val="000000"/>
                <w:sz w:val="12"/>
                <w:szCs w:val="12"/>
              </w:rPr>
            </w:pPr>
            <w:r w:rsidRPr="006D631C">
              <w:rPr>
                <w:color w:val="000000"/>
                <w:sz w:val="12"/>
                <w:szCs w:val="12"/>
              </w:rPr>
              <w:t>47.5 / 19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56A0DDBF" w14:textId="1DA6304C" w:rsidR="00045DAF" w:rsidRPr="006D631C" w:rsidRDefault="00045DAF" w:rsidP="00045DAF">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7467CDE9" w14:textId="0B97A117" w:rsidR="00045DAF" w:rsidRPr="006D631C" w:rsidRDefault="00045DAF" w:rsidP="00045DAF">
            <w:pPr>
              <w:spacing w:line="240" w:lineRule="auto"/>
              <w:jc w:val="left"/>
              <w:rPr>
                <w:color w:val="000000"/>
                <w:sz w:val="12"/>
                <w:szCs w:val="12"/>
              </w:rPr>
            </w:pPr>
            <w:r w:rsidRPr="006D631C">
              <w:rPr>
                <w:color w:val="000000"/>
                <w:sz w:val="12"/>
                <w:szCs w:val="12"/>
              </w:rPr>
              <w:t>3.7</w:t>
            </w:r>
          </w:p>
        </w:tc>
        <w:tc>
          <w:tcPr>
            <w:tcW w:w="1134" w:type="dxa"/>
            <w:tcBorders>
              <w:top w:val="nil"/>
              <w:left w:val="nil"/>
              <w:bottom w:val="single" w:sz="4" w:space="0" w:color="auto"/>
              <w:right w:val="nil"/>
            </w:tcBorders>
            <w:shd w:val="clear" w:color="000000" w:fill="FFFFFF"/>
            <w:noWrap/>
            <w:vAlign w:val="center"/>
          </w:tcPr>
          <w:p w14:paraId="4D536891" w14:textId="530B9BCA" w:rsidR="00045DAF" w:rsidRPr="006D631C" w:rsidRDefault="00045DAF" w:rsidP="00045DAF">
            <w:pPr>
              <w:spacing w:line="240" w:lineRule="auto"/>
              <w:jc w:val="left"/>
              <w:rPr>
                <w:color w:val="000000"/>
                <w:sz w:val="12"/>
                <w:szCs w:val="12"/>
              </w:rPr>
            </w:pPr>
            <w:r w:rsidRPr="006D631C">
              <w:rPr>
                <w:color w:val="000000"/>
                <w:sz w:val="12"/>
                <w:szCs w:val="12"/>
              </w:rPr>
              <w:t>3.81</w:t>
            </w:r>
          </w:p>
        </w:tc>
        <w:tc>
          <w:tcPr>
            <w:tcW w:w="5103" w:type="dxa"/>
            <w:tcBorders>
              <w:top w:val="single" w:sz="4" w:space="0" w:color="auto"/>
              <w:left w:val="nil"/>
              <w:bottom w:val="single" w:sz="4" w:space="0" w:color="auto"/>
              <w:right w:val="nil"/>
            </w:tcBorders>
            <w:shd w:val="clear" w:color="000000" w:fill="FFFFFF"/>
            <w:noWrap/>
            <w:vAlign w:val="center"/>
          </w:tcPr>
          <w:p w14:paraId="3E863404" w14:textId="77777777" w:rsidR="00045DAF" w:rsidRPr="006D631C" w:rsidRDefault="00045DAF" w:rsidP="00045DAF">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The hydrophobic tails of the surfactant adsorbed to the hydrophobic SWNTs, resulting in the confinement of the nanoparticles inside the pores of H</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structure</w:t>
            </w:r>
          </w:p>
          <w:p w14:paraId="13DF6582" w14:textId="123BF8B6" w:rsidR="00045DAF" w:rsidRPr="006D631C" w:rsidRDefault="00045DAF" w:rsidP="00045DAF">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5 T magnetic field was used to align the structure before polymerization</w:t>
            </w:r>
          </w:p>
        </w:tc>
        <w:tc>
          <w:tcPr>
            <w:tcW w:w="566" w:type="dxa"/>
            <w:tcBorders>
              <w:top w:val="nil"/>
              <w:left w:val="nil"/>
              <w:bottom w:val="single" w:sz="4" w:space="0" w:color="auto"/>
              <w:right w:val="nil"/>
            </w:tcBorders>
            <w:shd w:val="clear" w:color="000000" w:fill="FFFFFF"/>
            <w:vAlign w:val="center"/>
          </w:tcPr>
          <w:p w14:paraId="7C45F61A" w14:textId="4724CF9E" w:rsidR="00045DAF" w:rsidRPr="006D631C" w:rsidRDefault="00045DAF" w:rsidP="007E31E6">
            <w:pPr>
              <w:spacing w:line="240" w:lineRule="auto"/>
              <w:jc w:val="left"/>
              <w:rPr>
                <w:color w:val="000000"/>
                <w:sz w:val="12"/>
                <w:szCs w:val="12"/>
              </w:rPr>
            </w:pPr>
            <w:r w:rsidRPr="006D631C">
              <w:rPr>
                <w:color w:val="000000"/>
                <w:sz w:val="12"/>
                <w:szCs w:val="12"/>
              </w:rPr>
              <w:fldChar w:fldCharType="begin" w:fldLock="1"/>
            </w:r>
            <w:r w:rsidR="00BF67FB" w:rsidRPr="006D631C">
              <w:rPr>
                <w:color w:val="000000"/>
                <w:sz w:val="12"/>
                <w:szCs w:val="12"/>
              </w:rPr>
              <w:instrText>ADDIN CSL_CITATION {"citationItems":[{"id":"ITEM-1","itemData":{"DOI":"10.1021/nn102047j","ISSN":"19360851","abstract":"We demonstrate a novel path for the fabrication of thin-film polymer nanocomposites containing vertically aligned single-walled carbon nanotubes (SWNTs). Liquid crystal mesophases of hexagonally packed cylindrical micelles orient with their long axes parallel to an applied magnetic field and template the alignment of SWNTs sequestered in the micellar cores. The mesophase is a stable single-phase material containing monomers that can be polymerized after nanotube alignment to form the nanocomposite polymer. The space-pervasive nature of magnetic fields and the tunable physicochemical properties of multicomponent mesophases make this an attractive approach that can be leveraged for application in diverse nanocomposite systems. © 2010 American Chemical Society.","author":[{"dropping-particle":"","family":"Mauter","given":"Meagan S.","non-dropping-particle":"","parse-names":false,"suffix":""},{"dropping-particle":"","family":"Elimelech","given":"Menachem","non-dropping-particle":"","parse-names":false,"suffix":""},{"dropping-particle":"","family":"Osuji","given":"Chinedum O.","non-dropping-particle":"","parse-names":false,"suffix":""}],"container-title":"ACS Nano","id":"ITEM-1","issue":"11","issued":{"date-parts":[["2010"]]},"page":"6651-6658","title":"Nanocomposites of vertically aligned single-walled carbon nanotubes by magnetic alignment and polymerization of a lyotropic precursor","type":"article-journal","volume":"4"},"uris":["http://www.mendeley.com/documents/?uuid=ca6707ad-07be-49fb-8405-da71c6ae00d2"]}],"mendeley":{"formattedCitation":"&lt;sup&gt;30&lt;/sup&gt;","plainTextFormattedCitation":"30","previouslyFormattedCitation":"&lt;sup&gt;30&lt;/sup&gt;"},"properties":{"noteIndex":0},"schema":"https://github.com/citation-style-language/schema/raw/master/csl-citation.json"}</w:instrText>
            </w:r>
            <w:r w:rsidRPr="006D631C">
              <w:rPr>
                <w:color w:val="000000"/>
                <w:sz w:val="12"/>
                <w:szCs w:val="12"/>
              </w:rPr>
              <w:fldChar w:fldCharType="separate"/>
            </w:r>
            <w:r w:rsidR="007E31E6" w:rsidRPr="006D631C">
              <w:rPr>
                <w:noProof/>
                <w:color w:val="000000"/>
                <w:sz w:val="12"/>
                <w:szCs w:val="12"/>
              </w:rPr>
              <w:t>30</w:t>
            </w:r>
            <w:r w:rsidRPr="006D631C">
              <w:rPr>
                <w:color w:val="000000"/>
                <w:sz w:val="12"/>
                <w:szCs w:val="12"/>
              </w:rPr>
              <w:fldChar w:fldCharType="end"/>
            </w:r>
          </w:p>
        </w:tc>
      </w:tr>
      <w:tr w:rsidR="00045DAF" w:rsidRPr="006D631C" w14:paraId="4EC2213E" w14:textId="77777777" w:rsidTr="0035691D">
        <w:trPr>
          <w:trHeight w:val="20"/>
        </w:trPr>
        <w:tc>
          <w:tcPr>
            <w:tcW w:w="851" w:type="dxa"/>
            <w:tcBorders>
              <w:top w:val="nil"/>
              <w:left w:val="nil"/>
              <w:bottom w:val="single" w:sz="4" w:space="0" w:color="auto"/>
              <w:right w:val="nil"/>
            </w:tcBorders>
            <w:shd w:val="clear" w:color="000000" w:fill="FFFFFF"/>
            <w:vAlign w:val="center"/>
          </w:tcPr>
          <w:p w14:paraId="62678A60" w14:textId="40FE2D8B" w:rsidR="00045DAF" w:rsidRPr="006D631C" w:rsidRDefault="00045DAF" w:rsidP="00045DAF">
            <w:pPr>
              <w:spacing w:line="240" w:lineRule="auto"/>
              <w:jc w:val="left"/>
              <w:rPr>
                <w:color w:val="000000"/>
                <w:sz w:val="12"/>
                <w:szCs w:val="12"/>
              </w:rPr>
            </w:pPr>
            <w:r w:rsidRPr="006D631C">
              <w:rPr>
                <w:color w:val="000000"/>
                <w:sz w:val="12"/>
                <w:szCs w:val="12"/>
              </w:rPr>
              <w:t>M-14</w:t>
            </w:r>
          </w:p>
        </w:tc>
        <w:tc>
          <w:tcPr>
            <w:tcW w:w="12048" w:type="dxa"/>
            <w:gridSpan w:val="9"/>
            <w:tcBorders>
              <w:top w:val="single" w:sz="4" w:space="0" w:color="auto"/>
              <w:left w:val="nil"/>
              <w:bottom w:val="single" w:sz="4" w:space="0" w:color="auto"/>
              <w:right w:val="nil"/>
            </w:tcBorders>
            <w:shd w:val="clear" w:color="000000" w:fill="FFFFFF"/>
            <w:noWrap/>
            <w:vAlign w:val="center"/>
          </w:tcPr>
          <w:p w14:paraId="0EF1010E" w14:textId="35667982" w:rsidR="00045DAF" w:rsidRPr="006D631C" w:rsidRDefault="00045DAF" w:rsidP="00045DAF">
            <w:pPr>
              <w:spacing w:line="240" w:lineRule="auto"/>
              <w:jc w:val="left"/>
              <w:rPr>
                <w:color w:val="000000"/>
                <w:sz w:val="12"/>
                <w:szCs w:val="12"/>
              </w:rPr>
            </w:pPr>
            <w:r w:rsidRPr="006D631C">
              <w:rPr>
                <w:color w:val="000000"/>
                <w:sz w:val="12"/>
                <w:szCs w:val="12"/>
              </w:rPr>
              <w:t>This monomer was discussed in M-9 section </w:t>
            </w:r>
          </w:p>
        </w:tc>
      </w:tr>
      <w:tr w:rsidR="00045DAF" w:rsidRPr="006D631C" w14:paraId="250230DE" w14:textId="77777777" w:rsidTr="0035691D">
        <w:trPr>
          <w:trHeight w:val="20"/>
        </w:trPr>
        <w:tc>
          <w:tcPr>
            <w:tcW w:w="851" w:type="dxa"/>
            <w:tcBorders>
              <w:top w:val="nil"/>
              <w:left w:val="nil"/>
              <w:bottom w:val="single" w:sz="4" w:space="0" w:color="auto"/>
              <w:right w:val="nil"/>
            </w:tcBorders>
            <w:shd w:val="clear" w:color="000000" w:fill="FFFFFF"/>
            <w:vAlign w:val="center"/>
          </w:tcPr>
          <w:p w14:paraId="6B6B2CC5" w14:textId="72261738" w:rsidR="00045DAF" w:rsidRPr="006D631C" w:rsidRDefault="00045DAF" w:rsidP="00045DAF">
            <w:pPr>
              <w:spacing w:line="240" w:lineRule="auto"/>
              <w:jc w:val="left"/>
              <w:rPr>
                <w:color w:val="000000"/>
                <w:sz w:val="12"/>
                <w:szCs w:val="12"/>
              </w:rPr>
            </w:pPr>
            <w:r w:rsidRPr="006D631C">
              <w:rPr>
                <w:color w:val="000000"/>
                <w:sz w:val="12"/>
                <w:szCs w:val="12"/>
              </w:rPr>
              <w:t>M-15</w:t>
            </w:r>
          </w:p>
        </w:tc>
        <w:tc>
          <w:tcPr>
            <w:tcW w:w="12048" w:type="dxa"/>
            <w:gridSpan w:val="9"/>
            <w:tcBorders>
              <w:top w:val="single" w:sz="4" w:space="0" w:color="auto"/>
              <w:left w:val="nil"/>
              <w:bottom w:val="single" w:sz="4" w:space="0" w:color="auto"/>
              <w:right w:val="nil"/>
            </w:tcBorders>
            <w:shd w:val="clear" w:color="000000" w:fill="FFFFFF"/>
            <w:noWrap/>
            <w:vAlign w:val="center"/>
          </w:tcPr>
          <w:p w14:paraId="0F074581" w14:textId="37504665" w:rsidR="00045DAF" w:rsidRPr="006D631C" w:rsidRDefault="00045DAF" w:rsidP="00045DAF">
            <w:pPr>
              <w:spacing w:line="240" w:lineRule="auto"/>
              <w:jc w:val="left"/>
              <w:rPr>
                <w:color w:val="000000"/>
                <w:sz w:val="12"/>
                <w:szCs w:val="12"/>
              </w:rPr>
            </w:pPr>
            <w:r w:rsidRPr="006D631C">
              <w:rPr>
                <w:color w:val="000000"/>
                <w:sz w:val="12"/>
                <w:szCs w:val="12"/>
              </w:rPr>
              <w:t>This monomer was discussed in M-9 section</w:t>
            </w:r>
          </w:p>
        </w:tc>
      </w:tr>
      <w:tr w:rsidR="00045DAF" w:rsidRPr="006D631C" w14:paraId="3AAD63D6" w14:textId="77777777" w:rsidTr="0035691D">
        <w:trPr>
          <w:trHeight w:val="20"/>
        </w:trPr>
        <w:tc>
          <w:tcPr>
            <w:tcW w:w="851" w:type="dxa"/>
            <w:tcBorders>
              <w:top w:val="nil"/>
              <w:left w:val="nil"/>
              <w:bottom w:val="single" w:sz="4" w:space="0" w:color="auto"/>
              <w:right w:val="nil"/>
            </w:tcBorders>
            <w:shd w:val="clear" w:color="000000" w:fill="FFFFFF"/>
            <w:vAlign w:val="center"/>
          </w:tcPr>
          <w:p w14:paraId="0CD3A095" w14:textId="3A55A47F" w:rsidR="00045DAF" w:rsidRPr="006D631C" w:rsidRDefault="00045DAF" w:rsidP="00045DAF">
            <w:pPr>
              <w:spacing w:line="240" w:lineRule="auto"/>
              <w:jc w:val="left"/>
              <w:rPr>
                <w:color w:val="000000"/>
                <w:sz w:val="12"/>
                <w:szCs w:val="12"/>
              </w:rPr>
            </w:pPr>
            <w:r w:rsidRPr="006D631C">
              <w:rPr>
                <w:color w:val="000000"/>
                <w:sz w:val="12"/>
                <w:szCs w:val="12"/>
              </w:rPr>
              <w:t>M-16</w:t>
            </w:r>
          </w:p>
        </w:tc>
        <w:tc>
          <w:tcPr>
            <w:tcW w:w="12048" w:type="dxa"/>
            <w:gridSpan w:val="9"/>
            <w:tcBorders>
              <w:top w:val="single" w:sz="4" w:space="0" w:color="auto"/>
              <w:left w:val="nil"/>
              <w:bottom w:val="single" w:sz="4" w:space="0" w:color="auto"/>
              <w:right w:val="nil"/>
            </w:tcBorders>
            <w:shd w:val="clear" w:color="000000" w:fill="FFFFFF"/>
            <w:noWrap/>
            <w:vAlign w:val="center"/>
          </w:tcPr>
          <w:p w14:paraId="129D6160" w14:textId="1DA96630" w:rsidR="00045DAF" w:rsidRPr="006D631C" w:rsidRDefault="00045DAF" w:rsidP="00045DAF">
            <w:pPr>
              <w:spacing w:line="240" w:lineRule="auto"/>
              <w:jc w:val="left"/>
              <w:rPr>
                <w:color w:val="000000"/>
                <w:sz w:val="12"/>
                <w:szCs w:val="12"/>
              </w:rPr>
            </w:pPr>
            <w:r w:rsidRPr="006D631C">
              <w:rPr>
                <w:color w:val="000000"/>
                <w:sz w:val="12"/>
                <w:szCs w:val="12"/>
              </w:rPr>
              <w:t>This monomer was discussed in M-10 section</w:t>
            </w:r>
          </w:p>
        </w:tc>
      </w:tr>
      <w:tr w:rsidR="00045DAF" w:rsidRPr="006D631C" w14:paraId="31ADA90B" w14:textId="77777777" w:rsidTr="0035691D">
        <w:trPr>
          <w:trHeight w:val="20"/>
        </w:trPr>
        <w:tc>
          <w:tcPr>
            <w:tcW w:w="851" w:type="dxa"/>
            <w:tcBorders>
              <w:top w:val="nil"/>
              <w:left w:val="nil"/>
              <w:bottom w:val="single" w:sz="4" w:space="0" w:color="auto"/>
              <w:right w:val="nil"/>
            </w:tcBorders>
            <w:shd w:val="clear" w:color="000000" w:fill="FFFFFF"/>
            <w:vAlign w:val="center"/>
          </w:tcPr>
          <w:p w14:paraId="080A734A" w14:textId="02947E5F" w:rsidR="00045DAF" w:rsidRPr="006D631C" w:rsidRDefault="00045DAF" w:rsidP="00045DAF">
            <w:pPr>
              <w:spacing w:line="240" w:lineRule="auto"/>
              <w:jc w:val="left"/>
              <w:rPr>
                <w:color w:val="000000"/>
                <w:sz w:val="12"/>
                <w:szCs w:val="12"/>
              </w:rPr>
            </w:pPr>
            <w:r w:rsidRPr="006D631C">
              <w:rPr>
                <w:color w:val="000000"/>
                <w:sz w:val="12"/>
                <w:szCs w:val="12"/>
              </w:rPr>
              <w:t>M-17</w:t>
            </w:r>
          </w:p>
        </w:tc>
        <w:tc>
          <w:tcPr>
            <w:tcW w:w="12048" w:type="dxa"/>
            <w:gridSpan w:val="9"/>
            <w:tcBorders>
              <w:top w:val="single" w:sz="4" w:space="0" w:color="auto"/>
              <w:left w:val="nil"/>
              <w:bottom w:val="single" w:sz="4" w:space="0" w:color="auto"/>
              <w:right w:val="nil"/>
            </w:tcBorders>
            <w:shd w:val="clear" w:color="000000" w:fill="FFFFFF"/>
            <w:noWrap/>
            <w:vAlign w:val="center"/>
          </w:tcPr>
          <w:p w14:paraId="412132FB" w14:textId="06C1FC95" w:rsidR="00045DAF" w:rsidRPr="006D631C" w:rsidRDefault="00045DAF" w:rsidP="00045DAF">
            <w:pPr>
              <w:spacing w:line="240" w:lineRule="auto"/>
              <w:jc w:val="left"/>
              <w:rPr>
                <w:color w:val="000000"/>
                <w:sz w:val="12"/>
                <w:szCs w:val="12"/>
              </w:rPr>
            </w:pPr>
            <w:r w:rsidRPr="006D631C">
              <w:rPr>
                <w:color w:val="000000"/>
                <w:sz w:val="12"/>
                <w:szCs w:val="12"/>
              </w:rPr>
              <w:t>This monomer was discussed in M-8 and M-9 sections</w:t>
            </w:r>
          </w:p>
        </w:tc>
      </w:tr>
      <w:tr w:rsidR="003B53A0" w:rsidRPr="006D631C" w14:paraId="43D84CD6" w14:textId="77777777" w:rsidTr="0035691D">
        <w:trPr>
          <w:trHeight w:val="20"/>
        </w:trPr>
        <w:tc>
          <w:tcPr>
            <w:tcW w:w="851" w:type="dxa"/>
            <w:vMerge w:val="restart"/>
            <w:tcBorders>
              <w:top w:val="nil"/>
              <w:left w:val="nil"/>
              <w:right w:val="nil"/>
            </w:tcBorders>
            <w:shd w:val="clear" w:color="000000" w:fill="FFFFFF"/>
            <w:vAlign w:val="center"/>
          </w:tcPr>
          <w:p w14:paraId="5AF80984" w14:textId="731CFE88" w:rsidR="003B53A0" w:rsidRPr="006D631C" w:rsidRDefault="003B53A0" w:rsidP="003B53A0">
            <w:pPr>
              <w:spacing w:line="240" w:lineRule="auto"/>
              <w:jc w:val="left"/>
              <w:rPr>
                <w:color w:val="000000"/>
                <w:sz w:val="12"/>
                <w:szCs w:val="12"/>
              </w:rPr>
            </w:pPr>
            <w:r w:rsidRPr="006D631C">
              <w:rPr>
                <w:color w:val="000000"/>
                <w:sz w:val="12"/>
                <w:szCs w:val="12"/>
              </w:rPr>
              <w:t>M-18</w:t>
            </w:r>
          </w:p>
        </w:tc>
        <w:tc>
          <w:tcPr>
            <w:tcW w:w="850" w:type="dxa"/>
            <w:tcBorders>
              <w:top w:val="nil"/>
              <w:left w:val="nil"/>
              <w:bottom w:val="single" w:sz="4" w:space="0" w:color="auto"/>
              <w:right w:val="nil"/>
            </w:tcBorders>
            <w:shd w:val="clear" w:color="000000" w:fill="FFFFFF"/>
            <w:noWrap/>
            <w:vAlign w:val="center"/>
          </w:tcPr>
          <w:p w14:paraId="789203F0" w14:textId="3A5DA536" w:rsidR="003B53A0" w:rsidRPr="006D631C" w:rsidRDefault="003B53A0" w:rsidP="003B53A0">
            <w:pPr>
              <w:spacing w:line="240" w:lineRule="auto"/>
              <w:jc w:val="left"/>
              <w:rPr>
                <w:color w:val="000000"/>
                <w:sz w:val="12"/>
                <w:szCs w:val="12"/>
              </w:rPr>
            </w:pPr>
            <w:r w:rsidRPr="006D631C">
              <w:rPr>
                <w:color w:val="000000"/>
                <w:sz w:val="12"/>
                <w:szCs w:val="12"/>
              </w:rPr>
              <w:t>A-18b</w:t>
            </w:r>
          </w:p>
        </w:tc>
        <w:tc>
          <w:tcPr>
            <w:tcW w:w="567" w:type="dxa"/>
            <w:tcBorders>
              <w:top w:val="nil"/>
              <w:left w:val="nil"/>
              <w:bottom w:val="single" w:sz="4" w:space="0" w:color="auto"/>
              <w:right w:val="nil"/>
            </w:tcBorders>
            <w:shd w:val="clear" w:color="000000" w:fill="FFFFFF"/>
            <w:vAlign w:val="center"/>
          </w:tcPr>
          <w:p w14:paraId="14ADF91D" w14:textId="3597E18F" w:rsidR="003B53A0" w:rsidRPr="006D631C" w:rsidRDefault="003B53A0" w:rsidP="003B53A0">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713A88CD" w14:textId="1EB4F5BB" w:rsidR="003B53A0" w:rsidRPr="006D631C" w:rsidRDefault="003B53A0" w:rsidP="003B53A0">
            <w:pPr>
              <w:spacing w:line="240" w:lineRule="auto"/>
              <w:jc w:val="left"/>
              <w:rPr>
                <w:color w:val="000000"/>
                <w:sz w:val="12"/>
                <w:szCs w:val="12"/>
              </w:rPr>
            </w:pPr>
            <w:r w:rsidRPr="006D631C">
              <w:rPr>
                <w:color w:val="000000"/>
                <w:sz w:val="12"/>
                <w:szCs w:val="12"/>
              </w:rPr>
              <w:t>EP</w:t>
            </w:r>
          </w:p>
        </w:tc>
        <w:tc>
          <w:tcPr>
            <w:tcW w:w="1134" w:type="dxa"/>
            <w:tcBorders>
              <w:top w:val="nil"/>
              <w:left w:val="nil"/>
              <w:bottom w:val="single" w:sz="4" w:space="0" w:color="auto"/>
              <w:right w:val="nil"/>
            </w:tcBorders>
            <w:shd w:val="clear" w:color="000000" w:fill="FFFFFF"/>
            <w:vAlign w:val="center"/>
          </w:tcPr>
          <w:p w14:paraId="6D9F144F" w14:textId="568FDBBD" w:rsidR="003B53A0" w:rsidRPr="006D631C" w:rsidRDefault="003B53A0" w:rsidP="003B53A0">
            <w:pPr>
              <w:spacing w:line="240" w:lineRule="auto"/>
              <w:jc w:val="left"/>
              <w:rPr>
                <w:color w:val="000000"/>
                <w:sz w:val="12"/>
                <w:szCs w:val="12"/>
              </w:rPr>
            </w:pPr>
            <w:r w:rsidRPr="006D631C">
              <w:rPr>
                <w:color w:val="000000"/>
                <w:sz w:val="12"/>
                <w:szCs w:val="12"/>
              </w:rPr>
              <w:t>35 - 60 /  0.25 M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0ADB1403" w14:textId="6CD91E91" w:rsidR="003B53A0" w:rsidRPr="006D631C" w:rsidRDefault="003B53A0" w:rsidP="003B53A0">
            <w:pPr>
              <w:spacing w:line="240" w:lineRule="auto"/>
              <w:jc w:val="left"/>
              <w:rPr>
                <w:color w:val="000000"/>
                <w:sz w:val="12"/>
                <w:szCs w:val="12"/>
              </w:rPr>
            </w:pPr>
            <w:r w:rsidRPr="006D631C">
              <w:rPr>
                <w:color w:val="000000"/>
                <w:sz w:val="12"/>
                <w:szCs w:val="12"/>
              </w:rPr>
              <w:t>Retention of the structure even after removal of the template</w:t>
            </w:r>
          </w:p>
        </w:tc>
        <w:tc>
          <w:tcPr>
            <w:tcW w:w="993" w:type="dxa"/>
            <w:tcBorders>
              <w:top w:val="nil"/>
              <w:left w:val="nil"/>
              <w:bottom w:val="single" w:sz="4" w:space="0" w:color="auto"/>
              <w:right w:val="nil"/>
            </w:tcBorders>
            <w:shd w:val="clear" w:color="000000" w:fill="FFFFFF"/>
            <w:noWrap/>
            <w:vAlign w:val="center"/>
          </w:tcPr>
          <w:p w14:paraId="119B6D91" w14:textId="6076A4FF" w:rsidR="003B53A0" w:rsidRPr="006D631C" w:rsidRDefault="003B53A0" w:rsidP="003B53A0">
            <w:pPr>
              <w:spacing w:line="240" w:lineRule="auto"/>
              <w:jc w:val="left"/>
              <w:rPr>
                <w:color w:val="000000"/>
                <w:sz w:val="12"/>
                <w:szCs w:val="12"/>
              </w:rPr>
            </w:pPr>
            <w:r w:rsidRPr="006D631C">
              <w:rPr>
                <w:color w:val="000000"/>
                <w:sz w:val="12"/>
                <w:szCs w:val="12"/>
              </w:rPr>
              <w:t>6.65</w:t>
            </w:r>
          </w:p>
        </w:tc>
        <w:tc>
          <w:tcPr>
            <w:tcW w:w="1134" w:type="dxa"/>
            <w:tcBorders>
              <w:top w:val="nil"/>
              <w:left w:val="nil"/>
              <w:bottom w:val="single" w:sz="4" w:space="0" w:color="auto"/>
              <w:right w:val="nil"/>
            </w:tcBorders>
            <w:shd w:val="clear" w:color="000000" w:fill="FFFFFF"/>
            <w:noWrap/>
            <w:vAlign w:val="center"/>
          </w:tcPr>
          <w:p w14:paraId="12C7092D" w14:textId="42A4C272" w:rsidR="003B53A0" w:rsidRPr="006D631C" w:rsidRDefault="003B53A0" w:rsidP="003B53A0">
            <w:pPr>
              <w:spacing w:line="240" w:lineRule="auto"/>
              <w:jc w:val="left"/>
              <w:rPr>
                <w:color w:val="000000"/>
                <w:sz w:val="12"/>
                <w:szCs w:val="12"/>
              </w:rPr>
            </w:pPr>
            <w:r w:rsidRPr="006D631C">
              <w:rPr>
                <w:color w:val="000000"/>
                <w:sz w:val="12"/>
                <w:szCs w:val="12"/>
              </w:rPr>
              <w:t>-</w:t>
            </w:r>
          </w:p>
        </w:tc>
        <w:tc>
          <w:tcPr>
            <w:tcW w:w="5103" w:type="dxa"/>
            <w:tcBorders>
              <w:top w:val="single" w:sz="4" w:space="0" w:color="auto"/>
              <w:left w:val="nil"/>
              <w:bottom w:val="single" w:sz="4" w:space="0" w:color="auto"/>
              <w:right w:val="nil"/>
            </w:tcBorders>
            <w:shd w:val="clear" w:color="000000" w:fill="FFFFFF"/>
            <w:noWrap/>
            <w:vAlign w:val="center"/>
          </w:tcPr>
          <w:p w14:paraId="42B0F65D" w14:textId="77777777" w:rsidR="003B53A0" w:rsidRPr="006D631C" w:rsidRDefault="003B53A0" w:rsidP="003B53A0">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LLC templating eliminated the need for post-polymerization methods (e.g., stretching and rubbing) to align the conductive film layer</w:t>
            </w:r>
          </w:p>
          <w:p w14:paraId="78B7D158" w14:textId="1F1719B5" w:rsidR="003B53A0" w:rsidRPr="006D631C" w:rsidRDefault="003B53A0" w:rsidP="003B53A0">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Higher conductivity, and anisotropic absorption and conductivity of the templated film compared to the non-templated sample</w:t>
            </w:r>
          </w:p>
        </w:tc>
        <w:tc>
          <w:tcPr>
            <w:tcW w:w="566" w:type="dxa"/>
            <w:tcBorders>
              <w:top w:val="nil"/>
              <w:left w:val="nil"/>
              <w:bottom w:val="single" w:sz="4" w:space="0" w:color="auto"/>
              <w:right w:val="nil"/>
            </w:tcBorders>
            <w:shd w:val="clear" w:color="000000" w:fill="FFFFFF"/>
            <w:vAlign w:val="center"/>
          </w:tcPr>
          <w:p w14:paraId="3EE7208B" w14:textId="490AE5E2" w:rsidR="003B53A0" w:rsidRPr="006D631C" w:rsidRDefault="003B53A0" w:rsidP="000B67AC">
            <w:pPr>
              <w:spacing w:line="240" w:lineRule="auto"/>
              <w:ind w:right="-103"/>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{"citationItems":[{"id":"ITEM-1","itemData":{"DOI":"10.1002/anie.200390206","ISSN":"14337851","abstract":"Mimicking the texture and anisotropy of the template, birefringent conducting polymer films (see picture) have been obtained by electropolymerization of 3,4-ethyldioxythiophene (EDOT) within a hexagonal lyotropic liquid crystal. Using a self-assembled template to control molecular orientation in conducting polymers could enhance electronic and optical properties.","author":[{"dropping-particle":"","family":"Hulvat","given":"James F.","non-dropping-particle":"","parse-names":false,"suffix":""},{"dropping-particle":"","family":"Stupp","given":"Samuel I.","non-dropping-particle":"","parse-names":false,"suffix":""}],"container-title":"Angewandte Chemie - International Edition","id":"ITEM-1","issue":"7","issued":{"date-parts":[["2003"]]},"page":"778-781","title":"Liquid-crystal templating of conducting polymers","type":"article-journal","volume":"42"},"uris":["http://www.mendeley.com/documents/?uuid=7b97ab80-8504-4f36-bb48-6805b0f6dfde"]},{"id":"ITEM-2","itemData":{"DOI":"10.1002/adma.200306263","ISSN":"0935-9648","abstract":"Anisotropic films of poly(3,4-ethyl-dioxythiophene) (PEDOT) have been prepared by polymerization in an aqueous, self-organized liquid crystalline template. The cylindrical, hydrophobic cores of the hexagonal template direct electropolymerization, producing films with anisotropic optical absorption and conductivity.","author":[{"dropping-particle":"","family":"Hulvat","given":"J. F.","non-dropping-particle":"","parse-names":false,"suffix":""},{"dropping-particle":"","family":"Stupp","given":"S. I.","non-dropping-particle":"","parse-names":false,"suffix":""}],"container-title":"Advanced Materials","id":"ITEM-2","issue":"7","issued":{"date-parts":[["2004"]]},"page":"589-592","title":"Anisotropic Properties of Conducting Polymers Prepared by Liquid Crystal Templating","type":"article-journal","volume":"16"},"uris":["http://www.mendeley.com/documents/?uuid=f4d3bd88-6692-42de-ac1b-2e9eda2ee9ca"]}],"mendeley":{"formattedCitation":"&lt;sup&gt;163,164&lt;/sup&gt;","plainTextFormattedCitation":"163,164","previouslyFormattedCitation":"&lt;sup&gt;163,164&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163,164</w:t>
            </w:r>
            <w:r w:rsidRPr="006D631C">
              <w:rPr>
                <w:color w:val="000000"/>
                <w:sz w:val="12"/>
                <w:szCs w:val="12"/>
              </w:rPr>
              <w:fldChar w:fldCharType="end"/>
            </w:r>
          </w:p>
        </w:tc>
      </w:tr>
      <w:tr w:rsidR="003B53A0" w:rsidRPr="006D631C" w14:paraId="71C06B35" w14:textId="77777777" w:rsidTr="0035691D">
        <w:trPr>
          <w:trHeight w:val="20"/>
        </w:trPr>
        <w:tc>
          <w:tcPr>
            <w:tcW w:w="851" w:type="dxa"/>
            <w:vMerge/>
            <w:tcBorders>
              <w:left w:val="nil"/>
              <w:bottom w:val="single" w:sz="4" w:space="0" w:color="auto"/>
              <w:right w:val="nil"/>
            </w:tcBorders>
            <w:shd w:val="clear" w:color="000000" w:fill="FFFFFF"/>
            <w:vAlign w:val="center"/>
          </w:tcPr>
          <w:p w14:paraId="3FC363F5" w14:textId="77777777" w:rsidR="003B53A0" w:rsidRPr="006D631C" w:rsidRDefault="003B53A0" w:rsidP="003B53A0">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45DE77BC" w14:textId="1F43C50D" w:rsidR="003B53A0" w:rsidRPr="006D631C" w:rsidRDefault="003B53A0" w:rsidP="003B53A0">
            <w:pPr>
              <w:spacing w:line="240" w:lineRule="auto"/>
              <w:jc w:val="left"/>
              <w:rPr>
                <w:color w:val="000000"/>
                <w:sz w:val="12"/>
                <w:szCs w:val="12"/>
              </w:rPr>
            </w:pPr>
            <w:r w:rsidRPr="006D631C">
              <w:rPr>
                <w:color w:val="000000"/>
                <w:sz w:val="12"/>
                <w:szCs w:val="12"/>
              </w:rPr>
              <w:t>A-5</w:t>
            </w:r>
          </w:p>
        </w:tc>
        <w:tc>
          <w:tcPr>
            <w:tcW w:w="567" w:type="dxa"/>
            <w:tcBorders>
              <w:top w:val="nil"/>
              <w:left w:val="nil"/>
              <w:bottom w:val="single" w:sz="4" w:space="0" w:color="auto"/>
              <w:right w:val="nil"/>
            </w:tcBorders>
            <w:shd w:val="clear" w:color="000000" w:fill="FFFFFF"/>
            <w:vAlign w:val="center"/>
          </w:tcPr>
          <w:p w14:paraId="02A436F3" w14:textId="05EB4D75" w:rsidR="003B53A0" w:rsidRPr="006D631C" w:rsidRDefault="003B53A0" w:rsidP="003B53A0">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70DCBEF9" w14:textId="2F072ACA" w:rsidR="003B53A0" w:rsidRPr="006D631C" w:rsidRDefault="003B53A0" w:rsidP="003B53A0">
            <w:pPr>
              <w:spacing w:line="240" w:lineRule="auto"/>
              <w:jc w:val="left"/>
              <w:rPr>
                <w:color w:val="000000"/>
                <w:sz w:val="12"/>
                <w:szCs w:val="12"/>
              </w:rPr>
            </w:pPr>
            <w:r w:rsidRPr="006D631C">
              <w:rPr>
                <w:color w:val="000000"/>
                <w:sz w:val="12"/>
                <w:szCs w:val="12"/>
              </w:rPr>
              <w:t>I-22</w:t>
            </w:r>
          </w:p>
        </w:tc>
        <w:tc>
          <w:tcPr>
            <w:tcW w:w="1134" w:type="dxa"/>
            <w:tcBorders>
              <w:top w:val="nil"/>
              <w:left w:val="nil"/>
              <w:bottom w:val="single" w:sz="4" w:space="0" w:color="auto"/>
              <w:right w:val="nil"/>
            </w:tcBorders>
            <w:shd w:val="clear" w:color="000000" w:fill="FFFFFF"/>
            <w:vAlign w:val="center"/>
          </w:tcPr>
          <w:p w14:paraId="5F97473A" w14:textId="28C2114B" w:rsidR="003B53A0" w:rsidRPr="006D631C" w:rsidRDefault="003B53A0" w:rsidP="003B53A0">
            <w:pPr>
              <w:spacing w:line="240" w:lineRule="auto"/>
              <w:jc w:val="left"/>
              <w:rPr>
                <w:color w:val="000000"/>
                <w:sz w:val="12"/>
                <w:szCs w:val="12"/>
              </w:rPr>
            </w:pPr>
            <w:r w:rsidRPr="006D631C">
              <w:rPr>
                <w:color w:val="000000"/>
                <w:sz w:val="12"/>
                <w:szCs w:val="12"/>
              </w:rPr>
              <w:t>Up to 0.3 M monomer was used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499454B6" w14:textId="45C47A43" w:rsidR="003B53A0" w:rsidRPr="006D631C" w:rsidRDefault="003B53A0" w:rsidP="003B53A0">
            <w:pPr>
              <w:spacing w:line="240" w:lineRule="auto"/>
              <w:jc w:val="left"/>
              <w:rPr>
                <w:color w:val="000000"/>
                <w:sz w:val="12"/>
                <w:szCs w:val="12"/>
              </w:rPr>
            </w:pPr>
            <w:r w:rsidRPr="006D631C">
              <w:rPr>
                <w:color w:val="000000"/>
                <w:sz w:val="12"/>
                <w:szCs w:val="12"/>
              </w:rPr>
              <w:t>Limited retention of the structure</w:t>
            </w:r>
          </w:p>
        </w:tc>
        <w:tc>
          <w:tcPr>
            <w:tcW w:w="993" w:type="dxa"/>
            <w:tcBorders>
              <w:top w:val="nil"/>
              <w:left w:val="nil"/>
              <w:bottom w:val="single" w:sz="4" w:space="0" w:color="auto"/>
              <w:right w:val="nil"/>
            </w:tcBorders>
            <w:shd w:val="clear" w:color="000000" w:fill="FFFFFF"/>
            <w:noWrap/>
            <w:vAlign w:val="center"/>
          </w:tcPr>
          <w:p w14:paraId="5A829F62" w14:textId="1D9336EE" w:rsidR="003B53A0" w:rsidRPr="006D631C" w:rsidRDefault="003B53A0" w:rsidP="003B53A0">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60296790" w14:textId="33AF1317" w:rsidR="003B53A0" w:rsidRPr="006D631C" w:rsidRDefault="003B53A0" w:rsidP="003B53A0">
            <w:pPr>
              <w:spacing w:line="240" w:lineRule="auto"/>
              <w:jc w:val="left"/>
              <w:rPr>
                <w:color w:val="000000"/>
                <w:sz w:val="12"/>
                <w:szCs w:val="12"/>
              </w:rPr>
            </w:pPr>
            <w:r w:rsidRPr="006D631C">
              <w:rPr>
                <w:color w:val="000000"/>
                <w:sz w:val="12"/>
                <w:szCs w:val="12"/>
              </w:rPr>
              <w:t>40 (thickness of spindle like nanostructures)</w:t>
            </w:r>
          </w:p>
        </w:tc>
        <w:tc>
          <w:tcPr>
            <w:tcW w:w="5103" w:type="dxa"/>
            <w:tcBorders>
              <w:top w:val="single" w:sz="4" w:space="0" w:color="auto"/>
              <w:left w:val="nil"/>
              <w:bottom w:val="single" w:sz="4" w:space="0" w:color="auto"/>
              <w:right w:val="nil"/>
            </w:tcBorders>
            <w:shd w:val="clear" w:color="000000" w:fill="FFFFFF"/>
            <w:noWrap/>
            <w:vAlign w:val="center"/>
          </w:tcPr>
          <w:p w14:paraId="5FDCA386" w14:textId="77777777" w:rsidR="003B53A0" w:rsidRPr="006D631C" w:rsidRDefault="003B53A0" w:rsidP="003B53A0">
            <w:pPr>
              <w:pStyle w:val="ListParagraph"/>
              <w:numPr>
                <w:ilvl w:val="0"/>
                <w:numId w:val="11"/>
              </w:numPr>
              <w:spacing w:after="0" w:line="240" w:lineRule="auto"/>
              <w:ind w:left="176" w:hanging="144"/>
              <w:jc w:val="left"/>
              <w:rPr>
                <w:rFonts w:eastAsia="Times New Roman" w:cs="Times New Roman"/>
                <w:color w:val="000000"/>
                <w:sz w:val="12"/>
                <w:szCs w:val="12"/>
              </w:rPr>
            </w:pPr>
            <w:r w:rsidRPr="006D631C">
              <w:rPr>
                <w:rFonts w:eastAsia="Times New Roman" w:cs="Times New Roman"/>
                <w:color w:val="000000"/>
                <w:sz w:val="12"/>
                <w:szCs w:val="12"/>
              </w:rPr>
              <w:t>Good thermal stability (up to 200 ̊C) of the obtained nanostructures</w:t>
            </w:r>
          </w:p>
          <w:p w14:paraId="2F76EDE8" w14:textId="2E7A472A" w:rsidR="003B53A0" w:rsidRPr="006D631C" w:rsidRDefault="003B53A0" w:rsidP="003B53A0">
            <w:pPr>
              <w:pStyle w:val="ListParagraph"/>
              <w:numPr>
                <w:ilvl w:val="0"/>
                <w:numId w:val="11"/>
              </w:numPr>
              <w:spacing w:after="0" w:line="240" w:lineRule="auto"/>
              <w:ind w:left="176" w:hanging="144"/>
              <w:jc w:val="left"/>
              <w:rPr>
                <w:rFonts w:eastAsia="Times New Roman" w:cs="Times New Roman"/>
                <w:color w:val="000000"/>
                <w:sz w:val="12"/>
                <w:szCs w:val="12"/>
              </w:rPr>
            </w:pPr>
            <w:r w:rsidRPr="006D631C">
              <w:rPr>
                <w:rFonts w:eastAsia="Times New Roman" w:cs="Times New Roman"/>
                <w:color w:val="000000"/>
                <w:sz w:val="12"/>
                <w:szCs w:val="12"/>
              </w:rPr>
              <w:t>Higher electrical conductivity of the produced nanostructures compared to non-templated products</w:t>
            </w:r>
          </w:p>
        </w:tc>
        <w:tc>
          <w:tcPr>
            <w:tcW w:w="566" w:type="dxa"/>
            <w:tcBorders>
              <w:top w:val="nil"/>
              <w:left w:val="nil"/>
              <w:bottom w:val="single" w:sz="4" w:space="0" w:color="auto"/>
              <w:right w:val="nil"/>
            </w:tcBorders>
            <w:shd w:val="clear" w:color="000000" w:fill="FFFFFF"/>
            <w:vAlign w:val="center"/>
          </w:tcPr>
          <w:p w14:paraId="0091BB05" w14:textId="17A5969A" w:rsidR="003B53A0" w:rsidRPr="006D631C" w:rsidRDefault="003B53A0" w:rsidP="000B67AC">
            <w:pPr>
              <w:spacing w:line="240" w:lineRule="auto"/>
              <w:jc w:val="left"/>
              <w:rPr>
                <w:color w:val="000000"/>
                <w:sz w:val="12"/>
                <w:szCs w:val="12"/>
              </w:rPr>
            </w:pPr>
            <w:r w:rsidRPr="006D631C">
              <w:rPr>
                <w:color w:val="000000"/>
                <w:sz w:val="12"/>
                <w:szCs w:val="12"/>
              </w:rPr>
              <w:fldChar w:fldCharType="begin" w:fldLock="1"/>
            </w:r>
            <w:r w:rsidR="004C7F22" w:rsidRPr="006D631C">
              <w:rPr>
                <w:color w:val="000000"/>
                <w:sz w:val="12"/>
                <w:szCs w:val="12"/>
              </w:rPr>
              <w:instrText>ADDIN CSL_CITATION {"citationItems":[{"id":"ITEM-1","itemData":{"DOI":"10.1039/C3NJ01349A","ISSN":"1144-0546","abstract":"Anisotropic conducting PEDOT polymers are prepared within hexagonal mesophases according to an original one-pot synthesis and are characterized after extraction.","author":[{"dropping-particle":"","family":"Ghosh","given":"Srabanti","non-dropping-particle":"","parse-names":false,"suffix":""},{"dropping-particle":"","family":"Remita","given":"Hynd","non-dropping-particle":"","parse-names":false,"suffix":""},{"dropping-particle":"","family":"Ramos","given":"Laurence","non-dropping-particle":"","parse-names":false,"suffix":""},{"dropping-particle":"","family":"Dazzi","given":"Alexandre","non-dropping-particle":"","parse-names":false,"suffix":""},{"dropping-particle":"","family":"Deniset-Besseau","given":"Ariane","non-dropping-particle":"","parse-names":false,"suffix":""},{"dropping-particle":"","family":"Beaunier","given":"Patricia","non-dropping-particle":"","parse-names":false,"suffix":""},{"dropping-particle":"","family":"Goubard","given":"Fabrice","non-dropping-particle":"","parse-names":false,"suffix":""},{"dropping-particle":"","family":"Aubert","given":"Pierre-Henri","non-dropping-particle":"","parse-names":false,"suffix":""},{"dropping-particle":"","family":"Brisset","given":"Francois","non-dropping-particle":"","parse-names":false,"suffix":""},{"dropping-particle":"","family":"Remita","given":"Samy","non-dropping-particle":"","parse-names":false,"suffix":""}],"container-title":"New J. Chem.","id":"ITEM-1","issue":"3","issued":{"date-parts":[["2014"]]},"page":"1106-1115","title":"PEDOT nanostructures synthesized in hexagonal mesophases","type":"article-journal","volume":"38"},"uris":["http://www.mendeley.com/documents/?uuid=2c3042a9-ba1c-4113-a40b-b454455774b2"]}],"mendeley":{"formattedCitation":"&lt;sup&gt;165&lt;/sup&gt;","plainTextFormattedCitation":"165","previouslyFormattedCitation":"&lt;sup&gt;165&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165</w:t>
            </w:r>
            <w:r w:rsidRPr="006D631C">
              <w:rPr>
                <w:color w:val="000000"/>
                <w:sz w:val="12"/>
                <w:szCs w:val="12"/>
              </w:rPr>
              <w:fldChar w:fldCharType="end"/>
            </w:r>
          </w:p>
        </w:tc>
      </w:tr>
      <w:tr w:rsidR="003B53A0" w:rsidRPr="006D631C" w14:paraId="35C27EC7" w14:textId="77777777" w:rsidTr="0035691D">
        <w:trPr>
          <w:trHeight w:val="20"/>
        </w:trPr>
        <w:tc>
          <w:tcPr>
            <w:tcW w:w="851" w:type="dxa"/>
            <w:tcBorders>
              <w:top w:val="nil"/>
              <w:left w:val="nil"/>
              <w:bottom w:val="single" w:sz="4" w:space="0" w:color="auto"/>
              <w:right w:val="nil"/>
            </w:tcBorders>
            <w:shd w:val="clear" w:color="000000" w:fill="FFFFFF"/>
            <w:vAlign w:val="center"/>
          </w:tcPr>
          <w:p w14:paraId="37008555" w14:textId="41016472" w:rsidR="003B53A0" w:rsidRPr="006D631C" w:rsidRDefault="003B53A0" w:rsidP="003B53A0">
            <w:pPr>
              <w:spacing w:line="240" w:lineRule="auto"/>
              <w:jc w:val="left"/>
              <w:rPr>
                <w:color w:val="000000"/>
                <w:sz w:val="12"/>
                <w:szCs w:val="12"/>
              </w:rPr>
            </w:pPr>
            <w:r w:rsidRPr="006D631C">
              <w:rPr>
                <w:color w:val="000000"/>
                <w:sz w:val="12"/>
                <w:szCs w:val="12"/>
              </w:rPr>
              <w:t>M-19</w:t>
            </w:r>
          </w:p>
        </w:tc>
        <w:tc>
          <w:tcPr>
            <w:tcW w:w="850" w:type="dxa"/>
            <w:tcBorders>
              <w:top w:val="nil"/>
              <w:left w:val="nil"/>
              <w:bottom w:val="single" w:sz="4" w:space="0" w:color="auto"/>
              <w:right w:val="nil"/>
            </w:tcBorders>
            <w:shd w:val="clear" w:color="000000" w:fill="FFFFFF"/>
            <w:noWrap/>
            <w:vAlign w:val="center"/>
          </w:tcPr>
          <w:p w14:paraId="2A07D1D7" w14:textId="6D7733D1" w:rsidR="003B53A0" w:rsidRPr="006D631C" w:rsidRDefault="003B53A0" w:rsidP="003B53A0">
            <w:pPr>
              <w:spacing w:line="240" w:lineRule="auto"/>
              <w:jc w:val="left"/>
              <w:rPr>
                <w:color w:val="000000"/>
                <w:sz w:val="12"/>
                <w:szCs w:val="12"/>
              </w:rPr>
            </w:pPr>
            <w:r w:rsidRPr="006D631C">
              <w:rPr>
                <w:color w:val="000000"/>
                <w:sz w:val="12"/>
                <w:szCs w:val="12"/>
              </w:rPr>
              <w:t>A-18</w:t>
            </w:r>
          </w:p>
        </w:tc>
        <w:tc>
          <w:tcPr>
            <w:tcW w:w="567" w:type="dxa"/>
            <w:tcBorders>
              <w:top w:val="nil"/>
              <w:left w:val="nil"/>
              <w:bottom w:val="single" w:sz="4" w:space="0" w:color="auto"/>
              <w:right w:val="nil"/>
            </w:tcBorders>
            <w:shd w:val="clear" w:color="000000" w:fill="FFFFFF"/>
            <w:vAlign w:val="center"/>
          </w:tcPr>
          <w:p w14:paraId="0909F548" w14:textId="110BC0EE" w:rsidR="003B53A0" w:rsidRPr="006D631C" w:rsidRDefault="003B53A0" w:rsidP="003B53A0">
            <w:pPr>
              <w:spacing w:line="240" w:lineRule="auto"/>
              <w:jc w:val="left"/>
              <w:rPr>
                <w:color w:val="000000"/>
                <w:sz w:val="12"/>
                <w:szCs w:val="12"/>
              </w:rPr>
            </w:pPr>
            <w:r w:rsidRPr="006D631C">
              <w:rPr>
                <w:color w:val="000000"/>
                <w:sz w:val="12"/>
                <w:szCs w:val="12"/>
              </w:rPr>
              <w:t>C-4</w:t>
            </w:r>
          </w:p>
        </w:tc>
        <w:tc>
          <w:tcPr>
            <w:tcW w:w="709" w:type="dxa"/>
            <w:tcBorders>
              <w:top w:val="nil"/>
              <w:left w:val="nil"/>
              <w:bottom w:val="single" w:sz="4" w:space="0" w:color="auto"/>
              <w:right w:val="nil"/>
            </w:tcBorders>
            <w:shd w:val="clear" w:color="000000" w:fill="FFFFFF"/>
            <w:vAlign w:val="center"/>
          </w:tcPr>
          <w:p w14:paraId="5E138C44" w14:textId="54E2A4CE" w:rsidR="003B53A0" w:rsidRPr="006D631C" w:rsidRDefault="003D31D7" w:rsidP="003B53A0">
            <w:pPr>
              <w:spacing w:line="240" w:lineRule="auto"/>
              <w:jc w:val="left"/>
              <w:rPr>
                <w:color w:val="000000"/>
                <w:sz w:val="12"/>
                <w:szCs w:val="12"/>
              </w:rPr>
            </w:pPr>
            <w:r w:rsidRPr="006D631C">
              <w:rPr>
                <w:color w:val="000000"/>
                <w:sz w:val="12"/>
                <w:szCs w:val="12"/>
              </w:rPr>
              <w:t>PC</w:t>
            </w:r>
          </w:p>
        </w:tc>
        <w:tc>
          <w:tcPr>
            <w:tcW w:w="1134" w:type="dxa"/>
            <w:tcBorders>
              <w:top w:val="nil"/>
              <w:left w:val="nil"/>
              <w:bottom w:val="single" w:sz="4" w:space="0" w:color="auto"/>
              <w:right w:val="nil"/>
            </w:tcBorders>
            <w:shd w:val="clear" w:color="000000" w:fill="FFFFFF"/>
            <w:vAlign w:val="center"/>
          </w:tcPr>
          <w:p w14:paraId="2EF906FD" w14:textId="736A2BE6" w:rsidR="003B53A0" w:rsidRPr="006D631C" w:rsidRDefault="003B53A0" w:rsidP="003B53A0">
            <w:pPr>
              <w:spacing w:line="240" w:lineRule="auto"/>
              <w:jc w:val="left"/>
              <w:rPr>
                <w:color w:val="000000"/>
                <w:sz w:val="12"/>
                <w:szCs w:val="12"/>
              </w:rPr>
            </w:pPr>
            <w:r w:rsidRPr="006D631C">
              <w:rPr>
                <w:color w:val="000000"/>
                <w:sz w:val="12"/>
                <w:szCs w:val="12"/>
              </w:rPr>
              <w:t>50 - 70 / ~8 (H1,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228DDC2C" w14:textId="5E7C2FE5" w:rsidR="003B53A0" w:rsidRPr="006D631C" w:rsidRDefault="003B53A0" w:rsidP="003B53A0">
            <w:pPr>
              <w:spacing w:line="240" w:lineRule="auto"/>
              <w:jc w:val="left"/>
              <w:rPr>
                <w:color w:val="000000"/>
                <w:sz w:val="12"/>
                <w:szCs w:val="12"/>
              </w:rPr>
            </w:pPr>
            <w:r w:rsidRPr="006D631C">
              <w:rPr>
                <w:color w:val="000000"/>
                <w:sz w:val="12"/>
                <w:szCs w:val="12"/>
              </w:rPr>
              <w:t>Formation of rod and sheet particles from H</w:t>
            </w:r>
            <w:r w:rsidRPr="006D631C">
              <w:rPr>
                <w:color w:val="000000"/>
                <w:sz w:val="12"/>
                <w:szCs w:val="12"/>
                <w:vertAlign w:val="subscript"/>
              </w:rPr>
              <w:t>1</w:t>
            </w:r>
            <w:r w:rsidRPr="006D631C">
              <w:rPr>
                <w:color w:val="000000"/>
                <w:sz w:val="12"/>
                <w:szCs w:val="12"/>
              </w:rPr>
              <w:t xml:space="preserve"> and L</w:t>
            </w:r>
            <w:r w:rsidRPr="006D631C">
              <w:rPr>
                <w:color w:val="000000"/>
                <w:sz w:val="12"/>
                <w:szCs w:val="12"/>
                <w:vertAlign w:val="subscript"/>
              </w:rPr>
              <w:t>α</w:t>
            </w:r>
            <w:r w:rsidRPr="006D631C">
              <w:rPr>
                <w:color w:val="000000"/>
                <w:sz w:val="12"/>
                <w:szCs w:val="12"/>
              </w:rPr>
              <w:t>, respectively after about 5 days</w:t>
            </w:r>
          </w:p>
        </w:tc>
        <w:tc>
          <w:tcPr>
            <w:tcW w:w="993" w:type="dxa"/>
            <w:tcBorders>
              <w:top w:val="nil"/>
              <w:left w:val="nil"/>
              <w:bottom w:val="single" w:sz="4" w:space="0" w:color="auto"/>
              <w:right w:val="nil"/>
            </w:tcBorders>
            <w:shd w:val="clear" w:color="000000" w:fill="FFFFFF"/>
            <w:noWrap/>
            <w:vAlign w:val="center"/>
          </w:tcPr>
          <w:p w14:paraId="374449AB" w14:textId="5D465C86" w:rsidR="003B53A0" w:rsidRPr="006D631C" w:rsidRDefault="003B53A0" w:rsidP="003B53A0">
            <w:pPr>
              <w:spacing w:line="240" w:lineRule="auto"/>
              <w:jc w:val="left"/>
              <w:rPr>
                <w:color w:val="000000"/>
                <w:sz w:val="12"/>
                <w:szCs w:val="12"/>
              </w:rPr>
            </w:pPr>
            <w:r w:rsidRPr="006D631C">
              <w:rPr>
                <w:color w:val="000000"/>
                <w:sz w:val="12"/>
                <w:szCs w:val="12"/>
              </w:rPr>
              <w:t>6.37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51CAFC1D" w14:textId="6F5875F1" w:rsidR="003B53A0" w:rsidRPr="006D631C" w:rsidRDefault="003B53A0" w:rsidP="003B53A0">
            <w:pPr>
              <w:spacing w:line="240" w:lineRule="auto"/>
              <w:jc w:val="left"/>
              <w:rPr>
                <w:color w:val="000000"/>
                <w:sz w:val="12"/>
                <w:szCs w:val="12"/>
              </w:rPr>
            </w:pPr>
            <w:r w:rsidRPr="006D631C">
              <w:rPr>
                <w:color w:val="000000"/>
                <w:sz w:val="12"/>
                <w:szCs w:val="12"/>
              </w:rPr>
              <w:t>6.62 (H</w:t>
            </w:r>
            <w:r w:rsidRPr="006D631C">
              <w:rPr>
                <w:color w:val="000000"/>
                <w:sz w:val="12"/>
                <w:szCs w:val="12"/>
                <w:vertAlign w:val="subscript"/>
              </w:rPr>
              <w:t>1</w:t>
            </w:r>
            <w:r w:rsidRPr="006D631C">
              <w:rPr>
                <w:color w:val="000000"/>
                <w:sz w:val="12"/>
                <w:szCs w:val="12"/>
              </w:rPr>
              <w:t>) after 5 days</w:t>
            </w:r>
          </w:p>
        </w:tc>
        <w:tc>
          <w:tcPr>
            <w:tcW w:w="5103" w:type="dxa"/>
            <w:tcBorders>
              <w:top w:val="single" w:sz="4" w:space="0" w:color="auto"/>
              <w:left w:val="nil"/>
              <w:bottom w:val="single" w:sz="4" w:space="0" w:color="auto"/>
              <w:right w:val="nil"/>
            </w:tcBorders>
            <w:shd w:val="clear" w:color="000000" w:fill="FFFFFF"/>
            <w:noWrap/>
            <w:vAlign w:val="center"/>
          </w:tcPr>
          <w:p w14:paraId="474E35EA" w14:textId="69BC599E" w:rsidR="003B53A0" w:rsidRPr="006D631C" w:rsidRDefault="003B53A0" w:rsidP="003B53A0">
            <w:pPr>
              <w:pStyle w:val="ListParagraph"/>
              <w:numPr>
                <w:ilvl w:val="0"/>
                <w:numId w:val="11"/>
              </w:numPr>
              <w:spacing w:after="0" w:line="240" w:lineRule="auto"/>
              <w:ind w:left="176" w:hanging="144"/>
              <w:jc w:val="left"/>
              <w:rPr>
                <w:rFonts w:eastAsia="Times New Roman" w:cs="Times New Roman"/>
                <w:color w:val="000000"/>
                <w:sz w:val="12"/>
                <w:szCs w:val="12"/>
              </w:rPr>
            </w:pPr>
            <w:r w:rsidRPr="006D631C">
              <w:rPr>
                <w:rFonts w:eastAsia="Times New Roman" w:cs="Times New Roman"/>
                <w:color w:val="000000"/>
                <w:sz w:val="12"/>
                <w:szCs w:val="12"/>
              </w:rPr>
              <w:t xml:space="preserve">LLC structures were preserved after </w:t>
            </w:r>
            <w:proofErr w:type="spellStart"/>
            <w:r w:rsidRPr="006D631C">
              <w:rPr>
                <w:rFonts w:eastAsia="Times New Roman" w:cs="Times New Roman"/>
                <w:color w:val="000000"/>
                <w:sz w:val="12"/>
                <w:szCs w:val="12"/>
              </w:rPr>
              <w:t>reaction.However</w:t>
            </w:r>
            <w:proofErr w:type="spellEnd"/>
            <w:r w:rsidRPr="006D631C">
              <w:rPr>
                <w:rFonts w:eastAsia="Times New Roman" w:cs="Times New Roman"/>
                <w:color w:val="000000"/>
                <w:sz w:val="12"/>
                <w:szCs w:val="12"/>
              </w:rPr>
              <w:t xml:space="preserve">, the structure of produced polymer changed from polyLLC to polymeric particles after ~ 5 days </w:t>
            </w:r>
          </w:p>
          <w:p w14:paraId="45D1F162" w14:textId="77777777" w:rsidR="003B53A0" w:rsidRPr="006D631C" w:rsidRDefault="003B53A0" w:rsidP="003B53A0">
            <w:pPr>
              <w:pStyle w:val="ListParagraph"/>
              <w:numPr>
                <w:ilvl w:val="0"/>
                <w:numId w:val="11"/>
              </w:numPr>
              <w:spacing w:after="0" w:line="240" w:lineRule="auto"/>
              <w:ind w:left="176" w:hanging="144"/>
              <w:jc w:val="left"/>
              <w:rPr>
                <w:rFonts w:eastAsia="Times New Roman" w:cs="Times New Roman"/>
                <w:color w:val="000000"/>
                <w:sz w:val="12"/>
                <w:szCs w:val="12"/>
              </w:rPr>
            </w:pPr>
            <w:r w:rsidRPr="006D631C">
              <w:rPr>
                <w:rFonts w:eastAsia="Times New Roman" w:cs="Times New Roman"/>
                <w:color w:val="000000"/>
                <w:sz w:val="12"/>
                <w:szCs w:val="12"/>
              </w:rPr>
              <w:t xml:space="preserve">Slow condensation and cross-linking kinetics, gradual build-up of molecular weight, and the nonlinear architecture of the </w:t>
            </w:r>
            <w:proofErr w:type="spellStart"/>
            <w:r w:rsidRPr="006D631C">
              <w:rPr>
                <w:rFonts w:eastAsia="Times New Roman" w:cs="Times New Roman"/>
                <w:color w:val="000000"/>
                <w:sz w:val="12"/>
                <w:szCs w:val="12"/>
              </w:rPr>
              <w:t>polysiloxane</w:t>
            </w:r>
            <w:proofErr w:type="spellEnd"/>
            <w:r w:rsidRPr="006D631C">
              <w:rPr>
                <w:rFonts w:eastAsia="Times New Roman" w:cs="Times New Roman"/>
                <w:color w:val="000000"/>
                <w:sz w:val="12"/>
                <w:szCs w:val="12"/>
              </w:rPr>
              <w:t xml:space="preserve"> molecules seemed to be the reason of the particles formation</w:t>
            </w:r>
          </w:p>
          <w:p w14:paraId="7336B9F3" w14:textId="478FE1CB" w:rsidR="003B53A0" w:rsidRPr="006D631C" w:rsidRDefault="003B53A0" w:rsidP="003B53A0">
            <w:pPr>
              <w:pStyle w:val="ListParagraph"/>
              <w:numPr>
                <w:ilvl w:val="0"/>
                <w:numId w:val="11"/>
              </w:numPr>
              <w:spacing w:after="0" w:line="240" w:lineRule="auto"/>
              <w:ind w:left="176" w:hanging="144"/>
              <w:jc w:val="left"/>
              <w:rPr>
                <w:rFonts w:eastAsia="Times New Roman" w:cs="Times New Roman"/>
                <w:color w:val="000000"/>
                <w:sz w:val="12"/>
                <w:szCs w:val="12"/>
              </w:rPr>
            </w:pPr>
            <w:r w:rsidRPr="006D631C">
              <w:rPr>
                <w:rFonts w:eastAsia="Times New Roman" w:cs="Times New Roman"/>
                <w:color w:val="000000"/>
                <w:sz w:val="12"/>
                <w:szCs w:val="12"/>
              </w:rPr>
              <w:t>The particles were thermally stable while the polymerized LLCs were not</w:t>
            </w:r>
          </w:p>
        </w:tc>
        <w:tc>
          <w:tcPr>
            <w:tcW w:w="566" w:type="dxa"/>
            <w:tcBorders>
              <w:top w:val="nil"/>
              <w:left w:val="nil"/>
              <w:bottom w:val="single" w:sz="4" w:space="0" w:color="auto"/>
              <w:right w:val="nil"/>
            </w:tcBorders>
            <w:shd w:val="clear" w:color="000000" w:fill="FFFFFF"/>
            <w:vAlign w:val="center"/>
          </w:tcPr>
          <w:p w14:paraId="1588A22E" w14:textId="7326C2D2" w:rsidR="003B53A0" w:rsidRPr="006D631C" w:rsidRDefault="003B53A0"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{"citationItems":[{"id":"ITEM-1","itemData":{"DOI":"10.1021/cm048240r","ISSN":"08974756","abstract":"We report the formation of cross-linked polysiloxane particles having rodlike and sheetlike morphologies by condensation of monomers in organized liquid crystalline mesophases of nonionic surfactants. The characteristic diffraction pattern obtained from the liquid crystalline surfactant assembly is preserved during polymer synthesis. The polymer colloids are rodlike when synthesized in a hexagonal mesophase and are sheetlike when synthesized in a lamellar mesophase. Interestingly, the size of the polymer particles is on the order of micrometers, viz. 3 orders of magnitude larger than the characteristic size of the surfactant mesophase. Thus, the polymers phase separate from the liquid crystalline phase during polymerization, and organize to resemble the mesophase geometry. The polymer particles are organized so as to minimize the elastic distortion of the surfactant mesophase after they phase separate. We speculate that the observed particle morphologies are formed due to the slow kinetics of polycondensation under our experimental conditions. © 2005 American Chemical Society.","author":[{"dropping-particle":"","family":"Wadekar","given":"Mohan N.","non-dropping-particle":"","parse-names":false,"suffix":""},{"dropping-particle":"","family":"Pasricha","given":"Renu","non-dropping-particle":"","parse-names":false,"suffix":""},{"dropping-particle":"","family":"Gaikwad","given":"Anil B.","non-dropping-particle":"","parse-names":false,"suffix":""},{"dropping-particle":"","family":"Kumaraswamy","given":"Guruswamy","non-dropping-particle":"","parse-names":false,"suffix":""}],"container-title":"Chemistry of Materials","id":"ITEM-1","issue":"9","issued":{"date-parts":[["2005"]]},"page":"2460-2465","title":"Polymerization in surfactant liquid crystalline phases","type":"article-journal","volume":"17"},"uris":["http://www.mendeley.com/documents/?uuid=f80d8b06-f253-450b-89e2-af470aab059d"]}],"mendeley":{"formattedCitation":"&lt;sup&gt;166&lt;/sup&gt;","plainTextFormattedCitation":"166","previouslyFormattedCitation":"&lt;sup&gt;166&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166</w:t>
            </w:r>
            <w:r w:rsidRPr="006D631C">
              <w:rPr>
                <w:color w:val="000000"/>
                <w:sz w:val="12"/>
                <w:szCs w:val="12"/>
              </w:rPr>
              <w:fldChar w:fldCharType="end"/>
            </w:r>
          </w:p>
        </w:tc>
      </w:tr>
      <w:tr w:rsidR="00F9398B" w:rsidRPr="006D631C" w14:paraId="05BE1C28" w14:textId="77777777" w:rsidTr="0035691D">
        <w:trPr>
          <w:trHeight w:val="20"/>
        </w:trPr>
        <w:tc>
          <w:tcPr>
            <w:tcW w:w="851" w:type="dxa"/>
            <w:vMerge w:val="restart"/>
            <w:tcBorders>
              <w:top w:val="nil"/>
              <w:left w:val="nil"/>
              <w:right w:val="nil"/>
            </w:tcBorders>
            <w:shd w:val="clear" w:color="000000" w:fill="FFFFFF"/>
            <w:vAlign w:val="center"/>
          </w:tcPr>
          <w:p w14:paraId="507B7285" w14:textId="7936CA19" w:rsidR="00F9398B" w:rsidRPr="006D631C" w:rsidRDefault="00F9398B" w:rsidP="003B53A0">
            <w:pPr>
              <w:spacing w:line="240" w:lineRule="auto"/>
              <w:jc w:val="left"/>
              <w:rPr>
                <w:color w:val="000000"/>
                <w:sz w:val="12"/>
                <w:szCs w:val="12"/>
              </w:rPr>
            </w:pPr>
            <w:r w:rsidRPr="006D631C">
              <w:rPr>
                <w:color w:val="000000"/>
                <w:sz w:val="12"/>
                <w:szCs w:val="12"/>
              </w:rPr>
              <w:t>M-20</w:t>
            </w:r>
          </w:p>
        </w:tc>
        <w:tc>
          <w:tcPr>
            <w:tcW w:w="850" w:type="dxa"/>
            <w:tcBorders>
              <w:top w:val="nil"/>
              <w:left w:val="nil"/>
              <w:bottom w:val="single" w:sz="4" w:space="0" w:color="auto"/>
              <w:right w:val="nil"/>
            </w:tcBorders>
            <w:shd w:val="clear" w:color="000000" w:fill="FFFFFF"/>
            <w:noWrap/>
            <w:vAlign w:val="center"/>
          </w:tcPr>
          <w:p w14:paraId="2AE526B1" w14:textId="45F40FC0" w:rsidR="00F9398B" w:rsidRPr="006D631C" w:rsidRDefault="00F9398B" w:rsidP="003B53A0">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340A2DFE" w14:textId="3F0D1D87" w:rsidR="00F9398B" w:rsidRPr="006D631C" w:rsidRDefault="00F9398B" w:rsidP="003B53A0">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05932D03" w14:textId="7532A9A5" w:rsidR="00F9398B" w:rsidRPr="006D631C" w:rsidRDefault="00F9398B" w:rsidP="003B53A0">
            <w:pPr>
              <w:spacing w:line="240" w:lineRule="auto"/>
              <w:jc w:val="left"/>
              <w:rPr>
                <w:color w:val="000000"/>
                <w:sz w:val="12"/>
                <w:szCs w:val="12"/>
              </w:rPr>
            </w:pPr>
            <w:r w:rsidRPr="006D631C">
              <w:rPr>
                <w:color w:val="000000"/>
                <w:sz w:val="12"/>
                <w:szCs w:val="12"/>
              </w:rPr>
              <w:t>I-2, I-5,     I-6 or I-8</w:t>
            </w:r>
          </w:p>
        </w:tc>
        <w:tc>
          <w:tcPr>
            <w:tcW w:w="1134" w:type="dxa"/>
            <w:tcBorders>
              <w:top w:val="nil"/>
              <w:left w:val="nil"/>
              <w:bottom w:val="single" w:sz="4" w:space="0" w:color="auto"/>
              <w:right w:val="nil"/>
            </w:tcBorders>
            <w:shd w:val="clear" w:color="000000" w:fill="FFFFFF"/>
            <w:vAlign w:val="center"/>
          </w:tcPr>
          <w:p w14:paraId="7A32875B" w14:textId="191A777D" w:rsidR="00F9398B" w:rsidRPr="006D631C" w:rsidRDefault="00F9398B" w:rsidP="003B53A0">
            <w:pPr>
              <w:spacing w:line="240" w:lineRule="auto"/>
              <w:jc w:val="left"/>
              <w:rPr>
                <w:color w:val="000000"/>
                <w:sz w:val="12"/>
                <w:szCs w:val="12"/>
              </w:rPr>
            </w:pPr>
            <w:r w:rsidRPr="006D631C">
              <w:rPr>
                <w:color w:val="000000"/>
                <w:sz w:val="12"/>
                <w:szCs w:val="12"/>
              </w:rPr>
              <w:t>40 / 10 (I</w:t>
            </w:r>
            <w:r w:rsidRPr="006D631C">
              <w:rPr>
                <w:color w:val="000000"/>
                <w:sz w:val="12"/>
                <w:szCs w:val="12"/>
                <w:vertAlign w:val="subscript"/>
              </w:rPr>
              <w:t>1</w:t>
            </w:r>
            <w:r w:rsidRPr="006D631C">
              <w:rPr>
                <w:color w:val="000000"/>
                <w:sz w:val="12"/>
                <w:szCs w:val="12"/>
              </w:rPr>
              <w:t>)</w:t>
            </w:r>
            <w:r w:rsidRPr="006D631C">
              <w:rPr>
                <w:color w:val="000000"/>
                <w:sz w:val="12"/>
                <w:szCs w:val="12"/>
              </w:rPr>
              <w:br/>
              <w:t>50 - 60 / 10 (H</w:t>
            </w:r>
            <w:r w:rsidRPr="006D631C">
              <w:rPr>
                <w:color w:val="000000"/>
                <w:sz w:val="12"/>
                <w:szCs w:val="12"/>
                <w:vertAlign w:val="subscript"/>
              </w:rPr>
              <w:t>1</w:t>
            </w:r>
            <w:r w:rsidRPr="006D631C">
              <w:rPr>
                <w:color w:val="000000"/>
                <w:sz w:val="12"/>
                <w:szCs w:val="12"/>
              </w:rPr>
              <w:t>)</w:t>
            </w:r>
            <w:r w:rsidRPr="006D631C">
              <w:rPr>
                <w:color w:val="000000"/>
                <w:sz w:val="12"/>
                <w:szCs w:val="12"/>
              </w:rPr>
              <w:br/>
              <w:t>70 - 80 / 10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7F7FA1E5" w14:textId="2FB182A8" w:rsidR="00F9398B" w:rsidRPr="006D631C" w:rsidRDefault="00F9398B" w:rsidP="003B53A0">
            <w:pPr>
              <w:spacing w:line="240" w:lineRule="auto"/>
              <w:jc w:val="left"/>
              <w:rPr>
                <w:color w:val="000000"/>
                <w:sz w:val="12"/>
                <w:szCs w:val="12"/>
              </w:rPr>
            </w:pPr>
            <w:r w:rsidRPr="006D631C">
              <w:rPr>
                <w:color w:val="000000"/>
                <w:sz w:val="12"/>
                <w:szCs w:val="12"/>
              </w:rPr>
              <w:t>Retention of H</w:t>
            </w:r>
            <w:r w:rsidRPr="006D631C">
              <w:rPr>
                <w:color w:val="000000"/>
                <w:sz w:val="12"/>
                <w:szCs w:val="12"/>
                <w:vertAlign w:val="subscript"/>
              </w:rPr>
              <w:t>1</w:t>
            </w:r>
          </w:p>
        </w:tc>
        <w:tc>
          <w:tcPr>
            <w:tcW w:w="993" w:type="dxa"/>
            <w:tcBorders>
              <w:top w:val="nil"/>
              <w:left w:val="nil"/>
              <w:bottom w:val="single" w:sz="4" w:space="0" w:color="auto"/>
              <w:right w:val="nil"/>
            </w:tcBorders>
            <w:shd w:val="clear" w:color="000000" w:fill="FFFFFF"/>
            <w:noWrap/>
            <w:vAlign w:val="center"/>
          </w:tcPr>
          <w:p w14:paraId="5E72C780" w14:textId="47EE3448" w:rsidR="00F9398B" w:rsidRPr="006D631C" w:rsidRDefault="00F9398B" w:rsidP="003B53A0">
            <w:pPr>
              <w:spacing w:line="240" w:lineRule="auto"/>
              <w:jc w:val="left"/>
              <w:rPr>
                <w:color w:val="000000"/>
                <w:sz w:val="12"/>
                <w:szCs w:val="12"/>
              </w:rPr>
            </w:pPr>
            <w:r w:rsidRPr="006D631C">
              <w:rPr>
                <w:color w:val="000000"/>
                <w:sz w:val="12"/>
                <w:szCs w:val="12"/>
              </w:rPr>
              <w:t>2.69 - 3.9 (H</w:t>
            </w:r>
            <w:r w:rsidRPr="006D631C">
              <w:rPr>
                <w:color w:val="000000"/>
                <w:sz w:val="12"/>
                <w:szCs w:val="12"/>
                <w:vertAlign w:val="subscript"/>
              </w:rPr>
              <w:t>1</w:t>
            </w:r>
            <w:r w:rsidRPr="006D631C">
              <w:rPr>
                <w:color w:val="000000"/>
                <w:sz w:val="12"/>
                <w:szCs w:val="12"/>
              </w:rPr>
              <w:t>)</w:t>
            </w:r>
            <w:r w:rsidRPr="006D631C">
              <w:rPr>
                <w:color w:val="000000"/>
                <w:sz w:val="12"/>
                <w:szCs w:val="12"/>
              </w:rPr>
              <w:br/>
              <w:t>3.17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745C5655" w14:textId="1858926A" w:rsidR="00F9398B" w:rsidRPr="006D631C" w:rsidRDefault="00F9398B" w:rsidP="003B53A0">
            <w:pPr>
              <w:spacing w:line="240" w:lineRule="auto"/>
              <w:jc w:val="left"/>
              <w:rPr>
                <w:color w:val="000000"/>
                <w:sz w:val="12"/>
                <w:szCs w:val="12"/>
              </w:rPr>
            </w:pPr>
            <w:r w:rsidRPr="006D631C">
              <w:rPr>
                <w:color w:val="000000"/>
                <w:sz w:val="12"/>
                <w:szCs w:val="12"/>
              </w:rPr>
              <w:t>-</w:t>
            </w:r>
          </w:p>
        </w:tc>
        <w:tc>
          <w:tcPr>
            <w:tcW w:w="5103" w:type="dxa"/>
            <w:tcBorders>
              <w:top w:val="single" w:sz="4" w:space="0" w:color="auto"/>
              <w:left w:val="nil"/>
              <w:bottom w:val="single" w:sz="4" w:space="0" w:color="auto"/>
              <w:right w:val="nil"/>
            </w:tcBorders>
            <w:shd w:val="clear" w:color="000000" w:fill="FFFFFF"/>
            <w:noWrap/>
            <w:vAlign w:val="center"/>
          </w:tcPr>
          <w:p w14:paraId="56CCA948" w14:textId="149C802D" w:rsidR="00F9398B" w:rsidRPr="006D631C" w:rsidRDefault="00F9398B" w:rsidP="003B53A0">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with I-2: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I</w:t>
            </w:r>
            <w:r w:rsidRPr="006D631C">
              <w:rPr>
                <w:rFonts w:eastAsia="Times New Roman" w:cs="Times New Roman"/>
                <w:color w:val="000000"/>
                <w:sz w:val="12"/>
                <w:szCs w:val="12"/>
                <w:vertAlign w:val="subscript"/>
              </w:rPr>
              <w:t>1</w:t>
            </w:r>
          </w:p>
          <w:p w14:paraId="1F7B2767" w14:textId="14C76E2F" w:rsidR="00F9398B" w:rsidRPr="006D631C" w:rsidRDefault="00F9398B" w:rsidP="003B53A0">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with I-5: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&lt;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I</w:t>
            </w:r>
            <w:r w:rsidRPr="006D631C">
              <w:rPr>
                <w:rFonts w:eastAsia="Times New Roman" w:cs="Times New Roman"/>
                <w:color w:val="000000"/>
                <w:sz w:val="12"/>
                <w:szCs w:val="12"/>
                <w:vertAlign w:val="subscript"/>
              </w:rPr>
              <w:t>1</w:t>
            </w:r>
          </w:p>
          <w:p w14:paraId="5E09C851" w14:textId="0FDA8EFF" w:rsidR="00F9398B" w:rsidRPr="006D631C" w:rsidRDefault="00F9398B" w:rsidP="003B53A0">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with I-6: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&lt;  I</w:t>
            </w:r>
            <w:r w:rsidRPr="006D631C">
              <w:rPr>
                <w:rFonts w:eastAsia="Times New Roman" w:cs="Times New Roman"/>
                <w:color w:val="000000"/>
                <w:sz w:val="12"/>
                <w:szCs w:val="12"/>
                <w:vertAlign w:val="subscript"/>
              </w:rPr>
              <w:t>1</w:t>
            </w:r>
          </w:p>
          <w:p w14:paraId="4EAC89ED" w14:textId="16CD60CC" w:rsidR="00F9398B" w:rsidRPr="006D631C" w:rsidRDefault="00F9398B" w:rsidP="003B53A0">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with I-8: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I</w:t>
            </w:r>
            <w:r w:rsidRPr="006D631C">
              <w:rPr>
                <w:rFonts w:eastAsia="Times New Roman" w:cs="Times New Roman"/>
                <w:color w:val="000000"/>
                <w:sz w:val="12"/>
                <w:szCs w:val="12"/>
                <w:vertAlign w:val="subscript"/>
              </w:rPr>
              <w:t>1</w:t>
            </w:r>
          </w:p>
          <w:p w14:paraId="1568FD1B" w14:textId="23851F2C" w:rsidR="00F9398B" w:rsidRPr="006D631C" w:rsidRDefault="00F9398B" w:rsidP="003B53A0">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MW of the produced polymer depends on the extinction efficiency of the initiator, monomer segregation, and LLC-dependent initiation efficiency</w:t>
            </w:r>
          </w:p>
        </w:tc>
        <w:tc>
          <w:tcPr>
            <w:tcW w:w="566" w:type="dxa"/>
            <w:tcBorders>
              <w:top w:val="nil"/>
              <w:left w:val="nil"/>
              <w:bottom w:val="single" w:sz="4" w:space="0" w:color="auto"/>
              <w:right w:val="nil"/>
            </w:tcBorders>
            <w:shd w:val="clear" w:color="000000" w:fill="FFFFFF"/>
            <w:vAlign w:val="center"/>
          </w:tcPr>
          <w:p w14:paraId="77C2C2F5" w14:textId="5F381A4D" w:rsidR="00F9398B" w:rsidRPr="006D631C" w:rsidRDefault="00F9398B"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Allan","non-dropping-particle":"","parse-names":false,"suffix":""}],"container-title":"Macromolecules","id":"ITEM-1","issue":"13","issued":{"date-parts":[["2001","6"]]},"page":"4430-4438","title":"Photopolymerization kinetics and structure development of templated lyotropic liquid crystalline systems","type":"article-journal","volume":"34"},"uris":["http://www.mendeley.com/documents/?uuid=5ad8b034-dc0f-455e-ac27-09cb31650bdb"]},{"id":"ITEM-2","itemData":{"author":[{"dropping-particle":"","family":"DePierro","given":"Michael A.","non-dropping-particle":"","parse-names":false,"suffix":""},{"dropping-particle":"","family":"Olson","given":"Alexandra J.","non-dropping-particle":"","parse-names":false,"suffix":""},{"dropping-particle":"","family":"Guymon","given":"C. A.","non-dropping-particle":"","parse-names":false,"suffix":""}],"container-title":"Radtech Technical Proceedings","id":"ITEM-2","issue":"-","issued":{"date-parts":[["2004"]]},"page":"-","title":"Effect of Photoinitiator Solubility on Polymerization in Lyotropic Liquid Crystalline Media","type":"article-journal","volume":"-"},"uris":["http://www.mendeley.com/documents/?uuid=de7fd536-8e96-4240-a259-92949dc7e752"]},{"id":"ITEM-3","itemData":{"DOI":"10.1016/j.polymer.2004.11.007","ISSN":"00323861","abstract":"Through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Allan","non-dropping-particle":"","parse-names":false,"suffix":""}],"container-title":"Polymer","id":"ITEM-3","issue":"2","issued":{"date-parts":[["2005"]]},"page":"335-345","title":"Effect of photoinitiator segregation on polymerization kinetics in lyotropic liquid crystals","type":"article-journal","volume":"46"},"uris":["http://www.mendeley.com/documents/?uuid=3d4da872-6a25-4674-a0bf-2133c4dbb394"]},{"id":"ITEM-4","itemData":{"DOI":"10.1021/ma0518196","ISSN":"00249297","abstract":"Lyotropic liquid crystals (LLC's) have recently been employed as polymerization templates to yield highly ordered nanostructured materials with potential applications in regulated transport, ultrafiltration, and catalysis. With the goal of understanding the reaction mechanisms ultimately determining polymer morphology in these highly ordered systems, this study focuses on the influence of LLC order on photoinitiation efficiency and monomer segregation behavior. These phenomena have been elucidated through extensive examination of the polymerization kinetics utilizing photodifferential scanning calorimetry. The polymerization kinetics in these ordered liquids are highly dependent on phase morphology because liquid crystalline alignment has a profound effect on monomer segregation, and photoinitiation efficiency is a function of viscosity, polarity, and the diffusional constraints inherent in LLC phases. Through studies of the polymerization kinetics in different LLC phases using a free radical inhibitor, the relative initiation efficiencies of a number of photoinitiators were determined. By incorporating relative efficiency information in the analysis of propagation and termination rate parameters, the individual contributions of monomer segregation and photoinitiation behavior to the polymerization kinetics were differentiated. While segregation of polar monomers in the continuous phase leads to increased polymerization rate in more ordered LLC phases, nonpolar monomers exhibit the opposite trend due to segregation in the discontinuous region of the phases studied. Changes in photoinitiation efficiency either compound or negate the effect of monomer segregation on the polymerization rate depending on initiator structure and polarity. The initiation efficiency with relatively bulky, hydrophobic initiators increases substantially in more ordered systems while the efficiency of less hydrophobic initiators decreases slightly in more ordered phases. © 2006 American Chemical Society.","author":[{"dropping-particle":"","family":"DePierro","given":"Michael A.","non-dropping-particle":"","parse-names":false,"suffix":""},{"dropping-particle":"","family":"Guymon","given":"C. Allan","non-dropping-particle":"","parse-names":false,"suffix":""}],"container-title":"Macromolecules","id":"ITEM-4","issue":"2","issued":{"date-parts":[["2006"]]},"page":"617-626","title":"Photoinitiation and monomer segregation behavior in polymerization of lyotropic liquid crystalline systems","type":"article-journal","volume":"39"},"uris":["http://www.mendeley.com/documents/?uuid=81e039e7-fbf5-4fa4-87e8-7195480e9a1d"]},{"id":"ITEM-5","itemData":{"DOI":"10.1021/ma101418e","ISSN":"00249297","abstract":"The ability to direct polymer structure on the nanometer scale has provided access to enhanced material properties that may be tailored to accommodate a growing number of advanced biological and industrial applications. A promising method of generating nanostructure in organic polymers uses self-assembling lyotropic liquid crystalline (LLC) mesophases as templates for polymerization. Unfortunately, thermodynamically driven phase separation often prevents polymer morphology from being precisely controlled. As the demand for polymers with accurately engineered properties increases, a detailed understanding of the phase separation process is needed to control the nanostructure and properties of LLC templated polymers. In this study, photopolymerization kinetics are utilized to identify phase separation events occurring during the photopolymerization of poly(ethylene glycol) diacrylate and hexanediol diacrylate monomers templated in the normal hexagonal or lamellar LLC mesophases. Discontinuities are found in the polymerization rate of anisotropic polymers at several double bond conversions that are not present in the rate profiles of isotropic controls. The polymer morphology was subsequently characterized at particular conversions using small angle X-ray scattering. Changes in polymer nanostructure occur at double bond conversions that coincide with the observed rate discontinuities. These results demonstrate that photopolymerization kinetics can be used as a probe to monitor the evolution of polymer nanostructure during polymerization and optimize the conditions governing the control of polymer morphology to enhance properties dependent on nanostructure. © 2010 American Chemical Society.","author":[{"dropping-particle":"","family":"Forney","given":"Bradley S.","non-dropping-particle":"","parse-names":false,"suffix":""},{"dropping-particle":"","family":"Guymon","given":"C. Allan","non-dropping-particle":"","parse-names":false,"suffix":""}],"container-title":"Macromolecules","id":"ITEM-5","issue":"20","issued":{"date-parts":[["2010","10","26"]]},"page":"8502-8510","title":"Nanostructure evolution during photopolymerization in lyotropic liquid crystal templates","type":"article-journal","volume":"43"},"uris":["http://www.mendeley.com/documents/?uuid=862518bf-5405-45d5-af85-3c72739c9ed0"]}],"mendeley":{"formattedCitation":"&lt;sup&gt;39,43,156,157,167&lt;/sup&gt;","plainTextFormattedCitation":"39,43,156,157,167","previouslyFormattedCitation":"&lt;sup&gt;39,43,156,157,167&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39,43,156,157,167</w:t>
            </w:r>
            <w:r w:rsidRPr="006D631C">
              <w:rPr>
                <w:color w:val="000000"/>
                <w:sz w:val="12"/>
                <w:szCs w:val="12"/>
              </w:rPr>
              <w:fldChar w:fldCharType="end"/>
            </w:r>
          </w:p>
        </w:tc>
      </w:tr>
      <w:tr w:rsidR="00D850F8" w:rsidRPr="006D631C" w14:paraId="772576F4" w14:textId="77777777" w:rsidTr="0035691D">
        <w:trPr>
          <w:trHeight w:val="20"/>
        </w:trPr>
        <w:tc>
          <w:tcPr>
            <w:tcW w:w="851" w:type="dxa"/>
            <w:vMerge/>
            <w:tcBorders>
              <w:left w:val="nil"/>
              <w:right w:val="nil"/>
            </w:tcBorders>
            <w:shd w:val="clear" w:color="000000" w:fill="FFFFFF"/>
            <w:vAlign w:val="center"/>
          </w:tcPr>
          <w:p w14:paraId="3C8CEE02" w14:textId="77777777" w:rsidR="00D850F8" w:rsidRPr="006D631C" w:rsidRDefault="00D850F8" w:rsidP="00D850F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05939D18" w14:textId="221C7195" w:rsidR="00D850F8" w:rsidRPr="006D631C" w:rsidRDefault="00D850F8" w:rsidP="00D850F8">
            <w:pPr>
              <w:spacing w:line="240" w:lineRule="auto"/>
              <w:jc w:val="left"/>
              <w:rPr>
                <w:color w:val="000000"/>
                <w:sz w:val="12"/>
                <w:szCs w:val="12"/>
              </w:rPr>
            </w:pPr>
            <w:r w:rsidRPr="006D631C">
              <w:rPr>
                <w:color w:val="000000"/>
                <w:sz w:val="12"/>
                <w:szCs w:val="12"/>
              </w:rPr>
              <w:t>A-19b</w:t>
            </w:r>
          </w:p>
        </w:tc>
        <w:tc>
          <w:tcPr>
            <w:tcW w:w="567" w:type="dxa"/>
            <w:tcBorders>
              <w:top w:val="nil"/>
              <w:left w:val="nil"/>
              <w:bottom w:val="single" w:sz="4" w:space="0" w:color="auto"/>
              <w:right w:val="nil"/>
            </w:tcBorders>
            <w:shd w:val="clear" w:color="000000" w:fill="FFFFFF"/>
            <w:vAlign w:val="center"/>
          </w:tcPr>
          <w:p w14:paraId="0AFE5772" w14:textId="383E13C8" w:rsidR="00D850F8" w:rsidRPr="006D631C" w:rsidRDefault="00D850F8" w:rsidP="00D850F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5A6D6CF4" w14:textId="4089B167" w:rsidR="00D850F8" w:rsidRPr="006D631C" w:rsidRDefault="00D850F8" w:rsidP="00D850F8">
            <w:pPr>
              <w:spacing w:line="240" w:lineRule="auto"/>
              <w:jc w:val="left"/>
              <w:rPr>
                <w:color w:val="000000"/>
                <w:sz w:val="12"/>
                <w:szCs w:val="12"/>
              </w:rPr>
            </w:pPr>
            <w:r w:rsidRPr="006D631C">
              <w:rPr>
                <w:color w:val="000000"/>
                <w:sz w:val="12"/>
                <w:szCs w:val="12"/>
              </w:rPr>
              <w:t>I-10</w:t>
            </w:r>
          </w:p>
        </w:tc>
        <w:tc>
          <w:tcPr>
            <w:tcW w:w="1134" w:type="dxa"/>
            <w:tcBorders>
              <w:top w:val="nil"/>
              <w:left w:val="nil"/>
              <w:bottom w:val="single" w:sz="4" w:space="0" w:color="auto"/>
              <w:right w:val="nil"/>
            </w:tcBorders>
            <w:shd w:val="clear" w:color="000000" w:fill="FFFFFF"/>
            <w:vAlign w:val="center"/>
          </w:tcPr>
          <w:p w14:paraId="32F9C3DA" w14:textId="3AA28544" w:rsidR="00D850F8" w:rsidRPr="006D631C" w:rsidRDefault="00D850F8" w:rsidP="00D850F8">
            <w:pPr>
              <w:spacing w:line="240" w:lineRule="auto"/>
              <w:jc w:val="left"/>
              <w:rPr>
                <w:color w:val="000000"/>
                <w:sz w:val="12"/>
                <w:szCs w:val="12"/>
              </w:rPr>
            </w:pPr>
            <w:r w:rsidRPr="006D631C">
              <w:rPr>
                <w:color w:val="000000"/>
                <w:sz w:val="12"/>
                <w:szCs w:val="12"/>
              </w:rPr>
              <w:t>18 / 10 (L</w:t>
            </w:r>
            <w:r w:rsidRPr="006D631C">
              <w:rPr>
                <w:color w:val="000000"/>
                <w:sz w:val="12"/>
                <w:szCs w:val="12"/>
                <w:vertAlign w:val="subscript"/>
              </w:rPr>
              <w:t>1</w:t>
            </w:r>
            <w:r w:rsidRPr="006D631C">
              <w:rPr>
                <w:color w:val="000000"/>
                <w:sz w:val="12"/>
                <w:szCs w:val="12"/>
              </w:rPr>
              <w:t>)</w:t>
            </w:r>
            <w:r w:rsidRPr="006D631C">
              <w:rPr>
                <w:color w:val="000000"/>
                <w:sz w:val="12"/>
                <w:szCs w:val="12"/>
              </w:rPr>
              <w:br/>
              <w:t>40 / 10 H</w:t>
            </w:r>
            <w:r w:rsidRPr="006D631C">
              <w:rPr>
                <w:color w:val="000000"/>
                <w:sz w:val="12"/>
                <w:szCs w:val="12"/>
                <w:vertAlign w:val="subscript"/>
              </w:rPr>
              <w:t>1</w:t>
            </w:r>
            <w:r w:rsidRPr="006D631C">
              <w:rPr>
                <w:color w:val="000000"/>
                <w:sz w:val="12"/>
                <w:szCs w:val="12"/>
              </w:rPr>
              <w:t>)</w:t>
            </w:r>
            <w:r w:rsidRPr="006D631C">
              <w:rPr>
                <w:color w:val="000000"/>
                <w:sz w:val="12"/>
                <w:szCs w:val="12"/>
              </w:rPr>
              <w:br/>
              <w:t>58 / 10 (Q</w:t>
            </w:r>
            <w:r w:rsidRPr="006D631C">
              <w:rPr>
                <w:color w:val="000000"/>
                <w:sz w:val="12"/>
                <w:szCs w:val="12"/>
                <w:vertAlign w:val="subscript"/>
              </w:rPr>
              <w:t>1</w:t>
            </w:r>
            <w:r w:rsidRPr="006D631C">
              <w:rPr>
                <w:color w:val="000000"/>
                <w:sz w:val="12"/>
                <w:szCs w:val="12"/>
              </w:rPr>
              <w:t>)</w:t>
            </w:r>
            <w:r w:rsidRPr="006D631C">
              <w:rPr>
                <w:color w:val="000000"/>
                <w:sz w:val="12"/>
                <w:szCs w:val="12"/>
              </w:rPr>
              <w:br/>
              <w:t>78 / 10 (H</w:t>
            </w:r>
            <w:r w:rsidRPr="006D631C">
              <w:rPr>
                <w:color w:val="000000"/>
                <w:sz w:val="12"/>
                <w:szCs w:val="12"/>
                <w:vertAlign w:val="subscript"/>
              </w:rPr>
              <w:t>2</w:t>
            </w:r>
            <w:r w:rsidRPr="006D631C">
              <w:rPr>
                <w:color w:val="000000"/>
                <w:sz w:val="12"/>
                <w:szCs w:val="12"/>
              </w:rPr>
              <w:t>)</w:t>
            </w:r>
            <w:r w:rsidRPr="006D631C">
              <w:rPr>
                <w:color w:val="000000"/>
                <w:sz w:val="12"/>
                <w:szCs w:val="12"/>
              </w:rPr>
              <w:br/>
              <w:t>82 / 10 (L</w:t>
            </w:r>
            <w:r w:rsidRPr="006D631C">
              <w:rPr>
                <w:color w:val="000000"/>
                <w:sz w:val="12"/>
                <w:szCs w:val="12"/>
                <w:vertAlign w:val="subscript"/>
              </w:rPr>
              <w:t>2</w:t>
            </w:r>
            <w:r w:rsidRPr="006D631C">
              <w:rPr>
                <w:color w:val="000000"/>
                <w:sz w:val="12"/>
                <w:szCs w:val="12"/>
              </w:rPr>
              <w:t>)</w:t>
            </w:r>
          </w:p>
        </w:tc>
        <w:tc>
          <w:tcPr>
            <w:tcW w:w="992" w:type="dxa"/>
            <w:tcBorders>
              <w:top w:val="single" w:sz="4" w:space="0" w:color="auto"/>
              <w:left w:val="nil"/>
              <w:bottom w:val="single" w:sz="4" w:space="0" w:color="auto"/>
              <w:right w:val="nil"/>
            </w:tcBorders>
            <w:shd w:val="clear" w:color="000000" w:fill="FFFFFF"/>
            <w:noWrap/>
            <w:vAlign w:val="center"/>
          </w:tcPr>
          <w:p w14:paraId="32DB5BA9" w14:textId="29BE1547" w:rsidR="00D850F8" w:rsidRPr="006D631C" w:rsidRDefault="00D850F8" w:rsidP="00D850F8">
            <w:pPr>
              <w:spacing w:line="240" w:lineRule="auto"/>
              <w:jc w:val="left"/>
              <w:rPr>
                <w:color w:val="000000"/>
                <w:sz w:val="12"/>
                <w:szCs w:val="12"/>
              </w:rPr>
            </w:pPr>
            <w:r w:rsidRPr="006D631C">
              <w:rPr>
                <w:color w:val="000000"/>
                <w:sz w:val="12"/>
                <w:szCs w:val="12"/>
              </w:rPr>
              <w:t>Retention of H</w:t>
            </w:r>
            <w:r w:rsidRPr="006D631C">
              <w:rPr>
                <w:color w:val="000000"/>
                <w:sz w:val="12"/>
                <w:szCs w:val="12"/>
                <w:vertAlign w:val="subscript"/>
              </w:rPr>
              <w:t>1</w:t>
            </w:r>
            <w:r w:rsidRPr="006D631C">
              <w:rPr>
                <w:color w:val="000000"/>
                <w:sz w:val="12"/>
                <w:szCs w:val="12"/>
              </w:rPr>
              <w:t xml:space="preserve"> and H</w:t>
            </w:r>
            <w:r w:rsidRPr="006D631C">
              <w:rPr>
                <w:color w:val="000000"/>
                <w:sz w:val="12"/>
                <w:szCs w:val="12"/>
                <w:vertAlign w:val="subscript"/>
              </w:rPr>
              <w:t>2</w:t>
            </w:r>
          </w:p>
        </w:tc>
        <w:tc>
          <w:tcPr>
            <w:tcW w:w="993" w:type="dxa"/>
            <w:tcBorders>
              <w:top w:val="nil"/>
              <w:left w:val="nil"/>
              <w:bottom w:val="single" w:sz="4" w:space="0" w:color="auto"/>
              <w:right w:val="nil"/>
            </w:tcBorders>
            <w:shd w:val="clear" w:color="000000" w:fill="FFFFFF"/>
            <w:noWrap/>
            <w:vAlign w:val="center"/>
          </w:tcPr>
          <w:p w14:paraId="24583797" w14:textId="7C42FE69" w:rsidR="00D850F8" w:rsidRPr="006D631C" w:rsidRDefault="00D850F8" w:rsidP="00D850F8">
            <w:pPr>
              <w:spacing w:line="240" w:lineRule="auto"/>
              <w:jc w:val="left"/>
              <w:rPr>
                <w:color w:val="000000"/>
                <w:sz w:val="12"/>
                <w:szCs w:val="12"/>
              </w:rPr>
            </w:pPr>
            <w:r w:rsidRPr="006D631C">
              <w:rPr>
                <w:color w:val="000000"/>
                <w:sz w:val="12"/>
                <w:szCs w:val="12"/>
              </w:rPr>
              <w:t>7.27 (H</w:t>
            </w:r>
            <w:r w:rsidRPr="006D631C">
              <w:rPr>
                <w:color w:val="000000"/>
                <w:sz w:val="12"/>
                <w:szCs w:val="12"/>
                <w:vertAlign w:val="subscript"/>
              </w:rPr>
              <w:t>1</w:t>
            </w:r>
            <w:r w:rsidRPr="006D631C">
              <w:rPr>
                <w:color w:val="000000"/>
                <w:sz w:val="12"/>
                <w:szCs w:val="12"/>
              </w:rPr>
              <w:t xml:space="preserve">) </w:t>
            </w:r>
            <w:r w:rsidRPr="006D631C">
              <w:rPr>
                <w:color w:val="000000"/>
                <w:sz w:val="12"/>
                <w:szCs w:val="12"/>
              </w:rPr>
              <w:br/>
              <w:t>10.22 (H</w:t>
            </w:r>
            <w:r w:rsidRPr="006D631C">
              <w:rPr>
                <w:color w:val="000000"/>
                <w:sz w:val="12"/>
                <w:szCs w:val="12"/>
                <w:vertAlign w:val="subscript"/>
              </w:rPr>
              <w:t>2</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6759637C" w14:textId="3126F622" w:rsidR="00D850F8" w:rsidRPr="006D631C" w:rsidRDefault="00D850F8" w:rsidP="00D850F8">
            <w:pPr>
              <w:spacing w:line="240" w:lineRule="auto"/>
              <w:jc w:val="left"/>
              <w:rPr>
                <w:color w:val="000000"/>
                <w:sz w:val="12"/>
                <w:szCs w:val="12"/>
              </w:rPr>
            </w:pPr>
            <w:r w:rsidRPr="006D631C">
              <w:rPr>
                <w:color w:val="000000"/>
                <w:sz w:val="12"/>
                <w:szCs w:val="12"/>
              </w:rPr>
              <w:t>7.33 (H</w:t>
            </w:r>
            <w:r w:rsidRPr="006D631C">
              <w:rPr>
                <w:color w:val="000000"/>
                <w:sz w:val="12"/>
                <w:szCs w:val="12"/>
                <w:vertAlign w:val="subscript"/>
              </w:rPr>
              <w:t>1</w:t>
            </w:r>
            <w:r w:rsidRPr="006D631C">
              <w:rPr>
                <w:color w:val="000000"/>
                <w:sz w:val="12"/>
                <w:szCs w:val="12"/>
              </w:rPr>
              <w:t>)</w:t>
            </w:r>
            <w:r w:rsidRPr="006D631C">
              <w:rPr>
                <w:color w:val="000000"/>
                <w:sz w:val="12"/>
                <w:szCs w:val="12"/>
              </w:rPr>
              <w:br/>
              <w:t>9.95 (H</w:t>
            </w:r>
            <w:r w:rsidRPr="006D631C">
              <w:rPr>
                <w:color w:val="000000"/>
                <w:sz w:val="12"/>
                <w:szCs w:val="12"/>
                <w:vertAlign w:val="subscript"/>
              </w:rPr>
              <w:t>2</w:t>
            </w:r>
            <w:r w:rsidRPr="006D631C">
              <w:rPr>
                <w:color w:val="000000"/>
                <w:sz w:val="12"/>
                <w:szCs w:val="12"/>
              </w:rPr>
              <w:t>)</w:t>
            </w:r>
          </w:p>
        </w:tc>
        <w:tc>
          <w:tcPr>
            <w:tcW w:w="5103" w:type="dxa"/>
            <w:tcBorders>
              <w:top w:val="single" w:sz="4" w:space="0" w:color="auto"/>
              <w:left w:val="nil"/>
              <w:bottom w:val="single" w:sz="4" w:space="0" w:color="auto"/>
              <w:right w:val="nil"/>
            </w:tcBorders>
            <w:shd w:val="clear" w:color="000000" w:fill="FFFFFF"/>
            <w:noWrap/>
            <w:vAlign w:val="center"/>
          </w:tcPr>
          <w:p w14:paraId="30AEDA60" w14:textId="77777777" w:rsidR="00D850F8" w:rsidRPr="006D631C" w:rsidRDefault="00D850F8" w:rsidP="00D850F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L</w:t>
            </w:r>
            <w:r w:rsidRPr="006D631C">
              <w:rPr>
                <w:rFonts w:eastAsia="Times New Roman" w:cs="Times New Roman"/>
                <w:color w:val="000000"/>
                <w:sz w:val="12"/>
                <w:szCs w:val="12"/>
                <w:vertAlign w:val="subscript"/>
              </w:rPr>
              <w:t xml:space="preserve">2 </w:t>
            </w:r>
            <w:r w:rsidRPr="006D631C">
              <w:rPr>
                <w:rFonts w:eastAsia="Times New Roman" w:cs="Times New Roman"/>
                <w:color w:val="000000"/>
                <w:sz w:val="12"/>
                <w:szCs w:val="12"/>
              </w:rPr>
              <w:t>= H</w:t>
            </w:r>
            <w:r w:rsidRPr="006D631C">
              <w:rPr>
                <w:rFonts w:eastAsia="Times New Roman" w:cs="Times New Roman"/>
                <w:color w:val="000000"/>
                <w:sz w:val="12"/>
                <w:szCs w:val="12"/>
                <w:vertAlign w:val="subscript"/>
              </w:rPr>
              <w:t xml:space="preserve">2 </w:t>
            </w:r>
            <w:r w:rsidRPr="006D631C">
              <w:rPr>
                <w:rFonts w:eastAsia="Times New Roman" w:cs="Times New Roman"/>
                <w:color w:val="000000"/>
                <w:sz w:val="12"/>
                <w:szCs w:val="12"/>
              </w:rPr>
              <w:t>&lt;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Q</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L</w:t>
            </w:r>
            <w:r w:rsidRPr="006D631C">
              <w:rPr>
                <w:rFonts w:eastAsia="Times New Roman" w:cs="Times New Roman"/>
                <w:color w:val="000000"/>
                <w:sz w:val="12"/>
                <w:szCs w:val="12"/>
                <w:vertAlign w:val="subscript"/>
              </w:rPr>
              <w:t>1</w:t>
            </w:r>
          </w:p>
          <w:p w14:paraId="6B4A7EC3" w14:textId="0C44D5CC" w:rsidR="00D850F8" w:rsidRPr="006D631C" w:rsidRDefault="00D850F8" w:rsidP="00D850F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Higher thermal stability of the templated sample in H</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xml:space="preserve"> structure compared to H</w:t>
            </w:r>
            <w:r w:rsidRPr="006D631C">
              <w:rPr>
                <w:rFonts w:eastAsia="Times New Roman" w:cs="Times New Roman"/>
                <w:color w:val="000000"/>
                <w:sz w:val="12"/>
                <w:szCs w:val="12"/>
                <w:vertAlign w:val="subscript"/>
              </w:rPr>
              <w:t>1</w:t>
            </w:r>
          </w:p>
        </w:tc>
        <w:tc>
          <w:tcPr>
            <w:tcW w:w="566" w:type="dxa"/>
            <w:tcBorders>
              <w:top w:val="nil"/>
              <w:left w:val="nil"/>
              <w:bottom w:val="single" w:sz="4" w:space="0" w:color="auto"/>
              <w:right w:val="nil"/>
            </w:tcBorders>
            <w:shd w:val="clear" w:color="000000" w:fill="FFFFFF"/>
            <w:vAlign w:val="center"/>
          </w:tcPr>
          <w:p w14:paraId="23EDDC34" w14:textId="0E8F1156" w:rsidR="00D850F8" w:rsidRPr="006D631C" w:rsidRDefault="00D850F8" w:rsidP="002E14E4">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{"citationItems":[{"id":"ITEM-1","itemData":{"DOI":"10.1021/ma030037e","ISSN":"00249297","abstract":"Nanostructured polymers are of significant interest due to their potential use in applications ranging from ultrafiltration membranes to catalysis supports. To date, much research has focused on using small molecular weight surfactants that form lyotropic liquid crystals (LLCs) as polymerization templates or polymerizing reactive LLCs to form such nanostructure in polymers. LLC phases formed from small molecular weight surfactants, however, are in and of themselves neither thermally nor mechanically stable, often rendering it difficult to preserve the LLC structure throughout polymerization. A relatively new class of surfactant molecules, Pluronic block copolymers, may afford increased flexibility in nanostructure development when used as polymerization templates. This work has focused on the photopolymerization of water and oil-soluble monomers in Pluronic lyotropic liquid crystals. In particular, the effect that LLC order and monomer segregation behavior has on monomer polymerization rate has been examined. The order of the LLC mesophase has a significant impact on polymerization rate with faster polymerization occurring in the normal phases for the oil-soluble monomer hexanediol diacrylate (HDDA) and in the inverse phases for the water-soluble monomer poly(ethylene glycol) diacrylate (PEG-400-DA). In addition, the effect of monomer addition and polymerization on LLC order has been characterized, with retention of LLC order before and after photopolymerization. Mesophase thermal stability, or the persistence of an LC phase at elevated temperatures, has also been examined for the polymer/LLC hydrogels to determine how polymer nanostructure differences affect fundamental LLC properties. Interestingly, when PEG-400-DA is polymerized in the continuous domains of the hexagonal mesophase, the clearing point is increased more than 40°C. However, when HDDA is polymerized in the discontinuous domains of hexagonal phase, the mesophase thermal stability increases only 25°C. Conversely, when HDDA is polymerized in the continuous region of the inverse hexagonal phase, the clearing point increases more than 60°C. The difference in polymer nanostructure that evolves during the polymerizations directly impacts the mesophase thermal stability. The LLC polymerization also affects the physical properties of polymer/Pluronic hydrogels with significant differences in compressive modulus observed based on the LLC phase in which the nanostructured polymer is generated.","author":[{"dropping-particle":"","family":"McCormick","given":"Demetrius T.","non-dropping-particle":"","parse-names":false,"suffix":""},{"dropping-particle":"","family":"Stovall","given":"Kalena D.","non-dropping-particle":"","parse-names":false,"suffix":""},{"dropping-particle":"","family":"Guymon","given":"C. Allan","non-dropping-particle":"","parse-names":false,"suffix":""}],"container-title":"Macromolecules","id":"ITEM-1","issue":"17","issued":{"date-parts":[["2003","8"]]},"page":"6549-6558","title":"Photopolymerization in pluronic lyotropic liquid crystals: Induced mesophase thermal stability","type":"article-journal","volume":"36"},"uris":["http://www.mendeley.com/documents/?uuid=ae7754a0-e1c1-4349-91b8-e716989d935f"]}],"mendeley":{"formattedCitation":"&lt;sup&gt;45&lt;/sup&gt;","plainTextFormattedCitation":"45","previouslyFormattedCitation":"&lt;sup&gt;45&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45</w:t>
            </w:r>
            <w:r w:rsidRPr="006D631C">
              <w:rPr>
                <w:color w:val="000000"/>
                <w:sz w:val="12"/>
                <w:szCs w:val="12"/>
              </w:rPr>
              <w:fldChar w:fldCharType="end"/>
            </w:r>
          </w:p>
        </w:tc>
      </w:tr>
      <w:tr w:rsidR="00D850F8" w:rsidRPr="006D631C" w14:paraId="2B662BB6" w14:textId="77777777" w:rsidTr="0035691D">
        <w:trPr>
          <w:trHeight w:val="20"/>
        </w:trPr>
        <w:tc>
          <w:tcPr>
            <w:tcW w:w="851" w:type="dxa"/>
            <w:vMerge/>
            <w:tcBorders>
              <w:left w:val="nil"/>
              <w:right w:val="nil"/>
            </w:tcBorders>
            <w:shd w:val="clear" w:color="000000" w:fill="FFFFFF"/>
            <w:vAlign w:val="center"/>
          </w:tcPr>
          <w:p w14:paraId="73515417" w14:textId="77777777" w:rsidR="00D850F8" w:rsidRPr="006D631C" w:rsidRDefault="00D850F8" w:rsidP="00D850F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1213F477" w14:textId="7D679CC6" w:rsidR="00D850F8" w:rsidRPr="006D631C" w:rsidRDefault="00D850F8" w:rsidP="00D850F8">
            <w:pPr>
              <w:spacing w:line="240" w:lineRule="auto"/>
              <w:jc w:val="left"/>
              <w:rPr>
                <w:color w:val="000000"/>
                <w:sz w:val="12"/>
                <w:szCs w:val="12"/>
              </w:rPr>
            </w:pPr>
            <w:r w:rsidRPr="006D631C">
              <w:rPr>
                <w:color w:val="000000"/>
                <w:sz w:val="12"/>
                <w:szCs w:val="12"/>
              </w:rPr>
              <w:t>A-14</w:t>
            </w:r>
          </w:p>
        </w:tc>
        <w:tc>
          <w:tcPr>
            <w:tcW w:w="567" w:type="dxa"/>
            <w:tcBorders>
              <w:top w:val="nil"/>
              <w:left w:val="nil"/>
              <w:bottom w:val="single" w:sz="4" w:space="0" w:color="auto"/>
              <w:right w:val="nil"/>
            </w:tcBorders>
            <w:shd w:val="clear" w:color="000000" w:fill="FFFFFF"/>
            <w:vAlign w:val="center"/>
          </w:tcPr>
          <w:p w14:paraId="22962152" w14:textId="0AF64867" w:rsidR="00D850F8" w:rsidRPr="006D631C" w:rsidRDefault="00D850F8" w:rsidP="00D850F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74890115" w14:textId="25443D42" w:rsidR="00D850F8" w:rsidRPr="006D631C" w:rsidRDefault="00D850F8" w:rsidP="00D850F8">
            <w:pPr>
              <w:spacing w:line="240" w:lineRule="auto"/>
              <w:jc w:val="left"/>
              <w:rPr>
                <w:color w:val="000000"/>
                <w:sz w:val="12"/>
                <w:szCs w:val="12"/>
              </w:rPr>
            </w:pPr>
            <w:r w:rsidRPr="006D631C">
              <w:rPr>
                <w:color w:val="000000"/>
                <w:sz w:val="12"/>
                <w:szCs w:val="12"/>
              </w:rPr>
              <w:t>I-5</w:t>
            </w:r>
          </w:p>
        </w:tc>
        <w:tc>
          <w:tcPr>
            <w:tcW w:w="1134" w:type="dxa"/>
            <w:tcBorders>
              <w:top w:val="nil"/>
              <w:left w:val="nil"/>
              <w:bottom w:val="single" w:sz="4" w:space="0" w:color="auto"/>
              <w:right w:val="nil"/>
            </w:tcBorders>
            <w:shd w:val="clear" w:color="000000" w:fill="FFFFFF"/>
            <w:vAlign w:val="center"/>
          </w:tcPr>
          <w:p w14:paraId="46FB689B" w14:textId="25ACA69A" w:rsidR="00D850F8" w:rsidRPr="006D631C" w:rsidRDefault="00D850F8" w:rsidP="00D850F8">
            <w:pPr>
              <w:spacing w:line="240" w:lineRule="auto"/>
              <w:jc w:val="left"/>
              <w:rPr>
                <w:color w:val="000000"/>
                <w:sz w:val="12"/>
                <w:szCs w:val="12"/>
              </w:rPr>
            </w:pPr>
            <w:r w:rsidRPr="006D631C">
              <w:rPr>
                <w:color w:val="000000"/>
                <w:sz w:val="12"/>
                <w:szCs w:val="12"/>
              </w:rPr>
              <w:t>40 / 40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35E8E464" w14:textId="3EBD5716" w:rsidR="00D850F8" w:rsidRPr="006D631C" w:rsidRDefault="00D850F8" w:rsidP="00D850F8">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428EA140" w14:textId="00C2AD94" w:rsidR="00D850F8" w:rsidRPr="006D631C" w:rsidRDefault="00D850F8" w:rsidP="00D850F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74CCF4AE" w14:textId="4789BE4A" w:rsidR="00D850F8" w:rsidRPr="006D631C" w:rsidRDefault="00D850F8" w:rsidP="00D850F8">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74D01736" w14:textId="77777777" w:rsidR="00D850F8" w:rsidRPr="006D631C" w:rsidRDefault="00D850F8" w:rsidP="00D850F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25 - 100 </w:t>
            </w:r>
            <w:proofErr w:type="spellStart"/>
            <w:r w:rsidRPr="006D631C">
              <w:rPr>
                <w:rFonts w:eastAsia="Times New Roman" w:cs="Times New Roman"/>
                <w:color w:val="000000"/>
                <w:sz w:val="12"/>
                <w:szCs w:val="12"/>
              </w:rPr>
              <w:t>wt</w:t>
            </w:r>
            <w:proofErr w:type="spellEnd"/>
            <w:r w:rsidRPr="006D631C">
              <w:rPr>
                <w:rFonts w:eastAsia="Times New Roman" w:cs="Times New Roman"/>
                <w:color w:val="000000"/>
                <w:sz w:val="12"/>
                <w:szCs w:val="12"/>
              </w:rPr>
              <w:t>% M-24c was used with respect to the total monomer content along with M-20</w:t>
            </w:r>
          </w:p>
          <w:p w14:paraId="75D3AEA5" w14:textId="3E804D00" w:rsidR="00D850F8" w:rsidRPr="006D631C" w:rsidRDefault="00D850F8" w:rsidP="00D850F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The water uptake decreased, and compressible modulus and </w:t>
            </w:r>
            <w:proofErr w:type="spellStart"/>
            <w:r w:rsidRPr="006D631C">
              <w:rPr>
                <w:rFonts w:eastAsia="Times New Roman" w:cs="Times New Roman"/>
                <w:color w:val="000000"/>
                <w:sz w:val="12"/>
                <w:szCs w:val="12"/>
              </w:rPr>
              <w:t>Tg</w:t>
            </w:r>
            <w:proofErr w:type="spellEnd"/>
            <w:r w:rsidRPr="006D631C">
              <w:rPr>
                <w:rFonts w:eastAsia="Times New Roman" w:cs="Times New Roman"/>
                <w:color w:val="000000"/>
                <w:sz w:val="12"/>
                <w:szCs w:val="12"/>
              </w:rPr>
              <w:t xml:space="preserve"> increased linearly with an increase in M-20 content approving the compatibility of two polymers via LLC templating</w:t>
            </w:r>
          </w:p>
        </w:tc>
        <w:tc>
          <w:tcPr>
            <w:tcW w:w="566" w:type="dxa"/>
            <w:tcBorders>
              <w:top w:val="nil"/>
              <w:left w:val="nil"/>
              <w:bottom w:val="single" w:sz="4" w:space="0" w:color="auto"/>
              <w:right w:val="nil"/>
            </w:tcBorders>
            <w:shd w:val="clear" w:color="000000" w:fill="FFFFFF"/>
            <w:vAlign w:val="center"/>
          </w:tcPr>
          <w:p w14:paraId="54DFDE76" w14:textId="36BAA157" w:rsidR="00D850F8" w:rsidRPr="006D631C" w:rsidRDefault="00D850F8"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{"citationItems":[{"id":"ITEM-1","itemData":{"DOI":"10.1002/adma.200502608","ISSN":"09359648","author":[{"dropping-particle":"","family":"Clapper","given":"Jason D.","non-dropping-particle":"","parse-names":false,"suffix":""},{"dropping-particle":"","family":"Guymon","given":"C. Allan","non-dropping-particle":"","parse-names":false,"suffix":""}],"container-title":"Advanced Materials","id":"ITEM-1","issue":"12","issued":{"date-parts":[["2006","6","19"]]},"page":"1575-1580","title":"Compatibilization of immiscible polymer networks through photopolymerization in a lyotropic liquid crystal","type":"article-journal","volume":"18"},"uris":["http://www.mendeley.com/documents/?uuid=3785206a-09e2-4cae-94c1-f39e5349f7ea"]}],"mendeley":{"formattedCitation":"&lt;sup&gt;140&lt;/sup&gt;","plainTextFormattedCitation":"140","previouslyFormattedCitation":"&lt;sup&gt;140&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140</w:t>
            </w:r>
            <w:r w:rsidRPr="006D631C">
              <w:rPr>
                <w:color w:val="000000"/>
                <w:sz w:val="12"/>
                <w:szCs w:val="12"/>
              </w:rPr>
              <w:fldChar w:fldCharType="end"/>
            </w:r>
          </w:p>
        </w:tc>
      </w:tr>
      <w:tr w:rsidR="00D850F8" w:rsidRPr="006D631C" w14:paraId="129755C4" w14:textId="77777777" w:rsidTr="0035691D">
        <w:trPr>
          <w:trHeight w:val="20"/>
        </w:trPr>
        <w:tc>
          <w:tcPr>
            <w:tcW w:w="851" w:type="dxa"/>
            <w:vMerge/>
            <w:tcBorders>
              <w:left w:val="nil"/>
              <w:bottom w:val="single" w:sz="4" w:space="0" w:color="auto"/>
              <w:right w:val="nil"/>
            </w:tcBorders>
            <w:shd w:val="clear" w:color="000000" w:fill="FFFFFF"/>
            <w:vAlign w:val="center"/>
          </w:tcPr>
          <w:p w14:paraId="09A7AC9A" w14:textId="77777777" w:rsidR="00D850F8" w:rsidRPr="006D631C" w:rsidRDefault="00D850F8" w:rsidP="00D850F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00954E5D" w14:textId="45EEDC67" w:rsidR="00D850F8" w:rsidRPr="006D631C" w:rsidRDefault="00D850F8" w:rsidP="00D850F8">
            <w:pPr>
              <w:spacing w:line="240" w:lineRule="auto"/>
              <w:jc w:val="left"/>
              <w:rPr>
                <w:color w:val="000000"/>
                <w:sz w:val="12"/>
                <w:szCs w:val="12"/>
              </w:rPr>
            </w:pPr>
            <w:r w:rsidRPr="006D631C">
              <w:rPr>
                <w:color w:val="000000"/>
                <w:sz w:val="12"/>
                <w:szCs w:val="12"/>
              </w:rPr>
              <w:t>A-14</w:t>
            </w:r>
          </w:p>
        </w:tc>
        <w:tc>
          <w:tcPr>
            <w:tcW w:w="567" w:type="dxa"/>
            <w:tcBorders>
              <w:top w:val="nil"/>
              <w:left w:val="nil"/>
              <w:bottom w:val="single" w:sz="4" w:space="0" w:color="auto"/>
              <w:right w:val="nil"/>
            </w:tcBorders>
            <w:shd w:val="clear" w:color="000000" w:fill="FFFFFF"/>
            <w:vAlign w:val="center"/>
          </w:tcPr>
          <w:p w14:paraId="7AEC0505" w14:textId="778A2392" w:rsidR="00D850F8" w:rsidRPr="006D631C" w:rsidRDefault="00D850F8" w:rsidP="00D850F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4B899CB5" w14:textId="0983952C" w:rsidR="00D850F8" w:rsidRPr="006D631C" w:rsidRDefault="00D850F8" w:rsidP="00D850F8">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794DB5ED" w14:textId="1BFBF55F" w:rsidR="00D850F8" w:rsidRPr="006D631C" w:rsidRDefault="00D850F8" w:rsidP="00D850F8">
            <w:pPr>
              <w:spacing w:line="240" w:lineRule="auto"/>
              <w:jc w:val="left"/>
              <w:rPr>
                <w:color w:val="000000"/>
                <w:sz w:val="12"/>
                <w:szCs w:val="12"/>
              </w:rPr>
            </w:pPr>
            <w:r w:rsidRPr="006D631C">
              <w:rPr>
                <w:color w:val="000000"/>
                <w:sz w:val="12"/>
                <w:szCs w:val="12"/>
              </w:rPr>
              <w:t>30 - 40 / 20 (H</w:t>
            </w:r>
            <w:r w:rsidRPr="006D631C">
              <w:rPr>
                <w:color w:val="000000"/>
                <w:sz w:val="12"/>
                <w:szCs w:val="12"/>
                <w:vertAlign w:val="subscript"/>
              </w:rPr>
              <w:t>1</w:t>
            </w:r>
            <w:r w:rsidRPr="006D631C">
              <w:rPr>
                <w:color w:val="000000"/>
                <w:sz w:val="12"/>
                <w:szCs w:val="12"/>
              </w:rPr>
              <w:t>)</w:t>
            </w:r>
            <w:r w:rsidRPr="006D631C">
              <w:rPr>
                <w:color w:val="000000"/>
                <w:sz w:val="12"/>
                <w:szCs w:val="12"/>
              </w:rPr>
              <w:br/>
              <w:t>50 - 60 / 20</w:t>
            </w:r>
            <w:r w:rsidRPr="006D631C">
              <w:rPr>
                <w:color w:val="000000"/>
                <w:sz w:val="12"/>
                <w:szCs w:val="12"/>
              </w:rPr>
              <w:br/>
              <w:t>(L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35492DB3" w14:textId="0A55E737" w:rsidR="00D850F8" w:rsidRPr="006D631C" w:rsidRDefault="00D850F8" w:rsidP="00D850F8">
            <w:pPr>
              <w:spacing w:line="240" w:lineRule="auto"/>
              <w:jc w:val="left"/>
              <w:rPr>
                <w:color w:val="000000"/>
                <w:sz w:val="12"/>
                <w:szCs w:val="12"/>
              </w:rPr>
            </w:pPr>
            <w:r w:rsidRPr="006D631C">
              <w:rPr>
                <w:color w:val="000000"/>
                <w:sz w:val="12"/>
                <w:szCs w:val="12"/>
              </w:rPr>
              <w:t>Disordered L</w:t>
            </w:r>
            <w:r w:rsidRPr="006D631C">
              <w:rPr>
                <w:color w:val="000000"/>
                <w:sz w:val="12"/>
                <w:szCs w:val="12"/>
                <w:vertAlign w:val="subscript"/>
              </w:rPr>
              <w:t>α</w:t>
            </w:r>
          </w:p>
        </w:tc>
        <w:tc>
          <w:tcPr>
            <w:tcW w:w="993" w:type="dxa"/>
            <w:tcBorders>
              <w:top w:val="nil"/>
              <w:left w:val="nil"/>
              <w:bottom w:val="single" w:sz="4" w:space="0" w:color="auto"/>
              <w:right w:val="nil"/>
            </w:tcBorders>
            <w:shd w:val="clear" w:color="000000" w:fill="FFFFFF"/>
            <w:noWrap/>
            <w:vAlign w:val="center"/>
          </w:tcPr>
          <w:p w14:paraId="536AF562" w14:textId="1C93EF1E" w:rsidR="00D850F8" w:rsidRPr="006D631C" w:rsidRDefault="00D850F8" w:rsidP="00D850F8">
            <w:pPr>
              <w:spacing w:line="240" w:lineRule="auto"/>
              <w:jc w:val="left"/>
              <w:rPr>
                <w:color w:val="000000"/>
                <w:sz w:val="12"/>
                <w:szCs w:val="12"/>
              </w:rPr>
            </w:pPr>
            <w:r w:rsidRPr="006D631C">
              <w:rPr>
                <w:color w:val="000000"/>
                <w:sz w:val="12"/>
                <w:szCs w:val="12"/>
              </w:rPr>
              <w:t>6.16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495483C6" w14:textId="724905F9" w:rsidR="00D850F8" w:rsidRPr="006D631C" w:rsidRDefault="00D850F8" w:rsidP="00D850F8">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4A500E3B" w14:textId="7928524B" w:rsidR="00D850F8" w:rsidRPr="006D631C" w:rsidRDefault="00D850F8" w:rsidP="00D850F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non-LLC &lt; L</w:t>
            </w:r>
            <w:r w:rsidRPr="006D631C">
              <w:rPr>
                <w:rFonts w:eastAsia="Times New Roman" w:cs="Times New Roman"/>
                <w:color w:val="000000"/>
                <w:sz w:val="12"/>
                <w:szCs w:val="12"/>
                <w:vertAlign w:val="subscript"/>
              </w:rPr>
              <w:t xml:space="preserve">α </w:t>
            </w:r>
            <w:r w:rsidRPr="006D631C">
              <w:rPr>
                <w:rFonts w:eastAsia="Times New Roman" w:cs="Times New Roman"/>
                <w:color w:val="000000"/>
                <w:sz w:val="12"/>
                <w:szCs w:val="12"/>
              </w:rPr>
              <w:t>&lt; H</w:t>
            </w:r>
            <w:r w:rsidRPr="006D631C">
              <w:rPr>
                <w:rFonts w:eastAsia="Times New Roman" w:cs="Times New Roman"/>
                <w:color w:val="000000"/>
                <w:sz w:val="12"/>
                <w:szCs w:val="12"/>
                <w:vertAlign w:val="subscript"/>
              </w:rPr>
              <w:t>1</w:t>
            </w:r>
          </w:p>
        </w:tc>
        <w:tc>
          <w:tcPr>
            <w:tcW w:w="566" w:type="dxa"/>
            <w:tcBorders>
              <w:top w:val="nil"/>
              <w:left w:val="nil"/>
              <w:bottom w:val="single" w:sz="4" w:space="0" w:color="auto"/>
              <w:right w:val="nil"/>
            </w:tcBorders>
            <w:shd w:val="clear" w:color="000000" w:fill="FFFFFF"/>
            <w:vAlign w:val="center"/>
          </w:tcPr>
          <w:p w14:paraId="7C3EDC53" w14:textId="44FF0E63" w:rsidR="00D850F8" w:rsidRPr="006D631C" w:rsidRDefault="00D850F8"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{"citationItems":[{"id":"ITEM-1","itemData":{"DOI":"10.1021/ma101418e","ISSN":"00249297","abstract":"The ability to direct polymer structure on the nanometer scale has provided access to enhanced material properties that may be tailored to accommodate a growing number of advanced biological and industrial applications. A promising method of generating nanostructure in organic polymers uses self-assembling lyotropic liquid crystalline (LLC) mesophases as templates for polymerization. Unfortunately, thermodynamically driven phase separation often prevents polymer morphology from being precisely controlled. As the demand for polymers with accurately engineered properties increases, a detailed understanding of the phase separation process is needed to control the nanostructure and properties of LLC templated polymers. In this study, photopolymerization kinetics are utilized to identify phase separation events occurring during the photopolymerization of poly(ethylene glycol) diacrylate and hexanediol diacrylate monomers templated in the normal hexagonal or lamellar LLC mesophases. Discontinuities are found in the polymerization rate of anisotropic polymers at several double bond conversions that are not present in the rate profiles of isotropic controls. The polymer morphology was subsequently characterized at particular conversions using small angle X-ray scattering. Changes in polymer nanostructure occur at double bond conversions that coincide with the observed rate discontinuities. These results demonstrate that photopolymerization kinetics can be used as a probe to monitor the evolution of polymer nanostructure during polymerization and optimize the conditions governing the control of polymer morphology to enhance properties dependent on nanostructure. © 2010 American Chemical Society.","author":[{"dropping-particle":"","family":"Forney","given":"Bradley S.","non-dropping-particle":"","parse-names":false,"suffix":""},{"dropping-particle":"","family":"Guymon","given":"C. Allan","non-dropping-particle":"","parse-names":false,"suffix":""}],"container-title":"Macromolecules","id":"ITEM-1","issue":"20","issued":{"date-parts":[["2010","10","26"]]},"page":"8502-8510","title":"Nanostructure evolution during photopolymerization in lyotropic liquid crystal templates","type":"article-journal","volume":"43"},"uris":["http://www.mendeley.com/documents/?uuid=862518bf-5405-45d5-af85-3c72739c9ed0"]}],"mendeley":{"formattedCitation":"&lt;sup&gt;157&lt;/sup&gt;","plainTextFormattedCitation":"157","previouslyFormattedCitation":"&lt;sup&gt;157&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157</w:t>
            </w:r>
            <w:r w:rsidRPr="006D631C">
              <w:rPr>
                <w:color w:val="000000"/>
                <w:sz w:val="12"/>
                <w:szCs w:val="12"/>
              </w:rPr>
              <w:fldChar w:fldCharType="end"/>
            </w:r>
          </w:p>
        </w:tc>
      </w:tr>
      <w:tr w:rsidR="000F47E8" w:rsidRPr="006D631C" w14:paraId="74CF4F82" w14:textId="77777777" w:rsidTr="0035691D">
        <w:trPr>
          <w:trHeight w:val="20"/>
        </w:trPr>
        <w:tc>
          <w:tcPr>
            <w:tcW w:w="851" w:type="dxa"/>
            <w:tcBorders>
              <w:top w:val="single" w:sz="4" w:space="0" w:color="auto"/>
              <w:left w:val="nil"/>
              <w:bottom w:val="single" w:sz="4" w:space="0" w:color="auto"/>
              <w:right w:val="nil"/>
            </w:tcBorders>
            <w:shd w:val="clear" w:color="000000" w:fill="FFFFFF"/>
            <w:vAlign w:val="center"/>
          </w:tcPr>
          <w:p w14:paraId="52C1EC2F" w14:textId="4EF038DA" w:rsidR="000F47E8" w:rsidRPr="006D631C" w:rsidRDefault="000F47E8" w:rsidP="000F47E8">
            <w:pPr>
              <w:spacing w:line="240" w:lineRule="auto"/>
              <w:jc w:val="left"/>
              <w:rPr>
                <w:color w:val="000000"/>
                <w:sz w:val="12"/>
                <w:szCs w:val="12"/>
              </w:rPr>
            </w:pPr>
            <w:r w:rsidRPr="006D631C">
              <w:rPr>
                <w:color w:val="000000"/>
                <w:sz w:val="12"/>
                <w:szCs w:val="12"/>
              </w:rPr>
              <w:t>M-21</w:t>
            </w:r>
          </w:p>
        </w:tc>
        <w:tc>
          <w:tcPr>
            <w:tcW w:w="12048" w:type="dxa"/>
            <w:gridSpan w:val="9"/>
            <w:tcBorders>
              <w:top w:val="single" w:sz="4" w:space="0" w:color="auto"/>
              <w:left w:val="nil"/>
              <w:bottom w:val="single" w:sz="4" w:space="0" w:color="auto"/>
              <w:right w:val="nil"/>
            </w:tcBorders>
            <w:shd w:val="clear" w:color="000000" w:fill="FFFFFF"/>
            <w:noWrap/>
            <w:vAlign w:val="center"/>
          </w:tcPr>
          <w:p w14:paraId="31B48140" w14:textId="4A913700" w:rsidR="000F47E8" w:rsidRPr="006D631C" w:rsidRDefault="000F47E8" w:rsidP="000F47E8">
            <w:pPr>
              <w:spacing w:line="240" w:lineRule="auto"/>
              <w:jc w:val="left"/>
              <w:rPr>
                <w:color w:val="000000"/>
                <w:sz w:val="12"/>
                <w:szCs w:val="12"/>
              </w:rPr>
            </w:pPr>
            <w:r w:rsidRPr="006D631C">
              <w:rPr>
                <w:color w:val="000000"/>
                <w:sz w:val="12"/>
                <w:szCs w:val="12"/>
              </w:rPr>
              <w:t>This monomer was discussed in M-9 section</w:t>
            </w:r>
          </w:p>
        </w:tc>
      </w:tr>
      <w:tr w:rsidR="009C10C8" w:rsidRPr="006D631C" w14:paraId="3BED6112" w14:textId="77777777" w:rsidTr="0035691D">
        <w:trPr>
          <w:trHeight w:val="20"/>
        </w:trPr>
        <w:tc>
          <w:tcPr>
            <w:tcW w:w="851" w:type="dxa"/>
            <w:tcBorders>
              <w:top w:val="nil"/>
              <w:left w:val="nil"/>
              <w:bottom w:val="single" w:sz="4" w:space="0" w:color="auto"/>
              <w:right w:val="nil"/>
            </w:tcBorders>
            <w:shd w:val="clear" w:color="000000" w:fill="FFFFFF"/>
            <w:vAlign w:val="center"/>
          </w:tcPr>
          <w:p w14:paraId="502A3792" w14:textId="6677FEE5" w:rsidR="009C10C8" w:rsidRPr="006D631C" w:rsidRDefault="009C10C8" w:rsidP="009C10C8">
            <w:pPr>
              <w:spacing w:line="240" w:lineRule="auto"/>
              <w:jc w:val="left"/>
              <w:rPr>
                <w:color w:val="000000"/>
                <w:sz w:val="12"/>
                <w:szCs w:val="12"/>
              </w:rPr>
            </w:pPr>
            <w:r w:rsidRPr="006D631C">
              <w:rPr>
                <w:color w:val="000000"/>
                <w:sz w:val="12"/>
                <w:szCs w:val="12"/>
              </w:rPr>
              <w:t>M-22</w:t>
            </w:r>
          </w:p>
        </w:tc>
        <w:tc>
          <w:tcPr>
            <w:tcW w:w="850" w:type="dxa"/>
            <w:tcBorders>
              <w:top w:val="nil"/>
              <w:left w:val="nil"/>
              <w:bottom w:val="single" w:sz="4" w:space="0" w:color="auto"/>
              <w:right w:val="nil"/>
            </w:tcBorders>
            <w:shd w:val="clear" w:color="000000" w:fill="FFFFFF"/>
            <w:noWrap/>
            <w:vAlign w:val="center"/>
          </w:tcPr>
          <w:p w14:paraId="7EA2B3ED" w14:textId="247A7228" w:rsidR="009C10C8" w:rsidRPr="006D631C" w:rsidRDefault="009C10C8" w:rsidP="009C10C8">
            <w:pPr>
              <w:spacing w:line="240" w:lineRule="auto"/>
              <w:jc w:val="left"/>
              <w:rPr>
                <w:color w:val="000000"/>
                <w:sz w:val="12"/>
                <w:szCs w:val="12"/>
              </w:rPr>
            </w:pPr>
            <w:r w:rsidRPr="006D631C">
              <w:rPr>
                <w:color w:val="000000"/>
                <w:sz w:val="12"/>
                <w:szCs w:val="12"/>
              </w:rPr>
              <w:t>P-A-37</w:t>
            </w:r>
          </w:p>
        </w:tc>
        <w:tc>
          <w:tcPr>
            <w:tcW w:w="567" w:type="dxa"/>
            <w:tcBorders>
              <w:top w:val="nil"/>
              <w:left w:val="nil"/>
              <w:bottom w:val="single" w:sz="4" w:space="0" w:color="auto"/>
              <w:right w:val="nil"/>
            </w:tcBorders>
            <w:shd w:val="clear" w:color="000000" w:fill="FFFFFF"/>
            <w:vAlign w:val="center"/>
          </w:tcPr>
          <w:p w14:paraId="42DD8DC6" w14:textId="087A2FA4" w:rsidR="009C10C8" w:rsidRPr="006D631C" w:rsidRDefault="009C10C8" w:rsidP="009C10C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4894B660" w14:textId="52826884" w:rsidR="009C10C8" w:rsidRPr="006D631C" w:rsidRDefault="009C10C8" w:rsidP="009C10C8">
            <w:pPr>
              <w:spacing w:line="240" w:lineRule="auto"/>
              <w:jc w:val="left"/>
              <w:rPr>
                <w:color w:val="000000"/>
                <w:sz w:val="12"/>
                <w:szCs w:val="12"/>
              </w:rPr>
            </w:pPr>
            <w:r w:rsidRPr="006D631C">
              <w:rPr>
                <w:color w:val="000000"/>
                <w:sz w:val="12"/>
                <w:szCs w:val="12"/>
              </w:rPr>
              <w:t>I-2</w:t>
            </w:r>
          </w:p>
        </w:tc>
        <w:tc>
          <w:tcPr>
            <w:tcW w:w="1134" w:type="dxa"/>
            <w:tcBorders>
              <w:top w:val="nil"/>
              <w:left w:val="nil"/>
              <w:bottom w:val="single" w:sz="4" w:space="0" w:color="auto"/>
              <w:right w:val="nil"/>
            </w:tcBorders>
            <w:shd w:val="clear" w:color="000000" w:fill="FFFFFF"/>
            <w:vAlign w:val="center"/>
          </w:tcPr>
          <w:p w14:paraId="0C256BBA" w14:textId="74B21E02" w:rsidR="009C10C8" w:rsidRPr="006D631C" w:rsidRDefault="009C10C8" w:rsidP="009C10C8">
            <w:pPr>
              <w:spacing w:line="240" w:lineRule="auto"/>
              <w:jc w:val="left"/>
              <w:rPr>
                <w:color w:val="000000"/>
                <w:sz w:val="12"/>
                <w:szCs w:val="12"/>
              </w:rPr>
            </w:pPr>
            <w:r w:rsidRPr="006D631C">
              <w:rPr>
                <w:color w:val="000000"/>
                <w:sz w:val="12"/>
                <w:szCs w:val="12"/>
              </w:rPr>
              <w:t>29 / 25 (H</w:t>
            </w:r>
            <w:r w:rsidRPr="006D631C">
              <w:rPr>
                <w:color w:val="000000"/>
                <w:sz w:val="12"/>
                <w:szCs w:val="12"/>
                <w:vertAlign w:val="subscript"/>
              </w:rPr>
              <w:t>1</w:t>
            </w:r>
            <w:r w:rsidRPr="006D631C">
              <w:rPr>
                <w:color w:val="000000"/>
                <w:sz w:val="12"/>
                <w:szCs w:val="12"/>
              </w:rPr>
              <w:t>)</w:t>
            </w:r>
            <w:r w:rsidRPr="006D631C">
              <w:rPr>
                <w:color w:val="000000"/>
                <w:sz w:val="12"/>
                <w:szCs w:val="12"/>
              </w:rPr>
              <w:br/>
              <w:t>59 / 14 (Q</w:t>
            </w:r>
            <w:r w:rsidRPr="006D631C">
              <w:rPr>
                <w:color w:val="000000"/>
                <w:sz w:val="12"/>
                <w:szCs w:val="12"/>
                <w:vertAlign w:val="subscript"/>
              </w:rPr>
              <w:t>1</w:t>
            </w:r>
            <w:r w:rsidRPr="006D631C">
              <w:rPr>
                <w:color w:val="000000"/>
                <w:sz w:val="12"/>
                <w:szCs w:val="12"/>
              </w:rPr>
              <w:t>)</w:t>
            </w:r>
            <w:r w:rsidRPr="006D631C">
              <w:rPr>
                <w:color w:val="000000"/>
                <w:sz w:val="12"/>
                <w:szCs w:val="12"/>
              </w:rPr>
              <w:br/>
              <w:t>64 / 25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12A272CC" w14:textId="484AD7DF" w:rsidR="009C10C8" w:rsidRPr="006D631C" w:rsidRDefault="009C10C8" w:rsidP="009C10C8">
            <w:pPr>
              <w:spacing w:line="240" w:lineRule="auto"/>
              <w:jc w:val="left"/>
              <w:rPr>
                <w:color w:val="000000"/>
                <w:sz w:val="12"/>
                <w:szCs w:val="12"/>
              </w:rPr>
            </w:pPr>
            <w:r w:rsidRPr="006D631C">
              <w:rPr>
                <w:color w:val="000000"/>
                <w:sz w:val="12"/>
                <w:szCs w:val="12"/>
              </w:rPr>
              <w:t>Retention of Q</w:t>
            </w:r>
            <w:r w:rsidRPr="006D631C">
              <w:rPr>
                <w:color w:val="000000"/>
                <w:sz w:val="12"/>
                <w:szCs w:val="12"/>
                <w:vertAlign w:val="subscript"/>
              </w:rPr>
              <w:t>1</w:t>
            </w:r>
            <w:r w:rsidRPr="006D631C">
              <w:rPr>
                <w:color w:val="000000"/>
                <w:sz w:val="12"/>
                <w:szCs w:val="12"/>
              </w:rPr>
              <w:br/>
              <w:t>H</w:t>
            </w:r>
            <w:r w:rsidRPr="006D631C">
              <w:rPr>
                <w:color w:val="000000"/>
                <w:sz w:val="12"/>
                <w:szCs w:val="12"/>
                <w:vertAlign w:val="subscript"/>
              </w:rPr>
              <w:t>1</w:t>
            </w:r>
            <w:r w:rsidRPr="006D631C">
              <w:rPr>
                <w:color w:val="000000"/>
                <w:sz w:val="12"/>
                <w:szCs w:val="12"/>
              </w:rPr>
              <w:t xml:space="preserve"> and L</w:t>
            </w:r>
            <w:r w:rsidRPr="006D631C">
              <w:rPr>
                <w:color w:val="000000"/>
                <w:sz w:val="12"/>
                <w:szCs w:val="12"/>
                <w:vertAlign w:val="subscript"/>
              </w:rPr>
              <w:t>α</w:t>
            </w:r>
            <w:r w:rsidRPr="006D631C">
              <w:rPr>
                <w:color w:val="000000"/>
                <w:sz w:val="12"/>
                <w:szCs w:val="12"/>
              </w:rPr>
              <w:t xml:space="preserve"> changed to Q</w:t>
            </w:r>
            <w:r w:rsidRPr="006D631C">
              <w:rPr>
                <w:color w:val="000000"/>
                <w:sz w:val="12"/>
                <w:szCs w:val="12"/>
                <w:vertAlign w:val="subscript"/>
              </w:rPr>
              <w:t>1</w:t>
            </w:r>
          </w:p>
        </w:tc>
        <w:tc>
          <w:tcPr>
            <w:tcW w:w="993" w:type="dxa"/>
            <w:tcBorders>
              <w:top w:val="nil"/>
              <w:left w:val="nil"/>
              <w:bottom w:val="single" w:sz="4" w:space="0" w:color="auto"/>
              <w:right w:val="nil"/>
            </w:tcBorders>
            <w:shd w:val="clear" w:color="000000" w:fill="FFFFFF"/>
            <w:noWrap/>
            <w:vAlign w:val="center"/>
          </w:tcPr>
          <w:p w14:paraId="7D1AC6BC" w14:textId="7A4866E4" w:rsidR="009C10C8" w:rsidRPr="006D631C" w:rsidRDefault="009C10C8" w:rsidP="009C10C8">
            <w:pPr>
              <w:spacing w:line="240" w:lineRule="auto"/>
              <w:jc w:val="left"/>
              <w:rPr>
                <w:color w:val="000000"/>
                <w:sz w:val="12"/>
                <w:szCs w:val="12"/>
              </w:rPr>
            </w:pPr>
            <w:r w:rsidRPr="006D631C">
              <w:rPr>
                <w:color w:val="000000"/>
                <w:sz w:val="12"/>
                <w:szCs w:val="12"/>
              </w:rPr>
              <w:t>4.7 (H</w:t>
            </w:r>
            <w:r w:rsidRPr="006D631C">
              <w:rPr>
                <w:color w:val="000000"/>
                <w:sz w:val="12"/>
                <w:szCs w:val="12"/>
                <w:vertAlign w:val="subscript"/>
              </w:rPr>
              <w:t>1</w:t>
            </w:r>
            <w:r w:rsidRPr="006D631C">
              <w:rPr>
                <w:color w:val="000000"/>
                <w:sz w:val="12"/>
                <w:szCs w:val="12"/>
              </w:rPr>
              <w:t>)</w:t>
            </w:r>
            <w:r w:rsidRPr="006D631C">
              <w:rPr>
                <w:color w:val="000000"/>
                <w:sz w:val="12"/>
                <w:szCs w:val="12"/>
              </w:rPr>
              <w:br/>
              <w:t>8.3 (Q</w:t>
            </w:r>
            <w:r w:rsidRPr="006D631C">
              <w:rPr>
                <w:color w:val="000000"/>
                <w:sz w:val="12"/>
                <w:szCs w:val="12"/>
                <w:vertAlign w:val="subscript"/>
              </w:rPr>
              <w:t>1</w:t>
            </w:r>
            <w:r w:rsidRPr="006D631C">
              <w:rPr>
                <w:color w:val="000000"/>
                <w:sz w:val="12"/>
                <w:szCs w:val="12"/>
              </w:rPr>
              <w:t>)</w:t>
            </w:r>
            <w:r w:rsidRPr="006D631C">
              <w:rPr>
                <w:color w:val="000000"/>
                <w:sz w:val="12"/>
                <w:szCs w:val="12"/>
              </w:rPr>
              <w:br/>
              <w:t>2.8 (L</w:t>
            </w:r>
            <w:r w:rsidRPr="006D631C">
              <w:rPr>
                <w:color w:val="000000"/>
                <w:sz w:val="12"/>
                <w:szCs w:val="12"/>
                <w:vertAlign w:val="subscript"/>
              </w:rPr>
              <w:t>α</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07471735" w14:textId="46A033B6" w:rsidR="009C10C8" w:rsidRPr="006D631C" w:rsidRDefault="009C10C8" w:rsidP="009C10C8">
            <w:pPr>
              <w:spacing w:line="240" w:lineRule="auto"/>
              <w:jc w:val="left"/>
              <w:rPr>
                <w:color w:val="000000"/>
                <w:sz w:val="12"/>
                <w:szCs w:val="12"/>
              </w:rPr>
            </w:pPr>
            <w:r w:rsidRPr="006D631C">
              <w:rPr>
                <w:color w:val="000000"/>
                <w:sz w:val="12"/>
                <w:szCs w:val="12"/>
              </w:rPr>
              <w:t>6.5 - 6.8 (Q</w:t>
            </w:r>
            <w:r w:rsidRPr="006D631C">
              <w:rPr>
                <w:color w:val="000000"/>
                <w:sz w:val="12"/>
                <w:szCs w:val="12"/>
                <w:vertAlign w:val="subscript"/>
              </w:rPr>
              <w:t>1</w:t>
            </w:r>
            <w:r w:rsidRPr="006D631C">
              <w:rPr>
                <w:color w:val="000000"/>
                <w:sz w:val="12"/>
                <w:szCs w:val="12"/>
              </w:rPr>
              <w:t>)</w:t>
            </w:r>
          </w:p>
        </w:tc>
        <w:tc>
          <w:tcPr>
            <w:tcW w:w="5103" w:type="dxa"/>
            <w:tcBorders>
              <w:top w:val="single" w:sz="4" w:space="0" w:color="auto"/>
              <w:left w:val="nil"/>
              <w:bottom w:val="single" w:sz="4" w:space="0" w:color="auto"/>
              <w:right w:val="nil"/>
            </w:tcBorders>
            <w:shd w:val="clear" w:color="000000" w:fill="FFFFFF"/>
            <w:noWrap/>
            <w:vAlign w:val="center"/>
          </w:tcPr>
          <w:p w14:paraId="6319B31C" w14:textId="77777777" w:rsidR="009C10C8" w:rsidRPr="006D631C" w:rsidRDefault="009C10C8" w:rsidP="009C10C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Retention of the structure after surfactant removal was not possible</w:t>
            </w:r>
          </w:p>
          <w:p w14:paraId="280DCBE9" w14:textId="08B48224" w:rsidR="009C10C8" w:rsidRPr="006D631C" w:rsidRDefault="009C10C8" w:rsidP="009C10C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Higher 2-propanol swelling capacity of Q</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-structured sample compared to others</w:t>
            </w:r>
          </w:p>
          <w:p w14:paraId="4D51F7F0" w14:textId="11D0B84D" w:rsidR="009C10C8" w:rsidRPr="006D631C" w:rsidRDefault="009C10C8" w:rsidP="009C10C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Water-swollen polymerized LLCs showed lower compressive modulus over less hydrated non-LLC one</w:t>
            </w:r>
          </w:p>
        </w:tc>
        <w:tc>
          <w:tcPr>
            <w:tcW w:w="566" w:type="dxa"/>
            <w:tcBorders>
              <w:top w:val="nil"/>
              <w:left w:val="nil"/>
              <w:bottom w:val="single" w:sz="4" w:space="0" w:color="auto"/>
              <w:right w:val="nil"/>
            </w:tcBorders>
            <w:shd w:val="clear" w:color="000000" w:fill="FFFFFF"/>
            <w:vAlign w:val="center"/>
          </w:tcPr>
          <w:p w14:paraId="5CA1880E" w14:textId="2682292E" w:rsidR="009C10C8" w:rsidRPr="006D631C" w:rsidRDefault="009C10C8" w:rsidP="00BE1A2B">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2F4FFD" w:rsidRPr="006D631C">
              <w:rPr>
                <w:color w:val="000000"/>
                <w:sz w:val="12"/>
                <w:szCs w:val="12"/>
              </w:rPr>
              <w:instrText>ADDIN CSL_CITATION {"citationItems":[{"id":"ITEM-1","itemData":{"DOI":"10.1021/acs.chemmater.7b04183","ISSN":"15205002","abstract":"Nanoporous polymers with periodic, ordered structures have attracted significant interest for their potential applications as drug delivery vehicles, biomaterials, separations membranes, and materials for energy storage. Inducing polymer nanostructure through lyotropic liquid crystal-templated (LLC-templated) cross-linking photopolymerizations offers a promising means for morphological control at smaller length scales, which are difficult to access by other established strategies. We report the synthesis of a gemini dicarboxylate surfactant that self-assembles in water to form various aqueous LLC mesophases over a broad range of amphiphile concentrations, with an especially strong propensity to form the coveted bicontinuous double gyroid (GI) network mesophase. Aqueous GI LLCs surprisingly persist upon incorporation of as much as 10-37 wt % hexane-1,6-diol dimethacrylate (HDDMA) into the hydrophobic domains of these supramolecular surfactant assemblies, and cross-linking photopolymerization of the HDDMA unexpectedly proceeds with retention of this intricate LLC nanostructure. The nanoporous nature of the resulting templated polymers remains after surfactant removal by solvent extraction, as manifested by increased swelling ratios in water and 2-propanol as compared to isotropic materials of similar compositions. The exquisite level of control over polymer network porosity provided by templating within GI phases furnishes a promising new route toward nanostructured hydrophobic polymers.","author":[{"dropping-particle":"","family":"Jennings","given":"James","non-dropping-particle":"","parse-names":false,"suffix":""},{"dropping-particle":"","family":"Green","given":"Brian","non-dropping-particle":"","parse-names":false,"suffix":""},{"dropping-particle":"","family":"Mann","given":"Tyler J.","non-dropping-particle":"","parse-names":false,"suffix":""},{"dropping-particle":"","family":"Guymon","given":"C. Allan","non-dropping-particle":"","parse-names":false,"suffix":""},{"dropping-particle":"","family":"Mahanthappa","given":"Mahesh K.","non-dropping-particle":"","parse-names":false,"suffix":""}],"container-title":"Chemistry of Materials","id":"ITEM-1","issue":"1","issued":{"date-parts":[["2018"]]},"page":"185-196","title":"Nanoporous Polymer Networks Templated by Gemini Surfactant Lyotropic Liquid Crystals","type":"article-journal","volume":"30"},"uris":["http://www.mendeley.com/documents/?uuid=f9051fa6-7de9-4802-9014-f295ab0bf347"]}],"mendeley":{"formattedCitation":"&lt;sup&gt;23&lt;/sup&gt;","plainTextFormattedCitation":"23","previouslyFormattedCitation":"&lt;sup&gt;23&lt;/sup&gt;"},"properties":{"noteIndex":0},"schema":"https://github.com/citation-style-language/schema/raw/master/csl-citation.json"}</w:instrText>
            </w:r>
            <w:r w:rsidRPr="006D631C">
              <w:rPr>
                <w:color w:val="000000"/>
                <w:sz w:val="12"/>
                <w:szCs w:val="12"/>
              </w:rPr>
              <w:fldChar w:fldCharType="separate"/>
            </w:r>
            <w:r w:rsidR="00BE1A2B" w:rsidRPr="006D631C">
              <w:rPr>
                <w:noProof/>
                <w:color w:val="000000"/>
                <w:sz w:val="12"/>
                <w:szCs w:val="12"/>
                <w:vertAlign w:val="superscript"/>
              </w:rPr>
              <w:t>23</w:t>
            </w:r>
            <w:r w:rsidRPr="006D631C">
              <w:rPr>
                <w:color w:val="000000"/>
                <w:sz w:val="12"/>
                <w:szCs w:val="12"/>
              </w:rPr>
              <w:fldChar w:fldCharType="end"/>
            </w:r>
          </w:p>
        </w:tc>
      </w:tr>
      <w:tr w:rsidR="009C10C8" w:rsidRPr="006D631C" w14:paraId="44E2C2E6" w14:textId="77777777" w:rsidTr="0035691D">
        <w:trPr>
          <w:trHeight w:val="20"/>
        </w:trPr>
        <w:tc>
          <w:tcPr>
            <w:tcW w:w="851" w:type="dxa"/>
            <w:vMerge w:val="restart"/>
            <w:tcBorders>
              <w:top w:val="nil"/>
              <w:left w:val="nil"/>
              <w:bottom w:val="single" w:sz="4" w:space="0" w:color="000000"/>
              <w:right w:val="nil"/>
            </w:tcBorders>
            <w:shd w:val="clear" w:color="000000" w:fill="FFFFFF"/>
            <w:vAlign w:val="center"/>
          </w:tcPr>
          <w:p w14:paraId="1CB1BD2B" w14:textId="6FF063CC" w:rsidR="009C10C8" w:rsidRPr="006D631C" w:rsidRDefault="009C10C8" w:rsidP="009C10C8">
            <w:pPr>
              <w:spacing w:line="240" w:lineRule="auto"/>
              <w:jc w:val="left"/>
              <w:rPr>
                <w:color w:val="000000"/>
                <w:sz w:val="12"/>
                <w:szCs w:val="12"/>
              </w:rPr>
            </w:pPr>
            <w:r w:rsidRPr="006D631C">
              <w:rPr>
                <w:color w:val="000000"/>
                <w:sz w:val="12"/>
                <w:szCs w:val="12"/>
              </w:rPr>
              <w:t>M-23</w:t>
            </w:r>
          </w:p>
        </w:tc>
        <w:tc>
          <w:tcPr>
            <w:tcW w:w="850" w:type="dxa"/>
            <w:tcBorders>
              <w:top w:val="nil"/>
              <w:left w:val="nil"/>
              <w:bottom w:val="single" w:sz="4" w:space="0" w:color="auto"/>
              <w:right w:val="nil"/>
            </w:tcBorders>
            <w:shd w:val="clear" w:color="000000" w:fill="FFFFFF"/>
            <w:noWrap/>
            <w:vAlign w:val="center"/>
          </w:tcPr>
          <w:p w14:paraId="69B2D4FD" w14:textId="74316CC3" w:rsidR="009C10C8" w:rsidRPr="006D631C" w:rsidRDefault="009C10C8" w:rsidP="009C10C8">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0CA1DADC" w14:textId="27266529" w:rsidR="009C10C8" w:rsidRPr="006D631C" w:rsidRDefault="009C10C8" w:rsidP="009C10C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3855E172" w14:textId="0703942A" w:rsidR="009C10C8" w:rsidRPr="006D631C" w:rsidRDefault="009C10C8" w:rsidP="009C10C8">
            <w:pPr>
              <w:spacing w:line="240" w:lineRule="auto"/>
              <w:jc w:val="left"/>
              <w:rPr>
                <w:color w:val="000000"/>
                <w:sz w:val="12"/>
                <w:szCs w:val="12"/>
              </w:rPr>
            </w:pPr>
            <w:r w:rsidRPr="006D631C">
              <w:rPr>
                <w:color w:val="000000"/>
                <w:sz w:val="12"/>
                <w:szCs w:val="12"/>
              </w:rPr>
              <w:t>I-2, I-5,      I-6, I-7 or I-8</w:t>
            </w:r>
          </w:p>
        </w:tc>
        <w:tc>
          <w:tcPr>
            <w:tcW w:w="1134" w:type="dxa"/>
            <w:tcBorders>
              <w:top w:val="nil"/>
              <w:left w:val="nil"/>
              <w:bottom w:val="single" w:sz="4" w:space="0" w:color="auto"/>
              <w:right w:val="nil"/>
            </w:tcBorders>
            <w:shd w:val="clear" w:color="000000" w:fill="FFFFFF"/>
            <w:vAlign w:val="center"/>
          </w:tcPr>
          <w:p w14:paraId="51B69CBE" w14:textId="09D4CD8B" w:rsidR="009C10C8" w:rsidRPr="006D631C" w:rsidRDefault="009C10C8" w:rsidP="009C10C8">
            <w:pPr>
              <w:spacing w:line="240" w:lineRule="auto"/>
              <w:jc w:val="left"/>
              <w:rPr>
                <w:color w:val="000000"/>
                <w:sz w:val="12"/>
                <w:szCs w:val="12"/>
              </w:rPr>
            </w:pPr>
            <w:r w:rsidRPr="006D631C">
              <w:rPr>
                <w:color w:val="000000"/>
                <w:sz w:val="12"/>
                <w:szCs w:val="12"/>
              </w:rPr>
              <w:t>40 / 20 (I</w:t>
            </w:r>
            <w:r w:rsidRPr="006D631C">
              <w:rPr>
                <w:color w:val="000000"/>
                <w:sz w:val="12"/>
                <w:szCs w:val="12"/>
                <w:vertAlign w:val="subscript"/>
              </w:rPr>
              <w:t>1</w:t>
            </w:r>
            <w:r w:rsidRPr="006D631C">
              <w:rPr>
                <w:color w:val="000000"/>
                <w:sz w:val="12"/>
                <w:szCs w:val="12"/>
              </w:rPr>
              <w:t>)</w:t>
            </w:r>
            <w:r w:rsidRPr="006D631C">
              <w:rPr>
                <w:color w:val="000000"/>
                <w:sz w:val="12"/>
                <w:szCs w:val="12"/>
              </w:rPr>
              <w:br/>
              <w:t>50 - 60 / 20 (H</w:t>
            </w:r>
            <w:r w:rsidRPr="006D631C">
              <w:rPr>
                <w:color w:val="000000"/>
                <w:sz w:val="12"/>
                <w:szCs w:val="12"/>
                <w:vertAlign w:val="subscript"/>
              </w:rPr>
              <w:t>1</w:t>
            </w:r>
            <w:r w:rsidRPr="006D631C">
              <w:rPr>
                <w:color w:val="000000"/>
                <w:sz w:val="12"/>
                <w:szCs w:val="12"/>
              </w:rPr>
              <w:t>)</w:t>
            </w:r>
            <w:r w:rsidRPr="006D631C">
              <w:rPr>
                <w:color w:val="000000"/>
                <w:sz w:val="12"/>
                <w:szCs w:val="12"/>
              </w:rPr>
              <w:br/>
              <w:t>65 - 70 / 20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65A8060E" w14:textId="0AECA2C4" w:rsidR="009C10C8" w:rsidRPr="006D631C" w:rsidRDefault="009C10C8" w:rsidP="009C10C8">
            <w:pPr>
              <w:spacing w:line="240" w:lineRule="auto"/>
              <w:jc w:val="left"/>
              <w:rPr>
                <w:color w:val="000000"/>
                <w:sz w:val="12"/>
                <w:szCs w:val="12"/>
              </w:rPr>
            </w:pPr>
            <w:r w:rsidRPr="006D631C">
              <w:rPr>
                <w:color w:val="000000"/>
                <w:sz w:val="12"/>
                <w:szCs w:val="12"/>
              </w:rPr>
              <w:t>Retention of H</w:t>
            </w:r>
            <w:r w:rsidRPr="006D631C">
              <w:rPr>
                <w:color w:val="000000"/>
                <w:sz w:val="12"/>
                <w:szCs w:val="12"/>
                <w:vertAlign w:val="subscript"/>
              </w:rPr>
              <w:t>1</w:t>
            </w:r>
            <w:r w:rsidRPr="006D631C">
              <w:rPr>
                <w:color w:val="000000"/>
                <w:sz w:val="12"/>
                <w:szCs w:val="12"/>
              </w:rPr>
              <w:t xml:space="preserve"> and L</w:t>
            </w:r>
            <w:r w:rsidRPr="006D631C">
              <w:rPr>
                <w:color w:val="000000"/>
                <w:sz w:val="12"/>
                <w:szCs w:val="12"/>
                <w:vertAlign w:val="subscript"/>
              </w:rPr>
              <w:t>α</w:t>
            </w:r>
          </w:p>
        </w:tc>
        <w:tc>
          <w:tcPr>
            <w:tcW w:w="993" w:type="dxa"/>
            <w:tcBorders>
              <w:top w:val="nil"/>
              <w:left w:val="nil"/>
              <w:bottom w:val="single" w:sz="4" w:space="0" w:color="auto"/>
              <w:right w:val="nil"/>
            </w:tcBorders>
            <w:shd w:val="clear" w:color="000000" w:fill="FFFFFF"/>
            <w:noWrap/>
            <w:vAlign w:val="center"/>
          </w:tcPr>
          <w:p w14:paraId="79FD298A" w14:textId="332CDDEB" w:rsidR="009C10C8" w:rsidRPr="006D631C" w:rsidRDefault="009C10C8" w:rsidP="009C10C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002F86E7" w14:textId="5B4A5A5C" w:rsidR="009C10C8" w:rsidRPr="006D631C" w:rsidRDefault="009C10C8" w:rsidP="009C10C8">
            <w:pPr>
              <w:spacing w:line="240" w:lineRule="auto"/>
              <w:jc w:val="left"/>
              <w:rPr>
                <w:color w:val="000000"/>
                <w:sz w:val="12"/>
                <w:szCs w:val="12"/>
              </w:rPr>
            </w:pPr>
            <w:r w:rsidRPr="006D631C">
              <w:rPr>
                <w:color w:val="000000"/>
                <w:sz w:val="12"/>
                <w:szCs w:val="12"/>
              </w:rPr>
              <w:t>-</w:t>
            </w:r>
          </w:p>
        </w:tc>
        <w:tc>
          <w:tcPr>
            <w:tcW w:w="5103" w:type="dxa"/>
            <w:tcBorders>
              <w:top w:val="single" w:sz="4" w:space="0" w:color="auto"/>
              <w:left w:val="nil"/>
              <w:bottom w:val="single" w:sz="4" w:space="0" w:color="auto"/>
              <w:right w:val="nil"/>
            </w:tcBorders>
            <w:shd w:val="clear" w:color="000000" w:fill="FFFFFF"/>
            <w:noWrap/>
            <w:vAlign w:val="center"/>
          </w:tcPr>
          <w:p w14:paraId="2ACAA85E" w14:textId="77777777" w:rsidR="009C10C8" w:rsidRPr="006D631C" w:rsidRDefault="009C10C8" w:rsidP="009C10C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 xml:space="preserve">Polymerization rate with I-2, I-5, I-7 </w:t>
            </w:r>
          </w:p>
          <w:p w14:paraId="0B353DEE" w14:textId="50987E04" w:rsidR="009C10C8" w:rsidRPr="006D631C" w:rsidRDefault="009C10C8" w:rsidP="009C10C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with I-8: I</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&lt;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L</w:t>
            </w:r>
            <w:r w:rsidRPr="006D631C">
              <w:rPr>
                <w:rFonts w:eastAsia="Times New Roman" w:cs="Times New Roman"/>
                <w:color w:val="000000"/>
                <w:sz w:val="12"/>
                <w:szCs w:val="12"/>
                <w:vertAlign w:val="subscript"/>
              </w:rPr>
              <w:t>α</w:t>
            </w:r>
          </w:p>
          <w:p w14:paraId="3A56F175" w14:textId="10D7744A" w:rsidR="009C10C8" w:rsidRPr="006D631C" w:rsidRDefault="009C10C8" w:rsidP="009C10C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Polymerization rate with I-6: I</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&lt;&lt; L</w:t>
            </w:r>
            <w:r w:rsidRPr="006D631C">
              <w:rPr>
                <w:rFonts w:eastAsia="Times New Roman" w:cs="Times New Roman"/>
                <w:color w:val="000000"/>
                <w:sz w:val="12"/>
                <w:szCs w:val="12"/>
                <w:vertAlign w:val="subscript"/>
              </w:rPr>
              <w:t>α</w:t>
            </w:r>
          </w:p>
        </w:tc>
        <w:tc>
          <w:tcPr>
            <w:tcW w:w="566" w:type="dxa"/>
            <w:tcBorders>
              <w:top w:val="nil"/>
              <w:left w:val="nil"/>
              <w:bottom w:val="single" w:sz="4" w:space="0" w:color="auto"/>
              <w:right w:val="nil"/>
            </w:tcBorders>
            <w:shd w:val="clear" w:color="000000" w:fill="FFFFFF"/>
            <w:vAlign w:val="center"/>
          </w:tcPr>
          <w:p w14:paraId="3479EF6C" w14:textId="41C29704" w:rsidR="009C10C8" w:rsidRPr="006D631C" w:rsidRDefault="009C10C8" w:rsidP="002E14E4">
            <w:pPr>
              <w:spacing w:line="240" w:lineRule="auto"/>
              <w:jc w:val="left"/>
              <w:rPr>
                <w:color w:val="000000"/>
                <w:sz w:val="12"/>
                <w:szCs w:val="12"/>
              </w:rPr>
            </w:pPr>
            <w:r w:rsidRPr="006D631C">
              <w:rPr>
                <w:color w:val="000000"/>
                <w:sz w:val="12"/>
                <w:szCs w:val="12"/>
              </w:rPr>
              <w:fldChar w:fldCharType="begin" w:fldLock="1"/>
            </w:r>
            <w:r w:rsidR="005C60C1" w:rsidRPr="006D631C">
              <w:rPr>
                <w:color w:val="000000"/>
                <w:sz w:val="12"/>
                <w:szCs w:val="12"/>
              </w:rPr>
              <w:instrText>ADDIN CSL_CITATION {"citationItems":[{"id":"ITEM-1","itemData":{"DOI":"10.1021/ma001853e","ISSN":"00249297","abstract":"The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Allan","non-dropping-particle":"","parse-names":false,"suffix":""}],"container-title":"Macromolecules","id":"ITEM-1","issue":"13","issued":{"date-parts":[["2001","6"]]},"page":"4430-4438","title":"Photopolymerization kinetics and structure development of templated lyotropic liquid crystalline systems","type":"article-journal","volume":"34"},"uris":["http://www.mendeley.com/documents/?uuid=5ad8b034-dc0f-455e-ac27-09cb31650bdb"]},{"id":"ITEM-2","itemData":{"author":[{"dropping-particle":"","family":"DePierro","given":"Michael A.","non-dropping-particle":"","parse-names":false,"suffix":""},{"dropping-particle":"","family":"Olson","given":"Alexandra J.","non-dropping-particle":"","parse-names":false,"suffix":""},{"dropping-particle":"","family":"Guymon","given":"C. A.","non-dropping-particle":"","parse-names":false,"suffix":""}],"container-title":"Radtech Technical Proceedings","id":"ITEM-2","issue":"-","issued":{"date-parts":[["2004"]]},"page":"-","title":"Effect of Photoinitiator Solubility on Polymerization in Lyotropic Liquid Crystalline Media","type":"article-journal","volume":"-"},"uris":["http://www.mendeley.com/documents/?uuid=de7fd536-8e96-4240-a259-92949dc7e752"]},{"id":"ITEM-3","itemData":{"DOI":"10.1016/j.polymer.2004.11.007","ISSN":"00323861","abstract":"Through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Allan","non-dropping-particle":"","parse-names":false,"suffix":""}],"container-title":"Polymer","id":"ITEM-3","issue":"2","issued":{"date-parts":[["2005"]]},"page":"335-345","title":"Effect of photoinitiator segregation on polymerization kinetics in lyotropic liquid crystals","type":"article-journal","volume":"46"},"uris":["http://www.mendeley.com/documents/?uuid=3d4da872-6a25-4674-a0bf-2133c4dbb394"]},{"id":"ITEM-4","itemData":{"DOI":"10.1021/ma0518196","ISSN":"00249297","abstract":"Lyotropic liquid crystals (LLC's) have recently been employed as polymerization templates to yield highly ordered nanostructured materials with potential applications in regulated transport, ultrafiltration, and catalysis. With the goal of understanding the reaction mechanisms ultimately determining polymer morphology in these highly ordered systems, this study focuses on the influence of LLC order on photoinitiation efficiency and monomer segregation behavior. These phenomena have been elucidated through extensive examination of the polymerization kinetics utilizing photodifferential scanning calorimetry. The polymerization kinetics in these ordered liquids are highly dependent on phase morphology because liquid crystalline alignment has a profound effect on monomer segregation, and photoinitiation efficiency is a function of viscosity, polarity, and the diffusional constraints inherent in LLC phases. Through studies of the polymerization kinetics in different LLC phases using a free radical inhibitor, the relative initiation efficiencies of a number of photoinitiators were determined. By incorporating relative efficiency information in the analysis of propagation and termination rate parameters, the individual contributions of monomer segregation and photoinitiation behavior to the polymerization kinetics were differentiated. While segregation of polar monomers in the continuous phase leads to increased polymerization rate in more ordered LLC phases, nonpolar monomers exhibit the opposite trend due to segregation in the discontinuous region of the phases studied. Changes in photoinitiation efficiency either compound or negate the effect of monomer segregation on the polymerization rate depending on initiator structure and polarity. The initiation efficiency with relatively bulky, hydrophobic initiators increases substantially in more ordered systems while the efficiency of less hydrophobic initiators decreases slightly in more ordered phases. © 2006 American Chemical Society.","author":[{"dropping-particle":"","family":"DePierro","given":"Michael A.","non-dropping-particle":"","parse-names":false,"suffix":""},{"dropping-particle":"","family":"Guymon","given":"C. Allan","non-dropping-particle":"","parse-names":false,"suffix":""}],"container-title":"Macromolecules","id":"ITEM-4","issue":"2","issued":{"date-parts":[["2006"]]},"page":"617-626","title":"Photoinitiation and monomer segregation behavior in polymerization of lyotropic liquid crystalline systems","type":"article-journal","volume":"39"},"uris":["http://www.mendeley.com/documents/?uuid=81e039e7-fbf5-4fa4-87e8-7195480e9a1d"]}],"mendeley":{"formattedCitation":"&lt;sup&gt;39,43,156,167&lt;/sup&gt;","plainTextFormattedCitation":"39,43,156,167","previouslyFormattedCitation":"&lt;sup&gt;39,43,156,167&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39,43,156,167</w:t>
            </w:r>
            <w:r w:rsidRPr="006D631C">
              <w:rPr>
                <w:color w:val="000000"/>
                <w:sz w:val="12"/>
                <w:szCs w:val="12"/>
              </w:rPr>
              <w:fldChar w:fldCharType="end"/>
            </w:r>
          </w:p>
        </w:tc>
      </w:tr>
      <w:tr w:rsidR="009C10C8" w:rsidRPr="006D631C" w14:paraId="51402E21" w14:textId="77777777" w:rsidTr="0035691D">
        <w:trPr>
          <w:trHeight w:val="20"/>
        </w:trPr>
        <w:tc>
          <w:tcPr>
            <w:tcW w:w="851" w:type="dxa"/>
            <w:vMerge/>
            <w:tcBorders>
              <w:top w:val="nil"/>
              <w:left w:val="nil"/>
              <w:bottom w:val="single" w:sz="4" w:space="0" w:color="000000"/>
              <w:right w:val="nil"/>
            </w:tcBorders>
            <w:vAlign w:val="center"/>
          </w:tcPr>
          <w:p w14:paraId="4A5BC207" w14:textId="77777777" w:rsidR="009C10C8" w:rsidRPr="006D631C" w:rsidRDefault="009C10C8" w:rsidP="009C10C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3D2F6388" w14:textId="2F57C090" w:rsidR="009C10C8" w:rsidRPr="006D631C" w:rsidRDefault="009C10C8" w:rsidP="009C10C8">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5E0A1BD7" w14:textId="54831BB8" w:rsidR="009C10C8" w:rsidRPr="006D631C" w:rsidRDefault="009C10C8" w:rsidP="009C10C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44DAF33A" w14:textId="44CB3FA7" w:rsidR="009C10C8" w:rsidRPr="006D631C" w:rsidRDefault="009C10C8" w:rsidP="009C10C8">
            <w:pPr>
              <w:spacing w:line="240" w:lineRule="auto"/>
              <w:jc w:val="left"/>
              <w:rPr>
                <w:color w:val="000000"/>
                <w:sz w:val="12"/>
                <w:szCs w:val="12"/>
              </w:rPr>
            </w:pPr>
            <w:r w:rsidRPr="006D631C">
              <w:rPr>
                <w:color w:val="000000"/>
                <w:sz w:val="12"/>
                <w:szCs w:val="12"/>
              </w:rPr>
              <w:t>I-5</w:t>
            </w:r>
          </w:p>
        </w:tc>
        <w:tc>
          <w:tcPr>
            <w:tcW w:w="1134" w:type="dxa"/>
            <w:tcBorders>
              <w:top w:val="nil"/>
              <w:left w:val="nil"/>
              <w:bottom w:val="single" w:sz="4" w:space="0" w:color="auto"/>
              <w:right w:val="nil"/>
            </w:tcBorders>
            <w:shd w:val="clear" w:color="000000" w:fill="FFFFFF"/>
            <w:vAlign w:val="center"/>
          </w:tcPr>
          <w:p w14:paraId="1EB1D608" w14:textId="41A4E557" w:rsidR="009C10C8" w:rsidRPr="006D631C" w:rsidRDefault="009C10C8" w:rsidP="009C10C8">
            <w:pPr>
              <w:spacing w:line="240" w:lineRule="auto"/>
              <w:jc w:val="left"/>
              <w:rPr>
                <w:color w:val="000000"/>
                <w:sz w:val="12"/>
                <w:szCs w:val="12"/>
              </w:rPr>
            </w:pPr>
            <w:r w:rsidRPr="006D631C">
              <w:rPr>
                <w:color w:val="000000"/>
                <w:sz w:val="12"/>
                <w:szCs w:val="12"/>
              </w:rPr>
              <w:t>50 / 10 - 30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276CC235" w14:textId="4E795B08" w:rsidR="009C10C8" w:rsidRPr="006D631C" w:rsidRDefault="009C10C8" w:rsidP="009C10C8">
            <w:pPr>
              <w:spacing w:line="240" w:lineRule="auto"/>
              <w:jc w:val="left"/>
              <w:rPr>
                <w:color w:val="000000"/>
                <w:sz w:val="12"/>
                <w:szCs w:val="12"/>
              </w:rPr>
            </w:pPr>
            <w:r w:rsidRPr="006D631C">
              <w:rPr>
                <w:color w:val="000000"/>
                <w:sz w:val="12"/>
                <w:szCs w:val="12"/>
              </w:rPr>
              <w:t>Retention of the structure with some structural changes at high M-23 contents</w:t>
            </w:r>
          </w:p>
        </w:tc>
        <w:tc>
          <w:tcPr>
            <w:tcW w:w="993" w:type="dxa"/>
            <w:tcBorders>
              <w:top w:val="nil"/>
              <w:left w:val="nil"/>
              <w:bottom w:val="single" w:sz="4" w:space="0" w:color="auto"/>
              <w:right w:val="nil"/>
            </w:tcBorders>
            <w:shd w:val="clear" w:color="000000" w:fill="FFFFFF"/>
            <w:noWrap/>
            <w:vAlign w:val="center"/>
          </w:tcPr>
          <w:p w14:paraId="126321CE" w14:textId="20A6130E" w:rsidR="009C10C8" w:rsidRPr="006D631C" w:rsidRDefault="009C10C8" w:rsidP="009C10C8">
            <w:pPr>
              <w:spacing w:line="240" w:lineRule="auto"/>
              <w:jc w:val="left"/>
              <w:rPr>
                <w:color w:val="000000"/>
                <w:sz w:val="12"/>
                <w:szCs w:val="12"/>
              </w:rPr>
            </w:pPr>
            <w:r w:rsidRPr="006D631C">
              <w:rPr>
                <w:color w:val="000000"/>
                <w:sz w:val="12"/>
                <w:szCs w:val="12"/>
              </w:rPr>
              <w:t xml:space="preserve">3.96 (10 </w:t>
            </w:r>
            <w:proofErr w:type="spellStart"/>
            <w:r w:rsidRPr="006D631C">
              <w:rPr>
                <w:color w:val="000000"/>
                <w:sz w:val="12"/>
                <w:szCs w:val="12"/>
              </w:rPr>
              <w:t>wt</w:t>
            </w:r>
            <w:proofErr w:type="spellEnd"/>
            <w:r w:rsidRPr="006D631C">
              <w:rPr>
                <w:color w:val="000000"/>
                <w:sz w:val="12"/>
                <w:szCs w:val="12"/>
              </w:rPr>
              <w:t>% M-23)</w:t>
            </w:r>
            <w:r w:rsidRPr="006D631C">
              <w:rPr>
                <w:color w:val="000000"/>
                <w:sz w:val="12"/>
                <w:szCs w:val="12"/>
              </w:rPr>
              <w:br/>
              <w:t xml:space="preserve">3.6 (30 </w:t>
            </w:r>
            <w:proofErr w:type="spellStart"/>
            <w:r w:rsidRPr="006D631C">
              <w:rPr>
                <w:color w:val="000000"/>
                <w:sz w:val="12"/>
                <w:szCs w:val="12"/>
              </w:rPr>
              <w:t>wt</w:t>
            </w:r>
            <w:proofErr w:type="spellEnd"/>
            <w:r w:rsidRPr="006D631C">
              <w:rPr>
                <w:color w:val="000000"/>
                <w:sz w:val="12"/>
                <w:szCs w:val="12"/>
              </w:rPr>
              <w:t>% M-23)</w:t>
            </w:r>
          </w:p>
        </w:tc>
        <w:tc>
          <w:tcPr>
            <w:tcW w:w="1134" w:type="dxa"/>
            <w:tcBorders>
              <w:top w:val="nil"/>
              <w:left w:val="nil"/>
              <w:bottom w:val="single" w:sz="4" w:space="0" w:color="auto"/>
              <w:right w:val="nil"/>
            </w:tcBorders>
            <w:shd w:val="clear" w:color="000000" w:fill="FFFFFF"/>
            <w:noWrap/>
            <w:vAlign w:val="center"/>
          </w:tcPr>
          <w:p w14:paraId="0014984F" w14:textId="1E35CF10" w:rsidR="009C10C8" w:rsidRPr="006D631C" w:rsidRDefault="009C10C8" w:rsidP="009C10C8">
            <w:pPr>
              <w:spacing w:line="240" w:lineRule="auto"/>
              <w:jc w:val="left"/>
              <w:rPr>
                <w:color w:val="000000"/>
                <w:sz w:val="12"/>
                <w:szCs w:val="12"/>
              </w:rPr>
            </w:pPr>
            <w:r w:rsidRPr="006D631C">
              <w:rPr>
                <w:color w:val="000000"/>
                <w:sz w:val="12"/>
                <w:szCs w:val="12"/>
              </w:rPr>
              <w:t xml:space="preserve">4 (10 </w:t>
            </w:r>
            <w:proofErr w:type="spellStart"/>
            <w:r w:rsidRPr="006D631C">
              <w:rPr>
                <w:color w:val="000000"/>
                <w:sz w:val="12"/>
                <w:szCs w:val="12"/>
              </w:rPr>
              <w:t>wt</w:t>
            </w:r>
            <w:proofErr w:type="spellEnd"/>
            <w:r w:rsidRPr="006D631C">
              <w:rPr>
                <w:color w:val="000000"/>
                <w:sz w:val="12"/>
                <w:szCs w:val="12"/>
              </w:rPr>
              <w:t>% M-23)</w:t>
            </w:r>
            <w:r w:rsidRPr="006D631C">
              <w:rPr>
                <w:color w:val="000000"/>
                <w:sz w:val="12"/>
                <w:szCs w:val="12"/>
              </w:rPr>
              <w:br/>
              <w:t xml:space="preserve">3.82 (30 </w:t>
            </w:r>
            <w:proofErr w:type="spellStart"/>
            <w:r w:rsidRPr="006D631C">
              <w:rPr>
                <w:color w:val="000000"/>
                <w:sz w:val="12"/>
                <w:szCs w:val="12"/>
              </w:rPr>
              <w:t>wt</w:t>
            </w:r>
            <w:proofErr w:type="spellEnd"/>
            <w:r w:rsidRPr="006D631C">
              <w:rPr>
                <w:color w:val="000000"/>
                <w:sz w:val="12"/>
                <w:szCs w:val="12"/>
              </w:rPr>
              <w:t>% M-23)</w:t>
            </w:r>
          </w:p>
        </w:tc>
        <w:tc>
          <w:tcPr>
            <w:tcW w:w="5103" w:type="dxa"/>
            <w:tcBorders>
              <w:top w:val="single" w:sz="4" w:space="0" w:color="auto"/>
              <w:left w:val="nil"/>
              <w:bottom w:val="single" w:sz="4" w:space="0" w:color="auto"/>
              <w:right w:val="nil"/>
            </w:tcBorders>
            <w:shd w:val="clear" w:color="000000" w:fill="FFFFFF"/>
            <w:noWrap/>
            <w:vAlign w:val="center"/>
          </w:tcPr>
          <w:p w14:paraId="3123B237" w14:textId="739E16E5" w:rsidR="009C10C8" w:rsidRPr="006D631C" w:rsidRDefault="009C10C8" w:rsidP="009C10C8">
            <w:pPr>
              <w:pStyle w:val="ListParagraph"/>
              <w:numPr>
                <w:ilvl w:val="0"/>
                <w:numId w:val="11"/>
              </w:numPr>
              <w:spacing w:after="0" w:line="240" w:lineRule="auto"/>
              <w:ind w:left="176" w:hanging="144"/>
              <w:jc w:val="left"/>
              <w:rPr>
                <w:color w:val="000000"/>
                <w:sz w:val="12"/>
                <w:szCs w:val="12"/>
              </w:rPr>
            </w:pPr>
            <w:r w:rsidRPr="006D631C">
              <w:rPr>
                <w:rFonts w:eastAsia="Times New Roman" w:cs="Times New Roman"/>
                <w:color w:val="000000"/>
                <w:sz w:val="12"/>
                <w:szCs w:val="12"/>
              </w:rPr>
              <w:t>Rod-like morphology was seen in SEM images at 30% M-23</w:t>
            </w:r>
          </w:p>
        </w:tc>
        <w:tc>
          <w:tcPr>
            <w:tcW w:w="566" w:type="dxa"/>
            <w:tcBorders>
              <w:top w:val="nil"/>
              <w:left w:val="nil"/>
              <w:bottom w:val="single" w:sz="4" w:space="0" w:color="auto"/>
              <w:right w:val="nil"/>
            </w:tcBorders>
            <w:shd w:val="clear" w:color="000000" w:fill="FFFFFF"/>
            <w:vAlign w:val="center"/>
          </w:tcPr>
          <w:p w14:paraId="4178C591" w14:textId="3FF897C4" w:rsidR="009C10C8" w:rsidRPr="006D631C" w:rsidRDefault="009C10C8"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{"citationItems":[{"id":"ITEM-1","itemData":{"DOI":"10.1021/ma500823q","ISSN":"15205835","abstract":"Polymerization in lyotropic liquid crystalline (LLC) media is a promising method enabling synthesis of nanostructured organic polymers. To understand polymer structure development in LLC systems, this study investigates the polymerization of acrylate monomers of differing polarity and size within the hexagonal and lamellar phase of dodecyltrimethylammonium bromide and water. LLC structure, polymer morphology, and polymerization behavior were characterized to understand the connection between polymerization environment and formation of polymer structure. While the order of the template phase highly influences final polymer order, variations in monomer chemistry can lead to significantly different polymer structures even from the same liquid crystalline phase. More rapid polymerization, which leads to higher conversion and higher cross-link density of the relatively low molecular weight monomers, yields highly anisotropic polymer structure exhibiting alignment of 800 nm channels extending for lengths greater than 150 μm. Less ordered polymer structure results with analogous monomers of higher molecular weight. While polymer structure appears to result from a phase separation process in these systems, the structure directing influence of the liquid crystalline media is exhibited in several systems including the formation of highly oriented cylindrical structures with diameter of 200 nm from polymerization of poly(ethylene glycol) dimethacrylate in the hexagonal phase. Significant control of polymer structure has been demonstrated using LLC templates through proper selection of monomer chemistry, concentration, and LLC template structure. © 2014 American Chemical Society.","author":[{"dropping-particle":"","family":"Depierro","given":"Michael A.","non-dropping-particle":"","parse-names":false,"suffix":""},{"dropping-particle":"","family":"Guymon","given":"C. Allan","non-dropping-particle":"","parse-names":false,"suffix":""}],"container-title":"Macromolecules","id":"ITEM-1","issue":"16","issued":{"date-parts":[["2014"]]},"page":"5728-5738","title":"Polymer structure development in lyotropic liquid crystalline solutions","type":"article-journal","volume":"47"},"uris":["http://www.mendeley.com/documents/?uuid=2a98fefa-bbdd-4c03-b8d7-c79fe8179be3"]}],"mendeley":{"formattedCitation":"&lt;sup&gt;168&lt;/sup&gt;","plainTextFormattedCitation":"168","previouslyFormattedCitation":"&lt;sup&gt;168&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168</w:t>
            </w:r>
            <w:r w:rsidRPr="006D631C">
              <w:rPr>
                <w:color w:val="000000"/>
                <w:sz w:val="12"/>
                <w:szCs w:val="12"/>
              </w:rPr>
              <w:fldChar w:fldCharType="end"/>
            </w:r>
          </w:p>
        </w:tc>
      </w:tr>
    </w:tbl>
    <w:p w14:paraId="5EF53DBD" w14:textId="77777777" w:rsidR="00201A30" w:rsidRPr="006D631C" w:rsidRDefault="00201A30" w:rsidP="00201A30">
      <w:pPr>
        <w:pStyle w:val="Caption"/>
        <w:spacing w:after="0"/>
        <w:jc w:val="center"/>
        <w:rPr>
          <w:rFonts w:asciiTheme="majorBidi" w:hAnsiTheme="majorBidi" w:cstheme="majorBidi"/>
          <w:sz w:val="22"/>
          <w:szCs w:val="22"/>
        </w:rPr>
      </w:pPr>
      <w:r w:rsidRPr="006D631C">
        <w:rPr>
          <w:sz w:val="22"/>
          <w:szCs w:val="22"/>
        </w:rPr>
        <w:lastRenderedPageBreak/>
        <w:t xml:space="preserve">Table 1-3. </w:t>
      </w:r>
      <w:r w:rsidRPr="006D631C">
        <w:rPr>
          <w:i/>
          <w:sz w:val="22"/>
          <w:szCs w:val="22"/>
        </w:rPr>
        <w:t>(Contd.)</w:t>
      </w:r>
    </w:p>
    <w:tbl>
      <w:tblPr>
        <w:tblpPr w:leftFromText="180" w:rightFromText="180" w:vertAnchor="text" w:tblpXSpec="center" w:tblpY="1"/>
        <w:tblOverlap w:val="never"/>
        <w:tblW w:w="12899" w:type="dxa"/>
        <w:tblLayout w:type="fixed"/>
        <w:tblLook w:val="04A0" w:firstRow="1" w:lastRow="0" w:firstColumn="1" w:lastColumn="0" w:noHBand="0" w:noVBand="1"/>
      </w:tblPr>
      <w:tblGrid>
        <w:gridCol w:w="851"/>
        <w:gridCol w:w="850"/>
        <w:gridCol w:w="567"/>
        <w:gridCol w:w="709"/>
        <w:gridCol w:w="1134"/>
        <w:gridCol w:w="992"/>
        <w:gridCol w:w="993"/>
        <w:gridCol w:w="1134"/>
        <w:gridCol w:w="5103"/>
        <w:gridCol w:w="566"/>
      </w:tblGrid>
      <w:tr w:rsidR="00004368" w:rsidRPr="006D631C" w14:paraId="6CBACF99" w14:textId="77777777" w:rsidTr="0035691D">
        <w:trPr>
          <w:trHeight w:val="20"/>
        </w:trPr>
        <w:tc>
          <w:tcPr>
            <w:tcW w:w="851" w:type="dxa"/>
            <w:tcBorders>
              <w:top w:val="single" w:sz="8" w:space="0" w:color="auto"/>
              <w:left w:val="nil"/>
              <w:bottom w:val="single" w:sz="8" w:space="0" w:color="auto"/>
              <w:right w:val="nil"/>
            </w:tcBorders>
            <w:shd w:val="clear" w:color="000000" w:fill="FFFFFF"/>
            <w:vAlign w:val="center"/>
          </w:tcPr>
          <w:p w14:paraId="7071C7FC" w14:textId="77777777" w:rsidR="00004368" w:rsidRPr="006D631C" w:rsidRDefault="00004368" w:rsidP="0035691D">
            <w:pPr>
              <w:spacing w:line="240" w:lineRule="auto"/>
              <w:jc w:val="left"/>
              <w:rPr>
                <w:b/>
                <w:bCs/>
                <w:color w:val="000000"/>
                <w:sz w:val="12"/>
                <w:szCs w:val="12"/>
              </w:rPr>
            </w:pPr>
            <w:r w:rsidRPr="006D631C">
              <w:rPr>
                <w:b/>
                <w:bCs/>
                <w:color w:val="000000"/>
                <w:sz w:val="12"/>
                <w:szCs w:val="12"/>
              </w:rPr>
              <w:t>Monomer</w:t>
            </w:r>
          </w:p>
        </w:tc>
        <w:tc>
          <w:tcPr>
            <w:tcW w:w="850" w:type="dxa"/>
            <w:tcBorders>
              <w:top w:val="single" w:sz="8" w:space="0" w:color="auto"/>
              <w:left w:val="nil"/>
              <w:bottom w:val="single" w:sz="8" w:space="0" w:color="auto"/>
              <w:right w:val="nil"/>
            </w:tcBorders>
            <w:shd w:val="clear" w:color="000000" w:fill="FFFFFF"/>
            <w:noWrap/>
            <w:vAlign w:val="center"/>
            <w:hideMark/>
          </w:tcPr>
          <w:p w14:paraId="5811F845" w14:textId="77777777" w:rsidR="00004368" w:rsidRPr="006D631C" w:rsidRDefault="00004368" w:rsidP="0035691D">
            <w:pPr>
              <w:spacing w:line="240" w:lineRule="auto"/>
              <w:jc w:val="left"/>
              <w:rPr>
                <w:b/>
                <w:bCs/>
                <w:color w:val="000000"/>
                <w:sz w:val="12"/>
                <w:szCs w:val="12"/>
              </w:rPr>
            </w:pPr>
            <w:proofErr w:type="spellStart"/>
            <w:r w:rsidRPr="006D631C">
              <w:rPr>
                <w:b/>
                <w:bCs/>
                <w:color w:val="000000"/>
                <w:sz w:val="12"/>
                <w:szCs w:val="12"/>
              </w:rPr>
              <w:t>Amphiphile</w:t>
            </w:r>
            <w:proofErr w:type="spellEnd"/>
          </w:p>
        </w:tc>
        <w:tc>
          <w:tcPr>
            <w:tcW w:w="567" w:type="dxa"/>
            <w:tcBorders>
              <w:top w:val="single" w:sz="8" w:space="0" w:color="auto"/>
              <w:left w:val="nil"/>
              <w:bottom w:val="single" w:sz="8" w:space="0" w:color="auto"/>
              <w:right w:val="nil"/>
            </w:tcBorders>
            <w:shd w:val="clear" w:color="000000" w:fill="FFFFFF"/>
            <w:vAlign w:val="center"/>
            <w:hideMark/>
          </w:tcPr>
          <w:p w14:paraId="446E544B" w14:textId="77777777" w:rsidR="00004368" w:rsidRPr="006D631C" w:rsidRDefault="00004368" w:rsidP="0035691D">
            <w:pPr>
              <w:spacing w:line="240" w:lineRule="auto"/>
              <w:jc w:val="left"/>
              <w:rPr>
                <w:b/>
                <w:bCs/>
                <w:color w:val="000000"/>
                <w:sz w:val="12"/>
                <w:szCs w:val="12"/>
              </w:rPr>
            </w:pPr>
            <w:r w:rsidRPr="006D631C">
              <w:rPr>
                <w:b/>
                <w:bCs/>
                <w:color w:val="000000"/>
                <w:sz w:val="12"/>
                <w:szCs w:val="12"/>
              </w:rPr>
              <w:t>Cross-linker</w:t>
            </w:r>
          </w:p>
        </w:tc>
        <w:tc>
          <w:tcPr>
            <w:tcW w:w="709" w:type="dxa"/>
            <w:tcBorders>
              <w:top w:val="single" w:sz="8" w:space="0" w:color="auto"/>
              <w:left w:val="nil"/>
              <w:bottom w:val="single" w:sz="8" w:space="0" w:color="auto"/>
              <w:right w:val="nil"/>
            </w:tcBorders>
            <w:shd w:val="clear" w:color="000000" w:fill="FFFFFF"/>
            <w:vAlign w:val="center"/>
            <w:hideMark/>
          </w:tcPr>
          <w:p w14:paraId="57A4AA4B" w14:textId="77777777" w:rsidR="00004368" w:rsidRPr="006D631C" w:rsidRDefault="00004368" w:rsidP="0035691D">
            <w:pPr>
              <w:spacing w:line="240" w:lineRule="auto"/>
              <w:jc w:val="left"/>
              <w:rPr>
                <w:b/>
                <w:bCs/>
                <w:color w:val="000000"/>
                <w:sz w:val="12"/>
                <w:szCs w:val="12"/>
              </w:rPr>
            </w:pPr>
            <w:r w:rsidRPr="006D631C">
              <w:rPr>
                <w:b/>
                <w:bCs/>
                <w:color w:val="000000"/>
                <w:sz w:val="12"/>
                <w:szCs w:val="12"/>
              </w:rPr>
              <w:t>Initiation system</w:t>
            </w:r>
          </w:p>
        </w:tc>
        <w:tc>
          <w:tcPr>
            <w:tcW w:w="1134" w:type="dxa"/>
            <w:tcBorders>
              <w:top w:val="single" w:sz="8" w:space="0" w:color="auto"/>
              <w:left w:val="nil"/>
              <w:bottom w:val="single" w:sz="8" w:space="0" w:color="auto"/>
              <w:right w:val="nil"/>
            </w:tcBorders>
            <w:shd w:val="clear" w:color="000000" w:fill="FFFFFF"/>
            <w:vAlign w:val="center"/>
            <w:hideMark/>
          </w:tcPr>
          <w:p w14:paraId="6325F269" w14:textId="77777777" w:rsidR="00004368" w:rsidRPr="006D631C" w:rsidRDefault="00004368" w:rsidP="0035691D">
            <w:pPr>
              <w:spacing w:line="240" w:lineRule="auto"/>
              <w:jc w:val="left"/>
              <w:rPr>
                <w:b/>
                <w:bCs/>
                <w:color w:val="000000"/>
                <w:sz w:val="12"/>
                <w:szCs w:val="12"/>
              </w:rPr>
            </w:pPr>
            <w:proofErr w:type="spellStart"/>
            <w:r w:rsidRPr="006D631C">
              <w:rPr>
                <w:b/>
                <w:bCs/>
                <w:color w:val="000000"/>
                <w:sz w:val="12"/>
                <w:szCs w:val="12"/>
              </w:rPr>
              <w:t>Amphiphile</w:t>
            </w:r>
            <w:proofErr w:type="spellEnd"/>
            <w:r w:rsidRPr="006D631C">
              <w:rPr>
                <w:b/>
                <w:bCs/>
                <w:color w:val="000000"/>
                <w:sz w:val="12"/>
                <w:szCs w:val="12"/>
              </w:rPr>
              <w:t xml:space="preserve"> / monomer [w/w] and structure before reaction</w:t>
            </w:r>
          </w:p>
        </w:tc>
        <w:tc>
          <w:tcPr>
            <w:tcW w:w="992" w:type="dxa"/>
            <w:tcBorders>
              <w:top w:val="single" w:sz="8" w:space="0" w:color="auto"/>
              <w:left w:val="nil"/>
              <w:bottom w:val="single" w:sz="8" w:space="0" w:color="auto"/>
              <w:right w:val="nil"/>
            </w:tcBorders>
            <w:shd w:val="clear" w:color="000000" w:fill="FFFFFF"/>
            <w:vAlign w:val="center"/>
            <w:hideMark/>
          </w:tcPr>
          <w:p w14:paraId="41D186F4" w14:textId="77777777" w:rsidR="00004368" w:rsidRPr="006D631C" w:rsidRDefault="00004368" w:rsidP="0035691D">
            <w:pPr>
              <w:spacing w:line="240" w:lineRule="auto"/>
              <w:jc w:val="left"/>
              <w:rPr>
                <w:b/>
                <w:bCs/>
                <w:color w:val="000000"/>
                <w:sz w:val="12"/>
                <w:szCs w:val="12"/>
              </w:rPr>
            </w:pPr>
            <w:r w:rsidRPr="006D631C">
              <w:rPr>
                <w:b/>
                <w:bCs/>
                <w:color w:val="000000"/>
                <w:sz w:val="12"/>
                <w:szCs w:val="12"/>
              </w:rPr>
              <w:t>Structure after polymerization</w:t>
            </w:r>
          </w:p>
        </w:tc>
        <w:tc>
          <w:tcPr>
            <w:tcW w:w="993" w:type="dxa"/>
            <w:tcBorders>
              <w:top w:val="single" w:sz="8" w:space="0" w:color="auto"/>
              <w:left w:val="nil"/>
              <w:bottom w:val="single" w:sz="8" w:space="0" w:color="auto"/>
              <w:right w:val="nil"/>
            </w:tcBorders>
            <w:shd w:val="clear" w:color="000000" w:fill="FFFFFF"/>
            <w:vAlign w:val="center"/>
            <w:hideMark/>
          </w:tcPr>
          <w:p w14:paraId="1E330C32" w14:textId="77777777" w:rsidR="00004368" w:rsidRPr="006D631C" w:rsidRDefault="00004368" w:rsidP="0035691D">
            <w:pPr>
              <w:spacing w:line="240" w:lineRule="auto"/>
              <w:jc w:val="left"/>
              <w:rPr>
                <w:b/>
                <w:bCs/>
                <w:color w:val="000000"/>
                <w:sz w:val="12"/>
                <w:szCs w:val="12"/>
              </w:rPr>
            </w:pPr>
            <w:r w:rsidRPr="006D631C">
              <w:rPr>
                <w:b/>
                <w:bCs/>
                <w:color w:val="000000"/>
                <w:sz w:val="12"/>
                <w:szCs w:val="12"/>
              </w:rPr>
              <w:t>Lattice parameter before reaction</w:t>
            </w:r>
            <w:r w:rsidRPr="006D631C">
              <w:rPr>
                <w:b/>
                <w:bCs/>
                <w:color w:val="000000"/>
                <w:sz w:val="12"/>
                <w:szCs w:val="12"/>
              </w:rPr>
              <w:br/>
              <w:t>[nm]</w:t>
            </w:r>
          </w:p>
        </w:tc>
        <w:tc>
          <w:tcPr>
            <w:tcW w:w="1134" w:type="dxa"/>
            <w:tcBorders>
              <w:top w:val="single" w:sz="8" w:space="0" w:color="auto"/>
              <w:left w:val="nil"/>
              <w:bottom w:val="single" w:sz="8" w:space="0" w:color="auto"/>
              <w:right w:val="nil"/>
            </w:tcBorders>
            <w:shd w:val="clear" w:color="000000" w:fill="FFFFFF"/>
            <w:vAlign w:val="center"/>
            <w:hideMark/>
          </w:tcPr>
          <w:p w14:paraId="27678D91" w14:textId="77777777" w:rsidR="00004368" w:rsidRPr="006D631C" w:rsidRDefault="00004368" w:rsidP="0035691D">
            <w:pPr>
              <w:spacing w:line="240" w:lineRule="auto"/>
              <w:jc w:val="left"/>
              <w:rPr>
                <w:b/>
                <w:bCs/>
                <w:color w:val="000000"/>
                <w:sz w:val="12"/>
                <w:szCs w:val="12"/>
              </w:rPr>
            </w:pPr>
            <w:r w:rsidRPr="006D631C">
              <w:rPr>
                <w:b/>
                <w:bCs/>
                <w:color w:val="000000"/>
                <w:sz w:val="12"/>
                <w:szCs w:val="12"/>
              </w:rPr>
              <w:t>Lattice parameter after reaction</w:t>
            </w:r>
            <w:r w:rsidRPr="006D631C">
              <w:rPr>
                <w:b/>
                <w:bCs/>
                <w:color w:val="000000"/>
                <w:sz w:val="12"/>
                <w:szCs w:val="12"/>
              </w:rPr>
              <w:br/>
              <w:t>[nm]</w:t>
            </w:r>
          </w:p>
        </w:tc>
        <w:tc>
          <w:tcPr>
            <w:tcW w:w="5103" w:type="dxa"/>
            <w:tcBorders>
              <w:top w:val="single" w:sz="8" w:space="0" w:color="auto"/>
              <w:left w:val="nil"/>
              <w:bottom w:val="single" w:sz="8" w:space="0" w:color="auto"/>
              <w:right w:val="nil"/>
            </w:tcBorders>
            <w:shd w:val="clear" w:color="000000" w:fill="FFFFFF"/>
            <w:vAlign w:val="center"/>
          </w:tcPr>
          <w:p w14:paraId="4AAEBE61" w14:textId="77777777" w:rsidR="00004368" w:rsidRPr="006D631C" w:rsidRDefault="00004368" w:rsidP="0035691D">
            <w:pPr>
              <w:spacing w:line="240" w:lineRule="auto"/>
              <w:jc w:val="left"/>
              <w:rPr>
                <w:b/>
                <w:bCs/>
                <w:color w:val="000000"/>
                <w:sz w:val="12"/>
                <w:szCs w:val="12"/>
              </w:rPr>
            </w:pPr>
            <w:r w:rsidRPr="006D631C">
              <w:rPr>
                <w:b/>
                <w:bCs/>
                <w:color w:val="000000"/>
                <w:sz w:val="12"/>
                <w:szCs w:val="12"/>
              </w:rPr>
              <w:t>Remarks</w:t>
            </w:r>
          </w:p>
        </w:tc>
        <w:tc>
          <w:tcPr>
            <w:tcW w:w="566" w:type="dxa"/>
            <w:tcBorders>
              <w:top w:val="single" w:sz="8" w:space="0" w:color="auto"/>
              <w:left w:val="nil"/>
              <w:bottom w:val="single" w:sz="8" w:space="0" w:color="auto"/>
              <w:right w:val="nil"/>
            </w:tcBorders>
            <w:shd w:val="clear" w:color="000000" w:fill="FFFFFF"/>
            <w:noWrap/>
            <w:vAlign w:val="center"/>
            <w:hideMark/>
          </w:tcPr>
          <w:p w14:paraId="2CCA6CC0" w14:textId="77777777" w:rsidR="00004368" w:rsidRPr="006D631C" w:rsidRDefault="00004368" w:rsidP="0035691D">
            <w:pPr>
              <w:spacing w:line="240" w:lineRule="auto"/>
              <w:jc w:val="left"/>
              <w:rPr>
                <w:b/>
                <w:bCs/>
                <w:color w:val="000000"/>
                <w:sz w:val="12"/>
                <w:szCs w:val="12"/>
              </w:rPr>
            </w:pPr>
            <w:r w:rsidRPr="006D631C">
              <w:rPr>
                <w:b/>
                <w:bCs/>
                <w:color w:val="000000"/>
                <w:sz w:val="12"/>
                <w:szCs w:val="12"/>
              </w:rPr>
              <w:t>Ref.</w:t>
            </w:r>
          </w:p>
        </w:tc>
      </w:tr>
      <w:tr w:rsidR="0065515F" w:rsidRPr="006D631C" w14:paraId="54EBAF4C" w14:textId="77777777" w:rsidTr="0035691D">
        <w:trPr>
          <w:trHeight w:val="20"/>
        </w:trPr>
        <w:tc>
          <w:tcPr>
            <w:tcW w:w="851" w:type="dxa"/>
            <w:vMerge w:val="restart"/>
            <w:tcBorders>
              <w:top w:val="nil"/>
              <w:left w:val="nil"/>
              <w:bottom w:val="single" w:sz="4" w:space="0" w:color="000000"/>
              <w:right w:val="nil"/>
            </w:tcBorders>
            <w:shd w:val="clear" w:color="000000" w:fill="FFFFFF"/>
            <w:vAlign w:val="center"/>
          </w:tcPr>
          <w:p w14:paraId="55BB1638" w14:textId="770905A7" w:rsidR="0065515F" w:rsidRPr="006D631C" w:rsidRDefault="0065515F" w:rsidP="0065515F">
            <w:pPr>
              <w:spacing w:line="240" w:lineRule="auto"/>
              <w:jc w:val="left"/>
              <w:rPr>
                <w:color w:val="000000"/>
                <w:sz w:val="12"/>
                <w:szCs w:val="12"/>
              </w:rPr>
            </w:pPr>
            <w:r w:rsidRPr="006D631C">
              <w:rPr>
                <w:color w:val="000000"/>
                <w:sz w:val="12"/>
                <w:szCs w:val="12"/>
              </w:rPr>
              <w:t>M-24</w:t>
            </w:r>
          </w:p>
        </w:tc>
        <w:tc>
          <w:tcPr>
            <w:tcW w:w="850" w:type="dxa"/>
            <w:tcBorders>
              <w:top w:val="nil"/>
              <w:left w:val="nil"/>
              <w:bottom w:val="single" w:sz="4" w:space="0" w:color="auto"/>
              <w:right w:val="nil"/>
            </w:tcBorders>
            <w:shd w:val="clear" w:color="000000" w:fill="FFFFFF"/>
            <w:noWrap/>
            <w:vAlign w:val="center"/>
          </w:tcPr>
          <w:p w14:paraId="05504315" w14:textId="302ABED8" w:rsidR="0065515F" w:rsidRPr="006D631C" w:rsidRDefault="0065515F" w:rsidP="0065515F">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732A1CD8" w14:textId="72E842F3" w:rsidR="0065515F" w:rsidRPr="006D631C" w:rsidRDefault="0065515F" w:rsidP="0065515F">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31A18EB8" w14:textId="535D665A" w:rsidR="0065515F" w:rsidRPr="006D631C" w:rsidRDefault="0065515F" w:rsidP="0065515F">
            <w:pPr>
              <w:spacing w:line="240" w:lineRule="auto"/>
              <w:jc w:val="left"/>
              <w:rPr>
                <w:color w:val="000000"/>
                <w:sz w:val="12"/>
                <w:szCs w:val="12"/>
              </w:rPr>
            </w:pPr>
            <w:r w:rsidRPr="006D631C">
              <w:rPr>
                <w:color w:val="000000"/>
                <w:sz w:val="12"/>
                <w:szCs w:val="12"/>
              </w:rPr>
              <w:t>I-1</w:t>
            </w:r>
          </w:p>
        </w:tc>
        <w:tc>
          <w:tcPr>
            <w:tcW w:w="1134" w:type="dxa"/>
            <w:tcBorders>
              <w:top w:val="nil"/>
              <w:left w:val="nil"/>
              <w:bottom w:val="single" w:sz="4" w:space="0" w:color="auto"/>
              <w:right w:val="nil"/>
            </w:tcBorders>
            <w:shd w:val="clear" w:color="000000" w:fill="FFFFFF"/>
            <w:vAlign w:val="center"/>
          </w:tcPr>
          <w:p w14:paraId="1DECF340" w14:textId="02B55290" w:rsidR="0065515F" w:rsidRPr="006D631C" w:rsidRDefault="0065515F" w:rsidP="0065515F">
            <w:pPr>
              <w:spacing w:line="240" w:lineRule="auto"/>
              <w:jc w:val="left"/>
              <w:rPr>
                <w:color w:val="000000"/>
                <w:sz w:val="12"/>
                <w:szCs w:val="12"/>
              </w:rPr>
            </w:pPr>
            <w:r w:rsidRPr="006D631C">
              <w:rPr>
                <w:color w:val="000000"/>
                <w:sz w:val="12"/>
                <w:szCs w:val="12"/>
              </w:rPr>
              <w:t>36.7 / 35.6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vAlign w:val="center"/>
          </w:tcPr>
          <w:p w14:paraId="263C9FE4" w14:textId="463A935B" w:rsidR="0065515F" w:rsidRPr="006D631C" w:rsidRDefault="0065515F" w:rsidP="0065515F">
            <w:pPr>
              <w:spacing w:line="240" w:lineRule="auto"/>
              <w:jc w:val="left"/>
              <w:rPr>
                <w:color w:val="000000"/>
                <w:sz w:val="12"/>
                <w:szCs w:val="12"/>
              </w:rPr>
            </w:pPr>
            <w:r w:rsidRPr="006D631C">
              <w:rPr>
                <w:color w:val="000000"/>
                <w:sz w:val="12"/>
                <w:szCs w:val="12"/>
              </w:rPr>
              <w:t>Retention of the structure after surfactant removal under certain conditions</w:t>
            </w:r>
          </w:p>
        </w:tc>
        <w:tc>
          <w:tcPr>
            <w:tcW w:w="993" w:type="dxa"/>
            <w:tcBorders>
              <w:top w:val="nil"/>
              <w:left w:val="nil"/>
              <w:bottom w:val="single" w:sz="4" w:space="0" w:color="auto"/>
              <w:right w:val="nil"/>
            </w:tcBorders>
            <w:shd w:val="clear" w:color="000000" w:fill="FFFFFF"/>
            <w:noWrap/>
            <w:vAlign w:val="center"/>
          </w:tcPr>
          <w:p w14:paraId="7ECEA5CC" w14:textId="5033DE47" w:rsidR="0065515F" w:rsidRPr="006D631C" w:rsidRDefault="0065515F" w:rsidP="0065515F">
            <w:pPr>
              <w:spacing w:line="240" w:lineRule="auto"/>
              <w:jc w:val="left"/>
              <w:rPr>
                <w:color w:val="000000"/>
                <w:sz w:val="12"/>
                <w:szCs w:val="12"/>
              </w:rPr>
            </w:pPr>
            <w:r w:rsidRPr="006D631C">
              <w:rPr>
                <w:color w:val="000000"/>
                <w:sz w:val="12"/>
                <w:szCs w:val="12"/>
              </w:rPr>
              <w:t>3.87</w:t>
            </w:r>
          </w:p>
        </w:tc>
        <w:tc>
          <w:tcPr>
            <w:tcW w:w="1134" w:type="dxa"/>
            <w:tcBorders>
              <w:top w:val="nil"/>
              <w:left w:val="nil"/>
              <w:bottom w:val="single" w:sz="4" w:space="0" w:color="auto"/>
              <w:right w:val="nil"/>
            </w:tcBorders>
            <w:shd w:val="clear" w:color="000000" w:fill="FFFFFF"/>
            <w:noWrap/>
            <w:vAlign w:val="center"/>
          </w:tcPr>
          <w:p w14:paraId="58BB773F" w14:textId="70E329EC" w:rsidR="0065515F" w:rsidRPr="006D631C" w:rsidRDefault="0065515F" w:rsidP="0065515F">
            <w:pPr>
              <w:spacing w:line="240" w:lineRule="auto"/>
              <w:jc w:val="left"/>
              <w:rPr>
                <w:color w:val="000000"/>
                <w:sz w:val="12"/>
                <w:szCs w:val="12"/>
              </w:rPr>
            </w:pPr>
            <w:r w:rsidRPr="006D631C">
              <w:rPr>
                <w:color w:val="000000"/>
                <w:sz w:val="12"/>
                <w:szCs w:val="12"/>
              </w:rPr>
              <w:t>3.82</w:t>
            </w:r>
          </w:p>
        </w:tc>
        <w:tc>
          <w:tcPr>
            <w:tcW w:w="5103" w:type="dxa"/>
            <w:tcBorders>
              <w:top w:val="nil"/>
              <w:left w:val="nil"/>
              <w:bottom w:val="single" w:sz="4" w:space="0" w:color="auto"/>
              <w:right w:val="nil"/>
            </w:tcBorders>
            <w:shd w:val="clear" w:color="000000" w:fill="FFFFFF"/>
            <w:vAlign w:val="center"/>
          </w:tcPr>
          <w:p w14:paraId="6A56A074" w14:textId="41F8DC04"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M-24c was used in this work</w:t>
            </w:r>
          </w:p>
          <w:p w14:paraId="04571178" w14:textId="5FEB8B94"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The retention of the structure was not possible after removal of the surfactant and drying under vacuum or via air drying</w:t>
            </w:r>
          </w:p>
          <w:p w14:paraId="2ADA9AB5" w14:textId="0020733F"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When drying was carried out by CO</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it was possible to retain the structure thanks to maintaining zero surface tension</w:t>
            </w:r>
          </w:p>
        </w:tc>
        <w:tc>
          <w:tcPr>
            <w:tcW w:w="566" w:type="dxa"/>
            <w:tcBorders>
              <w:top w:val="nil"/>
              <w:left w:val="nil"/>
              <w:bottom w:val="single" w:sz="4" w:space="0" w:color="auto"/>
              <w:right w:val="nil"/>
            </w:tcBorders>
            <w:shd w:val="clear" w:color="000000" w:fill="FFFFFF"/>
            <w:noWrap/>
            <w:vAlign w:val="center"/>
          </w:tcPr>
          <w:p w14:paraId="1F6DDE09" w14:textId="183344EF" w:rsidR="0065515F" w:rsidRPr="006D631C" w:rsidRDefault="0065515F"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{"citationItems":[{"id":"ITEM-1","itemData":{"DOI":"10.1039/c1sm06526b","ISSN":"1744683X","abstract":"Retaining hexagonal lyotropic liquid crystal (LLC) structures in polymers after surfactant removal and drying is particularly challenging, as the surface tension existing during the drying processes tends to change the morphology. In this study, cross-linked poly(ethylene glycol) diacrylate (PEGDA) hydrogels were prepared in LLC hexagonal phases formed from a dodecyltrimethylammonium bromide (DTAB)/water system. The retention of the hexagonal LLC structures was examined by controlling the surface tension. Polarized light microscopy, X-ray diffraction and small angle X-ray scattering results indicate that the hexagonal LLC structure was successfully formed before polymerization and well retained after polymerization and after surfactant removal when the surface tension forces remained neutral. Controlling the surface tension during the drying process can retain the nanostructures templated from lyotropic liquid crystals which will result in the formation of materials with desired nanostructures. © 2011 The Royal Society of Chemistry.","author":[{"dropping-particle":"","family":"Zhang","given":"Juan","non-dropping-particle":"","parse-names":false,"suffix":""},{"dropping-particle":"","family":"Xie","given":"Zongli","non-dropping-particle":"","parse-names":false,"suffix":""},{"dropping-particle":"","family":"Hill","given":"Anita J.","non-dropping-particle":"","parse-names":false,"suffix":""},{"dropping-particle":"","family":"She","given":"Feng Hua","non-dropping-particle":"","parse-names":false,"suffix":""},{"dropping-particle":"","family":"Thornton","given":"Aaron W.","non-dropping-particle":"","parse-names":false,"suffix":""},{"dropping-particle":"","family":"Hoang","given":"Manh","non-dropping-particle":"","parse-names":false,"suffix":""},{"dropping-particle":"","family":"Kong","given":"Ling Xue","non-dropping-particle":"","parse-names":false,"suffix":""}],"container-title":"Soft Matter","id":"ITEM-1","issue":"7","issued":{"date-parts":[["2012"]]},"page":"2087-2094","title":"Structure retention in cross-linked poly(ethylene glycol) diacrylate hydrogel templated from a hexagonal lyotropic liquid crystal by controlling the surface tension","type":"article-journal","volume":"8"},"uris":["http://www.mendeley.com/documents/?uuid=abd3d476-8eaa-4369-b81b-e4257105514c"]}],"mendeley":{"formattedCitation":"&lt;sup&gt;137&lt;/sup&gt;","plainTextFormattedCitation":"137","previouslyFormattedCitation":"&lt;sup&gt;137&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137</w:t>
            </w:r>
            <w:r w:rsidRPr="006D631C">
              <w:rPr>
                <w:color w:val="000000"/>
                <w:sz w:val="12"/>
                <w:szCs w:val="12"/>
              </w:rPr>
              <w:fldChar w:fldCharType="end"/>
            </w:r>
          </w:p>
        </w:tc>
      </w:tr>
      <w:tr w:rsidR="0065515F" w:rsidRPr="006D631C" w14:paraId="733363EE" w14:textId="77777777" w:rsidTr="0035691D">
        <w:trPr>
          <w:trHeight w:val="20"/>
        </w:trPr>
        <w:tc>
          <w:tcPr>
            <w:tcW w:w="851" w:type="dxa"/>
            <w:vMerge/>
            <w:tcBorders>
              <w:top w:val="nil"/>
              <w:left w:val="nil"/>
              <w:bottom w:val="single" w:sz="4" w:space="0" w:color="000000"/>
              <w:right w:val="nil"/>
            </w:tcBorders>
            <w:vAlign w:val="center"/>
          </w:tcPr>
          <w:p w14:paraId="70B0E101" w14:textId="77777777" w:rsidR="0065515F" w:rsidRPr="006D631C" w:rsidRDefault="0065515F" w:rsidP="0065515F">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4CB4E0DE" w14:textId="412C711F" w:rsidR="0065515F" w:rsidRPr="006D631C" w:rsidRDefault="0065515F" w:rsidP="0065515F">
            <w:pPr>
              <w:spacing w:line="240" w:lineRule="auto"/>
              <w:jc w:val="left"/>
              <w:rPr>
                <w:color w:val="000000"/>
                <w:sz w:val="12"/>
                <w:szCs w:val="12"/>
              </w:rPr>
            </w:pPr>
            <w:r w:rsidRPr="006D631C">
              <w:rPr>
                <w:color w:val="000000"/>
                <w:sz w:val="12"/>
                <w:szCs w:val="12"/>
              </w:rPr>
              <w:t>A-3</w:t>
            </w:r>
          </w:p>
        </w:tc>
        <w:tc>
          <w:tcPr>
            <w:tcW w:w="567" w:type="dxa"/>
            <w:tcBorders>
              <w:top w:val="nil"/>
              <w:left w:val="nil"/>
              <w:bottom w:val="single" w:sz="4" w:space="0" w:color="auto"/>
              <w:right w:val="nil"/>
            </w:tcBorders>
            <w:shd w:val="clear" w:color="000000" w:fill="FFFFFF"/>
            <w:vAlign w:val="center"/>
          </w:tcPr>
          <w:p w14:paraId="52238814" w14:textId="60FC97B7" w:rsidR="0065515F" w:rsidRPr="006D631C" w:rsidRDefault="0065515F" w:rsidP="0065515F">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38284287" w14:textId="55551F12" w:rsidR="0065515F" w:rsidRPr="006D631C" w:rsidRDefault="0065515F" w:rsidP="0065515F">
            <w:pPr>
              <w:spacing w:line="240" w:lineRule="auto"/>
              <w:jc w:val="left"/>
              <w:rPr>
                <w:color w:val="000000"/>
                <w:sz w:val="12"/>
                <w:szCs w:val="12"/>
              </w:rPr>
            </w:pPr>
            <w:r w:rsidRPr="006D631C">
              <w:rPr>
                <w:color w:val="000000"/>
                <w:sz w:val="12"/>
                <w:szCs w:val="12"/>
              </w:rPr>
              <w:t>I-1</w:t>
            </w:r>
          </w:p>
        </w:tc>
        <w:tc>
          <w:tcPr>
            <w:tcW w:w="1134" w:type="dxa"/>
            <w:tcBorders>
              <w:top w:val="nil"/>
              <w:left w:val="nil"/>
              <w:bottom w:val="single" w:sz="4" w:space="0" w:color="auto"/>
              <w:right w:val="nil"/>
            </w:tcBorders>
            <w:shd w:val="clear" w:color="000000" w:fill="FFFFFF"/>
            <w:noWrap/>
            <w:vAlign w:val="center"/>
          </w:tcPr>
          <w:p w14:paraId="7B8D1805" w14:textId="2EC9D31B" w:rsidR="0065515F" w:rsidRPr="006D631C" w:rsidRDefault="0065515F" w:rsidP="0065515F">
            <w:pPr>
              <w:spacing w:line="240" w:lineRule="auto"/>
              <w:jc w:val="left"/>
              <w:rPr>
                <w:color w:val="000000"/>
                <w:sz w:val="12"/>
                <w:szCs w:val="12"/>
              </w:rPr>
            </w:pPr>
            <w:r w:rsidRPr="006D631C">
              <w:rPr>
                <w:color w:val="000000"/>
                <w:sz w:val="12"/>
                <w:szCs w:val="12"/>
              </w:rPr>
              <w:t>36.7 / 35.6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vAlign w:val="center"/>
          </w:tcPr>
          <w:p w14:paraId="6EDF75FE" w14:textId="55CC44A9" w:rsidR="0065515F" w:rsidRPr="006D631C" w:rsidRDefault="0065515F" w:rsidP="0065515F">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0DBE8CFC" w14:textId="1872E00A" w:rsidR="0065515F" w:rsidRPr="006D631C" w:rsidRDefault="0065515F" w:rsidP="0065515F">
            <w:pPr>
              <w:spacing w:line="240" w:lineRule="auto"/>
              <w:jc w:val="left"/>
              <w:rPr>
                <w:color w:val="000000"/>
                <w:sz w:val="12"/>
                <w:szCs w:val="12"/>
              </w:rPr>
            </w:pPr>
            <w:r w:rsidRPr="006D631C">
              <w:rPr>
                <w:color w:val="000000"/>
                <w:sz w:val="12"/>
                <w:szCs w:val="12"/>
              </w:rPr>
              <w:t>3.6 (0% TEOS)</w:t>
            </w:r>
            <w:r w:rsidRPr="006D631C">
              <w:rPr>
                <w:color w:val="000000"/>
                <w:sz w:val="12"/>
                <w:szCs w:val="12"/>
              </w:rPr>
              <w:br/>
              <w:t>3.68 (10% TEOS)</w:t>
            </w:r>
            <w:r w:rsidRPr="006D631C">
              <w:rPr>
                <w:color w:val="000000"/>
                <w:sz w:val="12"/>
                <w:szCs w:val="12"/>
              </w:rPr>
              <w:br/>
              <w:t>3.98 (30% TEOS)</w:t>
            </w:r>
            <w:r w:rsidRPr="006D631C">
              <w:rPr>
                <w:color w:val="000000"/>
                <w:sz w:val="12"/>
                <w:szCs w:val="12"/>
              </w:rPr>
              <w:br/>
              <w:t>4.61(50% TEOS)</w:t>
            </w:r>
          </w:p>
        </w:tc>
        <w:tc>
          <w:tcPr>
            <w:tcW w:w="1134" w:type="dxa"/>
            <w:tcBorders>
              <w:top w:val="nil"/>
              <w:left w:val="nil"/>
              <w:bottom w:val="single" w:sz="4" w:space="0" w:color="auto"/>
              <w:right w:val="nil"/>
            </w:tcBorders>
            <w:shd w:val="clear" w:color="000000" w:fill="FFFFFF"/>
            <w:noWrap/>
            <w:vAlign w:val="center"/>
          </w:tcPr>
          <w:p w14:paraId="62334ED3" w14:textId="0A098E8B" w:rsidR="0065515F" w:rsidRPr="006D631C" w:rsidRDefault="0065515F" w:rsidP="0065515F">
            <w:pPr>
              <w:spacing w:line="240" w:lineRule="auto"/>
              <w:jc w:val="left"/>
              <w:rPr>
                <w:color w:val="000000"/>
                <w:sz w:val="12"/>
                <w:szCs w:val="12"/>
              </w:rPr>
            </w:pPr>
            <w:r w:rsidRPr="006D631C">
              <w:rPr>
                <w:color w:val="000000"/>
                <w:sz w:val="12"/>
                <w:szCs w:val="12"/>
              </w:rPr>
              <w:t>3.9 (0% TEOS)</w:t>
            </w:r>
            <w:r w:rsidRPr="006D631C">
              <w:rPr>
                <w:color w:val="000000"/>
                <w:sz w:val="12"/>
                <w:szCs w:val="12"/>
              </w:rPr>
              <w:br/>
              <w:t>3.6 (10% TEOS)</w:t>
            </w:r>
            <w:r w:rsidRPr="006D631C">
              <w:rPr>
                <w:color w:val="000000"/>
                <w:sz w:val="12"/>
                <w:szCs w:val="12"/>
              </w:rPr>
              <w:br/>
              <w:t>3.46 (30% TEOS)</w:t>
            </w:r>
            <w:r w:rsidRPr="006D631C">
              <w:rPr>
                <w:color w:val="000000"/>
                <w:sz w:val="12"/>
                <w:szCs w:val="12"/>
              </w:rPr>
              <w:br/>
              <w:t>3.41 (50% TEOS)</w:t>
            </w:r>
          </w:p>
        </w:tc>
        <w:tc>
          <w:tcPr>
            <w:tcW w:w="5103" w:type="dxa"/>
            <w:tcBorders>
              <w:top w:val="nil"/>
              <w:left w:val="nil"/>
              <w:bottom w:val="single" w:sz="4" w:space="0" w:color="auto"/>
              <w:right w:val="nil"/>
            </w:tcBorders>
            <w:shd w:val="clear" w:color="000000" w:fill="FFFFFF"/>
            <w:noWrap/>
            <w:vAlign w:val="center"/>
          </w:tcPr>
          <w:p w14:paraId="0AC90040" w14:textId="77777777"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M-24c was used in this work</w:t>
            </w:r>
          </w:p>
          <w:p w14:paraId="68B3A16A" w14:textId="77777777"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A polymerized LLC reinforced by an in-situ formed silica network was produced</w:t>
            </w:r>
            <w:r w:rsidRPr="006D631C">
              <w:rPr>
                <w:rFonts w:eastAsia="Times New Roman" w:cs="Times New Roman"/>
                <w:color w:val="000000"/>
                <w:sz w:val="12"/>
                <w:szCs w:val="12"/>
              </w:rPr>
              <w:br/>
              <w:t>The presence of silica network resulted in the retention of the structure even after the surfactant removal and drying under vacuum</w:t>
            </w:r>
          </w:p>
          <w:p w14:paraId="447F00B5" w14:textId="4B2083FA"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Enhanced hydrophilicity of the product by incorporation of a silica network</w:t>
            </w:r>
          </w:p>
        </w:tc>
        <w:tc>
          <w:tcPr>
            <w:tcW w:w="566" w:type="dxa"/>
            <w:tcBorders>
              <w:top w:val="nil"/>
              <w:left w:val="nil"/>
              <w:bottom w:val="single" w:sz="4" w:space="0" w:color="auto"/>
              <w:right w:val="nil"/>
            </w:tcBorders>
            <w:shd w:val="clear" w:color="000000" w:fill="FFFFFF"/>
            <w:noWrap/>
            <w:vAlign w:val="center"/>
          </w:tcPr>
          <w:p w14:paraId="574AFF5C" w14:textId="7C217584" w:rsidR="0065515F" w:rsidRPr="006D631C" w:rsidRDefault="0065515F"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{"citationItems":[{"id":"ITEM-1","itemData":{"DOI":"10.1039/c4sm00589a","ISSN":"17446848","abstract":"Cross-linked poly(ethylene glycol) diacrylate (PEGDA) hydrogels with uniformly controlled nanoporous structures templated from hexagonal lyotropic liquid crystals (LLC) represent separation membrane materials with potentially high permeability and selectivity due to their high pore density and narrow pore size distribution. However, retaining LLC templated nanostructures is a challenge as the polymer gels are not strong enough to sustain the surface tension during the drying process. In the current study, cross-linked PEGDA gels were reinforced with a silica network synthesized via an in situ sol-gel method, which assists in the retention of the hexagonal LLC structure. The silica precursor does not obstruct the formation of hexagonal phases. After surfactant removal and drying, these hexagonal structures in samples with a certain amount of tetraethoxysilane (TEOS) loading are well retained while the nanostructures are collapsed in samples without silica reinforcement, leading to the hypothesis that the reinforcement provided by the silica network stabilizes the LLC structure. The study examines the conditions necessary for a sufficient and well dispersed silica network in PEGDA gels that contributes to the retention of original LLC structures, which potentially enables broad applications of these gels as biomedical and membrane materials. This journal is © the Partner Organisations 2014.","author":[{"dropping-particle":"","family":"Zhang","given":"Juan","non-dropping-particle":"","parse-names":false,"suffix":""},{"dropping-particle":"","family":"Xie","given":"Zongli","non-dropping-particle":"","parse-names":false,"suffix":""},{"dropping-particle":"","family":"Hoang","given":"Manh","non-dropping-particle":"","parse-names":false,"suffix":""},{"dropping-particle":"","family":"Hill","given":"Anita J.","non-dropping-particle":"","parse-names":false,"suffix":""},{"dropping-particle":"","family":"Cong","given":"Weiwei","non-dropping-particle":"","parse-names":false,"suffix":""},{"dropping-particle":"","family":"She","given":"Feng Hua","non-dropping-particle":"","parse-names":false,"suffix":""},{"dropping-particle":"","family":"Gao","given":"Weimin","non-dropping-particle":"","parse-names":false,"suffix":""},{"dropping-particle":"","family":"Kong","given":"Ling Xue","non-dropping-particle":"","parse-names":false,"suffix":""}],"container-title":"Soft Matter","id":"ITEM-1","issue":"28","issued":{"date-parts":[["2014"]]},"page":"5192-5200","title":"Retention of the original LLC structure in a cross-linked poly(ethylene glycol) diacrylate hydrogel with reinforcement from a silica network","type":"article-journal","volume":"10"},"uris":["http://www.mendeley.com/documents/?uuid=b242ed9a-b104-4590-bb54-620fad37889a"]}],"mendeley":{"formattedCitation":"&lt;sup&gt;138&lt;/sup&gt;","plainTextFormattedCitation":"138","previouslyFormattedCitation":"&lt;sup&gt;138&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138</w:t>
            </w:r>
            <w:r w:rsidRPr="006D631C">
              <w:rPr>
                <w:color w:val="000000"/>
                <w:sz w:val="12"/>
                <w:szCs w:val="12"/>
              </w:rPr>
              <w:fldChar w:fldCharType="end"/>
            </w:r>
          </w:p>
        </w:tc>
      </w:tr>
      <w:tr w:rsidR="0065515F" w:rsidRPr="006D631C" w14:paraId="578157D6" w14:textId="77777777" w:rsidTr="0035691D">
        <w:trPr>
          <w:trHeight w:val="20"/>
        </w:trPr>
        <w:tc>
          <w:tcPr>
            <w:tcW w:w="851" w:type="dxa"/>
            <w:vMerge/>
            <w:tcBorders>
              <w:top w:val="nil"/>
              <w:left w:val="nil"/>
              <w:bottom w:val="single" w:sz="4" w:space="0" w:color="000000"/>
              <w:right w:val="nil"/>
            </w:tcBorders>
            <w:vAlign w:val="center"/>
          </w:tcPr>
          <w:p w14:paraId="158D96CD" w14:textId="77777777" w:rsidR="0065515F" w:rsidRPr="006D631C" w:rsidRDefault="0065515F" w:rsidP="0065515F">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73DEFB54" w14:textId="3D95DC57" w:rsidR="0065515F" w:rsidRPr="006D631C" w:rsidRDefault="0065515F" w:rsidP="0065515F">
            <w:pPr>
              <w:spacing w:line="240" w:lineRule="auto"/>
              <w:jc w:val="left"/>
              <w:rPr>
                <w:color w:val="000000"/>
                <w:sz w:val="12"/>
                <w:szCs w:val="12"/>
              </w:rPr>
            </w:pPr>
            <w:r w:rsidRPr="006D631C">
              <w:rPr>
                <w:color w:val="000000"/>
                <w:sz w:val="12"/>
                <w:szCs w:val="12"/>
              </w:rPr>
              <w:t>A-14</w:t>
            </w:r>
          </w:p>
        </w:tc>
        <w:tc>
          <w:tcPr>
            <w:tcW w:w="567" w:type="dxa"/>
            <w:tcBorders>
              <w:top w:val="nil"/>
              <w:left w:val="nil"/>
              <w:bottom w:val="single" w:sz="4" w:space="0" w:color="auto"/>
              <w:right w:val="nil"/>
            </w:tcBorders>
            <w:shd w:val="clear" w:color="000000" w:fill="FFFFFF"/>
            <w:vAlign w:val="center"/>
          </w:tcPr>
          <w:p w14:paraId="4C5CC2F2" w14:textId="3932D78A" w:rsidR="0065515F" w:rsidRPr="006D631C" w:rsidRDefault="0065515F" w:rsidP="0065515F">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1DAF9A74" w14:textId="6E838C1E" w:rsidR="0065515F" w:rsidRPr="006D631C" w:rsidRDefault="0065515F" w:rsidP="0065515F">
            <w:pPr>
              <w:spacing w:line="240" w:lineRule="auto"/>
              <w:jc w:val="left"/>
              <w:rPr>
                <w:color w:val="000000"/>
                <w:sz w:val="12"/>
                <w:szCs w:val="12"/>
              </w:rPr>
            </w:pPr>
            <w:r w:rsidRPr="006D631C">
              <w:rPr>
                <w:color w:val="000000"/>
                <w:sz w:val="12"/>
                <w:szCs w:val="12"/>
              </w:rPr>
              <w:t>I-1</w:t>
            </w:r>
          </w:p>
        </w:tc>
        <w:tc>
          <w:tcPr>
            <w:tcW w:w="1134" w:type="dxa"/>
            <w:tcBorders>
              <w:top w:val="nil"/>
              <w:left w:val="nil"/>
              <w:bottom w:val="single" w:sz="4" w:space="0" w:color="auto"/>
              <w:right w:val="nil"/>
            </w:tcBorders>
            <w:shd w:val="clear" w:color="000000" w:fill="FFFFFF"/>
            <w:vAlign w:val="center"/>
          </w:tcPr>
          <w:p w14:paraId="74C51420" w14:textId="4810CEA7" w:rsidR="0065515F" w:rsidRPr="006D631C" w:rsidRDefault="0065515F" w:rsidP="0065515F">
            <w:pPr>
              <w:spacing w:line="240" w:lineRule="auto"/>
              <w:jc w:val="left"/>
              <w:rPr>
                <w:color w:val="000000"/>
                <w:sz w:val="12"/>
                <w:szCs w:val="12"/>
              </w:rPr>
            </w:pPr>
            <w:r w:rsidRPr="006D631C">
              <w:rPr>
                <w:color w:val="000000"/>
                <w:sz w:val="12"/>
                <w:szCs w:val="12"/>
              </w:rPr>
              <w:t>40 / 35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vAlign w:val="center"/>
          </w:tcPr>
          <w:p w14:paraId="47A21479" w14:textId="2BAE12BC" w:rsidR="0065515F" w:rsidRPr="006D631C" w:rsidRDefault="0065515F" w:rsidP="0065515F">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2FF841BF" w14:textId="50117E87" w:rsidR="0065515F" w:rsidRPr="006D631C" w:rsidRDefault="0065515F" w:rsidP="0065515F">
            <w:pPr>
              <w:spacing w:line="240" w:lineRule="auto"/>
              <w:jc w:val="left"/>
              <w:rPr>
                <w:color w:val="000000"/>
                <w:sz w:val="12"/>
                <w:szCs w:val="12"/>
              </w:rPr>
            </w:pPr>
            <w:r w:rsidRPr="006D631C">
              <w:rPr>
                <w:color w:val="000000"/>
                <w:sz w:val="12"/>
                <w:szCs w:val="12"/>
              </w:rPr>
              <w:t>8.37 (0% TEOS)</w:t>
            </w:r>
            <w:r w:rsidRPr="006D631C">
              <w:rPr>
                <w:color w:val="000000"/>
                <w:sz w:val="12"/>
                <w:szCs w:val="12"/>
              </w:rPr>
              <w:br/>
              <w:t>8.88 (10% TEOS)</w:t>
            </w:r>
            <w:r w:rsidRPr="006D631C">
              <w:rPr>
                <w:color w:val="000000"/>
                <w:sz w:val="12"/>
                <w:szCs w:val="12"/>
              </w:rPr>
              <w:br/>
              <w:t>9.04 (30% TEOS)</w:t>
            </w:r>
            <w:r w:rsidRPr="006D631C">
              <w:rPr>
                <w:color w:val="000000"/>
                <w:sz w:val="12"/>
                <w:szCs w:val="12"/>
              </w:rPr>
              <w:br/>
              <w:t>9.39 (50% TEOS)</w:t>
            </w:r>
          </w:p>
        </w:tc>
        <w:tc>
          <w:tcPr>
            <w:tcW w:w="1134" w:type="dxa"/>
            <w:tcBorders>
              <w:top w:val="nil"/>
              <w:left w:val="nil"/>
              <w:bottom w:val="single" w:sz="4" w:space="0" w:color="auto"/>
              <w:right w:val="nil"/>
            </w:tcBorders>
            <w:shd w:val="clear" w:color="000000" w:fill="FFFFFF"/>
            <w:vAlign w:val="center"/>
          </w:tcPr>
          <w:p w14:paraId="61FF036B" w14:textId="4A2FDEC7" w:rsidR="0065515F" w:rsidRPr="006D631C" w:rsidRDefault="0065515F" w:rsidP="0065515F">
            <w:pPr>
              <w:spacing w:line="240" w:lineRule="auto"/>
              <w:jc w:val="left"/>
              <w:rPr>
                <w:color w:val="000000"/>
                <w:sz w:val="12"/>
                <w:szCs w:val="12"/>
              </w:rPr>
            </w:pPr>
            <w:r w:rsidRPr="006D631C">
              <w:rPr>
                <w:color w:val="000000"/>
                <w:sz w:val="12"/>
                <w:szCs w:val="12"/>
              </w:rPr>
              <w:t>8.7 (0% TEOS)</w:t>
            </w:r>
            <w:r w:rsidRPr="006D631C">
              <w:rPr>
                <w:color w:val="000000"/>
                <w:sz w:val="12"/>
                <w:szCs w:val="12"/>
              </w:rPr>
              <w:br/>
              <w:t>8.35 (10% TEOS)</w:t>
            </w:r>
            <w:r w:rsidRPr="006D631C">
              <w:rPr>
                <w:color w:val="000000"/>
                <w:sz w:val="12"/>
                <w:szCs w:val="12"/>
              </w:rPr>
              <w:br/>
              <w:t>8.02 (30% TEOS)</w:t>
            </w:r>
            <w:r w:rsidRPr="006D631C">
              <w:rPr>
                <w:color w:val="000000"/>
                <w:sz w:val="12"/>
                <w:szCs w:val="12"/>
              </w:rPr>
              <w:br/>
              <w:t>7.5 (50% TEOS)</w:t>
            </w:r>
          </w:p>
        </w:tc>
        <w:tc>
          <w:tcPr>
            <w:tcW w:w="5103" w:type="dxa"/>
            <w:tcBorders>
              <w:top w:val="nil"/>
              <w:left w:val="nil"/>
              <w:bottom w:val="single" w:sz="4" w:space="0" w:color="auto"/>
              <w:right w:val="nil"/>
            </w:tcBorders>
            <w:shd w:val="clear" w:color="000000" w:fill="FFFFFF"/>
            <w:vAlign w:val="center"/>
          </w:tcPr>
          <w:p w14:paraId="7B282D36" w14:textId="77777777"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M-24c was used in this work</w:t>
            </w:r>
          </w:p>
          <w:p w14:paraId="4D29BC8D" w14:textId="77777777"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A polymerized LLC reinforced by an in-situ formed silica network was produced</w:t>
            </w:r>
          </w:p>
          <w:p w14:paraId="500FC6CE" w14:textId="77777777"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A mixture of hexane and ethanol was used as the low surface tension solvent to first extract the surfactant and then dry the samples</w:t>
            </w:r>
          </w:p>
          <w:p w14:paraId="5A97E5A1" w14:textId="77777777"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Drying via the low surface tension solvent mixture, reduced the content of the silica which is required for the retention of the structure</w:t>
            </w:r>
          </w:p>
          <w:p w14:paraId="0F330135" w14:textId="55D1FB3E"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 xml:space="preserve"> Relatively enhanced thermal stability of the product having silica network</w:t>
            </w:r>
          </w:p>
        </w:tc>
        <w:tc>
          <w:tcPr>
            <w:tcW w:w="566" w:type="dxa"/>
            <w:tcBorders>
              <w:top w:val="nil"/>
              <w:left w:val="nil"/>
              <w:bottom w:val="single" w:sz="4" w:space="0" w:color="auto"/>
              <w:right w:val="nil"/>
            </w:tcBorders>
            <w:shd w:val="clear" w:color="000000" w:fill="FFFFFF"/>
            <w:vAlign w:val="center"/>
          </w:tcPr>
          <w:p w14:paraId="32C1FFDC" w14:textId="0A5076CA" w:rsidR="0065515F" w:rsidRPr="006D631C" w:rsidRDefault="0065515F" w:rsidP="000B67AC">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4C7F22" w:rsidRPr="006D631C">
              <w:rPr>
                <w:color w:val="000000"/>
                <w:sz w:val="12"/>
                <w:szCs w:val="12"/>
              </w:rPr>
              <w:instrText>ADDIN CSL_CITATION {"citationItems":[{"id":"ITEM-1","itemData":{"DOI":"10.1007/s00289-017-2041-z","ISSN":"01700839","abstract":"Organic polymers with ordered nanostructures templated from lyotropic liquid crystals (LLC) have many potential applications in areas such as membranes, tissue engineering, and drug delivery. However, after removing the LLC templates, the high surface tension during vacuum or air drying will deform the structure to a great extent. This study investigates the structure retention in cross-linked poly(ethylene glycol) diacrylate polymer through reinforcement of a silica network and using a volatile solvent with low surface tension. The LLC templates were formed from non-ionic surfactant, Brij 56/water system. Silica network was obtained through a sol–gel method using TEOS as a silica precursor and hydrochloric acid as a catalyst. The LLC templates were removed and the samples were dried from this solvent using a mixed solvent n-hexane and ethanol (H–E solvent) with lower surface tension. Samples dried from H–E solvent preserved the structure template from LLC even with low TEOS loading due to the presence of a non-polar solvent that has little effect on silica reverse hydrolysis and lower surface tension. This indicates that drying the sample from a volatile solvent with low surface tension combining with the silica network reinforcement facilities the structure retention.","author":[{"dropping-particle":"","family":"Zhang","given":"Juan","non-dropping-particle":"","parse-names":false,"suffix":""},{"dropping-particle":"","family":"Xie","given":"Zongli","non-dropping-particle":"","parse-names":false,"suffix":""},{"dropping-particle":"","family":"Hill","given":"Anita J.","non-dropping-particle":"","parse-names":false,"suffix":""},{"dropping-particle":"","family":"Cong","given":"Weiwei","non-dropping-particle":"","parse-names":false,"suffix":""},{"dropping-particle":"","family":"She","given":"Feng Hua","non-dropping-particle":"","parse-names":false,"suffix":""},{"dropping-particle":"","family":"Gao","given":"Weimin","non-dropping-particle":"","parse-names":false,"suffix":""},{"dropping-particle":"","family":"Hoang","given":"Manh","non-dropping-particle":"","parse-names":false,"suffix":""},{"dropping-particle":"","family":"Kong","given":"Ling Xue","non-dropping-particle":"","parse-names":false,"suffix":""}],"container-title":"Polymer Bulletin","id":"ITEM-1","issue":"2","issued":{"date-parts":[["2018"]]},"page":"581-595","title":"Effects of a volatile solvent with low surface tension combining with the silica network reinforcement on retention of LLC structure in polymer matrix","type":"article-journal","volume":"75"},"uris":["http://www.mendeley.com/documents/?uuid=fdc8a8a4-777f-4a67-9353-f45756b5d5d8"]}],"mendeley":{"formattedCitation":"&lt;sup&gt;139&lt;/sup&gt;","plainTextFormattedCitation":"139","previouslyFormattedCitation":"&lt;sup&gt;139&lt;/sup&gt;"},"properties":{"noteIndex":0},"schema":"https://github.com/citation-style-language/schema/raw/master/csl-citation.json"}</w:instrText>
            </w:r>
            <w:r w:rsidRPr="006D631C">
              <w:rPr>
                <w:color w:val="000000"/>
                <w:sz w:val="12"/>
                <w:szCs w:val="12"/>
              </w:rPr>
              <w:fldChar w:fldCharType="separate"/>
            </w:r>
            <w:r w:rsidR="000B67AC" w:rsidRPr="006D631C">
              <w:rPr>
                <w:noProof/>
                <w:color w:val="000000"/>
                <w:sz w:val="12"/>
                <w:szCs w:val="12"/>
                <w:vertAlign w:val="superscript"/>
              </w:rPr>
              <w:t>139</w:t>
            </w:r>
            <w:r w:rsidRPr="006D631C">
              <w:rPr>
                <w:color w:val="000000"/>
                <w:sz w:val="12"/>
                <w:szCs w:val="12"/>
              </w:rPr>
              <w:fldChar w:fldCharType="end"/>
            </w:r>
          </w:p>
        </w:tc>
      </w:tr>
      <w:tr w:rsidR="0065515F" w:rsidRPr="006D631C" w14:paraId="050FE013" w14:textId="77777777" w:rsidTr="0035691D">
        <w:trPr>
          <w:trHeight w:val="20"/>
        </w:trPr>
        <w:tc>
          <w:tcPr>
            <w:tcW w:w="851" w:type="dxa"/>
            <w:vMerge/>
            <w:tcBorders>
              <w:top w:val="nil"/>
              <w:left w:val="nil"/>
              <w:bottom w:val="single" w:sz="4" w:space="0" w:color="000000"/>
              <w:right w:val="nil"/>
            </w:tcBorders>
            <w:vAlign w:val="center"/>
          </w:tcPr>
          <w:p w14:paraId="1813A06F" w14:textId="77777777" w:rsidR="0065515F" w:rsidRPr="006D631C" w:rsidRDefault="0065515F" w:rsidP="0065515F">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43FE872F" w14:textId="47A34393" w:rsidR="0065515F" w:rsidRPr="006D631C" w:rsidRDefault="0065515F" w:rsidP="0065515F">
            <w:pPr>
              <w:spacing w:line="240" w:lineRule="auto"/>
              <w:jc w:val="left"/>
              <w:rPr>
                <w:color w:val="000000"/>
                <w:sz w:val="12"/>
                <w:szCs w:val="12"/>
              </w:rPr>
            </w:pPr>
            <w:r w:rsidRPr="006D631C">
              <w:rPr>
                <w:color w:val="000000"/>
                <w:sz w:val="12"/>
                <w:szCs w:val="12"/>
              </w:rPr>
              <w:t>A-19b</w:t>
            </w:r>
          </w:p>
        </w:tc>
        <w:tc>
          <w:tcPr>
            <w:tcW w:w="567" w:type="dxa"/>
            <w:tcBorders>
              <w:top w:val="nil"/>
              <w:left w:val="nil"/>
              <w:bottom w:val="single" w:sz="4" w:space="0" w:color="auto"/>
              <w:right w:val="nil"/>
            </w:tcBorders>
            <w:shd w:val="clear" w:color="000000" w:fill="FFFFFF"/>
            <w:vAlign w:val="center"/>
          </w:tcPr>
          <w:p w14:paraId="1694ED25" w14:textId="5D642ECD" w:rsidR="0065515F" w:rsidRPr="006D631C" w:rsidRDefault="0065515F" w:rsidP="0065515F">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6A5A5A76" w14:textId="6764447D" w:rsidR="0065515F" w:rsidRPr="006D631C" w:rsidRDefault="0065515F" w:rsidP="0065515F">
            <w:pPr>
              <w:spacing w:line="240" w:lineRule="auto"/>
              <w:jc w:val="left"/>
              <w:rPr>
                <w:color w:val="000000"/>
                <w:sz w:val="12"/>
                <w:szCs w:val="12"/>
              </w:rPr>
            </w:pPr>
            <w:r w:rsidRPr="006D631C">
              <w:rPr>
                <w:color w:val="000000"/>
                <w:sz w:val="12"/>
                <w:szCs w:val="12"/>
              </w:rPr>
              <w:t>I-5</w:t>
            </w:r>
          </w:p>
        </w:tc>
        <w:tc>
          <w:tcPr>
            <w:tcW w:w="1134" w:type="dxa"/>
            <w:tcBorders>
              <w:top w:val="nil"/>
              <w:left w:val="nil"/>
              <w:bottom w:val="single" w:sz="4" w:space="0" w:color="auto"/>
              <w:right w:val="nil"/>
            </w:tcBorders>
            <w:shd w:val="clear" w:color="000000" w:fill="FFFFFF"/>
            <w:vAlign w:val="center"/>
          </w:tcPr>
          <w:p w14:paraId="274D5FA6" w14:textId="5BA41D3E" w:rsidR="0065515F" w:rsidRPr="006D631C" w:rsidRDefault="0065515F" w:rsidP="0065515F">
            <w:pPr>
              <w:spacing w:line="240" w:lineRule="auto"/>
              <w:jc w:val="left"/>
              <w:rPr>
                <w:color w:val="000000"/>
                <w:sz w:val="12"/>
                <w:szCs w:val="12"/>
              </w:rPr>
            </w:pPr>
            <w:r w:rsidRPr="006D631C">
              <w:rPr>
                <w:color w:val="000000"/>
                <w:sz w:val="12"/>
                <w:szCs w:val="12"/>
              </w:rPr>
              <w:t>20 / 10 (L</w:t>
            </w:r>
            <w:r w:rsidRPr="006D631C">
              <w:rPr>
                <w:color w:val="000000"/>
                <w:sz w:val="12"/>
                <w:szCs w:val="12"/>
                <w:vertAlign w:val="subscript"/>
              </w:rPr>
              <w:t>1</w:t>
            </w:r>
            <w:r w:rsidRPr="006D631C">
              <w:rPr>
                <w:color w:val="000000"/>
                <w:sz w:val="12"/>
                <w:szCs w:val="12"/>
              </w:rPr>
              <w:t>)</w:t>
            </w:r>
            <w:r w:rsidRPr="006D631C">
              <w:rPr>
                <w:color w:val="000000"/>
                <w:sz w:val="12"/>
                <w:szCs w:val="12"/>
              </w:rPr>
              <w:br/>
              <w:t>44 / 10 H</w:t>
            </w:r>
            <w:r w:rsidRPr="006D631C">
              <w:rPr>
                <w:color w:val="000000"/>
                <w:sz w:val="12"/>
                <w:szCs w:val="12"/>
                <w:vertAlign w:val="subscript"/>
              </w:rPr>
              <w:t>1</w:t>
            </w:r>
            <w:r w:rsidRPr="006D631C">
              <w:rPr>
                <w:color w:val="000000"/>
                <w:sz w:val="12"/>
                <w:szCs w:val="12"/>
              </w:rPr>
              <w:t>)</w:t>
            </w:r>
            <w:r w:rsidRPr="006D631C">
              <w:rPr>
                <w:color w:val="000000"/>
                <w:sz w:val="12"/>
                <w:szCs w:val="12"/>
              </w:rPr>
              <w:br/>
              <w:t>58 / 10 (Q</w:t>
            </w:r>
            <w:r w:rsidRPr="006D631C">
              <w:rPr>
                <w:color w:val="000000"/>
                <w:sz w:val="12"/>
                <w:szCs w:val="12"/>
                <w:vertAlign w:val="subscript"/>
              </w:rPr>
              <w:t>1</w:t>
            </w:r>
            <w:r w:rsidRPr="006D631C">
              <w:rPr>
                <w:color w:val="000000"/>
                <w:sz w:val="12"/>
                <w:szCs w:val="12"/>
              </w:rPr>
              <w:t>)</w:t>
            </w:r>
            <w:r w:rsidRPr="006D631C">
              <w:rPr>
                <w:color w:val="000000"/>
                <w:sz w:val="12"/>
                <w:szCs w:val="12"/>
              </w:rPr>
              <w:br/>
              <w:t>81 / 10 (L</w:t>
            </w:r>
            <w:r w:rsidRPr="006D631C">
              <w:rPr>
                <w:color w:val="000000"/>
                <w:sz w:val="12"/>
                <w:szCs w:val="12"/>
                <w:vertAlign w:val="subscript"/>
              </w:rPr>
              <w:t>2</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5E5B23AB" w14:textId="29825B0D" w:rsidR="0065515F" w:rsidRPr="006D631C" w:rsidRDefault="0065515F" w:rsidP="0065515F">
            <w:pPr>
              <w:spacing w:line="240" w:lineRule="auto"/>
              <w:jc w:val="left"/>
              <w:rPr>
                <w:color w:val="000000"/>
                <w:sz w:val="12"/>
                <w:szCs w:val="12"/>
              </w:rPr>
            </w:pPr>
            <w:r w:rsidRPr="006D631C">
              <w:rPr>
                <w:color w:val="000000"/>
                <w:sz w:val="12"/>
                <w:szCs w:val="12"/>
              </w:rPr>
              <w:t>Retention of H</w:t>
            </w:r>
            <w:r w:rsidRPr="006D631C">
              <w:rPr>
                <w:color w:val="000000"/>
                <w:sz w:val="12"/>
                <w:szCs w:val="12"/>
                <w:vertAlign w:val="subscript"/>
              </w:rPr>
              <w:t>1</w:t>
            </w:r>
          </w:p>
        </w:tc>
        <w:tc>
          <w:tcPr>
            <w:tcW w:w="993" w:type="dxa"/>
            <w:tcBorders>
              <w:top w:val="nil"/>
              <w:left w:val="nil"/>
              <w:bottom w:val="single" w:sz="4" w:space="0" w:color="auto"/>
              <w:right w:val="nil"/>
            </w:tcBorders>
            <w:shd w:val="clear" w:color="000000" w:fill="FFFFFF"/>
            <w:noWrap/>
            <w:vAlign w:val="center"/>
          </w:tcPr>
          <w:p w14:paraId="69743215" w14:textId="08EBC4A3" w:rsidR="0065515F" w:rsidRPr="006D631C" w:rsidRDefault="0065515F" w:rsidP="0065515F">
            <w:pPr>
              <w:spacing w:line="240" w:lineRule="auto"/>
              <w:jc w:val="left"/>
              <w:rPr>
                <w:color w:val="000000"/>
                <w:sz w:val="12"/>
                <w:szCs w:val="12"/>
              </w:rPr>
            </w:pPr>
            <w:r w:rsidRPr="006D631C">
              <w:rPr>
                <w:color w:val="000000"/>
                <w:sz w:val="12"/>
                <w:szCs w:val="12"/>
              </w:rPr>
              <w:t>7.33 (H</w:t>
            </w:r>
            <w:r w:rsidRPr="006D631C">
              <w:rPr>
                <w:color w:val="000000"/>
                <w:sz w:val="12"/>
                <w:szCs w:val="12"/>
                <w:vertAlign w:val="subscript"/>
              </w:rPr>
              <w:t>1</w:t>
            </w: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29B23D1A" w14:textId="57E35C8F" w:rsidR="0065515F" w:rsidRPr="006D631C" w:rsidRDefault="0065515F" w:rsidP="0065515F">
            <w:pPr>
              <w:spacing w:line="240" w:lineRule="auto"/>
              <w:jc w:val="left"/>
              <w:rPr>
                <w:color w:val="000000"/>
                <w:sz w:val="12"/>
                <w:szCs w:val="12"/>
              </w:rPr>
            </w:pPr>
            <w:r w:rsidRPr="006D631C">
              <w:rPr>
                <w:color w:val="000000"/>
                <w:sz w:val="12"/>
                <w:szCs w:val="12"/>
              </w:rPr>
              <w:t>7.27 (H</w:t>
            </w:r>
            <w:r w:rsidRPr="006D631C">
              <w:rPr>
                <w:color w:val="000000"/>
                <w:sz w:val="12"/>
                <w:szCs w:val="12"/>
                <w:vertAlign w:val="subscript"/>
              </w:rPr>
              <w:t>1</w:t>
            </w: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4FFECF48" w14:textId="77777777"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color w:val="000000"/>
                <w:sz w:val="12"/>
                <w:szCs w:val="12"/>
              </w:rPr>
              <w:t xml:space="preserve">M-24b was </w:t>
            </w:r>
            <w:r w:rsidRPr="006D631C">
              <w:rPr>
                <w:rFonts w:eastAsia="Times New Roman" w:cs="Times New Roman"/>
                <w:color w:val="000000"/>
                <w:sz w:val="12"/>
                <w:szCs w:val="12"/>
              </w:rPr>
              <w:t>used</w:t>
            </w:r>
            <w:r w:rsidRPr="006D631C">
              <w:rPr>
                <w:color w:val="000000"/>
                <w:sz w:val="12"/>
                <w:szCs w:val="12"/>
              </w:rPr>
              <w:t xml:space="preserve"> in this study</w:t>
            </w:r>
          </w:p>
          <w:p w14:paraId="42C91DDD" w14:textId="77777777"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Polymerization rate: L</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H</w:t>
            </w:r>
            <w:r w:rsidRPr="006D631C">
              <w:rPr>
                <w:rFonts w:eastAsia="Times New Roman" w:cs="Times New Roman"/>
                <w:color w:val="000000"/>
                <w:sz w:val="12"/>
                <w:szCs w:val="12"/>
                <w:vertAlign w:val="subscript"/>
              </w:rPr>
              <w:t xml:space="preserve">1 </w:t>
            </w:r>
            <w:r w:rsidRPr="006D631C">
              <w:rPr>
                <w:rFonts w:eastAsia="Times New Roman" w:cs="Times New Roman"/>
                <w:color w:val="000000"/>
                <w:sz w:val="12"/>
                <w:szCs w:val="12"/>
              </w:rPr>
              <w:t>&lt; L</w:t>
            </w:r>
            <w:r w:rsidRPr="006D631C">
              <w:rPr>
                <w:rFonts w:eastAsia="Times New Roman" w:cs="Times New Roman"/>
                <w:color w:val="000000"/>
                <w:sz w:val="12"/>
                <w:szCs w:val="12"/>
                <w:vertAlign w:val="subscript"/>
              </w:rPr>
              <w:t xml:space="preserve">2 </w:t>
            </w:r>
            <w:r w:rsidRPr="006D631C">
              <w:rPr>
                <w:rFonts w:eastAsia="Times New Roman" w:cs="Times New Roman"/>
                <w:color w:val="000000"/>
                <w:sz w:val="12"/>
                <w:szCs w:val="12"/>
              </w:rPr>
              <w:t>&lt; Q</w:t>
            </w:r>
            <w:r w:rsidRPr="006D631C">
              <w:rPr>
                <w:rFonts w:eastAsia="Times New Roman" w:cs="Times New Roman"/>
                <w:color w:val="000000"/>
                <w:sz w:val="12"/>
                <w:szCs w:val="12"/>
                <w:vertAlign w:val="subscript"/>
              </w:rPr>
              <w:t>1</w:t>
            </w:r>
          </w:p>
          <w:p w14:paraId="35DED062" w14:textId="58E40A42" w:rsidR="0065515F" w:rsidRPr="006D631C" w:rsidRDefault="0065515F" w:rsidP="0065515F">
            <w:pPr>
              <w:pStyle w:val="ListParagraph"/>
              <w:numPr>
                <w:ilvl w:val="0"/>
                <w:numId w:val="11"/>
              </w:numPr>
              <w:spacing w:after="0" w:line="240" w:lineRule="auto"/>
              <w:ind w:left="173" w:hanging="142"/>
              <w:jc w:val="left"/>
              <w:rPr>
                <w:color w:val="000000"/>
                <w:sz w:val="12"/>
                <w:szCs w:val="12"/>
              </w:rPr>
            </w:pPr>
            <w:r w:rsidRPr="006D631C">
              <w:rPr>
                <w:rFonts w:eastAsia="Times New Roman" w:cs="Times New Roman"/>
                <w:color w:val="000000"/>
                <w:sz w:val="12"/>
                <w:szCs w:val="12"/>
              </w:rPr>
              <w:t>Enhanced thermal stability and compressive modulus of the templated gel</w:t>
            </w:r>
          </w:p>
        </w:tc>
        <w:tc>
          <w:tcPr>
            <w:tcW w:w="566" w:type="dxa"/>
            <w:tcBorders>
              <w:top w:val="nil"/>
              <w:left w:val="nil"/>
              <w:bottom w:val="single" w:sz="4" w:space="0" w:color="auto"/>
              <w:right w:val="nil"/>
            </w:tcBorders>
            <w:shd w:val="clear" w:color="000000" w:fill="FFFFFF"/>
            <w:vAlign w:val="center"/>
          </w:tcPr>
          <w:p w14:paraId="3FED1372" w14:textId="6D660F3B" w:rsidR="0065515F" w:rsidRPr="006D631C" w:rsidRDefault="0065515F" w:rsidP="002E14E4">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C60C1" w:rsidRPr="006D631C">
              <w:rPr>
                <w:color w:val="000000"/>
                <w:sz w:val="12"/>
                <w:szCs w:val="12"/>
              </w:rPr>
              <w:instrText>ADDIN CSL_CITATION {"citationItems":[{"id":"ITEM-1","itemData":{"DOI":"10.1021/ma030037e","ISSN":"00249297","abstract":"Nanostructured polymers are of significant interest due to their potential use in applications ranging from ultrafiltration membranes to catalysis supports. To date, much research has focused on using small molecular weight surfactants that form lyotropic liquid crystals (LLCs) as polymerization templates or polymerizing reactive LLCs to form such nanostructure in polymers. LLC phases formed from small molecular weight surfactants, however, are in and of themselves neither thermally nor mechanically stable, often rendering it difficult to preserve the LLC structure throughout polymerization. A relatively new class of surfactant molecules, Pluronic block copolymers, may afford increased flexibility in nanostructure development when used as polymerization templates. This work has focused on the photopolymerization of water and oil-soluble monomers in Pluronic lyotropic liquid crystals. In particular, the effect that LLC order and monomer segregation behavior has on monomer polymerization rate has been examined. The order of the LLC mesophase has a significant impact on polymerization rate with faster polymerization occurring in the normal phases for the oil-soluble monomer hexanediol diacrylate (HDDA) and in the inverse phases for the water-soluble monomer poly(ethylene glycol) diacrylate (PEG-400-DA). In addition, the effect of monomer addition and polymerization on LLC order has been characterized, with retention of LLC order before and after photopolymerization. Mesophase thermal stability, or the persistence of an LC phase at elevated temperatures, has also been examined for the polymer/LLC hydrogels to determine how polymer nanostructure differences affect fundamental LLC properties. Interestingly, when PEG-400-DA is polymerized in the continuous domains of the hexagonal mesophase, the clearing point is increased more than 40°C. However, when HDDA is polymerized in the discontinuous domains of hexagonal phase, the mesophase thermal stability increases only 25°C. Conversely, when HDDA is polymerized in the continuous region of the inverse hexagonal phase, the clearing point increases more than 60°C. The difference in polymer nanostructure that evolves during the polymerizations directly impacts the mesophase thermal stability. The LLC polymerization also affects the physical properties of polymer/Pluronic hydrogels with significant differences in compressive modulus observed based on the LLC phase in which the nanostructured polymer is generated.","author":[{"dropping-particle":"","family":"McCormick","given":"Demetrius T.","non-dropping-particle":"","parse-names":false,"suffix":""},{"dropping-particle":"","family":"Stovall","given":"Kalena D.","non-dropping-particle":"","parse-names":false,"suffix":""},{"dropping-particle":"","family":"Guymon","given":"C. Allan","non-dropping-particle":"","parse-names":false,"suffix":""}],"container-title":"Macromolecules","id":"ITEM-1","issue":"17","issued":{"date-parts":[["2003","8"]]},"page":"6549-6558","title":"Photopolymerization in pluronic lyotropic liquid crystals: Induced mesophase thermal stability","type":"article-journal","volume":"36"},"uris":["http://www.mendeley.com/documents/?uuid=ae7754a0-e1c1-4349-91b8-e716989d935f"]}],"mendeley":{"formattedCitation":"&lt;sup&gt;45&lt;/sup&gt;","plainTextFormattedCitation":"45","previouslyFormattedCitation":"&lt;sup&gt;45&lt;/sup&gt;"},"properties":{"noteIndex":0},"schema":"https://github.com/citation-style-language/schema/raw/master/csl-citation.json"}</w:instrText>
            </w:r>
            <w:r w:rsidRPr="006D631C">
              <w:rPr>
                <w:color w:val="000000"/>
                <w:sz w:val="12"/>
                <w:szCs w:val="12"/>
              </w:rPr>
              <w:fldChar w:fldCharType="separate"/>
            </w:r>
            <w:r w:rsidR="002E14E4" w:rsidRPr="006D631C">
              <w:rPr>
                <w:noProof/>
                <w:color w:val="000000"/>
                <w:sz w:val="12"/>
                <w:szCs w:val="12"/>
                <w:vertAlign w:val="superscript"/>
              </w:rPr>
              <w:t>45</w:t>
            </w:r>
            <w:r w:rsidRPr="006D631C">
              <w:rPr>
                <w:color w:val="000000"/>
                <w:sz w:val="12"/>
                <w:szCs w:val="12"/>
              </w:rPr>
              <w:fldChar w:fldCharType="end"/>
            </w:r>
          </w:p>
        </w:tc>
      </w:tr>
      <w:tr w:rsidR="0065515F" w:rsidRPr="006D631C" w14:paraId="3A0E5EA0" w14:textId="77777777" w:rsidTr="0035691D">
        <w:trPr>
          <w:trHeight w:val="20"/>
        </w:trPr>
        <w:tc>
          <w:tcPr>
            <w:tcW w:w="851" w:type="dxa"/>
            <w:vMerge/>
            <w:tcBorders>
              <w:left w:val="nil"/>
              <w:right w:val="nil"/>
            </w:tcBorders>
            <w:vAlign w:val="center"/>
          </w:tcPr>
          <w:p w14:paraId="4D13DC58" w14:textId="77777777" w:rsidR="0065515F" w:rsidRPr="006D631C" w:rsidRDefault="0065515F" w:rsidP="0065515F">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0DF8F297" w14:textId="34767D94" w:rsidR="0065515F" w:rsidRPr="006D631C" w:rsidRDefault="0065515F" w:rsidP="0065515F">
            <w:pPr>
              <w:spacing w:line="240" w:lineRule="auto"/>
              <w:jc w:val="left"/>
              <w:rPr>
                <w:color w:val="000000"/>
                <w:sz w:val="12"/>
                <w:szCs w:val="12"/>
              </w:rPr>
            </w:pPr>
            <w:r w:rsidRPr="006D631C">
              <w:rPr>
                <w:sz w:val="12"/>
                <w:szCs w:val="12"/>
              </w:rPr>
              <w:t>A-14</w:t>
            </w:r>
          </w:p>
        </w:tc>
        <w:tc>
          <w:tcPr>
            <w:tcW w:w="567" w:type="dxa"/>
            <w:tcBorders>
              <w:top w:val="nil"/>
              <w:left w:val="nil"/>
              <w:bottom w:val="single" w:sz="4" w:space="0" w:color="auto"/>
              <w:right w:val="nil"/>
            </w:tcBorders>
            <w:shd w:val="clear" w:color="000000" w:fill="FFFFFF"/>
            <w:vAlign w:val="center"/>
          </w:tcPr>
          <w:p w14:paraId="227F3D6F" w14:textId="40BC7344" w:rsidR="0065515F" w:rsidRPr="006D631C" w:rsidRDefault="0065515F" w:rsidP="0065515F">
            <w:pPr>
              <w:spacing w:line="240" w:lineRule="auto"/>
              <w:jc w:val="left"/>
              <w:rPr>
                <w:color w:val="000000"/>
                <w:sz w:val="12"/>
                <w:szCs w:val="12"/>
              </w:rPr>
            </w:pPr>
            <w:r w:rsidRPr="006D631C">
              <w:rPr>
                <w:sz w:val="12"/>
                <w:szCs w:val="12"/>
              </w:rPr>
              <w:t>-</w:t>
            </w:r>
          </w:p>
        </w:tc>
        <w:tc>
          <w:tcPr>
            <w:tcW w:w="709" w:type="dxa"/>
            <w:tcBorders>
              <w:top w:val="nil"/>
              <w:left w:val="nil"/>
              <w:bottom w:val="single" w:sz="4" w:space="0" w:color="auto"/>
              <w:right w:val="nil"/>
            </w:tcBorders>
            <w:shd w:val="clear" w:color="000000" w:fill="FFFFFF"/>
            <w:vAlign w:val="center"/>
          </w:tcPr>
          <w:p w14:paraId="0664961B" w14:textId="189EC764" w:rsidR="0065515F" w:rsidRPr="006D631C" w:rsidRDefault="0065515F" w:rsidP="0065515F">
            <w:pPr>
              <w:spacing w:line="240" w:lineRule="auto"/>
              <w:jc w:val="left"/>
              <w:rPr>
                <w:color w:val="000000"/>
                <w:sz w:val="12"/>
                <w:szCs w:val="12"/>
              </w:rPr>
            </w:pPr>
            <w:r w:rsidRPr="006D631C">
              <w:rPr>
                <w:sz w:val="12"/>
                <w:szCs w:val="12"/>
              </w:rPr>
              <w:t>I-9</w:t>
            </w:r>
          </w:p>
        </w:tc>
        <w:tc>
          <w:tcPr>
            <w:tcW w:w="1134" w:type="dxa"/>
            <w:tcBorders>
              <w:top w:val="nil"/>
              <w:left w:val="nil"/>
              <w:bottom w:val="single" w:sz="4" w:space="0" w:color="auto"/>
              <w:right w:val="nil"/>
            </w:tcBorders>
            <w:shd w:val="clear" w:color="000000" w:fill="FFFFFF"/>
            <w:vAlign w:val="center"/>
          </w:tcPr>
          <w:p w14:paraId="5BDF47EC" w14:textId="4670915C" w:rsidR="0065515F" w:rsidRPr="006D631C" w:rsidRDefault="0065515F" w:rsidP="0065515F">
            <w:pPr>
              <w:spacing w:line="240" w:lineRule="auto"/>
              <w:jc w:val="left"/>
              <w:rPr>
                <w:color w:val="000000"/>
                <w:sz w:val="12"/>
                <w:szCs w:val="12"/>
              </w:rPr>
            </w:pPr>
            <w:r w:rsidRPr="006D631C">
              <w:rPr>
                <w:sz w:val="12"/>
                <w:szCs w:val="12"/>
              </w:rPr>
              <w:t>3 - 33 / 40 (</w:t>
            </w:r>
            <w:r w:rsidRPr="006D631C">
              <w:rPr>
                <w:color w:val="000000"/>
                <w:sz w:val="12"/>
                <w:szCs w:val="12"/>
              </w:rPr>
              <w:t>L</w:t>
            </w:r>
            <w:r w:rsidRPr="006D631C">
              <w:rPr>
                <w:color w:val="000000"/>
                <w:sz w:val="12"/>
                <w:szCs w:val="12"/>
                <w:vertAlign w:val="subscript"/>
              </w:rPr>
              <w:t>1</w:t>
            </w:r>
            <w:r w:rsidRPr="006D631C">
              <w:rPr>
                <w:sz w:val="12"/>
                <w:szCs w:val="12"/>
              </w:rPr>
              <w:t>+ I</w:t>
            </w:r>
            <w:r w:rsidRPr="006D631C">
              <w:rPr>
                <w:sz w:val="12"/>
                <w:szCs w:val="12"/>
                <w:vertAlign w:val="subscript"/>
              </w:rPr>
              <w:t>1</w:t>
            </w:r>
            <w:r w:rsidRPr="006D631C">
              <w:rPr>
                <w:sz w:val="12"/>
                <w:szCs w:val="12"/>
              </w:rPr>
              <w:t>)</w:t>
            </w:r>
            <w:r w:rsidRPr="006D631C">
              <w:rPr>
                <w:sz w:val="12"/>
                <w:szCs w:val="12"/>
              </w:rPr>
              <w:br/>
              <w:t>33 - 38 / 40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38 - 42 / 40 (</w:t>
            </w:r>
            <w:r w:rsidRPr="006D631C">
              <w:rPr>
                <w:color w:val="000000"/>
                <w:sz w:val="12"/>
                <w:szCs w:val="12"/>
              </w:rPr>
              <w:t>Q</w:t>
            </w:r>
            <w:r w:rsidRPr="006D631C">
              <w:rPr>
                <w:color w:val="000000"/>
                <w:sz w:val="12"/>
                <w:szCs w:val="12"/>
                <w:vertAlign w:val="subscript"/>
              </w:rPr>
              <w:t>1</w:t>
            </w:r>
            <w:r w:rsidRPr="006D631C">
              <w:rPr>
                <w:sz w:val="12"/>
                <w:szCs w:val="12"/>
              </w:rPr>
              <w:t>)</w:t>
            </w:r>
            <w:r w:rsidRPr="006D631C">
              <w:rPr>
                <w:sz w:val="12"/>
                <w:szCs w:val="12"/>
              </w:rPr>
              <w:br/>
              <w:t>42 - 60 / 40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1FD718D4" w14:textId="7A4A56EE" w:rsidR="0065515F" w:rsidRPr="006D631C" w:rsidRDefault="0065515F" w:rsidP="0065515F">
            <w:pPr>
              <w:spacing w:line="240" w:lineRule="auto"/>
              <w:jc w:val="left"/>
              <w:rPr>
                <w:color w:val="000000"/>
                <w:sz w:val="12"/>
                <w:szCs w:val="12"/>
              </w:rPr>
            </w:pPr>
            <w:r w:rsidRPr="006D631C">
              <w:rPr>
                <w:sz w:val="12"/>
                <w:szCs w:val="12"/>
              </w:rPr>
              <w:t>Retention of the structures</w:t>
            </w:r>
          </w:p>
        </w:tc>
        <w:tc>
          <w:tcPr>
            <w:tcW w:w="993" w:type="dxa"/>
            <w:tcBorders>
              <w:top w:val="nil"/>
              <w:left w:val="nil"/>
              <w:bottom w:val="single" w:sz="4" w:space="0" w:color="auto"/>
              <w:right w:val="nil"/>
            </w:tcBorders>
            <w:shd w:val="clear" w:color="000000" w:fill="FFFFFF"/>
            <w:noWrap/>
            <w:vAlign w:val="center"/>
          </w:tcPr>
          <w:p w14:paraId="19E04CAB" w14:textId="10F5E765" w:rsidR="0065515F" w:rsidRPr="006D631C" w:rsidRDefault="0065515F" w:rsidP="0065515F">
            <w:pPr>
              <w:spacing w:line="240" w:lineRule="auto"/>
              <w:jc w:val="left"/>
              <w:rPr>
                <w:color w:val="000000"/>
                <w:sz w:val="12"/>
                <w:szCs w:val="12"/>
              </w:rPr>
            </w:pP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4CE9F2D1" w14:textId="44BAB5C7" w:rsidR="0065515F" w:rsidRPr="006D631C" w:rsidRDefault="0065515F" w:rsidP="0065515F">
            <w:pPr>
              <w:spacing w:line="240" w:lineRule="auto"/>
              <w:jc w:val="left"/>
              <w:rPr>
                <w:color w:val="000000"/>
                <w:sz w:val="12"/>
                <w:szCs w:val="12"/>
              </w:rPr>
            </w:pPr>
            <w:r w:rsidRPr="006D631C">
              <w:rPr>
                <w:sz w:val="12"/>
                <w:szCs w:val="12"/>
              </w:rPr>
              <w:t>-</w:t>
            </w:r>
          </w:p>
        </w:tc>
        <w:tc>
          <w:tcPr>
            <w:tcW w:w="5103" w:type="dxa"/>
            <w:tcBorders>
              <w:top w:val="nil"/>
              <w:left w:val="nil"/>
              <w:bottom w:val="single" w:sz="4" w:space="0" w:color="auto"/>
              <w:right w:val="nil"/>
            </w:tcBorders>
            <w:shd w:val="clear" w:color="000000" w:fill="FFFFFF"/>
            <w:noWrap/>
            <w:vAlign w:val="center"/>
          </w:tcPr>
          <w:p w14:paraId="51249DBA" w14:textId="77777777"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M-24c was used in this study</w:t>
            </w:r>
          </w:p>
          <w:p w14:paraId="4EDAEA4F" w14:textId="37963D0F"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Enhanced water uptake, rate of swelling and rate of diffusion for the obtained hydrogel with a change in structure from L</w:t>
            </w:r>
            <w:r w:rsidRPr="006D631C">
              <w:rPr>
                <w:rFonts w:eastAsia="Times New Roman" w:cs="Times New Roman"/>
                <w:sz w:val="12"/>
                <w:szCs w:val="12"/>
                <w:vertAlign w:val="subscript"/>
              </w:rPr>
              <w:t>1</w:t>
            </w:r>
            <w:r w:rsidRPr="006D631C">
              <w:rPr>
                <w:rFonts w:eastAsia="Times New Roman" w:cs="Times New Roman"/>
                <w:sz w:val="12"/>
                <w:szCs w:val="12"/>
              </w:rPr>
              <w:t xml:space="preserve"> to lamellar</w:t>
            </w:r>
          </w:p>
        </w:tc>
        <w:tc>
          <w:tcPr>
            <w:tcW w:w="566" w:type="dxa"/>
            <w:tcBorders>
              <w:top w:val="nil"/>
              <w:left w:val="nil"/>
              <w:bottom w:val="single" w:sz="4" w:space="0" w:color="auto"/>
              <w:right w:val="nil"/>
            </w:tcBorders>
            <w:shd w:val="clear" w:color="000000" w:fill="FFFFFF"/>
            <w:vAlign w:val="center"/>
          </w:tcPr>
          <w:p w14:paraId="3F5BA67A" w14:textId="46722095" w:rsidR="0065515F" w:rsidRPr="006D631C" w:rsidRDefault="0065515F" w:rsidP="000B67AC">
            <w:pPr>
              <w:spacing w:line="240" w:lineRule="auto"/>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{"citationItems":[{"id":"ITEM-1","itemData":{"DOI":"10.1021/ma0622377","ISSN":"00249297","abstract":"While hydrogels exhibit numerous characteristics that make them ideal in biological applications, they are typically limited in overall design flexibility due to the rigid dependence of their physical properties and behavior on the chemistry and cross-linking structure of the gel's network. As the demand for hydrogels with precisely engineered properties grows, nanotechnology may provide a means through which to circumvent the inherent drawbacks of hydrogel systems to form unique, highly advanced materials with enhanced properties. In this work, self-assembling nanostructured lyotropic liquid crystalline (LLC) mesophases were used as polymerization templates, directing the formation of highly cross-linked PEGDA hydrogels. A 3-fold increase in both the compressive modulus and diffusive transport is realized in the PEGDA gel as the parent LLC mesophase, and thus the resulting structure of the hydrogel matrix is changed from a low ordered morphology to a system with a high degree of order and geometry. Additionally, the LLC templated hydrogels exhibited unique property relationships, including simultaneous increases in both the water absorptivity and the modulus of the material, behavior that is not observed in nontemplated, traditional PEGDA gels. The results of this study demonstrate that direct control over the physical properties of a cross-linked hydrogel material can be achieved simply by changing the degree of order and geometry imposed on the forming network using nanostructured LLC templates. © 2007 American Chemical Society.","author":[{"dropping-particle":"","family":"Clapper","given":"Jason D.","non-dropping-particle":"","parse-names":false,"suffix":""},{"dropping-particle":"","family":"Allan Guymon","given":"C.","non-dropping-particle":"","parse-names":false,"suffix":""}],"container-title":"Macromolecules","id":"ITEM-1","issue":"4","issued":{"date-parts":[["2007","2"]]},"page":"1101-1107","title":"Physical behavior of cross-linked PEG hydrogels photopolymerized within nanostructured lyotropic liquid crystalline templates","type":"article-journal","volume":"40"},"uris":["http://www.mendeley.com/documents/?uuid=81effb66-41fc-4f8c-9586-8389ba7877fa"]}],"mendeley":{"formattedCitation":"&lt;sup&gt;169&lt;/sup&gt;","plainTextFormattedCitation":"169","previouslyFormattedCitation":"&lt;sup&gt;169&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169</w:t>
            </w:r>
            <w:r w:rsidRPr="006D631C">
              <w:rPr>
                <w:sz w:val="12"/>
                <w:szCs w:val="12"/>
              </w:rPr>
              <w:fldChar w:fldCharType="end"/>
            </w:r>
          </w:p>
        </w:tc>
      </w:tr>
      <w:tr w:rsidR="0065515F" w:rsidRPr="006D631C" w14:paraId="3D4DAC78" w14:textId="77777777" w:rsidTr="0035691D">
        <w:trPr>
          <w:trHeight w:val="20"/>
        </w:trPr>
        <w:tc>
          <w:tcPr>
            <w:tcW w:w="851" w:type="dxa"/>
            <w:vMerge/>
            <w:tcBorders>
              <w:left w:val="nil"/>
              <w:right w:val="nil"/>
            </w:tcBorders>
            <w:shd w:val="clear" w:color="000000" w:fill="FFFFFF"/>
            <w:vAlign w:val="center"/>
          </w:tcPr>
          <w:p w14:paraId="545104D4" w14:textId="109CC372" w:rsidR="0065515F" w:rsidRPr="006D631C" w:rsidRDefault="0065515F" w:rsidP="0065515F">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433317A6" w14:textId="1E5414A8" w:rsidR="0065515F" w:rsidRPr="006D631C" w:rsidRDefault="0065515F" w:rsidP="0065515F">
            <w:pPr>
              <w:spacing w:line="240" w:lineRule="auto"/>
              <w:jc w:val="left"/>
              <w:rPr>
                <w:color w:val="000000"/>
                <w:sz w:val="12"/>
                <w:szCs w:val="12"/>
              </w:rPr>
            </w:pPr>
            <w:r w:rsidRPr="006D631C">
              <w:rPr>
                <w:sz w:val="12"/>
                <w:szCs w:val="12"/>
              </w:rPr>
              <w:t>A-14</w:t>
            </w:r>
          </w:p>
        </w:tc>
        <w:tc>
          <w:tcPr>
            <w:tcW w:w="567" w:type="dxa"/>
            <w:tcBorders>
              <w:top w:val="nil"/>
              <w:left w:val="nil"/>
              <w:bottom w:val="single" w:sz="4" w:space="0" w:color="auto"/>
              <w:right w:val="nil"/>
            </w:tcBorders>
            <w:shd w:val="clear" w:color="000000" w:fill="FFFFFF"/>
            <w:vAlign w:val="center"/>
          </w:tcPr>
          <w:p w14:paraId="1A1F24F5" w14:textId="1AA935E5" w:rsidR="0065515F" w:rsidRPr="006D631C" w:rsidRDefault="0065515F" w:rsidP="0065515F">
            <w:pPr>
              <w:spacing w:line="240" w:lineRule="auto"/>
              <w:jc w:val="left"/>
              <w:rPr>
                <w:color w:val="000000"/>
                <w:sz w:val="12"/>
                <w:szCs w:val="12"/>
              </w:rPr>
            </w:pPr>
            <w:r w:rsidRPr="006D631C">
              <w:rPr>
                <w:sz w:val="12"/>
                <w:szCs w:val="12"/>
              </w:rPr>
              <w:t>-</w:t>
            </w:r>
          </w:p>
        </w:tc>
        <w:tc>
          <w:tcPr>
            <w:tcW w:w="709" w:type="dxa"/>
            <w:tcBorders>
              <w:top w:val="nil"/>
              <w:left w:val="nil"/>
              <w:bottom w:val="single" w:sz="4" w:space="0" w:color="auto"/>
              <w:right w:val="nil"/>
            </w:tcBorders>
            <w:shd w:val="clear" w:color="000000" w:fill="FFFFFF"/>
            <w:vAlign w:val="center"/>
          </w:tcPr>
          <w:p w14:paraId="37D982D4" w14:textId="688542E5" w:rsidR="0065515F" w:rsidRPr="006D631C" w:rsidRDefault="0065515F" w:rsidP="0065515F">
            <w:pPr>
              <w:spacing w:line="240" w:lineRule="auto"/>
              <w:jc w:val="left"/>
              <w:rPr>
                <w:color w:val="000000"/>
                <w:sz w:val="12"/>
                <w:szCs w:val="12"/>
              </w:rPr>
            </w:pPr>
            <w:r w:rsidRPr="006D631C">
              <w:rPr>
                <w:sz w:val="12"/>
                <w:szCs w:val="12"/>
              </w:rPr>
              <w:t>I-2</w:t>
            </w:r>
          </w:p>
        </w:tc>
        <w:tc>
          <w:tcPr>
            <w:tcW w:w="1134" w:type="dxa"/>
            <w:tcBorders>
              <w:top w:val="nil"/>
              <w:left w:val="nil"/>
              <w:bottom w:val="single" w:sz="4" w:space="0" w:color="auto"/>
              <w:right w:val="nil"/>
            </w:tcBorders>
            <w:shd w:val="clear" w:color="000000" w:fill="FFFFFF"/>
            <w:vAlign w:val="center"/>
          </w:tcPr>
          <w:p w14:paraId="2E7CBEDB" w14:textId="34719B5E" w:rsidR="0065515F" w:rsidRPr="006D631C" w:rsidRDefault="0065515F" w:rsidP="0065515F">
            <w:pPr>
              <w:spacing w:line="240" w:lineRule="auto"/>
              <w:jc w:val="left"/>
              <w:rPr>
                <w:color w:val="000000"/>
                <w:sz w:val="12"/>
                <w:szCs w:val="12"/>
              </w:rPr>
            </w:pPr>
            <w:r w:rsidRPr="006D631C">
              <w:rPr>
                <w:sz w:val="12"/>
                <w:szCs w:val="12"/>
              </w:rPr>
              <w:t>40 - 50 / 20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60 - 70 / 20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02B2A81C" w14:textId="49DC73F3" w:rsidR="0065515F" w:rsidRPr="006D631C" w:rsidRDefault="0065515F" w:rsidP="0065515F">
            <w:pPr>
              <w:spacing w:line="240" w:lineRule="auto"/>
              <w:jc w:val="left"/>
              <w:rPr>
                <w:color w:val="000000"/>
                <w:sz w:val="12"/>
                <w:szCs w:val="12"/>
              </w:rPr>
            </w:pPr>
            <w:r w:rsidRPr="006D631C">
              <w:rPr>
                <w:sz w:val="12"/>
                <w:szCs w:val="12"/>
              </w:rPr>
              <w:t xml:space="preserve">Disordered </w:t>
            </w:r>
            <w:r w:rsidRPr="006D631C">
              <w:rPr>
                <w:color w:val="000000"/>
                <w:sz w:val="12"/>
                <w:szCs w:val="12"/>
              </w:rPr>
              <w:t>H</w:t>
            </w:r>
            <w:r w:rsidRPr="006D631C">
              <w:rPr>
                <w:color w:val="000000"/>
                <w:sz w:val="12"/>
                <w:szCs w:val="12"/>
                <w:vertAlign w:val="subscript"/>
              </w:rPr>
              <w:t>1</w:t>
            </w:r>
          </w:p>
        </w:tc>
        <w:tc>
          <w:tcPr>
            <w:tcW w:w="993" w:type="dxa"/>
            <w:tcBorders>
              <w:top w:val="nil"/>
              <w:left w:val="nil"/>
              <w:bottom w:val="single" w:sz="4" w:space="0" w:color="auto"/>
              <w:right w:val="nil"/>
            </w:tcBorders>
            <w:shd w:val="clear" w:color="000000" w:fill="FFFFFF"/>
            <w:noWrap/>
            <w:vAlign w:val="center"/>
          </w:tcPr>
          <w:p w14:paraId="1AE7F7C4" w14:textId="29591742" w:rsidR="0065515F" w:rsidRPr="006D631C" w:rsidRDefault="0065515F" w:rsidP="0065515F">
            <w:pPr>
              <w:spacing w:line="240" w:lineRule="auto"/>
              <w:jc w:val="left"/>
              <w:rPr>
                <w:color w:val="000000"/>
                <w:sz w:val="12"/>
                <w:szCs w:val="12"/>
              </w:rPr>
            </w:pPr>
            <w:r w:rsidRPr="006D631C">
              <w:rPr>
                <w:sz w:val="12"/>
                <w:szCs w:val="12"/>
              </w:rPr>
              <w:t>6.27 (</w:t>
            </w:r>
            <w:r w:rsidRPr="006D631C">
              <w:rPr>
                <w:color w:val="000000"/>
                <w:sz w:val="12"/>
                <w:szCs w:val="12"/>
              </w:rPr>
              <w:t>H</w:t>
            </w:r>
            <w:r w:rsidRPr="006D631C">
              <w:rPr>
                <w:color w:val="000000"/>
                <w:sz w:val="12"/>
                <w:szCs w:val="12"/>
                <w:vertAlign w:val="subscript"/>
              </w:rPr>
              <w:t>1</w:t>
            </w: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5018D985" w14:textId="59DDFA9E" w:rsidR="0065515F" w:rsidRPr="006D631C" w:rsidRDefault="0065515F" w:rsidP="0065515F">
            <w:pPr>
              <w:spacing w:line="240" w:lineRule="auto"/>
              <w:jc w:val="left"/>
              <w:rPr>
                <w:color w:val="000000"/>
                <w:sz w:val="12"/>
                <w:szCs w:val="12"/>
              </w:rPr>
            </w:pPr>
            <w:r w:rsidRPr="006D631C">
              <w:rPr>
                <w:sz w:val="12"/>
                <w:szCs w:val="12"/>
              </w:rPr>
              <w:t>7.6 (</w:t>
            </w:r>
            <w:r w:rsidRPr="006D631C">
              <w:rPr>
                <w:color w:val="000000"/>
                <w:sz w:val="12"/>
                <w:szCs w:val="12"/>
              </w:rPr>
              <w:t>H</w:t>
            </w:r>
            <w:r w:rsidRPr="006D631C">
              <w:rPr>
                <w:color w:val="000000"/>
                <w:sz w:val="12"/>
                <w:szCs w:val="12"/>
                <w:vertAlign w:val="subscript"/>
              </w:rPr>
              <w:t>1</w:t>
            </w:r>
            <w:r w:rsidRPr="006D631C">
              <w:rPr>
                <w:sz w:val="12"/>
                <w:szCs w:val="12"/>
              </w:rPr>
              <w:t>)</w:t>
            </w:r>
          </w:p>
        </w:tc>
        <w:tc>
          <w:tcPr>
            <w:tcW w:w="5103" w:type="dxa"/>
            <w:tcBorders>
              <w:top w:val="nil"/>
              <w:left w:val="nil"/>
              <w:bottom w:val="single" w:sz="4" w:space="0" w:color="auto"/>
              <w:right w:val="nil"/>
            </w:tcBorders>
            <w:shd w:val="clear" w:color="000000" w:fill="FFFFFF"/>
            <w:noWrap/>
            <w:vAlign w:val="center"/>
          </w:tcPr>
          <w:p w14:paraId="03BA61A8" w14:textId="77777777"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sz w:val="12"/>
                <w:szCs w:val="12"/>
              </w:rPr>
              <w:t>M-24a was used in this study</w:t>
            </w:r>
          </w:p>
          <w:p w14:paraId="645DA073" w14:textId="42BB99E4"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 xml:space="preserve">Polymerization rate: non-LLC &lt; </w:t>
            </w:r>
            <w:r w:rsidRPr="006D631C">
              <w:rPr>
                <w:rFonts w:eastAsia="Times New Roman" w:cs="Times New Roman"/>
                <w:color w:val="000000"/>
                <w:sz w:val="12"/>
                <w:szCs w:val="12"/>
              </w:rPr>
              <w:t>H</w:t>
            </w:r>
            <w:r w:rsidRPr="006D631C">
              <w:rPr>
                <w:rFonts w:eastAsia="Times New Roman" w:cs="Times New Roman"/>
                <w:color w:val="000000"/>
                <w:sz w:val="12"/>
                <w:szCs w:val="12"/>
                <w:vertAlign w:val="subscript"/>
              </w:rPr>
              <w:t>1</w:t>
            </w:r>
            <w:r w:rsidRPr="006D631C">
              <w:rPr>
                <w:rFonts w:eastAsia="Times New Roman" w:cs="Times New Roman"/>
                <w:sz w:val="12"/>
                <w:szCs w:val="12"/>
              </w:rPr>
              <w:t xml:space="preserve"> (50% A-14) &lt;</w:t>
            </w:r>
            <w:r w:rsidRPr="006D631C">
              <w:rPr>
                <w:rFonts w:eastAsia="Times New Roman" w:cs="Times New Roman"/>
                <w:color w:val="000000"/>
                <w:sz w:val="12"/>
                <w:szCs w:val="12"/>
              </w:rPr>
              <w:t>L</w:t>
            </w:r>
            <w:r w:rsidRPr="006D631C">
              <w:rPr>
                <w:rFonts w:eastAsia="Times New Roman" w:cs="Times New Roman"/>
                <w:color w:val="000000"/>
                <w:sz w:val="12"/>
                <w:szCs w:val="12"/>
                <w:vertAlign w:val="subscript"/>
              </w:rPr>
              <w:t>α</w:t>
            </w:r>
            <w:r w:rsidRPr="006D631C">
              <w:rPr>
                <w:rFonts w:eastAsia="Times New Roman" w:cs="Times New Roman"/>
                <w:sz w:val="12"/>
                <w:szCs w:val="12"/>
              </w:rPr>
              <w:t xml:space="preserve"> (70%) &lt; </w:t>
            </w:r>
            <w:r w:rsidRPr="006D631C">
              <w:rPr>
                <w:rFonts w:eastAsia="Times New Roman" w:cs="Times New Roman"/>
                <w:color w:val="000000"/>
                <w:sz w:val="12"/>
                <w:szCs w:val="12"/>
              </w:rPr>
              <w:t>L</w:t>
            </w:r>
            <w:r w:rsidRPr="006D631C">
              <w:rPr>
                <w:rFonts w:eastAsia="Times New Roman" w:cs="Times New Roman"/>
                <w:color w:val="000000"/>
                <w:sz w:val="12"/>
                <w:szCs w:val="12"/>
                <w:vertAlign w:val="subscript"/>
              </w:rPr>
              <w:t>α</w:t>
            </w:r>
            <w:r w:rsidRPr="006D631C">
              <w:rPr>
                <w:rFonts w:eastAsia="Times New Roman" w:cs="Times New Roman"/>
                <w:sz w:val="12"/>
                <w:szCs w:val="12"/>
              </w:rPr>
              <w:t xml:space="preserve"> (60%) &lt; </w:t>
            </w:r>
            <w:r w:rsidRPr="006D631C">
              <w:rPr>
                <w:rFonts w:eastAsia="Times New Roman" w:cs="Times New Roman"/>
                <w:color w:val="000000"/>
                <w:sz w:val="12"/>
                <w:szCs w:val="12"/>
              </w:rPr>
              <w:t>H</w:t>
            </w:r>
            <w:r w:rsidRPr="006D631C">
              <w:rPr>
                <w:rFonts w:eastAsia="Times New Roman" w:cs="Times New Roman"/>
                <w:color w:val="000000"/>
                <w:sz w:val="12"/>
                <w:szCs w:val="12"/>
                <w:vertAlign w:val="subscript"/>
              </w:rPr>
              <w:t>1</w:t>
            </w:r>
            <w:r w:rsidRPr="006D631C">
              <w:rPr>
                <w:rFonts w:eastAsia="Times New Roman" w:cs="Times New Roman"/>
                <w:sz w:val="12"/>
                <w:szCs w:val="12"/>
              </w:rPr>
              <w:t xml:space="preserve"> (40%)</w:t>
            </w:r>
          </w:p>
        </w:tc>
        <w:tc>
          <w:tcPr>
            <w:tcW w:w="566" w:type="dxa"/>
            <w:tcBorders>
              <w:top w:val="nil"/>
              <w:left w:val="nil"/>
              <w:bottom w:val="single" w:sz="4" w:space="0" w:color="auto"/>
              <w:right w:val="nil"/>
            </w:tcBorders>
            <w:shd w:val="clear" w:color="000000" w:fill="FFFFFF"/>
            <w:vAlign w:val="center"/>
          </w:tcPr>
          <w:p w14:paraId="76E15382" w14:textId="4C1E6D77" w:rsidR="0065515F" w:rsidRPr="006D631C" w:rsidRDefault="0065515F" w:rsidP="000B67AC">
            <w:pPr>
              <w:spacing w:line="240" w:lineRule="auto"/>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{"citationItems":[{"id":"ITEM-1","itemData":{"DOI":"10.1021/ma101418e","ISSN":"00249297","abstract":"The ability to direct polymer structure on the nanometer scale has provided access to enhanced material properties that may be tailored to accommodate a growing number of advanced biological and industrial applications. A promising method of generating nanostructure in organic polymers uses self-assembling lyotropic liquid crystalline (LLC) mesophases as templates for polymerization. Unfortunately, thermodynamically driven phase separation often prevents polymer morphology from being precisely controlled. As the demand for polymers with accurately engineered properties increases, a detailed understanding of the phase separation process is needed to control the nanostructure and properties of LLC templated polymers. In this study, photopolymerization kinetics are utilized to identify phase separation events occurring during the photopolymerization of poly(ethylene glycol) diacrylate and hexanediol diacrylate monomers templated in the normal hexagonal or lamellar LLC mesophases. Discontinuities are found in the polymerization rate of anisotropic polymers at several double bond conversions that are not present in the rate profiles of isotropic controls. The polymer morphology was subsequently characterized at particular conversions using small angle X-ray scattering. Changes in polymer nanostructure occur at double bond conversions that coincide with the observed rate discontinuities. These results demonstrate that photopolymerization kinetics can be used as a probe to monitor the evolution of polymer nanostructure during polymerization and optimize the conditions governing the control of polymer morphology to enhance properties dependent on nanostructure. © 2010 American Chemical Society.","author":[{"dropping-particle":"","family":"Forney","given":"Bradley S.","non-dropping-particle":"","parse-names":false,"suffix":""},{"dropping-particle":"","family":"Guymon","given":"C. Allan","non-dropping-particle":"","parse-names":false,"suffix":""}],"container-title":"Macromolecules","id":"ITEM-1","issue":"20","issued":{"date-parts":[["2010","10","26"]]},"page":"8502-8510","title":"Nanostructure evolution during photopolymerization in lyotropic liquid crystal templates","type":"article-journal","volume":"43"},"uris":["http://www.mendeley.com/documents/?uuid=862518bf-5405-45d5-af85-3c72739c9ed0"]}],"mendeley":{"formattedCitation":"&lt;sup&gt;157&lt;/sup&gt;","plainTextFormattedCitation":"157","previouslyFormattedCitation":"&lt;sup&gt;157&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157</w:t>
            </w:r>
            <w:r w:rsidRPr="006D631C">
              <w:rPr>
                <w:sz w:val="12"/>
                <w:szCs w:val="12"/>
              </w:rPr>
              <w:fldChar w:fldCharType="end"/>
            </w:r>
          </w:p>
        </w:tc>
      </w:tr>
      <w:tr w:rsidR="0065515F" w:rsidRPr="006D631C" w14:paraId="78BD5A08" w14:textId="77777777" w:rsidTr="0035691D">
        <w:trPr>
          <w:trHeight w:val="20"/>
        </w:trPr>
        <w:tc>
          <w:tcPr>
            <w:tcW w:w="851" w:type="dxa"/>
            <w:vMerge/>
            <w:tcBorders>
              <w:left w:val="nil"/>
              <w:right w:val="nil"/>
            </w:tcBorders>
            <w:shd w:val="clear" w:color="000000" w:fill="FFFFFF"/>
            <w:vAlign w:val="center"/>
          </w:tcPr>
          <w:p w14:paraId="6003B1DC" w14:textId="77777777" w:rsidR="0065515F" w:rsidRPr="006D631C" w:rsidRDefault="0065515F" w:rsidP="0065515F">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08CB1BC4" w14:textId="5B642794" w:rsidR="0065515F" w:rsidRPr="006D631C" w:rsidRDefault="0065515F" w:rsidP="0065515F">
            <w:pPr>
              <w:spacing w:line="240" w:lineRule="auto"/>
              <w:jc w:val="left"/>
              <w:rPr>
                <w:color w:val="000000"/>
                <w:sz w:val="12"/>
                <w:szCs w:val="12"/>
              </w:rPr>
            </w:pPr>
            <w:r w:rsidRPr="006D631C">
              <w:rPr>
                <w:sz w:val="12"/>
                <w:szCs w:val="12"/>
              </w:rPr>
              <w:t>A-3</w:t>
            </w:r>
          </w:p>
        </w:tc>
        <w:tc>
          <w:tcPr>
            <w:tcW w:w="567" w:type="dxa"/>
            <w:tcBorders>
              <w:top w:val="nil"/>
              <w:left w:val="nil"/>
              <w:bottom w:val="single" w:sz="4" w:space="0" w:color="auto"/>
              <w:right w:val="nil"/>
            </w:tcBorders>
            <w:shd w:val="clear" w:color="000000" w:fill="FFFFFF"/>
            <w:vAlign w:val="center"/>
          </w:tcPr>
          <w:p w14:paraId="72F4F5AF" w14:textId="2C4F312F" w:rsidR="0065515F" w:rsidRPr="006D631C" w:rsidRDefault="0065515F" w:rsidP="0065515F">
            <w:pPr>
              <w:spacing w:line="240" w:lineRule="auto"/>
              <w:jc w:val="left"/>
              <w:rPr>
                <w:color w:val="000000"/>
                <w:sz w:val="12"/>
                <w:szCs w:val="12"/>
              </w:rPr>
            </w:pPr>
            <w:r w:rsidRPr="006D631C">
              <w:rPr>
                <w:sz w:val="12"/>
                <w:szCs w:val="12"/>
              </w:rPr>
              <w:t>-</w:t>
            </w:r>
          </w:p>
        </w:tc>
        <w:tc>
          <w:tcPr>
            <w:tcW w:w="709" w:type="dxa"/>
            <w:tcBorders>
              <w:top w:val="nil"/>
              <w:left w:val="nil"/>
              <w:bottom w:val="single" w:sz="4" w:space="0" w:color="auto"/>
              <w:right w:val="nil"/>
            </w:tcBorders>
            <w:shd w:val="clear" w:color="000000" w:fill="FFFFFF"/>
            <w:vAlign w:val="center"/>
          </w:tcPr>
          <w:p w14:paraId="3A821F5A" w14:textId="751E986F" w:rsidR="0065515F" w:rsidRPr="006D631C" w:rsidRDefault="0065515F" w:rsidP="0065515F">
            <w:pPr>
              <w:spacing w:line="240" w:lineRule="auto"/>
              <w:jc w:val="left"/>
              <w:rPr>
                <w:color w:val="000000"/>
                <w:sz w:val="12"/>
                <w:szCs w:val="12"/>
              </w:rPr>
            </w:pPr>
            <w:r w:rsidRPr="006D631C">
              <w:rPr>
                <w:sz w:val="12"/>
                <w:szCs w:val="12"/>
              </w:rPr>
              <w:t>I-5</w:t>
            </w:r>
          </w:p>
        </w:tc>
        <w:tc>
          <w:tcPr>
            <w:tcW w:w="1134" w:type="dxa"/>
            <w:tcBorders>
              <w:top w:val="nil"/>
              <w:left w:val="nil"/>
              <w:bottom w:val="single" w:sz="4" w:space="0" w:color="auto"/>
              <w:right w:val="nil"/>
            </w:tcBorders>
            <w:shd w:val="clear" w:color="000000" w:fill="FFFFFF"/>
            <w:vAlign w:val="center"/>
          </w:tcPr>
          <w:p w14:paraId="2CF9A560" w14:textId="056231F4" w:rsidR="0065515F" w:rsidRPr="006D631C" w:rsidRDefault="0065515F" w:rsidP="0065515F">
            <w:pPr>
              <w:spacing w:line="240" w:lineRule="auto"/>
              <w:jc w:val="left"/>
              <w:rPr>
                <w:color w:val="000000"/>
                <w:sz w:val="12"/>
                <w:szCs w:val="12"/>
              </w:rPr>
            </w:pPr>
            <w:r w:rsidRPr="006D631C">
              <w:rPr>
                <w:sz w:val="12"/>
                <w:szCs w:val="12"/>
              </w:rPr>
              <w:t>30 / 20 (</w:t>
            </w:r>
            <w:r w:rsidRPr="006D631C">
              <w:rPr>
                <w:color w:val="000000"/>
                <w:sz w:val="12"/>
                <w:szCs w:val="12"/>
              </w:rPr>
              <w:t>L</w:t>
            </w:r>
            <w:r w:rsidRPr="006D631C">
              <w:rPr>
                <w:color w:val="000000"/>
                <w:sz w:val="12"/>
                <w:szCs w:val="12"/>
                <w:vertAlign w:val="subscript"/>
              </w:rPr>
              <w:t>1</w:t>
            </w:r>
            <w:r w:rsidRPr="006D631C">
              <w:rPr>
                <w:sz w:val="12"/>
                <w:szCs w:val="12"/>
              </w:rPr>
              <w:t>)</w:t>
            </w:r>
            <w:r w:rsidRPr="006D631C">
              <w:rPr>
                <w:sz w:val="12"/>
                <w:szCs w:val="12"/>
              </w:rPr>
              <w:br/>
              <w:t>50 - 60 / 20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70 / 20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004A1A03" w14:textId="33E46FB8" w:rsidR="0065515F" w:rsidRPr="006D631C" w:rsidRDefault="0065515F" w:rsidP="0065515F">
            <w:pPr>
              <w:spacing w:line="240" w:lineRule="auto"/>
              <w:jc w:val="left"/>
              <w:rPr>
                <w:color w:val="000000"/>
                <w:sz w:val="12"/>
                <w:szCs w:val="12"/>
              </w:rPr>
            </w:pPr>
            <w:r w:rsidRPr="006D631C">
              <w:rPr>
                <w:sz w:val="12"/>
                <w:szCs w:val="12"/>
              </w:rPr>
              <w:t xml:space="preserve">Retention of </w:t>
            </w:r>
            <w:r w:rsidRPr="006D631C">
              <w:rPr>
                <w:color w:val="000000"/>
                <w:sz w:val="12"/>
                <w:szCs w:val="12"/>
              </w:rPr>
              <w:t>H</w:t>
            </w:r>
            <w:r w:rsidRPr="006D631C">
              <w:rPr>
                <w:color w:val="000000"/>
                <w:sz w:val="12"/>
                <w:szCs w:val="12"/>
                <w:vertAlign w:val="subscript"/>
              </w:rPr>
              <w:t>1</w:t>
            </w:r>
            <w:r w:rsidRPr="006D631C">
              <w:rPr>
                <w:sz w:val="12"/>
                <w:szCs w:val="12"/>
              </w:rPr>
              <w:t xml:space="preserve"> structure for M-24a</w:t>
            </w:r>
            <w:r w:rsidRPr="006D631C">
              <w:rPr>
                <w:sz w:val="12"/>
                <w:szCs w:val="12"/>
              </w:rPr>
              <w:br/>
              <w:t xml:space="preserve">Loss of order of </w:t>
            </w:r>
            <w:r w:rsidRPr="006D631C">
              <w:rPr>
                <w:color w:val="000000"/>
                <w:sz w:val="12"/>
                <w:szCs w:val="12"/>
              </w:rPr>
              <w:t>H</w:t>
            </w:r>
            <w:r w:rsidRPr="006D631C">
              <w:rPr>
                <w:color w:val="000000"/>
                <w:sz w:val="12"/>
                <w:szCs w:val="12"/>
                <w:vertAlign w:val="subscript"/>
              </w:rPr>
              <w:t>1</w:t>
            </w:r>
            <w:r w:rsidRPr="006D631C">
              <w:rPr>
                <w:sz w:val="12"/>
                <w:szCs w:val="12"/>
              </w:rPr>
              <w:t xml:space="preserve"> for M-24e</w:t>
            </w:r>
          </w:p>
        </w:tc>
        <w:tc>
          <w:tcPr>
            <w:tcW w:w="993" w:type="dxa"/>
            <w:tcBorders>
              <w:top w:val="nil"/>
              <w:left w:val="nil"/>
              <w:bottom w:val="single" w:sz="4" w:space="0" w:color="auto"/>
              <w:right w:val="nil"/>
            </w:tcBorders>
            <w:shd w:val="clear" w:color="000000" w:fill="FFFFFF"/>
            <w:noWrap/>
            <w:vAlign w:val="center"/>
          </w:tcPr>
          <w:p w14:paraId="35D4992A" w14:textId="5D9EA408" w:rsidR="0065515F" w:rsidRPr="006D631C" w:rsidRDefault="0065515F" w:rsidP="0065515F">
            <w:pPr>
              <w:spacing w:line="240" w:lineRule="auto"/>
              <w:jc w:val="left"/>
              <w:rPr>
                <w:color w:val="000000"/>
                <w:sz w:val="12"/>
                <w:szCs w:val="12"/>
              </w:rPr>
            </w:pPr>
            <w:r w:rsidRPr="006D631C">
              <w:rPr>
                <w:sz w:val="12"/>
                <w:szCs w:val="12"/>
              </w:rPr>
              <w:t>For M-24a: 3.72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For M-24e: 3.6 (</w:t>
            </w:r>
            <w:r w:rsidRPr="006D631C">
              <w:rPr>
                <w:color w:val="000000"/>
                <w:sz w:val="12"/>
                <w:szCs w:val="12"/>
              </w:rPr>
              <w:t>H</w:t>
            </w:r>
            <w:r w:rsidRPr="006D631C">
              <w:rPr>
                <w:color w:val="000000"/>
                <w:sz w:val="12"/>
                <w:szCs w:val="12"/>
                <w:vertAlign w:val="subscript"/>
              </w:rPr>
              <w:t>1</w:t>
            </w: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3804C351" w14:textId="2A07BDF8" w:rsidR="0065515F" w:rsidRPr="006D631C" w:rsidRDefault="0065515F" w:rsidP="0065515F">
            <w:pPr>
              <w:spacing w:line="240" w:lineRule="auto"/>
              <w:jc w:val="left"/>
              <w:rPr>
                <w:color w:val="000000"/>
                <w:sz w:val="12"/>
                <w:szCs w:val="12"/>
              </w:rPr>
            </w:pPr>
            <w:r w:rsidRPr="006D631C">
              <w:rPr>
                <w:sz w:val="12"/>
                <w:szCs w:val="12"/>
              </w:rPr>
              <w:t>For M-24a: 3.7 (</w:t>
            </w:r>
            <w:r w:rsidRPr="006D631C">
              <w:rPr>
                <w:color w:val="000000"/>
                <w:sz w:val="12"/>
                <w:szCs w:val="12"/>
              </w:rPr>
              <w:t>H</w:t>
            </w:r>
            <w:r w:rsidRPr="006D631C">
              <w:rPr>
                <w:color w:val="000000"/>
                <w:sz w:val="12"/>
                <w:szCs w:val="12"/>
                <w:vertAlign w:val="subscript"/>
              </w:rPr>
              <w:t>1</w:t>
            </w:r>
            <w:r w:rsidRPr="006D631C">
              <w:rPr>
                <w:sz w:val="12"/>
                <w:szCs w:val="12"/>
              </w:rPr>
              <w:t>)</w:t>
            </w:r>
            <w:r w:rsidRPr="006D631C">
              <w:rPr>
                <w:sz w:val="12"/>
                <w:szCs w:val="12"/>
              </w:rPr>
              <w:br/>
              <w:t>For M-24e: 3.8</w:t>
            </w:r>
          </w:p>
        </w:tc>
        <w:tc>
          <w:tcPr>
            <w:tcW w:w="5103" w:type="dxa"/>
            <w:tcBorders>
              <w:top w:val="nil"/>
              <w:left w:val="nil"/>
              <w:bottom w:val="single" w:sz="4" w:space="0" w:color="auto"/>
              <w:right w:val="nil"/>
            </w:tcBorders>
            <w:shd w:val="clear" w:color="000000" w:fill="FFFFFF"/>
            <w:noWrap/>
            <w:vAlign w:val="center"/>
          </w:tcPr>
          <w:p w14:paraId="38BABA1E" w14:textId="77777777"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sz w:val="12"/>
                <w:szCs w:val="12"/>
              </w:rPr>
              <w:t>M-24a, d and e were used in this study</w:t>
            </w:r>
          </w:p>
          <w:p w14:paraId="0C62252F" w14:textId="77777777"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 xml:space="preserve">Polymerization rate: </w:t>
            </w:r>
            <w:r w:rsidRPr="006D631C">
              <w:rPr>
                <w:rFonts w:eastAsia="Times New Roman" w:cs="Times New Roman"/>
                <w:color w:val="000000"/>
                <w:sz w:val="12"/>
                <w:szCs w:val="12"/>
              </w:rPr>
              <w:t>L</w:t>
            </w:r>
            <w:r w:rsidRPr="006D631C">
              <w:rPr>
                <w:rFonts w:eastAsia="Times New Roman" w:cs="Times New Roman"/>
                <w:color w:val="000000"/>
                <w:sz w:val="12"/>
                <w:szCs w:val="12"/>
                <w:vertAlign w:val="subscript"/>
              </w:rPr>
              <w:t xml:space="preserve">α </w:t>
            </w:r>
            <w:r w:rsidRPr="006D631C">
              <w:rPr>
                <w:rFonts w:eastAsia="Times New Roman" w:cs="Times New Roman"/>
                <w:sz w:val="12"/>
                <w:szCs w:val="12"/>
              </w:rPr>
              <w:t xml:space="preserve">&lt; </w:t>
            </w:r>
            <w:r w:rsidRPr="006D631C">
              <w:rPr>
                <w:rFonts w:eastAsia="Times New Roman" w:cs="Times New Roman"/>
                <w:color w:val="000000"/>
                <w:sz w:val="12"/>
                <w:szCs w:val="12"/>
              </w:rPr>
              <w:t>H</w:t>
            </w:r>
            <w:r w:rsidRPr="006D631C">
              <w:rPr>
                <w:rFonts w:eastAsia="Times New Roman" w:cs="Times New Roman"/>
                <w:color w:val="000000"/>
                <w:sz w:val="12"/>
                <w:szCs w:val="12"/>
                <w:vertAlign w:val="subscript"/>
              </w:rPr>
              <w:t xml:space="preserve">1 </w:t>
            </w:r>
            <w:r w:rsidRPr="006D631C">
              <w:rPr>
                <w:rFonts w:eastAsia="Times New Roman" w:cs="Times New Roman"/>
                <w:sz w:val="12"/>
                <w:szCs w:val="12"/>
              </w:rPr>
              <w:t xml:space="preserve">&lt; </w:t>
            </w:r>
            <w:r w:rsidRPr="006D631C">
              <w:rPr>
                <w:rFonts w:eastAsia="Times New Roman" w:cs="Times New Roman"/>
                <w:color w:val="000000"/>
                <w:sz w:val="12"/>
                <w:szCs w:val="12"/>
              </w:rPr>
              <w:t>L</w:t>
            </w:r>
            <w:r w:rsidRPr="006D631C">
              <w:rPr>
                <w:rFonts w:eastAsia="Times New Roman" w:cs="Times New Roman"/>
                <w:color w:val="000000"/>
                <w:sz w:val="12"/>
                <w:szCs w:val="12"/>
                <w:vertAlign w:val="subscript"/>
              </w:rPr>
              <w:t>1</w:t>
            </w:r>
          </w:p>
          <w:p w14:paraId="56BFCC37" w14:textId="77777777"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 xml:space="preserve">Higher reaction rate at </w:t>
            </w:r>
            <w:r w:rsidRPr="006D631C">
              <w:rPr>
                <w:rFonts w:eastAsia="Times New Roman" w:cs="Times New Roman"/>
                <w:color w:val="000000"/>
                <w:sz w:val="12"/>
                <w:szCs w:val="12"/>
              </w:rPr>
              <w:t>L</w:t>
            </w:r>
            <w:r w:rsidRPr="006D631C">
              <w:rPr>
                <w:rFonts w:eastAsia="Times New Roman" w:cs="Times New Roman"/>
                <w:color w:val="000000"/>
                <w:sz w:val="12"/>
                <w:szCs w:val="12"/>
                <w:vertAlign w:val="subscript"/>
              </w:rPr>
              <w:t>1</w:t>
            </w:r>
            <w:r w:rsidRPr="006D631C">
              <w:rPr>
                <w:rFonts w:eastAsia="Times New Roman" w:cs="Times New Roman"/>
                <w:sz w:val="12"/>
                <w:szCs w:val="12"/>
              </w:rPr>
              <w:t xml:space="preserve"> was more pronounced in the case of  M-24e</w:t>
            </w:r>
          </w:p>
          <w:p w14:paraId="29C5C13C" w14:textId="4D4A93EC"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 xml:space="preserve">Polymerization rate for M-24a was higher than M-24e in </w:t>
            </w:r>
            <w:r w:rsidRPr="006D631C">
              <w:rPr>
                <w:rFonts w:eastAsia="Times New Roman" w:cs="Times New Roman"/>
                <w:color w:val="000000"/>
                <w:sz w:val="12"/>
                <w:szCs w:val="12"/>
              </w:rPr>
              <w:t>H</w:t>
            </w:r>
            <w:r w:rsidRPr="006D631C">
              <w:rPr>
                <w:rFonts w:eastAsia="Times New Roman" w:cs="Times New Roman"/>
                <w:color w:val="000000"/>
                <w:sz w:val="12"/>
                <w:szCs w:val="12"/>
                <w:vertAlign w:val="subscript"/>
              </w:rPr>
              <w:t>1</w:t>
            </w:r>
            <w:r w:rsidRPr="006D631C">
              <w:rPr>
                <w:rFonts w:eastAsia="Times New Roman" w:cs="Times New Roman"/>
                <w:sz w:val="12"/>
                <w:szCs w:val="12"/>
              </w:rPr>
              <w:t xml:space="preserve"> structure</w:t>
            </w:r>
          </w:p>
        </w:tc>
        <w:tc>
          <w:tcPr>
            <w:tcW w:w="566" w:type="dxa"/>
            <w:tcBorders>
              <w:top w:val="nil"/>
              <w:left w:val="nil"/>
              <w:bottom w:val="single" w:sz="4" w:space="0" w:color="auto"/>
              <w:right w:val="nil"/>
            </w:tcBorders>
            <w:shd w:val="clear" w:color="000000" w:fill="FFFFFF"/>
            <w:vAlign w:val="center"/>
          </w:tcPr>
          <w:p w14:paraId="2292E73A" w14:textId="4C874755" w:rsidR="0065515F" w:rsidRPr="006D631C" w:rsidRDefault="0065515F" w:rsidP="000B67AC">
            <w:pPr>
              <w:spacing w:line="240" w:lineRule="auto"/>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{"citationItems":[{"id":"ITEM-1","itemData":{"DOI":"10.1021/ma500823q","ISSN":"15205835","abstract":"Polymerization in lyotropic liquid crystalline (LLC) media is a promising method enabling synthesis of nanostructured organic polymers. To understand polymer structure development in LLC systems, this study investigates the polymerization of acrylate monomers of differing polarity and size within the hexagonal and lamellar phase of dodecyltrimethylammonium bromide and water. LLC structure, polymer morphology, and polymerization behavior were characterized to understand the connection between polymerization environment and formation of polymer structure. While the order of the template phase highly influences final polymer order, variations in monomer chemistry can lead to significantly different polymer structures even from the same liquid crystalline phase. More rapid polymerization, which leads to higher conversion and higher cross-link density of the relatively low molecular weight monomers, yields highly anisotropic polymer structure exhibiting alignment of 800 nm channels extending for lengths greater than 150 μm. Less ordered polymer structure results with analogous monomers of higher molecular weight. While polymer structure appears to result from a phase separation process in these systems, the structure directing influence of the liquid crystalline media is exhibited in several systems including the formation of highly oriented cylindrical structures with diameter of 200 nm from polymerization of poly(ethylene glycol) dimethacrylate in the hexagonal phase. Significant control of polymer structure has been demonstrated using LLC templates through proper selection of monomer chemistry, concentration, and LLC template structure. © 2014 American Chemical Society.","author":[{"dropping-particle":"","family":"Depierro","given":"Michael A.","non-dropping-particle":"","parse-names":false,"suffix":""},{"dropping-particle":"","family":"Guymon","given":"C. Allan","non-dropping-particle":"","parse-names":false,"suffix":""}],"container-title":"Macromolecules","id":"ITEM-1","issue":"16","issued":{"date-parts":[["2014"]]},"page":"5728-5738","title":"Polymer structure development in lyotropic liquid crystalline solutions","type":"article-journal","volume":"47"},"uris":["http://www.mendeley.com/documents/?uuid=2a98fefa-bbdd-4c03-b8d7-c79fe8179be3"]}],"mendeley":{"formattedCitation":"&lt;sup&gt;168&lt;/sup&gt;","plainTextFormattedCitation":"168","previouslyFormattedCitation":"&lt;sup&gt;168&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168</w:t>
            </w:r>
            <w:r w:rsidRPr="006D631C">
              <w:rPr>
                <w:sz w:val="12"/>
                <w:szCs w:val="12"/>
              </w:rPr>
              <w:fldChar w:fldCharType="end"/>
            </w:r>
          </w:p>
        </w:tc>
      </w:tr>
      <w:tr w:rsidR="0065515F" w:rsidRPr="006D631C" w14:paraId="7EA8AD29" w14:textId="77777777" w:rsidTr="0035691D">
        <w:trPr>
          <w:trHeight w:val="20"/>
        </w:trPr>
        <w:tc>
          <w:tcPr>
            <w:tcW w:w="851" w:type="dxa"/>
            <w:vMerge/>
            <w:tcBorders>
              <w:left w:val="nil"/>
              <w:right w:val="nil"/>
            </w:tcBorders>
            <w:shd w:val="clear" w:color="000000" w:fill="FFFFFF"/>
            <w:vAlign w:val="center"/>
          </w:tcPr>
          <w:p w14:paraId="59B6A01D" w14:textId="77777777" w:rsidR="0065515F" w:rsidRPr="006D631C" w:rsidRDefault="0065515F" w:rsidP="0065515F">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4E294EB4" w14:textId="31CADBA7" w:rsidR="0065515F" w:rsidRPr="006D631C" w:rsidRDefault="0065515F" w:rsidP="0065515F">
            <w:pPr>
              <w:spacing w:line="240" w:lineRule="auto"/>
              <w:jc w:val="left"/>
              <w:rPr>
                <w:color w:val="000000"/>
                <w:sz w:val="12"/>
                <w:szCs w:val="12"/>
              </w:rPr>
            </w:pPr>
            <w:r w:rsidRPr="006D631C">
              <w:rPr>
                <w:sz w:val="12"/>
                <w:szCs w:val="12"/>
              </w:rPr>
              <w:t>A-9</w:t>
            </w:r>
          </w:p>
        </w:tc>
        <w:tc>
          <w:tcPr>
            <w:tcW w:w="567" w:type="dxa"/>
            <w:tcBorders>
              <w:top w:val="nil"/>
              <w:left w:val="nil"/>
              <w:bottom w:val="single" w:sz="4" w:space="0" w:color="auto"/>
              <w:right w:val="nil"/>
            </w:tcBorders>
            <w:shd w:val="clear" w:color="000000" w:fill="FFFFFF"/>
            <w:vAlign w:val="center"/>
          </w:tcPr>
          <w:p w14:paraId="21BD24E3" w14:textId="4E595CED" w:rsidR="0065515F" w:rsidRPr="006D631C" w:rsidRDefault="0065515F" w:rsidP="0065515F">
            <w:pPr>
              <w:spacing w:line="240" w:lineRule="auto"/>
              <w:jc w:val="left"/>
              <w:rPr>
                <w:color w:val="000000"/>
                <w:sz w:val="12"/>
                <w:szCs w:val="12"/>
              </w:rPr>
            </w:pPr>
            <w:r w:rsidRPr="006D631C">
              <w:rPr>
                <w:sz w:val="12"/>
                <w:szCs w:val="12"/>
              </w:rPr>
              <w:t>-</w:t>
            </w:r>
          </w:p>
        </w:tc>
        <w:tc>
          <w:tcPr>
            <w:tcW w:w="709" w:type="dxa"/>
            <w:tcBorders>
              <w:top w:val="nil"/>
              <w:left w:val="nil"/>
              <w:bottom w:val="single" w:sz="4" w:space="0" w:color="auto"/>
              <w:right w:val="nil"/>
            </w:tcBorders>
            <w:shd w:val="clear" w:color="000000" w:fill="FFFFFF"/>
            <w:vAlign w:val="center"/>
          </w:tcPr>
          <w:p w14:paraId="703CD59B" w14:textId="554EBFF8" w:rsidR="0065515F" w:rsidRPr="006D631C" w:rsidRDefault="0065515F" w:rsidP="0065515F">
            <w:pPr>
              <w:spacing w:line="240" w:lineRule="auto"/>
              <w:jc w:val="left"/>
              <w:rPr>
                <w:color w:val="000000"/>
                <w:sz w:val="12"/>
                <w:szCs w:val="12"/>
              </w:rPr>
            </w:pPr>
            <w:r w:rsidRPr="006D631C">
              <w:rPr>
                <w:sz w:val="12"/>
                <w:szCs w:val="12"/>
              </w:rPr>
              <w:t>I-1</w:t>
            </w:r>
          </w:p>
        </w:tc>
        <w:tc>
          <w:tcPr>
            <w:tcW w:w="1134" w:type="dxa"/>
            <w:tcBorders>
              <w:top w:val="nil"/>
              <w:left w:val="nil"/>
              <w:bottom w:val="single" w:sz="4" w:space="0" w:color="auto"/>
              <w:right w:val="nil"/>
            </w:tcBorders>
            <w:shd w:val="clear" w:color="000000" w:fill="FFFFFF"/>
            <w:vAlign w:val="center"/>
          </w:tcPr>
          <w:p w14:paraId="68DB7D8A" w14:textId="6D630905" w:rsidR="0065515F" w:rsidRPr="006D631C" w:rsidRDefault="0065515F" w:rsidP="0065515F">
            <w:pPr>
              <w:spacing w:line="240" w:lineRule="auto"/>
              <w:jc w:val="left"/>
              <w:rPr>
                <w:color w:val="000000"/>
                <w:sz w:val="12"/>
                <w:szCs w:val="12"/>
              </w:rPr>
            </w:pPr>
            <w:r w:rsidRPr="006D631C">
              <w:rPr>
                <w:sz w:val="12"/>
                <w:szCs w:val="12"/>
              </w:rPr>
              <w:t>83.3 / 9.34 (Q</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476BF611" w14:textId="327BA7C5" w:rsidR="0065515F" w:rsidRPr="006D631C" w:rsidRDefault="0065515F" w:rsidP="0065515F">
            <w:pPr>
              <w:spacing w:line="240" w:lineRule="auto"/>
              <w:jc w:val="left"/>
              <w:rPr>
                <w:color w:val="000000"/>
                <w:sz w:val="12"/>
                <w:szCs w:val="12"/>
              </w:rPr>
            </w:pPr>
            <w:r w:rsidRPr="006D631C">
              <w:rPr>
                <w:sz w:val="12"/>
                <w:szCs w:val="12"/>
              </w:rPr>
              <w:t>Formation of HPL structure</w:t>
            </w:r>
          </w:p>
        </w:tc>
        <w:tc>
          <w:tcPr>
            <w:tcW w:w="993" w:type="dxa"/>
            <w:tcBorders>
              <w:top w:val="nil"/>
              <w:left w:val="nil"/>
              <w:bottom w:val="single" w:sz="4" w:space="0" w:color="auto"/>
              <w:right w:val="nil"/>
            </w:tcBorders>
            <w:shd w:val="clear" w:color="000000" w:fill="FFFFFF"/>
            <w:noWrap/>
            <w:vAlign w:val="center"/>
          </w:tcPr>
          <w:p w14:paraId="13CBC956" w14:textId="20451733" w:rsidR="0065515F" w:rsidRPr="006D631C" w:rsidRDefault="0065515F" w:rsidP="0065515F">
            <w:pPr>
              <w:spacing w:line="240" w:lineRule="auto"/>
              <w:jc w:val="left"/>
              <w:rPr>
                <w:color w:val="000000"/>
                <w:sz w:val="12"/>
                <w:szCs w:val="12"/>
              </w:rPr>
            </w:pP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0BF7B5F2" w14:textId="1597C66A" w:rsidR="0065515F" w:rsidRPr="006D631C" w:rsidRDefault="0065515F" w:rsidP="0065515F">
            <w:pPr>
              <w:spacing w:line="240" w:lineRule="auto"/>
              <w:jc w:val="left"/>
              <w:rPr>
                <w:color w:val="000000"/>
                <w:sz w:val="12"/>
                <w:szCs w:val="12"/>
              </w:rPr>
            </w:pPr>
            <w:r w:rsidRPr="006D631C">
              <w:rPr>
                <w:sz w:val="12"/>
                <w:szCs w:val="12"/>
              </w:rPr>
              <w:t>-</w:t>
            </w:r>
          </w:p>
        </w:tc>
        <w:tc>
          <w:tcPr>
            <w:tcW w:w="5103" w:type="dxa"/>
            <w:tcBorders>
              <w:top w:val="nil"/>
              <w:left w:val="nil"/>
              <w:bottom w:val="single" w:sz="4" w:space="0" w:color="auto"/>
              <w:right w:val="nil"/>
            </w:tcBorders>
            <w:shd w:val="clear" w:color="000000" w:fill="FFFFFF"/>
            <w:noWrap/>
            <w:vAlign w:val="center"/>
          </w:tcPr>
          <w:p w14:paraId="792323C0" w14:textId="77777777"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sz w:val="12"/>
                <w:szCs w:val="12"/>
              </w:rPr>
              <w:t>M-24b was used in this study</w:t>
            </w:r>
          </w:p>
          <w:p w14:paraId="39073B00" w14:textId="77777777"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sz w:val="12"/>
                <w:szCs w:val="12"/>
              </w:rPr>
              <w:t xml:space="preserve">Due to the absence of a dense cross-linked network, almost 80% of ionic liquid </w:t>
            </w:r>
            <w:proofErr w:type="spellStart"/>
            <w:r w:rsidRPr="006D631C">
              <w:rPr>
                <w:sz w:val="12"/>
                <w:szCs w:val="12"/>
              </w:rPr>
              <w:t>amphiphile</w:t>
            </w:r>
            <w:proofErr w:type="spellEnd"/>
            <w:r w:rsidRPr="006D631C">
              <w:rPr>
                <w:sz w:val="12"/>
                <w:szCs w:val="12"/>
              </w:rPr>
              <w:t xml:space="preserve"> washed off with ethanol</w:t>
            </w:r>
          </w:p>
          <w:p w14:paraId="390BC641" w14:textId="7E500DEF" w:rsidR="0065515F" w:rsidRPr="006D631C" w:rsidRDefault="0065515F" w:rsidP="0065515F">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 xml:space="preserve">Relatively low </w:t>
            </w:r>
            <w:proofErr w:type="spellStart"/>
            <w:r w:rsidRPr="006D631C">
              <w:rPr>
                <w:rFonts w:eastAsia="Times New Roman" w:cs="Times New Roman"/>
                <w:sz w:val="12"/>
                <w:szCs w:val="12"/>
              </w:rPr>
              <w:t>Tg</w:t>
            </w:r>
            <w:proofErr w:type="spellEnd"/>
            <w:r w:rsidRPr="006D631C">
              <w:rPr>
                <w:rFonts w:eastAsia="Times New Roman" w:cs="Times New Roman"/>
                <w:sz w:val="12"/>
                <w:szCs w:val="12"/>
              </w:rPr>
              <w:t>, high thermal stability, and high resistance toward swelling in organic solvents and water were the important features of the product</w:t>
            </w:r>
          </w:p>
        </w:tc>
        <w:tc>
          <w:tcPr>
            <w:tcW w:w="566" w:type="dxa"/>
            <w:tcBorders>
              <w:top w:val="nil"/>
              <w:left w:val="nil"/>
              <w:bottom w:val="single" w:sz="4" w:space="0" w:color="auto"/>
              <w:right w:val="nil"/>
            </w:tcBorders>
            <w:shd w:val="clear" w:color="000000" w:fill="FFFFFF"/>
            <w:vAlign w:val="center"/>
          </w:tcPr>
          <w:p w14:paraId="13C16E14" w14:textId="2F529F2C" w:rsidR="0065515F" w:rsidRPr="006D631C" w:rsidRDefault="0065515F" w:rsidP="002E14E4">
            <w:pPr>
              <w:spacing w:line="240" w:lineRule="auto"/>
              <w:jc w:val="left"/>
              <w:rPr>
                <w:color w:val="000000"/>
                <w:sz w:val="12"/>
                <w:szCs w:val="12"/>
              </w:rPr>
            </w:pPr>
            <w:r w:rsidRPr="006D631C">
              <w:rPr>
                <w:sz w:val="12"/>
                <w:szCs w:val="12"/>
              </w:rPr>
              <w:fldChar w:fldCharType="begin" w:fldLock="1"/>
            </w:r>
            <w:r w:rsidR="005C60C1" w:rsidRPr="006D631C">
              <w:rPr>
                <w:sz w:val="12"/>
                <w:szCs w:val="12"/>
              </w:rPr>
              <w:instrText>ADDIN CSL_CITATION {"citationItems":[{"id":"ITEM-1","itemData":{"DOI":"10.1021/ma900905k","ISSN":"0024-9297","abstract":"Preparation and photopolymerization of a decylmethylimidazolium ionic liquid (IL) that possesses an acrylate counteranion are described. This IL monomer self-assembles upon addition of water and can be copolymerized with poly(ethylene glycol) diacrylate (PEGDA) in the presence of a photoinitiator, forming a mechanically durable material that adopts a lamellar structure with in-plane hexagonally ordered pores, as evidenced by small-angle X-ray scattering (SAXS). Thermogravimetric analysis, the extent of polymerization, and solubility-swelling studies indicate the formation of a network copolymer of the IL monomer and the PEGDA. Additional evidence for the formation of a nanostructured copolymer is provided by evaluating the product formed by replacement of the IL monomer with the nonpolymerizable analogue, decylmethylimidazolium chloride. The results demonstrate the possibility of designing a self-assembled amiphiphilic bilayer architecture that is reinforced by polymerization and cross-linking. © 2009 American Chemical Society.","author":[{"dropping-particle":"","family":"Grubjesic","given":"Simonida","non-dropping-particle":"","parse-names":false,"suffix":""},{"dropping-particle":"","family":"Seifert","given":"Sönke","non-dropping-particle":"","parse-names":false,"suffix":""},{"dropping-particle":"","family":"Firestone","given":"Millicent A.","non-dropping-particle":"","parse-names":false,"suffix":""}],"container-title":"Macromolecules","id":"ITEM-1","issue":"15","issued":{"date-parts":[["2009","8","11"]]},"page":"5461-5470","title":"Cytoskeleton Mimetic Reinforcement of a Self-Assembled N,N ′-Dialkylimidazolium Ionic Liquid Monomer by Copolymerization","type":"article-journal","volume":"42"},"uris":["http://www.mendeley.com/documents/?uuid=0c05cc39-4d14-4423-86a9-10540979c3c5"]}],"mendeley":{"formattedCitation":"&lt;sup&gt;88&lt;/sup&gt;","plainTextFormattedCitation":"88","previouslyFormattedCitation":"&lt;sup&gt;88&lt;/sup&gt;"},"properties":{"noteIndex":0},"schema":"https://github.com/citation-style-language/schema/raw/master/csl-citation.json"}</w:instrText>
            </w:r>
            <w:r w:rsidRPr="006D631C">
              <w:rPr>
                <w:sz w:val="12"/>
                <w:szCs w:val="12"/>
              </w:rPr>
              <w:fldChar w:fldCharType="separate"/>
            </w:r>
            <w:r w:rsidR="002E14E4" w:rsidRPr="006D631C">
              <w:rPr>
                <w:noProof/>
                <w:sz w:val="12"/>
                <w:szCs w:val="12"/>
                <w:vertAlign w:val="superscript"/>
              </w:rPr>
              <w:t>88</w:t>
            </w:r>
            <w:r w:rsidRPr="006D631C">
              <w:rPr>
                <w:sz w:val="12"/>
                <w:szCs w:val="12"/>
              </w:rPr>
              <w:fldChar w:fldCharType="end"/>
            </w:r>
          </w:p>
        </w:tc>
      </w:tr>
      <w:tr w:rsidR="0065515F" w:rsidRPr="006D631C" w14:paraId="2912FCDA" w14:textId="77777777" w:rsidTr="0035691D">
        <w:trPr>
          <w:trHeight w:val="20"/>
        </w:trPr>
        <w:tc>
          <w:tcPr>
            <w:tcW w:w="851" w:type="dxa"/>
            <w:vMerge/>
            <w:tcBorders>
              <w:left w:val="nil"/>
              <w:bottom w:val="single" w:sz="4" w:space="0" w:color="auto"/>
              <w:right w:val="nil"/>
            </w:tcBorders>
            <w:shd w:val="clear" w:color="000000" w:fill="FFFFFF"/>
            <w:vAlign w:val="center"/>
          </w:tcPr>
          <w:p w14:paraId="078C87C8" w14:textId="77777777" w:rsidR="0065515F" w:rsidRPr="006D631C" w:rsidRDefault="0065515F" w:rsidP="0065515F">
            <w:pPr>
              <w:spacing w:line="240" w:lineRule="auto"/>
              <w:jc w:val="left"/>
              <w:rPr>
                <w:color w:val="000000"/>
                <w:sz w:val="12"/>
                <w:szCs w:val="12"/>
              </w:rPr>
            </w:pPr>
          </w:p>
        </w:tc>
        <w:tc>
          <w:tcPr>
            <w:tcW w:w="12048" w:type="dxa"/>
            <w:gridSpan w:val="9"/>
            <w:tcBorders>
              <w:top w:val="nil"/>
              <w:left w:val="nil"/>
              <w:bottom w:val="single" w:sz="4" w:space="0" w:color="auto"/>
              <w:right w:val="nil"/>
            </w:tcBorders>
            <w:shd w:val="clear" w:color="000000" w:fill="FFFFFF"/>
            <w:noWrap/>
            <w:vAlign w:val="center"/>
          </w:tcPr>
          <w:p w14:paraId="7AE472BF" w14:textId="2A33CA79" w:rsidR="0065515F" w:rsidRPr="006D631C" w:rsidRDefault="0065515F" w:rsidP="0065515F">
            <w:pPr>
              <w:spacing w:line="240" w:lineRule="auto"/>
              <w:jc w:val="left"/>
              <w:rPr>
                <w:color w:val="000000"/>
                <w:sz w:val="12"/>
                <w:szCs w:val="12"/>
              </w:rPr>
            </w:pPr>
            <w:r w:rsidRPr="006D631C">
              <w:rPr>
                <w:color w:val="000000"/>
                <w:sz w:val="12"/>
                <w:szCs w:val="12"/>
              </w:rPr>
              <w:t>This monomer was also discussed in M-20 section</w:t>
            </w:r>
          </w:p>
        </w:tc>
      </w:tr>
      <w:tr w:rsidR="004A128A" w:rsidRPr="006D631C" w14:paraId="35A9B118" w14:textId="77777777" w:rsidTr="0035691D">
        <w:trPr>
          <w:trHeight w:val="20"/>
        </w:trPr>
        <w:tc>
          <w:tcPr>
            <w:tcW w:w="851" w:type="dxa"/>
            <w:tcBorders>
              <w:top w:val="nil"/>
              <w:left w:val="nil"/>
              <w:bottom w:val="single" w:sz="4" w:space="0" w:color="auto"/>
              <w:right w:val="nil"/>
            </w:tcBorders>
            <w:shd w:val="clear" w:color="000000" w:fill="FFFFFF"/>
            <w:vAlign w:val="center"/>
          </w:tcPr>
          <w:p w14:paraId="4D6366A4" w14:textId="50E56329" w:rsidR="004A128A" w:rsidRPr="006D631C" w:rsidRDefault="004A128A" w:rsidP="004A128A">
            <w:pPr>
              <w:spacing w:line="240" w:lineRule="auto"/>
              <w:jc w:val="left"/>
              <w:rPr>
                <w:color w:val="000000"/>
                <w:sz w:val="12"/>
                <w:szCs w:val="12"/>
              </w:rPr>
            </w:pPr>
            <w:r w:rsidRPr="006D631C">
              <w:rPr>
                <w:sz w:val="10"/>
                <w:szCs w:val="10"/>
              </w:rPr>
              <w:t>M-25</w:t>
            </w:r>
          </w:p>
        </w:tc>
        <w:tc>
          <w:tcPr>
            <w:tcW w:w="850" w:type="dxa"/>
            <w:tcBorders>
              <w:top w:val="nil"/>
              <w:left w:val="nil"/>
              <w:bottom w:val="single" w:sz="4" w:space="0" w:color="auto"/>
              <w:right w:val="nil"/>
            </w:tcBorders>
            <w:shd w:val="clear" w:color="000000" w:fill="FFFFFF"/>
            <w:noWrap/>
            <w:vAlign w:val="center"/>
          </w:tcPr>
          <w:p w14:paraId="79658A1A" w14:textId="0B1A08EB" w:rsidR="004A128A" w:rsidRPr="006D631C" w:rsidRDefault="004A128A" w:rsidP="004A128A">
            <w:pPr>
              <w:spacing w:line="240" w:lineRule="auto"/>
              <w:jc w:val="left"/>
              <w:rPr>
                <w:color w:val="000000"/>
                <w:sz w:val="12"/>
                <w:szCs w:val="12"/>
              </w:rPr>
            </w:pPr>
            <w:r w:rsidRPr="006D631C">
              <w:rPr>
                <w:sz w:val="10"/>
                <w:szCs w:val="10"/>
              </w:rPr>
              <w:t>A-14</w:t>
            </w:r>
          </w:p>
        </w:tc>
        <w:tc>
          <w:tcPr>
            <w:tcW w:w="567" w:type="dxa"/>
            <w:tcBorders>
              <w:top w:val="nil"/>
              <w:left w:val="nil"/>
              <w:bottom w:val="single" w:sz="4" w:space="0" w:color="auto"/>
              <w:right w:val="nil"/>
            </w:tcBorders>
            <w:shd w:val="clear" w:color="000000" w:fill="FFFFFF"/>
            <w:vAlign w:val="center"/>
          </w:tcPr>
          <w:p w14:paraId="476FFBA9" w14:textId="00D4DDDE" w:rsidR="004A128A" w:rsidRPr="006D631C" w:rsidRDefault="004A128A" w:rsidP="004A128A">
            <w:pPr>
              <w:spacing w:line="240" w:lineRule="auto"/>
              <w:jc w:val="left"/>
              <w:rPr>
                <w:color w:val="000000"/>
                <w:sz w:val="12"/>
                <w:szCs w:val="12"/>
              </w:rPr>
            </w:pPr>
            <w:r w:rsidRPr="006D631C">
              <w:rPr>
                <w:sz w:val="10"/>
                <w:szCs w:val="10"/>
              </w:rPr>
              <w:t>-</w:t>
            </w:r>
          </w:p>
        </w:tc>
        <w:tc>
          <w:tcPr>
            <w:tcW w:w="709" w:type="dxa"/>
            <w:tcBorders>
              <w:top w:val="nil"/>
              <w:left w:val="nil"/>
              <w:bottom w:val="single" w:sz="4" w:space="0" w:color="auto"/>
              <w:right w:val="nil"/>
            </w:tcBorders>
            <w:shd w:val="clear" w:color="000000" w:fill="FFFFFF"/>
            <w:vAlign w:val="center"/>
          </w:tcPr>
          <w:p w14:paraId="2E1651BF" w14:textId="01502D7F" w:rsidR="004A128A" w:rsidRPr="006D631C" w:rsidRDefault="004A128A" w:rsidP="004A128A">
            <w:pPr>
              <w:spacing w:line="240" w:lineRule="auto"/>
              <w:jc w:val="left"/>
              <w:rPr>
                <w:color w:val="000000"/>
                <w:sz w:val="12"/>
                <w:szCs w:val="12"/>
              </w:rPr>
            </w:pPr>
            <w:r w:rsidRPr="006D631C">
              <w:rPr>
                <w:sz w:val="10"/>
                <w:szCs w:val="10"/>
              </w:rPr>
              <w:t>I-9</w:t>
            </w:r>
          </w:p>
        </w:tc>
        <w:tc>
          <w:tcPr>
            <w:tcW w:w="1134" w:type="dxa"/>
            <w:tcBorders>
              <w:top w:val="nil"/>
              <w:left w:val="nil"/>
              <w:bottom w:val="single" w:sz="4" w:space="0" w:color="auto"/>
              <w:right w:val="nil"/>
            </w:tcBorders>
            <w:shd w:val="clear" w:color="000000" w:fill="FFFFFF"/>
            <w:vAlign w:val="center"/>
          </w:tcPr>
          <w:p w14:paraId="294ACD93" w14:textId="6C18F43F" w:rsidR="004A128A" w:rsidRPr="006D631C" w:rsidRDefault="004A128A" w:rsidP="004A128A">
            <w:pPr>
              <w:spacing w:line="240" w:lineRule="auto"/>
              <w:jc w:val="left"/>
              <w:rPr>
                <w:color w:val="000000"/>
                <w:sz w:val="12"/>
                <w:szCs w:val="12"/>
              </w:rPr>
            </w:pPr>
            <w:r w:rsidRPr="006D631C">
              <w:rPr>
                <w:sz w:val="12"/>
                <w:szCs w:val="12"/>
              </w:rPr>
              <w:t>45 / 40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35BD5B4B" w14:textId="26D42EB1" w:rsidR="004A128A" w:rsidRPr="006D631C" w:rsidRDefault="004A128A" w:rsidP="004A128A">
            <w:pPr>
              <w:spacing w:line="240" w:lineRule="auto"/>
              <w:jc w:val="left"/>
              <w:rPr>
                <w:color w:val="000000"/>
                <w:sz w:val="12"/>
                <w:szCs w:val="12"/>
              </w:rPr>
            </w:pPr>
            <w:r w:rsidRPr="006D631C">
              <w:rPr>
                <w:sz w:val="12"/>
                <w:szCs w:val="12"/>
              </w:rPr>
              <w:t>Retention of the structure after surfactant removal</w:t>
            </w:r>
          </w:p>
        </w:tc>
        <w:tc>
          <w:tcPr>
            <w:tcW w:w="993" w:type="dxa"/>
            <w:tcBorders>
              <w:top w:val="nil"/>
              <w:left w:val="nil"/>
              <w:bottom w:val="single" w:sz="4" w:space="0" w:color="auto"/>
              <w:right w:val="nil"/>
            </w:tcBorders>
            <w:shd w:val="clear" w:color="000000" w:fill="FFFFFF"/>
            <w:noWrap/>
            <w:vAlign w:val="center"/>
          </w:tcPr>
          <w:p w14:paraId="3C640C63" w14:textId="351003A2" w:rsidR="004A128A" w:rsidRPr="006D631C" w:rsidRDefault="004A128A" w:rsidP="004A128A">
            <w:pPr>
              <w:spacing w:line="240" w:lineRule="auto"/>
              <w:jc w:val="left"/>
              <w:rPr>
                <w:color w:val="000000"/>
                <w:sz w:val="12"/>
                <w:szCs w:val="12"/>
              </w:rPr>
            </w:pP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653BF805" w14:textId="426834B2" w:rsidR="004A128A" w:rsidRPr="006D631C" w:rsidRDefault="004A128A" w:rsidP="004A128A">
            <w:pPr>
              <w:spacing w:line="240" w:lineRule="auto"/>
              <w:jc w:val="left"/>
              <w:rPr>
                <w:color w:val="000000"/>
                <w:sz w:val="12"/>
                <w:szCs w:val="12"/>
              </w:rPr>
            </w:pPr>
            <w:r w:rsidRPr="006D631C">
              <w:rPr>
                <w:sz w:val="12"/>
                <w:szCs w:val="12"/>
              </w:rPr>
              <w:t>-</w:t>
            </w:r>
          </w:p>
        </w:tc>
        <w:tc>
          <w:tcPr>
            <w:tcW w:w="5103" w:type="dxa"/>
            <w:tcBorders>
              <w:top w:val="nil"/>
              <w:left w:val="nil"/>
              <w:bottom w:val="single" w:sz="4" w:space="0" w:color="auto"/>
              <w:right w:val="nil"/>
            </w:tcBorders>
            <w:shd w:val="clear" w:color="000000" w:fill="FFFFFF"/>
            <w:noWrap/>
            <w:vAlign w:val="center"/>
          </w:tcPr>
          <w:p w14:paraId="6B13A0EE" w14:textId="77777777" w:rsidR="004A128A" w:rsidRPr="006D631C" w:rsidRDefault="004A128A" w:rsidP="004A128A">
            <w:pPr>
              <w:pStyle w:val="ListParagraph"/>
              <w:numPr>
                <w:ilvl w:val="0"/>
                <w:numId w:val="11"/>
              </w:numPr>
              <w:spacing w:after="0" w:line="240" w:lineRule="auto"/>
              <w:ind w:left="176" w:hanging="142"/>
              <w:jc w:val="left"/>
              <w:rPr>
                <w:color w:val="000000"/>
                <w:sz w:val="12"/>
                <w:szCs w:val="12"/>
              </w:rPr>
            </w:pPr>
            <w:r w:rsidRPr="006D631C">
              <w:rPr>
                <w:sz w:val="12"/>
                <w:szCs w:val="12"/>
              </w:rPr>
              <w:t>The immiscible polymers of hydrophilic M-27a and hydrophobic M-25 was blended through LLC templating</w:t>
            </w:r>
          </w:p>
          <w:p w14:paraId="48A6D1A6" w14:textId="5A48377C" w:rsidR="004A128A" w:rsidRPr="006D631C" w:rsidRDefault="004A128A" w:rsidP="004A128A">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 xml:space="preserve">Linear decrease of water uptake and linear increase of compressive  modulus and </w:t>
            </w:r>
            <w:proofErr w:type="spellStart"/>
            <w:r w:rsidRPr="006D631C">
              <w:rPr>
                <w:rFonts w:eastAsia="Times New Roman" w:cs="Times New Roman"/>
                <w:sz w:val="12"/>
                <w:szCs w:val="12"/>
              </w:rPr>
              <w:t>Tg</w:t>
            </w:r>
            <w:proofErr w:type="spellEnd"/>
            <w:r w:rsidRPr="006D631C">
              <w:rPr>
                <w:rFonts w:eastAsia="Times New Roman" w:cs="Times New Roman"/>
                <w:sz w:val="12"/>
                <w:szCs w:val="12"/>
              </w:rPr>
              <w:t xml:space="preserve"> with an increase in M-25 content approved the compatibility of two polymers via LLC templating</w:t>
            </w:r>
          </w:p>
        </w:tc>
        <w:tc>
          <w:tcPr>
            <w:tcW w:w="566" w:type="dxa"/>
            <w:tcBorders>
              <w:top w:val="nil"/>
              <w:left w:val="nil"/>
              <w:bottom w:val="single" w:sz="4" w:space="0" w:color="auto"/>
              <w:right w:val="nil"/>
            </w:tcBorders>
            <w:shd w:val="clear" w:color="000000" w:fill="FFFFFF"/>
            <w:vAlign w:val="center"/>
          </w:tcPr>
          <w:p w14:paraId="42C5B47B" w14:textId="6FC76C55" w:rsidR="004A128A" w:rsidRPr="006D631C" w:rsidRDefault="004A128A" w:rsidP="000B67AC">
            <w:pPr>
              <w:spacing w:line="240" w:lineRule="auto"/>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{"citationItems":[{"id":"ITEM-1","itemData":{"DOI":"10.1021/ma071070u","ISSN":"00249297","abstract":"In tissue engineering applications the physical properties and degradation behavior of the designed synthetic scaffold are crucial for successful growth and function of desired tissue. Combining two or more biodegradable polymers into a single biomaterial composite may provide a pathway toward achieving new and highly tailorable biomaterial properties by taking advantage of the distinct properties from each blend component. In this work, a nanostructured lyotropic liquid crystal (LLC) was used to induce irascibility between blends of two immiscible biodegradable polymer systems, leading to the formation of a compatible composite with advanced properties. The physical properties and degradative behavior of biomaterials made from formulations of PLA-b-PEG-b-PLA dimethacrylate, caprolactone dimethacrylate, and ethyloxy succinate dimethacrylate were directly controlled using the composition of each material, demonstrating that a high degree of compatibility can be attained from immiscible biopolymer systems using the LLC polymerization template. Specifically, by initially confining the immiscible monomers into the nanometer scale domains of the liquid crystal, composite materials were formed upon cross-linking that demonstrated IPN-type behavior with linear or additive contributions from each biopolymer constituent. The use of a nanostructured LLC to compatibilize immiscible biodegradable monomers represents a significant advancement in the formation of cross-linked biocomposites with highly tailorable properties for tissue engineering applications. © 2007 American Chemical Society.","author":[{"dropping-particle":"","family":"Clapper","given":"Jason D.","non-dropping-particle":"","parse-names":false,"suffix":""},{"dropping-particle":"","family":"Guymon","given":"C. Allan","non-dropping-particle":"","parse-names":false,"suffix":""}],"container-title":"Macromolecules","id":"ITEM-1","issue":"22","issued":{"date-parts":[["2007","10"]]},"page":"7951-7959","title":"Nanostructured biodegradable polymer composites generated using lyotropic liquid crystalline media","type":"article-journal","volume":"40"},"uris":["http://www.mendeley.com/documents/?uuid=57d76004-16a6-4d00-9785-7e68940afd25"]}],"mendeley":{"formattedCitation":"&lt;sup&gt;149&lt;/sup&gt;","plainTextFormattedCitation":"149","previouslyFormattedCitation":"&lt;sup&gt;149&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149</w:t>
            </w:r>
            <w:r w:rsidRPr="006D631C">
              <w:rPr>
                <w:sz w:val="12"/>
                <w:szCs w:val="12"/>
              </w:rPr>
              <w:fldChar w:fldCharType="end"/>
            </w:r>
          </w:p>
        </w:tc>
      </w:tr>
      <w:tr w:rsidR="004A128A" w:rsidRPr="006D631C" w14:paraId="237556C4" w14:textId="77777777" w:rsidTr="0035691D">
        <w:trPr>
          <w:trHeight w:val="20"/>
        </w:trPr>
        <w:tc>
          <w:tcPr>
            <w:tcW w:w="851" w:type="dxa"/>
            <w:tcBorders>
              <w:top w:val="nil"/>
              <w:left w:val="nil"/>
              <w:bottom w:val="single" w:sz="4" w:space="0" w:color="auto"/>
              <w:right w:val="nil"/>
            </w:tcBorders>
            <w:shd w:val="clear" w:color="000000" w:fill="FFFFFF"/>
            <w:vAlign w:val="center"/>
          </w:tcPr>
          <w:p w14:paraId="64D125A9" w14:textId="7BEE1C2E" w:rsidR="004A128A" w:rsidRPr="006D631C" w:rsidRDefault="004A128A" w:rsidP="004A128A">
            <w:pPr>
              <w:spacing w:line="240" w:lineRule="auto"/>
              <w:jc w:val="left"/>
              <w:rPr>
                <w:color w:val="000000"/>
                <w:sz w:val="12"/>
                <w:szCs w:val="12"/>
              </w:rPr>
            </w:pPr>
            <w:r w:rsidRPr="006D631C">
              <w:rPr>
                <w:sz w:val="10"/>
                <w:szCs w:val="10"/>
              </w:rPr>
              <w:t>M-26</w:t>
            </w:r>
          </w:p>
        </w:tc>
        <w:tc>
          <w:tcPr>
            <w:tcW w:w="850" w:type="dxa"/>
            <w:tcBorders>
              <w:top w:val="nil"/>
              <w:left w:val="nil"/>
              <w:bottom w:val="single" w:sz="4" w:space="0" w:color="auto"/>
              <w:right w:val="nil"/>
            </w:tcBorders>
            <w:shd w:val="clear" w:color="000000" w:fill="FFFFFF"/>
            <w:noWrap/>
            <w:vAlign w:val="center"/>
          </w:tcPr>
          <w:p w14:paraId="469EB264" w14:textId="78BBFB24" w:rsidR="004A128A" w:rsidRPr="006D631C" w:rsidRDefault="004A128A" w:rsidP="004A128A">
            <w:pPr>
              <w:spacing w:line="240" w:lineRule="auto"/>
              <w:jc w:val="left"/>
              <w:rPr>
                <w:color w:val="000000"/>
                <w:sz w:val="12"/>
                <w:szCs w:val="12"/>
              </w:rPr>
            </w:pPr>
            <w:r w:rsidRPr="006D631C">
              <w:rPr>
                <w:sz w:val="12"/>
                <w:szCs w:val="12"/>
              </w:rPr>
              <w:t>A-14</w:t>
            </w:r>
          </w:p>
        </w:tc>
        <w:tc>
          <w:tcPr>
            <w:tcW w:w="567" w:type="dxa"/>
            <w:tcBorders>
              <w:top w:val="nil"/>
              <w:left w:val="nil"/>
              <w:bottom w:val="single" w:sz="4" w:space="0" w:color="auto"/>
              <w:right w:val="nil"/>
            </w:tcBorders>
            <w:shd w:val="clear" w:color="000000" w:fill="FFFFFF"/>
            <w:vAlign w:val="center"/>
          </w:tcPr>
          <w:p w14:paraId="512E72AE" w14:textId="5E9E9148" w:rsidR="004A128A" w:rsidRPr="006D631C" w:rsidRDefault="004A128A" w:rsidP="004A128A">
            <w:pPr>
              <w:spacing w:line="240" w:lineRule="auto"/>
              <w:jc w:val="left"/>
              <w:rPr>
                <w:color w:val="000000"/>
                <w:sz w:val="12"/>
                <w:szCs w:val="12"/>
              </w:rPr>
            </w:pPr>
            <w:r w:rsidRPr="006D631C">
              <w:rPr>
                <w:sz w:val="12"/>
                <w:szCs w:val="12"/>
              </w:rPr>
              <w:t>-</w:t>
            </w:r>
          </w:p>
        </w:tc>
        <w:tc>
          <w:tcPr>
            <w:tcW w:w="709" w:type="dxa"/>
            <w:tcBorders>
              <w:top w:val="nil"/>
              <w:left w:val="nil"/>
              <w:bottom w:val="single" w:sz="4" w:space="0" w:color="auto"/>
              <w:right w:val="nil"/>
            </w:tcBorders>
            <w:shd w:val="clear" w:color="000000" w:fill="FFFFFF"/>
            <w:vAlign w:val="center"/>
          </w:tcPr>
          <w:p w14:paraId="7DF25A91" w14:textId="04386514" w:rsidR="004A128A" w:rsidRPr="006D631C" w:rsidRDefault="004A128A" w:rsidP="004A128A">
            <w:pPr>
              <w:spacing w:line="240" w:lineRule="auto"/>
              <w:jc w:val="left"/>
              <w:rPr>
                <w:color w:val="000000"/>
                <w:sz w:val="12"/>
                <w:szCs w:val="12"/>
              </w:rPr>
            </w:pPr>
            <w:r w:rsidRPr="006D631C">
              <w:rPr>
                <w:sz w:val="12"/>
                <w:szCs w:val="12"/>
              </w:rPr>
              <w:t>I-9</w:t>
            </w:r>
          </w:p>
        </w:tc>
        <w:tc>
          <w:tcPr>
            <w:tcW w:w="1134" w:type="dxa"/>
            <w:tcBorders>
              <w:top w:val="nil"/>
              <w:left w:val="nil"/>
              <w:bottom w:val="single" w:sz="4" w:space="0" w:color="auto"/>
              <w:right w:val="nil"/>
            </w:tcBorders>
            <w:shd w:val="clear" w:color="000000" w:fill="FFFFFF"/>
            <w:vAlign w:val="center"/>
          </w:tcPr>
          <w:p w14:paraId="55897951" w14:textId="49F1F0EC" w:rsidR="004A128A" w:rsidRPr="006D631C" w:rsidRDefault="004A128A" w:rsidP="004A128A">
            <w:pPr>
              <w:spacing w:line="240" w:lineRule="auto"/>
              <w:jc w:val="left"/>
              <w:rPr>
                <w:color w:val="000000"/>
                <w:sz w:val="12"/>
                <w:szCs w:val="12"/>
              </w:rPr>
            </w:pPr>
            <w:r w:rsidRPr="006D631C">
              <w:rPr>
                <w:sz w:val="12"/>
                <w:szCs w:val="12"/>
              </w:rPr>
              <w:t>40 / 40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15FFF005" w14:textId="32BA5826" w:rsidR="004A128A" w:rsidRPr="006D631C" w:rsidRDefault="004A128A" w:rsidP="004A128A">
            <w:pPr>
              <w:spacing w:line="240" w:lineRule="auto"/>
              <w:jc w:val="left"/>
              <w:rPr>
                <w:color w:val="000000"/>
                <w:sz w:val="12"/>
                <w:szCs w:val="12"/>
              </w:rPr>
            </w:pPr>
            <w:r w:rsidRPr="006D631C">
              <w:rPr>
                <w:sz w:val="12"/>
                <w:szCs w:val="12"/>
              </w:rPr>
              <w:t>Retention of the structure after surfactant removal</w:t>
            </w:r>
          </w:p>
        </w:tc>
        <w:tc>
          <w:tcPr>
            <w:tcW w:w="993" w:type="dxa"/>
            <w:tcBorders>
              <w:top w:val="nil"/>
              <w:left w:val="nil"/>
              <w:bottom w:val="single" w:sz="4" w:space="0" w:color="auto"/>
              <w:right w:val="nil"/>
            </w:tcBorders>
            <w:shd w:val="clear" w:color="000000" w:fill="FFFFFF"/>
            <w:noWrap/>
            <w:vAlign w:val="center"/>
          </w:tcPr>
          <w:p w14:paraId="16A7B042" w14:textId="31D46839" w:rsidR="004A128A" w:rsidRPr="006D631C" w:rsidRDefault="004A128A" w:rsidP="004A128A">
            <w:pPr>
              <w:spacing w:line="240" w:lineRule="auto"/>
              <w:jc w:val="left"/>
              <w:rPr>
                <w:color w:val="000000"/>
                <w:sz w:val="12"/>
                <w:szCs w:val="12"/>
              </w:rPr>
            </w:pP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3A218F8C" w14:textId="3CAF11F2" w:rsidR="004A128A" w:rsidRPr="006D631C" w:rsidRDefault="004A128A" w:rsidP="004A128A">
            <w:pPr>
              <w:spacing w:line="240" w:lineRule="auto"/>
              <w:jc w:val="left"/>
              <w:rPr>
                <w:color w:val="000000"/>
                <w:sz w:val="12"/>
                <w:szCs w:val="12"/>
              </w:rPr>
            </w:pPr>
            <w:r w:rsidRPr="006D631C">
              <w:rPr>
                <w:sz w:val="12"/>
                <w:szCs w:val="12"/>
              </w:rPr>
              <w:t>-</w:t>
            </w:r>
          </w:p>
        </w:tc>
        <w:tc>
          <w:tcPr>
            <w:tcW w:w="5103" w:type="dxa"/>
            <w:tcBorders>
              <w:top w:val="nil"/>
              <w:left w:val="nil"/>
              <w:bottom w:val="single" w:sz="4" w:space="0" w:color="auto"/>
              <w:right w:val="nil"/>
            </w:tcBorders>
            <w:shd w:val="clear" w:color="000000" w:fill="FFFFFF"/>
            <w:noWrap/>
            <w:vAlign w:val="center"/>
          </w:tcPr>
          <w:p w14:paraId="348CB0D9" w14:textId="0DC4A600" w:rsidR="004A128A" w:rsidRPr="006D631C" w:rsidRDefault="004A128A" w:rsidP="004A128A">
            <w:pPr>
              <w:pStyle w:val="ListParagraph"/>
              <w:numPr>
                <w:ilvl w:val="0"/>
                <w:numId w:val="11"/>
              </w:numPr>
              <w:spacing w:after="0" w:line="240" w:lineRule="auto"/>
              <w:ind w:left="176" w:hanging="142"/>
              <w:jc w:val="left"/>
              <w:rPr>
                <w:color w:val="000000"/>
                <w:sz w:val="12"/>
                <w:szCs w:val="12"/>
              </w:rPr>
            </w:pPr>
            <w:r w:rsidRPr="006D631C">
              <w:rPr>
                <w:sz w:val="12"/>
                <w:szCs w:val="12"/>
              </w:rPr>
              <w:t>The polymerization rate in LLC was faster than non-LLC phase</w:t>
            </w:r>
          </w:p>
        </w:tc>
        <w:tc>
          <w:tcPr>
            <w:tcW w:w="566" w:type="dxa"/>
            <w:tcBorders>
              <w:top w:val="nil"/>
              <w:left w:val="nil"/>
              <w:bottom w:val="single" w:sz="4" w:space="0" w:color="auto"/>
              <w:right w:val="nil"/>
            </w:tcBorders>
            <w:shd w:val="clear" w:color="000000" w:fill="FFFFFF"/>
            <w:vAlign w:val="center"/>
          </w:tcPr>
          <w:p w14:paraId="14693726" w14:textId="053952AD" w:rsidR="004A128A" w:rsidRPr="006D631C" w:rsidRDefault="004A128A" w:rsidP="000B67AC">
            <w:pPr>
              <w:spacing w:line="240" w:lineRule="auto"/>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{"citationItems":[{"id":"ITEM-1","itemData":{"DOI":"10.1021/bm070167l","ISSN":"15257797","abstract":"The physical properties, porosity, and physiological behavior of synthetic biodegradable hydrogels have been identified as highly critical design parameters in most tissue engineering materials applications. Nanotechnology may provide the means to manipulate these parameters by accessing control over the network structure of the biomaterial, providing unique property relationships that often result from nanostructured materials. In this study, a lyotropic liquid crystal (LLC) was used as a polymerization template in the formation of a photopolymerizable biodegradable PLA-b-PEG-b-PLA (PEG = poly(ethylene glycol); PLA = poly(lactic acid)) material with nanoscale lamellar morphology. Through ordering of the biodegradable monomer within the liquid crystal assembly, a 2-fold increase in maximum polymerization rate and a 30% increase in double bond conversion were realized over isotropic monomer formulations. The resulting network structure of the templated PLA-b-PEG-b-PLA material has a dramatic affect on the physical properties of the hydrogel including an 80% increase in network swelling and an approximately 230% increase in diffusivity. This increase in permeability and solvent uptake leads to rapid degradation of the lamellar templated samples, further demonstrating the influence of the LLC directed network structure on the porosity and physical properties of the biodegradable material. The ability to control the porosity, physical properties, and behavior of a biodegradable hydrogel simply by imparting LLC network structure, without changing the chemistry or biocompatibility of the polymer, could prove highly advantageous in the design of synthetic biomaterials for potential medical applications. © 2007 American Chemical Society.","author":[{"dropping-particle":"","family":"Clapper","given":"Jason D.","non-dropping-particle":"","parse-names":false,"suffix":""},{"dropping-particle":"","family":"Iverson","given":"Stephanie L.","non-dropping-particle":"","parse-names":false,"suffix":""},{"dropping-particle":"","family":"Guymon","given":"C. Allan","non-dropping-particle":"","parse-names":false,"suffix":""}],"container-title":"Biomacromolecules","id":"ITEM-1","issue":"7","issued":{"date-parts":[["2007"]]},"page":"2104-2111","title":"Nanostructured biodegradable polymer networks using lyotropic liquid crystalline templates","type":"article-journal","volume":"8"},"uris":["http://www.mendeley.com/documents/?uuid=bb658b55-8b6d-4dd4-9f02-48a4156f2348"]}],"mendeley":{"formattedCitation":"&lt;sup&gt;150&lt;/sup&gt;","plainTextFormattedCitation":"150","previouslyFormattedCitation":"&lt;sup&gt;150&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150</w:t>
            </w:r>
            <w:r w:rsidRPr="006D631C">
              <w:rPr>
                <w:sz w:val="12"/>
                <w:szCs w:val="12"/>
              </w:rPr>
              <w:fldChar w:fldCharType="end"/>
            </w:r>
          </w:p>
        </w:tc>
      </w:tr>
      <w:tr w:rsidR="00C63698" w:rsidRPr="006D631C" w14:paraId="2FDC1427" w14:textId="77777777" w:rsidTr="0035691D">
        <w:trPr>
          <w:trHeight w:val="20"/>
        </w:trPr>
        <w:tc>
          <w:tcPr>
            <w:tcW w:w="851" w:type="dxa"/>
            <w:vMerge w:val="restart"/>
            <w:tcBorders>
              <w:top w:val="nil"/>
              <w:left w:val="nil"/>
              <w:right w:val="nil"/>
            </w:tcBorders>
            <w:shd w:val="clear" w:color="000000" w:fill="FFFFFF"/>
            <w:vAlign w:val="center"/>
          </w:tcPr>
          <w:p w14:paraId="03DBA90A" w14:textId="56651592" w:rsidR="00C63698" w:rsidRPr="006D631C" w:rsidRDefault="00C63698" w:rsidP="00C63698">
            <w:pPr>
              <w:spacing w:line="240" w:lineRule="auto"/>
              <w:jc w:val="left"/>
              <w:rPr>
                <w:color w:val="000000"/>
                <w:sz w:val="12"/>
                <w:szCs w:val="12"/>
              </w:rPr>
            </w:pPr>
            <w:r w:rsidRPr="006D631C">
              <w:rPr>
                <w:sz w:val="12"/>
                <w:szCs w:val="12"/>
              </w:rPr>
              <w:t>M-27</w:t>
            </w:r>
          </w:p>
        </w:tc>
        <w:tc>
          <w:tcPr>
            <w:tcW w:w="850" w:type="dxa"/>
            <w:tcBorders>
              <w:top w:val="nil"/>
              <w:left w:val="nil"/>
              <w:bottom w:val="single" w:sz="4" w:space="0" w:color="auto"/>
              <w:right w:val="nil"/>
            </w:tcBorders>
            <w:shd w:val="clear" w:color="000000" w:fill="FFFFFF"/>
            <w:noWrap/>
            <w:vAlign w:val="center"/>
          </w:tcPr>
          <w:p w14:paraId="1CF098DD" w14:textId="4E5EE5F2" w:rsidR="00C63698" w:rsidRPr="006D631C" w:rsidRDefault="00C63698" w:rsidP="00C63698">
            <w:pPr>
              <w:spacing w:line="240" w:lineRule="auto"/>
              <w:jc w:val="left"/>
              <w:rPr>
                <w:color w:val="000000"/>
                <w:sz w:val="12"/>
                <w:szCs w:val="12"/>
              </w:rPr>
            </w:pPr>
            <w:r w:rsidRPr="006D631C">
              <w:rPr>
                <w:sz w:val="12"/>
                <w:szCs w:val="12"/>
              </w:rPr>
              <w:t>A-14</w:t>
            </w:r>
          </w:p>
        </w:tc>
        <w:tc>
          <w:tcPr>
            <w:tcW w:w="567" w:type="dxa"/>
            <w:tcBorders>
              <w:top w:val="nil"/>
              <w:left w:val="nil"/>
              <w:bottom w:val="single" w:sz="4" w:space="0" w:color="auto"/>
              <w:right w:val="nil"/>
            </w:tcBorders>
            <w:shd w:val="clear" w:color="000000" w:fill="FFFFFF"/>
            <w:vAlign w:val="center"/>
          </w:tcPr>
          <w:p w14:paraId="552508EC" w14:textId="29A849A9" w:rsidR="00C63698" w:rsidRPr="006D631C" w:rsidRDefault="00C63698" w:rsidP="00C63698">
            <w:pPr>
              <w:spacing w:line="240" w:lineRule="auto"/>
              <w:jc w:val="left"/>
              <w:rPr>
                <w:color w:val="000000"/>
                <w:sz w:val="12"/>
                <w:szCs w:val="12"/>
              </w:rPr>
            </w:pPr>
            <w:r w:rsidRPr="006D631C">
              <w:rPr>
                <w:sz w:val="12"/>
                <w:szCs w:val="12"/>
              </w:rPr>
              <w:t>-</w:t>
            </w:r>
          </w:p>
        </w:tc>
        <w:tc>
          <w:tcPr>
            <w:tcW w:w="709" w:type="dxa"/>
            <w:tcBorders>
              <w:top w:val="nil"/>
              <w:left w:val="nil"/>
              <w:bottom w:val="single" w:sz="4" w:space="0" w:color="auto"/>
              <w:right w:val="nil"/>
            </w:tcBorders>
            <w:shd w:val="clear" w:color="000000" w:fill="FFFFFF"/>
            <w:vAlign w:val="center"/>
          </w:tcPr>
          <w:p w14:paraId="08D426F5" w14:textId="381E9C95" w:rsidR="00C63698" w:rsidRPr="006D631C" w:rsidRDefault="00C63698" w:rsidP="00C63698">
            <w:pPr>
              <w:spacing w:line="240" w:lineRule="auto"/>
              <w:jc w:val="left"/>
              <w:rPr>
                <w:color w:val="000000"/>
                <w:sz w:val="12"/>
                <w:szCs w:val="12"/>
              </w:rPr>
            </w:pPr>
            <w:r w:rsidRPr="006D631C">
              <w:rPr>
                <w:sz w:val="12"/>
                <w:szCs w:val="12"/>
              </w:rPr>
              <w:t>I-9</w:t>
            </w:r>
          </w:p>
        </w:tc>
        <w:tc>
          <w:tcPr>
            <w:tcW w:w="1134" w:type="dxa"/>
            <w:tcBorders>
              <w:top w:val="nil"/>
              <w:left w:val="nil"/>
              <w:bottom w:val="single" w:sz="4" w:space="0" w:color="auto"/>
              <w:right w:val="nil"/>
            </w:tcBorders>
            <w:shd w:val="clear" w:color="000000" w:fill="FFFFFF"/>
            <w:vAlign w:val="center"/>
          </w:tcPr>
          <w:p w14:paraId="4DE73F4C" w14:textId="63BBCE77" w:rsidR="00C63698" w:rsidRPr="006D631C" w:rsidRDefault="00C63698" w:rsidP="00C63698">
            <w:pPr>
              <w:spacing w:line="240" w:lineRule="auto"/>
              <w:jc w:val="left"/>
              <w:rPr>
                <w:color w:val="000000"/>
                <w:sz w:val="12"/>
                <w:szCs w:val="12"/>
              </w:rPr>
            </w:pPr>
            <w:r w:rsidRPr="006D631C">
              <w:rPr>
                <w:sz w:val="12"/>
                <w:szCs w:val="12"/>
              </w:rPr>
              <w:t>40 / 40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3B742C96" w14:textId="7D06380C" w:rsidR="00C63698" w:rsidRPr="006D631C" w:rsidRDefault="00C63698" w:rsidP="001C44A2">
            <w:pPr>
              <w:spacing w:line="240" w:lineRule="auto"/>
              <w:jc w:val="left"/>
              <w:rPr>
                <w:color w:val="000000"/>
                <w:sz w:val="12"/>
                <w:szCs w:val="12"/>
              </w:rPr>
            </w:pPr>
            <w:r w:rsidRPr="006D631C">
              <w:rPr>
                <w:sz w:val="12"/>
                <w:szCs w:val="12"/>
              </w:rPr>
              <w:t xml:space="preserve">Retention of the structure </w:t>
            </w:r>
          </w:p>
        </w:tc>
        <w:tc>
          <w:tcPr>
            <w:tcW w:w="993" w:type="dxa"/>
            <w:tcBorders>
              <w:top w:val="nil"/>
              <w:left w:val="nil"/>
              <w:bottom w:val="single" w:sz="4" w:space="0" w:color="auto"/>
              <w:right w:val="nil"/>
            </w:tcBorders>
            <w:shd w:val="clear" w:color="000000" w:fill="FFFFFF"/>
            <w:noWrap/>
            <w:vAlign w:val="center"/>
          </w:tcPr>
          <w:p w14:paraId="72DF587F" w14:textId="6844B80E" w:rsidR="00C63698" w:rsidRPr="006D631C" w:rsidRDefault="00C63698" w:rsidP="00C63698">
            <w:pPr>
              <w:spacing w:line="240" w:lineRule="auto"/>
              <w:jc w:val="left"/>
              <w:rPr>
                <w:color w:val="000000"/>
                <w:sz w:val="12"/>
                <w:szCs w:val="12"/>
              </w:rPr>
            </w:pPr>
            <w:r w:rsidRPr="006D631C">
              <w:rPr>
                <w:sz w:val="12"/>
                <w:szCs w:val="12"/>
              </w:rPr>
              <w:t>6.3</w:t>
            </w:r>
          </w:p>
        </w:tc>
        <w:tc>
          <w:tcPr>
            <w:tcW w:w="1134" w:type="dxa"/>
            <w:tcBorders>
              <w:top w:val="nil"/>
              <w:left w:val="nil"/>
              <w:bottom w:val="single" w:sz="4" w:space="0" w:color="auto"/>
              <w:right w:val="nil"/>
            </w:tcBorders>
            <w:shd w:val="clear" w:color="000000" w:fill="FFFFFF"/>
            <w:noWrap/>
            <w:vAlign w:val="center"/>
          </w:tcPr>
          <w:p w14:paraId="7D52F073" w14:textId="2F55E2D4" w:rsidR="00C63698" w:rsidRPr="006D631C" w:rsidRDefault="00C63698" w:rsidP="00C63698">
            <w:pPr>
              <w:spacing w:line="240" w:lineRule="auto"/>
              <w:jc w:val="left"/>
              <w:rPr>
                <w:color w:val="000000"/>
                <w:sz w:val="12"/>
                <w:szCs w:val="12"/>
              </w:rPr>
            </w:pPr>
            <w:r w:rsidRPr="006D631C">
              <w:rPr>
                <w:sz w:val="12"/>
                <w:szCs w:val="12"/>
              </w:rPr>
              <w:t>6.35</w:t>
            </w:r>
          </w:p>
        </w:tc>
        <w:tc>
          <w:tcPr>
            <w:tcW w:w="5103" w:type="dxa"/>
            <w:tcBorders>
              <w:top w:val="nil"/>
              <w:left w:val="nil"/>
              <w:bottom w:val="single" w:sz="4" w:space="0" w:color="auto"/>
              <w:right w:val="nil"/>
            </w:tcBorders>
            <w:shd w:val="clear" w:color="000000" w:fill="FFFFFF"/>
            <w:noWrap/>
            <w:vAlign w:val="center"/>
          </w:tcPr>
          <w:p w14:paraId="71DF76C4" w14:textId="05BE1996" w:rsidR="00C63698" w:rsidRPr="006D631C" w:rsidRDefault="00DD02E6" w:rsidP="00DD02E6">
            <w:pPr>
              <w:pStyle w:val="ListParagraph"/>
              <w:numPr>
                <w:ilvl w:val="0"/>
                <w:numId w:val="11"/>
              </w:numPr>
              <w:spacing w:after="0" w:line="240" w:lineRule="auto"/>
              <w:ind w:left="176" w:hanging="142"/>
              <w:jc w:val="left"/>
              <w:rPr>
                <w:color w:val="000000"/>
                <w:sz w:val="12"/>
                <w:szCs w:val="12"/>
              </w:rPr>
            </w:pPr>
            <w:r w:rsidRPr="006D631C">
              <w:rPr>
                <w:sz w:val="12"/>
                <w:szCs w:val="12"/>
              </w:rPr>
              <w:t>Higher water uptake, permeability and degradation rate over non-LLC sample without changing the chemistry or general biocompatibility of the biopolymer</w:t>
            </w:r>
          </w:p>
        </w:tc>
        <w:tc>
          <w:tcPr>
            <w:tcW w:w="566" w:type="dxa"/>
            <w:tcBorders>
              <w:top w:val="nil"/>
              <w:left w:val="nil"/>
              <w:bottom w:val="single" w:sz="4" w:space="0" w:color="auto"/>
              <w:right w:val="nil"/>
            </w:tcBorders>
            <w:shd w:val="clear" w:color="000000" w:fill="FFFFFF"/>
            <w:vAlign w:val="center"/>
          </w:tcPr>
          <w:p w14:paraId="24DC3B4F" w14:textId="22E11043" w:rsidR="00C63698" w:rsidRPr="006D631C" w:rsidRDefault="00DD02E6" w:rsidP="000B67AC">
            <w:pPr>
              <w:spacing w:line="240" w:lineRule="auto"/>
              <w:jc w:val="left"/>
              <w:rPr>
                <w:color w:val="000000"/>
                <w:sz w:val="12"/>
                <w:szCs w:val="12"/>
              </w:rPr>
            </w:pPr>
            <w:r w:rsidRPr="006D631C">
              <w:rPr>
                <w:sz w:val="12"/>
                <w:szCs w:val="12"/>
              </w:rPr>
              <w:fldChar w:fldCharType="begin" w:fldLock="1"/>
            </w:r>
            <w:r w:rsidR="004C7F22" w:rsidRPr="006D631C">
              <w:rPr>
                <w:sz w:val="12"/>
                <w:szCs w:val="12"/>
              </w:rPr>
              <w:instrText>ADDIN CSL_CITATION {"citationItems":[{"id":"ITEM-1","itemData":{"DOI":"10.1021/bm070167l","ISSN":"15257797","abstract":"The physical properties, porosity, and physiological behavior of synthetic biodegradable hydrogels have been identified as highly critical design parameters in most tissue engineering materials applications. Nanotechnology may provide the means to manipulate these parameters by accessing control over the network structure of the biomaterial, providing unique property relationships that often result from nanostructured materials. In this study, a lyotropic liquid crystal (LLC) was used as a polymerization template in the formation of a photopolymerizable biodegradable PLA-b-PEG-b-PLA (PEG = poly(ethylene glycol); PLA = poly(lactic acid)) material with nanoscale lamellar morphology. Through ordering of the biodegradable monomer within the liquid crystal assembly, a 2-fold increase in maximum polymerization rate and a 30% increase in double bond conversion were realized over isotropic monomer formulations. The resulting network structure of the templated PLA-b-PEG-b-PLA material has a dramatic affect on the physical properties of the hydrogel including an 80% increase in network swelling and an approximately 230% increase in diffusivity. This increase in permeability and solvent uptake leads to rapid degradation of the lamellar templated samples, further demonstrating the influence of the LLC directed network structure on the porosity and physical properties of the biodegradable material. The ability to control the porosity, physical properties, and behavior of a biodegradable hydrogel simply by imparting LLC network structure, without changing the chemistry or biocompatibility of the polymer, could prove highly advantageous in the design of synthetic biomaterials for potential medical applications. © 2007 American Chemical Society.","author":[{"dropping-particle":"","family":"Clapper","given":"Jason D.","non-dropping-particle":"","parse-names":false,"suffix":""},{"dropping-particle":"","family":"Iverson","given":"Stephanie L.","non-dropping-particle":"","parse-names":false,"suffix":""},{"dropping-particle":"","family":"Guymon","given":"C. Allan","non-dropping-particle":"","parse-names":false,"suffix":""}],"container-title":"Biomacromolecules","id":"ITEM-1","issue":"7","issued":{"date-parts":[["2007"]]},"page":"2104-2111","title":"Nanostructured biodegradable polymer networks using lyotropic liquid crystalline templates","type":"article-journal","volume":"8"},"uris":["http://www.mendeley.com/documents/?uuid=bb658b55-8b6d-4dd4-9f02-48a4156f2348"]}],"mendeley":{"formattedCitation":"&lt;sup&gt;150&lt;/sup&gt;","plainTextFormattedCitation":"150","previouslyFormattedCitation":"&lt;sup&gt;150&lt;/sup&gt;"},"properties":{"noteIndex":0},"schema":"https://github.com/citation-style-language/schema/raw/master/csl-citation.json"}</w:instrText>
            </w:r>
            <w:r w:rsidRPr="006D631C">
              <w:rPr>
                <w:sz w:val="12"/>
                <w:szCs w:val="12"/>
              </w:rPr>
              <w:fldChar w:fldCharType="separate"/>
            </w:r>
            <w:r w:rsidR="000B67AC" w:rsidRPr="006D631C">
              <w:rPr>
                <w:noProof/>
                <w:sz w:val="12"/>
                <w:szCs w:val="12"/>
                <w:vertAlign w:val="superscript"/>
              </w:rPr>
              <w:t>150</w:t>
            </w:r>
            <w:r w:rsidRPr="006D631C">
              <w:rPr>
                <w:sz w:val="12"/>
                <w:szCs w:val="12"/>
              </w:rPr>
              <w:fldChar w:fldCharType="end"/>
            </w:r>
          </w:p>
        </w:tc>
      </w:tr>
      <w:tr w:rsidR="00C63698" w:rsidRPr="006D631C" w14:paraId="4F6142D2" w14:textId="77777777" w:rsidTr="0035691D">
        <w:trPr>
          <w:trHeight w:val="20"/>
        </w:trPr>
        <w:tc>
          <w:tcPr>
            <w:tcW w:w="851" w:type="dxa"/>
            <w:vMerge/>
            <w:tcBorders>
              <w:left w:val="nil"/>
              <w:right w:val="nil"/>
            </w:tcBorders>
            <w:shd w:val="clear" w:color="000000" w:fill="FFFFFF"/>
            <w:vAlign w:val="center"/>
          </w:tcPr>
          <w:p w14:paraId="6F21F10C" w14:textId="77777777" w:rsidR="00C63698" w:rsidRPr="006D631C" w:rsidRDefault="00C63698" w:rsidP="00C6369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04294DBA" w14:textId="30F26AD2" w:rsidR="00C63698" w:rsidRPr="006D631C" w:rsidRDefault="00C63698" w:rsidP="00C63698">
            <w:pPr>
              <w:spacing w:line="240" w:lineRule="auto"/>
              <w:jc w:val="left"/>
              <w:rPr>
                <w:color w:val="000000"/>
                <w:sz w:val="12"/>
                <w:szCs w:val="12"/>
              </w:rPr>
            </w:pPr>
            <w:r w:rsidRPr="006D631C">
              <w:rPr>
                <w:sz w:val="12"/>
                <w:szCs w:val="12"/>
              </w:rPr>
              <w:t>A-14</w:t>
            </w:r>
          </w:p>
        </w:tc>
        <w:tc>
          <w:tcPr>
            <w:tcW w:w="567" w:type="dxa"/>
            <w:tcBorders>
              <w:top w:val="nil"/>
              <w:left w:val="nil"/>
              <w:bottom w:val="single" w:sz="4" w:space="0" w:color="auto"/>
              <w:right w:val="nil"/>
            </w:tcBorders>
            <w:shd w:val="clear" w:color="000000" w:fill="FFFFFF"/>
            <w:vAlign w:val="center"/>
          </w:tcPr>
          <w:p w14:paraId="3F978F7E" w14:textId="5EF8C956" w:rsidR="00C63698" w:rsidRPr="006D631C" w:rsidRDefault="00C63698" w:rsidP="00C63698">
            <w:pPr>
              <w:spacing w:line="240" w:lineRule="auto"/>
              <w:jc w:val="left"/>
              <w:rPr>
                <w:color w:val="000000"/>
                <w:sz w:val="12"/>
                <w:szCs w:val="12"/>
              </w:rPr>
            </w:pPr>
            <w:r w:rsidRPr="006D631C">
              <w:rPr>
                <w:sz w:val="12"/>
                <w:szCs w:val="12"/>
              </w:rPr>
              <w:t>-</w:t>
            </w:r>
          </w:p>
        </w:tc>
        <w:tc>
          <w:tcPr>
            <w:tcW w:w="709" w:type="dxa"/>
            <w:tcBorders>
              <w:top w:val="nil"/>
              <w:left w:val="nil"/>
              <w:bottom w:val="single" w:sz="4" w:space="0" w:color="auto"/>
              <w:right w:val="nil"/>
            </w:tcBorders>
            <w:shd w:val="clear" w:color="000000" w:fill="FFFFFF"/>
            <w:vAlign w:val="center"/>
          </w:tcPr>
          <w:p w14:paraId="3468B415" w14:textId="0950DA49" w:rsidR="00C63698" w:rsidRPr="006D631C" w:rsidRDefault="00C63698" w:rsidP="00C63698">
            <w:pPr>
              <w:spacing w:line="240" w:lineRule="auto"/>
              <w:jc w:val="left"/>
              <w:rPr>
                <w:color w:val="000000"/>
                <w:sz w:val="12"/>
                <w:szCs w:val="12"/>
              </w:rPr>
            </w:pPr>
            <w:r w:rsidRPr="006D631C">
              <w:rPr>
                <w:sz w:val="12"/>
                <w:szCs w:val="12"/>
              </w:rPr>
              <w:t>I-9</w:t>
            </w:r>
          </w:p>
        </w:tc>
        <w:tc>
          <w:tcPr>
            <w:tcW w:w="1134" w:type="dxa"/>
            <w:tcBorders>
              <w:top w:val="nil"/>
              <w:left w:val="nil"/>
              <w:bottom w:val="single" w:sz="4" w:space="0" w:color="auto"/>
              <w:right w:val="nil"/>
            </w:tcBorders>
            <w:shd w:val="clear" w:color="000000" w:fill="FFFFFF"/>
            <w:vAlign w:val="center"/>
          </w:tcPr>
          <w:p w14:paraId="2FD16544" w14:textId="4D83493B" w:rsidR="00C63698" w:rsidRPr="006D631C" w:rsidRDefault="00C63698" w:rsidP="00C63698">
            <w:pPr>
              <w:spacing w:line="240" w:lineRule="auto"/>
              <w:jc w:val="left"/>
              <w:rPr>
                <w:color w:val="000000"/>
                <w:sz w:val="12"/>
                <w:szCs w:val="12"/>
              </w:rPr>
            </w:pPr>
            <w:r w:rsidRPr="006D631C">
              <w:rPr>
                <w:sz w:val="12"/>
                <w:szCs w:val="12"/>
              </w:rPr>
              <w:t>35 / 40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0F26C12A" w14:textId="5ABF6686" w:rsidR="00C63698" w:rsidRPr="006D631C" w:rsidRDefault="00C63698" w:rsidP="00C63698">
            <w:pPr>
              <w:spacing w:line="240" w:lineRule="auto"/>
              <w:jc w:val="left"/>
              <w:rPr>
                <w:color w:val="000000"/>
                <w:sz w:val="12"/>
                <w:szCs w:val="12"/>
              </w:rPr>
            </w:pPr>
            <w:r w:rsidRPr="006D631C">
              <w:rPr>
                <w:sz w:val="12"/>
                <w:szCs w:val="12"/>
              </w:rPr>
              <w:t>Retention of the structure after surfactant removal</w:t>
            </w:r>
          </w:p>
        </w:tc>
        <w:tc>
          <w:tcPr>
            <w:tcW w:w="993" w:type="dxa"/>
            <w:tcBorders>
              <w:top w:val="nil"/>
              <w:left w:val="nil"/>
              <w:bottom w:val="single" w:sz="4" w:space="0" w:color="auto"/>
              <w:right w:val="nil"/>
            </w:tcBorders>
            <w:shd w:val="clear" w:color="000000" w:fill="FFFFFF"/>
            <w:noWrap/>
            <w:vAlign w:val="center"/>
          </w:tcPr>
          <w:p w14:paraId="5CCD2B78" w14:textId="7BCD14F1" w:rsidR="00C63698" w:rsidRPr="006D631C" w:rsidRDefault="00C63698" w:rsidP="00C63698">
            <w:pPr>
              <w:spacing w:line="240" w:lineRule="auto"/>
              <w:jc w:val="left"/>
              <w:rPr>
                <w:color w:val="000000"/>
                <w:sz w:val="12"/>
                <w:szCs w:val="12"/>
              </w:rPr>
            </w:pP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460971CF" w14:textId="05A961D5" w:rsidR="00C63698" w:rsidRPr="006D631C" w:rsidRDefault="00C63698" w:rsidP="00C63698">
            <w:pPr>
              <w:spacing w:line="240" w:lineRule="auto"/>
              <w:jc w:val="left"/>
              <w:rPr>
                <w:color w:val="000000"/>
                <w:sz w:val="12"/>
                <w:szCs w:val="12"/>
              </w:rPr>
            </w:pPr>
            <w:r w:rsidRPr="006D631C">
              <w:rPr>
                <w:sz w:val="12"/>
                <w:szCs w:val="12"/>
              </w:rPr>
              <w:t>-</w:t>
            </w:r>
          </w:p>
        </w:tc>
        <w:tc>
          <w:tcPr>
            <w:tcW w:w="5103" w:type="dxa"/>
            <w:tcBorders>
              <w:top w:val="nil"/>
              <w:left w:val="nil"/>
              <w:bottom w:val="single" w:sz="4" w:space="0" w:color="auto"/>
              <w:right w:val="nil"/>
            </w:tcBorders>
            <w:shd w:val="clear" w:color="000000" w:fill="FFFFFF"/>
            <w:noWrap/>
            <w:vAlign w:val="center"/>
          </w:tcPr>
          <w:p w14:paraId="735FFC85" w14:textId="642BF1D0" w:rsidR="00C63698" w:rsidRPr="006D631C" w:rsidRDefault="00DD02E6" w:rsidP="00DD02E6">
            <w:pPr>
              <w:pStyle w:val="ListParagraph"/>
              <w:numPr>
                <w:ilvl w:val="0"/>
                <w:numId w:val="11"/>
              </w:numPr>
              <w:spacing w:after="0" w:line="240" w:lineRule="auto"/>
              <w:ind w:left="176" w:hanging="142"/>
              <w:jc w:val="left"/>
              <w:rPr>
                <w:color w:val="000000"/>
                <w:sz w:val="12"/>
                <w:szCs w:val="12"/>
              </w:rPr>
            </w:pPr>
            <w:r w:rsidRPr="006D631C">
              <w:rPr>
                <w:sz w:val="12"/>
                <w:szCs w:val="12"/>
              </w:rPr>
              <w:t>Higher water uptake, rate of swelling and rate of degradation while having lower compressive modulus compared to non-LLC sample</w:t>
            </w:r>
          </w:p>
        </w:tc>
        <w:tc>
          <w:tcPr>
            <w:tcW w:w="566" w:type="dxa"/>
            <w:tcBorders>
              <w:top w:val="nil"/>
              <w:left w:val="nil"/>
              <w:bottom w:val="single" w:sz="4" w:space="0" w:color="auto"/>
              <w:right w:val="nil"/>
            </w:tcBorders>
            <w:shd w:val="clear" w:color="000000" w:fill="FFFFFF"/>
            <w:vAlign w:val="center"/>
          </w:tcPr>
          <w:p w14:paraId="446770DA" w14:textId="562E6149" w:rsidR="00C63698" w:rsidRPr="006D631C" w:rsidRDefault="001C44A2" w:rsidP="002E14E4">
            <w:pPr>
              <w:spacing w:line="240" w:lineRule="auto"/>
              <w:jc w:val="left"/>
              <w:rPr>
                <w:color w:val="000000"/>
                <w:sz w:val="12"/>
                <w:szCs w:val="12"/>
              </w:rPr>
            </w:pPr>
            <w:r w:rsidRPr="006D631C">
              <w:rPr>
                <w:sz w:val="12"/>
                <w:szCs w:val="12"/>
              </w:rPr>
              <w:fldChar w:fldCharType="begin" w:fldLock="1"/>
            </w:r>
            <w:r w:rsidR="005C60C1" w:rsidRPr="006D631C">
              <w:rPr>
                <w:sz w:val="12"/>
                <w:szCs w:val="12"/>
              </w:rPr>
              <w:instrText>ADDIN CSL_CITATION {"citationItems":[{"id":"ITEM-1","itemData":{"DOI":"10.1080/15421400903065002","ISSN":"15635287","abstract":"Much research has focused on the control of material structure on the nanometer size scale. The self assembled, highly organized solutions inherent to lyotropic liquid crystals (LLCs) have recently emerged as promising tools in the synthesis of organic nanostructured materials. In this work highly ordered LLC morphologies have been utilized as polymerization templates to dictate and achieve unique polymer network structure. The influence of nanoscale organization of the monomer is directly related to the physical and diffusive behavior of the resulting polymer. Additionally, LLC ordered solutions have shown great promise in compatibilizing blends of immiscible monomers. To this end, the precise organization of the LLC has been investigated as a means to segregate immiscible monomers into isolated nanoscale domains for the copolymerization of two separate but interconnected networks. The results from this study have demonstrated that the network structure of PEGDA hydrogels or PEGDA/HDDA blends can be directed by LLC templates, and that the physical properties of the templated materials are indeed influenced by the network structure induced by the templating process. This work has established that LLCs are an important tool in the creation of materials with nanoscopic architecture that directly leads to attractive and previously unattainable materials properties. Copyright © Taylor &amp; Francis Group, LLC.","author":[{"dropping-particle":"","family":"Clapper","given":"Jason D.","non-dropping-particle":"","parse-names":false,"suffix":""},{"dropping-particle":"","family":"Guymon","given":"C. Allan","non-dropping-particle":"","parse-names":false,"suffix":""}],"container-title":"Molecular Crystals and Liquid Crystals","id":"ITEM-1","issue":"1","issued":{"date-parts":[["2009","9","3"]]},"page":"30/[772]-38/[780]","title":"Nanostructured hydrogels via photopolymerization in lyotropic liquid crystalline systems","type":"article-journal","volume":"509"},"uris":["http://www.mendeley.com/documents/?uuid=05af8024-a4fb-4e19-a6ff-77bdc878f76d"]}],"mendeley":{"formattedCitation":"&lt;sup&gt;46&lt;/sup&gt;","plainTextFormattedCitation":"46","previouslyFormattedCitation":"&lt;sup&gt;46&lt;/sup&gt;"},"properties":{"noteIndex":0},"schema":"https://github.com/citation-style-language/schema/raw/master/csl-citation.json"}</w:instrText>
            </w:r>
            <w:r w:rsidRPr="006D631C">
              <w:rPr>
                <w:sz w:val="12"/>
                <w:szCs w:val="12"/>
              </w:rPr>
              <w:fldChar w:fldCharType="separate"/>
            </w:r>
            <w:r w:rsidR="002E14E4" w:rsidRPr="006D631C">
              <w:rPr>
                <w:noProof/>
                <w:sz w:val="12"/>
                <w:szCs w:val="12"/>
                <w:vertAlign w:val="superscript"/>
              </w:rPr>
              <w:t>46</w:t>
            </w:r>
            <w:r w:rsidRPr="006D631C">
              <w:rPr>
                <w:sz w:val="12"/>
                <w:szCs w:val="12"/>
              </w:rPr>
              <w:fldChar w:fldCharType="end"/>
            </w:r>
          </w:p>
        </w:tc>
      </w:tr>
      <w:tr w:rsidR="001C44A2" w:rsidRPr="006D631C" w14:paraId="43B76C47" w14:textId="77777777" w:rsidTr="0035691D">
        <w:trPr>
          <w:trHeight w:val="20"/>
        </w:trPr>
        <w:tc>
          <w:tcPr>
            <w:tcW w:w="851" w:type="dxa"/>
            <w:vMerge/>
            <w:tcBorders>
              <w:left w:val="nil"/>
              <w:bottom w:val="single" w:sz="4" w:space="0" w:color="auto"/>
              <w:right w:val="nil"/>
            </w:tcBorders>
            <w:shd w:val="clear" w:color="000000" w:fill="FFFFFF"/>
            <w:vAlign w:val="center"/>
          </w:tcPr>
          <w:p w14:paraId="334F9E2A" w14:textId="77777777" w:rsidR="001C44A2" w:rsidRPr="006D631C" w:rsidRDefault="001C44A2" w:rsidP="00C63698">
            <w:pPr>
              <w:spacing w:line="240" w:lineRule="auto"/>
              <w:jc w:val="left"/>
              <w:rPr>
                <w:color w:val="000000"/>
                <w:sz w:val="12"/>
                <w:szCs w:val="12"/>
              </w:rPr>
            </w:pPr>
          </w:p>
        </w:tc>
        <w:tc>
          <w:tcPr>
            <w:tcW w:w="12048" w:type="dxa"/>
            <w:gridSpan w:val="9"/>
            <w:tcBorders>
              <w:top w:val="nil"/>
              <w:left w:val="nil"/>
              <w:bottom w:val="single" w:sz="4" w:space="0" w:color="auto"/>
              <w:right w:val="nil"/>
            </w:tcBorders>
            <w:shd w:val="clear" w:color="000000" w:fill="FFFFFF"/>
            <w:noWrap/>
            <w:vAlign w:val="center"/>
          </w:tcPr>
          <w:p w14:paraId="6869F3B6" w14:textId="7C9DF086" w:rsidR="001C44A2" w:rsidRPr="006D631C" w:rsidRDefault="001C44A2" w:rsidP="00C63698">
            <w:pPr>
              <w:spacing w:line="240" w:lineRule="auto"/>
              <w:jc w:val="left"/>
              <w:rPr>
                <w:color w:val="000000"/>
                <w:sz w:val="12"/>
                <w:szCs w:val="12"/>
              </w:rPr>
            </w:pPr>
            <w:r w:rsidRPr="006D631C">
              <w:rPr>
                <w:sz w:val="12"/>
                <w:szCs w:val="12"/>
              </w:rPr>
              <w:t>This monomer was also discussed in M-25 and M-28 sections</w:t>
            </w:r>
          </w:p>
        </w:tc>
      </w:tr>
    </w:tbl>
    <w:p w14:paraId="4A017D9E" w14:textId="76B0D890" w:rsidR="00236DCC" w:rsidRPr="006D631C" w:rsidRDefault="00236DCC" w:rsidP="00236DCC">
      <w:pPr>
        <w:pStyle w:val="Caption"/>
        <w:spacing w:after="0"/>
        <w:jc w:val="center"/>
        <w:rPr>
          <w:i/>
          <w:sz w:val="22"/>
          <w:szCs w:val="22"/>
        </w:rPr>
      </w:pPr>
      <w:r w:rsidRPr="006D631C">
        <w:rPr>
          <w:sz w:val="22"/>
          <w:szCs w:val="22"/>
        </w:rPr>
        <w:lastRenderedPageBreak/>
        <w:t xml:space="preserve">Table 1-3. </w:t>
      </w:r>
      <w:r w:rsidRPr="006D631C">
        <w:rPr>
          <w:i/>
          <w:sz w:val="22"/>
          <w:szCs w:val="22"/>
        </w:rPr>
        <w:t>(Contd.)</w:t>
      </w:r>
    </w:p>
    <w:tbl>
      <w:tblPr>
        <w:tblpPr w:leftFromText="180" w:rightFromText="180" w:vertAnchor="text" w:horzAnchor="margin" w:tblpY="-29"/>
        <w:tblOverlap w:val="never"/>
        <w:tblW w:w="12899" w:type="dxa"/>
        <w:tblLayout w:type="fixed"/>
        <w:tblLook w:val="04A0" w:firstRow="1" w:lastRow="0" w:firstColumn="1" w:lastColumn="0" w:noHBand="0" w:noVBand="1"/>
      </w:tblPr>
      <w:tblGrid>
        <w:gridCol w:w="851"/>
        <w:gridCol w:w="850"/>
        <w:gridCol w:w="567"/>
        <w:gridCol w:w="709"/>
        <w:gridCol w:w="1134"/>
        <w:gridCol w:w="992"/>
        <w:gridCol w:w="993"/>
        <w:gridCol w:w="1134"/>
        <w:gridCol w:w="5103"/>
        <w:gridCol w:w="566"/>
      </w:tblGrid>
      <w:tr w:rsidR="00AE2528" w:rsidRPr="006D631C" w14:paraId="32BE5144" w14:textId="77777777" w:rsidTr="00AE2528">
        <w:trPr>
          <w:trHeight w:val="20"/>
        </w:trPr>
        <w:tc>
          <w:tcPr>
            <w:tcW w:w="851" w:type="dxa"/>
            <w:tcBorders>
              <w:top w:val="single" w:sz="8" w:space="0" w:color="auto"/>
              <w:left w:val="nil"/>
              <w:bottom w:val="single" w:sz="8" w:space="0" w:color="auto"/>
              <w:right w:val="nil"/>
            </w:tcBorders>
            <w:shd w:val="clear" w:color="000000" w:fill="FFFFFF"/>
            <w:vAlign w:val="center"/>
          </w:tcPr>
          <w:p w14:paraId="53F79F35" w14:textId="77777777" w:rsidR="00AE2528" w:rsidRPr="006D631C" w:rsidRDefault="00AE2528" w:rsidP="00AE2528">
            <w:pPr>
              <w:spacing w:line="240" w:lineRule="auto"/>
              <w:jc w:val="left"/>
              <w:rPr>
                <w:b/>
                <w:bCs/>
                <w:color w:val="000000"/>
                <w:sz w:val="12"/>
                <w:szCs w:val="12"/>
              </w:rPr>
            </w:pPr>
            <w:r w:rsidRPr="006D631C">
              <w:rPr>
                <w:b/>
                <w:bCs/>
                <w:color w:val="000000"/>
                <w:sz w:val="12"/>
                <w:szCs w:val="12"/>
              </w:rPr>
              <w:t>Monomer</w:t>
            </w:r>
          </w:p>
        </w:tc>
        <w:tc>
          <w:tcPr>
            <w:tcW w:w="850" w:type="dxa"/>
            <w:tcBorders>
              <w:top w:val="single" w:sz="8" w:space="0" w:color="auto"/>
              <w:left w:val="nil"/>
              <w:bottom w:val="single" w:sz="8" w:space="0" w:color="auto"/>
              <w:right w:val="nil"/>
            </w:tcBorders>
            <w:shd w:val="clear" w:color="000000" w:fill="FFFFFF"/>
            <w:noWrap/>
            <w:vAlign w:val="center"/>
            <w:hideMark/>
          </w:tcPr>
          <w:p w14:paraId="5DA3A864" w14:textId="77777777" w:rsidR="00AE2528" w:rsidRPr="006D631C" w:rsidRDefault="00AE2528" w:rsidP="00AE2528">
            <w:pPr>
              <w:spacing w:line="240" w:lineRule="auto"/>
              <w:jc w:val="left"/>
              <w:rPr>
                <w:b/>
                <w:bCs/>
                <w:color w:val="000000"/>
                <w:sz w:val="12"/>
                <w:szCs w:val="12"/>
              </w:rPr>
            </w:pPr>
            <w:proofErr w:type="spellStart"/>
            <w:r w:rsidRPr="006D631C">
              <w:rPr>
                <w:b/>
                <w:bCs/>
                <w:color w:val="000000"/>
                <w:sz w:val="12"/>
                <w:szCs w:val="12"/>
              </w:rPr>
              <w:t>Amphiphile</w:t>
            </w:r>
            <w:proofErr w:type="spellEnd"/>
          </w:p>
        </w:tc>
        <w:tc>
          <w:tcPr>
            <w:tcW w:w="567" w:type="dxa"/>
            <w:tcBorders>
              <w:top w:val="single" w:sz="8" w:space="0" w:color="auto"/>
              <w:left w:val="nil"/>
              <w:bottom w:val="single" w:sz="8" w:space="0" w:color="auto"/>
              <w:right w:val="nil"/>
            </w:tcBorders>
            <w:shd w:val="clear" w:color="000000" w:fill="FFFFFF"/>
            <w:vAlign w:val="center"/>
            <w:hideMark/>
          </w:tcPr>
          <w:p w14:paraId="6A7FF2FF" w14:textId="77777777" w:rsidR="00AE2528" w:rsidRPr="006D631C" w:rsidRDefault="00AE2528" w:rsidP="00AE2528">
            <w:pPr>
              <w:spacing w:line="240" w:lineRule="auto"/>
              <w:jc w:val="left"/>
              <w:rPr>
                <w:b/>
                <w:bCs/>
                <w:color w:val="000000"/>
                <w:sz w:val="12"/>
                <w:szCs w:val="12"/>
              </w:rPr>
            </w:pPr>
            <w:r w:rsidRPr="006D631C">
              <w:rPr>
                <w:b/>
                <w:bCs/>
                <w:color w:val="000000"/>
                <w:sz w:val="12"/>
                <w:szCs w:val="12"/>
              </w:rPr>
              <w:t>Cross-linker</w:t>
            </w:r>
          </w:p>
        </w:tc>
        <w:tc>
          <w:tcPr>
            <w:tcW w:w="709" w:type="dxa"/>
            <w:tcBorders>
              <w:top w:val="single" w:sz="8" w:space="0" w:color="auto"/>
              <w:left w:val="nil"/>
              <w:bottom w:val="single" w:sz="8" w:space="0" w:color="auto"/>
              <w:right w:val="nil"/>
            </w:tcBorders>
            <w:shd w:val="clear" w:color="000000" w:fill="FFFFFF"/>
            <w:vAlign w:val="center"/>
            <w:hideMark/>
          </w:tcPr>
          <w:p w14:paraId="499A0557" w14:textId="77777777" w:rsidR="00AE2528" w:rsidRPr="006D631C" w:rsidRDefault="00AE2528" w:rsidP="00AE2528">
            <w:pPr>
              <w:spacing w:line="240" w:lineRule="auto"/>
              <w:jc w:val="left"/>
              <w:rPr>
                <w:b/>
                <w:bCs/>
                <w:color w:val="000000"/>
                <w:sz w:val="12"/>
                <w:szCs w:val="12"/>
              </w:rPr>
            </w:pPr>
            <w:r w:rsidRPr="006D631C">
              <w:rPr>
                <w:b/>
                <w:bCs/>
                <w:color w:val="000000"/>
                <w:sz w:val="12"/>
                <w:szCs w:val="12"/>
              </w:rPr>
              <w:t>Initiation system</w:t>
            </w:r>
          </w:p>
        </w:tc>
        <w:tc>
          <w:tcPr>
            <w:tcW w:w="1134" w:type="dxa"/>
            <w:tcBorders>
              <w:top w:val="single" w:sz="8" w:space="0" w:color="auto"/>
              <w:left w:val="nil"/>
              <w:bottom w:val="single" w:sz="8" w:space="0" w:color="auto"/>
              <w:right w:val="nil"/>
            </w:tcBorders>
            <w:shd w:val="clear" w:color="000000" w:fill="FFFFFF"/>
            <w:vAlign w:val="center"/>
            <w:hideMark/>
          </w:tcPr>
          <w:p w14:paraId="34CBB93E" w14:textId="77777777" w:rsidR="00AE2528" w:rsidRPr="006D631C" w:rsidRDefault="00AE2528" w:rsidP="00AE2528">
            <w:pPr>
              <w:spacing w:line="240" w:lineRule="auto"/>
              <w:jc w:val="left"/>
              <w:rPr>
                <w:b/>
                <w:bCs/>
                <w:color w:val="000000"/>
                <w:sz w:val="12"/>
                <w:szCs w:val="12"/>
              </w:rPr>
            </w:pPr>
            <w:proofErr w:type="spellStart"/>
            <w:r w:rsidRPr="006D631C">
              <w:rPr>
                <w:b/>
                <w:bCs/>
                <w:color w:val="000000"/>
                <w:sz w:val="12"/>
                <w:szCs w:val="12"/>
              </w:rPr>
              <w:t>Amphiphile</w:t>
            </w:r>
            <w:proofErr w:type="spellEnd"/>
            <w:r w:rsidRPr="006D631C">
              <w:rPr>
                <w:b/>
                <w:bCs/>
                <w:color w:val="000000"/>
                <w:sz w:val="12"/>
                <w:szCs w:val="12"/>
              </w:rPr>
              <w:t xml:space="preserve"> / monomer [w/w] and structure before reaction</w:t>
            </w:r>
          </w:p>
        </w:tc>
        <w:tc>
          <w:tcPr>
            <w:tcW w:w="992" w:type="dxa"/>
            <w:tcBorders>
              <w:top w:val="single" w:sz="8" w:space="0" w:color="auto"/>
              <w:left w:val="nil"/>
              <w:bottom w:val="single" w:sz="8" w:space="0" w:color="auto"/>
              <w:right w:val="nil"/>
            </w:tcBorders>
            <w:shd w:val="clear" w:color="000000" w:fill="FFFFFF"/>
            <w:vAlign w:val="center"/>
            <w:hideMark/>
          </w:tcPr>
          <w:p w14:paraId="068E42D0" w14:textId="77777777" w:rsidR="00AE2528" w:rsidRPr="006D631C" w:rsidRDefault="00AE2528" w:rsidP="00AE2528">
            <w:pPr>
              <w:spacing w:line="240" w:lineRule="auto"/>
              <w:jc w:val="left"/>
              <w:rPr>
                <w:b/>
                <w:bCs/>
                <w:color w:val="000000"/>
                <w:sz w:val="12"/>
                <w:szCs w:val="12"/>
              </w:rPr>
            </w:pPr>
            <w:r w:rsidRPr="006D631C">
              <w:rPr>
                <w:b/>
                <w:bCs/>
                <w:color w:val="000000"/>
                <w:sz w:val="12"/>
                <w:szCs w:val="12"/>
              </w:rPr>
              <w:t>Structure after polymerization</w:t>
            </w:r>
          </w:p>
        </w:tc>
        <w:tc>
          <w:tcPr>
            <w:tcW w:w="993" w:type="dxa"/>
            <w:tcBorders>
              <w:top w:val="single" w:sz="8" w:space="0" w:color="auto"/>
              <w:left w:val="nil"/>
              <w:bottom w:val="single" w:sz="8" w:space="0" w:color="auto"/>
              <w:right w:val="nil"/>
            </w:tcBorders>
            <w:shd w:val="clear" w:color="000000" w:fill="FFFFFF"/>
            <w:vAlign w:val="center"/>
            <w:hideMark/>
          </w:tcPr>
          <w:p w14:paraId="1AA5DD63" w14:textId="77777777" w:rsidR="00AE2528" w:rsidRPr="006D631C" w:rsidRDefault="00AE2528" w:rsidP="00AE2528">
            <w:pPr>
              <w:spacing w:line="240" w:lineRule="auto"/>
              <w:jc w:val="left"/>
              <w:rPr>
                <w:b/>
                <w:bCs/>
                <w:color w:val="000000"/>
                <w:sz w:val="12"/>
                <w:szCs w:val="12"/>
              </w:rPr>
            </w:pPr>
            <w:r w:rsidRPr="006D631C">
              <w:rPr>
                <w:b/>
                <w:bCs/>
                <w:color w:val="000000"/>
                <w:sz w:val="12"/>
                <w:szCs w:val="12"/>
              </w:rPr>
              <w:t>Lattice parameter before reaction</w:t>
            </w:r>
            <w:r w:rsidRPr="006D631C">
              <w:rPr>
                <w:b/>
                <w:bCs/>
                <w:color w:val="000000"/>
                <w:sz w:val="12"/>
                <w:szCs w:val="12"/>
              </w:rPr>
              <w:br/>
              <w:t>[nm]</w:t>
            </w:r>
          </w:p>
        </w:tc>
        <w:tc>
          <w:tcPr>
            <w:tcW w:w="1134" w:type="dxa"/>
            <w:tcBorders>
              <w:top w:val="single" w:sz="8" w:space="0" w:color="auto"/>
              <w:left w:val="nil"/>
              <w:bottom w:val="single" w:sz="8" w:space="0" w:color="auto"/>
              <w:right w:val="nil"/>
            </w:tcBorders>
            <w:shd w:val="clear" w:color="000000" w:fill="FFFFFF"/>
            <w:vAlign w:val="center"/>
            <w:hideMark/>
          </w:tcPr>
          <w:p w14:paraId="682ADECD" w14:textId="77777777" w:rsidR="00AE2528" w:rsidRPr="006D631C" w:rsidRDefault="00AE2528" w:rsidP="00AE2528">
            <w:pPr>
              <w:spacing w:line="240" w:lineRule="auto"/>
              <w:jc w:val="left"/>
              <w:rPr>
                <w:b/>
                <w:bCs/>
                <w:color w:val="000000"/>
                <w:sz w:val="12"/>
                <w:szCs w:val="12"/>
              </w:rPr>
            </w:pPr>
            <w:r w:rsidRPr="006D631C">
              <w:rPr>
                <w:b/>
                <w:bCs/>
                <w:color w:val="000000"/>
                <w:sz w:val="12"/>
                <w:szCs w:val="12"/>
              </w:rPr>
              <w:t>Lattice parameter after reaction</w:t>
            </w:r>
            <w:r w:rsidRPr="006D631C">
              <w:rPr>
                <w:b/>
                <w:bCs/>
                <w:color w:val="000000"/>
                <w:sz w:val="12"/>
                <w:szCs w:val="12"/>
              </w:rPr>
              <w:br/>
              <w:t>[nm]</w:t>
            </w:r>
          </w:p>
        </w:tc>
        <w:tc>
          <w:tcPr>
            <w:tcW w:w="5103" w:type="dxa"/>
            <w:tcBorders>
              <w:top w:val="single" w:sz="8" w:space="0" w:color="auto"/>
              <w:left w:val="nil"/>
              <w:bottom w:val="single" w:sz="8" w:space="0" w:color="auto"/>
              <w:right w:val="nil"/>
            </w:tcBorders>
            <w:shd w:val="clear" w:color="000000" w:fill="FFFFFF"/>
            <w:vAlign w:val="center"/>
          </w:tcPr>
          <w:p w14:paraId="4FB25562" w14:textId="77777777" w:rsidR="00AE2528" w:rsidRPr="006D631C" w:rsidRDefault="00AE2528" w:rsidP="00AE2528">
            <w:pPr>
              <w:spacing w:line="240" w:lineRule="auto"/>
              <w:jc w:val="left"/>
              <w:rPr>
                <w:b/>
                <w:bCs/>
                <w:color w:val="000000"/>
                <w:sz w:val="12"/>
                <w:szCs w:val="12"/>
              </w:rPr>
            </w:pPr>
            <w:r w:rsidRPr="006D631C">
              <w:rPr>
                <w:b/>
                <w:bCs/>
                <w:color w:val="000000"/>
                <w:sz w:val="12"/>
                <w:szCs w:val="12"/>
              </w:rPr>
              <w:t>Remarks</w:t>
            </w:r>
          </w:p>
        </w:tc>
        <w:tc>
          <w:tcPr>
            <w:tcW w:w="566" w:type="dxa"/>
            <w:tcBorders>
              <w:top w:val="single" w:sz="8" w:space="0" w:color="auto"/>
              <w:left w:val="nil"/>
              <w:bottom w:val="single" w:sz="8" w:space="0" w:color="auto"/>
              <w:right w:val="nil"/>
            </w:tcBorders>
            <w:shd w:val="clear" w:color="000000" w:fill="FFFFFF"/>
            <w:noWrap/>
            <w:vAlign w:val="center"/>
            <w:hideMark/>
          </w:tcPr>
          <w:p w14:paraId="0782748F" w14:textId="77777777" w:rsidR="00AE2528" w:rsidRPr="006D631C" w:rsidRDefault="00AE2528" w:rsidP="00AE2528">
            <w:pPr>
              <w:spacing w:line="240" w:lineRule="auto"/>
              <w:jc w:val="left"/>
              <w:rPr>
                <w:b/>
                <w:bCs/>
                <w:color w:val="000000"/>
                <w:sz w:val="12"/>
                <w:szCs w:val="12"/>
              </w:rPr>
            </w:pPr>
            <w:r w:rsidRPr="006D631C">
              <w:rPr>
                <w:b/>
                <w:bCs/>
                <w:color w:val="000000"/>
                <w:sz w:val="12"/>
                <w:szCs w:val="12"/>
              </w:rPr>
              <w:t>Ref.</w:t>
            </w:r>
          </w:p>
        </w:tc>
      </w:tr>
      <w:tr w:rsidR="00AE2528" w:rsidRPr="006D631C" w14:paraId="15387100" w14:textId="77777777" w:rsidTr="00AE2528">
        <w:trPr>
          <w:trHeight w:val="20"/>
        </w:trPr>
        <w:tc>
          <w:tcPr>
            <w:tcW w:w="851" w:type="dxa"/>
            <w:tcBorders>
              <w:top w:val="nil"/>
              <w:left w:val="nil"/>
              <w:bottom w:val="single" w:sz="4" w:space="0" w:color="auto"/>
              <w:right w:val="nil"/>
            </w:tcBorders>
            <w:shd w:val="clear" w:color="000000" w:fill="FFFFFF"/>
            <w:vAlign w:val="center"/>
          </w:tcPr>
          <w:p w14:paraId="4A4063D6" w14:textId="77777777" w:rsidR="00AE2528" w:rsidRPr="006D631C" w:rsidRDefault="00AE2528" w:rsidP="00AE2528">
            <w:pPr>
              <w:spacing w:line="240" w:lineRule="auto"/>
              <w:jc w:val="left"/>
              <w:rPr>
                <w:color w:val="000000"/>
                <w:sz w:val="12"/>
                <w:szCs w:val="12"/>
              </w:rPr>
            </w:pPr>
            <w:r w:rsidRPr="006D631C">
              <w:rPr>
                <w:sz w:val="12"/>
                <w:szCs w:val="12"/>
              </w:rPr>
              <w:t>M-28</w:t>
            </w:r>
          </w:p>
        </w:tc>
        <w:tc>
          <w:tcPr>
            <w:tcW w:w="850" w:type="dxa"/>
            <w:tcBorders>
              <w:top w:val="nil"/>
              <w:left w:val="nil"/>
              <w:bottom w:val="single" w:sz="4" w:space="0" w:color="auto"/>
              <w:right w:val="nil"/>
            </w:tcBorders>
            <w:shd w:val="clear" w:color="000000" w:fill="FFFFFF"/>
            <w:noWrap/>
            <w:vAlign w:val="center"/>
          </w:tcPr>
          <w:p w14:paraId="2342E32F" w14:textId="77777777" w:rsidR="00AE2528" w:rsidRPr="006D631C" w:rsidRDefault="00AE2528" w:rsidP="00AE2528">
            <w:pPr>
              <w:spacing w:line="240" w:lineRule="auto"/>
              <w:jc w:val="left"/>
              <w:rPr>
                <w:color w:val="000000"/>
                <w:sz w:val="12"/>
                <w:szCs w:val="12"/>
              </w:rPr>
            </w:pPr>
            <w:r w:rsidRPr="006D631C">
              <w:rPr>
                <w:sz w:val="12"/>
                <w:szCs w:val="12"/>
              </w:rPr>
              <w:t>A-14</w:t>
            </w:r>
          </w:p>
        </w:tc>
        <w:tc>
          <w:tcPr>
            <w:tcW w:w="567" w:type="dxa"/>
            <w:tcBorders>
              <w:top w:val="nil"/>
              <w:left w:val="nil"/>
              <w:bottom w:val="single" w:sz="4" w:space="0" w:color="auto"/>
              <w:right w:val="nil"/>
            </w:tcBorders>
            <w:shd w:val="clear" w:color="000000" w:fill="FFFFFF"/>
            <w:vAlign w:val="center"/>
          </w:tcPr>
          <w:p w14:paraId="58123EC4" w14:textId="77777777" w:rsidR="00AE2528" w:rsidRPr="006D631C" w:rsidRDefault="00AE2528" w:rsidP="00AE2528">
            <w:pPr>
              <w:spacing w:line="240" w:lineRule="auto"/>
              <w:jc w:val="left"/>
              <w:rPr>
                <w:color w:val="000000"/>
                <w:sz w:val="12"/>
                <w:szCs w:val="12"/>
              </w:rPr>
            </w:pPr>
            <w:r w:rsidRPr="006D631C">
              <w:rPr>
                <w:sz w:val="12"/>
                <w:szCs w:val="12"/>
              </w:rPr>
              <w:t>-</w:t>
            </w:r>
          </w:p>
        </w:tc>
        <w:tc>
          <w:tcPr>
            <w:tcW w:w="709" w:type="dxa"/>
            <w:tcBorders>
              <w:top w:val="nil"/>
              <w:left w:val="nil"/>
              <w:bottom w:val="single" w:sz="4" w:space="0" w:color="auto"/>
              <w:right w:val="nil"/>
            </w:tcBorders>
            <w:shd w:val="clear" w:color="000000" w:fill="FFFFFF"/>
            <w:vAlign w:val="center"/>
          </w:tcPr>
          <w:p w14:paraId="4EFEC3FD" w14:textId="77777777" w:rsidR="00AE2528" w:rsidRPr="006D631C" w:rsidRDefault="00AE2528" w:rsidP="00AE2528">
            <w:pPr>
              <w:spacing w:line="240" w:lineRule="auto"/>
              <w:jc w:val="left"/>
              <w:rPr>
                <w:color w:val="000000"/>
                <w:sz w:val="12"/>
                <w:szCs w:val="12"/>
              </w:rPr>
            </w:pPr>
            <w:r w:rsidRPr="006D631C">
              <w:rPr>
                <w:sz w:val="12"/>
                <w:szCs w:val="12"/>
              </w:rPr>
              <w:t>I-9</w:t>
            </w:r>
          </w:p>
        </w:tc>
        <w:tc>
          <w:tcPr>
            <w:tcW w:w="1134" w:type="dxa"/>
            <w:tcBorders>
              <w:top w:val="nil"/>
              <w:left w:val="nil"/>
              <w:bottom w:val="single" w:sz="4" w:space="0" w:color="auto"/>
              <w:right w:val="nil"/>
            </w:tcBorders>
            <w:shd w:val="clear" w:color="000000" w:fill="FFFFFF"/>
            <w:vAlign w:val="center"/>
          </w:tcPr>
          <w:p w14:paraId="1EB19223" w14:textId="77777777" w:rsidR="00AE2528" w:rsidRPr="006D631C" w:rsidRDefault="00AE2528" w:rsidP="00AE2528">
            <w:pPr>
              <w:spacing w:line="240" w:lineRule="auto"/>
              <w:jc w:val="left"/>
              <w:rPr>
                <w:color w:val="000000"/>
                <w:sz w:val="12"/>
                <w:szCs w:val="12"/>
              </w:rPr>
            </w:pPr>
            <w:r w:rsidRPr="006D631C">
              <w:rPr>
                <w:sz w:val="12"/>
                <w:szCs w:val="12"/>
              </w:rPr>
              <w:t>45 / 40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1D3FF84C" w14:textId="77777777" w:rsidR="00AE2528" w:rsidRPr="006D631C" w:rsidRDefault="00AE2528" w:rsidP="00AE2528">
            <w:pPr>
              <w:spacing w:line="240" w:lineRule="auto"/>
              <w:jc w:val="left"/>
              <w:rPr>
                <w:color w:val="000000"/>
                <w:sz w:val="12"/>
                <w:szCs w:val="12"/>
              </w:rPr>
            </w:pPr>
            <w:r w:rsidRPr="006D631C">
              <w:rPr>
                <w:sz w:val="12"/>
                <w:szCs w:val="12"/>
              </w:rPr>
              <w:t xml:space="preserve">Retention of the structure </w:t>
            </w:r>
          </w:p>
        </w:tc>
        <w:tc>
          <w:tcPr>
            <w:tcW w:w="993" w:type="dxa"/>
            <w:tcBorders>
              <w:top w:val="nil"/>
              <w:left w:val="nil"/>
              <w:bottom w:val="single" w:sz="4" w:space="0" w:color="auto"/>
              <w:right w:val="nil"/>
            </w:tcBorders>
            <w:shd w:val="clear" w:color="000000" w:fill="FFFFFF"/>
            <w:noWrap/>
            <w:vAlign w:val="center"/>
          </w:tcPr>
          <w:p w14:paraId="3A253C33" w14:textId="77777777" w:rsidR="00AE2528" w:rsidRPr="006D631C" w:rsidRDefault="00AE2528" w:rsidP="00AE2528">
            <w:pPr>
              <w:spacing w:line="240" w:lineRule="auto"/>
              <w:jc w:val="left"/>
              <w:rPr>
                <w:color w:val="000000"/>
                <w:sz w:val="12"/>
                <w:szCs w:val="12"/>
              </w:rPr>
            </w:pP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41833A08" w14:textId="77777777" w:rsidR="00AE2528" w:rsidRPr="006D631C" w:rsidRDefault="00AE2528" w:rsidP="00AE2528">
            <w:pPr>
              <w:spacing w:line="240" w:lineRule="auto"/>
              <w:jc w:val="left"/>
              <w:rPr>
                <w:color w:val="000000"/>
                <w:sz w:val="12"/>
                <w:szCs w:val="12"/>
              </w:rPr>
            </w:pPr>
            <w:r w:rsidRPr="006D631C">
              <w:rPr>
                <w:sz w:val="12"/>
                <w:szCs w:val="12"/>
              </w:rPr>
              <w:t>-</w:t>
            </w:r>
          </w:p>
        </w:tc>
        <w:tc>
          <w:tcPr>
            <w:tcW w:w="5103" w:type="dxa"/>
            <w:tcBorders>
              <w:top w:val="nil"/>
              <w:left w:val="nil"/>
              <w:bottom w:val="single" w:sz="4" w:space="0" w:color="auto"/>
              <w:right w:val="nil"/>
            </w:tcBorders>
            <w:shd w:val="clear" w:color="000000" w:fill="FFFFFF"/>
            <w:noWrap/>
            <w:vAlign w:val="center"/>
          </w:tcPr>
          <w:p w14:paraId="62562603"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The immiscible polymers of hydrophilic M-27a and hydrophobic M-28 formed interpenetrating polymer network</w:t>
            </w:r>
            <w:r w:rsidRPr="006D631C" w:rsidDel="009E0C12">
              <w:rPr>
                <w:rFonts w:eastAsia="Times New Roman" w:cs="Times New Roman"/>
                <w:sz w:val="12"/>
                <w:szCs w:val="12"/>
              </w:rPr>
              <w:t xml:space="preserve"> </w:t>
            </w:r>
            <w:r w:rsidRPr="006D631C">
              <w:rPr>
                <w:rFonts w:eastAsia="Times New Roman" w:cs="Times New Roman"/>
                <w:sz w:val="12"/>
                <w:szCs w:val="12"/>
              </w:rPr>
              <w:t>through LLC templating</w:t>
            </w:r>
          </w:p>
          <w:p w14:paraId="1DFD2A84"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 xml:space="preserve">The water uptake decreased linearly with an increase in M-28 content </w:t>
            </w:r>
          </w:p>
        </w:tc>
        <w:tc>
          <w:tcPr>
            <w:tcW w:w="566" w:type="dxa"/>
            <w:tcBorders>
              <w:top w:val="nil"/>
              <w:left w:val="nil"/>
              <w:bottom w:val="single" w:sz="4" w:space="0" w:color="auto"/>
              <w:right w:val="nil"/>
            </w:tcBorders>
            <w:shd w:val="clear" w:color="000000" w:fill="FFFFFF"/>
            <w:vAlign w:val="center"/>
          </w:tcPr>
          <w:p w14:paraId="1454D33C" w14:textId="77777777" w:rsidR="00AE2528" w:rsidRPr="006D631C" w:rsidRDefault="00AE2528" w:rsidP="00AE2528">
            <w:pPr>
              <w:spacing w:line="240" w:lineRule="auto"/>
              <w:jc w:val="left"/>
              <w:rPr>
                <w:color w:val="000000"/>
                <w:sz w:val="12"/>
                <w:szCs w:val="12"/>
              </w:rPr>
            </w:pPr>
            <w:r w:rsidRPr="006D631C">
              <w:rPr>
                <w:sz w:val="12"/>
                <w:szCs w:val="12"/>
              </w:rPr>
              <w:fldChar w:fldCharType="begin" w:fldLock="1"/>
            </w:r>
            <w:r w:rsidRPr="006D631C">
              <w:rPr>
                <w:sz w:val="12"/>
                <w:szCs w:val="12"/>
              </w:rPr>
              <w:instrText>ADDIN CSL_CITATION {"citationItems":[{"id":"ITEM-1","itemData":{"DOI":"10.1021/ma071070u","ISSN":"00249297","abstract":"In tissue engineering applications the physical properties and degradation behavior of the designed synthetic scaffold are crucial for successful growth and function of desired tissue. Combining two or more biodegradable polymers into a single biomaterial composite may provide a pathway toward achieving new and highly tailorable biomaterial properties by taking advantage of the distinct properties from each blend component. In this work, a nanostructured lyotropic liquid crystal (LLC) was used to induce irascibility between blends of two immiscible biodegradable polymer systems, leading to the formation of a compatible composite with advanced properties. The physical properties and degradative behavior of biomaterials made from formulations of PLA-b-PEG-b-PLA dimethacrylate, caprolactone dimethacrylate, and ethyloxy succinate dimethacrylate were directly controlled using the composition of each material, demonstrating that a high degree of compatibility can be attained from immiscible biopolymer systems using the LLC polymerization template. Specifically, by initially confining the immiscible monomers into the nanometer scale domains of the liquid crystal, composite materials were formed upon cross-linking that demonstrated IPN-type behavior with linear or additive contributions from each biopolymer constituent. The use of a nanostructured LLC to compatibilize immiscible biodegradable monomers represents a significant advancement in the formation of cross-linked biocomposites with highly tailorable properties for tissue engineering applications. © 2007 American Chemical Society.","author":[{"dropping-particle":"","family":"Clapper","given":"Jason D.","non-dropping-particle":"","parse-names":false,"suffix":""},{"dropping-particle":"","family":"Guymon","given":"C. Allan","non-dropping-particle":"","parse-names":false,"suffix":""}],"container-title":"Macromolecules","id":"ITEM-1","issue":"22","issued":{"date-parts":[["2007","10"]]},"page":"7951-7959","title":"Nanostructured biodegradable polymer composites generated using lyotropic liquid crystalline media","type":"article-journal","volume":"40"},"uris":["http://www.mendeley.com/documents/?uuid=57d76004-16a6-4d00-9785-7e68940afd25"]}],"mendeley":{"formattedCitation":"&lt;sup&gt;149&lt;/sup&gt;","plainTextFormattedCitation":"149","previouslyFormattedCitation":"&lt;sup&gt;149&lt;/sup&gt;"},"properties":{"noteIndex":0},"schema":"https://github.com/citation-style-language/schema/raw/master/csl-citation.json"}</w:instrText>
            </w:r>
            <w:r w:rsidRPr="006D631C">
              <w:rPr>
                <w:sz w:val="12"/>
                <w:szCs w:val="12"/>
              </w:rPr>
              <w:fldChar w:fldCharType="separate"/>
            </w:r>
            <w:r w:rsidRPr="006D631C">
              <w:rPr>
                <w:noProof/>
                <w:sz w:val="12"/>
                <w:szCs w:val="12"/>
                <w:vertAlign w:val="superscript"/>
              </w:rPr>
              <w:t>149</w:t>
            </w:r>
            <w:r w:rsidRPr="006D631C">
              <w:rPr>
                <w:sz w:val="12"/>
                <w:szCs w:val="12"/>
              </w:rPr>
              <w:fldChar w:fldCharType="end"/>
            </w:r>
          </w:p>
        </w:tc>
      </w:tr>
      <w:tr w:rsidR="00AE2528" w:rsidRPr="006D631C" w14:paraId="0F4F07E2" w14:textId="77777777" w:rsidTr="00AE2528">
        <w:trPr>
          <w:trHeight w:val="20"/>
        </w:trPr>
        <w:tc>
          <w:tcPr>
            <w:tcW w:w="851" w:type="dxa"/>
            <w:tcBorders>
              <w:top w:val="nil"/>
              <w:left w:val="nil"/>
              <w:bottom w:val="single" w:sz="4" w:space="0" w:color="auto"/>
              <w:right w:val="nil"/>
            </w:tcBorders>
            <w:shd w:val="clear" w:color="000000" w:fill="FFFFFF"/>
            <w:vAlign w:val="center"/>
          </w:tcPr>
          <w:p w14:paraId="3153DC6D" w14:textId="77777777" w:rsidR="00AE2528" w:rsidRPr="006D631C" w:rsidRDefault="00AE2528" w:rsidP="00AE2528">
            <w:pPr>
              <w:spacing w:line="240" w:lineRule="auto"/>
              <w:jc w:val="left"/>
              <w:rPr>
                <w:color w:val="000000"/>
                <w:sz w:val="12"/>
                <w:szCs w:val="12"/>
              </w:rPr>
            </w:pPr>
            <w:r w:rsidRPr="006D631C">
              <w:rPr>
                <w:sz w:val="12"/>
                <w:szCs w:val="12"/>
              </w:rPr>
              <w:t>M-29</w:t>
            </w:r>
          </w:p>
        </w:tc>
        <w:tc>
          <w:tcPr>
            <w:tcW w:w="12048" w:type="dxa"/>
            <w:gridSpan w:val="9"/>
            <w:tcBorders>
              <w:top w:val="single" w:sz="4" w:space="0" w:color="auto"/>
              <w:left w:val="nil"/>
              <w:bottom w:val="single" w:sz="4" w:space="0" w:color="auto"/>
            </w:tcBorders>
            <w:shd w:val="clear" w:color="000000" w:fill="FFFFFF"/>
            <w:noWrap/>
            <w:vAlign w:val="center"/>
          </w:tcPr>
          <w:p w14:paraId="793C09C0" w14:textId="77777777" w:rsidR="00AE2528" w:rsidRPr="006D631C" w:rsidRDefault="00AE2528" w:rsidP="00AE2528">
            <w:pPr>
              <w:spacing w:line="240" w:lineRule="auto"/>
              <w:jc w:val="left"/>
              <w:rPr>
                <w:color w:val="000000"/>
                <w:sz w:val="12"/>
                <w:szCs w:val="12"/>
              </w:rPr>
            </w:pPr>
            <w:r w:rsidRPr="006D631C">
              <w:rPr>
                <w:sz w:val="12"/>
                <w:szCs w:val="12"/>
              </w:rPr>
              <w:t>This monomer was discussed in M-10 section</w:t>
            </w:r>
          </w:p>
        </w:tc>
      </w:tr>
      <w:tr w:rsidR="00AE2528" w:rsidRPr="006D631C" w14:paraId="53AABDB8" w14:textId="77777777" w:rsidTr="00AE2528">
        <w:trPr>
          <w:trHeight w:val="20"/>
        </w:trPr>
        <w:tc>
          <w:tcPr>
            <w:tcW w:w="851" w:type="dxa"/>
            <w:tcBorders>
              <w:top w:val="nil"/>
              <w:left w:val="nil"/>
              <w:bottom w:val="single" w:sz="4" w:space="0" w:color="auto"/>
              <w:right w:val="nil"/>
            </w:tcBorders>
            <w:shd w:val="clear" w:color="000000" w:fill="FFFFFF"/>
            <w:vAlign w:val="center"/>
          </w:tcPr>
          <w:p w14:paraId="65EE29C3" w14:textId="77777777" w:rsidR="00AE2528" w:rsidRPr="006D631C" w:rsidRDefault="00AE2528" w:rsidP="00AE2528">
            <w:pPr>
              <w:spacing w:line="240" w:lineRule="auto"/>
              <w:jc w:val="left"/>
              <w:rPr>
                <w:color w:val="000000"/>
                <w:sz w:val="12"/>
                <w:szCs w:val="12"/>
              </w:rPr>
            </w:pPr>
            <w:r w:rsidRPr="006D631C">
              <w:rPr>
                <w:sz w:val="12"/>
                <w:szCs w:val="12"/>
              </w:rPr>
              <w:t>M-30</w:t>
            </w:r>
          </w:p>
        </w:tc>
        <w:tc>
          <w:tcPr>
            <w:tcW w:w="850" w:type="dxa"/>
            <w:tcBorders>
              <w:top w:val="nil"/>
              <w:left w:val="nil"/>
              <w:bottom w:val="single" w:sz="4" w:space="0" w:color="auto"/>
              <w:right w:val="nil"/>
            </w:tcBorders>
            <w:shd w:val="clear" w:color="000000" w:fill="FFFFFF"/>
            <w:noWrap/>
            <w:vAlign w:val="center"/>
          </w:tcPr>
          <w:p w14:paraId="7CC514AC" w14:textId="77777777" w:rsidR="00AE2528" w:rsidRPr="006D631C" w:rsidRDefault="00AE2528" w:rsidP="00AE2528">
            <w:pPr>
              <w:spacing w:line="240" w:lineRule="auto"/>
              <w:jc w:val="left"/>
              <w:rPr>
                <w:color w:val="000000"/>
                <w:sz w:val="12"/>
                <w:szCs w:val="12"/>
              </w:rPr>
            </w:pPr>
            <w:r w:rsidRPr="006D631C">
              <w:rPr>
                <w:sz w:val="12"/>
                <w:szCs w:val="12"/>
              </w:rPr>
              <w:t>A-14</w:t>
            </w:r>
          </w:p>
        </w:tc>
        <w:tc>
          <w:tcPr>
            <w:tcW w:w="567" w:type="dxa"/>
            <w:tcBorders>
              <w:top w:val="nil"/>
              <w:left w:val="nil"/>
              <w:bottom w:val="single" w:sz="4" w:space="0" w:color="auto"/>
              <w:right w:val="nil"/>
            </w:tcBorders>
            <w:shd w:val="clear" w:color="000000" w:fill="FFFFFF"/>
            <w:vAlign w:val="center"/>
          </w:tcPr>
          <w:p w14:paraId="2FB70DD6" w14:textId="77777777" w:rsidR="00AE2528" w:rsidRPr="006D631C" w:rsidRDefault="00AE2528" w:rsidP="00AE2528">
            <w:pPr>
              <w:spacing w:line="240" w:lineRule="auto"/>
              <w:jc w:val="left"/>
              <w:rPr>
                <w:color w:val="000000"/>
                <w:sz w:val="12"/>
                <w:szCs w:val="12"/>
              </w:rPr>
            </w:pPr>
            <w:r w:rsidRPr="006D631C">
              <w:rPr>
                <w:sz w:val="12"/>
                <w:szCs w:val="12"/>
              </w:rPr>
              <w:t>-</w:t>
            </w:r>
          </w:p>
        </w:tc>
        <w:tc>
          <w:tcPr>
            <w:tcW w:w="709" w:type="dxa"/>
            <w:tcBorders>
              <w:top w:val="nil"/>
              <w:left w:val="nil"/>
              <w:bottom w:val="single" w:sz="4" w:space="0" w:color="auto"/>
              <w:right w:val="nil"/>
            </w:tcBorders>
            <w:shd w:val="clear" w:color="000000" w:fill="FFFFFF"/>
            <w:vAlign w:val="center"/>
          </w:tcPr>
          <w:p w14:paraId="1C9A8E41" w14:textId="77777777" w:rsidR="00AE2528" w:rsidRPr="006D631C" w:rsidRDefault="00AE2528" w:rsidP="00AE2528">
            <w:pPr>
              <w:spacing w:line="240" w:lineRule="auto"/>
              <w:jc w:val="left"/>
              <w:rPr>
                <w:color w:val="000000"/>
                <w:sz w:val="12"/>
                <w:szCs w:val="12"/>
              </w:rPr>
            </w:pPr>
            <w:r w:rsidRPr="006D631C">
              <w:rPr>
                <w:sz w:val="12"/>
                <w:szCs w:val="12"/>
              </w:rPr>
              <w:t>I-9</w:t>
            </w:r>
          </w:p>
        </w:tc>
        <w:tc>
          <w:tcPr>
            <w:tcW w:w="1134" w:type="dxa"/>
            <w:tcBorders>
              <w:top w:val="nil"/>
              <w:left w:val="nil"/>
              <w:bottom w:val="single" w:sz="4" w:space="0" w:color="auto"/>
              <w:right w:val="nil"/>
            </w:tcBorders>
            <w:shd w:val="clear" w:color="000000" w:fill="FFFFFF"/>
            <w:vAlign w:val="center"/>
          </w:tcPr>
          <w:p w14:paraId="70502056" w14:textId="77777777" w:rsidR="00AE2528" w:rsidRPr="006D631C" w:rsidRDefault="00AE2528" w:rsidP="00AE2528">
            <w:pPr>
              <w:spacing w:line="240" w:lineRule="auto"/>
              <w:jc w:val="left"/>
              <w:rPr>
                <w:color w:val="000000"/>
                <w:sz w:val="12"/>
                <w:szCs w:val="12"/>
              </w:rPr>
            </w:pPr>
            <w:r w:rsidRPr="006D631C">
              <w:rPr>
                <w:sz w:val="12"/>
                <w:szCs w:val="12"/>
              </w:rPr>
              <w:t xml:space="preserve">Specific contents of A-14 and 40 </w:t>
            </w:r>
            <w:proofErr w:type="spellStart"/>
            <w:r w:rsidRPr="006D631C">
              <w:rPr>
                <w:sz w:val="12"/>
                <w:szCs w:val="12"/>
              </w:rPr>
              <w:t>wt</w:t>
            </w:r>
            <w:proofErr w:type="spellEnd"/>
            <w:r w:rsidRPr="006D631C">
              <w:rPr>
                <w:sz w:val="12"/>
                <w:szCs w:val="12"/>
              </w:rPr>
              <w:t>% M-30 (</w:t>
            </w:r>
            <w:r w:rsidRPr="006D631C">
              <w:rPr>
                <w:color w:val="000000"/>
                <w:sz w:val="12"/>
                <w:szCs w:val="12"/>
              </w:rPr>
              <w:t xml:space="preserve"> H</w:t>
            </w:r>
            <w:r w:rsidRPr="006D631C">
              <w:rPr>
                <w:color w:val="000000"/>
                <w:sz w:val="12"/>
                <w:szCs w:val="12"/>
                <w:vertAlign w:val="subscript"/>
              </w:rPr>
              <w:t>1</w:t>
            </w:r>
            <w:r w:rsidRPr="006D631C">
              <w:rPr>
                <w:sz w:val="12"/>
                <w:szCs w:val="12"/>
              </w:rPr>
              <w:t xml:space="preserve">,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4CF58372" w14:textId="77777777" w:rsidR="00AE2528" w:rsidRPr="006D631C" w:rsidRDefault="00AE2528" w:rsidP="00AE2528">
            <w:pPr>
              <w:spacing w:line="240" w:lineRule="auto"/>
              <w:jc w:val="left"/>
              <w:rPr>
                <w:color w:val="000000"/>
                <w:sz w:val="12"/>
                <w:szCs w:val="12"/>
              </w:rPr>
            </w:pPr>
            <w:r w:rsidRPr="006D631C">
              <w:rPr>
                <w:sz w:val="12"/>
                <w:szCs w:val="12"/>
              </w:rPr>
              <w:t>-</w:t>
            </w:r>
          </w:p>
        </w:tc>
        <w:tc>
          <w:tcPr>
            <w:tcW w:w="993" w:type="dxa"/>
            <w:tcBorders>
              <w:top w:val="nil"/>
              <w:left w:val="nil"/>
              <w:bottom w:val="single" w:sz="4" w:space="0" w:color="auto"/>
              <w:right w:val="nil"/>
            </w:tcBorders>
            <w:shd w:val="clear" w:color="000000" w:fill="FFFFFF"/>
            <w:noWrap/>
            <w:vAlign w:val="center"/>
          </w:tcPr>
          <w:p w14:paraId="01C07E2A" w14:textId="77777777" w:rsidR="00AE2528" w:rsidRPr="006D631C" w:rsidRDefault="00AE2528" w:rsidP="00AE2528">
            <w:pPr>
              <w:spacing w:line="240" w:lineRule="auto"/>
              <w:jc w:val="left"/>
              <w:rPr>
                <w:color w:val="000000"/>
                <w:sz w:val="12"/>
                <w:szCs w:val="12"/>
              </w:rPr>
            </w:pP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50B4CB40" w14:textId="77777777" w:rsidR="00AE2528" w:rsidRPr="006D631C" w:rsidRDefault="00AE2528" w:rsidP="00AE2528">
            <w:pPr>
              <w:spacing w:line="240" w:lineRule="auto"/>
              <w:jc w:val="left"/>
              <w:rPr>
                <w:color w:val="000000"/>
                <w:sz w:val="12"/>
                <w:szCs w:val="12"/>
              </w:rPr>
            </w:pPr>
            <w:r w:rsidRPr="006D631C">
              <w:rPr>
                <w:sz w:val="12"/>
                <w:szCs w:val="12"/>
              </w:rPr>
              <w:t>-</w:t>
            </w:r>
          </w:p>
        </w:tc>
        <w:tc>
          <w:tcPr>
            <w:tcW w:w="5103" w:type="dxa"/>
            <w:tcBorders>
              <w:top w:val="nil"/>
              <w:left w:val="nil"/>
              <w:bottom w:val="single" w:sz="4" w:space="0" w:color="auto"/>
              <w:right w:val="nil"/>
            </w:tcBorders>
            <w:shd w:val="clear" w:color="000000" w:fill="FFFFFF"/>
            <w:noWrap/>
            <w:vAlign w:val="center"/>
          </w:tcPr>
          <w:p w14:paraId="42E646B8"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 xml:space="preserve">Enhanced water uptake of the gel obtained from the parent LLC with </w:t>
            </w:r>
            <w:r w:rsidRPr="006D631C">
              <w:rPr>
                <w:rFonts w:eastAsia="Times New Roman" w:cs="Times New Roman"/>
                <w:color w:val="000000"/>
                <w:sz w:val="12"/>
                <w:szCs w:val="12"/>
              </w:rPr>
              <w:t>H</w:t>
            </w:r>
            <w:r w:rsidRPr="006D631C">
              <w:rPr>
                <w:rFonts w:eastAsia="Times New Roman" w:cs="Times New Roman"/>
                <w:color w:val="000000"/>
                <w:sz w:val="12"/>
                <w:szCs w:val="12"/>
                <w:vertAlign w:val="subscript"/>
              </w:rPr>
              <w:t>1</w:t>
            </w:r>
            <w:r w:rsidRPr="006D631C">
              <w:rPr>
                <w:rFonts w:eastAsia="Times New Roman" w:cs="Times New Roman"/>
                <w:sz w:val="12"/>
                <w:szCs w:val="12"/>
              </w:rPr>
              <w:t xml:space="preserve"> structure while maintaining high compressive modulus</w:t>
            </w:r>
          </w:p>
          <w:p w14:paraId="1733E3FA"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 xml:space="preserve">The obtained gel from </w:t>
            </w:r>
            <w:r w:rsidRPr="006D631C">
              <w:rPr>
                <w:rFonts w:eastAsia="Times New Roman" w:cs="Times New Roman"/>
                <w:color w:val="000000"/>
                <w:sz w:val="12"/>
                <w:szCs w:val="12"/>
              </w:rPr>
              <w:t>H</w:t>
            </w:r>
            <w:r w:rsidRPr="006D631C">
              <w:rPr>
                <w:rFonts w:eastAsia="Times New Roman" w:cs="Times New Roman"/>
                <w:color w:val="000000"/>
                <w:sz w:val="12"/>
                <w:szCs w:val="12"/>
                <w:vertAlign w:val="subscript"/>
              </w:rPr>
              <w:t>1</w:t>
            </w:r>
            <w:r w:rsidRPr="006D631C">
              <w:rPr>
                <w:rFonts w:eastAsia="Times New Roman" w:cs="Times New Roman"/>
                <w:sz w:val="12"/>
                <w:szCs w:val="12"/>
              </w:rPr>
              <w:t xml:space="preserve"> LLC structure seemed to be a perfect candidate for tissue engineering scaffolds</w:t>
            </w:r>
          </w:p>
        </w:tc>
        <w:tc>
          <w:tcPr>
            <w:tcW w:w="566" w:type="dxa"/>
            <w:tcBorders>
              <w:top w:val="nil"/>
              <w:left w:val="nil"/>
              <w:bottom w:val="single" w:sz="4" w:space="0" w:color="auto"/>
              <w:right w:val="nil"/>
            </w:tcBorders>
            <w:shd w:val="clear" w:color="000000" w:fill="FFFFFF"/>
            <w:vAlign w:val="center"/>
          </w:tcPr>
          <w:p w14:paraId="3CBDAD36" w14:textId="3CAB5AA8" w:rsidR="00AE2528" w:rsidRPr="006D631C" w:rsidRDefault="00AE2528" w:rsidP="002E14E4">
            <w:pPr>
              <w:spacing w:line="240" w:lineRule="auto"/>
              <w:jc w:val="left"/>
              <w:rPr>
                <w:color w:val="000000"/>
                <w:sz w:val="12"/>
                <w:szCs w:val="12"/>
              </w:rPr>
            </w:pPr>
            <w:r w:rsidRPr="006D631C">
              <w:rPr>
                <w:sz w:val="12"/>
                <w:szCs w:val="12"/>
              </w:rPr>
              <w:fldChar w:fldCharType="begin" w:fldLock="1"/>
            </w:r>
            <w:r w:rsidR="005C60C1" w:rsidRPr="006D631C">
              <w:rPr>
                <w:sz w:val="12"/>
                <w:szCs w:val="12"/>
              </w:rPr>
              <w:instrText>ADDIN CSL_CITATION {"citationItems":[{"id":"ITEM-1","itemData":{"DOI":"10.1080/15421400903065002","ISSN":"15635287","abstract":"Much research has focused on the control of material structure on the nanometer size scale. The self assembled, highly organized solutions inherent to lyotropic liquid crystals (LLCs) have recently emerged as promising tools in the synthesis of organic nanostructured materials. In this work highly ordered LLC morphologies have been utilized as polymerization templates to dictate and achieve unique polymer network structure. The influence of nanoscale organization of the monomer is directly related to the physical and diffusive behavior of the resulting polymer. Additionally, LLC ordered solutions have shown great promise in compatibilizing blends of immiscible monomers. To this end, the precise organization of the LLC has been investigated as a means to segregate immiscible monomers into isolated nanoscale domains for the copolymerization of two separate but interconnected networks. The results from this study have demonstrated that the network structure of PEGDA hydrogels or PEGDA/HDDA blends can be directed by LLC templates, and that the physical properties of the templated materials are indeed influenced by the network structure induced by the templating process. This work has established that LLCs are an important tool in the creation of materials with nanoscopic architecture that directly leads to attractive and previously unattainable materials properties. Copyright © Taylor &amp; Francis Group, LLC.","author":[{"dropping-particle":"","family":"Clapper","given":"Jason D.","non-dropping-particle":"","parse-names":false,"suffix":""},{"dropping-particle":"","family":"Guymon","given":"C. Allan","non-dropping-particle":"","parse-names":false,"suffix":""}],"container-title":"Molecular Crystals and Liquid Crystals","id":"ITEM-1","issue":"1","issued":{"date-parts":[["2009","9","3"]]},"page":"30/[772]-38/[780]","title":"Nanostructured hydrogels via photopolymerization in lyotropic liquid crystalline systems","type":"article-journal","volume":"509"},"uris":["http://www.mendeley.com/documents/?uuid=05af8024-a4fb-4e19-a6ff-77bdc878f76d"]}],"mendeley":{"formattedCitation":"&lt;sup&gt;46&lt;/sup&gt;","plainTextFormattedCitation":"46","previouslyFormattedCitation":"&lt;sup&gt;46&lt;/sup&gt;"},"properties":{"noteIndex":0},"schema":"https://github.com/citation-style-language/schema/raw/master/csl-citation.json"}</w:instrText>
            </w:r>
            <w:r w:rsidRPr="006D631C">
              <w:rPr>
                <w:sz w:val="12"/>
                <w:szCs w:val="12"/>
              </w:rPr>
              <w:fldChar w:fldCharType="separate"/>
            </w:r>
            <w:r w:rsidR="002E14E4" w:rsidRPr="006D631C">
              <w:rPr>
                <w:noProof/>
                <w:sz w:val="12"/>
                <w:szCs w:val="12"/>
                <w:vertAlign w:val="superscript"/>
              </w:rPr>
              <w:t>46</w:t>
            </w:r>
            <w:r w:rsidRPr="006D631C">
              <w:rPr>
                <w:sz w:val="12"/>
                <w:szCs w:val="12"/>
              </w:rPr>
              <w:fldChar w:fldCharType="end"/>
            </w:r>
          </w:p>
        </w:tc>
      </w:tr>
      <w:tr w:rsidR="00AE2528" w:rsidRPr="006D631C" w14:paraId="1070556B" w14:textId="77777777" w:rsidTr="00AE2528">
        <w:trPr>
          <w:trHeight w:val="20"/>
        </w:trPr>
        <w:tc>
          <w:tcPr>
            <w:tcW w:w="851" w:type="dxa"/>
            <w:tcBorders>
              <w:top w:val="nil"/>
              <w:left w:val="nil"/>
              <w:bottom w:val="single" w:sz="4" w:space="0" w:color="auto"/>
              <w:right w:val="nil"/>
            </w:tcBorders>
            <w:shd w:val="clear" w:color="000000" w:fill="FFFFFF"/>
            <w:vAlign w:val="center"/>
          </w:tcPr>
          <w:p w14:paraId="583D1229" w14:textId="77777777" w:rsidR="00AE2528" w:rsidRPr="006D631C" w:rsidRDefault="00AE2528" w:rsidP="00AE2528">
            <w:pPr>
              <w:spacing w:line="240" w:lineRule="auto"/>
              <w:jc w:val="left"/>
              <w:rPr>
                <w:color w:val="000000"/>
                <w:sz w:val="12"/>
                <w:szCs w:val="12"/>
              </w:rPr>
            </w:pPr>
            <w:r w:rsidRPr="006D631C">
              <w:rPr>
                <w:sz w:val="12"/>
                <w:szCs w:val="12"/>
              </w:rPr>
              <w:t>M-31</w:t>
            </w:r>
          </w:p>
        </w:tc>
        <w:tc>
          <w:tcPr>
            <w:tcW w:w="12048" w:type="dxa"/>
            <w:gridSpan w:val="9"/>
            <w:tcBorders>
              <w:top w:val="nil"/>
              <w:left w:val="nil"/>
              <w:bottom w:val="single" w:sz="4" w:space="0" w:color="auto"/>
              <w:right w:val="nil"/>
            </w:tcBorders>
            <w:shd w:val="clear" w:color="000000" w:fill="FFFFFF"/>
            <w:noWrap/>
            <w:vAlign w:val="center"/>
          </w:tcPr>
          <w:p w14:paraId="39EE9253" w14:textId="77777777" w:rsidR="00AE2528" w:rsidRPr="006D631C" w:rsidRDefault="00AE2528" w:rsidP="00AE2528">
            <w:pPr>
              <w:spacing w:line="240" w:lineRule="auto"/>
              <w:jc w:val="left"/>
              <w:rPr>
                <w:color w:val="000000"/>
                <w:sz w:val="12"/>
                <w:szCs w:val="12"/>
              </w:rPr>
            </w:pPr>
            <w:r w:rsidRPr="006D631C">
              <w:rPr>
                <w:sz w:val="12"/>
                <w:szCs w:val="12"/>
              </w:rPr>
              <w:t>This monomer was discussed in synergistic templating. See Table 1-2/P-A-38 section </w:t>
            </w:r>
          </w:p>
        </w:tc>
      </w:tr>
      <w:tr w:rsidR="00AE2528" w:rsidRPr="006D631C" w14:paraId="280CCE39" w14:textId="77777777" w:rsidTr="00AE2528">
        <w:trPr>
          <w:trHeight w:val="20"/>
        </w:trPr>
        <w:tc>
          <w:tcPr>
            <w:tcW w:w="851" w:type="dxa"/>
            <w:tcBorders>
              <w:top w:val="nil"/>
              <w:left w:val="nil"/>
              <w:bottom w:val="single" w:sz="4" w:space="0" w:color="auto"/>
              <w:right w:val="nil"/>
            </w:tcBorders>
            <w:shd w:val="clear" w:color="000000" w:fill="FFFFFF"/>
            <w:vAlign w:val="center"/>
          </w:tcPr>
          <w:p w14:paraId="4089A67D" w14:textId="77777777" w:rsidR="00AE2528" w:rsidRPr="006D631C" w:rsidRDefault="00AE2528" w:rsidP="00AE2528">
            <w:pPr>
              <w:spacing w:line="240" w:lineRule="auto"/>
              <w:jc w:val="left"/>
              <w:rPr>
                <w:color w:val="000000"/>
                <w:sz w:val="12"/>
                <w:szCs w:val="12"/>
              </w:rPr>
            </w:pPr>
            <w:r w:rsidRPr="006D631C">
              <w:rPr>
                <w:sz w:val="12"/>
                <w:szCs w:val="12"/>
              </w:rPr>
              <w:t>M-32</w:t>
            </w:r>
          </w:p>
        </w:tc>
        <w:tc>
          <w:tcPr>
            <w:tcW w:w="850" w:type="dxa"/>
            <w:tcBorders>
              <w:top w:val="nil"/>
              <w:left w:val="nil"/>
              <w:bottom w:val="single" w:sz="4" w:space="0" w:color="auto"/>
              <w:right w:val="nil"/>
            </w:tcBorders>
            <w:shd w:val="clear" w:color="000000" w:fill="FFFFFF"/>
            <w:noWrap/>
            <w:vAlign w:val="center"/>
          </w:tcPr>
          <w:p w14:paraId="7BC4E139" w14:textId="77777777" w:rsidR="00AE2528" w:rsidRPr="006D631C" w:rsidRDefault="00AE2528" w:rsidP="00AE2528">
            <w:pPr>
              <w:spacing w:line="240" w:lineRule="auto"/>
              <w:jc w:val="left"/>
              <w:rPr>
                <w:color w:val="000000"/>
                <w:sz w:val="12"/>
                <w:szCs w:val="12"/>
              </w:rPr>
            </w:pPr>
            <w:r w:rsidRPr="006D631C">
              <w:rPr>
                <w:sz w:val="12"/>
                <w:szCs w:val="12"/>
              </w:rPr>
              <w:t>A-19c</w:t>
            </w:r>
          </w:p>
        </w:tc>
        <w:tc>
          <w:tcPr>
            <w:tcW w:w="567" w:type="dxa"/>
            <w:tcBorders>
              <w:top w:val="nil"/>
              <w:left w:val="nil"/>
              <w:bottom w:val="single" w:sz="4" w:space="0" w:color="auto"/>
              <w:right w:val="nil"/>
            </w:tcBorders>
            <w:shd w:val="clear" w:color="000000" w:fill="FFFFFF"/>
            <w:vAlign w:val="center"/>
          </w:tcPr>
          <w:p w14:paraId="4B01436A" w14:textId="77777777" w:rsidR="00AE2528" w:rsidRPr="006D631C" w:rsidRDefault="00AE2528" w:rsidP="00AE2528">
            <w:pPr>
              <w:spacing w:line="240" w:lineRule="auto"/>
              <w:jc w:val="left"/>
              <w:rPr>
                <w:color w:val="000000"/>
                <w:sz w:val="12"/>
                <w:szCs w:val="12"/>
              </w:rPr>
            </w:pPr>
            <w:r w:rsidRPr="006D631C">
              <w:rPr>
                <w:sz w:val="12"/>
                <w:szCs w:val="12"/>
              </w:rPr>
              <w:t>C-8,     C-10a or C-11</w:t>
            </w:r>
          </w:p>
        </w:tc>
        <w:tc>
          <w:tcPr>
            <w:tcW w:w="709" w:type="dxa"/>
            <w:tcBorders>
              <w:top w:val="nil"/>
              <w:left w:val="nil"/>
              <w:bottom w:val="single" w:sz="4" w:space="0" w:color="auto"/>
              <w:right w:val="nil"/>
            </w:tcBorders>
            <w:shd w:val="clear" w:color="000000" w:fill="FFFFFF"/>
            <w:vAlign w:val="center"/>
          </w:tcPr>
          <w:p w14:paraId="0A840F28" w14:textId="77777777" w:rsidR="00AE2528" w:rsidRPr="006D631C" w:rsidRDefault="00AE2528" w:rsidP="00AE2528">
            <w:pPr>
              <w:spacing w:line="240" w:lineRule="auto"/>
              <w:jc w:val="left"/>
              <w:rPr>
                <w:color w:val="000000"/>
                <w:sz w:val="12"/>
                <w:szCs w:val="12"/>
              </w:rPr>
            </w:pPr>
            <w:r w:rsidRPr="006D631C">
              <w:rPr>
                <w:sz w:val="12"/>
                <w:szCs w:val="12"/>
              </w:rPr>
              <w:t>I-18</w:t>
            </w:r>
          </w:p>
        </w:tc>
        <w:tc>
          <w:tcPr>
            <w:tcW w:w="1134" w:type="dxa"/>
            <w:tcBorders>
              <w:top w:val="nil"/>
              <w:left w:val="nil"/>
              <w:bottom w:val="single" w:sz="4" w:space="0" w:color="auto"/>
              <w:right w:val="nil"/>
            </w:tcBorders>
            <w:shd w:val="clear" w:color="000000" w:fill="FFFFFF"/>
            <w:vAlign w:val="center"/>
          </w:tcPr>
          <w:p w14:paraId="07461640" w14:textId="77777777" w:rsidR="00AE2528" w:rsidRPr="006D631C" w:rsidRDefault="00AE2528" w:rsidP="00AE2528">
            <w:pPr>
              <w:spacing w:line="240" w:lineRule="auto"/>
              <w:jc w:val="left"/>
              <w:rPr>
                <w:color w:val="000000"/>
                <w:sz w:val="12"/>
                <w:szCs w:val="12"/>
              </w:rPr>
            </w:pPr>
            <w:r w:rsidRPr="006D631C">
              <w:rPr>
                <w:sz w:val="12"/>
                <w:szCs w:val="12"/>
              </w:rPr>
              <w:t>50 / 17.5 (</w:t>
            </w:r>
            <w:r w:rsidRPr="006D631C">
              <w:rPr>
                <w:color w:val="000000"/>
                <w:sz w:val="12"/>
                <w:szCs w:val="12"/>
              </w:rPr>
              <w:t>H</w:t>
            </w:r>
            <w:r w:rsidRPr="006D631C">
              <w:rPr>
                <w:color w:val="000000"/>
                <w:sz w:val="12"/>
                <w:szCs w:val="12"/>
                <w:vertAlign w:val="subscript"/>
              </w:rPr>
              <w:t>2</w:t>
            </w:r>
            <w:r w:rsidRPr="006D631C">
              <w:rPr>
                <w:sz w:val="12"/>
                <w:szCs w:val="12"/>
              </w:rPr>
              <w:t>)</w:t>
            </w:r>
            <w:r w:rsidRPr="006D631C">
              <w:rPr>
                <w:sz w:val="12"/>
                <w:szCs w:val="12"/>
              </w:rPr>
              <w:br/>
              <w:t>50 / 25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992" w:type="dxa"/>
            <w:tcBorders>
              <w:top w:val="nil"/>
              <w:left w:val="nil"/>
              <w:bottom w:val="single" w:sz="4" w:space="0" w:color="auto"/>
              <w:right w:val="nil"/>
            </w:tcBorders>
            <w:shd w:val="clear" w:color="000000" w:fill="FFFFFF"/>
            <w:noWrap/>
            <w:vAlign w:val="center"/>
          </w:tcPr>
          <w:p w14:paraId="26D048E1" w14:textId="77777777" w:rsidR="00AE2528" w:rsidRPr="006D631C" w:rsidRDefault="00AE2528" w:rsidP="00AE2528">
            <w:pPr>
              <w:spacing w:line="240" w:lineRule="auto"/>
              <w:jc w:val="left"/>
              <w:rPr>
                <w:color w:val="000000"/>
                <w:sz w:val="12"/>
                <w:szCs w:val="12"/>
              </w:rPr>
            </w:pPr>
            <w:r w:rsidRPr="006D631C">
              <w:rPr>
                <w:sz w:val="12"/>
                <w:szCs w:val="12"/>
              </w:rPr>
              <w:t>Retention of the structures</w:t>
            </w:r>
          </w:p>
        </w:tc>
        <w:tc>
          <w:tcPr>
            <w:tcW w:w="993" w:type="dxa"/>
            <w:tcBorders>
              <w:top w:val="nil"/>
              <w:left w:val="nil"/>
              <w:bottom w:val="single" w:sz="4" w:space="0" w:color="auto"/>
              <w:right w:val="nil"/>
            </w:tcBorders>
            <w:shd w:val="clear" w:color="000000" w:fill="FFFFFF"/>
            <w:noWrap/>
            <w:vAlign w:val="center"/>
          </w:tcPr>
          <w:p w14:paraId="1F8898FC" w14:textId="77777777" w:rsidR="00AE2528" w:rsidRPr="006D631C" w:rsidRDefault="00AE2528" w:rsidP="00AE2528">
            <w:pPr>
              <w:spacing w:line="240" w:lineRule="auto"/>
              <w:jc w:val="left"/>
              <w:rPr>
                <w:color w:val="000000"/>
                <w:sz w:val="12"/>
                <w:szCs w:val="12"/>
              </w:rPr>
            </w:pPr>
            <w:r w:rsidRPr="006D631C">
              <w:rPr>
                <w:sz w:val="12"/>
                <w:szCs w:val="12"/>
              </w:rPr>
              <w:t>9.3 (</w:t>
            </w:r>
            <w:r w:rsidRPr="006D631C">
              <w:rPr>
                <w:color w:val="000000"/>
                <w:sz w:val="12"/>
                <w:szCs w:val="12"/>
              </w:rPr>
              <w:t>H</w:t>
            </w:r>
            <w:r w:rsidRPr="006D631C">
              <w:rPr>
                <w:color w:val="000000"/>
                <w:sz w:val="12"/>
                <w:szCs w:val="12"/>
                <w:vertAlign w:val="subscript"/>
              </w:rPr>
              <w:t>2</w:t>
            </w:r>
            <w:r w:rsidRPr="006D631C">
              <w:rPr>
                <w:sz w:val="12"/>
                <w:szCs w:val="12"/>
              </w:rPr>
              <w:t>)</w:t>
            </w:r>
            <w:r w:rsidRPr="006D631C">
              <w:rPr>
                <w:sz w:val="12"/>
                <w:szCs w:val="12"/>
              </w:rPr>
              <w:br/>
              <w:t>6.9 - 7.4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1134" w:type="dxa"/>
            <w:tcBorders>
              <w:top w:val="nil"/>
              <w:left w:val="nil"/>
              <w:bottom w:val="single" w:sz="4" w:space="0" w:color="auto"/>
              <w:right w:val="nil"/>
            </w:tcBorders>
            <w:shd w:val="clear" w:color="000000" w:fill="FFFFFF"/>
            <w:noWrap/>
            <w:vAlign w:val="center"/>
          </w:tcPr>
          <w:p w14:paraId="5661CCB1" w14:textId="77777777" w:rsidR="00AE2528" w:rsidRPr="006D631C" w:rsidRDefault="00AE2528" w:rsidP="00AE2528">
            <w:pPr>
              <w:spacing w:line="240" w:lineRule="auto"/>
              <w:jc w:val="left"/>
              <w:rPr>
                <w:color w:val="000000"/>
                <w:sz w:val="12"/>
                <w:szCs w:val="12"/>
              </w:rPr>
            </w:pPr>
            <w:r w:rsidRPr="006D631C">
              <w:rPr>
                <w:sz w:val="12"/>
                <w:szCs w:val="12"/>
              </w:rPr>
              <w:t>9.5 (</w:t>
            </w:r>
            <w:r w:rsidRPr="006D631C">
              <w:rPr>
                <w:color w:val="000000"/>
                <w:sz w:val="12"/>
                <w:szCs w:val="12"/>
              </w:rPr>
              <w:t>H</w:t>
            </w:r>
            <w:r w:rsidRPr="006D631C">
              <w:rPr>
                <w:color w:val="000000"/>
                <w:sz w:val="12"/>
                <w:szCs w:val="12"/>
                <w:vertAlign w:val="subscript"/>
              </w:rPr>
              <w:t>2</w:t>
            </w:r>
            <w:r w:rsidRPr="006D631C">
              <w:rPr>
                <w:sz w:val="12"/>
                <w:szCs w:val="12"/>
              </w:rPr>
              <w:t>)</w:t>
            </w:r>
            <w:r w:rsidRPr="006D631C">
              <w:rPr>
                <w:sz w:val="12"/>
                <w:szCs w:val="12"/>
              </w:rPr>
              <w:br/>
              <w:t>7.3 - 7.5 (</w:t>
            </w:r>
            <w:r w:rsidRPr="006D631C">
              <w:rPr>
                <w:color w:val="000000"/>
                <w:sz w:val="12"/>
                <w:szCs w:val="12"/>
              </w:rPr>
              <w:t>L</w:t>
            </w:r>
            <w:r w:rsidRPr="006D631C">
              <w:rPr>
                <w:color w:val="000000"/>
                <w:sz w:val="12"/>
                <w:szCs w:val="12"/>
                <w:vertAlign w:val="subscript"/>
              </w:rPr>
              <w:t>α</w:t>
            </w:r>
            <w:r w:rsidRPr="006D631C">
              <w:rPr>
                <w:sz w:val="12"/>
                <w:szCs w:val="12"/>
              </w:rPr>
              <w:t>)</w:t>
            </w:r>
          </w:p>
        </w:tc>
        <w:tc>
          <w:tcPr>
            <w:tcW w:w="5103" w:type="dxa"/>
            <w:tcBorders>
              <w:top w:val="nil"/>
              <w:left w:val="nil"/>
              <w:bottom w:val="single" w:sz="4" w:space="0" w:color="auto"/>
              <w:right w:val="nil"/>
            </w:tcBorders>
            <w:shd w:val="clear" w:color="000000" w:fill="FFFFFF"/>
            <w:noWrap/>
            <w:vAlign w:val="center"/>
          </w:tcPr>
          <w:p w14:paraId="00F697A5"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A mixture of M-4 and C-8 was also used as oil phase to enhance the mechanical properties of the polymerized LLC</w:t>
            </w:r>
          </w:p>
          <w:p w14:paraId="0F24334A"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sz w:val="12"/>
                <w:szCs w:val="12"/>
              </w:rPr>
              <w:t>No bacterial colony growth on the surface of the prepared membrane</w:t>
            </w:r>
          </w:p>
        </w:tc>
        <w:tc>
          <w:tcPr>
            <w:tcW w:w="566" w:type="dxa"/>
            <w:tcBorders>
              <w:top w:val="nil"/>
              <w:left w:val="nil"/>
              <w:bottom w:val="single" w:sz="4" w:space="0" w:color="auto"/>
              <w:right w:val="nil"/>
            </w:tcBorders>
            <w:shd w:val="clear" w:color="000000" w:fill="FFFFFF"/>
            <w:vAlign w:val="center"/>
          </w:tcPr>
          <w:p w14:paraId="7AD06703" w14:textId="77777777" w:rsidR="00AE2528" w:rsidRPr="006D631C" w:rsidRDefault="00AE2528" w:rsidP="00AE2528">
            <w:pPr>
              <w:spacing w:line="240" w:lineRule="auto"/>
              <w:jc w:val="left"/>
              <w:rPr>
                <w:color w:val="000000"/>
                <w:sz w:val="12"/>
                <w:szCs w:val="12"/>
              </w:rPr>
            </w:pPr>
            <w:r w:rsidRPr="006D631C">
              <w:rPr>
                <w:sz w:val="12"/>
                <w:szCs w:val="12"/>
              </w:rPr>
              <w:fldChar w:fldCharType="begin" w:fldLock="1"/>
            </w:r>
            <w:r w:rsidRPr="006D631C">
              <w:rPr>
                <w:sz w:val="12"/>
                <w:szCs w:val="12"/>
              </w:rPr>
              <w:instrText>ADDIN CSL_CITATION {"citationItems":[{"id":"ITEM-1","itemData":{"author":[{"dropping-particle":"","family":"Qavi","given":"Sahar","non-dropping-particle":"","parse-names":false,"suffix":""}],"id":"ITEM-1","issued":{"date-parts":[["2019"]]},"number-of-pages":"256","publisher":"New Mexico State University","title":"RHEOLOGY, CHEMORHEOLOGY, AND MEMBRANE APPLICATION of AMPHIPHILIC BLOCK COPOLYMER/ WATER/OIL MESOPHASES","type":"thesis"},"uris":["http://www.mendeley.com/documents/?uuid=280cca4d-81d9-4959-a2b7-f5b716bb2755"]}],"mendeley":{"formattedCitation":"&lt;sup&gt;142&lt;/sup&gt;","plainTextFormattedCitation":"142","previouslyFormattedCitation":"&lt;sup&gt;142&lt;/sup&gt;"},"properties":{"noteIndex":0},"schema":"https://github.com/citation-style-language/schema/raw/master/csl-citation.json"}</w:instrText>
            </w:r>
            <w:r w:rsidRPr="006D631C">
              <w:rPr>
                <w:sz w:val="12"/>
                <w:szCs w:val="12"/>
              </w:rPr>
              <w:fldChar w:fldCharType="separate"/>
            </w:r>
            <w:r w:rsidRPr="006D631C">
              <w:rPr>
                <w:noProof/>
                <w:sz w:val="12"/>
                <w:szCs w:val="12"/>
                <w:vertAlign w:val="superscript"/>
              </w:rPr>
              <w:t>142</w:t>
            </w:r>
            <w:r w:rsidRPr="006D631C">
              <w:rPr>
                <w:sz w:val="12"/>
                <w:szCs w:val="12"/>
              </w:rPr>
              <w:fldChar w:fldCharType="end"/>
            </w:r>
          </w:p>
        </w:tc>
      </w:tr>
      <w:tr w:rsidR="00AE2528" w:rsidRPr="006D631C" w14:paraId="09E19669" w14:textId="77777777" w:rsidTr="00AE2528">
        <w:trPr>
          <w:trHeight w:val="20"/>
        </w:trPr>
        <w:tc>
          <w:tcPr>
            <w:tcW w:w="851" w:type="dxa"/>
            <w:tcBorders>
              <w:top w:val="nil"/>
              <w:left w:val="nil"/>
              <w:bottom w:val="single" w:sz="4" w:space="0" w:color="auto"/>
              <w:right w:val="nil"/>
            </w:tcBorders>
            <w:shd w:val="clear" w:color="000000" w:fill="FFFFFF"/>
            <w:vAlign w:val="center"/>
          </w:tcPr>
          <w:p w14:paraId="0E5020C6" w14:textId="77777777" w:rsidR="00AE2528" w:rsidRPr="006D631C" w:rsidRDefault="00AE2528" w:rsidP="00AE2528">
            <w:pPr>
              <w:spacing w:line="240" w:lineRule="auto"/>
              <w:jc w:val="left"/>
              <w:rPr>
                <w:color w:val="000000"/>
                <w:sz w:val="12"/>
                <w:szCs w:val="12"/>
              </w:rPr>
            </w:pPr>
            <w:r w:rsidRPr="006D631C">
              <w:rPr>
                <w:sz w:val="12"/>
                <w:szCs w:val="12"/>
              </w:rPr>
              <w:t>M-33</w:t>
            </w:r>
          </w:p>
        </w:tc>
        <w:tc>
          <w:tcPr>
            <w:tcW w:w="12048" w:type="dxa"/>
            <w:gridSpan w:val="9"/>
            <w:tcBorders>
              <w:top w:val="nil"/>
              <w:left w:val="nil"/>
              <w:bottom w:val="single" w:sz="4" w:space="0" w:color="auto"/>
              <w:right w:val="nil"/>
            </w:tcBorders>
            <w:shd w:val="clear" w:color="000000" w:fill="FFFFFF"/>
            <w:noWrap/>
            <w:vAlign w:val="center"/>
          </w:tcPr>
          <w:p w14:paraId="33060B05" w14:textId="77777777" w:rsidR="00AE2528" w:rsidRPr="006D631C" w:rsidRDefault="00AE2528" w:rsidP="00AE2528">
            <w:pPr>
              <w:spacing w:line="240" w:lineRule="auto"/>
              <w:jc w:val="left"/>
              <w:rPr>
                <w:color w:val="000000"/>
                <w:sz w:val="12"/>
                <w:szCs w:val="12"/>
              </w:rPr>
            </w:pPr>
            <w:r w:rsidRPr="006D631C">
              <w:rPr>
                <w:sz w:val="12"/>
                <w:szCs w:val="12"/>
              </w:rPr>
              <w:t>This monomer was discussed in synergistic templating. See Table 1-2/P-A-10b section</w:t>
            </w:r>
          </w:p>
        </w:tc>
      </w:tr>
      <w:tr w:rsidR="00AE2528" w:rsidRPr="006D631C" w14:paraId="01AE3C39" w14:textId="77777777" w:rsidTr="00AE2528">
        <w:trPr>
          <w:trHeight w:val="20"/>
        </w:trPr>
        <w:tc>
          <w:tcPr>
            <w:tcW w:w="851" w:type="dxa"/>
            <w:vMerge w:val="restart"/>
            <w:tcBorders>
              <w:top w:val="single" w:sz="4" w:space="0" w:color="auto"/>
              <w:left w:val="nil"/>
              <w:bottom w:val="single" w:sz="4" w:space="0" w:color="000000"/>
              <w:right w:val="nil"/>
            </w:tcBorders>
            <w:shd w:val="clear" w:color="000000" w:fill="FFFFFF"/>
            <w:vAlign w:val="center"/>
          </w:tcPr>
          <w:p w14:paraId="2E53FA96" w14:textId="77777777" w:rsidR="00AE2528" w:rsidRPr="006D631C" w:rsidRDefault="00AE2528" w:rsidP="00AE2528">
            <w:pPr>
              <w:spacing w:line="240" w:lineRule="auto"/>
              <w:jc w:val="left"/>
              <w:rPr>
                <w:color w:val="000000"/>
                <w:sz w:val="12"/>
                <w:szCs w:val="12"/>
              </w:rPr>
            </w:pPr>
            <w:r w:rsidRPr="006D631C">
              <w:rPr>
                <w:color w:val="000000"/>
                <w:sz w:val="12"/>
                <w:szCs w:val="12"/>
              </w:rPr>
              <w:t>M-34</w:t>
            </w:r>
          </w:p>
        </w:tc>
        <w:tc>
          <w:tcPr>
            <w:tcW w:w="850" w:type="dxa"/>
            <w:tcBorders>
              <w:top w:val="nil"/>
              <w:left w:val="nil"/>
              <w:bottom w:val="single" w:sz="4" w:space="0" w:color="auto"/>
              <w:right w:val="nil"/>
            </w:tcBorders>
            <w:shd w:val="clear" w:color="000000" w:fill="FFFFFF"/>
            <w:noWrap/>
            <w:vAlign w:val="center"/>
          </w:tcPr>
          <w:p w14:paraId="66C1080F" w14:textId="77777777" w:rsidR="00AE2528" w:rsidRPr="006D631C" w:rsidRDefault="00AE2528" w:rsidP="00AE2528">
            <w:pPr>
              <w:spacing w:line="240" w:lineRule="auto"/>
              <w:jc w:val="left"/>
              <w:rPr>
                <w:color w:val="000000"/>
                <w:sz w:val="12"/>
                <w:szCs w:val="12"/>
              </w:rPr>
            </w:pPr>
            <w:r w:rsidRPr="006D631C">
              <w:rPr>
                <w:color w:val="000000"/>
                <w:sz w:val="12"/>
                <w:szCs w:val="12"/>
              </w:rPr>
              <w:t xml:space="preserve">A-4, A-5 or   A-6 </w:t>
            </w:r>
          </w:p>
        </w:tc>
        <w:tc>
          <w:tcPr>
            <w:tcW w:w="567" w:type="dxa"/>
            <w:tcBorders>
              <w:top w:val="nil"/>
              <w:left w:val="nil"/>
              <w:bottom w:val="single" w:sz="4" w:space="0" w:color="auto"/>
              <w:right w:val="nil"/>
            </w:tcBorders>
            <w:shd w:val="clear" w:color="000000" w:fill="FFFFFF"/>
            <w:vAlign w:val="center"/>
          </w:tcPr>
          <w:p w14:paraId="165F10CD"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58144AC8"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1D85D158" w14:textId="77777777" w:rsidR="00AE2528" w:rsidRPr="006D631C" w:rsidRDefault="00AE2528" w:rsidP="00AE2528">
            <w:pPr>
              <w:spacing w:line="240" w:lineRule="auto"/>
              <w:jc w:val="left"/>
              <w:rPr>
                <w:color w:val="000000"/>
                <w:sz w:val="12"/>
                <w:szCs w:val="12"/>
              </w:rPr>
            </w:pPr>
            <w:r w:rsidRPr="006D631C">
              <w:rPr>
                <w:color w:val="000000"/>
                <w:sz w:val="12"/>
                <w:szCs w:val="12"/>
              </w:rPr>
              <w:t>1 / 1 - 6 molar ratio (H</w:t>
            </w:r>
            <w:r w:rsidRPr="006D631C">
              <w:rPr>
                <w:color w:val="000000"/>
                <w:sz w:val="12"/>
                <w:szCs w:val="12"/>
                <w:vertAlign w:val="subscript"/>
              </w:rPr>
              <w:t>1</w:t>
            </w:r>
            <w:r w:rsidRPr="006D631C">
              <w:rPr>
                <w:color w:val="000000"/>
                <w:sz w:val="12"/>
                <w:szCs w:val="12"/>
              </w:rPr>
              <w:t xml:space="preserve"> and L</w:t>
            </w:r>
            <w:r w:rsidRPr="006D631C">
              <w:rPr>
                <w:color w:val="000000"/>
                <w:sz w:val="12"/>
                <w:szCs w:val="12"/>
                <w:vertAlign w:val="subscript"/>
              </w:rPr>
              <w:t>α</w:t>
            </w:r>
            <w:r w:rsidRPr="006D631C">
              <w:rPr>
                <w:color w:val="000000"/>
                <w:sz w:val="12"/>
                <w:szCs w:val="12"/>
              </w:rPr>
              <w:t>)</w:t>
            </w:r>
          </w:p>
        </w:tc>
        <w:tc>
          <w:tcPr>
            <w:tcW w:w="992" w:type="dxa"/>
            <w:tcBorders>
              <w:top w:val="single" w:sz="4" w:space="0" w:color="auto"/>
              <w:left w:val="nil"/>
              <w:bottom w:val="single" w:sz="4" w:space="0" w:color="auto"/>
              <w:right w:val="nil"/>
            </w:tcBorders>
            <w:shd w:val="clear" w:color="000000" w:fill="FFFFFF"/>
            <w:noWrap/>
            <w:vAlign w:val="center"/>
          </w:tcPr>
          <w:p w14:paraId="31BCEC05" w14:textId="77777777" w:rsidR="00AE2528" w:rsidRPr="006D631C" w:rsidRDefault="00AE2528" w:rsidP="00AE2528">
            <w:pPr>
              <w:spacing w:line="240" w:lineRule="auto"/>
              <w:jc w:val="left"/>
              <w:rPr>
                <w:color w:val="000000"/>
                <w:sz w:val="12"/>
                <w:szCs w:val="12"/>
              </w:rPr>
            </w:pPr>
            <w:r w:rsidRPr="006D631C">
              <w:rPr>
                <w:color w:val="000000"/>
                <w:sz w:val="12"/>
                <w:szCs w:val="12"/>
              </w:rPr>
              <w:t>Disordered structure at high M-34 contents</w:t>
            </w:r>
          </w:p>
        </w:tc>
        <w:tc>
          <w:tcPr>
            <w:tcW w:w="993" w:type="dxa"/>
            <w:tcBorders>
              <w:top w:val="nil"/>
              <w:left w:val="nil"/>
              <w:bottom w:val="single" w:sz="4" w:space="0" w:color="auto"/>
              <w:right w:val="nil"/>
            </w:tcBorders>
            <w:shd w:val="clear" w:color="000000" w:fill="FFFFFF"/>
            <w:noWrap/>
            <w:vAlign w:val="center"/>
          </w:tcPr>
          <w:p w14:paraId="37B7477F"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0D3E9826" w14:textId="77777777" w:rsidR="00AE2528" w:rsidRPr="006D631C" w:rsidRDefault="00AE2528" w:rsidP="00AE2528">
            <w:pPr>
              <w:spacing w:line="240" w:lineRule="auto"/>
              <w:jc w:val="left"/>
              <w:rPr>
                <w:color w:val="000000"/>
                <w:sz w:val="12"/>
                <w:szCs w:val="12"/>
              </w:rPr>
            </w:pPr>
            <w:r w:rsidRPr="006D631C">
              <w:rPr>
                <w:color w:val="000000"/>
                <w:sz w:val="12"/>
                <w:szCs w:val="12"/>
              </w:rPr>
              <w:t>2.9 for A-4 *</w:t>
            </w:r>
            <w:r w:rsidRPr="006D631C">
              <w:rPr>
                <w:color w:val="000000"/>
                <w:sz w:val="12"/>
                <w:szCs w:val="12"/>
              </w:rPr>
              <w:br/>
              <w:t>3.5 for A-5 *</w:t>
            </w:r>
            <w:r w:rsidRPr="006D631C">
              <w:rPr>
                <w:color w:val="000000"/>
                <w:sz w:val="12"/>
                <w:szCs w:val="12"/>
              </w:rPr>
              <w:br/>
              <w:t>3.7 for A-6 *</w:t>
            </w:r>
          </w:p>
        </w:tc>
        <w:tc>
          <w:tcPr>
            <w:tcW w:w="5103" w:type="dxa"/>
            <w:tcBorders>
              <w:top w:val="nil"/>
              <w:left w:val="nil"/>
              <w:bottom w:val="single" w:sz="4" w:space="0" w:color="auto"/>
              <w:right w:val="nil"/>
            </w:tcBorders>
            <w:shd w:val="clear" w:color="000000" w:fill="FFFFFF"/>
            <w:noWrap/>
            <w:vAlign w:val="center"/>
          </w:tcPr>
          <w:p w14:paraId="355FA872"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A base or acid was used to catalyze the condensation reaction</w:t>
            </w:r>
          </w:p>
          <w:p w14:paraId="31CDF18F"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No porous carbon was obtained via LLC templating due to improper thermal stability of the structure</w:t>
            </w:r>
          </w:p>
        </w:tc>
        <w:tc>
          <w:tcPr>
            <w:tcW w:w="566" w:type="dxa"/>
            <w:tcBorders>
              <w:top w:val="nil"/>
              <w:left w:val="nil"/>
              <w:bottom w:val="single" w:sz="4" w:space="0" w:color="auto"/>
              <w:right w:val="nil"/>
            </w:tcBorders>
            <w:shd w:val="clear" w:color="000000" w:fill="FFFFFF"/>
            <w:vAlign w:val="center"/>
          </w:tcPr>
          <w:p w14:paraId="44B8D41D" w14:textId="246BDAB1" w:rsidR="00AE2528" w:rsidRPr="006D631C" w:rsidRDefault="00AE2528" w:rsidP="00AE2528">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276E4" w:rsidRPr="006D631C">
              <w:rPr>
                <w:color w:val="000000"/>
                <w:sz w:val="12"/>
                <w:szCs w:val="12"/>
              </w:rPr>
              <w:instrText>ADDIN CSL_CITATION {"citationItems":[{"id":"ITEM-1","itemData":{"DOI":"10.1246/cl.1999.1171","ISSN":"03667022","abstract":"Phenol-formaldehyde polymers and surfactant assembly was structuralized into lamella and disordered mesophases depending on the surfactant/phenol molar ratio at the synthesis.","author":[{"dropping-particle":"","family":"Moriguchi","given":"Isamu","non-dropping-particle":"","parse-names":false,"suffix":""},{"dropping-particle":"","family":"Ozono","given":"Akemi","non-dropping-particle":"","parse-names":false,"suffix":""},{"dropping-particle":"","family":"Mikuriya","given":"Kumiko","non-dropping-particle":"","parse-names":false,"suffix":""},{"dropping-particle":"","family":"Teraoka","given":"Yasutake","non-dropping-particle":"","parse-names":false,"suffix":""},{"dropping-particle":"","family":"Kagawa","given":"Shuichi","non-dropping-particle":"","parse-names":false,"suffix":""},{"dropping-particle":"","family":"Kodama","given":"Masaya","non-dropping-particle":"","parse-names":false,"suffix":""}],"container-title":"Chemistry Letters","id":"ITEM-1","issue":"11","issued":{"date-parts":[["1999"]]},"page":"1171-1172","title":"Micelle-templated mesophases of phenol-formaldehyde polymer","type":"article-journal"},"uris":["http://www.mendeley.com/documents/?uuid=664d6221-06c2-4391-a232-db38c45bdab5"]}],"mendeley":{"formattedCitation":"&lt;sup&gt;25&lt;/sup&gt;","plainTextFormattedCitation":"25","previouslyFormattedCitation":"&lt;sup&gt;25&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25</w:t>
            </w:r>
            <w:r w:rsidRPr="006D631C">
              <w:rPr>
                <w:color w:val="000000"/>
                <w:sz w:val="12"/>
                <w:szCs w:val="12"/>
              </w:rPr>
              <w:fldChar w:fldCharType="end"/>
            </w:r>
          </w:p>
        </w:tc>
      </w:tr>
      <w:tr w:rsidR="00AE2528" w:rsidRPr="006D631C" w14:paraId="5150869C" w14:textId="77777777" w:rsidTr="00AE2528">
        <w:trPr>
          <w:trHeight w:val="20"/>
        </w:trPr>
        <w:tc>
          <w:tcPr>
            <w:tcW w:w="851" w:type="dxa"/>
            <w:vMerge/>
            <w:tcBorders>
              <w:top w:val="single" w:sz="4" w:space="0" w:color="auto"/>
              <w:left w:val="nil"/>
              <w:bottom w:val="single" w:sz="4" w:space="0" w:color="000000"/>
              <w:right w:val="nil"/>
            </w:tcBorders>
            <w:vAlign w:val="center"/>
          </w:tcPr>
          <w:p w14:paraId="14490876" w14:textId="77777777" w:rsidR="00AE2528" w:rsidRPr="006D631C" w:rsidRDefault="00AE2528" w:rsidP="00AE252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50D661B9" w14:textId="77777777" w:rsidR="00AE2528" w:rsidRPr="006D631C" w:rsidRDefault="00AE2528" w:rsidP="00AE2528">
            <w:pPr>
              <w:spacing w:line="240" w:lineRule="auto"/>
              <w:jc w:val="left"/>
              <w:rPr>
                <w:color w:val="000000"/>
                <w:sz w:val="12"/>
                <w:szCs w:val="12"/>
              </w:rPr>
            </w:pPr>
            <w:r w:rsidRPr="006D631C">
              <w:rPr>
                <w:color w:val="000000"/>
                <w:sz w:val="12"/>
                <w:szCs w:val="12"/>
              </w:rPr>
              <w:t>A-19</w:t>
            </w:r>
          </w:p>
        </w:tc>
        <w:tc>
          <w:tcPr>
            <w:tcW w:w="567" w:type="dxa"/>
            <w:tcBorders>
              <w:top w:val="nil"/>
              <w:left w:val="nil"/>
              <w:bottom w:val="single" w:sz="4" w:space="0" w:color="auto"/>
              <w:right w:val="nil"/>
            </w:tcBorders>
            <w:shd w:val="clear" w:color="000000" w:fill="FFFFFF"/>
            <w:vAlign w:val="center"/>
          </w:tcPr>
          <w:p w14:paraId="4B6FD24B"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1BE36A27"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7E6C2B03" w14:textId="77777777" w:rsidR="00AE2528" w:rsidRPr="006D631C" w:rsidRDefault="00AE2528" w:rsidP="00AE2528">
            <w:pPr>
              <w:spacing w:line="240" w:lineRule="auto"/>
              <w:jc w:val="left"/>
              <w:rPr>
                <w:color w:val="000000"/>
                <w:sz w:val="12"/>
                <w:szCs w:val="12"/>
              </w:rPr>
            </w:pPr>
            <w:r w:rsidRPr="006D631C">
              <w:rPr>
                <w:color w:val="000000"/>
                <w:sz w:val="12"/>
                <w:szCs w:val="12"/>
              </w:rPr>
              <w:t>1 / 0.5 - 2.5 (H</w:t>
            </w:r>
            <w:r w:rsidRPr="006D631C">
              <w:rPr>
                <w:color w:val="000000"/>
                <w:sz w:val="12"/>
                <w:szCs w:val="12"/>
                <w:vertAlign w:val="subscript"/>
              </w:rPr>
              <w:t>1</w:t>
            </w:r>
            <w:r w:rsidRPr="006D631C">
              <w:rPr>
                <w:color w:val="000000"/>
                <w:sz w:val="12"/>
                <w:szCs w:val="12"/>
              </w:rPr>
              <w:t>, Q</w:t>
            </w:r>
            <w:r w:rsidRPr="006D631C">
              <w:rPr>
                <w:color w:val="000000"/>
                <w:sz w:val="12"/>
                <w:szCs w:val="12"/>
                <w:vertAlign w:val="subscript"/>
              </w:rPr>
              <w:t>1</w:t>
            </w:r>
            <w:r w:rsidRPr="006D631C">
              <w:rPr>
                <w:color w:val="000000"/>
                <w:sz w:val="12"/>
                <w:szCs w:val="12"/>
              </w:rPr>
              <w:t xml:space="preserve"> and L</w:t>
            </w:r>
            <w:r w:rsidRPr="006D631C">
              <w:rPr>
                <w:color w:val="000000"/>
                <w:sz w:val="12"/>
                <w:szCs w:val="12"/>
                <w:vertAlign w:val="subscript"/>
              </w:rPr>
              <w:t>α</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16BB11EC" w14:textId="77777777" w:rsidR="00AE2528" w:rsidRPr="006D631C" w:rsidRDefault="00AE2528" w:rsidP="00AE2528">
            <w:pPr>
              <w:spacing w:line="240" w:lineRule="auto"/>
              <w:jc w:val="left"/>
              <w:rPr>
                <w:color w:val="000000"/>
                <w:sz w:val="12"/>
                <w:szCs w:val="12"/>
              </w:rPr>
            </w:pPr>
            <w:r w:rsidRPr="006D631C">
              <w:rPr>
                <w:color w:val="000000"/>
                <w:sz w:val="12"/>
                <w:szCs w:val="12"/>
              </w:rPr>
              <w:t>Retention of the structures</w:t>
            </w:r>
          </w:p>
        </w:tc>
        <w:tc>
          <w:tcPr>
            <w:tcW w:w="993" w:type="dxa"/>
            <w:tcBorders>
              <w:top w:val="nil"/>
              <w:left w:val="nil"/>
              <w:bottom w:val="single" w:sz="4" w:space="0" w:color="auto"/>
              <w:right w:val="nil"/>
            </w:tcBorders>
            <w:shd w:val="clear" w:color="000000" w:fill="FFFFFF"/>
            <w:noWrap/>
            <w:vAlign w:val="center"/>
          </w:tcPr>
          <w:p w14:paraId="21AB39B7"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40D1F70D" w14:textId="77777777" w:rsidR="00AE2528" w:rsidRPr="006D631C" w:rsidRDefault="00AE2528" w:rsidP="00AE2528">
            <w:pPr>
              <w:spacing w:line="240" w:lineRule="auto"/>
              <w:jc w:val="left"/>
              <w:rPr>
                <w:color w:val="000000"/>
                <w:sz w:val="12"/>
                <w:szCs w:val="12"/>
              </w:rPr>
            </w:pPr>
            <w:r w:rsidRPr="006D631C">
              <w:rPr>
                <w:color w:val="000000"/>
                <w:sz w:val="12"/>
                <w:szCs w:val="12"/>
              </w:rPr>
              <w:t>9.8 - 14 (H</w:t>
            </w:r>
            <w:r w:rsidRPr="006D631C">
              <w:rPr>
                <w:color w:val="000000"/>
                <w:sz w:val="12"/>
                <w:szCs w:val="12"/>
                <w:vertAlign w:val="subscript"/>
              </w:rPr>
              <w:t>1</w:t>
            </w:r>
            <w:r w:rsidRPr="006D631C">
              <w:rPr>
                <w:color w:val="000000"/>
                <w:sz w:val="12"/>
                <w:szCs w:val="12"/>
              </w:rPr>
              <w:t>)</w:t>
            </w:r>
            <w:r w:rsidRPr="006D631C">
              <w:rPr>
                <w:color w:val="000000"/>
                <w:sz w:val="12"/>
                <w:szCs w:val="12"/>
              </w:rPr>
              <w:br/>
              <w:t>12.6 - 23.5 (Q</w:t>
            </w:r>
            <w:r w:rsidRPr="006D631C">
              <w:rPr>
                <w:color w:val="000000"/>
                <w:sz w:val="12"/>
                <w:szCs w:val="12"/>
                <w:vertAlign w:val="subscript"/>
              </w:rPr>
              <w:t>1</w:t>
            </w:r>
            <w:r w:rsidRPr="006D631C">
              <w:rPr>
                <w:color w:val="000000"/>
                <w:sz w:val="12"/>
                <w:szCs w:val="12"/>
              </w:rPr>
              <w:t>)</w:t>
            </w:r>
            <w:r w:rsidRPr="006D631C">
              <w:rPr>
                <w:color w:val="000000"/>
                <w:sz w:val="12"/>
                <w:szCs w:val="12"/>
              </w:rPr>
              <w:br/>
              <w:t>10.5 (L</w:t>
            </w:r>
            <w:r w:rsidRPr="006D631C">
              <w:rPr>
                <w:color w:val="000000"/>
                <w:sz w:val="12"/>
                <w:szCs w:val="12"/>
                <w:vertAlign w:val="subscript"/>
              </w:rPr>
              <w:t>α</w:t>
            </w: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51FF71D5"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A-19e, A-19f, and A-19g were used in this study</w:t>
            </w:r>
          </w:p>
          <w:p w14:paraId="4FBED67D"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 xml:space="preserve">Ultrahigh thermal stability up to 1400 °C, mechanical stability up to 500 </w:t>
            </w:r>
            <w:proofErr w:type="spellStart"/>
            <w:r w:rsidRPr="006D631C">
              <w:rPr>
                <w:rFonts w:eastAsia="Times New Roman" w:cs="Times New Roman"/>
                <w:color w:val="000000"/>
                <w:sz w:val="12"/>
                <w:szCs w:val="12"/>
              </w:rPr>
              <w:t>Mpa</w:t>
            </w:r>
            <w:proofErr w:type="spellEnd"/>
            <w:r w:rsidRPr="006D631C">
              <w:rPr>
                <w:rFonts w:eastAsia="Times New Roman" w:cs="Times New Roman"/>
                <w:color w:val="000000"/>
                <w:sz w:val="12"/>
                <w:szCs w:val="12"/>
              </w:rPr>
              <w:t xml:space="preserve"> and proper high reverse electronic capacity was observed for the obtained mesoporous carbon material</w:t>
            </w:r>
          </w:p>
        </w:tc>
        <w:tc>
          <w:tcPr>
            <w:tcW w:w="566" w:type="dxa"/>
            <w:tcBorders>
              <w:top w:val="nil"/>
              <w:left w:val="nil"/>
              <w:bottom w:val="single" w:sz="4" w:space="0" w:color="auto"/>
              <w:right w:val="nil"/>
            </w:tcBorders>
            <w:shd w:val="clear" w:color="000000" w:fill="FFFFFF"/>
            <w:vAlign w:val="center"/>
          </w:tcPr>
          <w:p w14:paraId="673758A4" w14:textId="29C6B443" w:rsidR="00AE2528" w:rsidRPr="006D631C" w:rsidRDefault="00AE2528" w:rsidP="00AE2528">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276E4" w:rsidRPr="006D631C">
              <w:rPr>
                <w:color w:val="000000"/>
                <w:sz w:val="12"/>
                <w:szCs w:val="12"/>
              </w:rPr>
              <w:instrText>ADDIN CSL_CITATION {"citationItems":[{"id":"ITEM-1","itemData":{"DOI":"10.1021/cm060921u","ISSN":"08974756","abstract":"The syntheses of a family of highly ordered mesoporous polymers and carbon frameworks from organic-organic assembly of triblock copolymers with soluble, low-molecular-weight phenolic resin precursors (resols) by an evaporation induced self-assembly strategy have been reported in detail. The family members include two-dimensional hexagonal (space group, p6m), three-dimensional bicontinuous (Ia3d), body-centered cubic (Im3m), and lamellar mesostructures, which are controlled by simply adjusting the ratio of phenol/template or polyethylene oxide)/poly(propylene oxide) in the templates. A five-step mechanism from organic-organic assembly has been demonstrated. Cubic FDU-14 with a gyroidal mesostructure of polymer resin or carbon has been synthesized for the first time by using the copolymer Pluronic P1 23 as a template in a relatively narrow range. Upon calcination at 350°C, the templates should be removed to obtain mesoporous polymers, and further heating at above a critical temperature of 600°C transforms the mesoporous polymers to the homologous carbon frameworks. The mesoporous polymer resin and carbon product materials exhibit ordered structures, high surface areas, (670-1490 m 2/g), large pore volumes (0.65-0.85 cm 3/g), and uniform, large pore sizes (7.0-3.9 nm), as well as very thick pore walls (6-8 nm). The carbon open frameworks with covalently bonded constructions and thick pore walls exhibit high thermal stability (&gt; 1400°C). Our results show that the feed gas used during the calcination has a great influence on the porosity of the products. The presence of a small amount of oxygen facilitates the large pore sizes and high surface areas of mesoporous materials with different mesostructures. An extraction method employing sulfuric acid can also decompose the template from hexagonal mesostructured polymers with little framework shrinkage. Preliminary studies of the mechanical and electrochemical properties of mesoporous carbon molecular sieves are also presented. © 2006 American Chemical Society.","author":[{"dropping-particle":"","family":"Meng","given":"Yan","non-dropping-particle":"","parse-names":false,"suffix":""},{"dropping-particle":"","family":"Gu","given":"Dong","non-dropping-particle":"","parse-names":false,"suffix":""},{"dropping-particle":"","family":"Zhang","given":"Fuqiang","non-dropping-particle":"","parse-names":false,"suffix":""},{"dropping-particle":"","family":"Shi","given":"Yifeng","non-dropping-particle":"","parse-names":false,"suffix":""},{"dropping-particle":"","family":"Cheng","given":"Liang","non-dropping-particle":"","parse-names":false,"suffix":""},{"dropping-particle":"","family":"Feng","given":"Dan","non-dropping-particle":"","parse-names":false,"suffix":""},{"dropping-particle":"","family":"Wu","given":"Zhangxiong","non-dropping-particle":"","parse-names":false,"suffix":""},{"dropping-particle":"","family":"Chen","given":"Zhenxia","non-dropping-particle":"","parse-names":false,"suffix":""},{"dropping-particle":"","family":"Wan","given":"Ying","non-dropping-particle":"","parse-names":false,"suffix":""},{"dropping-particle":"","family":"Stein","given":"Andreas","non-dropping-particle":"","parse-names":false,"suffix":""},{"dropping-particle":"","family":"Zhao","given":"Dongyuan","non-dropping-particle":"","parse-names":false,"suffix":""}],"container-title":"Chemistry of Materials","id":"ITEM-1","issue":"18","issued":{"date-parts":[["2006"]]},"page":"4447-4464","title":"A family of highly ordered mesoporous polymer resin and carbon structures from organic-organic self-assembly","type":"article-journal","volume":"18"},"uris":["http://www.mendeley.com/documents/?uuid=f487042c-a697-473a-abb9-2394ba5dbd47"]}],"mendeley":{"formattedCitation":"&lt;sup&gt;20&lt;/sup&gt;","plainTextFormattedCitation":"20","previouslyFormattedCitation":"&lt;sup&gt;20&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20</w:t>
            </w:r>
            <w:r w:rsidRPr="006D631C">
              <w:rPr>
                <w:color w:val="000000"/>
                <w:sz w:val="12"/>
                <w:szCs w:val="12"/>
              </w:rPr>
              <w:fldChar w:fldCharType="end"/>
            </w:r>
          </w:p>
        </w:tc>
      </w:tr>
      <w:tr w:rsidR="00AE2528" w:rsidRPr="006D631C" w14:paraId="0B1A345E" w14:textId="77777777" w:rsidTr="00AE2528">
        <w:trPr>
          <w:trHeight w:val="20"/>
        </w:trPr>
        <w:tc>
          <w:tcPr>
            <w:tcW w:w="851" w:type="dxa"/>
            <w:tcBorders>
              <w:top w:val="nil"/>
              <w:left w:val="nil"/>
              <w:bottom w:val="single" w:sz="4" w:space="0" w:color="auto"/>
              <w:right w:val="nil"/>
            </w:tcBorders>
            <w:shd w:val="clear" w:color="000000" w:fill="FFFFFF"/>
            <w:vAlign w:val="center"/>
          </w:tcPr>
          <w:p w14:paraId="1948F241" w14:textId="77777777" w:rsidR="00AE2528" w:rsidRPr="006D631C" w:rsidRDefault="00AE2528" w:rsidP="00AE2528">
            <w:pPr>
              <w:spacing w:line="240" w:lineRule="auto"/>
              <w:jc w:val="left"/>
              <w:rPr>
                <w:color w:val="000000"/>
                <w:sz w:val="12"/>
                <w:szCs w:val="12"/>
              </w:rPr>
            </w:pPr>
            <w:r w:rsidRPr="006D631C">
              <w:rPr>
                <w:color w:val="000000"/>
                <w:sz w:val="12"/>
                <w:szCs w:val="12"/>
              </w:rPr>
              <w:t>M-35</w:t>
            </w:r>
          </w:p>
        </w:tc>
        <w:tc>
          <w:tcPr>
            <w:tcW w:w="850" w:type="dxa"/>
            <w:tcBorders>
              <w:top w:val="nil"/>
              <w:left w:val="nil"/>
              <w:bottom w:val="single" w:sz="4" w:space="0" w:color="auto"/>
              <w:right w:val="nil"/>
            </w:tcBorders>
            <w:shd w:val="clear" w:color="000000" w:fill="FFFFFF"/>
            <w:noWrap/>
            <w:vAlign w:val="center"/>
          </w:tcPr>
          <w:p w14:paraId="1E826A74" w14:textId="77777777" w:rsidR="00AE2528" w:rsidRPr="006D631C" w:rsidRDefault="00AE2528" w:rsidP="00AE2528">
            <w:pPr>
              <w:spacing w:line="240" w:lineRule="auto"/>
              <w:jc w:val="left"/>
              <w:rPr>
                <w:color w:val="000000"/>
                <w:sz w:val="12"/>
                <w:szCs w:val="12"/>
              </w:rPr>
            </w:pPr>
            <w:r w:rsidRPr="006D631C">
              <w:rPr>
                <w:color w:val="000000"/>
                <w:sz w:val="12"/>
                <w:szCs w:val="12"/>
              </w:rPr>
              <w:t>A-5</w:t>
            </w:r>
          </w:p>
        </w:tc>
        <w:tc>
          <w:tcPr>
            <w:tcW w:w="567" w:type="dxa"/>
            <w:tcBorders>
              <w:top w:val="nil"/>
              <w:left w:val="nil"/>
              <w:bottom w:val="single" w:sz="4" w:space="0" w:color="auto"/>
              <w:right w:val="nil"/>
            </w:tcBorders>
            <w:shd w:val="clear" w:color="000000" w:fill="FFFFFF"/>
            <w:vAlign w:val="center"/>
          </w:tcPr>
          <w:p w14:paraId="0C3A9885"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709" w:type="dxa"/>
            <w:tcBorders>
              <w:top w:val="nil"/>
              <w:left w:val="nil"/>
              <w:bottom w:val="single" w:sz="4" w:space="0" w:color="auto"/>
              <w:right w:val="nil"/>
            </w:tcBorders>
            <w:shd w:val="clear" w:color="000000" w:fill="FFFFFF"/>
            <w:vAlign w:val="center"/>
          </w:tcPr>
          <w:p w14:paraId="3EF9D885"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11F4349F" w14:textId="77777777" w:rsidR="00AE2528" w:rsidRPr="006D631C" w:rsidRDefault="00AE2528" w:rsidP="00AE2528">
            <w:pPr>
              <w:spacing w:line="240" w:lineRule="auto"/>
              <w:jc w:val="left"/>
              <w:rPr>
                <w:color w:val="000000"/>
                <w:sz w:val="12"/>
                <w:szCs w:val="12"/>
              </w:rPr>
            </w:pPr>
            <w:r w:rsidRPr="006D631C">
              <w:rPr>
                <w:color w:val="000000"/>
                <w:sz w:val="12"/>
                <w:szCs w:val="12"/>
              </w:rPr>
              <w:t>2.1 / 1.2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6093641E" w14:textId="77777777" w:rsidR="00AE2528" w:rsidRPr="006D631C" w:rsidRDefault="00AE2528" w:rsidP="00AE2528">
            <w:pPr>
              <w:spacing w:line="240" w:lineRule="auto"/>
              <w:jc w:val="left"/>
              <w:rPr>
                <w:color w:val="000000"/>
                <w:sz w:val="12"/>
                <w:szCs w:val="12"/>
              </w:rPr>
            </w:pPr>
            <w:r w:rsidRPr="006D631C">
              <w:rPr>
                <w:color w:val="000000"/>
                <w:sz w:val="12"/>
                <w:szCs w:val="12"/>
              </w:rPr>
              <w:t>Limited structure retention</w:t>
            </w:r>
          </w:p>
        </w:tc>
        <w:tc>
          <w:tcPr>
            <w:tcW w:w="993" w:type="dxa"/>
            <w:tcBorders>
              <w:top w:val="nil"/>
              <w:left w:val="nil"/>
              <w:bottom w:val="single" w:sz="4" w:space="0" w:color="auto"/>
              <w:right w:val="nil"/>
            </w:tcBorders>
            <w:shd w:val="clear" w:color="000000" w:fill="FFFFFF"/>
            <w:noWrap/>
            <w:vAlign w:val="center"/>
          </w:tcPr>
          <w:p w14:paraId="1174C11F"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47217D28" w14:textId="77777777" w:rsidR="00AE2528" w:rsidRPr="006D631C" w:rsidRDefault="00AE2528" w:rsidP="00AE2528">
            <w:pPr>
              <w:spacing w:line="240" w:lineRule="auto"/>
              <w:jc w:val="left"/>
              <w:rPr>
                <w:color w:val="000000"/>
                <w:sz w:val="12"/>
                <w:szCs w:val="12"/>
              </w:rPr>
            </w:pPr>
            <w:r w:rsidRPr="006D631C">
              <w:rPr>
                <w:color w:val="000000"/>
                <w:sz w:val="12"/>
                <w:szCs w:val="12"/>
              </w:rPr>
              <w:t>3.7 - 4.2 *</w:t>
            </w:r>
          </w:p>
        </w:tc>
        <w:tc>
          <w:tcPr>
            <w:tcW w:w="5103" w:type="dxa"/>
            <w:tcBorders>
              <w:top w:val="nil"/>
              <w:left w:val="nil"/>
              <w:bottom w:val="single" w:sz="4" w:space="0" w:color="auto"/>
              <w:right w:val="nil"/>
            </w:tcBorders>
            <w:shd w:val="clear" w:color="000000" w:fill="FFFFFF"/>
            <w:noWrap/>
            <w:vAlign w:val="center"/>
          </w:tcPr>
          <w:p w14:paraId="6ACB3887"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Ordered mesoporous carbon material was not obtained after removal of the template</w:t>
            </w:r>
          </w:p>
        </w:tc>
        <w:tc>
          <w:tcPr>
            <w:tcW w:w="566" w:type="dxa"/>
            <w:tcBorders>
              <w:top w:val="nil"/>
              <w:left w:val="nil"/>
              <w:bottom w:val="single" w:sz="4" w:space="0" w:color="auto"/>
              <w:right w:val="nil"/>
            </w:tcBorders>
            <w:shd w:val="clear" w:color="000000" w:fill="FFFFFF"/>
            <w:vAlign w:val="center"/>
          </w:tcPr>
          <w:p w14:paraId="11447A72" w14:textId="41E43B96" w:rsidR="00AE2528" w:rsidRPr="006D631C" w:rsidRDefault="00AE2528" w:rsidP="00AE2528">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276E4" w:rsidRPr="006D631C">
              <w:rPr>
                <w:color w:val="000000"/>
                <w:sz w:val="12"/>
                <w:szCs w:val="12"/>
              </w:rPr>
              <w:instrText>ADDIN CSL_CITATION {"citationItems":[{"id":"ITEM-1","itemData":{"DOI":"10.1016/j.carbon.2004.01.044","ISSN":"00086223","abstract":"A novel carbon with vesicular, hierarchical structure was synthesized via a direct, micelle templating strategy. This vesicular carbon exhibits a wormlike morphology, very thin shells (5-30 nm) and mesopores of 2-4 nm within the shell that are perpendicular to the walls of the carbon vesicles. The structure of this novel vesicular carbon was verified by X-ray diffraction and electron microscopy. © 2004 Elsevier Ltd. All rights reserved.","author":[{"dropping-particle":"","family":"Li","given":"Zuojiang","non-dropping-particle":"","parse-names":false,"suffix":""},{"dropping-particle":"","family":"Yan","given":"Wenfu","non-dropping-particle":"","parse-names":false,"suffix":""},{"dropping-particle":"","family":"Dai","given":"Sheng","non-dropping-particle":"","parse-names":false,"suffix":""}],"container-title":"Carbon","id":"ITEM-1","issue":"4","issued":{"date-parts":[["2004"]]},"page":"767-770","title":"A novel vesicular carbon synthesized using amphiphilic carbonaceous material and micelle templating approach","type":"article-journal","volume":"42"},"uris":["http://www.mendeley.com/documents/?uuid=b7056806-8e5b-4302-9378-48e8bdf78d5f"]}],"mendeley":{"formattedCitation":"&lt;sup&gt;170&lt;/sup&gt;","plainTextFormattedCitation":"170","previouslyFormattedCitation":"&lt;sup&gt;170&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170</w:t>
            </w:r>
            <w:r w:rsidRPr="006D631C">
              <w:rPr>
                <w:color w:val="000000"/>
                <w:sz w:val="12"/>
                <w:szCs w:val="12"/>
              </w:rPr>
              <w:fldChar w:fldCharType="end"/>
            </w:r>
          </w:p>
        </w:tc>
      </w:tr>
      <w:tr w:rsidR="00AE2528" w:rsidRPr="006D631C" w14:paraId="48357B32" w14:textId="77777777" w:rsidTr="00AE2528">
        <w:trPr>
          <w:trHeight w:val="20"/>
        </w:trPr>
        <w:tc>
          <w:tcPr>
            <w:tcW w:w="851" w:type="dxa"/>
            <w:vMerge w:val="restart"/>
            <w:tcBorders>
              <w:top w:val="nil"/>
              <w:left w:val="nil"/>
              <w:bottom w:val="single" w:sz="4" w:space="0" w:color="000000"/>
              <w:right w:val="nil"/>
            </w:tcBorders>
            <w:shd w:val="clear" w:color="000000" w:fill="FFFFFF"/>
            <w:vAlign w:val="center"/>
          </w:tcPr>
          <w:p w14:paraId="0757C288" w14:textId="77777777" w:rsidR="00AE2528" w:rsidRPr="006D631C" w:rsidRDefault="00AE2528" w:rsidP="00AE2528">
            <w:pPr>
              <w:spacing w:line="240" w:lineRule="auto"/>
              <w:jc w:val="left"/>
              <w:rPr>
                <w:color w:val="000000"/>
                <w:sz w:val="12"/>
                <w:szCs w:val="12"/>
              </w:rPr>
            </w:pPr>
            <w:r w:rsidRPr="006D631C">
              <w:rPr>
                <w:color w:val="000000"/>
                <w:sz w:val="12"/>
                <w:szCs w:val="12"/>
              </w:rPr>
              <w:t>M-36</w:t>
            </w:r>
          </w:p>
        </w:tc>
        <w:tc>
          <w:tcPr>
            <w:tcW w:w="850" w:type="dxa"/>
            <w:tcBorders>
              <w:top w:val="nil"/>
              <w:left w:val="nil"/>
              <w:bottom w:val="single" w:sz="4" w:space="0" w:color="auto"/>
              <w:right w:val="nil"/>
            </w:tcBorders>
            <w:shd w:val="clear" w:color="000000" w:fill="FFFFFF"/>
            <w:noWrap/>
            <w:vAlign w:val="center"/>
          </w:tcPr>
          <w:p w14:paraId="4CCEA0B7" w14:textId="77777777" w:rsidR="00AE2528" w:rsidRPr="006D631C" w:rsidRDefault="00AE2528" w:rsidP="00AE2528">
            <w:pPr>
              <w:spacing w:line="240" w:lineRule="auto"/>
              <w:jc w:val="left"/>
              <w:rPr>
                <w:color w:val="000000"/>
                <w:sz w:val="12"/>
                <w:szCs w:val="12"/>
              </w:rPr>
            </w:pPr>
            <w:r w:rsidRPr="006D631C">
              <w:rPr>
                <w:color w:val="000000"/>
                <w:sz w:val="12"/>
                <w:szCs w:val="12"/>
              </w:rPr>
              <w:t>A-19f</w:t>
            </w:r>
          </w:p>
        </w:tc>
        <w:tc>
          <w:tcPr>
            <w:tcW w:w="567" w:type="dxa"/>
            <w:tcBorders>
              <w:top w:val="nil"/>
              <w:left w:val="nil"/>
              <w:bottom w:val="single" w:sz="4" w:space="0" w:color="auto"/>
              <w:right w:val="nil"/>
            </w:tcBorders>
            <w:shd w:val="clear" w:color="000000" w:fill="FFFFFF"/>
            <w:vAlign w:val="center"/>
          </w:tcPr>
          <w:p w14:paraId="2DF866FF" w14:textId="77777777" w:rsidR="00AE2528" w:rsidRPr="006D631C" w:rsidRDefault="00AE2528" w:rsidP="00AE2528">
            <w:pPr>
              <w:spacing w:line="240" w:lineRule="auto"/>
              <w:jc w:val="left"/>
              <w:rPr>
                <w:color w:val="000000"/>
                <w:sz w:val="12"/>
                <w:szCs w:val="12"/>
              </w:rPr>
            </w:pPr>
            <w:r w:rsidRPr="006D631C">
              <w:rPr>
                <w:color w:val="000000"/>
                <w:sz w:val="12"/>
                <w:szCs w:val="12"/>
              </w:rPr>
              <w:t>C-12</w:t>
            </w:r>
          </w:p>
        </w:tc>
        <w:tc>
          <w:tcPr>
            <w:tcW w:w="709" w:type="dxa"/>
            <w:tcBorders>
              <w:top w:val="nil"/>
              <w:left w:val="nil"/>
              <w:bottom w:val="single" w:sz="4" w:space="0" w:color="auto"/>
              <w:right w:val="nil"/>
            </w:tcBorders>
            <w:shd w:val="clear" w:color="000000" w:fill="FFFFFF"/>
            <w:vAlign w:val="center"/>
          </w:tcPr>
          <w:p w14:paraId="2D94084C"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230F2646" w14:textId="77777777" w:rsidR="00AE2528" w:rsidRPr="006D631C" w:rsidRDefault="00AE2528" w:rsidP="00AE2528">
            <w:pPr>
              <w:spacing w:line="240" w:lineRule="auto"/>
              <w:jc w:val="left"/>
              <w:rPr>
                <w:color w:val="000000"/>
                <w:sz w:val="12"/>
                <w:szCs w:val="12"/>
              </w:rPr>
            </w:pPr>
            <w:r w:rsidRPr="006D631C">
              <w:rPr>
                <w:color w:val="000000"/>
                <w:sz w:val="12"/>
                <w:szCs w:val="12"/>
              </w:rPr>
              <w:t>1 / 1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173C1D08" w14:textId="77777777" w:rsidR="00AE2528" w:rsidRPr="006D631C" w:rsidRDefault="00AE2528" w:rsidP="00AE2528">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783267F6"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40CB4114"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508C67B8"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Polymerization of M-36 was much faster than M-34</w:t>
            </w:r>
          </w:p>
          <w:p w14:paraId="3573D450"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Highly ordered H</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structure was achieved by controlled solvent evaporation or a shear force</w:t>
            </w:r>
          </w:p>
        </w:tc>
        <w:tc>
          <w:tcPr>
            <w:tcW w:w="566" w:type="dxa"/>
            <w:tcBorders>
              <w:top w:val="nil"/>
              <w:left w:val="nil"/>
              <w:bottom w:val="single" w:sz="4" w:space="0" w:color="auto"/>
              <w:right w:val="nil"/>
            </w:tcBorders>
            <w:shd w:val="clear" w:color="000000" w:fill="FFFFFF"/>
            <w:vAlign w:val="center"/>
          </w:tcPr>
          <w:p w14:paraId="37A4CC11" w14:textId="1EA6900E" w:rsidR="00AE2528" w:rsidRPr="006D631C" w:rsidRDefault="00AE2528" w:rsidP="00AE2528">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276E4" w:rsidRPr="006D631C">
              <w:rPr>
                <w:color w:val="000000"/>
                <w:sz w:val="12"/>
                <w:szCs w:val="12"/>
              </w:rPr>
              <w:instrText>ADDIN CSL_CITATION {"citationItems":[{"id":"ITEM-1","itemData":{"DOI":"10.1021/ja060242k","ISSN":"00027863","abstract":"A general method based on two-phase polymerization has been described to synthesize mesoporous carbons via self-assembly. Mild reacting conditions and wide composition ranges are the obvious advantages of this method over the techniques previously reported. Copyright © 2006 American Chemical Society.","author":[{"dropping-particle":"","family":"Liang","given":"Chengdu","non-dropping-particle":"","parse-names":false,"suffix":""},{"dropping-particle":"","family":"Dai","given":"Sheng","non-dropping-particle":"","parse-names":false,"suffix":""}],"container-title":"Journal of the American Chemical Society","id":"ITEM-1","issue":"16","issued":{"date-parts":[["2006"]]},"page":"5316-5317","title":"Synthesis of mesoporous carbon materials via enhanced hydrogen-bonding interaction","type":"article-journal","volume":"128"},"uris":["http://www.mendeley.com/documents/?uuid=11247020-80d9-4819-933a-d7e3b6a52ed1"]}],"mendeley":{"formattedCitation":"&lt;sup&gt;143&lt;/sup&gt;","plainTextFormattedCitation":"143","previouslyFormattedCitation":"&lt;sup&gt;143&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143</w:t>
            </w:r>
            <w:r w:rsidRPr="006D631C">
              <w:rPr>
                <w:color w:val="000000"/>
                <w:sz w:val="12"/>
                <w:szCs w:val="12"/>
              </w:rPr>
              <w:fldChar w:fldCharType="end"/>
            </w:r>
          </w:p>
        </w:tc>
      </w:tr>
      <w:tr w:rsidR="00AE2528" w:rsidRPr="006D631C" w14:paraId="4532AD2C" w14:textId="77777777" w:rsidTr="00AE2528">
        <w:trPr>
          <w:trHeight w:val="20"/>
        </w:trPr>
        <w:tc>
          <w:tcPr>
            <w:tcW w:w="851" w:type="dxa"/>
            <w:vMerge/>
            <w:tcBorders>
              <w:top w:val="nil"/>
              <w:left w:val="nil"/>
              <w:bottom w:val="single" w:sz="4" w:space="0" w:color="000000"/>
              <w:right w:val="nil"/>
            </w:tcBorders>
            <w:vAlign w:val="center"/>
          </w:tcPr>
          <w:p w14:paraId="46C410E5" w14:textId="77777777" w:rsidR="00AE2528" w:rsidRPr="006D631C" w:rsidRDefault="00AE2528" w:rsidP="00AE252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6AC8F1F6" w14:textId="77777777" w:rsidR="00AE2528" w:rsidRPr="006D631C" w:rsidRDefault="00AE2528" w:rsidP="00AE2528">
            <w:pPr>
              <w:spacing w:line="240" w:lineRule="auto"/>
              <w:jc w:val="left"/>
              <w:rPr>
                <w:color w:val="000000"/>
                <w:sz w:val="12"/>
                <w:szCs w:val="12"/>
              </w:rPr>
            </w:pPr>
            <w:r w:rsidRPr="006D631C">
              <w:rPr>
                <w:color w:val="000000"/>
                <w:sz w:val="12"/>
                <w:szCs w:val="12"/>
              </w:rPr>
              <w:t>A-19f</w:t>
            </w:r>
          </w:p>
        </w:tc>
        <w:tc>
          <w:tcPr>
            <w:tcW w:w="567" w:type="dxa"/>
            <w:tcBorders>
              <w:top w:val="nil"/>
              <w:left w:val="nil"/>
              <w:bottom w:val="single" w:sz="4" w:space="0" w:color="auto"/>
              <w:right w:val="nil"/>
            </w:tcBorders>
            <w:shd w:val="clear" w:color="000000" w:fill="FFFFFF"/>
            <w:vAlign w:val="center"/>
          </w:tcPr>
          <w:p w14:paraId="39F7633A" w14:textId="77777777" w:rsidR="00AE2528" w:rsidRPr="006D631C" w:rsidRDefault="00AE2528" w:rsidP="00AE2528">
            <w:pPr>
              <w:spacing w:line="240" w:lineRule="auto"/>
              <w:jc w:val="left"/>
              <w:rPr>
                <w:color w:val="000000"/>
                <w:sz w:val="12"/>
                <w:szCs w:val="12"/>
              </w:rPr>
            </w:pPr>
            <w:r w:rsidRPr="006D631C">
              <w:rPr>
                <w:color w:val="000000"/>
                <w:sz w:val="12"/>
                <w:szCs w:val="12"/>
              </w:rPr>
              <w:t>C-13</w:t>
            </w:r>
          </w:p>
        </w:tc>
        <w:tc>
          <w:tcPr>
            <w:tcW w:w="709" w:type="dxa"/>
            <w:tcBorders>
              <w:top w:val="nil"/>
              <w:left w:val="nil"/>
              <w:bottom w:val="single" w:sz="4" w:space="0" w:color="auto"/>
              <w:right w:val="nil"/>
            </w:tcBorders>
            <w:shd w:val="clear" w:color="000000" w:fill="FFFFFF"/>
            <w:vAlign w:val="center"/>
          </w:tcPr>
          <w:p w14:paraId="62A68175" w14:textId="77777777" w:rsidR="00AE2528" w:rsidRPr="006D631C" w:rsidRDefault="00AE2528" w:rsidP="00AE2528">
            <w:pPr>
              <w:spacing w:line="240" w:lineRule="auto"/>
              <w:jc w:val="left"/>
              <w:rPr>
                <w:color w:val="000000"/>
                <w:sz w:val="12"/>
                <w:szCs w:val="12"/>
              </w:rPr>
            </w:pPr>
            <w:r w:rsidRPr="006D631C">
              <w:rPr>
                <w:color w:val="000000"/>
                <w:sz w:val="12"/>
                <w:szCs w:val="12"/>
              </w:rPr>
              <w:t>I-11</w:t>
            </w:r>
          </w:p>
        </w:tc>
        <w:tc>
          <w:tcPr>
            <w:tcW w:w="1134" w:type="dxa"/>
            <w:tcBorders>
              <w:top w:val="nil"/>
              <w:left w:val="nil"/>
              <w:bottom w:val="single" w:sz="4" w:space="0" w:color="auto"/>
              <w:right w:val="nil"/>
            </w:tcBorders>
            <w:shd w:val="clear" w:color="000000" w:fill="FFFFFF"/>
            <w:vAlign w:val="center"/>
          </w:tcPr>
          <w:p w14:paraId="28C15A18" w14:textId="77777777" w:rsidR="00AE2528" w:rsidRPr="006D631C" w:rsidRDefault="00AE2528" w:rsidP="00AE2528">
            <w:pPr>
              <w:spacing w:line="240" w:lineRule="auto"/>
              <w:jc w:val="left"/>
              <w:rPr>
                <w:color w:val="000000"/>
                <w:sz w:val="12"/>
                <w:szCs w:val="12"/>
              </w:rPr>
            </w:pPr>
            <w:r w:rsidRPr="006D631C">
              <w:rPr>
                <w:color w:val="000000"/>
                <w:sz w:val="12"/>
                <w:szCs w:val="12"/>
              </w:rPr>
              <w:t>2 / 1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1CAA1679" w14:textId="77777777" w:rsidR="00AE2528" w:rsidRPr="006D631C" w:rsidRDefault="00AE2528" w:rsidP="00AE2528">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442CEBEF"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0A6410B6" w14:textId="77777777" w:rsidR="00AE2528" w:rsidRPr="006D631C" w:rsidRDefault="00AE2528" w:rsidP="00AE2528">
            <w:pPr>
              <w:spacing w:line="240" w:lineRule="auto"/>
              <w:jc w:val="left"/>
              <w:rPr>
                <w:color w:val="000000"/>
                <w:sz w:val="12"/>
                <w:szCs w:val="12"/>
              </w:rPr>
            </w:pPr>
            <w:r w:rsidRPr="006D631C">
              <w:rPr>
                <w:color w:val="000000"/>
                <w:sz w:val="12"/>
                <w:szCs w:val="12"/>
              </w:rPr>
              <w:t>9.9 - 11.8</w:t>
            </w:r>
          </w:p>
        </w:tc>
        <w:tc>
          <w:tcPr>
            <w:tcW w:w="5103" w:type="dxa"/>
            <w:tcBorders>
              <w:top w:val="nil"/>
              <w:left w:val="nil"/>
              <w:bottom w:val="single" w:sz="4" w:space="0" w:color="auto"/>
              <w:right w:val="nil"/>
            </w:tcBorders>
            <w:shd w:val="clear" w:color="000000" w:fill="FFFFFF"/>
            <w:noWrap/>
            <w:vAlign w:val="center"/>
          </w:tcPr>
          <w:p w14:paraId="3BE1C446"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Polymerization was faster in the presence of  I-11 compared to the sample without initiator</w:t>
            </w:r>
          </w:p>
          <w:p w14:paraId="5F338712"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Highly organized H</w:t>
            </w:r>
            <w:r w:rsidRPr="006D631C">
              <w:rPr>
                <w:rFonts w:eastAsia="Times New Roman" w:cs="Times New Roman"/>
                <w:color w:val="000000"/>
                <w:sz w:val="12"/>
                <w:szCs w:val="12"/>
                <w:vertAlign w:val="subscript"/>
              </w:rPr>
              <w:t>1</w:t>
            </w:r>
            <w:r w:rsidRPr="006D631C">
              <w:rPr>
                <w:rFonts w:eastAsia="Times New Roman" w:cs="Times New Roman"/>
                <w:color w:val="000000"/>
                <w:sz w:val="12"/>
                <w:szCs w:val="12"/>
              </w:rPr>
              <w:t xml:space="preserve"> structure was obtained at high contents of I-11</w:t>
            </w:r>
          </w:p>
        </w:tc>
        <w:tc>
          <w:tcPr>
            <w:tcW w:w="566" w:type="dxa"/>
            <w:tcBorders>
              <w:top w:val="nil"/>
              <w:left w:val="nil"/>
              <w:bottom w:val="single" w:sz="4" w:space="0" w:color="auto"/>
              <w:right w:val="nil"/>
            </w:tcBorders>
            <w:shd w:val="clear" w:color="000000" w:fill="FFFFFF"/>
            <w:vAlign w:val="center"/>
          </w:tcPr>
          <w:p w14:paraId="56D1AEFB" w14:textId="74CDD3E8" w:rsidR="00AE2528" w:rsidRPr="006D631C" w:rsidRDefault="00AE2528" w:rsidP="00AE2528">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276E4" w:rsidRPr="006D631C">
              <w:rPr>
                <w:color w:val="000000"/>
                <w:sz w:val="12"/>
                <w:szCs w:val="12"/>
              </w:rPr>
              <w:instrText>ADDIN CSL_CITATION {"citationItems":[{"id":"ITEM-1","itemData":{"DOI":"10.1039/c4ra14246b","ISSN":"20462069","abstract":"The synthesis of ordered porous carbons by a green, simple and rapid approach based on light exposure of a solution of carbon precursors and a soft-template in the presence or not of a photosensitizer is demonstrated herein along with their formation mechanism. The influence of the benzophenone amount on the formation of phenolic resin and the carbon structure, morphology and textural properties was systematically studied. The polymerization, self-assembly and carbonization are promoted in the same step by light. The benzophenone accelerates several times the reaction rate modifying mainly the phenolic-resin structure (higher degree of cross-linking and carbonization) via radical formation, as highlighted by Raman spectroscopy. In addition, the increase of benzophenone amount gradually induces the modification of carbon morphology from a worm-like disordered structure to a highly organized hexagonal one while the surface area and pore volume remain unchanged. The 13C and 1H solid state and relaxation NMR analysis pointed out that this behavior is triggered by the different micellar structuration of the template in the presence of benzophenone, the phenolic-resin composition involving only carbon precursor derived compounds and not benzophenone.","author":[{"dropping-particle":"","family":"Ghimbeu","given":"Camélia Matei","non-dropping-particle":"","parse-names":false,"suffix":""},{"dropping-particle":"","family":"Sopronyi","given":"Mihai","non-dropping-particle":"","parse-names":false,"suffix":""},{"dropping-particle":"","family":"Sima","given":"Felix","non-dropping-particle":"","parse-names":false,"suffix":""},{"dropping-particle":"","family":"Vaulot","given":"Cyril","non-dropping-particle":"","parse-names":false,"suffix":""},{"dropping-particle":"","family":"Vidal","given":"Loïc","non-dropping-particle":"","parse-names":false,"suffix":""},{"dropping-particle":"","family":"Meins","given":"Jean Marc","non-dropping-particle":"Le","parse-names":false,"suffix":""},{"dropping-particle":"","family":"Delmotte","given":"Luc","non-dropping-particle":"","parse-names":false,"suffix":""}],"container-title":"RSC Advances","id":"ITEM-1","issue":"4","issued":{"date-parts":[["2015"]]},"page":"2861-2868","title":"\"Light-assisted evaporation induced self-assembly\": An efficient approach toward ordered carbon materials","type":"article-journal","volume":"5"},"uris":["http://www.mendeley.com/documents/?uuid=a4a8a6be-a1df-4397-97d6-268fb98581fd"]}],"mendeley":{"formattedCitation":"&lt;sup&gt;144&lt;/sup&gt;","plainTextFormattedCitation":"144","previouslyFormattedCitation":"&lt;sup&gt;144&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144</w:t>
            </w:r>
            <w:r w:rsidRPr="006D631C">
              <w:rPr>
                <w:color w:val="000000"/>
                <w:sz w:val="12"/>
                <w:szCs w:val="12"/>
              </w:rPr>
              <w:fldChar w:fldCharType="end"/>
            </w:r>
          </w:p>
        </w:tc>
      </w:tr>
      <w:tr w:rsidR="00AE2528" w:rsidRPr="006D631C" w14:paraId="03BC09DB" w14:textId="77777777" w:rsidTr="00AE2528">
        <w:trPr>
          <w:trHeight w:val="20"/>
        </w:trPr>
        <w:tc>
          <w:tcPr>
            <w:tcW w:w="851" w:type="dxa"/>
            <w:vMerge/>
            <w:tcBorders>
              <w:top w:val="nil"/>
              <w:left w:val="nil"/>
              <w:bottom w:val="single" w:sz="4" w:space="0" w:color="000000"/>
              <w:right w:val="nil"/>
            </w:tcBorders>
            <w:vAlign w:val="center"/>
          </w:tcPr>
          <w:p w14:paraId="442A5098" w14:textId="77777777" w:rsidR="00AE2528" w:rsidRPr="006D631C" w:rsidRDefault="00AE2528" w:rsidP="00AE252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2662A85E" w14:textId="77777777" w:rsidR="00AE2528" w:rsidRPr="006D631C" w:rsidRDefault="00AE2528" w:rsidP="00AE2528">
            <w:pPr>
              <w:spacing w:line="240" w:lineRule="auto"/>
              <w:jc w:val="left"/>
              <w:rPr>
                <w:color w:val="000000"/>
                <w:sz w:val="12"/>
                <w:szCs w:val="12"/>
              </w:rPr>
            </w:pPr>
            <w:r w:rsidRPr="006D631C">
              <w:rPr>
                <w:color w:val="000000"/>
                <w:sz w:val="12"/>
                <w:szCs w:val="12"/>
              </w:rPr>
              <w:t>A-19f</w:t>
            </w:r>
          </w:p>
        </w:tc>
        <w:tc>
          <w:tcPr>
            <w:tcW w:w="567" w:type="dxa"/>
            <w:tcBorders>
              <w:top w:val="nil"/>
              <w:left w:val="nil"/>
              <w:bottom w:val="single" w:sz="4" w:space="0" w:color="auto"/>
              <w:right w:val="nil"/>
            </w:tcBorders>
            <w:shd w:val="clear" w:color="000000" w:fill="FFFFFF"/>
            <w:vAlign w:val="center"/>
          </w:tcPr>
          <w:p w14:paraId="31E1ED20" w14:textId="77777777" w:rsidR="00AE2528" w:rsidRPr="006D631C" w:rsidRDefault="00AE2528" w:rsidP="00AE2528">
            <w:pPr>
              <w:spacing w:line="240" w:lineRule="auto"/>
              <w:jc w:val="left"/>
              <w:rPr>
                <w:color w:val="000000"/>
                <w:sz w:val="12"/>
                <w:szCs w:val="12"/>
              </w:rPr>
            </w:pPr>
            <w:r w:rsidRPr="006D631C">
              <w:rPr>
                <w:color w:val="000000"/>
                <w:sz w:val="12"/>
                <w:szCs w:val="12"/>
              </w:rPr>
              <w:t>C-13</w:t>
            </w:r>
          </w:p>
        </w:tc>
        <w:tc>
          <w:tcPr>
            <w:tcW w:w="709" w:type="dxa"/>
            <w:tcBorders>
              <w:top w:val="nil"/>
              <w:left w:val="nil"/>
              <w:bottom w:val="single" w:sz="4" w:space="0" w:color="auto"/>
              <w:right w:val="nil"/>
            </w:tcBorders>
            <w:shd w:val="clear" w:color="000000" w:fill="FFFFFF"/>
            <w:vAlign w:val="center"/>
          </w:tcPr>
          <w:p w14:paraId="4352A956"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5537115F" w14:textId="77777777" w:rsidR="00AE2528" w:rsidRPr="006D631C" w:rsidRDefault="00AE2528" w:rsidP="00AE2528">
            <w:pPr>
              <w:spacing w:line="240" w:lineRule="auto"/>
              <w:jc w:val="left"/>
              <w:rPr>
                <w:color w:val="000000"/>
                <w:sz w:val="12"/>
                <w:szCs w:val="12"/>
              </w:rPr>
            </w:pPr>
            <w:r w:rsidRPr="006D631C">
              <w:rPr>
                <w:color w:val="000000"/>
                <w:sz w:val="12"/>
                <w:szCs w:val="12"/>
              </w:rPr>
              <w:t>2 / 1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3CA24E24" w14:textId="77777777" w:rsidR="00AE2528" w:rsidRPr="006D631C" w:rsidRDefault="00AE2528" w:rsidP="00AE2528">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399C92BF"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46B670CB" w14:textId="77777777" w:rsidR="00AE2528" w:rsidRPr="006D631C" w:rsidRDefault="00AE2528" w:rsidP="00AE2528">
            <w:pPr>
              <w:spacing w:line="240" w:lineRule="auto"/>
              <w:jc w:val="left"/>
              <w:rPr>
                <w:color w:val="000000"/>
                <w:sz w:val="12"/>
                <w:szCs w:val="12"/>
              </w:rPr>
            </w:pPr>
            <w:r w:rsidRPr="006D631C">
              <w:rPr>
                <w:color w:val="000000"/>
                <w:sz w:val="12"/>
                <w:szCs w:val="12"/>
              </w:rPr>
              <w:t>9.5 - 12</w:t>
            </w:r>
          </w:p>
        </w:tc>
        <w:tc>
          <w:tcPr>
            <w:tcW w:w="5103" w:type="dxa"/>
            <w:tcBorders>
              <w:top w:val="nil"/>
              <w:left w:val="nil"/>
              <w:bottom w:val="single" w:sz="4" w:space="0" w:color="auto"/>
              <w:right w:val="nil"/>
            </w:tcBorders>
            <w:shd w:val="clear" w:color="000000" w:fill="FFFFFF"/>
            <w:noWrap/>
            <w:vAlign w:val="center"/>
          </w:tcPr>
          <w:p w14:paraId="6011F98E"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The product of bio-based material showed better electrochemical performance due to the presence of a more suitable/accessible porous structure</w:t>
            </w:r>
          </w:p>
        </w:tc>
        <w:tc>
          <w:tcPr>
            <w:tcW w:w="566" w:type="dxa"/>
            <w:tcBorders>
              <w:top w:val="nil"/>
              <w:left w:val="nil"/>
              <w:bottom w:val="single" w:sz="4" w:space="0" w:color="auto"/>
              <w:right w:val="nil"/>
            </w:tcBorders>
            <w:shd w:val="clear" w:color="000000" w:fill="FFFFFF"/>
            <w:vAlign w:val="center"/>
          </w:tcPr>
          <w:p w14:paraId="2C9FA650" w14:textId="1D970418" w:rsidR="00AE2528" w:rsidRPr="006D631C" w:rsidRDefault="00AE2528" w:rsidP="00AE2528">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276E4" w:rsidRPr="006D631C">
              <w:rPr>
                <w:color w:val="000000"/>
                <w:sz w:val="12"/>
                <w:szCs w:val="12"/>
              </w:rPr>
              <w:instrText>ADDIN CSL_CITATION {"citationItems":[{"id":"ITEM-1","itemData":{"DOI":"10.1039/c8gc03497d","ISSN":"14639270","abstract":"We report the synthesis of sustainable ordered mesoporous carbons (OMCs) produced from lignin, using the evaporation induced self-assembly (EISA) method. We demonstrated that it is possible to replace half of the phloroglucinol (a well-known carbon precursor currently not derived from bioprecursors) by hardwood organosolv lignin while obtaining a highly ordered pore structure. Notably, we also used glyoxal instead of formaldehyde as a crosslinker, which makes the synthesis route even \"greener\" with respect to the toxicity of the precursors and their renewable sourcing. Finally, we demonstrated that the resulting carbons make powerful electrodes in supercapacitors and we have made clear correlations between the porous structure and their electrochemical performance in symmetric supercapacitors in order to deliver tailored energy storage to meet various demands (i.e. amount of charge stored vs. power of delivery).","author":[{"dropping-particle":"","family":"Herou","given":"Servann","non-dropping-particle":"","parse-names":false,"suffix":""},{"dropping-particle":"","family":"Ribadeneyra","given":"Maria Crespo","non-dropping-particle":"","parse-names":false,"suffix":""},{"dropping-particle":"","family":"Madhu","given":"Rajesh","non-dropping-particle":"","parse-names":false,"suffix":""},{"dropping-particle":"","family":"Araullo-Peters","given":"Vicente","non-dropping-particle":"","parse-names":false,"suffix":""},{"dropping-particle":"","family":"Jensen","given":"Anders","non-dropping-particle":"","parse-names":false,"suffix":""},{"dropping-particle":"","family":"Schlee","given":"Philipp","non-dropping-particle":"","parse-names":false,"suffix":""},{"dropping-particle":"","family":"Titirici","given":"Magdalena","non-dropping-particle":"","parse-names":false,"suffix":""}],"container-title":"Green Chemistry","id":"ITEM-1","issue":"3","issued":{"date-parts":[["2019"]]},"page":"550-559","title":"Ordered mesoporous carbons from lignin: A new class of biobased electrodes for supercapacitors","type":"article-journal","volume":"21"},"uris":["http://www.mendeley.com/documents/?uuid=c93c069e-a3f5-4b9f-9bf6-927989923f52"]}],"mendeley":{"formattedCitation":"&lt;sup&gt;145&lt;/sup&gt;","plainTextFormattedCitation":"145","previouslyFormattedCitation":"&lt;sup&gt;145&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145</w:t>
            </w:r>
            <w:r w:rsidRPr="006D631C">
              <w:rPr>
                <w:color w:val="000000"/>
                <w:sz w:val="12"/>
                <w:szCs w:val="12"/>
              </w:rPr>
              <w:fldChar w:fldCharType="end"/>
            </w:r>
          </w:p>
        </w:tc>
      </w:tr>
      <w:tr w:rsidR="00AE2528" w:rsidRPr="006D631C" w14:paraId="72735261" w14:textId="77777777" w:rsidTr="00AE2528">
        <w:trPr>
          <w:trHeight w:val="20"/>
        </w:trPr>
        <w:tc>
          <w:tcPr>
            <w:tcW w:w="851" w:type="dxa"/>
            <w:vMerge/>
            <w:tcBorders>
              <w:top w:val="nil"/>
              <w:left w:val="nil"/>
              <w:bottom w:val="single" w:sz="4" w:space="0" w:color="000000"/>
              <w:right w:val="nil"/>
            </w:tcBorders>
            <w:vAlign w:val="center"/>
          </w:tcPr>
          <w:p w14:paraId="5FD2D246" w14:textId="77777777" w:rsidR="00AE2528" w:rsidRPr="006D631C" w:rsidRDefault="00AE2528" w:rsidP="00AE2528">
            <w:pPr>
              <w:spacing w:line="240" w:lineRule="auto"/>
              <w:jc w:val="left"/>
              <w:rPr>
                <w:color w:val="000000"/>
                <w:sz w:val="12"/>
                <w:szCs w:val="12"/>
              </w:rPr>
            </w:pPr>
          </w:p>
        </w:tc>
        <w:tc>
          <w:tcPr>
            <w:tcW w:w="850" w:type="dxa"/>
            <w:tcBorders>
              <w:top w:val="nil"/>
              <w:left w:val="nil"/>
              <w:bottom w:val="single" w:sz="4" w:space="0" w:color="auto"/>
              <w:right w:val="nil"/>
            </w:tcBorders>
            <w:shd w:val="clear" w:color="000000" w:fill="FFFFFF"/>
            <w:noWrap/>
            <w:vAlign w:val="center"/>
          </w:tcPr>
          <w:p w14:paraId="35D9BEB7" w14:textId="77777777" w:rsidR="00AE2528" w:rsidRPr="006D631C" w:rsidRDefault="00AE2528" w:rsidP="00AE2528">
            <w:pPr>
              <w:spacing w:line="240" w:lineRule="auto"/>
              <w:jc w:val="left"/>
              <w:rPr>
                <w:color w:val="000000"/>
                <w:sz w:val="12"/>
                <w:szCs w:val="12"/>
              </w:rPr>
            </w:pPr>
            <w:r w:rsidRPr="006D631C">
              <w:rPr>
                <w:color w:val="000000"/>
                <w:sz w:val="12"/>
                <w:szCs w:val="12"/>
              </w:rPr>
              <w:t>A-19f</w:t>
            </w:r>
          </w:p>
        </w:tc>
        <w:tc>
          <w:tcPr>
            <w:tcW w:w="567" w:type="dxa"/>
            <w:tcBorders>
              <w:top w:val="nil"/>
              <w:left w:val="nil"/>
              <w:bottom w:val="single" w:sz="4" w:space="0" w:color="auto"/>
              <w:right w:val="nil"/>
            </w:tcBorders>
            <w:shd w:val="clear" w:color="000000" w:fill="FFFFFF"/>
            <w:vAlign w:val="center"/>
          </w:tcPr>
          <w:p w14:paraId="7D7652E9" w14:textId="77777777" w:rsidR="00AE2528" w:rsidRPr="006D631C" w:rsidRDefault="00AE2528" w:rsidP="00AE2528">
            <w:pPr>
              <w:spacing w:line="240" w:lineRule="auto"/>
              <w:jc w:val="left"/>
              <w:rPr>
                <w:color w:val="000000"/>
                <w:sz w:val="12"/>
                <w:szCs w:val="12"/>
              </w:rPr>
            </w:pPr>
            <w:r w:rsidRPr="006D631C">
              <w:rPr>
                <w:color w:val="000000"/>
                <w:sz w:val="12"/>
                <w:szCs w:val="12"/>
              </w:rPr>
              <w:t>C-12 /   C-14</w:t>
            </w:r>
          </w:p>
        </w:tc>
        <w:tc>
          <w:tcPr>
            <w:tcW w:w="709" w:type="dxa"/>
            <w:tcBorders>
              <w:top w:val="nil"/>
              <w:left w:val="nil"/>
              <w:bottom w:val="single" w:sz="4" w:space="0" w:color="auto"/>
              <w:right w:val="nil"/>
            </w:tcBorders>
            <w:shd w:val="clear" w:color="000000" w:fill="FFFFFF"/>
            <w:vAlign w:val="center"/>
          </w:tcPr>
          <w:p w14:paraId="3F57AC15"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217169C9" w14:textId="77777777" w:rsidR="00AE2528" w:rsidRPr="006D631C" w:rsidRDefault="00AE2528" w:rsidP="00AE2528">
            <w:pPr>
              <w:spacing w:line="240" w:lineRule="auto"/>
              <w:jc w:val="left"/>
              <w:rPr>
                <w:color w:val="000000"/>
                <w:sz w:val="12"/>
                <w:szCs w:val="12"/>
              </w:rPr>
            </w:pPr>
            <w:r w:rsidRPr="006D631C">
              <w:rPr>
                <w:color w:val="000000"/>
                <w:sz w:val="12"/>
                <w:szCs w:val="12"/>
              </w:rPr>
              <w:t>2 / 1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16F41ACA" w14:textId="77777777" w:rsidR="00AE2528" w:rsidRPr="006D631C" w:rsidRDefault="00AE2528" w:rsidP="00AE2528">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2DB477E6"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7F687516"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5103" w:type="dxa"/>
            <w:tcBorders>
              <w:top w:val="nil"/>
              <w:left w:val="nil"/>
              <w:bottom w:val="single" w:sz="4" w:space="0" w:color="auto"/>
              <w:right w:val="nil"/>
            </w:tcBorders>
            <w:shd w:val="clear" w:color="000000" w:fill="FFFFFF"/>
            <w:noWrap/>
            <w:vAlign w:val="center"/>
          </w:tcPr>
          <w:p w14:paraId="6560D895"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The product had a robust organic framework while maintaining a promising CO</w:t>
            </w:r>
            <w:r w:rsidRPr="006D631C">
              <w:rPr>
                <w:rFonts w:eastAsia="Times New Roman" w:cs="Times New Roman"/>
                <w:color w:val="000000"/>
                <w:sz w:val="12"/>
                <w:szCs w:val="12"/>
                <w:vertAlign w:val="subscript"/>
              </w:rPr>
              <w:t>2</w:t>
            </w:r>
            <w:r w:rsidRPr="006D631C">
              <w:rPr>
                <w:rFonts w:eastAsia="Times New Roman" w:cs="Times New Roman"/>
                <w:color w:val="000000"/>
                <w:sz w:val="12"/>
                <w:szCs w:val="12"/>
              </w:rPr>
              <w:t xml:space="preserve"> capture property</w:t>
            </w:r>
          </w:p>
        </w:tc>
        <w:tc>
          <w:tcPr>
            <w:tcW w:w="566" w:type="dxa"/>
            <w:tcBorders>
              <w:top w:val="nil"/>
              <w:left w:val="nil"/>
              <w:bottom w:val="single" w:sz="4" w:space="0" w:color="auto"/>
              <w:right w:val="nil"/>
            </w:tcBorders>
            <w:shd w:val="clear" w:color="000000" w:fill="FFFFFF"/>
            <w:vAlign w:val="center"/>
          </w:tcPr>
          <w:p w14:paraId="4F61B541" w14:textId="77777777" w:rsidR="00AE2528" w:rsidRPr="006D631C" w:rsidRDefault="00AE2528" w:rsidP="00AE2528">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Pr="006D631C">
              <w:rPr>
                <w:color w:val="000000"/>
                <w:sz w:val="12"/>
                <w:szCs w:val="12"/>
              </w:rPr>
              <w:instrText>ADDIN CSL_CITATION {"citationItems":[{"id":"ITEM-1","itemData":{"DOI":"10.1002/anie.201500305","ISSN":"15213773","abstract":"A soft chemistry synthetic strategy based on a Friedel-Crafts alkylation reaction is developed for the textural engineering of phenolic resin (PR) with a robust mesoporous framework to avoid serious framework shrinkage and maximize retention of organic functional moieties. By taking advantage of the structural benefits of molecular bridges, the resultant sample maintains a bimodal micro-mesoporous architecture with well-preserved organic functional groups, which is effective for carbon capture. Moreover, this soft chemistry synthetic protocol can be further extended to nanotexture other arene-based polymers with robust frameworks.","author":[{"dropping-particle":"","family":"Zhang","given":"Jinshui","non-dropping-particle":"","parse-names":false,"suffix":""},{"dropping-particle":"","family":"Qiao","given":"Zhen An","non-dropping-particle":"","parse-names":false,"suffix":""},{"dropping-particle":"","family":"Mahurin","given":"Shannon M.","non-dropping-particle":"","parse-names":false,"suffix":""},{"dropping-particle":"","family":"Jiang","given":"Xueguang","non-dropping-particle":"","parse-names":false,"suffix":""},{"dropping-particle":"","family":"Chai","given":"Song Hai","non-dropping-particle":"","parse-names":false,"suffix":""},{"dropping-particle":"","family":"Lu","given":"Hanfeng","non-dropping-particle":"","parse-names":false,"suffix":""},{"dropping-particle":"","family":"Nelson","given":"Kimberly","non-dropping-particle":"","parse-names":false,"suffix":""},{"dropping-particle":"","family":"Dai","given":"Sheng","non-dropping-particle":"","parse-names":false,"suffix":""}],"container-title":"Angewandte Chemie - International Edition","id":"ITEM-1","issue":"15","issued":{"date-parts":[["2015"]]},"page":"4582-4586","title":"Hypercrosslinked Phenolic Polymers with Well-Developed Mesoporous Frameworks","type":"article-journal","volume":"54"},"uris":["http://www.mendeley.com/documents/?uuid=52ccadb5-384b-42ce-bdf4-f3a9e59fbf7b"]}],"mendeley":{"formattedCitation":"&lt;sup&gt;55&lt;/sup&gt;","plainTextFormattedCitation":"55","previouslyFormattedCitation":"&lt;sup&gt;55&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55</w:t>
            </w:r>
            <w:r w:rsidRPr="006D631C">
              <w:rPr>
                <w:color w:val="000000"/>
                <w:sz w:val="12"/>
                <w:szCs w:val="12"/>
              </w:rPr>
              <w:fldChar w:fldCharType="end"/>
            </w:r>
          </w:p>
        </w:tc>
      </w:tr>
      <w:tr w:rsidR="00AE2528" w:rsidRPr="006D631C" w14:paraId="2213CCF5" w14:textId="77777777" w:rsidTr="00AE2528">
        <w:trPr>
          <w:trHeight w:val="20"/>
        </w:trPr>
        <w:tc>
          <w:tcPr>
            <w:tcW w:w="851" w:type="dxa"/>
            <w:tcBorders>
              <w:top w:val="nil"/>
              <w:left w:val="nil"/>
              <w:bottom w:val="single" w:sz="4" w:space="0" w:color="auto"/>
              <w:right w:val="nil"/>
            </w:tcBorders>
            <w:shd w:val="clear" w:color="000000" w:fill="FFFFFF"/>
            <w:vAlign w:val="center"/>
          </w:tcPr>
          <w:p w14:paraId="4D2C564A" w14:textId="77777777" w:rsidR="00AE2528" w:rsidRPr="006D631C" w:rsidRDefault="00AE2528" w:rsidP="00AE2528">
            <w:pPr>
              <w:spacing w:line="240" w:lineRule="auto"/>
              <w:jc w:val="left"/>
              <w:rPr>
                <w:color w:val="000000"/>
                <w:sz w:val="12"/>
                <w:szCs w:val="12"/>
              </w:rPr>
            </w:pPr>
            <w:r w:rsidRPr="006D631C">
              <w:rPr>
                <w:color w:val="000000"/>
                <w:sz w:val="12"/>
                <w:szCs w:val="12"/>
              </w:rPr>
              <w:t>M-37</w:t>
            </w:r>
          </w:p>
        </w:tc>
        <w:tc>
          <w:tcPr>
            <w:tcW w:w="850" w:type="dxa"/>
            <w:tcBorders>
              <w:top w:val="nil"/>
              <w:left w:val="nil"/>
              <w:bottom w:val="single" w:sz="4" w:space="0" w:color="auto"/>
              <w:right w:val="nil"/>
            </w:tcBorders>
            <w:shd w:val="clear" w:color="000000" w:fill="FFFFFF"/>
            <w:noWrap/>
            <w:vAlign w:val="center"/>
          </w:tcPr>
          <w:p w14:paraId="38F722E2" w14:textId="77777777" w:rsidR="00AE2528" w:rsidRPr="006D631C" w:rsidRDefault="00AE2528" w:rsidP="00AE2528">
            <w:pPr>
              <w:spacing w:line="240" w:lineRule="auto"/>
              <w:jc w:val="left"/>
              <w:rPr>
                <w:color w:val="000000"/>
                <w:sz w:val="12"/>
                <w:szCs w:val="12"/>
              </w:rPr>
            </w:pPr>
            <w:r w:rsidRPr="006D631C">
              <w:rPr>
                <w:color w:val="000000"/>
                <w:sz w:val="12"/>
                <w:szCs w:val="12"/>
              </w:rPr>
              <w:t>A-19f</w:t>
            </w:r>
          </w:p>
        </w:tc>
        <w:tc>
          <w:tcPr>
            <w:tcW w:w="567" w:type="dxa"/>
            <w:tcBorders>
              <w:top w:val="nil"/>
              <w:left w:val="nil"/>
              <w:bottom w:val="single" w:sz="4" w:space="0" w:color="auto"/>
              <w:right w:val="nil"/>
            </w:tcBorders>
            <w:shd w:val="clear" w:color="000000" w:fill="FFFFFF"/>
            <w:vAlign w:val="center"/>
          </w:tcPr>
          <w:p w14:paraId="7C02154F" w14:textId="77777777" w:rsidR="00AE2528" w:rsidRPr="006D631C" w:rsidRDefault="00AE2528" w:rsidP="00AE2528">
            <w:pPr>
              <w:spacing w:line="240" w:lineRule="auto"/>
              <w:jc w:val="left"/>
              <w:rPr>
                <w:color w:val="000000"/>
                <w:sz w:val="12"/>
                <w:szCs w:val="12"/>
              </w:rPr>
            </w:pPr>
            <w:r w:rsidRPr="006D631C">
              <w:rPr>
                <w:color w:val="000000"/>
                <w:sz w:val="12"/>
                <w:szCs w:val="12"/>
              </w:rPr>
              <w:t>C-12</w:t>
            </w:r>
          </w:p>
        </w:tc>
        <w:tc>
          <w:tcPr>
            <w:tcW w:w="709" w:type="dxa"/>
            <w:tcBorders>
              <w:top w:val="nil"/>
              <w:left w:val="nil"/>
              <w:bottom w:val="single" w:sz="4" w:space="0" w:color="auto"/>
              <w:right w:val="nil"/>
            </w:tcBorders>
            <w:shd w:val="clear" w:color="000000" w:fill="FFFFFF"/>
            <w:vAlign w:val="center"/>
          </w:tcPr>
          <w:p w14:paraId="76F87666"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vAlign w:val="center"/>
          </w:tcPr>
          <w:p w14:paraId="34E32D41" w14:textId="77777777" w:rsidR="00AE2528" w:rsidRPr="006D631C" w:rsidRDefault="00AE2528" w:rsidP="00AE2528">
            <w:pPr>
              <w:spacing w:line="240" w:lineRule="auto"/>
              <w:jc w:val="left"/>
              <w:rPr>
                <w:color w:val="000000"/>
                <w:sz w:val="12"/>
                <w:szCs w:val="12"/>
              </w:rPr>
            </w:pPr>
            <w:r w:rsidRPr="006D631C">
              <w:rPr>
                <w:color w:val="000000"/>
                <w:sz w:val="12"/>
                <w:szCs w:val="12"/>
              </w:rPr>
              <w:t>1 / 1 (H</w:t>
            </w:r>
            <w:r w:rsidRPr="006D631C">
              <w:rPr>
                <w:color w:val="000000"/>
                <w:sz w:val="12"/>
                <w:szCs w:val="12"/>
                <w:vertAlign w:val="subscript"/>
              </w:rPr>
              <w:t>1</w:t>
            </w:r>
            <w:r w:rsidRPr="006D631C">
              <w:rPr>
                <w:color w:val="000000"/>
                <w:sz w:val="12"/>
                <w:szCs w:val="12"/>
              </w:rPr>
              <w:t>)</w:t>
            </w:r>
          </w:p>
        </w:tc>
        <w:tc>
          <w:tcPr>
            <w:tcW w:w="992" w:type="dxa"/>
            <w:tcBorders>
              <w:top w:val="nil"/>
              <w:left w:val="nil"/>
              <w:bottom w:val="single" w:sz="4" w:space="0" w:color="auto"/>
              <w:right w:val="nil"/>
            </w:tcBorders>
            <w:shd w:val="clear" w:color="000000" w:fill="FFFFFF"/>
            <w:noWrap/>
            <w:vAlign w:val="center"/>
          </w:tcPr>
          <w:p w14:paraId="0A4BD662" w14:textId="77777777" w:rsidR="00AE2528" w:rsidRPr="006D631C" w:rsidRDefault="00AE2528" w:rsidP="00AE2528">
            <w:pPr>
              <w:spacing w:line="240" w:lineRule="auto"/>
              <w:jc w:val="left"/>
              <w:rPr>
                <w:color w:val="000000"/>
                <w:sz w:val="12"/>
                <w:szCs w:val="12"/>
              </w:rPr>
            </w:pPr>
            <w:r w:rsidRPr="006D631C">
              <w:rPr>
                <w:color w:val="000000"/>
                <w:sz w:val="12"/>
                <w:szCs w:val="12"/>
              </w:rPr>
              <w:t>Retention of the structure</w:t>
            </w:r>
          </w:p>
        </w:tc>
        <w:tc>
          <w:tcPr>
            <w:tcW w:w="993" w:type="dxa"/>
            <w:tcBorders>
              <w:top w:val="nil"/>
              <w:left w:val="nil"/>
              <w:bottom w:val="single" w:sz="4" w:space="0" w:color="auto"/>
              <w:right w:val="nil"/>
            </w:tcBorders>
            <w:shd w:val="clear" w:color="000000" w:fill="FFFFFF"/>
            <w:noWrap/>
            <w:vAlign w:val="center"/>
          </w:tcPr>
          <w:p w14:paraId="1A6C10D2"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nil"/>
              <w:left w:val="nil"/>
              <w:bottom w:val="single" w:sz="4" w:space="0" w:color="auto"/>
              <w:right w:val="nil"/>
            </w:tcBorders>
            <w:shd w:val="clear" w:color="000000" w:fill="FFFFFF"/>
            <w:noWrap/>
            <w:vAlign w:val="center"/>
          </w:tcPr>
          <w:p w14:paraId="3ECE0A00" w14:textId="77777777" w:rsidR="00AE2528" w:rsidRPr="006D631C" w:rsidRDefault="00AE2528" w:rsidP="00AE2528">
            <w:pPr>
              <w:spacing w:line="240" w:lineRule="auto"/>
              <w:jc w:val="left"/>
              <w:rPr>
                <w:color w:val="000000"/>
                <w:sz w:val="12"/>
                <w:szCs w:val="12"/>
              </w:rPr>
            </w:pPr>
            <w:r w:rsidRPr="006D631C">
              <w:rPr>
                <w:color w:val="000000"/>
                <w:sz w:val="12"/>
                <w:szCs w:val="12"/>
              </w:rPr>
              <w:t>12.24</w:t>
            </w:r>
          </w:p>
        </w:tc>
        <w:tc>
          <w:tcPr>
            <w:tcW w:w="5103" w:type="dxa"/>
            <w:tcBorders>
              <w:top w:val="nil"/>
              <w:left w:val="nil"/>
              <w:bottom w:val="single" w:sz="4" w:space="0" w:color="auto"/>
              <w:right w:val="nil"/>
            </w:tcBorders>
            <w:shd w:val="clear" w:color="000000" w:fill="FFFFFF"/>
            <w:noWrap/>
            <w:vAlign w:val="center"/>
          </w:tcPr>
          <w:p w14:paraId="0162874F"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The obtained highly ordered carbon material showed extremely high thermal stability and could be graphitized at 2400 - 2600°</w:t>
            </w:r>
          </w:p>
        </w:tc>
        <w:tc>
          <w:tcPr>
            <w:tcW w:w="566" w:type="dxa"/>
            <w:tcBorders>
              <w:top w:val="nil"/>
              <w:left w:val="nil"/>
              <w:bottom w:val="single" w:sz="4" w:space="0" w:color="auto"/>
              <w:right w:val="nil"/>
            </w:tcBorders>
            <w:shd w:val="clear" w:color="000000" w:fill="FFFFFF"/>
            <w:vAlign w:val="center"/>
          </w:tcPr>
          <w:p w14:paraId="3BED84FE" w14:textId="6F2DB890" w:rsidR="00AE2528" w:rsidRPr="006D631C" w:rsidRDefault="00AE2528" w:rsidP="00AE2528">
            <w:pPr>
              <w:spacing w:line="240" w:lineRule="auto"/>
              <w:jc w:val="left"/>
              <w:rPr>
                <w:color w:val="000000"/>
                <w:sz w:val="12"/>
                <w:szCs w:val="12"/>
              </w:rPr>
            </w:pPr>
            <w:r w:rsidRPr="006D631C">
              <w:rPr>
                <w:color w:val="000000"/>
                <w:sz w:val="12"/>
                <w:szCs w:val="12"/>
              </w:rPr>
              <w:t> </w:t>
            </w:r>
            <w:r w:rsidRPr="006D631C">
              <w:rPr>
                <w:color w:val="000000"/>
                <w:sz w:val="12"/>
                <w:szCs w:val="12"/>
              </w:rPr>
              <w:fldChar w:fldCharType="begin" w:fldLock="1"/>
            </w:r>
            <w:r w:rsidR="005276E4" w:rsidRPr="006D631C">
              <w:rPr>
                <w:color w:val="000000"/>
                <w:sz w:val="12"/>
                <w:szCs w:val="12"/>
              </w:rPr>
              <w:instrText xml:space="preserve">ADDIN CSL_CITATION {"citationItems":[{"id":"ITEM-1","itemData":{"DOI":"10.1021/la800529v","ISSN":"07437463","abstract":"The effect of phenols reactivity with formaldehyde on the formation of ordered mesoporous carbons has been investigated. A strategy to accelerate the polymerization of phenolic resins by using strongly acidic conditions is proposed. The self-assembly of resorcinol-formaldehyde and block copolymers (e.g., F127) under highly acidic concentrations (e.g., 1.5 M HCl) is probably driven by the I+X-S+ mechanism and hydrogen bonding and affords a highly reproducible approach for synthesis of ordered mesoporous carbons. The synthesis can be readily scaled up with no change in sample quality. The carbon material obtained (denoted as C-ORNL-1) exhibits highly ordered hexagonal mesostructure, with a typical BET surface area of </w:instrText>
            </w:r>
            <w:r w:rsidR="005276E4" w:rsidRPr="006D631C">
              <w:rPr>
                <w:rFonts w:ascii="Cambria Math" w:hAnsi="Cambria Math" w:cs="Cambria Math"/>
                <w:color w:val="000000"/>
                <w:sz w:val="12"/>
                <w:szCs w:val="12"/>
              </w:rPr>
              <w:instrText>∼</w:instrText>
            </w:r>
            <w:r w:rsidR="005276E4" w:rsidRPr="006D631C">
              <w:rPr>
                <w:color w:val="000000"/>
                <w:sz w:val="12"/>
                <w:szCs w:val="12"/>
              </w:rPr>
              <w:instrText xml:space="preserve">600 m2/g, pore size of 6.3 nm, and pore volume of </w:instrText>
            </w:r>
            <w:r w:rsidR="005276E4" w:rsidRPr="006D631C">
              <w:rPr>
                <w:rFonts w:ascii="Cambria Math" w:hAnsi="Cambria Math" w:cs="Cambria Math"/>
                <w:color w:val="000000"/>
                <w:sz w:val="12"/>
                <w:szCs w:val="12"/>
              </w:rPr>
              <w:instrText>∼</w:instrText>
            </w:r>
            <w:r w:rsidR="005276E4" w:rsidRPr="006D631C">
              <w:rPr>
                <w:color w:val="000000"/>
                <w:sz w:val="12"/>
                <w:szCs w:val="12"/>
              </w:rPr>
              <w:instrText>0.60 cm3/g. One of the unique structural features of C-ORNL-1 is its high thermal stability; it can be graphitized at 2600°C while considerable mesoporosity is maintained. © 2008 American Chemical Society.","author":[{"dropping-particle":"","family":"Wang","given":"Xiqing","non-dropping-particle":"","parse-names":false,"suffix":""},{"dropping-particle":"","family":"Liang","given":"Chengdu","non-dropping-particle":"","parse-names":false,"suffix":""},{"dropping-particle":"","family":"Dai","given":"Sheng","non-dropping-particle":"","parse-names":false,"suffix":""}],"container-title":"Langmuir","id":"ITEM-1","issue":"14","issued":{"date-parts":[["2008"]]},"page":"7500-7505","title":"Facile synthesis of ordered mesoporous carbons with high thermal stability by self-assembly of resorcinol-formaldehyde and block copolymers under highly acidic conditions","type":"article-journal","volume":"24"},"uris":["http://www.mendeley.com/documents/?uuid=7409a31a-4ea8-4c6d-b83d-2d1c4a2f7c67"]}],"mendeley":{"formattedCitation":"&lt;sup&gt;146&lt;/sup&gt;","plainTextFormattedCitation":"146","previouslyFormattedCitation":"&lt;sup&gt;146&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146</w:t>
            </w:r>
            <w:r w:rsidRPr="006D631C">
              <w:rPr>
                <w:color w:val="000000"/>
                <w:sz w:val="12"/>
                <w:szCs w:val="12"/>
              </w:rPr>
              <w:fldChar w:fldCharType="end"/>
            </w:r>
          </w:p>
        </w:tc>
      </w:tr>
      <w:tr w:rsidR="00AE2528" w:rsidRPr="006D631C" w14:paraId="3BAE7C80" w14:textId="77777777" w:rsidTr="00AE2528">
        <w:trPr>
          <w:trHeight w:val="20"/>
        </w:trPr>
        <w:tc>
          <w:tcPr>
            <w:tcW w:w="851" w:type="dxa"/>
            <w:tcBorders>
              <w:top w:val="single" w:sz="4" w:space="0" w:color="auto"/>
              <w:left w:val="nil"/>
              <w:bottom w:val="single" w:sz="4" w:space="0" w:color="auto"/>
              <w:right w:val="nil"/>
            </w:tcBorders>
            <w:shd w:val="clear" w:color="000000" w:fill="FFFFFF"/>
            <w:vAlign w:val="center"/>
          </w:tcPr>
          <w:p w14:paraId="6CAA9949" w14:textId="77777777" w:rsidR="00AE2528" w:rsidRPr="006D631C" w:rsidRDefault="00AE2528" w:rsidP="00AE2528">
            <w:pPr>
              <w:spacing w:line="240" w:lineRule="auto"/>
              <w:jc w:val="left"/>
              <w:rPr>
                <w:color w:val="000000"/>
                <w:sz w:val="12"/>
                <w:szCs w:val="12"/>
              </w:rPr>
            </w:pPr>
            <w:r w:rsidRPr="006D631C">
              <w:rPr>
                <w:color w:val="000000"/>
                <w:sz w:val="12"/>
                <w:szCs w:val="12"/>
              </w:rPr>
              <w:t>M-38</w:t>
            </w:r>
          </w:p>
        </w:tc>
        <w:tc>
          <w:tcPr>
            <w:tcW w:w="850" w:type="dxa"/>
            <w:tcBorders>
              <w:top w:val="single" w:sz="4" w:space="0" w:color="auto"/>
              <w:left w:val="nil"/>
              <w:bottom w:val="single" w:sz="4" w:space="0" w:color="auto"/>
              <w:right w:val="nil"/>
            </w:tcBorders>
            <w:shd w:val="clear" w:color="000000" w:fill="FFFFFF"/>
            <w:noWrap/>
            <w:vAlign w:val="center"/>
          </w:tcPr>
          <w:p w14:paraId="67C76DE4" w14:textId="77777777" w:rsidR="00AE2528" w:rsidRPr="006D631C" w:rsidRDefault="00AE2528" w:rsidP="00AE2528">
            <w:pPr>
              <w:spacing w:line="240" w:lineRule="auto"/>
              <w:jc w:val="left"/>
              <w:rPr>
                <w:color w:val="000000"/>
                <w:sz w:val="12"/>
                <w:szCs w:val="12"/>
              </w:rPr>
            </w:pPr>
            <w:r w:rsidRPr="006D631C">
              <w:rPr>
                <w:color w:val="000000"/>
                <w:sz w:val="12"/>
                <w:szCs w:val="12"/>
              </w:rPr>
              <w:t>A-19e</w:t>
            </w:r>
          </w:p>
        </w:tc>
        <w:tc>
          <w:tcPr>
            <w:tcW w:w="567" w:type="dxa"/>
            <w:tcBorders>
              <w:top w:val="single" w:sz="4" w:space="0" w:color="auto"/>
              <w:left w:val="nil"/>
              <w:bottom w:val="single" w:sz="4" w:space="0" w:color="auto"/>
              <w:right w:val="nil"/>
            </w:tcBorders>
            <w:shd w:val="clear" w:color="000000" w:fill="FFFFFF"/>
            <w:vAlign w:val="center"/>
          </w:tcPr>
          <w:p w14:paraId="68CFC514" w14:textId="77777777" w:rsidR="00AE2528" w:rsidRPr="006D631C" w:rsidRDefault="00AE2528" w:rsidP="00AE2528">
            <w:pPr>
              <w:spacing w:line="240" w:lineRule="auto"/>
              <w:jc w:val="left"/>
              <w:rPr>
                <w:color w:val="000000"/>
                <w:sz w:val="12"/>
                <w:szCs w:val="12"/>
              </w:rPr>
            </w:pPr>
            <w:r w:rsidRPr="006D631C">
              <w:rPr>
                <w:color w:val="000000"/>
                <w:sz w:val="12"/>
                <w:szCs w:val="12"/>
              </w:rPr>
              <w:t>C-15</w:t>
            </w:r>
          </w:p>
        </w:tc>
        <w:tc>
          <w:tcPr>
            <w:tcW w:w="709" w:type="dxa"/>
            <w:tcBorders>
              <w:top w:val="single" w:sz="4" w:space="0" w:color="auto"/>
              <w:left w:val="nil"/>
              <w:bottom w:val="single" w:sz="4" w:space="0" w:color="auto"/>
              <w:right w:val="nil"/>
            </w:tcBorders>
            <w:shd w:val="clear" w:color="000000" w:fill="FFFFFF"/>
            <w:vAlign w:val="center"/>
          </w:tcPr>
          <w:p w14:paraId="05C876C5"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single" w:sz="4" w:space="0" w:color="auto"/>
              <w:left w:val="nil"/>
              <w:bottom w:val="single" w:sz="4" w:space="0" w:color="auto"/>
              <w:right w:val="nil"/>
            </w:tcBorders>
            <w:shd w:val="clear" w:color="000000" w:fill="FFFFFF"/>
            <w:vAlign w:val="center"/>
          </w:tcPr>
          <w:p w14:paraId="7681299F" w14:textId="77777777" w:rsidR="00AE2528" w:rsidRPr="006D631C" w:rsidRDefault="00AE2528" w:rsidP="00AE2528">
            <w:pPr>
              <w:spacing w:line="240" w:lineRule="auto"/>
              <w:jc w:val="left"/>
              <w:rPr>
                <w:color w:val="000000"/>
                <w:sz w:val="12"/>
                <w:szCs w:val="12"/>
              </w:rPr>
            </w:pPr>
            <w:r w:rsidRPr="006D631C">
              <w:rPr>
                <w:color w:val="000000"/>
                <w:sz w:val="12"/>
                <w:szCs w:val="12"/>
              </w:rPr>
              <w:t>10 - 80 / 80 - 20 (L</w:t>
            </w:r>
            <w:r w:rsidRPr="006D631C">
              <w:rPr>
                <w:color w:val="000000"/>
                <w:sz w:val="12"/>
                <w:szCs w:val="12"/>
                <w:vertAlign w:val="subscript"/>
              </w:rPr>
              <w:t>1</w:t>
            </w:r>
            <w:r w:rsidRPr="006D631C">
              <w:rPr>
                <w:color w:val="000000"/>
                <w:sz w:val="12"/>
                <w:szCs w:val="12"/>
              </w:rPr>
              <w:t>)</w:t>
            </w:r>
          </w:p>
          <w:p w14:paraId="5426B298" w14:textId="77777777" w:rsidR="00AE2528" w:rsidRPr="006D631C" w:rsidRDefault="00AE2528" w:rsidP="00AE2528">
            <w:pPr>
              <w:spacing w:line="240" w:lineRule="auto"/>
              <w:jc w:val="left"/>
              <w:rPr>
                <w:color w:val="000000"/>
                <w:sz w:val="12"/>
                <w:szCs w:val="12"/>
              </w:rPr>
            </w:pPr>
            <w:r w:rsidRPr="006D631C">
              <w:rPr>
                <w:color w:val="000000"/>
                <w:sz w:val="12"/>
                <w:szCs w:val="12"/>
              </w:rPr>
              <w:t>30 - 50 / 0 - 30 (L</w:t>
            </w:r>
            <w:r w:rsidRPr="006D631C">
              <w:rPr>
                <w:color w:val="000000"/>
                <w:sz w:val="12"/>
                <w:szCs w:val="12"/>
                <w:vertAlign w:val="subscript"/>
              </w:rPr>
              <w:t>α</w:t>
            </w:r>
            <w:r w:rsidRPr="006D631C">
              <w:rPr>
                <w:color w:val="000000"/>
                <w:sz w:val="12"/>
                <w:szCs w:val="12"/>
              </w:rPr>
              <w:t>)</w:t>
            </w:r>
          </w:p>
          <w:p w14:paraId="6B9E588B" w14:textId="77777777" w:rsidR="00AE2528" w:rsidRPr="006D631C" w:rsidRDefault="00AE2528" w:rsidP="00AE2528">
            <w:pPr>
              <w:spacing w:line="240" w:lineRule="auto"/>
              <w:jc w:val="left"/>
              <w:rPr>
                <w:color w:val="000000"/>
                <w:sz w:val="12"/>
                <w:szCs w:val="12"/>
              </w:rPr>
            </w:pPr>
            <w:r w:rsidRPr="006D631C">
              <w:rPr>
                <w:color w:val="000000"/>
                <w:sz w:val="12"/>
                <w:szCs w:val="12"/>
              </w:rPr>
              <w:t>70 - 90 / 0 - 25 (H</w:t>
            </w:r>
            <w:r w:rsidRPr="006D631C">
              <w:rPr>
                <w:color w:val="000000"/>
                <w:sz w:val="12"/>
                <w:szCs w:val="12"/>
                <w:vertAlign w:val="subscript"/>
              </w:rPr>
              <w:t>1</w:t>
            </w:r>
            <w:r w:rsidRPr="006D631C">
              <w:rPr>
                <w:color w:val="000000"/>
                <w:sz w:val="12"/>
                <w:szCs w:val="12"/>
              </w:rPr>
              <w:t>)</w:t>
            </w:r>
          </w:p>
        </w:tc>
        <w:tc>
          <w:tcPr>
            <w:tcW w:w="992" w:type="dxa"/>
            <w:tcBorders>
              <w:top w:val="single" w:sz="4" w:space="0" w:color="auto"/>
              <w:left w:val="nil"/>
              <w:bottom w:val="single" w:sz="4" w:space="0" w:color="auto"/>
              <w:right w:val="nil"/>
            </w:tcBorders>
            <w:shd w:val="clear" w:color="000000" w:fill="FFFFFF"/>
            <w:noWrap/>
            <w:vAlign w:val="center"/>
          </w:tcPr>
          <w:p w14:paraId="34B7B8D8" w14:textId="77777777" w:rsidR="00AE2528" w:rsidRPr="006D631C" w:rsidRDefault="00AE2528" w:rsidP="00AE2528">
            <w:pPr>
              <w:spacing w:line="240" w:lineRule="auto"/>
              <w:jc w:val="left"/>
              <w:rPr>
                <w:color w:val="000000"/>
                <w:sz w:val="12"/>
                <w:szCs w:val="12"/>
              </w:rPr>
            </w:pPr>
            <w:r w:rsidRPr="006D631C">
              <w:rPr>
                <w:color w:val="000000"/>
                <w:sz w:val="12"/>
                <w:szCs w:val="12"/>
              </w:rPr>
              <w:t>Order-order and order-disorder changes were observed</w:t>
            </w:r>
          </w:p>
        </w:tc>
        <w:tc>
          <w:tcPr>
            <w:tcW w:w="993" w:type="dxa"/>
            <w:tcBorders>
              <w:top w:val="single" w:sz="4" w:space="0" w:color="auto"/>
              <w:left w:val="nil"/>
              <w:bottom w:val="single" w:sz="4" w:space="0" w:color="auto"/>
              <w:right w:val="nil"/>
            </w:tcBorders>
            <w:shd w:val="clear" w:color="000000" w:fill="FFFFFF"/>
            <w:noWrap/>
            <w:vAlign w:val="center"/>
          </w:tcPr>
          <w:p w14:paraId="073B0320" w14:textId="77777777" w:rsidR="00AE2528" w:rsidRPr="006D631C" w:rsidRDefault="00AE2528" w:rsidP="00AE2528">
            <w:pPr>
              <w:spacing w:line="240" w:lineRule="auto"/>
              <w:jc w:val="left"/>
              <w:rPr>
                <w:color w:val="000000"/>
                <w:sz w:val="12"/>
                <w:szCs w:val="12"/>
              </w:rPr>
            </w:pPr>
            <w:r w:rsidRPr="006D631C">
              <w:rPr>
                <w:color w:val="000000"/>
                <w:sz w:val="12"/>
                <w:szCs w:val="12"/>
              </w:rPr>
              <w:t>9 - 22 *</w:t>
            </w:r>
          </w:p>
        </w:tc>
        <w:tc>
          <w:tcPr>
            <w:tcW w:w="1134" w:type="dxa"/>
            <w:tcBorders>
              <w:top w:val="single" w:sz="4" w:space="0" w:color="auto"/>
              <w:left w:val="nil"/>
              <w:bottom w:val="single" w:sz="4" w:space="0" w:color="auto"/>
              <w:right w:val="nil"/>
            </w:tcBorders>
            <w:shd w:val="clear" w:color="000000" w:fill="FFFFFF"/>
            <w:noWrap/>
            <w:vAlign w:val="center"/>
          </w:tcPr>
          <w:p w14:paraId="7DF38F21" w14:textId="77777777" w:rsidR="00AE2528" w:rsidRPr="006D631C" w:rsidRDefault="00AE2528" w:rsidP="00AE2528">
            <w:pPr>
              <w:spacing w:line="240" w:lineRule="auto"/>
              <w:jc w:val="left"/>
              <w:rPr>
                <w:color w:val="000000"/>
                <w:sz w:val="12"/>
                <w:szCs w:val="12"/>
              </w:rPr>
            </w:pPr>
            <w:r w:rsidRPr="006D631C">
              <w:rPr>
                <w:color w:val="000000"/>
                <w:sz w:val="12"/>
                <w:szCs w:val="12"/>
              </w:rPr>
              <w:t>12.4 – 19 *</w:t>
            </w:r>
          </w:p>
        </w:tc>
        <w:tc>
          <w:tcPr>
            <w:tcW w:w="5103" w:type="dxa"/>
            <w:tcBorders>
              <w:top w:val="nil"/>
              <w:left w:val="nil"/>
              <w:bottom w:val="single" w:sz="4" w:space="0" w:color="auto"/>
              <w:right w:val="nil"/>
            </w:tcBorders>
            <w:shd w:val="clear" w:color="000000" w:fill="FFFFFF"/>
            <w:noWrap/>
            <w:vAlign w:val="center"/>
          </w:tcPr>
          <w:p w14:paraId="03C6E126" w14:textId="77777777" w:rsidR="00AE2528" w:rsidRPr="006D631C" w:rsidRDefault="00AE2528" w:rsidP="00AE2528">
            <w:pPr>
              <w:pStyle w:val="ListParagraph"/>
              <w:numPr>
                <w:ilvl w:val="0"/>
                <w:numId w:val="11"/>
              </w:numPr>
              <w:spacing w:after="0" w:line="240" w:lineRule="auto"/>
              <w:ind w:left="176" w:hanging="142"/>
              <w:jc w:val="left"/>
              <w:rPr>
                <w:rFonts w:eastAsia="Times New Roman" w:cs="Times New Roman"/>
                <w:color w:val="000000"/>
                <w:sz w:val="12"/>
                <w:szCs w:val="12"/>
              </w:rPr>
            </w:pPr>
            <w:r w:rsidRPr="006D631C">
              <w:rPr>
                <w:color w:val="000000"/>
                <w:sz w:val="12"/>
                <w:szCs w:val="12"/>
              </w:rPr>
              <w:t xml:space="preserve">C-15 also </w:t>
            </w:r>
            <w:r w:rsidRPr="006D631C">
              <w:rPr>
                <w:rFonts w:eastAsia="Times New Roman" w:cs="Times New Roman"/>
                <w:color w:val="000000"/>
                <w:sz w:val="12"/>
                <w:szCs w:val="12"/>
              </w:rPr>
              <w:t>acts as structure directing agent instead of water</w:t>
            </w:r>
          </w:p>
          <w:p w14:paraId="7FB82187"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rFonts w:eastAsia="Times New Roman" w:cs="Times New Roman"/>
                <w:color w:val="000000"/>
                <w:sz w:val="12"/>
                <w:szCs w:val="12"/>
              </w:rPr>
              <w:t>The structural changes</w:t>
            </w:r>
            <w:r w:rsidRPr="006D631C">
              <w:rPr>
                <w:color w:val="000000"/>
                <w:sz w:val="12"/>
                <w:szCs w:val="12"/>
              </w:rPr>
              <w:t xml:space="preserve"> continue even after completion of the polymerization</w:t>
            </w:r>
          </w:p>
        </w:tc>
        <w:tc>
          <w:tcPr>
            <w:tcW w:w="566" w:type="dxa"/>
            <w:tcBorders>
              <w:top w:val="single" w:sz="4" w:space="0" w:color="auto"/>
              <w:left w:val="nil"/>
              <w:bottom w:val="single" w:sz="4" w:space="0" w:color="auto"/>
              <w:right w:val="nil"/>
            </w:tcBorders>
            <w:shd w:val="clear" w:color="000000" w:fill="FFFFFF"/>
            <w:vAlign w:val="center"/>
          </w:tcPr>
          <w:p w14:paraId="55EB371F" w14:textId="03F06AAE" w:rsidR="00AE2528" w:rsidRPr="006D631C" w:rsidRDefault="00AE2528" w:rsidP="00AE2528">
            <w:pPr>
              <w:spacing w:line="240" w:lineRule="auto"/>
              <w:jc w:val="left"/>
              <w:rPr>
                <w:color w:val="000000"/>
                <w:sz w:val="12"/>
                <w:szCs w:val="12"/>
              </w:rPr>
            </w:pPr>
            <w:r w:rsidRPr="006D631C">
              <w:rPr>
                <w:color w:val="000000"/>
                <w:sz w:val="12"/>
                <w:szCs w:val="12"/>
              </w:rPr>
              <w:fldChar w:fldCharType="begin" w:fldLock="1"/>
            </w:r>
            <w:r w:rsidR="005276E4" w:rsidRPr="006D631C">
              <w:rPr>
                <w:color w:val="000000"/>
                <w:sz w:val="12"/>
                <w:szCs w:val="12"/>
              </w:rPr>
              <w:instrText>ADDIN CSL_CITATION {"citationItems":[{"id":"ITEM-1","itemData":{"DOI":"10.1021/acs.macromol.0c02214","ISSN":"0024-9297","author":[{"dropping-particle":"","family":"Liu","given":"Deborah Y.","non-dropping-particle":"","parse-names":false,"suffix":""},{"dropping-particle":"V.","family":"Krogstad","given":"Daniel","non-dropping-particle":"","parse-names":false,"suffix":""}],"container-title":"Macromolecules","id":"ITEM-1","issue":"2","issued":{"date-parts":[["2021","1","26"]]},"page":"988-994","title":"Self-Assembly and Phase Transformation of Block Copolymer Nanostructures in Ionic Liquid-Cured Epoxy","type":"article-journal","volume":"54"},"uris":["http://www.mendeley.com/documents/?uuid=26d97ee0-20fe-4d9c-a7b7-2b38f59c5540"]}],"mendeley":{"formattedCitation":"&lt;sup&gt;171&lt;/sup&gt;","plainTextFormattedCitation":"171","previouslyFormattedCitation":"&lt;sup&gt;171&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171</w:t>
            </w:r>
            <w:r w:rsidRPr="006D631C">
              <w:rPr>
                <w:color w:val="000000"/>
                <w:sz w:val="12"/>
                <w:szCs w:val="12"/>
              </w:rPr>
              <w:fldChar w:fldCharType="end"/>
            </w:r>
          </w:p>
        </w:tc>
      </w:tr>
      <w:tr w:rsidR="00AE2528" w:rsidRPr="006D631C" w14:paraId="2700A66A" w14:textId="77777777" w:rsidTr="00AE2528">
        <w:trPr>
          <w:trHeight w:val="20"/>
        </w:trPr>
        <w:tc>
          <w:tcPr>
            <w:tcW w:w="851" w:type="dxa"/>
            <w:tcBorders>
              <w:top w:val="single" w:sz="4" w:space="0" w:color="auto"/>
              <w:left w:val="nil"/>
              <w:bottom w:val="single" w:sz="4" w:space="0" w:color="auto"/>
              <w:right w:val="nil"/>
            </w:tcBorders>
            <w:shd w:val="clear" w:color="000000" w:fill="FFFFFF"/>
            <w:vAlign w:val="center"/>
          </w:tcPr>
          <w:p w14:paraId="2FEB04FB" w14:textId="77777777" w:rsidR="00AE2528" w:rsidRPr="006D631C" w:rsidRDefault="00AE2528" w:rsidP="00AE2528">
            <w:pPr>
              <w:spacing w:line="240" w:lineRule="auto"/>
              <w:jc w:val="left"/>
              <w:rPr>
                <w:color w:val="000000"/>
                <w:sz w:val="12"/>
                <w:szCs w:val="12"/>
              </w:rPr>
            </w:pPr>
            <w:r w:rsidRPr="006D631C">
              <w:rPr>
                <w:color w:val="000000"/>
                <w:sz w:val="12"/>
                <w:szCs w:val="12"/>
              </w:rPr>
              <w:t>M-39</w:t>
            </w:r>
          </w:p>
        </w:tc>
        <w:tc>
          <w:tcPr>
            <w:tcW w:w="850" w:type="dxa"/>
            <w:tcBorders>
              <w:top w:val="single" w:sz="4" w:space="0" w:color="auto"/>
              <w:left w:val="nil"/>
              <w:bottom w:val="single" w:sz="4" w:space="0" w:color="auto"/>
              <w:right w:val="nil"/>
            </w:tcBorders>
            <w:shd w:val="clear" w:color="000000" w:fill="FFFFFF"/>
            <w:noWrap/>
            <w:vAlign w:val="center"/>
          </w:tcPr>
          <w:p w14:paraId="662AD9C9" w14:textId="77777777" w:rsidR="00AE2528" w:rsidRPr="006D631C" w:rsidRDefault="00AE2528" w:rsidP="00AE2528">
            <w:pPr>
              <w:spacing w:line="240" w:lineRule="auto"/>
              <w:jc w:val="left"/>
              <w:rPr>
                <w:color w:val="000000"/>
                <w:sz w:val="12"/>
                <w:szCs w:val="12"/>
              </w:rPr>
            </w:pPr>
            <w:r w:rsidRPr="006D631C">
              <w:rPr>
                <w:color w:val="000000"/>
                <w:sz w:val="12"/>
                <w:szCs w:val="12"/>
              </w:rPr>
              <w:t>A-10</w:t>
            </w:r>
          </w:p>
        </w:tc>
        <w:tc>
          <w:tcPr>
            <w:tcW w:w="567" w:type="dxa"/>
            <w:tcBorders>
              <w:top w:val="single" w:sz="4" w:space="0" w:color="auto"/>
              <w:left w:val="nil"/>
              <w:bottom w:val="single" w:sz="4" w:space="0" w:color="auto"/>
              <w:right w:val="nil"/>
            </w:tcBorders>
            <w:shd w:val="clear" w:color="000000" w:fill="FFFFFF"/>
            <w:vAlign w:val="center"/>
          </w:tcPr>
          <w:p w14:paraId="14F1F499"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709" w:type="dxa"/>
            <w:tcBorders>
              <w:top w:val="single" w:sz="4" w:space="0" w:color="auto"/>
              <w:left w:val="nil"/>
              <w:bottom w:val="single" w:sz="4" w:space="0" w:color="auto"/>
              <w:right w:val="nil"/>
            </w:tcBorders>
            <w:shd w:val="clear" w:color="000000" w:fill="FFFFFF"/>
            <w:vAlign w:val="center"/>
          </w:tcPr>
          <w:p w14:paraId="21415FBC" w14:textId="77777777" w:rsidR="00AE2528" w:rsidRPr="006D631C" w:rsidRDefault="00AE2528" w:rsidP="00AE2528">
            <w:pPr>
              <w:spacing w:line="240" w:lineRule="auto"/>
              <w:jc w:val="left"/>
              <w:rPr>
                <w:color w:val="000000"/>
                <w:sz w:val="12"/>
                <w:szCs w:val="12"/>
              </w:rPr>
            </w:pPr>
            <w:r w:rsidRPr="006D631C">
              <w:rPr>
                <w:color w:val="000000"/>
                <w:sz w:val="12"/>
                <w:szCs w:val="12"/>
              </w:rPr>
              <w:t>I-3 and  γ-ray radiation</w:t>
            </w:r>
          </w:p>
        </w:tc>
        <w:tc>
          <w:tcPr>
            <w:tcW w:w="1134" w:type="dxa"/>
            <w:tcBorders>
              <w:top w:val="single" w:sz="4" w:space="0" w:color="auto"/>
              <w:left w:val="nil"/>
              <w:bottom w:val="single" w:sz="4" w:space="0" w:color="auto"/>
              <w:right w:val="nil"/>
            </w:tcBorders>
            <w:shd w:val="clear" w:color="000000" w:fill="FFFFFF"/>
            <w:vAlign w:val="center"/>
          </w:tcPr>
          <w:p w14:paraId="64027414" w14:textId="77777777" w:rsidR="00AE2528" w:rsidRPr="006D631C" w:rsidRDefault="00AE2528" w:rsidP="00AE2528">
            <w:pPr>
              <w:spacing w:line="240" w:lineRule="auto"/>
              <w:jc w:val="left"/>
              <w:rPr>
                <w:color w:val="000000"/>
                <w:sz w:val="12"/>
                <w:szCs w:val="12"/>
              </w:rPr>
            </w:pPr>
            <w:r w:rsidRPr="006D631C">
              <w:rPr>
                <w:color w:val="000000"/>
                <w:sz w:val="12"/>
                <w:szCs w:val="12"/>
              </w:rPr>
              <w:t xml:space="preserve">Up to 20 </w:t>
            </w:r>
            <w:proofErr w:type="spellStart"/>
            <w:r w:rsidRPr="006D631C">
              <w:rPr>
                <w:color w:val="000000"/>
                <w:sz w:val="12"/>
                <w:szCs w:val="12"/>
              </w:rPr>
              <w:t>wt</w:t>
            </w:r>
            <w:proofErr w:type="spellEnd"/>
            <w:r w:rsidRPr="006D631C">
              <w:rPr>
                <w:color w:val="000000"/>
                <w:sz w:val="12"/>
                <w:szCs w:val="12"/>
              </w:rPr>
              <w:t>% monomer was used (H</w:t>
            </w:r>
            <w:r w:rsidRPr="006D631C">
              <w:rPr>
                <w:color w:val="000000"/>
                <w:sz w:val="12"/>
                <w:szCs w:val="12"/>
                <w:vertAlign w:val="subscript"/>
              </w:rPr>
              <w:t>1</w:t>
            </w:r>
            <w:r w:rsidRPr="006D631C">
              <w:rPr>
                <w:color w:val="000000"/>
                <w:sz w:val="12"/>
                <w:szCs w:val="12"/>
              </w:rPr>
              <w:t>)</w:t>
            </w:r>
          </w:p>
        </w:tc>
        <w:tc>
          <w:tcPr>
            <w:tcW w:w="992" w:type="dxa"/>
            <w:tcBorders>
              <w:top w:val="single" w:sz="4" w:space="0" w:color="auto"/>
              <w:left w:val="nil"/>
              <w:bottom w:val="single" w:sz="4" w:space="0" w:color="auto"/>
              <w:right w:val="nil"/>
            </w:tcBorders>
            <w:shd w:val="clear" w:color="000000" w:fill="FFFFFF"/>
            <w:noWrap/>
            <w:vAlign w:val="center"/>
          </w:tcPr>
          <w:p w14:paraId="4D2C19BA" w14:textId="77777777" w:rsidR="00AE2528" w:rsidRPr="006D631C" w:rsidRDefault="00AE2528" w:rsidP="00AE2528">
            <w:pPr>
              <w:spacing w:line="240" w:lineRule="auto"/>
              <w:jc w:val="left"/>
              <w:rPr>
                <w:color w:val="000000"/>
                <w:sz w:val="12"/>
                <w:szCs w:val="12"/>
              </w:rPr>
            </w:pPr>
            <w:r w:rsidRPr="006D631C">
              <w:rPr>
                <w:color w:val="000000"/>
                <w:sz w:val="12"/>
                <w:szCs w:val="12"/>
              </w:rPr>
              <w:t>Retention of the structure when γ-ray radiation is used</w:t>
            </w:r>
          </w:p>
        </w:tc>
        <w:tc>
          <w:tcPr>
            <w:tcW w:w="993" w:type="dxa"/>
            <w:tcBorders>
              <w:top w:val="single" w:sz="4" w:space="0" w:color="auto"/>
              <w:left w:val="nil"/>
              <w:bottom w:val="single" w:sz="4" w:space="0" w:color="auto"/>
              <w:right w:val="nil"/>
            </w:tcBorders>
            <w:shd w:val="clear" w:color="000000" w:fill="FFFFFF"/>
            <w:noWrap/>
            <w:vAlign w:val="center"/>
          </w:tcPr>
          <w:p w14:paraId="2FE3D514" w14:textId="77777777" w:rsidR="00AE2528" w:rsidRPr="006D631C" w:rsidRDefault="00AE2528" w:rsidP="00AE2528">
            <w:pPr>
              <w:spacing w:line="240" w:lineRule="auto"/>
              <w:jc w:val="left"/>
              <w:rPr>
                <w:color w:val="000000"/>
                <w:sz w:val="12"/>
                <w:szCs w:val="12"/>
              </w:rPr>
            </w:pPr>
            <w:r w:rsidRPr="006D631C">
              <w:rPr>
                <w:color w:val="000000"/>
                <w:sz w:val="12"/>
                <w:szCs w:val="12"/>
              </w:rPr>
              <w:t>7.5 *</w:t>
            </w:r>
          </w:p>
        </w:tc>
        <w:tc>
          <w:tcPr>
            <w:tcW w:w="1134" w:type="dxa"/>
            <w:tcBorders>
              <w:top w:val="single" w:sz="4" w:space="0" w:color="auto"/>
              <w:left w:val="nil"/>
              <w:bottom w:val="single" w:sz="4" w:space="0" w:color="auto"/>
              <w:right w:val="nil"/>
            </w:tcBorders>
            <w:shd w:val="clear" w:color="000000" w:fill="FFFFFF"/>
            <w:noWrap/>
            <w:vAlign w:val="center"/>
          </w:tcPr>
          <w:p w14:paraId="5272384E" w14:textId="77777777" w:rsidR="00AE2528" w:rsidRPr="006D631C" w:rsidRDefault="00AE2528" w:rsidP="00AE2528">
            <w:pPr>
              <w:spacing w:line="240" w:lineRule="auto"/>
              <w:jc w:val="left"/>
              <w:rPr>
                <w:color w:val="000000"/>
                <w:sz w:val="12"/>
                <w:szCs w:val="12"/>
              </w:rPr>
            </w:pPr>
            <w:r w:rsidRPr="006D631C">
              <w:rPr>
                <w:color w:val="000000"/>
                <w:sz w:val="12"/>
                <w:szCs w:val="12"/>
              </w:rPr>
              <w:t>18.4 *</w:t>
            </w:r>
          </w:p>
        </w:tc>
        <w:tc>
          <w:tcPr>
            <w:tcW w:w="5103" w:type="dxa"/>
            <w:tcBorders>
              <w:top w:val="nil"/>
              <w:left w:val="nil"/>
              <w:bottom w:val="single" w:sz="4" w:space="0" w:color="auto"/>
              <w:right w:val="nil"/>
            </w:tcBorders>
            <w:shd w:val="clear" w:color="000000" w:fill="FFFFFF"/>
            <w:noWrap/>
            <w:vAlign w:val="center"/>
          </w:tcPr>
          <w:p w14:paraId="02E6F297"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color w:val="000000"/>
                <w:sz w:val="12"/>
                <w:szCs w:val="12"/>
              </w:rPr>
              <w:t>Micron-sized spherical particles were obtained by photo-polymerization</w:t>
            </w:r>
          </w:p>
          <w:p w14:paraId="70F52DB2"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color w:val="000000"/>
                <w:sz w:val="12"/>
                <w:szCs w:val="12"/>
              </w:rPr>
              <w:t>Nanofibers were obtained by γ-ray radiation</w:t>
            </w:r>
          </w:p>
          <w:p w14:paraId="08E6F144"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color w:val="000000"/>
                <w:sz w:val="12"/>
                <w:szCs w:val="12"/>
              </w:rPr>
              <w:t>Conductivity of 10</w:t>
            </w:r>
            <w:r w:rsidRPr="006D631C">
              <w:rPr>
                <w:color w:val="000000"/>
                <w:sz w:val="12"/>
                <w:szCs w:val="12"/>
                <w:vertAlign w:val="superscript"/>
              </w:rPr>
              <w:t>-1</w:t>
            </w:r>
            <w:r w:rsidRPr="006D631C">
              <w:rPr>
                <w:color w:val="000000"/>
                <w:sz w:val="12"/>
                <w:szCs w:val="12"/>
              </w:rPr>
              <w:t xml:space="preserve"> S/cm was obtained for the obtained nanofibers which was higher than the reported values in the literature  </w:t>
            </w:r>
          </w:p>
        </w:tc>
        <w:tc>
          <w:tcPr>
            <w:tcW w:w="566" w:type="dxa"/>
            <w:tcBorders>
              <w:top w:val="single" w:sz="4" w:space="0" w:color="auto"/>
              <w:left w:val="nil"/>
              <w:bottom w:val="single" w:sz="4" w:space="0" w:color="auto"/>
              <w:right w:val="nil"/>
            </w:tcBorders>
            <w:shd w:val="clear" w:color="000000" w:fill="FFFFFF"/>
            <w:vAlign w:val="center"/>
          </w:tcPr>
          <w:p w14:paraId="1EC281F7" w14:textId="55F7215B" w:rsidR="00AE2528" w:rsidRPr="006D631C" w:rsidRDefault="00AE2528" w:rsidP="00AE2528">
            <w:pPr>
              <w:spacing w:line="240" w:lineRule="auto"/>
              <w:jc w:val="left"/>
              <w:rPr>
                <w:color w:val="000000"/>
                <w:sz w:val="12"/>
                <w:szCs w:val="12"/>
              </w:rPr>
            </w:pPr>
            <w:r w:rsidRPr="006D631C">
              <w:rPr>
                <w:color w:val="000000"/>
                <w:sz w:val="12"/>
                <w:szCs w:val="12"/>
              </w:rPr>
              <w:fldChar w:fldCharType="begin" w:fldLock="1"/>
            </w:r>
            <w:r w:rsidR="005276E4" w:rsidRPr="006D631C">
              <w:rPr>
                <w:color w:val="000000"/>
                <w:sz w:val="12"/>
                <w:szCs w:val="12"/>
              </w:rPr>
              <w:instrText>ADDIN CSL_CITATION {"citationItems":[{"id":"ITEM-1","itemData":{"DOI":"10.1039/C5NJ00826C","ISSN":"1144-0546","abstract":"Conducting poly(diphenylbutadiyne) (PDPB) nanofibers with controlled diameters (5 to 25 nm) and relatively high conductivity were synthesized in soft templates using UV and gamma irradiation.","author":[{"dropping-particle":"","family":"Ghosh","given":"Srabanti","non-dropping-particle":"","parse-names":false,"suffix":""},{"dropping-particle":"","family":"Ramos","given":"Laurence","non-dropping-particle":"","parse-names":false,"suffix":""},{"dropping-particle":"","family":"Remita","given":"Samy","non-dropping-particle":"","parse-names":false,"suffix":""},{"dropping-particle":"","family":"Dazzi","given":"Alexandre","non-dropping-particle":"","parse-names":false,"suffix":""},{"dropping-particle":"","family":"Deniset-Besseau","given":"Ariane","non-dropping-particle":"","parse-names":false,"suffix":""},{"dropping-particle":"","family":"Beaunier","given":"Patricia","non-dropping-particle":"","parse-names":false,"suffix":""},{"dropping-particle":"","family":"Goubard","given":"Fabrice","non-dropping-particle":"","parse-names":false,"suffix":""},{"dropping-particle":"","family":"Aubert","given":"Pierre-Henri","non-dropping-particle":"","parse-names":false,"suffix":""},{"dropping-particle":"","family":"Remita","given":"Hynd","non-dropping-particle":"","parse-names":false,"suffix":""}],"container-title":"New Journal of Chemistry","id":"ITEM-1","issue":"11","issued":{"date-parts":[["2015"]]},"page":"8311-8320","title":"Conducting polymer nanofibers with controlled diameters synthesized in hexagonal mesophases","type":"article-journal","volume":"39"},"uris":["http://www.mendeley.com/documents/?uuid=acedd214-53ef-430c-935c-6ed1567585b9"]}],"mendeley":{"formattedCitation":"&lt;sup&gt;172&lt;/sup&gt;","plainTextFormattedCitation":"172","previouslyFormattedCitation":"&lt;sup&gt;172&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172</w:t>
            </w:r>
            <w:r w:rsidRPr="006D631C">
              <w:rPr>
                <w:color w:val="000000"/>
                <w:sz w:val="12"/>
                <w:szCs w:val="12"/>
              </w:rPr>
              <w:fldChar w:fldCharType="end"/>
            </w:r>
          </w:p>
        </w:tc>
      </w:tr>
      <w:tr w:rsidR="00AE2528" w:rsidRPr="006D631C" w14:paraId="102ACB2A" w14:textId="77777777" w:rsidTr="00AE2528">
        <w:trPr>
          <w:trHeight w:val="20"/>
        </w:trPr>
        <w:tc>
          <w:tcPr>
            <w:tcW w:w="851" w:type="dxa"/>
            <w:tcBorders>
              <w:top w:val="single" w:sz="4" w:space="0" w:color="auto"/>
              <w:left w:val="nil"/>
              <w:bottom w:val="single" w:sz="4" w:space="0" w:color="auto"/>
              <w:right w:val="nil"/>
            </w:tcBorders>
            <w:shd w:val="clear" w:color="000000" w:fill="FFFFFF"/>
            <w:vAlign w:val="center"/>
          </w:tcPr>
          <w:p w14:paraId="5EFD077F" w14:textId="77777777" w:rsidR="00AE2528" w:rsidRPr="006D631C" w:rsidRDefault="00AE2528" w:rsidP="00AE2528">
            <w:pPr>
              <w:spacing w:line="240" w:lineRule="auto"/>
              <w:jc w:val="left"/>
              <w:rPr>
                <w:color w:val="000000"/>
                <w:sz w:val="12"/>
                <w:szCs w:val="12"/>
              </w:rPr>
            </w:pPr>
            <w:r w:rsidRPr="006D631C">
              <w:rPr>
                <w:color w:val="000000"/>
                <w:sz w:val="12"/>
                <w:szCs w:val="12"/>
              </w:rPr>
              <w:t>M-40</w:t>
            </w:r>
          </w:p>
        </w:tc>
        <w:tc>
          <w:tcPr>
            <w:tcW w:w="850" w:type="dxa"/>
            <w:tcBorders>
              <w:top w:val="single" w:sz="4" w:space="0" w:color="auto"/>
              <w:left w:val="nil"/>
              <w:bottom w:val="single" w:sz="4" w:space="0" w:color="auto"/>
              <w:right w:val="nil"/>
            </w:tcBorders>
            <w:shd w:val="clear" w:color="000000" w:fill="FFFFFF"/>
            <w:noWrap/>
            <w:vAlign w:val="center"/>
          </w:tcPr>
          <w:p w14:paraId="2C158EEB" w14:textId="77777777" w:rsidR="00AE2528" w:rsidRPr="006D631C" w:rsidRDefault="00AE2528" w:rsidP="00AE2528">
            <w:pPr>
              <w:spacing w:line="240" w:lineRule="auto"/>
              <w:jc w:val="left"/>
              <w:rPr>
                <w:color w:val="000000"/>
                <w:sz w:val="12"/>
                <w:szCs w:val="12"/>
              </w:rPr>
            </w:pPr>
            <w:r w:rsidRPr="006D631C">
              <w:rPr>
                <w:color w:val="000000"/>
                <w:sz w:val="12"/>
                <w:szCs w:val="12"/>
              </w:rPr>
              <w:t>A-5</w:t>
            </w:r>
          </w:p>
        </w:tc>
        <w:tc>
          <w:tcPr>
            <w:tcW w:w="567" w:type="dxa"/>
            <w:tcBorders>
              <w:top w:val="single" w:sz="4" w:space="0" w:color="auto"/>
              <w:left w:val="nil"/>
              <w:bottom w:val="single" w:sz="4" w:space="0" w:color="auto"/>
              <w:right w:val="nil"/>
            </w:tcBorders>
            <w:shd w:val="clear" w:color="000000" w:fill="FFFFFF"/>
            <w:vAlign w:val="center"/>
          </w:tcPr>
          <w:p w14:paraId="5218A9E8"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709" w:type="dxa"/>
            <w:tcBorders>
              <w:top w:val="single" w:sz="4" w:space="0" w:color="auto"/>
              <w:left w:val="nil"/>
              <w:bottom w:val="single" w:sz="4" w:space="0" w:color="auto"/>
              <w:right w:val="nil"/>
            </w:tcBorders>
            <w:shd w:val="clear" w:color="000000" w:fill="FFFFFF"/>
            <w:vAlign w:val="center"/>
          </w:tcPr>
          <w:p w14:paraId="173B0FA3" w14:textId="77777777" w:rsidR="00AE2528" w:rsidRPr="006D631C" w:rsidRDefault="00AE2528" w:rsidP="00AE2528">
            <w:pPr>
              <w:spacing w:line="240" w:lineRule="auto"/>
              <w:jc w:val="left"/>
              <w:rPr>
                <w:color w:val="000000"/>
                <w:sz w:val="12"/>
                <w:szCs w:val="12"/>
              </w:rPr>
            </w:pPr>
            <w:r w:rsidRPr="006D631C">
              <w:rPr>
                <w:color w:val="000000"/>
                <w:sz w:val="12"/>
                <w:szCs w:val="12"/>
              </w:rPr>
              <w:t>I-22</w:t>
            </w:r>
          </w:p>
        </w:tc>
        <w:tc>
          <w:tcPr>
            <w:tcW w:w="1134" w:type="dxa"/>
            <w:tcBorders>
              <w:top w:val="single" w:sz="4" w:space="0" w:color="auto"/>
              <w:left w:val="nil"/>
              <w:bottom w:val="single" w:sz="4" w:space="0" w:color="auto"/>
              <w:right w:val="nil"/>
            </w:tcBorders>
            <w:shd w:val="clear" w:color="000000" w:fill="FFFFFF"/>
            <w:vAlign w:val="center"/>
          </w:tcPr>
          <w:p w14:paraId="4FD39856" w14:textId="77777777" w:rsidR="00AE2528" w:rsidRPr="006D631C" w:rsidRDefault="00AE2528" w:rsidP="00AE2528">
            <w:pPr>
              <w:spacing w:line="240" w:lineRule="auto"/>
              <w:jc w:val="left"/>
              <w:rPr>
                <w:color w:val="000000"/>
                <w:sz w:val="12"/>
                <w:szCs w:val="12"/>
              </w:rPr>
            </w:pPr>
            <w:r w:rsidRPr="006D631C">
              <w:rPr>
                <w:color w:val="000000"/>
                <w:sz w:val="12"/>
                <w:szCs w:val="12"/>
              </w:rPr>
              <w:t>Up to 0.1 M monomer can be used (H</w:t>
            </w:r>
            <w:r w:rsidRPr="006D631C">
              <w:rPr>
                <w:color w:val="000000"/>
                <w:sz w:val="12"/>
                <w:szCs w:val="12"/>
                <w:vertAlign w:val="subscript"/>
              </w:rPr>
              <w:t>1</w:t>
            </w:r>
            <w:r w:rsidRPr="006D631C">
              <w:rPr>
                <w:color w:val="000000"/>
                <w:sz w:val="12"/>
                <w:szCs w:val="12"/>
              </w:rPr>
              <w:t>)</w:t>
            </w:r>
          </w:p>
        </w:tc>
        <w:tc>
          <w:tcPr>
            <w:tcW w:w="992" w:type="dxa"/>
            <w:tcBorders>
              <w:top w:val="single" w:sz="4" w:space="0" w:color="auto"/>
              <w:left w:val="nil"/>
              <w:bottom w:val="single" w:sz="4" w:space="0" w:color="auto"/>
              <w:right w:val="nil"/>
            </w:tcBorders>
            <w:shd w:val="clear" w:color="000000" w:fill="FFFFFF"/>
            <w:noWrap/>
            <w:vAlign w:val="center"/>
          </w:tcPr>
          <w:p w14:paraId="0387F6F5" w14:textId="77777777" w:rsidR="00AE2528" w:rsidRPr="006D631C" w:rsidRDefault="00AE2528" w:rsidP="00AE2528">
            <w:pPr>
              <w:spacing w:line="240" w:lineRule="auto"/>
              <w:jc w:val="left"/>
              <w:rPr>
                <w:color w:val="000000"/>
                <w:sz w:val="12"/>
                <w:szCs w:val="12"/>
              </w:rPr>
            </w:pPr>
            <w:r w:rsidRPr="006D631C">
              <w:rPr>
                <w:color w:val="000000"/>
                <w:sz w:val="12"/>
                <w:szCs w:val="12"/>
              </w:rPr>
              <w:t>Retention of the structure</w:t>
            </w:r>
          </w:p>
        </w:tc>
        <w:tc>
          <w:tcPr>
            <w:tcW w:w="993" w:type="dxa"/>
            <w:tcBorders>
              <w:top w:val="single" w:sz="4" w:space="0" w:color="auto"/>
              <w:left w:val="nil"/>
              <w:bottom w:val="single" w:sz="4" w:space="0" w:color="auto"/>
              <w:right w:val="nil"/>
            </w:tcBorders>
            <w:shd w:val="clear" w:color="000000" w:fill="FFFFFF"/>
            <w:noWrap/>
            <w:vAlign w:val="center"/>
          </w:tcPr>
          <w:p w14:paraId="1219D512" w14:textId="77777777" w:rsidR="00AE2528" w:rsidRPr="006D631C" w:rsidRDefault="00AE2528" w:rsidP="00AE2528">
            <w:pPr>
              <w:spacing w:line="240" w:lineRule="auto"/>
              <w:jc w:val="left"/>
              <w:rPr>
                <w:color w:val="000000"/>
                <w:sz w:val="12"/>
                <w:szCs w:val="12"/>
              </w:rPr>
            </w:pPr>
            <w:r w:rsidRPr="006D631C">
              <w:rPr>
                <w:color w:val="000000"/>
                <w:sz w:val="12"/>
                <w:szCs w:val="12"/>
              </w:rPr>
              <w:t>27 (diameter of the oil domain)</w:t>
            </w:r>
          </w:p>
        </w:tc>
        <w:tc>
          <w:tcPr>
            <w:tcW w:w="1134" w:type="dxa"/>
            <w:tcBorders>
              <w:top w:val="single" w:sz="4" w:space="0" w:color="auto"/>
              <w:left w:val="nil"/>
              <w:bottom w:val="single" w:sz="4" w:space="0" w:color="auto"/>
              <w:right w:val="nil"/>
            </w:tcBorders>
            <w:shd w:val="clear" w:color="000000" w:fill="FFFFFF"/>
            <w:noWrap/>
            <w:vAlign w:val="center"/>
          </w:tcPr>
          <w:p w14:paraId="040FD2A2" w14:textId="77777777" w:rsidR="00AE2528" w:rsidRPr="006D631C" w:rsidRDefault="00AE2528" w:rsidP="00AE2528">
            <w:pPr>
              <w:spacing w:line="240" w:lineRule="auto"/>
              <w:jc w:val="left"/>
              <w:rPr>
                <w:color w:val="000000"/>
                <w:sz w:val="12"/>
                <w:szCs w:val="12"/>
              </w:rPr>
            </w:pPr>
            <w:r w:rsidRPr="006D631C">
              <w:rPr>
                <w:color w:val="000000"/>
                <w:sz w:val="12"/>
                <w:szCs w:val="12"/>
              </w:rPr>
              <w:t>30 (diameter of the obtained nanowires)</w:t>
            </w:r>
          </w:p>
        </w:tc>
        <w:tc>
          <w:tcPr>
            <w:tcW w:w="5103" w:type="dxa"/>
            <w:tcBorders>
              <w:top w:val="nil"/>
              <w:left w:val="nil"/>
              <w:bottom w:val="single" w:sz="4" w:space="0" w:color="auto"/>
              <w:right w:val="nil"/>
            </w:tcBorders>
            <w:shd w:val="clear" w:color="000000" w:fill="FFFFFF"/>
            <w:noWrap/>
            <w:vAlign w:val="center"/>
          </w:tcPr>
          <w:p w14:paraId="6E104214"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color w:val="000000"/>
                <w:sz w:val="12"/>
                <w:szCs w:val="12"/>
              </w:rPr>
              <w:t>The optical band gap (estimated from the absorption edge, at 550 nm) of 2.25 eV was observed for the templated product</w:t>
            </w:r>
          </w:p>
          <w:p w14:paraId="00C3E012"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r w:rsidRPr="006D631C">
              <w:rPr>
                <w:color w:val="000000"/>
                <w:sz w:val="12"/>
                <w:szCs w:val="12"/>
              </w:rPr>
              <w:t>Strong absorption in the visible region was observed</w:t>
            </w:r>
          </w:p>
        </w:tc>
        <w:tc>
          <w:tcPr>
            <w:tcW w:w="566" w:type="dxa"/>
            <w:tcBorders>
              <w:top w:val="single" w:sz="4" w:space="0" w:color="auto"/>
              <w:left w:val="nil"/>
              <w:bottom w:val="single" w:sz="4" w:space="0" w:color="auto"/>
              <w:right w:val="nil"/>
            </w:tcBorders>
            <w:shd w:val="clear" w:color="000000" w:fill="FFFFFF"/>
            <w:vAlign w:val="center"/>
          </w:tcPr>
          <w:p w14:paraId="7577CE1B" w14:textId="59DBF846" w:rsidR="00AE2528" w:rsidRPr="006D631C" w:rsidRDefault="00AE2528" w:rsidP="00AE2528">
            <w:pPr>
              <w:spacing w:line="240" w:lineRule="auto"/>
              <w:jc w:val="left"/>
              <w:rPr>
                <w:color w:val="000000"/>
                <w:sz w:val="12"/>
                <w:szCs w:val="12"/>
              </w:rPr>
            </w:pPr>
            <w:r w:rsidRPr="006D631C">
              <w:rPr>
                <w:color w:val="000000"/>
                <w:sz w:val="12"/>
                <w:szCs w:val="12"/>
              </w:rPr>
              <w:fldChar w:fldCharType="begin" w:fldLock="1"/>
            </w:r>
            <w:r w:rsidR="005276E4" w:rsidRPr="006D631C">
              <w:rPr>
                <w:color w:val="000000"/>
                <w:sz w:val="12"/>
                <w:szCs w:val="12"/>
              </w:rPr>
              <w:instrText>ADDIN CSL_CITATION {"citationItems":[{"id":"ITEM-1","itemData":{"DOI":"10.1016/j.apcatb.2017.02.069","ISSN":"09263373","author":[{"dropping-particle":"","family":"Floresyona","given":"Dita","non-dropping-particle":"","parse-names":false,"suffix":""},{"dropping-particle":"","family":"Goubard","given":"Fabrice","non-dropping-particle":"","parse-names":false,"suffix":""},{"dropping-particle":"","family":"Aubert","given":"Pierre-Henri","non-dropping-particle":"","parse-names":false,"suffix":""},{"dropping-particle":"","family":"Lampre","given":"Isabelle","non-dropping-particle":"","parse-names":false,"suffix":""},{"dropping-particle":"","family":"Mathurin","given":"Jérémie","non-dropping-particle":"","parse-names":false,"suffix":""},{"dropping-particle":"","family":"Dazzi","given":"Alexandre","non-dropping-particle":"","parse-names":false,"suffix":""},{"dropping-particle":"","family":"Ghosh","given":"Srabanti","non-dropping-particle":"","parse-names":false,"suffix":""},{"dropping-particle":"","family":"Beaunier","given":"Patricia","non-dropping-particle":"","parse-names":false,"suffix":""},{"dropping-particle":"","family":"Brisset","given":"François","non-dropping-particle":"","parse-names":false,"suffix":""},{"dropping-particle":"","family":"Remita","given":"Samy","non-dropping-particle":"","parse-names":false,"suffix":""},{"dropping-particle":"","family":"Ramos","given":"Laurence","non-dropping-particle":"","parse-names":false,"suffix":""},{"dropping-particle":"","family":"Remita","given":"Hynd","non-dropping-particle":"","parse-names":false,"suffix":""}],"container-title":"Applied Catalysis B: Environmental","id":"ITEM-1","issued":{"date-parts":[["2017","7"]]},"page":"23-32","title":"Highly active poly(3-hexylthiophene) nanostructures for photocatalysis under solar light","type":"article-journal","volume":"209"},"uris":["http://www.mendeley.com/documents/?uuid=5594ab81-5d53-49f7-ba18-318981052493"]}],"mendeley":{"formattedCitation":"&lt;sup&gt;173&lt;/sup&gt;","plainTextFormattedCitation":"173","previouslyFormattedCitation":"&lt;sup&gt;173&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173</w:t>
            </w:r>
            <w:r w:rsidRPr="006D631C">
              <w:rPr>
                <w:color w:val="000000"/>
                <w:sz w:val="12"/>
                <w:szCs w:val="12"/>
              </w:rPr>
              <w:fldChar w:fldCharType="end"/>
            </w:r>
          </w:p>
        </w:tc>
      </w:tr>
      <w:tr w:rsidR="00AE2528" w:rsidRPr="006D631C" w14:paraId="35D1D3E3" w14:textId="77777777" w:rsidTr="00AE2528">
        <w:trPr>
          <w:trHeight w:val="20"/>
        </w:trPr>
        <w:tc>
          <w:tcPr>
            <w:tcW w:w="851" w:type="dxa"/>
            <w:tcBorders>
              <w:top w:val="single" w:sz="4" w:space="0" w:color="auto"/>
              <w:left w:val="nil"/>
              <w:bottom w:val="single" w:sz="4" w:space="0" w:color="auto"/>
              <w:right w:val="nil"/>
            </w:tcBorders>
            <w:shd w:val="clear" w:color="000000" w:fill="FFFFFF"/>
            <w:vAlign w:val="center"/>
          </w:tcPr>
          <w:p w14:paraId="54C0B1BE" w14:textId="77777777" w:rsidR="00AE2528" w:rsidRPr="006D631C" w:rsidRDefault="00AE2528" w:rsidP="00AE2528">
            <w:pPr>
              <w:spacing w:line="240" w:lineRule="auto"/>
              <w:jc w:val="left"/>
              <w:rPr>
                <w:color w:val="000000"/>
                <w:sz w:val="12"/>
                <w:szCs w:val="12"/>
              </w:rPr>
            </w:pPr>
            <w:r w:rsidRPr="006D631C">
              <w:rPr>
                <w:color w:val="000000"/>
                <w:sz w:val="12"/>
                <w:szCs w:val="12"/>
              </w:rPr>
              <w:t>M-41</w:t>
            </w:r>
          </w:p>
        </w:tc>
        <w:tc>
          <w:tcPr>
            <w:tcW w:w="850" w:type="dxa"/>
            <w:tcBorders>
              <w:top w:val="single" w:sz="4" w:space="0" w:color="auto"/>
              <w:left w:val="nil"/>
              <w:bottom w:val="single" w:sz="4" w:space="0" w:color="auto"/>
              <w:right w:val="nil"/>
            </w:tcBorders>
            <w:shd w:val="clear" w:color="000000" w:fill="FFFFFF"/>
            <w:noWrap/>
            <w:vAlign w:val="center"/>
          </w:tcPr>
          <w:p w14:paraId="7F6FBBA8" w14:textId="77777777" w:rsidR="00AE2528" w:rsidRPr="006D631C" w:rsidRDefault="00AE2528" w:rsidP="00AE2528">
            <w:pPr>
              <w:spacing w:line="240" w:lineRule="auto"/>
              <w:jc w:val="left"/>
              <w:rPr>
                <w:color w:val="000000"/>
                <w:sz w:val="12"/>
                <w:szCs w:val="12"/>
              </w:rPr>
            </w:pPr>
            <w:r w:rsidRPr="006D631C">
              <w:rPr>
                <w:color w:val="000000"/>
                <w:sz w:val="12"/>
                <w:szCs w:val="12"/>
              </w:rPr>
              <w:t>A-10</w:t>
            </w:r>
          </w:p>
        </w:tc>
        <w:tc>
          <w:tcPr>
            <w:tcW w:w="567" w:type="dxa"/>
            <w:tcBorders>
              <w:top w:val="single" w:sz="4" w:space="0" w:color="auto"/>
              <w:left w:val="nil"/>
              <w:bottom w:val="single" w:sz="4" w:space="0" w:color="auto"/>
              <w:right w:val="nil"/>
            </w:tcBorders>
            <w:shd w:val="clear" w:color="000000" w:fill="FFFFFF"/>
            <w:vAlign w:val="center"/>
          </w:tcPr>
          <w:p w14:paraId="7C7F22F9"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709" w:type="dxa"/>
            <w:tcBorders>
              <w:top w:val="single" w:sz="4" w:space="0" w:color="auto"/>
              <w:left w:val="nil"/>
              <w:bottom w:val="single" w:sz="4" w:space="0" w:color="auto"/>
              <w:right w:val="nil"/>
            </w:tcBorders>
            <w:shd w:val="clear" w:color="000000" w:fill="FFFFFF"/>
            <w:vAlign w:val="center"/>
          </w:tcPr>
          <w:p w14:paraId="346DAFE8" w14:textId="77777777" w:rsidR="00AE2528" w:rsidRPr="006D631C" w:rsidRDefault="00AE2528" w:rsidP="00AE2528">
            <w:pPr>
              <w:spacing w:line="240" w:lineRule="auto"/>
              <w:jc w:val="left"/>
              <w:rPr>
                <w:color w:val="000000"/>
                <w:sz w:val="12"/>
                <w:szCs w:val="12"/>
              </w:rPr>
            </w:pPr>
            <w:r w:rsidRPr="006D631C">
              <w:rPr>
                <w:color w:val="000000"/>
                <w:sz w:val="12"/>
                <w:szCs w:val="12"/>
              </w:rPr>
              <w:t>I-17</w:t>
            </w:r>
          </w:p>
        </w:tc>
        <w:tc>
          <w:tcPr>
            <w:tcW w:w="1134" w:type="dxa"/>
            <w:tcBorders>
              <w:top w:val="single" w:sz="4" w:space="0" w:color="auto"/>
              <w:left w:val="nil"/>
              <w:bottom w:val="single" w:sz="4" w:space="0" w:color="auto"/>
              <w:right w:val="nil"/>
            </w:tcBorders>
            <w:shd w:val="clear" w:color="000000" w:fill="FFFFFF"/>
            <w:vAlign w:val="center"/>
          </w:tcPr>
          <w:p w14:paraId="6F021E16" w14:textId="77777777" w:rsidR="00AE2528" w:rsidRPr="006D631C" w:rsidRDefault="00AE2528" w:rsidP="00AE2528">
            <w:pPr>
              <w:spacing w:line="240" w:lineRule="auto"/>
              <w:jc w:val="left"/>
              <w:rPr>
                <w:color w:val="000000"/>
                <w:sz w:val="12"/>
                <w:szCs w:val="12"/>
              </w:rPr>
            </w:pPr>
            <w:r w:rsidRPr="006D631C">
              <w:rPr>
                <w:color w:val="000000"/>
                <w:sz w:val="12"/>
                <w:szCs w:val="12"/>
              </w:rPr>
              <w:t xml:space="preserve">Up to 20 </w:t>
            </w:r>
            <w:proofErr w:type="spellStart"/>
            <w:r w:rsidRPr="006D631C">
              <w:rPr>
                <w:color w:val="000000"/>
                <w:sz w:val="12"/>
                <w:szCs w:val="12"/>
              </w:rPr>
              <w:t>vol</w:t>
            </w:r>
            <w:proofErr w:type="spellEnd"/>
            <w:r w:rsidRPr="006D631C">
              <w:rPr>
                <w:color w:val="000000"/>
                <w:sz w:val="12"/>
                <w:szCs w:val="12"/>
              </w:rPr>
              <w:t>% monomer content (H</w:t>
            </w:r>
            <w:r w:rsidRPr="006D631C">
              <w:rPr>
                <w:color w:val="000000"/>
                <w:sz w:val="12"/>
                <w:szCs w:val="12"/>
                <w:vertAlign w:val="subscript"/>
              </w:rPr>
              <w:t>1</w:t>
            </w:r>
            <w:r w:rsidRPr="006D631C">
              <w:rPr>
                <w:color w:val="000000"/>
                <w:sz w:val="12"/>
                <w:szCs w:val="12"/>
              </w:rPr>
              <w:t>)</w:t>
            </w:r>
          </w:p>
        </w:tc>
        <w:tc>
          <w:tcPr>
            <w:tcW w:w="992" w:type="dxa"/>
            <w:tcBorders>
              <w:top w:val="single" w:sz="4" w:space="0" w:color="auto"/>
              <w:left w:val="nil"/>
              <w:bottom w:val="single" w:sz="4" w:space="0" w:color="auto"/>
              <w:right w:val="nil"/>
            </w:tcBorders>
            <w:shd w:val="clear" w:color="000000" w:fill="FFFFFF"/>
            <w:noWrap/>
            <w:vAlign w:val="center"/>
          </w:tcPr>
          <w:p w14:paraId="3F4924C8" w14:textId="77777777" w:rsidR="00AE2528" w:rsidRPr="006D631C" w:rsidRDefault="00AE2528" w:rsidP="00AE2528">
            <w:pPr>
              <w:spacing w:line="240" w:lineRule="auto"/>
              <w:jc w:val="left"/>
              <w:rPr>
                <w:color w:val="000000"/>
                <w:sz w:val="12"/>
                <w:szCs w:val="12"/>
              </w:rPr>
            </w:pPr>
            <w:r w:rsidRPr="006D631C">
              <w:rPr>
                <w:color w:val="000000"/>
                <w:sz w:val="12"/>
                <w:szCs w:val="12"/>
              </w:rPr>
              <w:t>Limited retention of the structure under slow agitation of the mixture</w:t>
            </w:r>
          </w:p>
        </w:tc>
        <w:tc>
          <w:tcPr>
            <w:tcW w:w="993" w:type="dxa"/>
            <w:tcBorders>
              <w:top w:val="single" w:sz="4" w:space="0" w:color="auto"/>
              <w:left w:val="nil"/>
              <w:bottom w:val="single" w:sz="4" w:space="0" w:color="auto"/>
              <w:right w:val="nil"/>
            </w:tcBorders>
            <w:shd w:val="clear" w:color="000000" w:fill="FFFFFF"/>
            <w:noWrap/>
            <w:vAlign w:val="center"/>
          </w:tcPr>
          <w:p w14:paraId="7414F0FB" w14:textId="77777777" w:rsidR="00AE2528" w:rsidRPr="006D631C" w:rsidRDefault="00AE2528" w:rsidP="00AE2528">
            <w:pPr>
              <w:spacing w:line="240" w:lineRule="auto"/>
              <w:jc w:val="left"/>
              <w:rPr>
                <w:color w:val="000000"/>
                <w:sz w:val="12"/>
                <w:szCs w:val="12"/>
              </w:rPr>
            </w:pPr>
            <w:r w:rsidRPr="006D631C">
              <w:rPr>
                <w:color w:val="000000"/>
                <w:sz w:val="12"/>
                <w:szCs w:val="12"/>
              </w:rPr>
              <w:t>-</w:t>
            </w:r>
          </w:p>
        </w:tc>
        <w:tc>
          <w:tcPr>
            <w:tcW w:w="1134" w:type="dxa"/>
            <w:tcBorders>
              <w:top w:val="single" w:sz="4" w:space="0" w:color="auto"/>
              <w:left w:val="nil"/>
              <w:bottom w:val="single" w:sz="4" w:space="0" w:color="auto"/>
              <w:right w:val="nil"/>
            </w:tcBorders>
            <w:shd w:val="clear" w:color="000000" w:fill="FFFFFF"/>
            <w:noWrap/>
            <w:vAlign w:val="center"/>
          </w:tcPr>
          <w:p w14:paraId="626DD5B4" w14:textId="77777777" w:rsidR="00AE2528" w:rsidRPr="006D631C" w:rsidRDefault="00AE2528" w:rsidP="00AE2528">
            <w:pPr>
              <w:spacing w:line="240" w:lineRule="auto"/>
              <w:jc w:val="left"/>
              <w:rPr>
                <w:color w:val="000000"/>
                <w:sz w:val="12"/>
                <w:szCs w:val="12"/>
              </w:rPr>
            </w:pPr>
            <w:r w:rsidRPr="006D631C">
              <w:rPr>
                <w:color w:val="000000"/>
                <w:sz w:val="12"/>
                <w:szCs w:val="12"/>
              </w:rPr>
              <w:t xml:space="preserve">100 – 200 (diameter of </w:t>
            </w:r>
            <w:proofErr w:type="spellStart"/>
            <w:r w:rsidRPr="006D631C">
              <w:rPr>
                <w:color w:val="000000"/>
                <w:sz w:val="12"/>
                <w:szCs w:val="12"/>
              </w:rPr>
              <w:t>nanorods</w:t>
            </w:r>
            <w:proofErr w:type="spellEnd"/>
            <w:r w:rsidRPr="006D631C">
              <w:rPr>
                <w:color w:val="000000"/>
                <w:sz w:val="12"/>
                <w:szCs w:val="12"/>
              </w:rPr>
              <w:t>)</w:t>
            </w:r>
          </w:p>
        </w:tc>
        <w:tc>
          <w:tcPr>
            <w:tcW w:w="5103" w:type="dxa"/>
            <w:tcBorders>
              <w:top w:val="nil"/>
              <w:left w:val="nil"/>
              <w:bottom w:val="nil"/>
              <w:right w:val="nil"/>
            </w:tcBorders>
            <w:shd w:val="clear" w:color="000000" w:fill="FFFFFF"/>
            <w:noWrap/>
            <w:vAlign w:val="center"/>
          </w:tcPr>
          <w:p w14:paraId="2AAC326F"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proofErr w:type="spellStart"/>
            <w:r w:rsidRPr="006D631C">
              <w:rPr>
                <w:color w:val="000000"/>
                <w:sz w:val="12"/>
                <w:szCs w:val="12"/>
              </w:rPr>
              <w:t>Nanospheres</w:t>
            </w:r>
            <w:proofErr w:type="spellEnd"/>
            <w:r w:rsidRPr="006D631C">
              <w:rPr>
                <w:color w:val="000000"/>
                <w:sz w:val="12"/>
                <w:szCs w:val="12"/>
              </w:rPr>
              <w:t xml:space="preserve"> were produced under vortex mixing</w:t>
            </w:r>
          </w:p>
          <w:p w14:paraId="2B179036" w14:textId="77777777" w:rsidR="00AE2528" w:rsidRPr="006D631C" w:rsidRDefault="00AE2528" w:rsidP="00AE2528">
            <w:pPr>
              <w:pStyle w:val="ListParagraph"/>
              <w:numPr>
                <w:ilvl w:val="0"/>
                <w:numId w:val="11"/>
              </w:numPr>
              <w:spacing w:after="0" w:line="240" w:lineRule="auto"/>
              <w:ind w:left="176" w:hanging="142"/>
              <w:jc w:val="left"/>
              <w:rPr>
                <w:color w:val="000000"/>
                <w:sz w:val="12"/>
                <w:szCs w:val="12"/>
              </w:rPr>
            </w:pPr>
            <w:proofErr w:type="spellStart"/>
            <w:r w:rsidRPr="006D631C">
              <w:rPr>
                <w:color w:val="000000"/>
                <w:sz w:val="12"/>
                <w:szCs w:val="12"/>
              </w:rPr>
              <w:t>Nanorods</w:t>
            </w:r>
            <w:proofErr w:type="spellEnd"/>
            <w:r w:rsidRPr="006D631C">
              <w:rPr>
                <w:color w:val="000000"/>
                <w:sz w:val="12"/>
                <w:szCs w:val="12"/>
              </w:rPr>
              <w:t xml:space="preserve"> were obtained under slow agitation of the mixture</w:t>
            </w:r>
          </w:p>
        </w:tc>
        <w:tc>
          <w:tcPr>
            <w:tcW w:w="566" w:type="dxa"/>
            <w:tcBorders>
              <w:top w:val="single" w:sz="4" w:space="0" w:color="auto"/>
              <w:left w:val="nil"/>
              <w:bottom w:val="single" w:sz="4" w:space="0" w:color="auto"/>
              <w:right w:val="nil"/>
            </w:tcBorders>
            <w:shd w:val="clear" w:color="000000" w:fill="FFFFFF"/>
            <w:vAlign w:val="center"/>
          </w:tcPr>
          <w:p w14:paraId="420430D3" w14:textId="15A825DB" w:rsidR="00AE2528" w:rsidRPr="006D631C" w:rsidRDefault="00AE2528" w:rsidP="00AE2528">
            <w:pPr>
              <w:spacing w:line="240" w:lineRule="auto"/>
              <w:jc w:val="left"/>
              <w:rPr>
                <w:color w:val="000000"/>
                <w:sz w:val="12"/>
                <w:szCs w:val="12"/>
              </w:rPr>
            </w:pPr>
            <w:r w:rsidRPr="006D631C">
              <w:rPr>
                <w:color w:val="000000"/>
                <w:sz w:val="12"/>
                <w:szCs w:val="12"/>
              </w:rPr>
              <w:fldChar w:fldCharType="begin" w:fldLock="1"/>
            </w:r>
            <w:r w:rsidR="005276E4" w:rsidRPr="006D631C">
              <w:rPr>
                <w:color w:val="000000"/>
                <w:sz w:val="12"/>
                <w:szCs w:val="12"/>
              </w:rPr>
              <w:instrText>ADDIN CSL_CITATION {"citationItems":[{"id":"ITEM-1","itemData":{"DOI":"10.1002/app.40800","ISSN":"00218995","author":[{"dropping-particle":"","family":"Dutt","given":"Sunil","non-dropping-particle":"","parse-names":false,"suffix":""},{"dropping-particle":"","family":"Siril","given":"Prem Felix","non-dropping-particle":"","parse-names":false,"suffix":""}],"container-title":"Journal of Applied Polymer Science","id":"ITEM-1","issue":"18","issued":{"date-parts":[["2014","9","15"]]},"page":"40800","title":"Morphology controlled synthesis of polyaniline nanostructures using swollen liquid crystal templates","type":"article-journal","volume":"131"},"uris":["http://www.mendeley.com/documents/?uuid=ce8803bf-abfd-4def-a8a0-5bd7da8224bb"]}],"mendeley":{"formattedCitation":"&lt;sup&gt;174&lt;/sup&gt;","plainTextFormattedCitation":"174","previouslyFormattedCitation":"&lt;sup&gt;174&lt;/sup&gt;"},"properties":{"noteIndex":0},"schema":"https://github.com/citation-style-language/schema/raw/master/csl-citation.json"}</w:instrText>
            </w:r>
            <w:r w:rsidRPr="006D631C">
              <w:rPr>
                <w:color w:val="000000"/>
                <w:sz w:val="12"/>
                <w:szCs w:val="12"/>
              </w:rPr>
              <w:fldChar w:fldCharType="separate"/>
            </w:r>
            <w:r w:rsidRPr="006D631C">
              <w:rPr>
                <w:noProof/>
                <w:color w:val="000000"/>
                <w:sz w:val="12"/>
                <w:szCs w:val="12"/>
                <w:vertAlign w:val="superscript"/>
              </w:rPr>
              <w:t>174</w:t>
            </w:r>
            <w:r w:rsidRPr="006D631C">
              <w:rPr>
                <w:color w:val="000000"/>
                <w:sz w:val="12"/>
                <w:szCs w:val="12"/>
              </w:rPr>
              <w:fldChar w:fldCharType="end"/>
            </w:r>
          </w:p>
        </w:tc>
      </w:tr>
      <w:tr w:rsidR="00AE2528" w:rsidRPr="006D631C" w14:paraId="5DC90E4C" w14:textId="77777777" w:rsidTr="00AE2528">
        <w:trPr>
          <w:trHeight w:val="20"/>
        </w:trPr>
        <w:tc>
          <w:tcPr>
            <w:tcW w:w="851" w:type="dxa"/>
            <w:tcBorders>
              <w:top w:val="single" w:sz="4" w:space="0" w:color="auto"/>
              <w:left w:val="nil"/>
              <w:bottom w:val="single" w:sz="4" w:space="0" w:color="auto"/>
              <w:right w:val="nil"/>
            </w:tcBorders>
            <w:shd w:val="clear" w:color="000000" w:fill="FFFFFF"/>
            <w:vAlign w:val="center"/>
          </w:tcPr>
          <w:p w14:paraId="4DBA7F02" w14:textId="77777777" w:rsidR="00AE2528" w:rsidRPr="006D631C" w:rsidRDefault="00AE2528" w:rsidP="00AE2528">
            <w:pPr>
              <w:spacing w:line="240" w:lineRule="auto"/>
              <w:jc w:val="left"/>
              <w:rPr>
                <w:color w:val="000000"/>
                <w:sz w:val="12"/>
                <w:szCs w:val="12"/>
              </w:rPr>
            </w:pPr>
            <w:r w:rsidRPr="006D631C">
              <w:rPr>
                <w:color w:val="000000"/>
                <w:sz w:val="12"/>
                <w:szCs w:val="12"/>
              </w:rPr>
              <w:t>M-42 / M-43</w:t>
            </w:r>
          </w:p>
        </w:tc>
        <w:tc>
          <w:tcPr>
            <w:tcW w:w="12048" w:type="dxa"/>
            <w:gridSpan w:val="9"/>
            <w:tcBorders>
              <w:top w:val="single" w:sz="4" w:space="0" w:color="auto"/>
              <w:left w:val="nil"/>
              <w:bottom w:val="single" w:sz="4" w:space="0" w:color="auto"/>
              <w:right w:val="nil"/>
            </w:tcBorders>
            <w:shd w:val="clear" w:color="000000" w:fill="FFFFFF"/>
            <w:noWrap/>
            <w:vAlign w:val="center"/>
          </w:tcPr>
          <w:p w14:paraId="06A75DE0" w14:textId="77777777" w:rsidR="00AE2528" w:rsidRPr="006D631C" w:rsidRDefault="00AE2528" w:rsidP="00AE2528">
            <w:pPr>
              <w:spacing w:line="240" w:lineRule="auto"/>
              <w:jc w:val="left"/>
              <w:rPr>
                <w:color w:val="000000"/>
                <w:sz w:val="12"/>
                <w:szCs w:val="12"/>
              </w:rPr>
            </w:pPr>
            <w:r w:rsidRPr="006D631C">
              <w:rPr>
                <w:sz w:val="12"/>
                <w:szCs w:val="12"/>
              </w:rPr>
              <w:t>These monomers were discussed in synergistic templating. See Table 1-2/P-A-11 section</w:t>
            </w:r>
          </w:p>
        </w:tc>
      </w:tr>
    </w:tbl>
    <w:p w14:paraId="27AB5BD6" w14:textId="0272491C" w:rsidR="00172905" w:rsidRPr="006D631C" w:rsidRDefault="00C0453B" w:rsidP="00214FFF">
      <w:pPr>
        <w:spacing w:line="276" w:lineRule="auto"/>
        <w:rPr>
          <w:rFonts w:asciiTheme="majorBidi" w:hAnsiTheme="majorBidi" w:cstheme="majorBidi"/>
          <w:sz w:val="14"/>
          <w:szCs w:val="14"/>
        </w:rPr>
        <w:sectPr w:rsidR="00172905" w:rsidRPr="006D631C" w:rsidSect="00172905">
          <w:pgSz w:w="15840" w:h="12240" w:orient="landscape"/>
          <w:pgMar w:top="1440" w:right="1440" w:bottom="1440" w:left="1440" w:header="720" w:footer="720" w:gutter="0"/>
          <w:cols w:space="720"/>
          <w:docGrid w:linePitch="360"/>
        </w:sectPr>
      </w:pPr>
      <w:r w:rsidRPr="006D631C">
        <w:rPr>
          <w:rFonts w:asciiTheme="majorBidi" w:hAnsiTheme="majorBidi" w:cstheme="majorBidi"/>
          <w:sz w:val="14"/>
          <w:szCs w:val="14"/>
        </w:rPr>
        <w:t xml:space="preserve">* Calculated d-spacing for the primary reflection in the SAXS profile; SWNT: Single-walled carbon nanotube; EP: </w:t>
      </w:r>
      <w:proofErr w:type="spellStart"/>
      <w:r w:rsidRPr="006D631C">
        <w:rPr>
          <w:rFonts w:asciiTheme="majorBidi" w:hAnsiTheme="majorBidi" w:cstheme="majorBidi"/>
          <w:sz w:val="14"/>
          <w:szCs w:val="14"/>
        </w:rPr>
        <w:t>Electropolymerization</w:t>
      </w:r>
      <w:proofErr w:type="spellEnd"/>
      <w:r w:rsidRPr="006D631C">
        <w:rPr>
          <w:rFonts w:asciiTheme="majorBidi" w:hAnsiTheme="majorBidi" w:cstheme="majorBidi"/>
          <w:sz w:val="14"/>
          <w:szCs w:val="14"/>
        </w:rPr>
        <w:t xml:space="preserve">; PC: </w:t>
      </w:r>
      <w:proofErr w:type="spellStart"/>
      <w:r w:rsidRPr="006D631C">
        <w:rPr>
          <w:rFonts w:asciiTheme="majorBidi" w:hAnsiTheme="majorBidi" w:cstheme="majorBidi"/>
          <w:sz w:val="14"/>
          <w:szCs w:val="14"/>
        </w:rPr>
        <w:t>Polycondensation</w:t>
      </w:r>
      <w:proofErr w:type="spellEnd"/>
    </w:p>
    <w:p w14:paraId="562C05E9" w14:textId="185E9B0D" w:rsidR="00930186" w:rsidRPr="006D631C" w:rsidRDefault="00930186" w:rsidP="00CB7643">
      <w:pPr>
        <w:pStyle w:val="Heading2"/>
      </w:pPr>
      <w:bookmarkStart w:id="81" w:name="_Toc131082876"/>
      <w:bookmarkStart w:id="82" w:name="_Toc148175794"/>
      <w:r w:rsidRPr="006D631C">
        <w:lastRenderedPageBreak/>
        <w:t xml:space="preserve">1.5 </w:t>
      </w:r>
      <w:r w:rsidR="00EA57D5" w:rsidRPr="006D631C">
        <w:t>Kinetics of polymerization in LLC templates</w:t>
      </w:r>
      <w:bookmarkEnd w:id="81"/>
      <w:bookmarkEnd w:id="82"/>
      <w:r w:rsidRPr="006D631C">
        <w:t xml:space="preserve"> </w:t>
      </w:r>
    </w:p>
    <w:p w14:paraId="31CCDBD2" w14:textId="718C3C4C" w:rsidR="009404EE" w:rsidRPr="006D631C" w:rsidRDefault="009404EE" w:rsidP="005276E4">
      <w:pPr>
        <w:ind w:firstLine="357"/>
        <w:rPr>
          <w:rFonts w:asciiTheme="majorBidi" w:hAnsiTheme="majorBidi" w:cstheme="majorBidi"/>
        </w:rPr>
      </w:pPr>
      <w:r w:rsidRPr="006D631C">
        <w:rPr>
          <w:rFonts w:asciiTheme="majorBidi" w:hAnsiTheme="majorBidi" w:cstheme="majorBidi"/>
        </w:rPr>
        <w:t xml:space="preserve">Studying the polymerization kinetics in </w:t>
      </w:r>
      <w:proofErr w:type="spellStart"/>
      <w:r w:rsidRPr="006D631C">
        <w:rPr>
          <w:rFonts w:asciiTheme="majorBidi" w:hAnsiTheme="majorBidi" w:cstheme="majorBidi"/>
        </w:rPr>
        <w:t>nanoconfinements</w:t>
      </w:r>
      <w:proofErr w:type="spellEnd"/>
      <w:r w:rsidRPr="006D631C">
        <w:rPr>
          <w:rFonts w:asciiTheme="majorBidi" w:hAnsiTheme="majorBidi" w:cstheme="majorBidi"/>
        </w:rPr>
        <w:t xml:space="preserve"> of LLC templates is an attractive research ground not only due to the dramatic changes of the polymerization reaction rates in LLC templates, but also due to the important role of kinetics in ensuring structure retention</w:t>
      </w:r>
      <w:r w:rsidR="00086C6E" w:rsidRPr="006D631C">
        <w:rPr>
          <w:rFonts w:asciiTheme="majorBidi" w:hAnsiTheme="majorBidi" w:cstheme="majorBidi"/>
        </w:rPr>
        <w:t xml:space="preserve"> </w:t>
      </w:r>
      <w:r w:rsidRPr="006D631C">
        <w:rPr>
          <w:rFonts w:asciiTheme="majorBidi" w:hAnsiTheme="majorBidi" w:cstheme="majorBidi"/>
        </w:rPr>
        <w:t xml:space="preserve">during polymerization. As a rule of thumb, for both synergistic and transcriptive templating approaches, the faster the polymerization rate, the higher the probability of structure retention. When the reaction rate is high, the kinetically trapped cross-linked network forms rapidly, decreasing the chances of phase separation/inversion. This is why photopolymerization, which can often be completed in a few minutes, has been the first choice in most of the studies. The self-assembly of </w:t>
      </w:r>
      <w:proofErr w:type="spellStart"/>
      <w:r w:rsidRPr="006D631C">
        <w:rPr>
          <w:rFonts w:asciiTheme="majorBidi" w:hAnsiTheme="majorBidi" w:cstheme="majorBidi"/>
        </w:rPr>
        <w:t>amphiphiles</w:t>
      </w:r>
      <w:proofErr w:type="spellEnd"/>
      <w:r w:rsidRPr="006D631C">
        <w:rPr>
          <w:rFonts w:asciiTheme="majorBidi" w:hAnsiTheme="majorBidi" w:cstheme="majorBidi"/>
        </w:rPr>
        <w:t xml:space="preserve"> is temperature dependent.</w:t>
      </w:r>
      <w:r w:rsidRPr="006D631C">
        <w:rPr>
          <w:rFonts w:asciiTheme="majorBidi" w:hAnsiTheme="majorBidi" w:cstheme="majorBidi"/>
        </w:rPr>
        <w:fldChar w:fldCharType="begin" w:fldLock="1"/>
      </w:r>
      <w:r w:rsidR="0054392E" w:rsidRPr="006D631C">
        <w:rPr>
          <w:rFonts w:asciiTheme="majorBidi" w:hAnsiTheme="majorBidi" w:cstheme="majorBidi"/>
        </w:rPr>
        <w:instrText>ADDIN CSL_CITATION {"citationItems":[{"id":"ITEM-1","itemData":{"DOI":"10.1007/BF00653057","ISSN":"0303402X","abstract":"The phase behaviour and polymerisation of a quaternary ammonium surfactant containing an ethylmethacrylate polymerisable moiety within the head group region has been investigated. The addition of this large flexible hydrophilic moiety alters significantly the inherent surface activity of the surfactant and the surfactant may be compared with the class of non-ionic polyethyleneoxide surfactants. Polymerisation of both self-assembled and non self-assembled states went to near completion with the resulting polymer being completely insoluble in water.","author":[{"dropping-particle":"","family":"McGrath","given":"K. M.","non-dropping-particle":"","parse-names":false,"suffix":""},{"dropping-particle":"","family":"Drummond","given":"C. J.","non-dropping-particle":"","parse-names":false,"suffix":""}],"container-title":"Colloid and Polymer Science","id":"ITEM-1","issue":"7","issued":{"date-parts":[["1996"]]},"page":"612-621","title":"Polymerisation of liquid crystalline phases in binary surfactant/water systems. Part 4. Dodecyldimethylammoniumethylmethacrylate bromide","type":"article-journal","volume":"274"},"uris":["http://www.mendeley.com/documents/?uuid=2679bdcf-6510-444a-b144-ac6e0818783b"]},{"id":"ITEM-2","itemData":{"DOI":"10.1007/BF00655224","ISSN":"0303402X","abstract":"The polymerisation of a polymerisable fatty acid surfactant (sodium 10-undecenoate) has been studied in both its self-assembled and non self-assembled forms. Polymerisation in non self-assembled solution was achieved to near completion. The polymerisation produces a surface active polymer. The self-assembling behaviour of this pre-polymerised form differs markedly from that observed for the monomeric surfactant [1]. A lamellar phase only is formed in the polymeric phase diagram with no hexagonal or lamellar gel phases being observed. Polymerisation in the different self-assembled forms of sodium 10-undecenoate reached a limit of approximately 30% only, i.e., the surfactant aggregates act to inhibit the polymerisation. The nature of the hydrocarbon chain was found to play a critical role in determining the effect that polymerisation had on the underlying geometry of the surfactant molecules. When the chains are in a fluid-like state (as for the micellar and hexagonal phases) the original monomeric matrix remains largely unchanged. Whereas partial polymerisation of the lamellar gel phase results in a phase transformation. In addition the hydrolysis of the fatty acid soap at low concentrations (close to the critical micelle concentration) has been investigated. Hydrolysis was shown to produce both the parent fatty acid and an acid soap dimer. The presence of these species greatly affects the solution behaviour in this region of the phase diagram shifting the critical micelle concentration to very high concentrations of sodium 10-undecenoate (ca. 0.4 M).","author":[{"dropping-particle":"","family":"McGrath","given":"K. M.","non-dropping-particle":"","parse-names":false,"suffix":""}],"container-title":"Colloid and Polymer Science","id":"ITEM-2","issue":"6","issued":{"date-parts":[["1996"]]},"page":"499-512","title":"Polymerisation of liquid crystalline phases in binary surfactant/water systems. Part 3. Sodium 10-undecenoate","type":"article-journal","volume":"274"},"uris":["http://www.mendeley.com/documents/?uuid=3426744b-5b1b-482a-bbb1-d6064c89d3fc"]},{"id":"ITEM-3","itemData":{"DOI":"10.1007/BF00652461","ISSN":"0303402X","abstract":"The self-assembly behaviour of the polymerisable surfactant ω-undecenyltrimethylammonium bromide (ω-UTAB) both before and after polymerisation has been investigated. In addition polymerisation of the liquid crystalline phases formed by this surfactant in aqueous solution has been studied. Introduction of the carbon-carbon double bond at the end of the hydrocarbon chain increases the rigidity of the paraffinic chains such that the Krafft curve is shifted to higher temperatures compared with that of dodecyltrimethylammonium bromide, a non-polymerisable analogue. Both the polymerised and non-polymerised forms have been observed to have the same phase progression, with the polymer being more soluble in water such that the liquid crystalline phases formed at high surfactant concentration are accessible at room temperature. Polymerisation of the liquid crystalline phases of ω-UTAB indicate that polymerisation proceeds to approximately 40% (in comparison with 80% in a non-aggregated form) and that the original monomeric matrix is undisturbed upon partial polymerisation.","author":[{"dropping-particle":"","family":"McGrath","given":"K. M.","non-dropping-particle":"","parse-names":false,"suffix":""}],"container-title":"Colloid and Polymer Science","id":"ITEM-3","issue":"5","issued":{"date-parts":[["1996"]]},"page":"399-409","title":"Polymerisation of liquid crystalline phases in binary surfactant/water systems. Part 2. ω-undecenyltrimethylammonium bromide","type":"article-journal","volume":"274"},"uris":["http://www.mendeley.com/documents/?uuid=544f7c54-23f1-4dd5-a90e-54cc478ed69c"]},{"id":"ITEM-4","itemData":{"DOI":"10.1007/BF00654052","ISSN":"0303402X","abstract":"The binary phase behaviour of two potentially polymerisable quaternary ammonium surfactants in water has been investigated. Allyldodecyldimethylammonium bromide (ADAB) a single-chain surfactant displays a conventional phase progression upon increasing concentration. Whereas the double-chain analogue allyldidodecylmethylammonium bromide (ADDAB) forms two lamellar liquid crystalline phases built from surfactant bilayers, which transform via a first order phase transition. The formation of two distinct lamellar phases and their coexistence has been evidenced by optical microscopy, small-angle x-ray scattering and D2O deuterium quadrupolar nuclear magnetic resonance spectroscopy. The lamellar phase formed at higher surfactant compositions is a normal lamellar phase (type Lα), consisting of bilayers which are on average parallel and flat. The lower compositional lamellar phase (type Lχ) in contrast may not be comprised of planar bilayers but rather aggregates having a high degree of curvature in comparison to those of the Lα phase. The presence of the allyl polymerisable moiety in the head group position of these surfactants has the effect of reducing the rigidity of the surfactant and increasing its solubility in comparison to non-polymerisable analogues. Polymerisation of the surfactants was attempted by using thermal and photochemical initiation in isotropic and self-assembled systems. Polymerisation occurred to approximately 30% for ADAB but did not occur for ADDAB. Where polymerisation did occur the polymer was incorporated into the monomer matrix by interweaving between the surfactant aggregates. The polymers had a molecular weight not greater than 8000 Daltons, independent of the monomer concentration of the original solution and type of polymerisation.","author":[{"dropping-particle":"","family":"McGrath","given":"K. M.","non-dropping-particle":"","parse-names":false,"suffix":""},{"dropping-particle":"","family":"Drummond","given":"C. J.","non-dropping-particle":"","parse-names":false,"suffix":""}],"container-title":"Colloid and Polymer Science","id":"ITEM-4","issue":"4","issued":{"date-parts":[["1996"]]},"page":"316-333","title":"Polymerisation of liquid crystalline phases in binary surfactant/water systems: Part 1. Allyldodecyldimethylammonium bromide and allyldidodecylmethylammonium bromide","type":"article-journal","volume":"274"},"uris":["http://www.mendeley.com/documents/?uuid=ed4e82e4-cdff-4e40-b053-9c3883e498e6"]}],"mendeley":{"formattedCitation":"&lt;sup&gt;73–75,124&lt;/sup&gt;","plainTextFormattedCitation":"73–75,124","previouslyFormattedCitation":"&lt;sup&gt;73–75,124&lt;/sup&gt;"},"properties":{"noteIndex":0},"schema":"https://github.com/citation-style-language/schema/raw/master/csl-citation.json"}</w:instrText>
      </w:r>
      <w:r w:rsidRPr="006D631C">
        <w:rPr>
          <w:rFonts w:asciiTheme="majorBidi" w:hAnsiTheme="majorBidi" w:cstheme="majorBidi"/>
        </w:rPr>
        <w:fldChar w:fldCharType="separate"/>
      </w:r>
      <w:r w:rsidR="005276E4" w:rsidRPr="006D631C">
        <w:rPr>
          <w:rFonts w:asciiTheme="majorBidi" w:hAnsiTheme="majorBidi" w:cstheme="majorBidi"/>
          <w:noProof/>
          <w:vertAlign w:val="superscript"/>
        </w:rPr>
        <w:t>73–75,124</w:t>
      </w:r>
      <w:r w:rsidRPr="006D631C">
        <w:rPr>
          <w:rFonts w:asciiTheme="majorBidi" w:hAnsiTheme="majorBidi" w:cstheme="majorBidi"/>
        </w:rPr>
        <w:fldChar w:fldCharType="end"/>
      </w:r>
      <w:r w:rsidRPr="006D631C">
        <w:rPr>
          <w:rFonts w:asciiTheme="majorBidi" w:hAnsiTheme="majorBidi" w:cstheme="majorBidi"/>
        </w:rPr>
        <w:t xml:space="preserve"> In addition, the polymerization reaction is exothermic. Therefore, the change in temperature during non-isothermal reactions due to the heat of reaction may induce mesophase transition.</w:t>
      </w:r>
      <w:r w:rsidRPr="006D631C">
        <w:rPr>
          <w:rFonts w:asciiTheme="majorBidi" w:hAnsiTheme="majorBidi" w:cstheme="majorBidi"/>
          <w:vertAlign w:val="superscript"/>
        </w:rPr>
        <w:fldChar w:fldCharType="begin" w:fldLock="1"/>
      </w:r>
      <w:r w:rsidRPr="006D631C">
        <w:rPr>
          <w:rFonts w:asciiTheme="majorBidi" w:hAnsiTheme="majorBidi" w:cstheme="majorBidi"/>
          <w:vertAlign w:val="superscript"/>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vertAlign w:val="superscript"/>
        </w:rPr>
        <w:fldChar w:fldCharType="separate"/>
      </w:r>
      <w:r w:rsidRPr="006D631C">
        <w:rPr>
          <w:rFonts w:asciiTheme="majorBidi" w:hAnsiTheme="majorBidi" w:cstheme="majorBidi"/>
          <w:noProof/>
          <w:vertAlign w:val="superscript"/>
        </w:rPr>
        <w:t>56</w:t>
      </w:r>
      <w:r w:rsidRPr="006D631C">
        <w:rPr>
          <w:rFonts w:asciiTheme="majorBidi" w:hAnsiTheme="majorBidi" w:cstheme="majorBidi"/>
          <w:vertAlign w:val="superscript"/>
        </w:rPr>
        <w:fldChar w:fldCharType="end"/>
      </w:r>
      <w:r w:rsidRPr="006D631C">
        <w:rPr>
          <w:rFonts w:asciiTheme="majorBidi" w:hAnsiTheme="majorBidi" w:cstheme="majorBidi"/>
        </w:rPr>
        <w:t xml:space="preserve"> However, rapid formation of cross-linked polymer network can inhibit such phase separation/inversion.  </w:t>
      </w:r>
    </w:p>
    <w:p w14:paraId="1B19E1CE" w14:textId="27AE3E6D" w:rsidR="009404EE" w:rsidRPr="006D631C" w:rsidRDefault="009404EE" w:rsidP="005276E4">
      <w:pPr>
        <w:ind w:firstLine="357"/>
        <w:rPr>
          <w:rFonts w:asciiTheme="majorBidi" w:hAnsiTheme="majorBidi" w:cstheme="majorBidi"/>
        </w:rPr>
      </w:pPr>
      <w:r w:rsidRPr="006D631C">
        <w:rPr>
          <w:rFonts w:asciiTheme="majorBidi" w:hAnsiTheme="majorBidi" w:cstheme="majorBidi"/>
        </w:rPr>
        <w:t>Polymerization kinetics in different LLC structures have mainly been studied by Guymon and co-workers. They have shown that reactive sites segregation (e.g., double bond) and diffusion limitations are the main factors that determine the differences in the radical reaction rate among different mesophases.</w:t>
      </w:r>
      <w:r w:rsidRPr="006D631C">
        <w:rPr>
          <w:rFonts w:asciiTheme="majorBidi" w:hAnsiTheme="majorBidi" w:cstheme="majorBidi"/>
        </w:rPr>
        <w:fldChar w:fldCharType="begin" w:fldLock="1"/>
      </w:r>
      <w:r w:rsidR="0054392E"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5276E4"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The effect of the mentioned parameters will be discussed for the two types of LLC templating approaches separately in the following sections.</w:t>
      </w:r>
    </w:p>
    <w:p w14:paraId="535EFC5B" w14:textId="2E4E1305" w:rsidR="009B23A1" w:rsidRPr="006D631C" w:rsidRDefault="009B23A1" w:rsidP="00CB7643">
      <w:pPr>
        <w:pStyle w:val="Heading3"/>
      </w:pPr>
      <w:bookmarkStart w:id="83" w:name="_Toc131082877"/>
      <w:bookmarkStart w:id="84" w:name="_Toc148175795"/>
      <w:r w:rsidRPr="006D631C">
        <w:t>1.5.1 Synergistic LLC templating</w:t>
      </w:r>
      <w:bookmarkEnd w:id="83"/>
      <w:bookmarkEnd w:id="84"/>
      <w:r w:rsidRPr="006D631C">
        <w:t xml:space="preserve"> </w:t>
      </w:r>
    </w:p>
    <w:p w14:paraId="629DABB2" w14:textId="0FF52CB2" w:rsidR="009B23A1" w:rsidRPr="006D631C" w:rsidRDefault="00DF1B9F" w:rsidP="00867278">
      <w:pPr>
        <w:ind w:firstLine="357"/>
      </w:pPr>
      <w:r w:rsidRPr="006D631C">
        <w:rPr>
          <w:rFonts w:asciiTheme="majorBidi" w:hAnsiTheme="majorBidi" w:cstheme="majorBidi"/>
        </w:rPr>
        <w:t xml:space="preserve">In synergistic templating, the location of polymerizable group on the reactive </w:t>
      </w:r>
      <w:proofErr w:type="spellStart"/>
      <w:r w:rsidRPr="006D631C">
        <w:rPr>
          <w:rFonts w:asciiTheme="majorBidi" w:hAnsiTheme="majorBidi" w:cstheme="majorBidi"/>
        </w:rPr>
        <w:t>amphiphile</w:t>
      </w:r>
      <w:proofErr w:type="spellEnd"/>
      <w:r w:rsidRPr="006D631C">
        <w:rPr>
          <w:rFonts w:asciiTheme="majorBidi" w:hAnsiTheme="majorBidi" w:cstheme="majorBidi"/>
        </w:rPr>
        <w:t xml:space="preserve"> and the length of lipophilic chain are the main parameters that control the polymerization kinetics (see Fig</w:t>
      </w:r>
      <w:r w:rsidR="009603A0" w:rsidRPr="006D631C">
        <w:rPr>
          <w:rFonts w:asciiTheme="majorBidi" w:hAnsiTheme="majorBidi" w:cstheme="majorBidi"/>
        </w:rPr>
        <w:t>ure</w:t>
      </w:r>
      <w:r w:rsidRPr="006D631C">
        <w:rPr>
          <w:rFonts w:asciiTheme="majorBidi" w:hAnsiTheme="majorBidi" w:cstheme="majorBidi"/>
        </w:rPr>
        <w:t xml:space="preserve"> </w:t>
      </w:r>
      <w:r w:rsidR="009603A0" w:rsidRPr="006D631C">
        <w:rPr>
          <w:rFonts w:asciiTheme="majorBidi" w:hAnsiTheme="majorBidi" w:cstheme="majorBidi"/>
        </w:rPr>
        <w:t>1-</w:t>
      </w:r>
      <w:r w:rsidRPr="006D631C">
        <w:rPr>
          <w:rFonts w:asciiTheme="majorBidi" w:hAnsiTheme="majorBidi" w:cstheme="majorBidi"/>
        </w:rPr>
        <w:t>12).</w:t>
      </w:r>
      <w:r w:rsidRPr="006D631C">
        <w:rPr>
          <w:rFonts w:asciiTheme="majorBidi" w:hAnsiTheme="majorBidi" w:cstheme="majorBidi"/>
        </w:rPr>
        <w:fldChar w:fldCharType="begin" w:fldLock="1"/>
      </w:r>
      <w:r w:rsidR="00A2420E"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867278"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The impact of polymerizable group placement on the kinetics has been demonstrated by comparing the reaction rates between P-A-4 and P-A-5 in which the reactive </w:t>
      </w:r>
      <w:r w:rsidRPr="006D631C">
        <w:rPr>
          <w:rFonts w:asciiTheme="majorBidi" w:hAnsiTheme="majorBidi" w:cstheme="majorBidi"/>
        </w:rPr>
        <w:lastRenderedPageBreak/>
        <w:t>groups are located on the lipophilic tail and hydrophilic head, respectively. Based on the reported results, the polymerization rate for P-A-4 increases when the LLC structure changes from lamellar to micellar cubic, whereas an opposite trend is seen for P-A-5. With a change in the structure from micellar cubic to lamellar, the proximity of the double bonds decreases for P-A-4, resulting in fewer propagation reactions and therefore a lower polymerization rate.</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{"citationItems":[{"id":"ITEM-1","itemData":{"DOI":"10.1021/ma901318f","ISSN":"00249297","abstract":"The synthesis of polymers with inherent nanostructure has recently received much attention because of the wide range of potential application in which these materials could be used. To understand thefactors that affect the nanoscopic order preservation upon polymerization, this work examines the influenceof reactive group position in polymerizable surfactants that form reactive lyotropic liquid crystals (LLCs) onpolymerization kinetics and order before and after polymerization. Less ordered LLCphases are formed withreactive surfactants bearing reactive groups in the nonpolar tail compared to reactive surfactants withreactive groups near the polar head. The polymerization kinetics are influenced by both the LLC order andthe position of the reactive group. Higher polymerization rates are observed for reactive surfactants with thereactive group near the polar head with increasing surfactant concentration and LLC order. On the other hand, lower polymerization rates are observed for the reactive surfactant with the reactive group in thealiphatic tail at higher surfactant concentrations and LLC order. This behavior is mainly due to segregation of the reactive groups in different regions of the LLC phases as indicated by an apparent increase in both the prates, greater LLC order preservation is observed after polymerization. Also, by using higher light intensities, the resulting polymer exhibits higher degrees of LLC order retention than that observed when polymerization is initiated with lower light intensities and corresponding lower polymerization rate. © 2009 American Chemical Society.","author":[{"dropping-particle":"","family":"Sievens-Figueroa","given":"Lucas","non-dropping-particle":"","parse-names":false,"suffix":""},{"dropping-particle":"","family":"Guymon","given":"C. Allan","non-dropping-particle":"","parse-names":false,"suffix":""}],"container-title":"Macromolecules","id":"ITEM-1","issue":"23","issued":{"date-parts":[["2009"]]},"page":"9243-9250","title":"Polymerization kinetics and nanostructure evolution of reactive lyotropic liquid crystals with different reactive group position","type":"article-journal","volume":"42"},"uris":["http://www.mendeley.com/documents/?uuid=e6dcbf22-504d-4d17-bd09-02e76fa55c8b"]},{"id":"ITEM-2","itemData":{"DOI":"10.1016/S0032-3861(02)00188-X","ISSN":"00323861","abstract":"The synthesis of polymers bearing the highly ordered nanostructure of lyotropic liquid crystal (LLC) phases has recently been of great interest. This work describes the polymerization behavior and structural evolution of a cationic amphiphile in various LLC phases. The type and degree of LLC phases formed from this monomer depend strongly on the composition and temperature. By adding a nonpolymerizable surfactant a variety of LLC phases are formed including hexagonal, bicontinuous cubic, and lamellar morphologies while maintaining a constant monomer concentration. The highly ordered lamellar LLC phase exhibits the fastest polymerization rate with the slowest occurring in the hexagonal phase. The polymerization rates of the bicontinuous morphology were intermediate to the lamellar and hexagonal phases. The faster polymerization kinetics is due to diffusional limitations imposed on the propagating polymer by the highly ordered lamellar LLC phase. Also, the order of this LLC system has a strong dependence on temperature. At higher temperatures, the degree of LLC order and correspondingly the polymerization rate decrease. The original LLC phase morphology appears to be retained to the greatest extent in the faster polymerizing lamellar phase. The original nanostructure is also retained in the hexagonal and cubic LLC phases but with some slight changes in structure. This LLC structure is preserved at temperatures well exceeding the thermal phase transitions of the unpolymerized LLC samples. © 2002 Elsevier Science Ltd. All rights reserved.","author":[{"dropping-particle":"","family":"Lester","given":"Christopher L.","non-dropping-particle":"","parse-names":false,"suffix":""},{"dropping-particle":"","family":"Guymon","given":"C. Allan","non-dropping-particle":"","parse-names":false,"suffix":""}],"container-title":"Polymer","id":"ITEM-2","issue":"13","issued":{"date-parts":[["2002"]]},"page":"3707-3715","title":"Ordering effects on the photopolymerization of a lyotropic liquid crystal","type":"article-journal","volume":"43"},"uris":["http://www.mendeley.com/documents/?uuid=bfccc03e-b091-49b5-8ab2-f734ea0b8c75"]},{"id":"ITEM-3","itemData":{"DOI":"10.1016/j.polymer.2008.02.047","ISSN":"00323861","abstract":"Polymerizable lyotropic liquid crystals (LLCs) have the potential advantage of producing materials with anisotropic morphologies and nanometer size dimensions with potential in applications, such as drug delivery, catalysis, and tissue engineering. With the goal of more clearly understanding the factors involved in LLC phase retention after polymerization, this work describes the effect of aliphatic tail length in the amphiphilic molecule on order, polymerization kinetics, and structural evolution of reactive LLC systems. The polymerization kinetics are influenced by the LLC phase morphology with increases in the polymerization rate as the LLC phase increases in order. Enhanced polymerization rates are a result of an apparent increase in the termination and propagation rate parameters, induced by a local increase in monomer concentration due to segregation effects in the LLC phases. Polymerization in hexagonal phases formed from reactive amphiphiles with longer aliphatic tails exhibit lower polymerization rates when compared to systems with shorter aliphatic tails, suggesting that the order of the hexagonal phase decreases as the aliphatic tail increases. Two peaks are observed in the polymerization rate profiles when polymerizing in the hexagonal and cubic phases, with the second peak becoming more pronounced as the aliphatic tail length increases and the order of the LLC phase decreases. This effect appears to be due to changes in morphology during the polymerization process as the hexagonal phase morphology changes significantly during the polymer formation. Different behavior is observed for polymerizations in the lamellar phase for which the LLC phase is retained after polymerization. © 2008 Elsevier Ltd. All rights reserved.","author":[{"dropping-particle":"","family":"Sievens-Figueroa","given":"Lucas","non-dropping-particle":"","parse-names":false,"suffix":""},{"dropping-particle":"","family":"Allan Guymon","given":"C.","non-dropping-particle":"","parse-names":false,"suffix":""}],"container-title":"Polymer","id":"ITEM-3","issue":"9","issued":{"date-parts":[["2008"]]},"page":"2260-2267","title":"Aliphatic chain length effects on photopolymerization kinetics and structural evolution of polymerizable lyotropic liquid crystals","type":"article-journal","volume":"49"},"uris":["http://www.mendeley.com/documents/?uuid=cd771cc5-ac8d-47fc-855f-a5387035dea7"]}],"mendeley":{"formattedCitation":"&lt;sup&gt;96–98&lt;/sup&gt;","plainTextFormattedCitation":"96–98","previouslyFormattedCitation":"&lt;sup&gt;96–98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96–98</w:t>
      </w:r>
      <w:r w:rsidRPr="006D631C">
        <w:rPr>
          <w:rFonts w:asciiTheme="majorBidi" w:hAnsiTheme="majorBidi" w:cstheme="majorBidi"/>
        </w:rPr>
        <w:fldChar w:fldCharType="end"/>
      </w:r>
      <w:r w:rsidRPr="006D631C">
        <w:rPr>
          <w:rFonts w:asciiTheme="majorBidi" w:hAnsiTheme="majorBidi" w:cstheme="majorBidi"/>
        </w:rPr>
        <w:t xml:space="preserve"> It is worth noting that the effect of the initiation system cannot be neglected in this comparison since applying γ-ray radiation on a similar templating formulation with P-A-5 results in a slightly different trend compared to </w:t>
      </w:r>
      <w:proofErr w:type="spellStart"/>
      <w:r w:rsidRPr="006D631C">
        <w:rPr>
          <w:rFonts w:asciiTheme="majorBidi" w:hAnsiTheme="majorBidi" w:cstheme="majorBidi"/>
        </w:rPr>
        <w:t>photoinitiation</w:t>
      </w:r>
      <w:proofErr w:type="spellEnd"/>
      <w:r w:rsidRPr="006D631C">
        <w:rPr>
          <w:rFonts w:asciiTheme="majorBidi" w:hAnsiTheme="majorBidi" w:cstheme="majorBidi"/>
        </w:rPr>
        <w:t xml:space="preserve"> method (see Table </w:t>
      </w:r>
      <w:r w:rsidR="002800D7" w:rsidRPr="006D631C">
        <w:rPr>
          <w:rFonts w:asciiTheme="majorBidi" w:hAnsiTheme="majorBidi" w:cstheme="majorBidi"/>
        </w:rPr>
        <w:t>1-</w:t>
      </w:r>
      <w:r w:rsidRPr="006D631C">
        <w:rPr>
          <w:rFonts w:asciiTheme="majorBidi" w:hAnsiTheme="majorBidi" w:cstheme="majorBidi"/>
        </w:rPr>
        <w:t>2).</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{"citationItems":[{"id":"ITEM-1","itemData":{"DOI":"10.1002/bbpc.19981021217","ISSN":"0940483X","abstract":"The γ-ray polymerization of (2-meihacryloyethyl)dodecyldimethyl, larnonium bromide 1 and (11-mcthaeryloylundecyl) trirnethylammonkim bromide 2 in lyotropic mesophase is described, 1 forms hexagonal (H), cubic (Qu) and lamellar phases as indicated by polarizing microscopy and small jngle X-ray scattering (SAXS). Dose versus conversion curves indicate a complete polymerization of 1 in organized aqueous phases, the reaction rate being highest in the Hu phase. 2 is less reactive and polymerization in the Hu phase ceases at about 60% conversion to polymer. Both surfactants polymerize under retention of the macroscopic order of the mesophase. N'anostructured gel-like materials with hydrophilic and hydrophobic compartments arc obtained, which after removal of water can be swollen in polar and nonpolar solvents. © WILEY-VCH Veriag GmbH. 1998.","author":[{"dropping-particle":"","family":"Pawlowski","given":"Dirk","non-dropping-particle":"","parse-names":false,"suffix":""},{"dropping-particle":"","family":"Haibel","given":"Astrid","non-dropping-particle":"","parse-names":false,"suffix":""},{"dropping-particle":"","family":"Tieke","given":"M.","non-dropping-particle":"","parse-names":false,"suffix":""}],"container-title":"Berichte der Bunsengesellschaft/Physical Chemistry Chemical Physics","id":"ITEM-1","issue":"12","issued":{"date-parts":[["1998"]]},"page":"1865-1869","title":"Γ-Ray Polymerization of Cationic Surfactant Methacrylates in Lyotropic Mesopnases","type":"article-journal","volume":"102"},"uris":["http://www.mendeley.com/documents/?uuid=89432008-783e-48ea-9812-82cb8bb6c544"]}],"mendeley":{"formattedCitation":"&lt;sup&gt;76&lt;/sup&gt;","plainTextFormattedCitation":"76","previouslyFormattedCitation":"&lt;sup&gt;76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76</w:t>
      </w:r>
      <w:r w:rsidRPr="006D631C">
        <w:rPr>
          <w:rFonts w:asciiTheme="majorBidi" w:hAnsiTheme="majorBidi" w:cstheme="majorBidi"/>
        </w:rPr>
        <w:fldChar w:fldCharType="end"/>
      </w:r>
      <w:r w:rsidRPr="006D631C">
        <w:rPr>
          <w:rFonts w:asciiTheme="majorBidi" w:hAnsiTheme="majorBidi" w:cstheme="majorBidi"/>
        </w:rPr>
        <w:t xml:space="preserve"> To evaluate the effect of lipophilic chain length on the reaction rate, one can compare P-A-5, P-A-6, and P-A-7 in synergistic templating. Under the same conditions (e.g., surfactant content), the reaction becomes slower with an increase in the chain length. The formation of LLC structures that offer lower local double bond concentration (e.g., micellar cubic) is the reason why slower polymerization rates are observed when lengthy surfactants are used.</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{"citationItems":[{"id":"ITEM-1","itemData":{"DOI":"10.1016/j.polymer.2008.02.047","ISSN":"00323861","abstract":"Polymerizable lyotropic liquid crystals (LLCs) have the potential advantage of producing materials with anisotropic morphologies and nanometer size dimensions with potential in applications, such as drug delivery, catalysis, and tissue engineering. With the goal of more clearly understanding the factors involved in LLC phase retention after polymerization, this work describes the effect of aliphatic tail length in the amphiphilic molecule on order, polymerization kinetics, and structural evolution of reactive LLC systems. The polymerization kinetics are influenced by the LLC phase morphology with increases in the polymerization rate as the LLC phase increases in order. Enhanced polymerization rates are a result of an apparent increase in the termination and propagation rate parameters, induced by a local increase in monomer concentration due to segregation effects in the LLC phases. Polymerization in hexagonal phases formed from reactive amphiphiles with longer aliphatic tails exhibit lower polymerization rates when compared to systems with shorter aliphatic tails, suggesting that the order of the hexagonal phase decreases as the aliphatic tail increases. Two peaks are observed in the polymerization rate profiles when polymerizing in the hexagonal and cubic phases, with the second peak becoming more pronounced as the aliphatic tail length increases and the order of the LLC phase decreases. This effect appears to be due to changes in morphology during the polymerization process as the hexagonal phase morphology changes significantly during the polymer formation. Different behavior is observed for polymerizations in the lamellar phase for which the LLC phase is retained after polymerization. © 2008 Elsevier Ltd. All rights reserved.","author":[{"dropping-particle":"","family":"Sievens-Figueroa","given":"Lucas","non-dropping-particle":"","parse-names":false,"suffix":""},{"dropping-particle":"","family":"Allan Guymon","given":"C.","non-dropping-particle":"","parse-names":false,"suffix":""}],"container-title":"Polymer","id":"ITEM-1","issue":"9","issued":{"date-parts":[["2008"]]},"page":"2260-2267","title":"Aliphatic chain length effects on photopolymerization kinetics and structural evolution of polymerizable lyotropic liquid crystals","type":"article-journal","volume":"49"},"uris":["http://www.mendeley.com/documents/?uuid=cd771cc5-ac8d-47fc-855f-a5387035dea7"]},{"id":"ITEM-2","itemData":{"DOI":"10.1021/cm803383d","ISSN":"08974756","abstract":"In applications requiring nanoscale order, control over the structure formation is critical for appropriate function. Reactive surfactants forming reactive lyotropic liquid crystals (LLC) enable the formation of nanotructured polymers that exhibit enhanced physical properties when the original order is retained after polymerization. In this work, the use of a cross-linker to retain the LLC order for a monomethacrylate quaternary ammonium surfactant monomer in water during polymerization was explored. The cross-linker segregates to the polar regions of the surfactant assembly, likely near the quaternary ammonium group of the reactive surfactant. The use of a cross-linker enables the retention of the original LLC order after polymerization for hexagonal LLC phases that are not retained by other means. Increased polymerization rates are observed at low cross-linker concentrations. At higher cross-linker concentrations, the polymerization rates decrease because of a decrease in LLC order. More regular ordered morphologies are observed for systems that retain the hexagonal LLC order during polymerization. The resulting LLC order is also present after drying and swelling the polymer in water, therefore producing a polymer with robust LLC order. Enhancements in water uptake were also observed for polymers that retain the original order through cross-linking compared to systems that exhibit change in order. This behavior is directly related to the retention of the original LLC order. © 2009 American Chemical Society.","author":[{"dropping-particle":"","family":"Sievens-Figueroa","given":"Lucas","non-dropping-particle":"","parse-names":false,"suffix":""},{"dropping-particle":"","family":"Guymon","given":"C. Allan","non-dropping-particle":"","parse-names":false,"suffix":""}],"container-title":"Chemistry of Materials","id":"ITEM-2","issue":"6","issued":{"date-parts":[["2009"]]},"page":"1060-1068","title":"Cross-linking of reactive lyotropic liquid crystals for nanostrueture retention","type":"article-journal","volume":"21"},"uris":["http://www.mendeley.com/documents/?uuid=6aacfd18-62db-4cc9-925f-9fb614d08f5a"]}],"mendeley":{"formattedCitation":"&lt;sup&gt;89,98&lt;/sup&gt;","plainTextFormattedCitation":"89,98","previouslyFormattedCitation":"&lt;sup&gt;89,98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89,98</w:t>
      </w:r>
      <w:r w:rsidRPr="006D631C">
        <w:rPr>
          <w:rFonts w:asciiTheme="majorBidi" w:hAnsiTheme="majorBidi" w:cstheme="majorBidi"/>
        </w:rPr>
        <w:fldChar w:fldCharType="end"/>
      </w:r>
    </w:p>
    <w:p w14:paraId="6E8E3651" w14:textId="45F9F236" w:rsidR="003F69C0" w:rsidRPr="006D631C" w:rsidRDefault="003F69C0" w:rsidP="00CB7643">
      <w:pPr>
        <w:pStyle w:val="Heading3"/>
      </w:pPr>
      <w:bookmarkStart w:id="85" w:name="_Toc131082878"/>
      <w:bookmarkStart w:id="86" w:name="_Toc148175796"/>
      <w:r w:rsidRPr="006D631C">
        <w:t>1.5.2 Transcriptive LLC templating</w:t>
      </w:r>
      <w:bookmarkEnd w:id="85"/>
      <w:bookmarkEnd w:id="86"/>
      <w:r w:rsidRPr="006D631C">
        <w:t xml:space="preserve"> </w:t>
      </w:r>
    </w:p>
    <w:p w14:paraId="5F49BD06" w14:textId="44434206" w:rsidR="00CA44B5" w:rsidRPr="006D631C" w:rsidRDefault="00CA44B5"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Studies on transcriptive templating have shown that monomer and initiator polarity are the key parameters controlling the polymerization kinetics, as schematically demonstrated in Fig</w:t>
      </w:r>
      <w:r w:rsidR="007070D4" w:rsidRPr="006D631C">
        <w:rPr>
          <w:rFonts w:asciiTheme="majorBidi" w:hAnsiTheme="majorBidi" w:cstheme="majorBidi"/>
        </w:rPr>
        <w:t>ure</w:t>
      </w:r>
      <w:r w:rsidRPr="006D631C">
        <w:rPr>
          <w:rFonts w:asciiTheme="majorBidi" w:hAnsiTheme="majorBidi" w:cstheme="majorBidi"/>
        </w:rPr>
        <w:t xml:space="preserve"> </w:t>
      </w:r>
      <w:r w:rsidR="007070D4" w:rsidRPr="006D631C">
        <w:rPr>
          <w:rFonts w:asciiTheme="majorBidi" w:hAnsiTheme="majorBidi" w:cstheme="majorBidi"/>
        </w:rPr>
        <w:t>1-</w:t>
      </w:r>
      <w:r w:rsidRPr="006D631C">
        <w:rPr>
          <w:rFonts w:asciiTheme="majorBidi" w:hAnsiTheme="majorBidi" w:cstheme="majorBidi"/>
        </w:rPr>
        <w:t xml:space="preserve">13. Hydrophilic monomers tend to be present at the interface of water/surfactant. Such arrangements inhibit termination reactions by limiting the mobility and diffusion of the propagating polymer chains. In addition, when the LLC structure changes from micellar to lamellar, the local concentration of monomer increases in the continuous polar domain, resulting in higher radical propagation rates. When the limited mobility of the propagating chains and higher local concentration of the monomer exist simultaneously, a dramatic increase in polymerization rate is </w:t>
      </w:r>
      <w:r w:rsidRPr="006D631C">
        <w:rPr>
          <w:rFonts w:asciiTheme="majorBidi" w:hAnsiTheme="majorBidi" w:cstheme="majorBidi"/>
        </w:rPr>
        <w:lastRenderedPageBreak/>
        <w:t>observed.</w:t>
      </w:r>
      <w:r w:rsidRPr="006D631C">
        <w:rPr>
          <w:rFonts w:asciiTheme="majorBidi" w:hAnsiTheme="majorBidi" w:cstheme="majorBidi"/>
        </w:rPr>
        <w:fldChar w:fldCharType="begin" w:fldLock="1"/>
      </w:r>
      <w:r w:rsidR="001C6E0C"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A2420E"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Hydrophilic monomers such as M-9,</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{"citationItems":[{"id":"ITEM-1","itemData":{"DOI":"10.1021/ma011314p","ISSN":"00249297","author":[{"dropping-particle":"","family":"Lester","given":"C. L.","non-dropping-particle":"","parse-names":false,"suffix":""},{"dropping-particle":"","family":"Smith","given":"S. M.","non-dropping-particle":"","parse-names":false,"suffix":""},{"dropping-particle":"","family":"Guymon","given":"C. A.","non-dropping-particle":"","parse-names":false,"suffix":""}],"container-title":"Macromolecules","id":"ITEM-1","issue":"25","issued":{"date-parts":[["2001"]]},"page":"8587-8589","title":"Acceleration of polyacrylamide photopolymerization using lyotropic liquid crystals","type":"article-journal","volume":"34"},"uris":["http://www.mendeley.com/documents/?uuid=034459fb-7192-4cee-89bc-072ef1154a17"]},{"id":"ITEM-2","itemData":{"DOI":"10.1021/bk-2003-0847.ch032","abstract":"Nanostructured materials have been the focus of much attention due to\\ntheir applicability in nanocomposites, separations media, drug delivery\\ndevices, and many other applications requiring a nanometer size scale.\\nRecently, using lyotropic liquid crystalline (LLC) phases to template\\ntheir unique nanostructure onto organic polymers has been proposed. This\\nwork details the photopolymerization of acrylamide in various phases of\\nLLC systems. The photopolymerization kinetics are correlated to monomer\\norganization for different phases at a variety of concentrations and\\ntemperatures. The photopolymerization kinetics of acrylamide in the LLC\\nphases depend strongly on the LLC morphology. The polymerization rates\\nare significantly faster in compositions of surfactant resulting in a\\nhexagonal geometry as the acrylamide monomer is preferentially oriented.\\nThese results indicate that acrylamide is strongly associated with the\\nLLC interface and the surfactant. Photopolymerization of these templated\\nsystems results in structure retention of the parent, LLC phase.","author":[{"dropping-particle":"","family":"Guymon","given":"C. Allan","non-dropping-particle":"","parse-names":false,"suffix":""},{"dropping-particle":"","family":"Lester","given":"Christopher L.","non-dropping-particle":"","parse-names":false,"suffix":""}],"container-title":"ACS Symposium Series","id":"ITEM-2","issued":{"date-parts":[["2003","3","3"]]},"page":"378-388","title":"Photopolymerization Kinetics of Nanostructured Polymers Templated by Lyotropic Liquid Crystals","type":"article-journal","volume":"847"},"uris":["http://www.mendeley.com/documents/?uuid=e9652ecf-b4ab-44b4-84ff-eacc90331307"]},{"id":"ITEM-3","itemData":{"DOI":"10.1021/cm021703d","ISSN":"08974756","abstract":"Recently,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Materials","id":"ITEM-3","issue":"17","issued":{"date-parts":[["2003"]]},"page":"3376-3384","title":"Physical properties of hydrogels synthesized from lyotropic liquid crystalline templates","type":"article-journal","volume":"15"},"uris":["http://www.mendeley.com/documents/?uuid=f73d1f78-88b7-4d4c-83b6-c3bbcc68b73f"]},{"id":"ITEM-4","itemData":{"DOI":"10.1021/la0300784","ISSN":"07437463","abstract":"The synthesis of nanostructured polymer gels via polymerization of hydrophilic monomers in lyotropic liquid crystal (LLC) phases has recently been of great interest. This work describes the effects of monomer organization on the photopolymerization kinetics of acrylamide in various LLC phases of surfactant/water systems. Resutling polymer morphology is reported as well. The polymerization rate of acrylamide is significantly enhanced when performed in the presence of various LLC phases. An unprecedented 10-fold increase in polymerization rate is observed in bicontinuous cubic and hexagonal phases as compared to polymerizations in water. This significant increase in polymerization rate is a result of diffusional limitations on the propagating polymer as well as segregation and ordering phenomena induce by the LLC phase. 13CT1 relaxation times and 14NNMR spectra show that the monomer strongly associates with the interface of the surfactant/water assemblies and assumes the orientationl order of the LLC phases to some degree. When formed using photopolymerization, the resulting polymer morphology appears to be a direct template of the parent LLC phase.","author":[{"dropping-particle":"","family":"Lester","given":"Christopher L.","non-dropping-particle":"","parse-names":false,"suffix":""},{"dropping-particle":"","family":"Smith","given":"Shannon M.","non-dropping-particle":"","parse-names":false,"suffix":""},{"dropping-particle":"","family":"Jarrett","given":"William L.","non-dropping-particle":"","parse-names":false,"suffix":""},{"dropping-particle":"","family":"Allan Guymon","given":"C.","non-dropping-particle":"","parse-names":false,"suffix":""}],"container-title":"Langmuir","id":"ITEM-4","issue":"22","issued":{"date-parts":[["2003"]]},"page":"9466-9472","title":"Effects of Monomer Organization on the Photopolymerization Kinetics of Acrylamide in Lyotropic Liquid Crystalline Phases","type":"article-journal","volume":"19"},"uris":["http://www.mendeley.com/documents/?uuid=ed593b1e-2698-4bb2-89a3-8beb441225de"]},{"id":"ITEM-5","itemData":{"DOI":"10.1016/j.polymer.2004.11.007","ISSN":"00323861","abstract":"Through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Allan","non-dropping-particle":"","parse-names":false,"suffix":""}],"container-title":"Polymer","id":"ITEM-5","issue":"2","issued":{"date-parts":[["2005"]]},"page":"335-345","title":"Effect of photoinitiator segregation on polymerization kinetics in lyotropic liquid crystals","type":"article-journal","volume":"46"},"uris":["http://www.mendeley.com/documents/?uuid=3d4da872-6a25-4674-a0bf-2133c4dbb394"]},{"id":"ITEM-6","itemData":{"DOI":"10.1021/cm061969a","ISSN":"08974756","abstract":"Lyotropic liquid crystals (LLCs) have recently been employed as polymerization templates to yield highly ordered nanostructured hydrogels, which have shown promise in biological separations and tissue engineering. To allow greater control of hydrogel structure using LLC templates, this study focuses on the influence of polymerization kinetics and temperature on ultimate polymer morphology and properties. A more in-depth understanding of these phenomena has been obtained through extensive examination of polymer structure with small-angle X-ray scattering (SAXS) and scanning electron microscopy (SEM). The impact of different polymerization rate and temperature regimes on polymer morphology was determined using isotropic, cubic, and hexagonal phases as polymerization templates. Polymer morphology varies dramatically depending on LLC phase template, while within a given phase changes in polymerization time scale and temperature greatly impact polymer structure. SAXS reveals a higher degree of retained liquid crystalline order using rapid polymerization at relatively low temperatures. SEM images demonstrate that rapid polymerization yields polymers with highly ordered network structures and nanoscale morphology. Less ordered, thermodynamically driven polymer features result from relatively slow polymerization. The degree of swelling in aqueous solution increases dramatically in ordered LLC phases relative to bulk polymerization, with lower swelling resulting from faster polymerization. Similarly, higher surface area results from polymerization in LLC media relative to isotropic systems, and surface area increases with increasing polymerization rate. © 2006 American Chemical Society.","author":[{"dropping-particle":"","family":"DePierro","given":"Michael A.","non-dropping-particle":"","parse-names":false,"suffix":""},{"dropping-particle":"","family":"Carpenter","given":"Kyle G.","non-dropping-particle":"","parse-names":false,"suffix":""},{"dropping-particle":"","family":"Guymon","given":"C. Allan","non-dropping-particle":"","parse-names":false,"suffix":""}],"container-title":"Chemistry of Materials","id":"ITEM-6","issue":"23","issued":{"date-parts":[["2006","11"]]},"page":"5609-5617","title":"Influence of polymerization conditions on nanostructure and properties of polyacrylamide hydrogels templated from lyotropic liquid crystals","type":"article-journal","volume":"18"},"uris":["http://www.mendeley.com/documents/?uuid=e0a07ef3-cb63-401e-9e29-f5755f782e7d"]},{"id":"ITEM-7","itemData":{"DOI":"10.1021/cm4004849","ISSN":"08974756","abstract":"A promising method of synthesizing polymers with useful property relationships utilizes self-assembling lyotropic liquid crystals (LLCs) as photopolymerization templates to direct polymer structure on the nanometer scale. Unfortunately, thermodynamically driven phase separation of the polymer from the LLC template often occurs during polymerization and prevents control over final polymer nanostructure and properties. In this work, the nanostructure of polyacrylamide is controlled through photopolymerization in LLC templates formed using specific concentrations of polymerizable and nonreactive surfactants. Polymer structure information obtained using electron microscopy, X-ray scattering, and polarized light microscopy indicates that LLC nanostructure is retained during photopolymerization at particular reactive surfactant concentrations. Physical properties including water uptake, diffusivity, and mechanical strength are greater in polyacrylamide systems that exhibit nanostructure as compared to isotropic controls of the same chemical composition. Useful property relationships typically unattainable in traditional hydrogel systems are also observed for nanostructured hydrogels including simultaneous increases in water uptake and mechanical strength. These results demonstrate methods of generating and retaining polymer nanostructure during photopolymerization in systems that otherwise phase separate from the LLC template and may be utilized to synthesize nanostructured polymers with property relationships useful in a growing number of advanced applications. © 2013 American Chemical Society.","author":[{"dropping-particle":"","family":"Forney","given":"Bradley S.","non-dropping-particle":"","parse-names":false,"suffix":""},{"dropping-particle":"","family":"Baguenard","given":"Céline","non-dropping-particle":"","parse-names":false,"suffix":""},{"dropping-particle":"","family":"Guymon","given":"C. Allan","non-dropping-particle":"","parse-names":false,"suffix":""}],"container-title":"Chemistry of Materials","id":"ITEM-7","issue":"15","issued":{"date-parts":[["2013"]]},"page":"2950-2960","title":"Effects of controlling polymer nanostructure using photopolymerization within lyotropic liquid crystalline templates","type":"article-journal","volume":"25"},"uris":["http://www.mendeley.com/documents/?uuid=3abed647-ad42-477e-bd39-1d39d5b7ac76"]}],"mendeley":{"formattedCitation":"&lt;sup&gt;36,37,39–41,44,162&lt;/sup&gt;","plainTextFormattedCitation":"36,37,39–41,44,162","previouslyFormattedCitation":"&lt;sup&gt;36,37,39–41,44,162&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36,37,39–41,44,162</w:t>
      </w:r>
      <w:r w:rsidRPr="006D631C">
        <w:rPr>
          <w:rFonts w:asciiTheme="majorBidi" w:hAnsiTheme="majorBidi" w:cstheme="majorBidi"/>
        </w:rPr>
        <w:fldChar w:fldCharType="end"/>
      </w:r>
      <w:r w:rsidRPr="006D631C">
        <w:rPr>
          <w:rFonts w:asciiTheme="majorBidi" w:hAnsiTheme="majorBidi" w:cstheme="majorBidi"/>
        </w:rPr>
        <w:t xml:space="preserve"> M-13,</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Allan","non-dropping-particle":"","parse-names":false,"suffix":""}],"container-title":"Macromolecules","id":"ITEM-1","issue":"13","issued":{"date-parts":[["2001","6"]]},"page":"4430-4438","title":"Photopolymerization kinetics and structure development of templated lyotropic liquid crystalline systems","type":"article-journal","volume":"34"},"uris":["http://www.mendeley.com/documents/?uuid=5ad8b034-dc0f-455e-ac27-09cb31650bdb"]},{"id":"ITEM-2","itemData":{"DOI":"10.1021/cm021703d","ISSN":"08974756","abstract":"Recently,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Materials","id":"ITEM-2","issue":"17","issued":{"date-parts":[["2003"]]},"page":"3376-3384","title":"Physical properties of hydrogels synthesized from lyotropic liquid crystalline templates","type":"article-journal","volume":"15"},"uris":["http://www.mendeley.com/documents/?uuid=f73d1f78-88b7-4d4c-83b6-c3bbcc68b73f"]}],"mendeley":{"formattedCitation":"&lt;sup&gt;43,44&lt;/sup&gt;","plainTextFormattedCitation":"43,44","previouslyFormattedCitation":"&lt;sup&gt;43,44&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43,44</w:t>
      </w:r>
      <w:r w:rsidRPr="006D631C">
        <w:rPr>
          <w:rFonts w:asciiTheme="majorBidi" w:hAnsiTheme="majorBidi" w:cstheme="majorBidi"/>
        </w:rPr>
        <w:fldChar w:fldCharType="end"/>
      </w:r>
      <w:r w:rsidRPr="006D631C">
        <w:rPr>
          <w:rFonts w:asciiTheme="majorBidi" w:hAnsiTheme="majorBidi" w:cstheme="majorBidi"/>
        </w:rPr>
        <w:t xml:space="preserve"> and M-23</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Allan","non-dropping-particle":"","parse-names":false,"suffix":""}],"container-title":"Macromolecules","id":"ITEM-1","issue":"13","issued":{"date-parts":[["2001","6"]]},"page":"4430-4438","title":"Photopolymerization kinetics and structure development of templated lyotropic liquid crystalline systems","type":"article-journal","volume":"34"},"uris":["http://www.mendeley.com/documents/?uuid=5ad8b034-dc0f-455e-ac27-09cb31650bdb"]},{"id":"ITEM-2","itemData":{"DOI":"10.1016/j.polymer.2004.11.007","ISSN":"00323861","abstract":"Through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Allan","non-dropping-particle":"","parse-names":false,"suffix":""}],"container-title":"Polymer","id":"ITEM-2","issue":"2","issued":{"date-parts":[["2005"]]},"page":"335-345","title":"Effect of photoinitiator segregation on polymerization kinetics in lyotropic liquid crystals","type":"article-journal","volume":"46"},"uris":["http://www.mendeley.com/documents/?uuid=3d4da872-6a25-4674-a0bf-2133c4dbb394"]},{"id":"ITEM-3","itemData":{"DOI":"10.1021/ma0518196","ISSN":"00249297","abstract":"Lyotropic liquid crystals (LLC's) have recently been employed as polymerization templates to yield highly ordered nanostructured materials with potential applications in regulated transport, ultrafiltration, and catalysis. With the goal of understanding the reaction mechanisms ultimately determining polymer morphology in these highly ordered systems, this study focuses on the influence of LLC order on photoinitiation efficiency and monomer segregation behavior. These phenomena have been elucidated through extensive examination of the polymerization kinetics utilizing photodifferential scanning calorimetry. The polymerization kinetics in these ordered liquids are highly dependent on phase morphology because liquid crystalline alignment has a profound effect on monomer segregation, and photoinitiation efficiency is a function of viscosity, polarity, and the diffusional constraints inherent in LLC phases. Through studies of the polymerization kinetics in different LLC phases using a free radical inhibitor, the relative initiation efficiencies of a number of photoinitiators were determined. By incorporating relative efficiency information in the analysis of propagation and termination rate parameters, the individual contributions of monomer segregation and photoinitiation behavior to the polymerization kinetics were differentiated. While segregation of polar monomers in the continuous phase leads to increased polymerization rate in more ordered LLC phases, nonpolar monomers exhibit the opposite trend due to segregation in the discontinuous region of the phases studied. Changes in photoinitiation efficiency either compound or negate the effect of monomer segregation on the polymerization rate depending on initiator structure and polarity. The initiation efficiency with relatively bulky, hydrophobic initiators increases substantially in more ordered systems while the efficiency of less hydrophobic initiators decreases slightly in more ordered phases. © 2006 American Chemical Society.","author":[{"dropping-particle":"","family":"DePierro","given":"Michael A.","non-dropping-particle":"","parse-names":false,"suffix":""},{"dropping-particle":"","family":"Guymon","given":"C. Allan","non-dropping-particle":"","parse-names":false,"suffix":""}],"container-title":"Macromolecules","id":"ITEM-3","issue":"2","issued":{"date-parts":[["2006"]]},"page":"617-626","title":"Photoinitiation and monomer segregation behavior in polymerization of lyotropic liquid crystalline systems","type":"article-journal","volume":"39"},"uris":["http://www.mendeley.com/documents/?uuid=81e039e7-fbf5-4fa4-87e8-7195480e9a1d"]},{"id":"ITEM-4","itemData":{"author":[{"dropping-particle":"","family":"DePierro","given":"Michael A.","non-dropping-particle":"","parse-names":false,"suffix":""},{"dropping-particle":"","family":"Olson","given":"Alexandra J.","non-dropping-particle":"","parse-names":false,"suffix":""},{"dropping-particle":"","family":"Guymon","given":"C. A.","non-dropping-particle":"","parse-names":false,"suffix":""}],"container-title":"Radtech Technical Proceedings","id":"ITEM-4","issue":"-","issued":{"date-parts":[["2004"]]},"page":"-","title":"Effect of Photoinitiator Solubility on Polymerization in Lyotropic Liquid Crystalline Media","type":"article-journal","volume":"-"},"uris":["http://www.mendeley.com/documents/?uuid=de7fd536-8e96-4240-a259-92949dc7e752"]}],"mendeley":{"formattedCitation":"&lt;sup&gt;39,43,156,167&lt;/sup&gt;","plainTextFormattedCitation":"39,43,156,167","previouslyFormattedCitation":"&lt;sup&gt;39,43,156,167&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39,43,156,167</w:t>
      </w:r>
      <w:r w:rsidRPr="006D631C">
        <w:rPr>
          <w:rFonts w:asciiTheme="majorBidi" w:hAnsiTheme="majorBidi" w:cstheme="majorBidi"/>
        </w:rPr>
        <w:fldChar w:fldCharType="end"/>
      </w:r>
      <w:r w:rsidRPr="006D631C">
        <w:rPr>
          <w:rFonts w:asciiTheme="majorBidi" w:hAnsiTheme="majorBidi" w:cstheme="majorBidi"/>
        </w:rPr>
        <w:t xml:space="preserve"> have experimentally shown this behavior (see Table </w:t>
      </w:r>
      <w:r w:rsidR="00A412CC" w:rsidRPr="006D631C">
        <w:rPr>
          <w:rFonts w:asciiTheme="majorBidi" w:hAnsiTheme="majorBidi" w:cstheme="majorBidi"/>
        </w:rPr>
        <w:t>1-</w:t>
      </w:r>
      <w:r w:rsidRPr="006D631C">
        <w:rPr>
          <w:rFonts w:asciiTheme="majorBidi" w:hAnsiTheme="majorBidi" w:cstheme="majorBidi"/>
        </w:rPr>
        <w:t xml:space="preserve">3). </w:t>
      </w:r>
    </w:p>
    <w:p w14:paraId="2AE57648" w14:textId="50A8D9BE" w:rsidR="00CA44B5" w:rsidRPr="006D631C" w:rsidRDefault="00CA44B5"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Hydrophobic monomers show the opposite behavior i.e. the polymerization rate decreases with a change in LLC structure from micellar to lamellar. The concentration of surfactant increases with a change in LLC structure from micellar to lamellar, resulting in an augment of the apolar domains’ volume fraction. The local monomer concentration diminishes </w:t>
      </w:r>
      <w:r w:rsidR="001E15D6" w:rsidRPr="006D631C">
        <w:rPr>
          <w:rFonts w:asciiTheme="majorBidi" w:hAnsiTheme="majorBidi" w:cstheme="majorBidi"/>
        </w:rPr>
        <w:t>at</w:t>
      </w:r>
      <w:r w:rsidRPr="006D631C">
        <w:rPr>
          <w:rFonts w:asciiTheme="majorBidi" w:hAnsiTheme="majorBidi" w:cstheme="majorBidi"/>
        </w:rPr>
        <w:t xml:space="preserve"> higher apolar domain sizes which results in a lowering of polymerization rates.</w:t>
      </w:r>
      <w:r w:rsidRPr="006D631C">
        <w:rPr>
          <w:rFonts w:asciiTheme="majorBidi" w:hAnsiTheme="majorBidi" w:cstheme="majorBidi"/>
        </w:rPr>
        <w:fldChar w:fldCharType="begin" w:fldLock="1"/>
      </w:r>
      <w:r w:rsidR="001C6E0C"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A2420E"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Monomers such as M-4,</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56</w:t>
      </w:r>
      <w:r w:rsidRPr="006D631C">
        <w:rPr>
          <w:rFonts w:asciiTheme="majorBidi" w:hAnsiTheme="majorBidi" w:cstheme="majorBidi"/>
        </w:rPr>
        <w:fldChar w:fldCharType="end"/>
      </w:r>
      <w:r w:rsidRPr="006D631C">
        <w:rPr>
          <w:rFonts w:asciiTheme="majorBidi" w:hAnsiTheme="majorBidi" w:cstheme="majorBidi"/>
        </w:rPr>
        <w:t xml:space="preserve"> M-5,</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Chemistry","id":"ITEM-1","issue":"1","issued":{"date-parts":[["2016","1","1"]]},"page":"144-154","title":"Radical polymerization behavior and molecular weight development of homologous monoacrylate monomers in lyotropic liquid crystal phases","type":"article-journal","volume":"54"},"uris":["http://www.mendeley.com/documents/?uuid=4f7b9c95-7916-4292-a0f1-82a611583a7f"]}],"mendeley":{"formattedCitation":"&lt;sup&gt;99&lt;/sup&gt;","plainTextFormattedCitation":"99","previouslyFormattedCitation":"&lt;sup&gt;99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99</w:t>
      </w:r>
      <w:r w:rsidRPr="006D631C">
        <w:rPr>
          <w:rFonts w:asciiTheme="majorBidi" w:hAnsiTheme="majorBidi" w:cstheme="majorBidi"/>
        </w:rPr>
        <w:fldChar w:fldCharType="end"/>
      </w:r>
      <w:r w:rsidRPr="006D631C">
        <w:rPr>
          <w:rFonts w:asciiTheme="majorBidi" w:hAnsiTheme="majorBidi" w:cstheme="majorBidi"/>
        </w:rPr>
        <w:t xml:space="preserve"> M-6,</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Allan","non-dropping-particle":"","parse-names":false,"suffix":""}],"container-title":"Macromolecules","id":"ITEM-1","issue":"13","issued":{"date-parts":[["2001","6"]]},"page":"4430-4438","title":"Photopolymerization kinetics and structure development of templated lyotropic liquid crystalline systems","type":"article-journal","volume":"34"},"uris":["http://www.mendeley.com/documents/?uuid=5ad8b034-dc0f-455e-ac27-09cb31650bdb"]},{"id":"ITEM-2","itemData":{"author":[{"dropping-particle":"","family":"DePierro","given":"Michael A.","non-dropping-particle":"","parse-names":false,"suffix":""},{"dropping-particle":"","family":"Carpenter","given":"Kyle G.","non-dropping-particle":"","parse-names":false,"suffix":""},{"dropping-particle":"","family":"Guymon","given":"C. A.","non-dropping-particle":"","parse-names":false,"suffix":""}],"container-title":"Radtech Technical Proceedings","id":"ITEM-2","issue":"-","issued":{"date-parts":[["2006"]]},"page":"-","title":"Nanostructure Development of Polymers Templated from Lyotropic Liquid Crystals","type":"article-journal","volume":"-"},"uris":["http://www.mendeley.com/documents/?uuid=2586cb60-8c78-474d-9556-16c9719a021a"]},{"id":"ITEM-3","itemData":{"DOI":"10.1002/pola.27783","ISSN":"10990518","abstract":"Polymerization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Chemistry","id":"ITEM-3","issue":"1","issued":{"date-parts":[["2016","1","1"]]},"page":"144-154","title":"Radical polymerization behavior and molecular weight development of homologous monoacrylate monomers in lyotropic liquid crystal phases","type":"article-journal","volume":"54"},"uris":["http://www.mendeley.com/documents/?uuid=4f7b9c95-7916-4292-a0f1-82a611583a7f"]}],"mendeley":{"formattedCitation":"&lt;sup&gt;43,99,159&lt;/sup&gt;","plainTextFormattedCitation":"43,99,159","previouslyFormattedCitation":"&lt;sup&gt;43,99,159&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43,99,159</w:t>
      </w:r>
      <w:r w:rsidRPr="006D631C">
        <w:rPr>
          <w:rFonts w:asciiTheme="majorBidi" w:hAnsiTheme="majorBidi" w:cstheme="majorBidi"/>
        </w:rPr>
        <w:fldChar w:fldCharType="end"/>
      </w:r>
      <w:r w:rsidRPr="006D631C">
        <w:rPr>
          <w:rFonts w:asciiTheme="majorBidi" w:hAnsiTheme="majorBidi" w:cstheme="majorBidi"/>
        </w:rPr>
        <w:t xml:space="preserve"> and M-20</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Allan","non-dropping-particle":"","parse-names":false,"suffix":""}],"container-title":"Macromolecules","id":"ITEM-1","issue":"13","issued":{"date-parts":[["2001","6"]]},"page":"4430-4438","title":"Photopolymerization kinetics and structure development of templated lyotropic liquid crystalline systems","type":"article-journal","volume":"34"},"uris":["http://www.mendeley.com/documents/?uuid=5ad8b034-dc0f-455e-ac27-09cb31650bdb"]},{"id":"ITEM-2","itemData":{"author":[{"dropping-particle":"","family":"DePierro","given":"Michael A.","non-dropping-particle":"","parse-names":false,"suffix":""},{"dropping-particle":"","family":"Olson","given":"Alexandra J.","non-dropping-particle":"","parse-names":false,"suffix":""},{"dropping-particle":"","family":"Guymon","given":"C. A.","non-dropping-particle":"","parse-names":false,"suffix":""}],"container-title":"Radtech Technical Proceedings","id":"ITEM-2","issue":"-","issued":{"date-parts":[["2004"]]},"page":"-","title":"Effect of Photoinitiator Solubility on Polymerization in Lyotropic Liquid Crystalline Media","type":"article-journal","volume":"-"},"uris":["http://www.mendeley.com/documents/?uuid=de7fd536-8e96-4240-a259-92949dc7e752"]},{"id":"ITEM-3","itemData":{"DOI":"10.1016/j.polymer.2004.11.007","ISSN":"00323861","abstract":"Through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Allan","non-dropping-particle":"","parse-names":false,"suffix":""}],"container-title":"Polymer","id":"ITEM-3","issue":"2","issued":{"date-parts":[["2005"]]},"page":"335-345","title":"Effect of photoinitiator segregation on polymerization kinetics in lyotropic liquid crystals","type":"article-journal","volume":"46"},"uris":["http://www.mendeley.com/documents/?uuid=3d4da872-6a25-4674-a0bf-2133c4dbb394"]},{"id":"ITEM-4","itemData":{"DOI":"10.1021/ma0518196","ISSN":"00249297","abstract":"Lyotropic liquid crystals (LLC's) have recently been employed as polymerization templates to yield highly ordered nanostructured materials with potential applications in regulated transport, ultrafiltration, and catalysis. With the goal of understanding the reaction mechanisms ultimately determining polymer morphology in these highly ordered systems, this study focuses on the influence of LLC order on photoinitiation efficiency and monomer segregation behavior. These phenomena have been elucidated through extensive examination of the polymerization kinetics utilizing photodifferential scanning calorimetry. The polymerization kinetics in these ordered liquids are highly dependent on phase morphology because liquid crystalline alignment has a profound effect on monomer segregation, and photoinitiation efficiency is a function of viscosity, polarity, and the diffusional constraints inherent in LLC phases. Through studies of the polymerization kinetics in different LLC phases using a free radical inhibitor, the relative initiation efficiencies of a number of photoinitiators were determined. By incorporating relative efficiency information in the analysis of propagation and termination rate parameters, the individual contributions of monomer segregation and photoinitiation behavior to the polymerization kinetics were differentiated. While segregation of polar monomers in the continuous phase leads to increased polymerization rate in more ordered LLC phases, nonpolar monomers exhibit the opposite trend due to segregation in the discontinuous region of the phases studied. Changes in photoinitiation efficiency either compound or negate the effect of monomer segregation on the polymerization rate depending on initiator structure and polarity. The initiation efficiency with relatively bulky, hydrophobic initiators increases substantially in more ordered systems while the efficiency of less hydrophobic initiators decreases slightly in more ordered phases. © 2006 American Chemical Society.","author":[{"dropping-particle":"","family":"DePierro","given":"Michael A.","non-dropping-particle":"","parse-names":false,"suffix":""},{"dropping-particle":"","family":"Guymon","given":"C. Allan","non-dropping-particle":"","parse-names":false,"suffix":""}],"container-title":"Macromolecules","id":"ITEM-4","issue":"2","issued":{"date-parts":[["2006"]]},"page":"617-626","title":"Photoinitiation and monomer segregation behavior in polymerization of lyotropic liquid crystalline systems","type":"article-journal","volume":"39"},"uris":["http://www.mendeley.com/documents/?uuid=81e039e7-fbf5-4fa4-87e8-7195480e9a1d"]},{"id":"ITEM-5","itemData":{"DOI":"10.1021/ma101418e","ISSN":"00249297","abstract":"The ability to direct polymer structure on the nanometer scale has provided access to enhanced material properties that may be tailored to accommodate a growing number of advanced biological and industrial applications. A promising method of generating nanostructure in organic polymers uses self-assembling lyotropic liquid crystalline (LLC) mesophases as templates for polymerization. Unfortunately, thermodynamically driven phase separation often prevents polymer morphology from being precisely controlled. As the demand for polymers with accurately engineered properties increases, a detailed understanding of the phase separation process is needed to control the nanostructure and properties of LLC templated polymers. In this study, photopolymerization kinetics are utilized to identify phase separation events occurring during the photopolymerization of poly(ethylene glycol) diacrylate and hexanediol diacrylate monomers templated in the normal hexagonal or lamellar LLC mesophases. Discontinuities are found in the polymerization rate of anisotropic polymers at several double bond conversions that are not present in the rate profiles of isotropic controls. The polymer morphology was subsequently characterized at particular conversions using small angle X-ray scattering. Changes in polymer nanostructure occur at double bond conversions that coincide with the observed rate discontinuities. These results demonstrate that photopolymerization kinetics can be used as a probe to monitor the evolution of polymer nanostructure during polymerization and optimize the conditions governing the control of polymer morphology to enhance properties dependent on nanostructure. © 2010 American Chemical Society.","author":[{"dropping-particle":"","family":"Forney","given":"Bradley S.","non-dropping-particle":"","parse-names":false,"suffix":""},{"dropping-particle":"","family":"Guymon","given":"C. Allan","non-dropping-particle":"","parse-names":false,"suffix":""}],"container-title":"Macromolecules","id":"ITEM-5","issue":"20","issued":{"date-parts":[["2010","10","26"]]},"page":"8502-8510","title":"Nanostructure evolution during photopolymerization in lyotropic liquid crystal templates","type":"article-journal","volume":"43"},"uris":["http://www.mendeley.com/documents/?uuid=862518bf-5405-45d5-af85-3c72739c9ed0"]},{"id":"ITEM-6","itemData":{"DOI":"10.1021/ma030037e","ISSN":"00249297","abstract":"Nanostructured polymers are of significant interest due to their potential use in applications ranging from ultrafiltration membranes to catalysis supports. To date, much research has focused on using small molecular weight surfactants that form lyotropic liquid crystals (LLCs) as polymerization templates or polymerizing reactive LLCs to form such nanostructure in polymers. LLC phases formed from small molecular weight surfactants, however, are in and of themselves neither thermally nor mechanically stable, often rendering it difficult to preserve the LLC structure throughout polymerization. A relatively new class of surfactant molecules, Pluronic block copolymers, may afford increased flexibility in nanostructure development when used as polymerization templates. This work has focused on the photopolymerization of water and oil-soluble monomers in Pluronic lyotropic liquid crystals. In particular, the effect that LLC order and monomer segregation behavior has on monomer polymerization rate has been examined. The order of the LLC mesophase has a significant impact on polymerization rate with faster polymerization occurring in the normal phases for the oil-soluble monomer hexanediol diacrylate (HDDA) and in the inverse phases for the water-soluble monomer poly(ethylene glycol) diacrylate (PEG-400-DA). In addition, the effect of monomer addition and polymerization on LLC order has been characterized, with retention of LLC order before and after photopolymerization. Mesophase thermal stability, or the persistence of an LC phase at elevated temperatures, has also been examined for the polymer/LLC hydrogels to determine how polymer nanostructure differences affect fundamental LLC properties. Interestingly, when PEG-400-DA is polymerized in the continuous domains of the hexagonal mesophase, the clearing point is increased more than 40°C. However, when HDDA is polymerized in the discontinuous domains of hexagonal phase, the mesophase thermal stability increases only 25°C. Conversely, when HDDA is polymerized in the continuous region of the inverse hexagonal phase, the clearing point increases more than 60°C. The difference in polymer nanostructure that evolves during the polymerizations directly impacts the mesophase thermal stability. The LLC polymerization also affects the physical properties of polymer/Pluronic hydrogels with significant differences in compressive modulus observed based on the LLC phase in which the nanostructured polymer is generated.","author":[{"dropping-particle":"","family":"McCormick","given":"Demetrius T.","non-dropping-particle":"","parse-names":false,"suffix":""},{"dropping-particle":"","family":"Stovall","given":"Kalena D.","non-dropping-particle":"","parse-names":false,"suffix":""},{"dropping-particle":"","family":"Guymon","given":"C. Allan","non-dropping-particle":"","parse-names":false,"suffix":""}],"container-title":"Macromolecules","id":"ITEM-6","issue":"17","issued":{"date-parts":[["2003","8"]]},"page":"6549-6558","title":"Photopolymerization in pluronic lyotropic liquid crystals: Induced mesophase thermal stability","type":"article-journal","volume":"36"},"uris":["http://www.mendeley.com/documents/?uuid=ae7754a0-e1c1-4349-91b8-e716989d935f"]}],"mendeley":{"formattedCitation":"&lt;sup&gt;39,43,45,156,157,167&lt;/sup&gt;","plainTextFormattedCitation":"39,43,45,156,157,167","previouslyFormattedCitation":"&lt;sup&gt;39,43,45,156,157,167&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39,43,45,156,157,167</w:t>
      </w:r>
      <w:r w:rsidRPr="006D631C">
        <w:rPr>
          <w:rFonts w:asciiTheme="majorBidi" w:hAnsiTheme="majorBidi" w:cstheme="majorBidi"/>
        </w:rPr>
        <w:fldChar w:fldCharType="end"/>
      </w:r>
      <w:r w:rsidRPr="006D631C">
        <w:rPr>
          <w:rFonts w:asciiTheme="majorBidi" w:hAnsiTheme="majorBidi" w:cstheme="majorBidi"/>
        </w:rPr>
        <w:t xml:space="preserve"> are some of the hydrophobic species exhibiting lowered polymerization rates at high surfactant content, as shown in Table </w:t>
      </w:r>
      <w:r w:rsidR="00A47336" w:rsidRPr="006D631C">
        <w:rPr>
          <w:rFonts w:asciiTheme="majorBidi" w:hAnsiTheme="majorBidi" w:cstheme="majorBidi"/>
        </w:rPr>
        <w:t>1-</w:t>
      </w:r>
      <w:r w:rsidRPr="006D631C">
        <w:rPr>
          <w:rFonts w:asciiTheme="majorBidi" w:hAnsiTheme="majorBidi" w:cstheme="majorBidi"/>
        </w:rPr>
        <w:t xml:space="preserve">3. A slightly different trend is seen for some of the monomers presented in Table </w:t>
      </w:r>
      <w:r w:rsidR="00BF4A1D" w:rsidRPr="006D631C">
        <w:rPr>
          <w:rFonts w:asciiTheme="majorBidi" w:hAnsiTheme="majorBidi" w:cstheme="majorBidi"/>
        </w:rPr>
        <w:t>1-</w:t>
      </w:r>
      <w:r w:rsidRPr="006D631C">
        <w:rPr>
          <w:rFonts w:asciiTheme="majorBidi" w:hAnsiTheme="majorBidi" w:cstheme="majorBidi"/>
        </w:rPr>
        <w:t xml:space="preserve">3. This is believed to be due to phase separation, which alters the local concentration, segregation, and diffusional behavior of the monomers. It is worth mentioning that M-3 exhibits unique behavior among hydrophobic monomers. As shown in Table </w:t>
      </w:r>
      <w:r w:rsidR="00EB34A7" w:rsidRPr="006D631C">
        <w:rPr>
          <w:rFonts w:asciiTheme="majorBidi" w:hAnsiTheme="majorBidi" w:cstheme="majorBidi"/>
        </w:rPr>
        <w:t>1-</w:t>
      </w:r>
      <w:r w:rsidRPr="006D631C">
        <w:rPr>
          <w:rFonts w:asciiTheme="majorBidi" w:hAnsiTheme="majorBidi" w:cstheme="majorBidi"/>
        </w:rPr>
        <w:t>3, this monomer shows higher reaction rates when the LLC structure changes from micellar to lamellar, a behavior similar to the hydrophilic species. This observation is attributed to the partial water solubility of this monomer, which results in polymerization in the polar domains of the self-assembled molecules.</w:t>
      </w:r>
      <w:r w:rsidRPr="006D631C">
        <w:rPr>
          <w:rFonts w:asciiTheme="majorBidi" w:hAnsiTheme="majorBidi" w:cstheme="majorBidi"/>
        </w:rPr>
        <w:fldChar w:fldCharType="begin" w:fldLock="1"/>
      </w:r>
      <w:r w:rsidR="001C6E0C" w:rsidRPr="006D631C">
        <w:rPr>
          <w:rFonts w:asciiTheme="majorBidi" w:hAnsiTheme="majorBidi" w:cstheme="majorBidi"/>
        </w:rPr>
        <w:instrText>ADDIN CSL_CITATION {"citationItems":[{"id":"ITEM-1","itemData":{"author":[{"dropping-particle":"","family":"DePierro","given":"Michael A.","non-dropping-particle":"","parse-names":false,"suffix":""},{"dropping-particle":"","family":"Carpenter","given":"Kyle G.","non-dropping-particle":"","parse-names":false,"suffix":""},{"dropping-particle":"","family":"Guymon","given":"C. A.","non-dropping-particle":"","parse-names":false,"suffix":""}],"container-title":"Radtech Technical Proceedings","id":"ITEM-1","issue":"-","issued":{"date-parts":[["2006"]]},"page":"-","title":"Nanostructure Development of Polymers Templated from Lyotropic Liquid Crystals","type":"article-journal","volume":"-"},"uris":["http://www.mendeley.com/documents/?uuid=2586cb60-8c78-474d-9556-16c9719a021a"]},{"id":"ITEM-2","itemData":{"DOI":"10.1002/pola.27783","ISSN":"10990518","abstract":"Polymerization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Chemistry","id":"ITEM-2","issue":"1","issued":{"date-parts":[["2016","1","1"]]},"page":"144-154","title":"Radical polymerization behavior and molecular weight development of homologous monoacrylate monomers in lyotropic liquid crystal phases","type":"article-journal","volume":"54"},"uris":["http://www.mendeley.com/documents/?uuid=4f7b9c95-7916-4292-a0f1-82a611583a7f"]}],"mendeley":{"formattedCitation":"&lt;sup&gt;99,159&lt;/sup&gt;","plainTextFormattedCitation":"99,159","previouslyFormattedCitation":"&lt;sup&gt;99,159&lt;/sup&gt;"},"properties":{"noteIndex":0},"schema":"https://github.com/citation-style-language/schema/raw/master/csl-citation.json"}</w:instrText>
      </w:r>
      <w:r w:rsidRPr="006D631C">
        <w:rPr>
          <w:rFonts w:asciiTheme="majorBidi" w:hAnsiTheme="majorBidi" w:cstheme="majorBidi"/>
        </w:rPr>
        <w:fldChar w:fldCharType="separate"/>
      </w:r>
      <w:r w:rsidR="00A2420E" w:rsidRPr="006D631C">
        <w:rPr>
          <w:rFonts w:asciiTheme="majorBidi" w:hAnsiTheme="majorBidi" w:cstheme="majorBidi"/>
          <w:noProof/>
          <w:vertAlign w:val="superscript"/>
        </w:rPr>
        <w:t>99,159</w:t>
      </w:r>
      <w:r w:rsidRPr="006D631C">
        <w:rPr>
          <w:rFonts w:asciiTheme="majorBidi" w:hAnsiTheme="majorBidi" w:cstheme="majorBidi"/>
        </w:rPr>
        <w:fldChar w:fldCharType="end"/>
      </w:r>
      <w:r w:rsidRPr="006D631C">
        <w:rPr>
          <w:rFonts w:asciiTheme="majorBidi" w:hAnsiTheme="majorBidi" w:cstheme="majorBidi"/>
        </w:rPr>
        <w:t xml:space="preserve"> In addition to the monomer partitioning and mobility of the propagating chains, the effect of </w:t>
      </w:r>
      <w:proofErr w:type="spellStart"/>
      <w:r w:rsidRPr="006D631C">
        <w:rPr>
          <w:rFonts w:asciiTheme="majorBidi" w:hAnsiTheme="majorBidi" w:cstheme="majorBidi"/>
        </w:rPr>
        <w:t>nanoconfinement</w:t>
      </w:r>
      <w:proofErr w:type="spellEnd"/>
      <w:r w:rsidRPr="006D631C">
        <w:rPr>
          <w:rFonts w:asciiTheme="majorBidi" w:hAnsiTheme="majorBidi" w:cstheme="majorBidi"/>
        </w:rPr>
        <w:t xml:space="preserve"> on the polymerization rates cannot be underestimated. </w:t>
      </w:r>
      <w:proofErr w:type="spellStart"/>
      <w:r w:rsidRPr="006D631C">
        <w:rPr>
          <w:rFonts w:asciiTheme="majorBidi" w:hAnsiTheme="majorBidi" w:cstheme="majorBidi"/>
        </w:rPr>
        <w:t>Qavi</w:t>
      </w:r>
      <w:proofErr w:type="spellEnd"/>
      <w:r w:rsidRPr="006D631C">
        <w:rPr>
          <w:rFonts w:asciiTheme="majorBidi" w:hAnsiTheme="majorBidi" w:cstheme="majorBidi"/>
        </w:rPr>
        <w:t xml:space="preserve"> and co-workers have shown that the probability of termination steps increases when the reaction is carried out in </w:t>
      </w:r>
      <w:proofErr w:type="spellStart"/>
      <w:r w:rsidRPr="006D631C">
        <w:rPr>
          <w:rFonts w:asciiTheme="majorBidi" w:hAnsiTheme="majorBidi" w:cstheme="majorBidi"/>
        </w:rPr>
        <w:t>nanoconfinement</w:t>
      </w:r>
      <w:proofErr w:type="spellEnd"/>
      <w:r w:rsidRPr="006D631C">
        <w:rPr>
          <w:rFonts w:asciiTheme="majorBidi" w:hAnsiTheme="majorBidi" w:cstheme="majorBidi"/>
        </w:rPr>
        <w:t>, with smaller domain sizes of polymerizing phase resulting in slower polymerization rates.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56</w:t>
      </w:r>
      <w:r w:rsidRPr="006D631C">
        <w:rPr>
          <w:rFonts w:asciiTheme="majorBidi" w:hAnsiTheme="majorBidi" w:cstheme="majorBidi"/>
        </w:rPr>
        <w:fldChar w:fldCharType="end"/>
      </w:r>
    </w:p>
    <w:p w14:paraId="49CB0F58" w14:textId="77777777" w:rsidR="00612E13" w:rsidRPr="006D631C" w:rsidRDefault="00612E13" w:rsidP="00612E13">
      <w:pPr>
        <w:tabs>
          <w:tab w:val="left" w:pos="90"/>
          <w:tab w:val="left" w:pos="360"/>
          <w:tab w:val="left" w:pos="992"/>
        </w:tabs>
        <w:spacing w:line="276" w:lineRule="auto"/>
        <w:jc w:val="center"/>
        <w:rPr>
          <w:rFonts w:eastAsia="Calibri"/>
        </w:rPr>
      </w:pPr>
      <w:r w:rsidRPr="006D631C">
        <w:rPr>
          <w:rFonts w:eastAsia="Calibri"/>
          <w:noProof/>
        </w:rPr>
        <w:lastRenderedPageBreak/>
        <w:drawing>
          <wp:inline distT="0" distB="0" distL="0" distR="0" wp14:anchorId="5F0E0520" wp14:editId="210064D5">
            <wp:extent cx="3672000" cy="5766461"/>
            <wp:effectExtent l="0" t="0" r="508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72000" cy="5766461"/>
                    </a:xfrm>
                    <a:prstGeom prst="rect">
                      <a:avLst/>
                    </a:prstGeom>
                    <a:noFill/>
                  </pic:spPr>
                </pic:pic>
              </a:graphicData>
            </a:graphic>
          </wp:inline>
        </w:drawing>
      </w:r>
    </w:p>
    <w:p w14:paraId="0E188E0B" w14:textId="4FAABDEE" w:rsidR="00612E13" w:rsidRPr="006D631C" w:rsidRDefault="006D5485" w:rsidP="001C6E0C">
      <w:pPr>
        <w:tabs>
          <w:tab w:val="left" w:pos="90"/>
          <w:tab w:val="left" w:pos="360"/>
          <w:tab w:val="left" w:pos="992"/>
        </w:tabs>
        <w:spacing w:line="360" w:lineRule="auto"/>
        <w:jc w:val="center"/>
        <w:rPr>
          <w:sz w:val="22"/>
          <w:szCs w:val="22"/>
        </w:rPr>
      </w:pPr>
      <w:bookmarkStart w:id="87" w:name="_Toc148175921"/>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12</w:t>
      </w:r>
      <w:r w:rsidR="00B55F32" w:rsidRPr="006D631C">
        <w:rPr>
          <w:sz w:val="22"/>
          <w:szCs w:val="22"/>
        </w:rPr>
        <w:fldChar w:fldCharType="end"/>
      </w:r>
      <w:r w:rsidRPr="006D631C">
        <w:rPr>
          <w:sz w:val="22"/>
          <w:szCs w:val="22"/>
        </w:rPr>
        <w:t>.</w:t>
      </w:r>
      <w:r w:rsidR="00612E13" w:rsidRPr="006D631C">
        <w:rPr>
          <w:sz w:val="22"/>
          <w:szCs w:val="22"/>
        </w:rPr>
        <w:t xml:space="preserve"> The relative effect of (a) polymerizable group placement on the reactive </w:t>
      </w:r>
      <w:proofErr w:type="spellStart"/>
      <w:r w:rsidR="00612E13" w:rsidRPr="006D631C">
        <w:rPr>
          <w:sz w:val="22"/>
          <w:szCs w:val="22"/>
        </w:rPr>
        <w:t>amphiphile</w:t>
      </w:r>
      <w:proofErr w:type="spellEnd"/>
      <w:r w:rsidR="00612E13" w:rsidRPr="006D631C">
        <w:rPr>
          <w:sz w:val="22"/>
          <w:szCs w:val="22"/>
        </w:rPr>
        <w:t xml:space="preserve"> and (b) the lipophilic chain length on the polymerization rate in synergistic templating. Different structures are obtained with an increase in the length of lipophilic chain, resulting in lower reaction rate. Higher proximity of the reactive groups enables higher reaction rates.</w:t>
      </w:r>
      <w:r w:rsidR="00612E13" w:rsidRPr="006D631C">
        <w:rPr>
          <w:sz w:val="22"/>
          <w:szCs w:val="22"/>
          <w:vertAlign w:val="superscript"/>
        </w:rPr>
        <w:fldChar w:fldCharType="begin" w:fldLock="1"/>
      </w:r>
      <w:r w:rsidR="00635FF9" w:rsidRPr="006D631C">
        <w:rPr>
          <w:sz w:val="22"/>
          <w:szCs w:val="22"/>
          <w:vertAlign w:val="superscript"/>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00612E13" w:rsidRPr="006D631C">
        <w:rPr>
          <w:sz w:val="22"/>
          <w:szCs w:val="22"/>
          <w:vertAlign w:val="superscript"/>
        </w:rPr>
        <w:fldChar w:fldCharType="separate"/>
      </w:r>
      <w:r w:rsidR="001C6E0C" w:rsidRPr="006D631C">
        <w:rPr>
          <w:noProof/>
          <w:sz w:val="22"/>
          <w:szCs w:val="22"/>
          <w:vertAlign w:val="superscript"/>
        </w:rPr>
        <w:t>27</w:t>
      </w:r>
      <w:bookmarkEnd w:id="87"/>
      <w:r w:rsidR="00612E13" w:rsidRPr="006D631C">
        <w:rPr>
          <w:sz w:val="22"/>
          <w:szCs w:val="22"/>
          <w:vertAlign w:val="superscript"/>
        </w:rPr>
        <w:fldChar w:fldCharType="end"/>
      </w:r>
      <w:r w:rsidR="00612E13" w:rsidRPr="006D631C">
        <w:rPr>
          <w:sz w:val="22"/>
          <w:szCs w:val="22"/>
        </w:rPr>
        <w:t xml:space="preserve">   </w:t>
      </w:r>
    </w:p>
    <w:p w14:paraId="2E5D8296" w14:textId="77777777" w:rsidR="00435451" w:rsidRPr="006D631C" w:rsidRDefault="00435451" w:rsidP="00A2420E">
      <w:pPr>
        <w:tabs>
          <w:tab w:val="left" w:pos="1418"/>
        </w:tabs>
        <w:ind w:firstLine="357"/>
        <w:rPr>
          <w:rFonts w:asciiTheme="majorBidi" w:hAnsiTheme="majorBidi" w:cstheme="majorBidi"/>
        </w:rPr>
      </w:pPr>
    </w:p>
    <w:p w14:paraId="5037C0BA" w14:textId="196B7E6A" w:rsidR="009B23A1" w:rsidRPr="006D631C" w:rsidRDefault="00CA44B5" w:rsidP="002E14E4">
      <w:pPr>
        <w:tabs>
          <w:tab w:val="left" w:pos="1418"/>
        </w:tabs>
        <w:ind w:firstLine="357"/>
      </w:pPr>
      <w:r w:rsidRPr="006D631C">
        <w:rPr>
          <w:rFonts w:asciiTheme="majorBidi" w:hAnsiTheme="majorBidi" w:cstheme="majorBidi"/>
        </w:rPr>
        <w:t xml:space="preserve">The effect of the </w:t>
      </w:r>
      <w:proofErr w:type="spellStart"/>
      <w:r w:rsidRPr="006D631C">
        <w:rPr>
          <w:rFonts w:asciiTheme="majorBidi" w:hAnsiTheme="majorBidi" w:cstheme="majorBidi"/>
        </w:rPr>
        <w:t>photoinitiator</w:t>
      </w:r>
      <w:proofErr w:type="spellEnd"/>
      <w:r w:rsidRPr="006D631C">
        <w:rPr>
          <w:rFonts w:asciiTheme="majorBidi" w:hAnsiTheme="majorBidi" w:cstheme="majorBidi"/>
        </w:rPr>
        <w:t xml:space="preserve"> polarity on the reaction rate is another parameter that has been examined in the templating of M-20 and M-23 by Guymon and co-workers. </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{"citationItems":[{"id":"ITEM-1","itemData":{"author":[{"dropping-particle":"","family":"DePierro","given":"Michael A.","non-dropping-particle":"","parse-names":false,"suffix":""},{"dropping-particle":"","family":"Olson","given":"Alexandra J.","non-dropping-particle":"","parse-names":false,"suffix":""},{"dropping-particle":"","family":"Guymon","given":"C. A.","non-dropping-particle":"","parse-names":false,"suffix":""}],"container-title":"Radtech Technical Proceedings","id":"ITEM-1","issue":"-","issued":{"date-parts":[["2004"]]},"page":"-","title":"Effect of Photoinitiator Solubility on Polymerization in Lyotropic Liquid Crystalline Media","type":"article-journal","volume":"-"},"uris":["http://www.mendeley.com/documents/?uuid=de7fd536-8e96-4240-a259-92949dc7e752"]},{"id":"ITEM-2","itemData":{"DOI":"10.1016/j.polymer.2004.11.007","ISSN":"00323861","abstract":"Through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Allan","non-dropping-particle":"","parse-names":false,"suffix":""}],"container-title":"Polymer","id":"ITEM-2","issue":"2","issued":{"date-parts":[["2005"]]},"page":"335-345","title":"Effect of photoinitiator segregation on polymerization kinetics in lyotropic liquid crystals","type":"article-journal","volume":"46"},"uris":["http://www.mendeley.com/documents/?uuid=3d4da872-6a25-4674-a0bf-2133c4dbb394"]},{"id":"ITEM-3","itemData":{"DOI":"10.1021/ma0518196","ISSN":"00249297","abstract":"Lyotropic liquid crystals (LLC's) have recently been employed as polymerization templates to yield highly ordered nanostructured materials with potential applications in regulated transport, ultrafiltration, and catalysis. With the goal of understanding the reaction mechanisms ultimately determining polymer morphology in these highly ordered systems, this study focuses on the influence of LLC order on photoinitiation efficiency and monomer segregation behavior. These phenomena have been elucidated through extensive examination of the polymerization kinetics utilizing photodifferential scanning calorimetry. The polymerization kinetics in these ordered liquids are highly dependent on phase morphology because liquid crystalline alignment has a profound effect on monomer segregation, and photoinitiation efficiency is a function of viscosity, polarity, and the diffusional constraints inherent in LLC phases. Through studies of the polymerization kinetics in different LLC phases using a free radical inhibitor, the relative initiation efficiencies of a number of photoinitiators were determined. By incorporating relative efficiency information in the analysis of propagation and termination rate parameters, the individual contributions of monomer segregation and photoinitiation behavior to the polymerization kinetics were differentiated. While segregation of polar monomers in the continuous phase leads to increased polymerization rate in more ordered LLC phases, nonpolar monomers exhibit the opposite trend due to segregation in the discontinuous region of the phases studied. Changes in photoinitiation efficiency either compound or negate the effect of monomer segregation on the polymerization rate depending on initiator structure and polarity. The initiation efficiency with relatively bulky, hydrophobic initiators increases substantially in more ordered systems while the efficiency of less hydrophobic initiators decreases slightly in more ordered phases. © 2006 American Chemical Society.","author":[{"dropping-particle":"","family":"DePierro","given":"Michael A.","non-dropping-particle":"","parse-names":false,"suffix":""},{"dropping-particle":"","family":"Guymon","given":"C. Allan","non-dropping-particle":"","parse-names":false,"suffix":""}],"container-title":"Macromolecules","id":"ITEM-3","issue":"2","issued":{"date-parts":[["2006"]]},"page":"617-626","title":"Photoinitiation and monomer segregation behavior in polymerization of lyotropic liquid crystalline systems","type":"article-journal","volume":"39"},"uris":["http://www.mendeley.com/documents/?uuid=81e039e7-fbf5-4fa4-87e8-7195480e9a1d"]}],"mendeley":{"formattedCitation":"&lt;sup&gt;39,156,167&lt;/sup&gt;","plainTextFormattedCitation":"39,156,167","previouslyFormattedCitation":"&lt;sup&gt;39,156,167&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39,156,167</w:t>
      </w:r>
      <w:r w:rsidRPr="006D631C">
        <w:rPr>
          <w:rFonts w:asciiTheme="majorBidi" w:hAnsiTheme="majorBidi" w:cstheme="majorBidi"/>
        </w:rPr>
        <w:fldChar w:fldCharType="end"/>
      </w:r>
      <w:r w:rsidRPr="006D631C">
        <w:rPr>
          <w:rFonts w:asciiTheme="majorBidi" w:hAnsiTheme="majorBidi" w:cstheme="majorBidi"/>
        </w:rPr>
        <w:t xml:space="preserve"> Generally, the initiation efficiency of the initiator is a measure of this effect. Higher initiator efficiency leads to </w:t>
      </w:r>
      <w:r w:rsidRPr="006D631C">
        <w:rPr>
          <w:rFonts w:asciiTheme="majorBidi" w:hAnsiTheme="majorBidi" w:cstheme="majorBidi"/>
        </w:rPr>
        <w:lastRenderedPageBreak/>
        <w:t>higher polymerization rates. The obtained results show that the efficiency of hydrophilic initiators (e.g., I-5) decreases as the structure changes from micellar to lamellar. The volume fraction of polar domains diminishes for this change in the structure, resulting in higher proximity of the molecules of the water-soluble initiator. When the free radicals are formed, radical recombination due to the cage effect occurs, usually producing nonreactive components which in turn result in lower initiator efficiency. On the other hand, hydrophobic initiators (e.g., I-6) are partitioned in the opposite way, resulting in lower probability of cage effects and thus higher initiation efficiency.</w:t>
      </w:r>
      <w:r w:rsidRPr="006D631C">
        <w:rPr>
          <w:rFonts w:asciiTheme="majorBidi" w:hAnsiTheme="majorBidi" w:cstheme="majorBidi"/>
        </w:rPr>
        <w:fldChar w:fldCharType="begin" w:fldLock="1"/>
      </w:r>
      <w:r w:rsidR="001C6E0C"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A2420E"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w:t>
      </w:r>
    </w:p>
    <w:p w14:paraId="1B3F4C10" w14:textId="4E8F8F52" w:rsidR="00784D5D" w:rsidRPr="006D631C" w:rsidRDefault="00784D5D" w:rsidP="00CB7643">
      <w:pPr>
        <w:pStyle w:val="Heading2"/>
      </w:pPr>
      <w:bookmarkStart w:id="88" w:name="_Toc131082879"/>
      <w:bookmarkStart w:id="89" w:name="_Toc148175797"/>
      <w:r w:rsidRPr="006D631C">
        <w:t>1.6 Synergistic versus transcriptive LLC templating: a summary</w:t>
      </w:r>
      <w:bookmarkEnd w:id="88"/>
      <w:bookmarkEnd w:id="89"/>
      <w:r w:rsidRPr="006D631C">
        <w:t xml:space="preserve"> </w:t>
      </w:r>
    </w:p>
    <w:p w14:paraId="0B3DA573" w14:textId="0684AFD2" w:rsidR="008B3747" w:rsidRPr="006D631C" w:rsidRDefault="008B3747" w:rsidP="008B3747">
      <w:pPr>
        <w:tabs>
          <w:tab w:val="left" w:pos="1418"/>
        </w:tabs>
        <w:ind w:firstLine="357"/>
        <w:rPr>
          <w:rFonts w:eastAsia="Calibri"/>
        </w:rPr>
      </w:pPr>
      <w:r w:rsidRPr="006D631C">
        <w:rPr>
          <w:rFonts w:eastAsia="Calibri"/>
        </w:rPr>
        <w:t xml:space="preserve">So far, we have </w:t>
      </w:r>
      <w:r w:rsidRPr="006D631C">
        <w:rPr>
          <w:rFonts w:asciiTheme="majorBidi" w:hAnsiTheme="majorBidi" w:cstheme="majorBidi"/>
        </w:rPr>
        <w:t>discussed</w:t>
      </w:r>
      <w:r w:rsidRPr="006D631C">
        <w:rPr>
          <w:rFonts w:eastAsia="Calibri"/>
        </w:rPr>
        <w:t xml:space="preserve"> the two types of LLC templating approaches in detail. As a summary of our discussion in previous sections, Table 4 lists the differences and advantages/disadvantages of the mentioned techniques.</w:t>
      </w:r>
    </w:p>
    <w:p w14:paraId="2B59BCF8" w14:textId="77777777" w:rsidR="003E461A" w:rsidRPr="006D631C" w:rsidRDefault="003E461A" w:rsidP="00861405">
      <w:pPr>
        <w:pStyle w:val="TOC1"/>
      </w:pPr>
    </w:p>
    <w:p w14:paraId="02E01BE3" w14:textId="6C46A9CE" w:rsidR="0067522C" w:rsidRPr="006D631C" w:rsidRDefault="0067522C" w:rsidP="0067522C">
      <w:pPr>
        <w:pStyle w:val="Caption"/>
        <w:spacing w:after="0"/>
        <w:jc w:val="center"/>
        <w:rPr>
          <w:rFonts w:asciiTheme="majorBidi" w:hAnsiTheme="majorBidi" w:cstheme="majorBidi"/>
          <w:sz w:val="22"/>
          <w:szCs w:val="22"/>
        </w:rPr>
      </w:pPr>
      <w:bookmarkStart w:id="90" w:name="_Toc148175968"/>
      <w:r w:rsidRPr="006D631C">
        <w:rPr>
          <w:sz w:val="22"/>
          <w:szCs w:val="22"/>
        </w:rPr>
        <w:t xml:space="preserve">Table </w:t>
      </w:r>
      <w:r w:rsidR="0093296F" w:rsidRPr="006D631C">
        <w:rPr>
          <w:sz w:val="22"/>
          <w:szCs w:val="22"/>
        </w:rPr>
        <w:fldChar w:fldCharType="begin"/>
      </w:r>
      <w:r w:rsidR="0093296F" w:rsidRPr="006D631C">
        <w:rPr>
          <w:sz w:val="22"/>
          <w:szCs w:val="22"/>
        </w:rPr>
        <w:instrText xml:space="preserve"> STYLEREF 1 \s </w:instrText>
      </w:r>
      <w:r w:rsidR="0093296F" w:rsidRPr="006D631C">
        <w:rPr>
          <w:sz w:val="22"/>
          <w:szCs w:val="22"/>
        </w:rPr>
        <w:fldChar w:fldCharType="separate"/>
      </w:r>
      <w:r w:rsidR="0093296F" w:rsidRPr="006D631C">
        <w:rPr>
          <w:sz w:val="22"/>
          <w:szCs w:val="22"/>
          <w:cs/>
        </w:rPr>
        <w:t>‎</w:t>
      </w:r>
      <w:r w:rsidR="0093296F" w:rsidRPr="006D631C">
        <w:rPr>
          <w:sz w:val="22"/>
          <w:szCs w:val="22"/>
        </w:rPr>
        <w:t>1</w:t>
      </w:r>
      <w:r w:rsidR="0093296F" w:rsidRPr="006D631C">
        <w:rPr>
          <w:sz w:val="22"/>
          <w:szCs w:val="22"/>
        </w:rPr>
        <w:fldChar w:fldCharType="end"/>
      </w:r>
      <w:r w:rsidR="0093296F" w:rsidRPr="006D631C">
        <w:rPr>
          <w:sz w:val="22"/>
          <w:szCs w:val="22"/>
        </w:rPr>
        <w:noBreakHyphen/>
      </w:r>
      <w:r w:rsidR="0093296F" w:rsidRPr="006D631C">
        <w:rPr>
          <w:sz w:val="22"/>
          <w:szCs w:val="22"/>
        </w:rPr>
        <w:fldChar w:fldCharType="begin"/>
      </w:r>
      <w:r w:rsidR="0093296F" w:rsidRPr="006D631C">
        <w:rPr>
          <w:sz w:val="22"/>
          <w:szCs w:val="22"/>
        </w:rPr>
        <w:instrText xml:space="preserve"> SEQ Table \* ARABIC \s 1 </w:instrText>
      </w:r>
      <w:r w:rsidR="0093296F" w:rsidRPr="006D631C">
        <w:rPr>
          <w:sz w:val="22"/>
          <w:szCs w:val="22"/>
        </w:rPr>
        <w:fldChar w:fldCharType="separate"/>
      </w:r>
      <w:r w:rsidR="0093296F" w:rsidRPr="006D631C">
        <w:rPr>
          <w:sz w:val="22"/>
          <w:szCs w:val="22"/>
        </w:rPr>
        <w:t>4</w:t>
      </w:r>
      <w:r w:rsidR="0093296F" w:rsidRPr="006D631C">
        <w:rPr>
          <w:sz w:val="22"/>
          <w:szCs w:val="22"/>
        </w:rPr>
        <w:fldChar w:fldCharType="end"/>
      </w:r>
      <w:r w:rsidRPr="006D631C">
        <w:rPr>
          <w:sz w:val="22"/>
          <w:szCs w:val="22"/>
        </w:rPr>
        <w:t xml:space="preserve">. </w:t>
      </w:r>
      <w:r w:rsidRPr="006D631C">
        <w:rPr>
          <w:rFonts w:asciiTheme="majorBidi" w:hAnsiTheme="majorBidi" w:cstheme="majorBidi"/>
          <w:sz w:val="22"/>
          <w:szCs w:val="22"/>
        </w:rPr>
        <w:t>The differences and advantages/disadvantages of synergistic and transcriptive LLC templating methods in summary.</w:t>
      </w:r>
      <w:bookmarkEnd w:id="90"/>
    </w:p>
    <w:tbl>
      <w:tblPr>
        <w:tblStyle w:val="TableGrid4"/>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3334"/>
        <w:gridCol w:w="360"/>
        <w:gridCol w:w="3690"/>
      </w:tblGrid>
      <w:tr w:rsidR="0067522C" w:rsidRPr="006D631C" w14:paraId="5BD68E47" w14:textId="77777777" w:rsidTr="0067522C">
        <w:trPr>
          <w:trHeight w:val="432"/>
        </w:trPr>
        <w:tc>
          <w:tcPr>
            <w:tcW w:w="1616" w:type="dxa"/>
            <w:tcBorders>
              <w:top w:val="single" w:sz="4" w:space="0" w:color="auto"/>
              <w:bottom w:val="single" w:sz="4" w:space="0" w:color="auto"/>
            </w:tcBorders>
          </w:tcPr>
          <w:p w14:paraId="6A9A97DF" w14:textId="77777777" w:rsidR="0067522C" w:rsidRPr="006D631C" w:rsidRDefault="0067522C" w:rsidP="0035691D">
            <w:pPr>
              <w:tabs>
                <w:tab w:val="left" w:pos="90"/>
                <w:tab w:val="left" w:pos="360"/>
                <w:tab w:val="left" w:pos="992"/>
              </w:tabs>
              <w:spacing w:line="240" w:lineRule="auto"/>
              <w:rPr>
                <w:rFonts w:eastAsia="Calibri"/>
              </w:rPr>
            </w:pPr>
          </w:p>
        </w:tc>
        <w:tc>
          <w:tcPr>
            <w:tcW w:w="3334" w:type="dxa"/>
            <w:tcBorders>
              <w:top w:val="single" w:sz="4" w:space="0" w:color="auto"/>
              <w:bottom w:val="single" w:sz="4" w:space="0" w:color="auto"/>
            </w:tcBorders>
            <w:vAlign w:val="center"/>
          </w:tcPr>
          <w:p w14:paraId="47C13FFF" w14:textId="77777777" w:rsidR="0067522C" w:rsidRPr="006D631C" w:rsidRDefault="0067522C" w:rsidP="0067522C">
            <w:pPr>
              <w:tabs>
                <w:tab w:val="left" w:pos="90"/>
                <w:tab w:val="left" w:pos="360"/>
                <w:tab w:val="left" w:pos="992"/>
              </w:tabs>
              <w:spacing w:line="240" w:lineRule="auto"/>
              <w:jc w:val="left"/>
              <w:rPr>
                <w:rFonts w:eastAsia="Calibri"/>
              </w:rPr>
            </w:pPr>
            <w:r w:rsidRPr="006D631C">
              <w:rPr>
                <w:rFonts w:eastAsia="Calibri"/>
              </w:rPr>
              <w:t>Synergistic</w:t>
            </w:r>
          </w:p>
        </w:tc>
        <w:tc>
          <w:tcPr>
            <w:tcW w:w="360" w:type="dxa"/>
            <w:tcBorders>
              <w:top w:val="single" w:sz="4" w:space="0" w:color="auto"/>
              <w:bottom w:val="single" w:sz="4" w:space="0" w:color="auto"/>
            </w:tcBorders>
            <w:vAlign w:val="center"/>
          </w:tcPr>
          <w:p w14:paraId="5BC0FF63" w14:textId="77777777" w:rsidR="0067522C" w:rsidRPr="006D631C" w:rsidRDefault="0067522C" w:rsidP="0067522C">
            <w:pPr>
              <w:tabs>
                <w:tab w:val="left" w:pos="90"/>
                <w:tab w:val="left" w:pos="360"/>
                <w:tab w:val="left" w:pos="992"/>
              </w:tabs>
              <w:spacing w:line="240" w:lineRule="auto"/>
              <w:jc w:val="left"/>
              <w:rPr>
                <w:rFonts w:eastAsia="Calibri"/>
              </w:rPr>
            </w:pPr>
          </w:p>
        </w:tc>
        <w:tc>
          <w:tcPr>
            <w:tcW w:w="3690" w:type="dxa"/>
            <w:tcBorders>
              <w:top w:val="single" w:sz="4" w:space="0" w:color="auto"/>
              <w:bottom w:val="single" w:sz="4" w:space="0" w:color="auto"/>
            </w:tcBorders>
            <w:vAlign w:val="center"/>
          </w:tcPr>
          <w:p w14:paraId="16126C6F" w14:textId="77777777" w:rsidR="0067522C" w:rsidRPr="006D631C" w:rsidRDefault="0067522C" w:rsidP="0067522C">
            <w:pPr>
              <w:tabs>
                <w:tab w:val="left" w:pos="90"/>
                <w:tab w:val="left" w:pos="360"/>
                <w:tab w:val="left" w:pos="992"/>
              </w:tabs>
              <w:spacing w:line="240" w:lineRule="auto"/>
              <w:jc w:val="left"/>
              <w:rPr>
                <w:rFonts w:eastAsia="Calibri"/>
              </w:rPr>
            </w:pPr>
            <w:r w:rsidRPr="006D631C">
              <w:rPr>
                <w:rFonts w:eastAsia="Calibri"/>
              </w:rPr>
              <w:t>Transcriptive</w:t>
            </w:r>
          </w:p>
        </w:tc>
      </w:tr>
      <w:tr w:rsidR="0067522C" w:rsidRPr="006D631C" w14:paraId="51A33330" w14:textId="77777777" w:rsidTr="007B376A">
        <w:trPr>
          <w:trHeight w:val="850"/>
        </w:trPr>
        <w:tc>
          <w:tcPr>
            <w:tcW w:w="1616" w:type="dxa"/>
            <w:tcBorders>
              <w:top w:val="single" w:sz="4" w:space="0" w:color="auto"/>
            </w:tcBorders>
          </w:tcPr>
          <w:p w14:paraId="511D1D39" w14:textId="77777777" w:rsidR="0067522C" w:rsidRPr="006D631C" w:rsidRDefault="0067522C" w:rsidP="0035691D">
            <w:pPr>
              <w:tabs>
                <w:tab w:val="left" w:pos="90"/>
                <w:tab w:val="left" w:pos="360"/>
                <w:tab w:val="left" w:pos="992"/>
              </w:tabs>
              <w:spacing w:line="240" w:lineRule="auto"/>
              <w:rPr>
                <w:rFonts w:eastAsia="Calibri"/>
              </w:rPr>
            </w:pPr>
            <w:r w:rsidRPr="006D631C">
              <w:rPr>
                <w:rFonts w:eastAsia="Calibri"/>
              </w:rPr>
              <w:t>Differences</w:t>
            </w:r>
          </w:p>
        </w:tc>
        <w:tc>
          <w:tcPr>
            <w:tcW w:w="3334" w:type="dxa"/>
            <w:tcBorders>
              <w:top w:val="single" w:sz="4" w:space="0" w:color="auto"/>
            </w:tcBorders>
          </w:tcPr>
          <w:p w14:paraId="64F6EEF8" w14:textId="77777777" w:rsidR="0067522C" w:rsidRPr="006D631C" w:rsidRDefault="0067522C" w:rsidP="0035691D">
            <w:pPr>
              <w:tabs>
                <w:tab w:val="left" w:pos="90"/>
                <w:tab w:val="left" w:pos="360"/>
                <w:tab w:val="left" w:pos="992"/>
              </w:tabs>
              <w:spacing w:line="240" w:lineRule="auto"/>
              <w:jc w:val="left"/>
              <w:rPr>
                <w:rFonts w:eastAsia="Calibri"/>
              </w:rPr>
            </w:pPr>
            <w:r w:rsidRPr="006D631C">
              <w:rPr>
                <w:rFonts w:eastAsia="Calibri"/>
              </w:rPr>
              <w:t>Reactive surfactant(s) is the polymerizable species</w:t>
            </w:r>
          </w:p>
        </w:tc>
        <w:tc>
          <w:tcPr>
            <w:tcW w:w="360" w:type="dxa"/>
            <w:tcBorders>
              <w:top w:val="single" w:sz="4" w:space="0" w:color="auto"/>
            </w:tcBorders>
          </w:tcPr>
          <w:p w14:paraId="703A8312" w14:textId="77777777" w:rsidR="0067522C" w:rsidRPr="006D631C" w:rsidRDefault="0067522C" w:rsidP="0035691D">
            <w:pPr>
              <w:tabs>
                <w:tab w:val="left" w:pos="90"/>
                <w:tab w:val="left" w:pos="360"/>
                <w:tab w:val="left" w:pos="992"/>
              </w:tabs>
              <w:spacing w:line="240" w:lineRule="auto"/>
              <w:jc w:val="left"/>
              <w:rPr>
                <w:rFonts w:eastAsia="Calibri"/>
              </w:rPr>
            </w:pPr>
          </w:p>
        </w:tc>
        <w:tc>
          <w:tcPr>
            <w:tcW w:w="3690" w:type="dxa"/>
            <w:tcBorders>
              <w:top w:val="single" w:sz="4" w:space="0" w:color="auto"/>
            </w:tcBorders>
          </w:tcPr>
          <w:p w14:paraId="0FC347B9" w14:textId="77777777" w:rsidR="0067522C" w:rsidRPr="006D631C" w:rsidRDefault="0067522C" w:rsidP="0035691D">
            <w:pPr>
              <w:tabs>
                <w:tab w:val="left" w:pos="90"/>
                <w:tab w:val="left" w:pos="360"/>
                <w:tab w:val="left" w:pos="992"/>
              </w:tabs>
              <w:spacing w:line="240" w:lineRule="auto"/>
              <w:jc w:val="left"/>
              <w:rPr>
                <w:rFonts w:eastAsia="Calibri"/>
              </w:rPr>
            </w:pPr>
            <w:r w:rsidRPr="006D631C">
              <w:rPr>
                <w:rFonts w:eastAsia="Calibri"/>
              </w:rPr>
              <w:t>Reactive monomer(s) is the polymerizable species</w:t>
            </w:r>
          </w:p>
        </w:tc>
      </w:tr>
      <w:tr w:rsidR="0067522C" w:rsidRPr="006D631C" w14:paraId="0C9BC186" w14:textId="77777777" w:rsidTr="007B376A">
        <w:trPr>
          <w:trHeight w:val="1020"/>
        </w:trPr>
        <w:tc>
          <w:tcPr>
            <w:tcW w:w="1616" w:type="dxa"/>
          </w:tcPr>
          <w:p w14:paraId="7CEF8E01" w14:textId="77777777" w:rsidR="0067522C" w:rsidRPr="006D631C" w:rsidRDefault="0067522C" w:rsidP="0035691D">
            <w:pPr>
              <w:tabs>
                <w:tab w:val="left" w:pos="90"/>
                <w:tab w:val="left" w:pos="360"/>
                <w:tab w:val="left" w:pos="992"/>
              </w:tabs>
              <w:spacing w:line="240" w:lineRule="auto"/>
              <w:rPr>
                <w:rFonts w:eastAsia="Calibri"/>
              </w:rPr>
            </w:pPr>
            <w:r w:rsidRPr="006D631C">
              <w:rPr>
                <w:rFonts w:eastAsia="Calibri"/>
              </w:rPr>
              <w:t>Advantages</w:t>
            </w:r>
          </w:p>
        </w:tc>
        <w:tc>
          <w:tcPr>
            <w:tcW w:w="3334" w:type="dxa"/>
          </w:tcPr>
          <w:p w14:paraId="0D27A6D7" w14:textId="77777777" w:rsidR="0067522C" w:rsidRPr="006D631C" w:rsidRDefault="0067522C" w:rsidP="0035691D">
            <w:pPr>
              <w:tabs>
                <w:tab w:val="left" w:pos="90"/>
                <w:tab w:val="left" w:pos="360"/>
                <w:tab w:val="left" w:pos="992"/>
              </w:tabs>
              <w:spacing w:line="240" w:lineRule="auto"/>
              <w:jc w:val="left"/>
              <w:rPr>
                <w:rFonts w:eastAsia="Calibri"/>
              </w:rPr>
            </w:pPr>
            <w:r w:rsidRPr="006D631C">
              <w:rPr>
                <w:rFonts w:eastAsia="Calibri"/>
              </w:rPr>
              <w:t>Chemically bonding the surfactant to the structure,</w:t>
            </w:r>
            <w:r w:rsidRPr="006D631C">
              <w:rPr>
                <w:rFonts w:ascii="Calibri" w:eastAsia="Calibri" w:hAnsi="Calibri" w:cs="Arial"/>
              </w:rPr>
              <w:t xml:space="preserve"> </w:t>
            </w:r>
            <w:r w:rsidRPr="006D631C">
              <w:rPr>
                <w:rFonts w:eastAsia="Calibri"/>
              </w:rPr>
              <w:t>and thus, a higher chance of structural retention</w:t>
            </w:r>
          </w:p>
        </w:tc>
        <w:tc>
          <w:tcPr>
            <w:tcW w:w="360" w:type="dxa"/>
          </w:tcPr>
          <w:p w14:paraId="45383DED" w14:textId="77777777" w:rsidR="0067522C" w:rsidRPr="006D631C" w:rsidRDefault="0067522C" w:rsidP="0035691D">
            <w:pPr>
              <w:tabs>
                <w:tab w:val="left" w:pos="90"/>
                <w:tab w:val="left" w:pos="360"/>
                <w:tab w:val="left" w:pos="992"/>
              </w:tabs>
              <w:spacing w:line="240" w:lineRule="auto"/>
              <w:jc w:val="left"/>
              <w:rPr>
                <w:rFonts w:eastAsia="Calibri"/>
              </w:rPr>
            </w:pPr>
          </w:p>
        </w:tc>
        <w:tc>
          <w:tcPr>
            <w:tcW w:w="3690" w:type="dxa"/>
          </w:tcPr>
          <w:p w14:paraId="19AC934D" w14:textId="77777777" w:rsidR="0067522C" w:rsidRPr="006D631C" w:rsidRDefault="0067522C" w:rsidP="0035691D">
            <w:pPr>
              <w:tabs>
                <w:tab w:val="left" w:pos="90"/>
                <w:tab w:val="left" w:pos="360"/>
                <w:tab w:val="left" w:pos="992"/>
              </w:tabs>
              <w:spacing w:line="240" w:lineRule="auto"/>
              <w:jc w:val="left"/>
              <w:rPr>
                <w:rFonts w:eastAsia="Calibri"/>
              </w:rPr>
            </w:pPr>
            <w:r w:rsidRPr="006D631C">
              <w:rPr>
                <w:rFonts w:eastAsia="Calibri"/>
              </w:rPr>
              <w:t>The commercial availability of the employed components (e.g., monomers and surfactants)</w:t>
            </w:r>
          </w:p>
        </w:tc>
      </w:tr>
      <w:tr w:rsidR="0067522C" w:rsidRPr="006D631C" w14:paraId="0A5F0F2C" w14:textId="77777777" w:rsidTr="007B376A">
        <w:trPr>
          <w:trHeight w:val="1020"/>
        </w:trPr>
        <w:tc>
          <w:tcPr>
            <w:tcW w:w="1616" w:type="dxa"/>
            <w:tcBorders>
              <w:bottom w:val="single" w:sz="4" w:space="0" w:color="auto"/>
            </w:tcBorders>
          </w:tcPr>
          <w:p w14:paraId="4E5BEF45" w14:textId="77777777" w:rsidR="0067522C" w:rsidRPr="006D631C" w:rsidRDefault="0067522C" w:rsidP="0035691D">
            <w:pPr>
              <w:tabs>
                <w:tab w:val="left" w:pos="90"/>
                <w:tab w:val="left" w:pos="360"/>
                <w:tab w:val="left" w:pos="992"/>
              </w:tabs>
              <w:spacing w:line="240" w:lineRule="auto"/>
              <w:rPr>
                <w:rFonts w:eastAsia="Calibri"/>
              </w:rPr>
            </w:pPr>
            <w:r w:rsidRPr="006D631C">
              <w:rPr>
                <w:rFonts w:eastAsia="Calibri"/>
              </w:rPr>
              <w:t>Disadvantages</w:t>
            </w:r>
          </w:p>
        </w:tc>
        <w:tc>
          <w:tcPr>
            <w:tcW w:w="3334" w:type="dxa"/>
            <w:tcBorders>
              <w:bottom w:val="single" w:sz="4" w:space="0" w:color="auto"/>
            </w:tcBorders>
          </w:tcPr>
          <w:p w14:paraId="37F70FBF" w14:textId="77777777" w:rsidR="0067522C" w:rsidRPr="006D631C" w:rsidRDefault="0067522C" w:rsidP="0035691D">
            <w:pPr>
              <w:tabs>
                <w:tab w:val="left" w:pos="90"/>
                <w:tab w:val="left" w:pos="360"/>
                <w:tab w:val="left" w:pos="992"/>
              </w:tabs>
              <w:spacing w:line="240" w:lineRule="auto"/>
              <w:jc w:val="left"/>
              <w:rPr>
                <w:rFonts w:eastAsia="Calibri"/>
              </w:rPr>
            </w:pPr>
            <w:r w:rsidRPr="006D631C">
              <w:rPr>
                <w:rFonts w:eastAsia="Calibri"/>
              </w:rPr>
              <w:t xml:space="preserve">Unavailability of commercial reactive surfactants, and thus, requiring multi-step synthesis methods to prepare surfactants  </w:t>
            </w:r>
          </w:p>
        </w:tc>
        <w:tc>
          <w:tcPr>
            <w:tcW w:w="360" w:type="dxa"/>
            <w:tcBorders>
              <w:bottom w:val="single" w:sz="4" w:space="0" w:color="auto"/>
            </w:tcBorders>
          </w:tcPr>
          <w:p w14:paraId="1C23D886" w14:textId="77777777" w:rsidR="0067522C" w:rsidRPr="006D631C" w:rsidRDefault="0067522C" w:rsidP="0035691D">
            <w:pPr>
              <w:tabs>
                <w:tab w:val="left" w:pos="90"/>
                <w:tab w:val="left" w:pos="360"/>
                <w:tab w:val="left" w:pos="992"/>
              </w:tabs>
              <w:spacing w:line="240" w:lineRule="auto"/>
              <w:jc w:val="left"/>
              <w:rPr>
                <w:rFonts w:eastAsia="Calibri"/>
              </w:rPr>
            </w:pPr>
          </w:p>
        </w:tc>
        <w:tc>
          <w:tcPr>
            <w:tcW w:w="3690" w:type="dxa"/>
            <w:tcBorders>
              <w:bottom w:val="single" w:sz="4" w:space="0" w:color="auto"/>
            </w:tcBorders>
          </w:tcPr>
          <w:p w14:paraId="263640C2" w14:textId="77777777" w:rsidR="0067522C" w:rsidRPr="006D631C" w:rsidRDefault="0067522C" w:rsidP="0035691D">
            <w:pPr>
              <w:tabs>
                <w:tab w:val="left" w:pos="90"/>
                <w:tab w:val="left" w:pos="360"/>
                <w:tab w:val="left" w:pos="992"/>
              </w:tabs>
              <w:spacing w:line="240" w:lineRule="auto"/>
              <w:jc w:val="left"/>
              <w:rPr>
                <w:rFonts w:eastAsia="Calibri"/>
              </w:rPr>
            </w:pPr>
            <w:r w:rsidRPr="006D631C">
              <w:rPr>
                <w:rFonts w:eastAsia="Calibri"/>
              </w:rPr>
              <w:t>Physically bonding the surfactant to the structure and thus lower chance of structural retention</w:t>
            </w:r>
          </w:p>
        </w:tc>
      </w:tr>
    </w:tbl>
    <w:p w14:paraId="7BD5C367" w14:textId="77777777" w:rsidR="0067522C" w:rsidRPr="006D631C" w:rsidRDefault="0067522C" w:rsidP="0067522C">
      <w:pPr>
        <w:tabs>
          <w:tab w:val="left" w:pos="90"/>
          <w:tab w:val="left" w:pos="360"/>
          <w:tab w:val="left" w:pos="992"/>
        </w:tabs>
        <w:spacing w:after="200" w:line="276" w:lineRule="auto"/>
        <w:jc w:val="center"/>
        <w:rPr>
          <w:rFonts w:eastAsia="Calibri"/>
        </w:rPr>
      </w:pPr>
    </w:p>
    <w:p w14:paraId="19F37EAE" w14:textId="77777777" w:rsidR="00784D5D" w:rsidRPr="006D631C" w:rsidRDefault="00784D5D" w:rsidP="00784D5D"/>
    <w:p w14:paraId="6880F8B7" w14:textId="77777777" w:rsidR="001C6E0C" w:rsidRPr="006D631C" w:rsidRDefault="001C6E0C" w:rsidP="001C6E0C">
      <w:pPr>
        <w:tabs>
          <w:tab w:val="left" w:pos="90"/>
          <w:tab w:val="left" w:pos="360"/>
          <w:tab w:val="left" w:pos="992"/>
        </w:tabs>
        <w:spacing w:line="276" w:lineRule="auto"/>
        <w:jc w:val="center"/>
        <w:rPr>
          <w:rFonts w:eastAsia="Calibri"/>
        </w:rPr>
      </w:pPr>
      <w:r w:rsidRPr="006D631C">
        <w:rPr>
          <w:rFonts w:eastAsia="Calibri"/>
          <w:noProof/>
        </w:rPr>
        <w:lastRenderedPageBreak/>
        <w:drawing>
          <wp:inline distT="0" distB="0" distL="0" distR="0" wp14:anchorId="40EC10C7" wp14:editId="2F67E1A7">
            <wp:extent cx="2520000" cy="40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20000" cy="4001700"/>
                    </a:xfrm>
                    <a:prstGeom prst="rect">
                      <a:avLst/>
                    </a:prstGeom>
                    <a:noFill/>
                  </pic:spPr>
                </pic:pic>
              </a:graphicData>
            </a:graphic>
          </wp:inline>
        </w:drawing>
      </w:r>
    </w:p>
    <w:p w14:paraId="36D267FC" w14:textId="4B52C53F" w:rsidR="001C6E0C" w:rsidRPr="006D631C" w:rsidRDefault="001C6E0C" w:rsidP="001C6E0C">
      <w:pPr>
        <w:tabs>
          <w:tab w:val="left" w:pos="90"/>
          <w:tab w:val="left" w:pos="360"/>
          <w:tab w:val="left" w:pos="992"/>
        </w:tabs>
        <w:spacing w:line="360" w:lineRule="auto"/>
        <w:jc w:val="center"/>
        <w:rPr>
          <w:sz w:val="22"/>
          <w:szCs w:val="22"/>
        </w:rPr>
      </w:pPr>
      <w:bookmarkStart w:id="91" w:name="_Toc148175922"/>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13</w:t>
      </w:r>
      <w:r w:rsidR="00B55F32" w:rsidRPr="006D631C">
        <w:rPr>
          <w:sz w:val="22"/>
          <w:szCs w:val="22"/>
        </w:rPr>
        <w:fldChar w:fldCharType="end"/>
      </w:r>
      <w:r w:rsidRPr="006D631C">
        <w:rPr>
          <w:sz w:val="22"/>
          <w:szCs w:val="22"/>
        </w:rPr>
        <w:t>. The relative effect of monomer and initiator polarity on the polymerization rate in transcriptive templating.</w:t>
      </w:r>
      <w:r w:rsidRPr="006D631C">
        <w:rPr>
          <w:sz w:val="22"/>
          <w:szCs w:val="22"/>
        </w:rPr>
        <w:fldChar w:fldCharType="begin" w:fldLock="1"/>
      </w:r>
      <w:r w:rsidR="00635FF9" w:rsidRPr="006D631C">
        <w:rPr>
          <w:sz w:val="22"/>
          <w:szCs w:val="22"/>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sz w:val="22"/>
          <w:szCs w:val="22"/>
        </w:rPr>
        <w:fldChar w:fldCharType="separate"/>
      </w:r>
      <w:r w:rsidRPr="006D631C">
        <w:rPr>
          <w:noProof/>
          <w:sz w:val="22"/>
          <w:szCs w:val="22"/>
          <w:vertAlign w:val="superscript"/>
        </w:rPr>
        <w:t>27</w:t>
      </w:r>
      <w:bookmarkEnd w:id="91"/>
      <w:r w:rsidRPr="006D631C">
        <w:rPr>
          <w:sz w:val="22"/>
          <w:szCs w:val="22"/>
        </w:rPr>
        <w:fldChar w:fldCharType="end"/>
      </w:r>
      <w:r w:rsidRPr="006D631C">
        <w:rPr>
          <w:sz w:val="22"/>
          <w:szCs w:val="22"/>
        </w:rPr>
        <w:t xml:space="preserve"> </w:t>
      </w:r>
    </w:p>
    <w:p w14:paraId="7B2E38FD" w14:textId="77777777" w:rsidR="00B74546" w:rsidRPr="006D631C" w:rsidRDefault="00B74546" w:rsidP="00861405">
      <w:pPr>
        <w:pStyle w:val="TOC1"/>
      </w:pPr>
    </w:p>
    <w:p w14:paraId="31A7A3FD" w14:textId="50B06B07" w:rsidR="006032A3" w:rsidRPr="006D631C" w:rsidRDefault="006032A3" w:rsidP="00596EF2">
      <w:pPr>
        <w:pStyle w:val="Heading2"/>
      </w:pPr>
      <w:bookmarkStart w:id="92" w:name="_Toc148175798"/>
      <w:r w:rsidRPr="006D631C">
        <w:t>1.</w:t>
      </w:r>
      <w:r w:rsidR="00097421" w:rsidRPr="006D631C">
        <w:t>7</w:t>
      </w:r>
      <w:r w:rsidRPr="006D631C">
        <w:t xml:space="preserve"> </w:t>
      </w:r>
      <w:r w:rsidR="00596EF2" w:rsidRPr="006D631C">
        <w:t>Advanced functional materials: opportunities, challenges</w:t>
      </w:r>
      <w:r w:rsidR="00F32CE4" w:rsidRPr="006D631C">
        <w:t>,</w:t>
      </w:r>
      <w:r w:rsidR="00596EF2" w:rsidRPr="006D631C">
        <w:t xml:space="preserve"> and outlook</w:t>
      </w:r>
      <w:bookmarkEnd w:id="92"/>
      <w:r w:rsidRPr="006D631C">
        <w:t xml:space="preserve"> </w:t>
      </w:r>
    </w:p>
    <w:p w14:paraId="127E16DF" w14:textId="642A775C" w:rsidR="00796044" w:rsidRPr="006D631C" w:rsidRDefault="00796044"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LLC templating is an efficient “bottom-up” approach to fabricate nanostructured polymers that can be applicable in a wide variety of applications, as shown in Fig</w:t>
      </w:r>
      <w:r w:rsidR="00120944" w:rsidRPr="006D631C">
        <w:rPr>
          <w:rFonts w:asciiTheme="majorBidi" w:hAnsiTheme="majorBidi" w:cstheme="majorBidi"/>
        </w:rPr>
        <w:t>ure</w:t>
      </w:r>
      <w:r w:rsidRPr="006D631C">
        <w:rPr>
          <w:rFonts w:asciiTheme="majorBidi" w:hAnsiTheme="majorBidi" w:cstheme="majorBidi"/>
        </w:rPr>
        <w:t xml:space="preserve"> </w:t>
      </w:r>
      <w:r w:rsidR="00120944" w:rsidRPr="006D631C">
        <w:rPr>
          <w:rFonts w:asciiTheme="majorBidi" w:hAnsiTheme="majorBidi" w:cstheme="majorBidi"/>
        </w:rPr>
        <w:t>1-</w:t>
      </w:r>
      <w:r w:rsidRPr="006D631C">
        <w:rPr>
          <w:rFonts w:asciiTheme="majorBidi" w:hAnsiTheme="majorBidi" w:cstheme="majorBidi"/>
        </w:rPr>
        <w:t xml:space="preserve">14. The membranes developed from the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show enhanced permeability, selectivity, and fouling resistance compared to the current industry standard.</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pathways","type":"article-journal","volume":"5"},"uris":["http://www.mendeley.com/documents/?uuid=d507d8b2-fc83-4bd7-9e6d-10370c7b5e6e"]},{"id":"ITEM-2","itemData":{"DOI":"10.1016/j.memsci.2019.02.060","ISSN":"18733123","abstract":"Industrially,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Science","id":"ITEM-2","issued":{"date-parts":[["2019"]]},"page":"125-133","title":"Ultrafiltration membranes from polymerization of self-assembled Pluronic block copolymer mesophases","type":"article-journal","volume":"580"},"uris":["http://www.mendeley.com/documents/?uuid=bed9b600-bdbf-4c48-a9d1-d3c7ba3f3449"]},{"id":"ITEM-3","itemData":{"DOI":"10.1016/j.memsci.2017.08.028","ISSN":"18733123","abstract":"A thin-film composite, bicontinuous cubic lyotropic liquid crystal polymer (TFC QI) membrane with uniform-size, ionic nanopores was studied for the treatment of hydraulic fracturing flowback water. The TFC QI membrane performance was compared to those of a commercial nanofiltration (NF) membrane (NF270) and a commercial reverse osmosis (RO) membrane (SW30HR) for the filtration of flowback water from the Denver-Julesburg Basin. The permeability, salt rejection, and organic solute rejection for each membrane was evaluated. The results illustrate that the TFC QI membrane maintained its performance to a similar degree as the commercial NF and RO membranes while demonstrating a unique selectivity not observed in the commercial membranes. Specifically, the TFC QI membrane rejected 75% of the salt while recovering 9.6% of the dissolved organic carbon (DOC) and 50% of the water. Of particular interest was the recovery of labile DOC, which was assessed through biodegradation experiments. Analysis following biodegradation of the TFC QI membrane permeate demonstrates the membrane's ability to recover labile DOC in a reduced-saline permeate. Improved recovery of labile DOC (increased to 22%) was demonstrated by reducing the pH of the flowback water. Therefore, the selectivity of the TFC QI membrane provides an opportunity to recover resources from hydraulic fracturing flowback.","author":[{"dropping-particle":"","family":"Dischinger","given":"Sarah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L.","non-dropping-particle":"","parse-names":false,"suffix":""},{"dropping-particle":"","family":"Linden","given":"Karl G.","non-dropping-particle":"","parse-names":false,"suffix":""}],"container-title":"Journal of Membrane Science","id":"ITEM-3","issued":{"date-parts":[["2017"]]},"page":"319-327","title":"Application of a lyotropic liquid crystal nanofiltration membrane for hydraulic fracturing flowback water: Selectivity and implications for treatment","type":"article-journal","volume":"543"},"uris":["http://www.mendeley.com/documents/?uuid=5a46df75-f496-4fbd-8165-bd32a6b934a9"]},{"id":"ITEM-4","itemData":{"DOI":"10.1021/ja073067w","ISSN":"0002-7863","abstract":"A polymeric membrane material for efficient water desalination based on a cross-linked type I bicontinuous cubic (QI) lyotropic liquid crystal (LLC) assembly is described. This ordered, nanoporous, polymer material is formed by the self-assembly of a cross-linkable gemini amphiphile in water and contains interpenetrating organic networks separated from one another by a continuous, ultrathin water layer surface (ca. 0.75 nm gap spacing) with overall cubic symmetry. Supported membranes of this material are produced by hot-pressing the initial LLC monomer gel at high pressure through a commercial microporous hydrophilic membrane support at 70 °C and then radically photocross-linking the infused QI monomer phase. In stirred dead-end water filtration tests, the resulting 40-μm thick, optically transparent, supported LLC membranes exhibit 95-99.9% rejection of dissolved salt ions, neutral molecules and macromolecules, and molecular ions in the 0.64-1.2 nm size range in a single pass. This rejection performance is slightly better than that of a commercial reverse osmosis (RO) membrane for the same solutes under the same test conditions, and significantly better than that of a commercial porous nanofiltration membrane. The LLC polymer material also exhibits a thickness- and pressure-normalized water permeability that is similar to or just slightly lower than the dense active layer materials used in current RO membranes. It is believed that the 3-D interconnected water manifold system in the cross-linked QI-phase material allows small water molecules (0.27 nm kinetic diameter) to pass through with good efficiency, while effectively rejecting dissolved solutes close in size to, or larger than, the about 0.75 nm water layer gap spacing. Copyright © 2007 American Chemical Society.","author":[{"dropping-particle":"","family":"Zhou","given":"Meijuan","non-dropping-particle":"","parse-names":false,"suffix":""},{"dropping-particle":"","family":"Nemade","given":"Parag R.","non-dropping-particle":"","parse-names":false,"suffix":""},{"dropping-particle":"","family":"Lu","given":"Xiaoyun","non-dropping-particle":"","parse-names":false,"suffix":""},{"dropping-particle":"","family":"Zeng","given":"Xiaohui","non-dropping-particle":"","parse-names":false,"suffix":""},{"dropping-particle":"","family":"Hatakeyama","given":"Evan S.","non-dropping-particle":"","parse-names":false,"suffix":""},{"dropping-particle":"","family":"Noble","given":"Richard D.","non-dropping-particle":"","parse-names":false,"suffix":""},{"dropping-particle":"","family":"Gin","given":"Douglas L.","non-dropping-particle":"","parse-names":false,"suffix":""}],"container-title":"Journal of the American Chemical Society","id":"ITEM-4","issue":"31","issued":{"date-parts":[["2007","8","1"]]},"page":"9574-9575","title":"New Type of Membrane Material for Water Desalination Based on a Cross-Linked Bicontinuous Cubic Lyotropic Liquid Crystal Assembly","type":"article-journal","volume":"129"},"uris":["http://www.mendeley.com/documents/?uuid=0d2d8de2-7149-4057-b6fa-a85131e88c1f"]},{"id":"ITEM-5","itemData":{"DOI":"10.1002/marc.200700707","ISSN":"15213927","abstract":"Cross-linked lyotropic liquid crystal (LLC) assemblies represent a new class of polymer materials for membrane applications. These materials are formed by the phase-segregation and self-assembly of polymerizable amphiphiles in water into condensed ordered ensembles that can be cross-linked in situ with retention of microstructure. The resulting LLC polymer networks have ordered, nanometer-scale aqueous and cross-linked organic domains, which can be used to affect gas solubility and diffusivity through the polymer to help separate molecules via the solution-diffusion mechanism. The open aqueous domains can also be used for pore transport and size exclusion with resolution on the molecular size level. The use and application potential of cross-linked LLC assemblies as gas separation membranes, selective vapor barrier materials, and water nanofiltration and desalination membranes are presented. © 2008 WILEY-VCH Verlag GmbH &amp; Co. KGaA.","author":[{"dropping-particle":"","family":"Gin","given":"Douglas L.","non-dropping-particle":"","parse-names":false,"suffix":""},{"dropping-particle":"","family":"Bara","given":"Jason E.","non-dropping-particle":"","parse-names":false,"suffix":""},{"dropping-particle":"","family":"Noble","given":"Richard D.","non-dropping-particle":"","parse-names":false,"suffix":""},{"dropping-particle":"","family":"Elliott","given":"Brian J.","non-dropping-particle":"","parse-names":false,"suffix":""}],"container-title":"Macromolecular Rapid Communications","id":"ITEM-5","issue":"5","issued":{"date-parts":[["2008"]]},"page":"367-389","title":"Polymerized lyotropic liquid crystal assemblies for membrane applications","type":"article-journal","volume":"29"},"uris":["http://www.mendeley.com/documents/?uuid=4e290c39-f788-4b76-9603-0f40ea2c76fb"]}],"mendeley":{"formattedCitation":"&lt;sup&gt;31–35&lt;/sup&gt;","plainTextFormattedCitation":"31–35","previouslyFormattedCitation":"&lt;sup&gt;31–35&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31–35</w:t>
      </w:r>
      <w:r w:rsidRPr="006D631C">
        <w:rPr>
          <w:rFonts w:asciiTheme="majorBidi" w:hAnsiTheme="majorBidi" w:cstheme="majorBidi"/>
        </w:rPr>
        <w:fldChar w:fldCharType="end"/>
      </w:r>
      <w:r w:rsidRPr="006D631C">
        <w:rPr>
          <w:rFonts w:asciiTheme="majorBidi" w:hAnsiTheme="majorBidi" w:cstheme="majorBidi"/>
        </w:rPr>
        <w:t xml:space="preserve"> For instance, NF membranes having a thickness of 100 nm with effective pore sizes in </w:t>
      </w:r>
      <w:r w:rsidR="00E601AD" w:rsidRPr="006D631C">
        <w:rPr>
          <w:rFonts w:asciiTheme="majorBidi" w:hAnsiTheme="majorBidi" w:cstheme="majorBidi"/>
        </w:rPr>
        <w:t>the 1 nm range, MWCO ~</w:t>
      </w:r>
      <w:r w:rsidRPr="006D631C">
        <w:rPr>
          <w:rFonts w:asciiTheme="majorBidi" w:hAnsiTheme="majorBidi" w:cstheme="majorBidi"/>
        </w:rPr>
        <w:t>300 Da,</w:t>
      </w:r>
      <w:r w:rsidR="00843B77" w:rsidRPr="006D631C">
        <w:rPr>
          <w:rFonts w:asciiTheme="majorBidi" w:hAnsiTheme="majorBidi" w:cstheme="majorBidi"/>
        </w:rPr>
        <w:t xml:space="preserve"> and permeability of ~</w:t>
      </w:r>
      <w:r w:rsidRPr="006D631C">
        <w:rPr>
          <w:rFonts w:asciiTheme="majorBidi" w:hAnsiTheme="majorBidi" w:cstheme="majorBidi"/>
        </w:rPr>
        <w:t xml:space="preserve">20 </w:t>
      </w:r>
      <w:r w:rsidR="001D435D" w:rsidRPr="006D631C">
        <w:rPr>
          <w:rFonts w:asciiTheme="majorBidi" w:hAnsiTheme="majorBidi" w:cstheme="majorBidi"/>
        </w:rPr>
        <w:t>liters</w:t>
      </w:r>
      <w:r w:rsidRPr="006D631C">
        <w:rPr>
          <w:rFonts w:asciiTheme="majorBidi" w:hAnsiTheme="majorBidi" w:cstheme="majorBidi"/>
        </w:rPr>
        <w:t xml:space="preserve"> m</w:t>
      </w:r>
      <w:r w:rsidRPr="006D631C">
        <w:rPr>
          <w:rFonts w:asciiTheme="majorBidi" w:hAnsiTheme="majorBidi" w:cstheme="majorBidi"/>
          <w:vertAlign w:val="superscript"/>
        </w:rPr>
        <w:t xml:space="preserve">-2 </w:t>
      </w:r>
      <w:r w:rsidRPr="006D631C">
        <w:rPr>
          <w:rFonts w:asciiTheme="majorBidi" w:hAnsiTheme="majorBidi" w:cstheme="majorBidi"/>
        </w:rPr>
        <w:t>h</w:t>
      </w:r>
      <w:r w:rsidR="001D435D" w:rsidRPr="006D631C">
        <w:rPr>
          <w:rFonts w:asciiTheme="majorBidi" w:hAnsiTheme="majorBidi" w:cstheme="majorBidi"/>
        </w:rPr>
        <w:t>our</w:t>
      </w:r>
      <w:r w:rsidRPr="006D631C">
        <w:rPr>
          <w:rFonts w:asciiTheme="majorBidi" w:hAnsiTheme="majorBidi" w:cstheme="majorBidi"/>
          <w:vertAlign w:val="superscript"/>
        </w:rPr>
        <w:t xml:space="preserve">-1 </w:t>
      </w:r>
      <w:r w:rsidRPr="006D631C">
        <w:rPr>
          <w:rFonts w:asciiTheme="majorBidi" w:hAnsiTheme="majorBidi" w:cstheme="majorBidi"/>
        </w:rPr>
        <w:t>bar</w:t>
      </w:r>
      <w:r w:rsidRPr="006D631C">
        <w:rPr>
          <w:rFonts w:asciiTheme="majorBidi" w:hAnsiTheme="majorBidi" w:cstheme="majorBidi"/>
          <w:vertAlign w:val="superscript"/>
        </w:rPr>
        <w:t xml:space="preserve">-1 </w:t>
      </w:r>
      <w:r w:rsidRPr="006D631C">
        <w:rPr>
          <w:rFonts w:asciiTheme="majorBidi" w:hAnsiTheme="majorBidi" w:cstheme="majorBidi"/>
        </w:rPr>
        <w:t>have been fabricated via polyLLC technology.</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id":"ITEM-2","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Nano","id":"ITEM-2","issued":{"date-parts":[["2021","3","17"]]},"page":"acsnano.1c00722","title":"Rapid Fabrication by Lyotropic Self-Assembly of Thin Nanofiltration Membranes with Uniform 1 Nanometer Pores","type":"article-journal"},"uris":["http://www.mendeley.com/documents/?uuid=9a8f95cc-c536-4af0-a6e3-e51388d61691"]}],"mendeley":{"formattedCitation":"&lt;sup&gt;31,123&lt;/sup&gt;","plainTextFormattedCitation":"31,123","previouslyFormattedCitation":"&lt;sup&gt;31,123&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31,123</w:t>
      </w:r>
      <w:r w:rsidRPr="006D631C">
        <w:rPr>
          <w:rFonts w:asciiTheme="majorBidi" w:hAnsiTheme="majorBidi" w:cstheme="majorBidi"/>
        </w:rPr>
        <w:fldChar w:fldCharType="end"/>
      </w:r>
      <w:r w:rsidRPr="006D631C">
        <w:rPr>
          <w:rFonts w:asciiTheme="majorBidi" w:hAnsiTheme="majorBidi" w:cstheme="majorBidi"/>
        </w:rPr>
        <w:t xml:space="preserve"> These membranes have better performance than the commercially available NF membranes like Dow FILMTEC NF90-400 which have typical </w:t>
      </w:r>
      <w:proofErr w:type="spellStart"/>
      <w:r w:rsidRPr="006D631C">
        <w:rPr>
          <w:rFonts w:asciiTheme="majorBidi" w:hAnsiTheme="majorBidi" w:cstheme="majorBidi"/>
        </w:rPr>
        <w:t>permeabil</w:t>
      </w:r>
      <w:r w:rsidR="001D435D" w:rsidRPr="006D631C">
        <w:rPr>
          <w:rFonts w:asciiTheme="majorBidi" w:hAnsiTheme="majorBidi" w:cstheme="majorBidi"/>
        </w:rPr>
        <w:t>ities</w:t>
      </w:r>
      <w:proofErr w:type="spellEnd"/>
      <w:r w:rsidR="001D435D" w:rsidRPr="006D631C">
        <w:rPr>
          <w:rFonts w:asciiTheme="majorBidi" w:hAnsiTheme="majorBidi" w:cstheme="majorBidi"/>
        </w:rPr>
        <w:t xml:space="preserve"> in the range of 10 to 15 liters</w:t>
      </w:r>
      <w:r w:rsidRPr="006D631C">
        <w:rPr>
          <w:rFonts w:asciiTheme="majorBidi" w:hAnsiTheme="majorBidi" w:cstheme="majorBidi"/>
        </w:rPr>
        <w:t xml:space="preserve"> m</w:t>
      </w:r>
      <w:r w:rsidRPr="006D631C">
        <w:rPr>
          <w:rFonts w:asciiTheme="majorBidi" w:hAnsiTheme="majorBidi" w:cstheme="majorBidi"/>
          <w:vertAlign w:val="superscript"/>
        </w:rPr>
        <w:t xml:space="preserve">-2 </w:t>
      </w:r>
      <w:r w:rsidRPr="006D631C">
        <w:rPr>
          <w:rFonts w:asciiTheme="majorBidi" w:hAnsiTheme="majorBidi" w:cstheme="majorBidi"/>
        </w:rPr>
        <w:t>h</w:t>
      </w:r>
      <w:r w:rsidR="001D435D" w:rsidRPr="006D631C">
        <w:rPr>
          <w:rFonts w:asciiTheme="majorBidi" w:hAnsiTheme="majorBidi" w:cstheme="majorBidi"/>
        </w:rPr>
        <w:t>our</w:t>
      </w:r>
      <w:r w:rsidRPr="006D631C">
        <w:rPr>
          <w:rFonts w:asciiTheme="majorBidi" w:hAnsiTheme="majorBidi" w:cstheme="majorBidi"/>
          <w:vertAlign w:val="superscript"/>
        </w:rPr>
        <w:t xml:space="preserve">-1 </w:t>
      </w:r>
      <w:r w:rsidRPr="006D631C">
        <w:rPr>
          <w:rFonts w:asciiTheme="majorBidi" w:hAnsiTheme="majorBidi" w:cstheme="majorBidi"/>
        </w:rPr>
        <w:t>bar</w:t>
      </w:r>
      <w:r w:rsidRPr="006D631C">
        <w:rPr>
          <w:rFonts w:asciiTheme="majorBidi" w:hAnsiTheme="majorBidi" w:cstheme="majorBidi"/>
          <w:vertAlign w:val="superscript"/>
        </w:rPr>
        <w:t>-1</w:t>
      </w:r>
      <w:r w:rsidRPr="006D631C">
        <w:rPr>
          <w:rFonts w:asciiTheme="majorBidi" w:hAnsiTheme="majorBidi" w:cstheme="majorBidi"/>
        </w:rPr>
        <w:t xml:space="preserve">. The mentioned </w:t>
      </w:r>
      <w:r w:rsidRPr="006D631C">
        <w:rPr>
          <w:rFonts w:asciiTheme="majorBidi" w:hAnsiTheme="majorBidi" w:cstheme="majorBidi"/>
        </w:rPr>
        <w:lastRenderedPageBreak/>
        <w:t>polyLLC membranes have also an intrinsic degree of biofouling resistance thanks to the presence of water-facing quaternary ammonium groups available in the structure of the employed reactive surfactant (P-A-6). In another effort, NF membranes with Q</w:t>
      </w:r>
      <w:r w:rsidRPr="006D631C">
        <w:rPr>
          <w:rFonts w:asciiTheme="majorBidi" w:hAnsiTheme="majorBidi" w:cstheme="majorBidi"/>
          <w:vertAlign w:val="subscript"/>
        </w:rPr>
        <w:t>1</w:t>
      </w:r>
      <w:r w:rsidRPr="006D631C">
        <w:rPr>
          <w:rFonts w:asciiTheme="majorBidi" w:hAnsiTheme="majorBidi" w:cstheme="majorBidi"/>
        </w:rPr>
        <w:t xml:space="preserve"> structure have been fabricated, which outperform the commercial NF90 (Dow </w:t>
      </w:r>
      <w:proofErr w:type="spellStart"/>
      <w:r w:rsidRPr="006D631C">
        <w:rPr>
          <w:rFonts w:asciiTheme="majorBidi" w:hAnsiTheme="majorBidi" w:cstheme="majorBidi"/>
        </w:rPr>
        <w:t>Filmtec</w:t>
      </w:r>
      <w:proofErr w:type="spellEnd"/>
      <w:r w:rsidRPr="006D631C">
        <w:rPr>
          <w:rFonts w:asciiTheme="majorBidi" w:hAnsiTheme="majorBidi" w:cstheme="majorBidi"/>
        </w:rPr>
        <w:t xml:space="preserve">) membrane in the treatment of hydraulic fracturing produced water. These PolyLLC membranes show a </w:t>
      </w:r>
      <w:r w:rsidR="008C6C2B" w:rsidRPr="006D631C">
        <w:rPr>
          <w:rFonts w:asciiTheme="majorBidi" w:hAnsiTheme="majorBidi" w:cstheme="majorBidi"/>
        </w:rPr>
        <w:t>thickness-normalized flux of ~</w:t>
      </w:r>
      <w:r w:rsidR="006F2985" w:rsidRPr="006D631C">
        <w:rPr>
          <w:rFonts w:asciiTheme="majorBidi" w:hAnsiTheme="majorBidi" w:cstheme="majorBidi"/>
        </w:rPr>
        <w:t>2.9 liters</w:t>
      </w:r>
      <w:r w:rsidRPr="006D631C">
        <w:rPr>
          <w:rFonts w:asciiTheme="majorBidi" w:hAnsiTheme="majorBidi" w:cstheme="majorBidi"/>
        </w:rPr>
        <w:t xml:space="preserve"> m</w:t>
      </w:r>
      <w:r w:rsidRPr="006D631C">
        <w:rPr>
          <w:rFonts w:asciiTheme="majorBidi" w:hAnsiTheme="majorBidi" w:cstheme="majorBidi"/>
          <w:vertAlign w:val="superscript"/>
        </w:rPr>
        <w:t xml:space="preserve">-2 </w:t>
      </w:r>
      <w:r w:rsidRPr="006D631C">
        <w:rPr>
          <w:rFonts w:asciiTheme="majorBidi" w:hAnsiTheme="majorBidi" w:cstheme="majorBidi"/>
        </w:rPr>
        <w:t>h</w:t>
      </w:r>
      <w:r w:rsidR="006F2985" w:rsidRPr="006D631C">
        <w:rPr>
          <w:rFonts w:asciiTheme="majorBidi" w:hAnsiTheme="majorBidi" w:cstheme="majorBidi"/>
        </w:rPr>
        <w:t>our</w:t>
      </w:r>
      <w:r w:rsidRPr="006D631C">
        <w:rPr>
          <w:rFonts w:asciiTheme="majorBidi" w:hAnsiTheme="majorBidi" w:cstheme="majorBidi"/>
          <w:vertAlign w:val="superscript"/>
        </w:rPr>
        <w:t xml:space="preserve">-1 </w:t>
      </w:r>
      <w:r w:rsidR="006F2985" w:rsidRPr="006D631C">
        <w:rPr>
          <w:rFonts w:asciiTheme="majorBidi" w:hAnsiTheme="majorBidi" w:cstheme="majorBidi"/>
        </w:rPr>
        <w:t>µm</w:t>
      </w:r>
      <w:r w:rsidR="006F2985" w:rsidRPr="006D631C">
        <w:rPr>
          <w:rFonts w:asciiTheme="majorBidi" w:hAnsiTheme="majorBidi" w:cstheme="majorBidi"/>
          <w:vertAlign w:val="superscript"/>
        </w:rPr>
        <w:t xml:space="preserve"> </w:t>
      </w:r>
      <w:r w:rsidRPr="006D631C">
        <w:rPr>
          <w:rFonts w:asciiTheme="majorBidi" w:hAnsiTheme="majorBidi" w:cstheme="majorBidi"/>
        </w:rPr>
        <w:t>(about 8 times of the commercial membrane) with much higher stability against fouling compared to NF90.</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{"citationItems":[{"id":"ITEM-1","itemData":{"DOI":"10.1016/j.memsci.2019.117313","ISSN":"18733123","abstract":"Current commercial nanofiltration and reverse osmosis membranes are limited in scope and performance due to their physicochemical properties. Desalination of hydraulic fracturing wastewater poses a particular challenge to membrane filtration given the high concentrations of both organic compounds and salts present in these waters. The recently-developed nanoporous, bicontinuous cubic, lyotropic liquid crystal, thin-film-composite polymer membrane (TFC QI membrane), having unique physicochemical properties, enables an alternative treatment of hydraulic fracturing wastewater. Specifically, the TFC QI membrane recovers the organic compounds from this high-salinity wastewater, enabling biodegradation to occur after desalination. However, other performance criteria must be demonstrated for a membrane to reach application. The work presented herein demonstrates the stable performance of the TFC QI membrane during 66 h of cross-flow filtration of hydraulic fracturing produced water. Compared to the commercial NF90 membrane, the TFC QI membrane recovered a larger portion of the organic compounds, had a higher thickness-normalized water flux, and fouled less. The combination of the TFC QI membrane's selectivity with its reduced fouling propensity makes possible a treatment for hydraulic fracturing wastewater and other complex aqueous streams inaccessible by most commercial membranes, motivating the further study and development of the TFC QI membrane.","author":[{"dropping-particle":"","family":"Dischinger","given":"Sarah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L.","non-dropping-particle":"","parse-names":false,"suffix":""}],"container-title":"Journal of Membrane Science","id":"ITEM-1","issued":{"date-parts":[["2019","12"]]},"page":"117313","title":"Evaluation of a nanoporous lyotropic liquid crystal polymer membrane for the treatment of hydraulic fracturing produced water via cross-flow filtration","type":"article-journal","volume":"592"},"uris":["http://www.mendeley.com/documents/?uuid=71636acc-2380-4a88-abf2-a64937232a30"]}],"mendeley":{"formattedCitation":"&lt;sup&gt;114&lt;/sup&gt;","plainTextFormattedCitation":"114","previouslyFormattedCitation":"&lt;sup&gt;114&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114</w:t>
      </w:r>
      <w:r w:rsidRPr="006D631C">
        <w:rPr>
          <w:rFonts w:asciiTheme="majorBidi" w:hAnsiTheme="majorBidi" w:cstheme="majorBidi"/>
        </w:rPr>
        <w:fldChar w:fldCharType="end"/>
      </w:r>
      <w:r w:rsidRPr="006D631C">
        <w:rPr>
          <w:rFonts w:asciiTheme="majorBidi" w:hAnsiTheme="majorBidi" w:cstheme="majorBidi"/>
        </w:rPr>
        <w:t xml:space="preserve"> Additionally, the Q</w:t>
      </w:r>
      <w:r w:rsidRPr="006D631C">
        <w:rPr>
          <w:rFonts w:asciiTheme="majorBidi" w:hAnsiTheme="majorBidi" w:cstheme="majorBidi"/>
          <w:vertAlign w:val="subscript"/>
        </w:rPr>
        <w:t>1</w:t>
      </w:r>
      <w:r w:rsidRPr="006D631C">
        <w:rPr>
          <w:rFonts w:asciiTheme="majorBidi" w:hAnsiTheme="majorBidi" w:cstheme="majorBidi"/>
        </w:rPr>
        <w:t xml:space="preserve"> membranes are able to recover up to 22% dissolved organic carbon while rejecting 75% of the salt which is a unique selectivity feature of these advanced materials over commercial opponents.</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{"citationItems":[{"id":"ITEM-1","itemData":{"DOI":"10.1016/j.memsci.2017.08.028","ISSN":"18733123","abstract":"A thin-film composite, bicontinuous cubic lyotropic liquid crystal polymer (TFC QI) membrane with uniform-size, ionic nanopores was studied for the treatment of hydraulic fracturing flowback water. The TFC QI membrane performance was compared to those of a commercial nanofiltration (NF) membrane (NF270) and a commercial reverse osmosis (RO) membrane (SW30HR) for the filtration of flowback water from the Denver-Julesburg Basin. The permeability, salt rejection, and organic solute rejection for each membrane was evaluated. The results illustrate that the TFC QI membrane maintained its performance to a similar degree as the commercial NF and RO membranes while demonstrating a unique selectivity not observed in the commercial membranes. Specifically, the TFC QI membrane rejected 75% of the salt while recovering 9.6% of the dissolved organic carbon (DOC) and 50% of the water. Of particular interest was the recovery of labile DOC, which was assessed through biodegradation experiments. Analysis following biodegradation of the TFC QI membrane permeate demonstrates the membrane's ability to recover labile DOC in a reduced-saline permeate. Improved recovery of labile DOC (increased to 22%) was demonstrated by reducing the pH of the flowback water. Therefore, the selectivity of the TFC QI membrane provides an opportunity to recover resources from hydraulic fracturing flowback.","author":[{"dropping-particle":"","family":"Dischinger","given":"Sarah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L.","non-dropping-particle":"","parse-names":false,"suffix":""},{"dropping-particle":"","family":"Linden","given":"Karl G.","non-dropping-particle":"","parse-names":false,"suffix":""}],"container-title":"Journal of Membrane Science","id":"ITEM-1","issued":{"date-parts":[["2017"]]},"page":"319-327","title":"Application of a lyotropic liquid crystal nanofiltration membrane for hydraulic fracturing flowback water: Selectivity and implications for treatment","type":"article-journal","volume":"543"},"uris":["http://www.mendeley.com/documents/?uuid=5a46df75-f496-4fbd-8165-bd32a6b934a9"]}],"mendeley":{"formattedCitation":"&lt;sup&gt;33&lt;/sup&gt;","plainTextFormattedCitation":"33","previouslyFormattedCitation":"&lt;sup&gt;33&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33</w:t>
      </w:r>
      <w:r w:rsidRPr="006D631C">
        <w:rPr>
          <w:rFonts w:asciiTheme="majorBidi" w:hAnsiTheme="majorBidi" w:cstheme="majorBidi"/>
        </w:rPr>
        <w:fldChar w:fldCharType="end"/>
      </w:r>
      <w:r w:rsidRPr="006D631C">
        <w:rPr>
          <w:rFonts w:asciiTheme="majorBidi" w:hAnsiTheme="majorBidi" w:cstheme="majorBidi"/>
        </w:rPr>
        <w:t xml:space="preserve"> PolyLLC membranes have also proven advantages in breathable barrier materials for chemical agent protection. Dense polymers such as cross-linked BR, which are the common components used in such application, can cause heat and fatigue for the wearer as they are impermeable to water vapor. However, a proper water vapor permeability</w:t>
      </w:r>
      <w:r w:rsidR="00ED74BE" w:rsidRPr="006D631C">
        <w:rPr>
          <w:rFonts w:asciiTheme="majorBidi" w:hAnsiTheme="majorBidi" w:cstheme="majorBidi"/>
        </w:rPr>
        <w:t xml:space="preserve"> (~</w:t>
      </w:r>
      <w:r w:rsidRPr="006D631C">
        <w:rPr>
          <w:rFonts w:asciiTheme="majorBidi" w:hAnsiTheme="majorBidi" w:cstheme="majorBidi"/>
        </w:rPr>
        <w:t>500 g m</w:t>
      </w:r>
      <w:r w:rsidRPr="006D631C">
        <w:rPr>
          <w:rFonts w:asciiTheme="majorBidi" w:hAnsiTheme="majorBidi" w:cstheme="majorBidi"/>
          <w:vertAlign w:val="superscript"/>
        </w:rPr>
        <w:t>-2</w:t>
      </w:r>
      <w:r w:rsidRPr="006D631C">
        <w:rPr>
          <w:rFonts w:asciiTheme="majorBidi" w:hAnsiTheme="majorBidi" w:cstheme="majorBidi"/>
        </w:rPr>
        <w:t xml:space="preserve"> day</w:t>
      </w:r>
      <w:r w:rsidRPr="006D631C">
        <w:rPr>
          <w:rFonts w:asciiTheme="majorBidi" w:hAnsiTheme="majorBidi" w:cstheme="majorBidi"/>
          <w:vertAlign w:val="superscript"/>
        </w:rPr>
        <w:t>-1</w:t>
      </w:r>
      <w:r w:rsidRPr="006D631C">
        <w:rPr>
          <w:rFonts w:asciiTheme="majorBidi" w:hAnsiTheme="majorBidi" w:cstheme="majorBidi"/>
        </w:rPr>
        <w:t>) can be achieved without compromising the selectivity when BR incorporated polyLLC membranes are employed.</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{"citationItems":[{"id":"ITEM-1","itemData":{"DOI":"10.1021/acs.iecr.9b04738","ISSN":"15205045","abstract":"A laminated thin-film composite (TFC) membrane system consisting of an ultrafiltration support, an ordered, nanoporous, polymerized lyotropic liquid crystal (LLC) intermediate layer, and an ultrathin, dense polydopamine top layer was developed for use as a \"breathable\" chemical-protective garment material. These membranes exhibit a high water vapor transport rate (ca. 500 g m-2 day-1) and excellent rejection of both CEES (a blister agent simulant) and DMMP (a nerve agent simulant) vapors under ambient conditions. The (water:CEES) and (water:DMMP) molar vapor selectivity values of this new composite membrane system were found to be 170 ± 40 and &gt;3400, respectively, which exceed those of any previously reported LLC-based membrane system.","author":[{"dropping-particle":"","family":"Dwulet","given":"Gregory E.","non-dropping-particle":"","parse-names":false,"suffix":""},{"dropping-particle":"","family":"Dischinger","given":"Sarah M.","non-dropping-particle":"","parse-names":false,"suffix":""},{"dropping-particle":"","family":"McGrath","given":"Michael J.","non-dropping-particle":"","parse-names":false,"suffix":""},{"dropping-particle":"","family":"Basalla","given":"Andrew J.","non-dropping-particle":"","parse-names":false,"suffix":""},{"dropping-particle":"","family":"Malecha","given":"John J.","non-dropping-particle":"","parse-names":false,"suffix":""},{"dropping-particle":"","family":"Noble","given":"Richard D.","non-dropping-particle":"","parse-names":false,"suffix":""},{"dropping-particle":"","family":"Gin","given":"Douglas L.","non-dropping-particle":"","parse-names":false,"suffix":""}],"container-title":"Industrial and Engineering Chemistry Research","id":"ITEM-1","issue":"47","issued":{"date-parts":[["2019"]]},"page":"21890-21893","title":"Breathable, Polydopamine-Coated Nanoporous Membranes That Selectively Reject Nerve and Blister Agent Simulant Vapors","type":"article-journal","volume":"58"},"uris":["http://www.mendeley.com/documents/?uuid=bfb3aac2-829d-4981-96b8-893069237b8b"]}],"mendeley":{"formattedCitation":"&lt;sup&gt;112&lt;/sup&gt;","plainTextFormattedCitation":"112","previouslyFormattedCitation":"&lt;sup&gt;112&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112</w:t>
      </w:r>
      <w:r w:rsidRPr="006D631C">
        <w:rPr>
          <w:rFonts w:asciiTheme="majorBidi" w:hAnsiTheme="majorBidi" w:cstheme="majorBidi"/>
        </w:rPr>
        <w:fldChar w:fldCharType="end"/>
      </w:r>
    </w:p>
    <w:p w14:paraId="0A402016" w14:textId="3661AA7A" w:rsidR="00796044" w:rsidRPr="006D631C" w:rsidRDefault="00796044"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The hydrogels prepared thorough the templating processes offer a proper balance of water uptake, swelling/de-swelling rate, and mechanical properties without compromising other key characteristics such as biocompatibility, biodegradability, and stimuli-responsiveness.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{"citationItems":[{"id":"ITEM-1","itemData":{"DOI":"10.1021/bk-2003-0847.ch032","abstract":"Nanostructured materials have been the focus of much attention due to\\ntheir applicability in nanocomposites, separations media, drug delivery\\ndevices, and many other applications requiring a nanometer size scale.\\nRecently, using lyotropic liquid crystalline (LLC) phases to template\\ntheir unique nanostructure onto organic polymers has been proposed. This\\nwork details the photopolymerization of acrylamide in various phases of\\nLLC systems. The photopolymerization kinetics are correlated to monomer\\norganization for different phases at a variety of concentrations and\\ntemperatures. The photopolymerization kinetics of acrylamide in the LLC\\nphases depend strongly on the LLC morphology. The polymerization rates\\nare significantly faster in compositions of surfactant resulting in a\\nhexagonal geometry as the acrylamide monomer is preferentially oriented.\\nThese results indicate that acrylamide is strongly associated with the\\nLLC interface and the surfactant. Photopolymerization of these templated\\nsystems results in structure retention of the parent, LLC phase.","author":[{"dropping-particle":"","family":"Guymon","given":"C. Allan","non-dropping-particle":"","parse-names":false,"suffix":""},{"dropping-particle":"","family":"Lester","given":"Christopher L.","non-dropping-particle":"","parse-names":false,"suffix":""}],"container-title":"ACS Symposium Series","id":"ITEM-1","issued":{"date-parts":[["2003","3","3"]]},"page":"378-388","title":"Photopolymerization Kinetics of Nanostructured Polymers Templated by Lyotropic Liquid Crystals","type":"article-journal","volume":"847"},"uris":["http://www.mendeley.com/documents/?uuid=e9652ecf-b4ab-44b4-84ff-eacc90331307"]},{"id":"ITEM-2","itemData":{"DOI":"10.1021/la0300784","ISSN":"07437463","abstract":"The synthesis of nanostructured polymer gels via polymerization of hydrophilic monomers in lyotropic liquid crystal (LLC) phases has recently been of great interest. This work describes the effects of monomer organization on the photopolymerization kinetics of acrylamide in various LLC phases of surfactant/water systems. Resutling polymer morphology is reported as well. The polymerization rate of acrylamide is significantly enhanced when performed in the presence of various LLC phases. An unprecedented 10-fold increase in polymerization rate is observed in bicontinuous cubic and hexagonal phases as compared to polymerizations in water. This significant increase in polymerization rate is a result of diffusional limitations on the propagating polymer as well as segregation and ordering phenomena induce by the LLC phase. 13CT1 relaxation times and 14NNMR spectra show that the monomer strongly associates with the interface of the surfactant/water assemblies and assumes the orientationl order of the LLC phases to some degree. When formed using photopolymerization, the resulting polymer morphology appears to be a direct template of the parent LLC phase.","author":[{"dropping-particle":"","family":"Lester","given":"Christopher L.","non-dropping-particle":"","parse-names":false,"suffix":""},{"dropping-particle":"","family":"Smith","given":"Shannon M.","non-dropping-particle":"","parse-names":false,"suffix":""},{"dropping-particle":"","family":"Jarrett","given":"William L.","non-dropping-particle":"","parse-names":false,"suffix":""},{"dropping-particle":"","family":"Allan Guymon","given":"C.","non-dropping-particle":"","parse-names":false,"suffix":""}],"container-title":"Langmuir","id":"ITEM-2","issue":"22","issued":{"date-parts":[["2003"]]},"page":"9466-9472","title":"Effects of Monomer Organization on the Photopolymerization Kinetics of Acrylamide in Lyotropic Liquid Crystalline Phases","type":"article-journal","volume":"19"},"uris":["http://www.mendeley.com/documents/?uuid=ed593b1e-2698-4bb2-89a3-8beb441225de"]},{"id":"ITEM-3","itemData":{"DOI":"10.1016/j.polymer.2004.11.007","ISSN":"00323861","abstract":"Through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Allan","non-dropping-particle":"","parse-names":false,"suffix":""}],"container-title":"Polymer","id":"ITEM-3","issue":"2","issued":{"date-parts":[["2005"]]},"page":"335-345","title":"Effect of photoinitiator segregation on polymerization kinetics in lyotropic liquid crystals","type":"article-journal","volume":"46"},"uris":["http://www.mendeley.com/documents/?uuid=9305a569-bf29-4306-91ea-3a1da5446f5a"]},{"id":"ITEM-4","itemData":{"DOI":"10.1021/cm061969a","ISSN":"08974756","abstract":"Lyotropic liquid crystals (LLCs) have recently been employed as polymerization templates to yield highly ordered nanostructured hydrogels, which have shown promise in biological separations and tissue engineering. To allow greater control of hydrogel structure using LLC templates, this study focuses on the influence of polymerization kinetics and temperature on ultimate polymer morphology and properties. A more in-depth understanding of these phenomena has been obtained through extensive examination of polymer structure with small-angle X-ray scattering (SAXS) and scanning electron microscopy (SEM). The impact of different polymerization rate and temperature regimes on polymer morphology was determined using isotropic, cubic, and hexagonal phases as polymerization templates. Polymer morphology varies dramatically depending on LLC phase template, while within a given phase changes in polymerization time scale and temperature greatly impact polymer structure. SAXS reveals a higher degree of retained liquid crystalline order using rapid polymerization at relatively low temperatures. SEM images demonstrate that rapid polymerization yields polymers with highly ordered network structures and nanoscale morphology. Less ordered, thermodynamically driven polymer features result from relatively slow polymerization. The degree of swelling in aqueous solution increases dramatically in ordered LLC phases relative to bulk polymerization, with lower swelling resulting from faster polymerization. Similarly, higher surface area results from polymerization in LLC media relative to isotropic systems, and surface area increases with increasing polymerization rate. © 2006 American Chemical Society.","author":[{"dropping-particle":"","family":"DePierro","given":"Michael A.","non-dropping-particle":"","parse-names":false,"suffix":""},{"dropping-particle":"","family":"Carpenter","given":"Kyle G.","non-dropping-particle":"","parse-names":false,"suffix":""},{"dropping-particle":"","family":"Guymon","given":"C. Allan","non-dropping-particle":"","parse-names":false,"suffix":""}],"container-title":"Chemistry of Materials","id":"ITEM-4","issue":"23","issued":{"date-parts":[["2006","11"]]},"page":"5609-5617","title":"Influence of polymerization conditions on nanostructure and properties of polyacrylamide hydrogels templated from lyotropic liquid crystals","type":"article-journal","volume":"18"},"uris":["http://www.mendeley.com/documents/?uuid=e0a07ef3-cb63-401e-9e29-f5755f782e7d"]},{"id":"ITEM-5","itemData":{"DOI":"10.1021/cm4004849","ISSN":"08974756","abstract":"A promising method of synthesizing polymers with useful property relationships utilizes self-assembling lyotropic liquid crystals (LLCs) as photopolymerization templates to direct polymer structure on the nanometer scale. Unfortunately, thermodynamically driven phase separation of the polymer from the LLC template often occurs during polymerization and prevents control over final polymer nanostructure and properties. In this work, the nanostructure of polyacrylamide is controlled through photopolymerization in LLC templates formed using specific concentrations of polymerizable and nonreactive surfactants. Polymer structure information obtained using electron microscopy, X-ray scattering, and polarized light microscopy indicates that LLC nanostructure is retained during photopolymerization at particular reactive surfactant concentrations. Physical properties including water uptake, diffusivity, and mechanical strength are greater in polyacrylamide systems that exhibit nanostructure as compared to isotropic controls of the same chemical composition. Useful property relationships typically unattainable in traditional hydrogel systems are also observed for nanostructured hydrogels including simultaneous increases in water uptake and mechanical strength. These results demonstrate methods of generating and retaining polymer nanostructure during photopolymerization in systems that otherwise phase separate from the LLC template and may be utilized to synthesize nanostructured polymers with property relationships useful in a growing number of advanced applications. © 2013 American Chemical Society.","author":[{"dropping-particle":"","family":"Forney","given":"Bradley S.","non-dropping-particle":"","parse-names":false,"suffix":""},{"dropping-particle":"","family":"Baguenard","given":"Céline","non-dropping-particle":"","parse-names":false,"suffix":""},{"dropping-particle":"","family":"Guymon","given":"C. Allan","non-dropping-particle":"","parse-names":false,"suffix":""}],"container-title":"Chemistry of Materials","id":"ITEM-5","issue":"15","issued":{"date-parts":[["2013"]]},"page":"2950-2960","title":"Effects of controlling polymer nanostructure using photopolymerization within lyotropic liquid crystalline templates","type":"article-journal","volume":"25"},"uris":["http://www.mendeley.com/documents/?uuid=3abed647-ad42-477e-bd39-1d39d5b7ac76"]},{"id":"ITEM-6","itemData":{"DOI":"10.1039/c3sm50556a","ISSN":"1744683X","abstract":"Temperature-sensitive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Matter","id":"ITEM-6","issue":"31","issued":{"date-parts":[["2013"]]},"page":"7458-7467","title":"Improved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templates","type":"article-journal","volume":"9"},"uris":["http://www.mendeley.com/documents/?uuid=1744ca1d-c40e-4c6d-aa09-30d94aee5e9f"]},{"id":"ITEM-7","itemData":{"DOI":"10.1021/ma001853e","ISSN":"00249297","abstract":"The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Allan","non-dropping-particle":"","parse-names":false,"suffix":""}],"container-title":"Macromolecules","id":"ITEM-7","issue":"13","issued":{"date-parts":[["2001","6"]]},"page":"4430-4438","title":"Photopolymerization kinetics and structure development of templated lyotropic liquid crystalline systems","type":"article-journal","volume":"34"},"uris":["http://www.mendeley.com/documents/?uuid=5ad8b034-dc0f-455e-ac27-09cb31650bdb"]},{"id":"ITEM-8","itemData":{"DOI":"10.1021/cm021703d","ISSN":"08974756","abstract":"Recently,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Materials","id":"ITEM-8","issue":"17","issued":{"date-parts":[["2003"]]},"page":"3376-3384","title":"Physical properties of hydrogels synthesized from lyotropic liquid crystalline templates","type":"article-journal","volume":"15"},"uris":["http://www.mendeley.com/documents/?uuid=f73d1f78-88b7-4d4c-83b6-c3bbcc68b73f"]},{"id":"ITEM-9","itemData":{"DOI":"10.1021/ma030037e","ISSN":"00249297","abstract":"Nanostructured polymers are of significant interest due to their potential use in applications ranging from ultrafiltration membranes to catalysis supports. To date, much research has focused on using small molecular weight surfactants that form lyotropic liquid crystals (LLCs) as polymerization templates or polymerizing reactive LLCs to form such nanostructure in polymers. LLC phases formed from small molecular weight surfactants, however, are in and of themselves neither thermally nor mechanically stable, often rendering it difficult to preserve the LLC structure throughout polymerization. A relatively new class of surfactant molecules, Pluronic block copolymers, may afford increased flexibility in nanostructure development when used as polymerization templates. This work has focused on the photopolymerization of water and oil-soluble monomers in Pluronic lyotropic liquid crystals. In particular, the effect that LLC order and monomer segregation behavior has on monomer polymerization rate has been examined. The order of the LLC mesophase has a significant impact on polymerization rate with faster polymerization occurring in the normal phases for the oil-soluble monomer hexanediol diacrylate (HDDA) and in the inverse phases for the water-soluble monomer poly(ethylene glycol) diacrylate (PEG-400-DA). In addition, the effect of monomer addition and polymerization on LLC order has been characterized, with retention of LLC order before and after photopolymerization. Mesophase thermal stability, or the persistence of an LC phase at elevated temperatures, has also been examined for the polymer/LLC hydrogels to determine how polymer nanostructure differences affect fundamental LLC properties. Interestingly, when PEG-400-DA is polymerized in the continuous domains of the hexagonal mesophase, the clearing point is increased more than 40°C. However, when HDDA is polymerized in the discontinuous domains of hexagonal phase, the mesophase thermal stability increases only 25°C. Conversely, when HDDA is polymerized in the continuous region of the inverse hexagonal phase, the clearing point increases more than 60°C. The difference in polymer nanostructure that evolves during the polymerizations directly impacts the mesophase thermal stability. The LLC polymerization also affects the physical properties of polymer/Pluronic hydrogels with significant differences in compressive modulus observed based on the LLC phase in which the nanostructured polymer is generated.","author":[{"dropping-particle":"","family":"McCormick","given":"Demetrius T.","non-dropping-particle":"","parse-names":false,"suffix":""},{"dropping-particle":"","family":"Stovall","given":"Kalena D.","non-dropping-particle":"","parse-names":false,"suffix":""},{"dropping-particle":"","family":"Guymon","given":"C. Allan","non-dropping-particle":"","parse-names":false,"suffix":""}],"container-title":"Macromolecules","id":"ITEM-9","issue":"17","issued":{"date-parts":[["2003","8"]]},"page":"6549-6558","title":"Photopolymerization in pluronic lyotropic liquid crystals: Induced mesophase thermal stability","type":"article-journal","volume":"36"},"uris":["http://www.mendeley.com/documents/?uuid=ae7754a0-e1c1-4349-91b8-e716989d935f"]},{"id":"ITEM-10","itemData":{"DOI":"10.1080/15421400903065002","ISSN":"15635287","abstract":"Much research has focused on the control of material structure on the nanometer size scale. The self assembled, highly organized solutions inherent to lyotropic liquid crystals (LLCs) have recently emerged as promising tools in the synthesis of organic nanostructured materials. In this work highly ordered LLC morphologies have been utilized as polymerization templates to dictate and achieve unique polymer network structure. The influence of nanoscale organization of the monomer is directly related to the physical and diffusive behavior of the resulting polymer. Additionally, LLC ordered solutions have shown great promise in compatibilizing blends of immiscible monomers. To this end, the precise organization of the LLC has been investigated as a means to segregate immiscible monomers into isolated nanoscale domains for the copolymerization of two separate but interconnected networks. The results from this study have demonstrated that the network structure of PEGDA hydrogels or PEGDA/HDDA blends can be directed by LLC templates, and that the physical properties of the templated materials are indeed influenced by the network structure induced by the templating process. This work has established that LLCs are an important tool in the creation of materials with nanoscopic architecture that directly leads to attractive and previously unattainable materials properties. Copyright © Taylor &amp; Francis Group, LLC.","author":[{"dropping-particle":"","family":"Clapper","given":"Jason D.","non-dropping-particle":"","parse-names":false,"suffix":""},{"dropping-particle":"","family":"Guymon","given":"C. Allan","non-dropping-particle":"","parse-names":false,"suffix":""}],"container-title":"Molecular Crystals and Liquid Crystals","id":"ITEM-10","issue":"1","issued":{"date-parts":[["2009","9","3"]]},"page":"30/[772]-38/[780]","title":"Nanostructured hydrogels via photopolymerization in lyotropic liquid crystalline systems","type":"article-journal","volume":"509"},"uris":["http://www.mendeley.com/documents/?uuid=05af8024-a4fb-4e19-a6ff-77bdc878f76d"]},{"id":"ITEM-11","itemData":{"DOI":"10.1016/j.polymer.2018.03.016","ISSN":"00323861","abstract":"In this work, stimuli-responsive, superabsorbent materials are created by copolymerization of stimuli-responsive poly(n-isopropyl acrylamide) (PNIPAM) in combination with superabsorbent sodium acrylate (SA) via photopolymerization in lyotropic liquid crystal (LLC) templates. Templating PNIPAM in LLC mesophases imparts nanostructure to the polymer that significantly increases transport and swelling when compared to isotropic hydrogels. These materials exhibit twice the equilibrium swelling of analogous non-templated materials and show a dynamic range between the swollen and deswollen state that is 5 times greater. To further augment this stimuli-responsive range, LLC-templated PNIPAM was combined with the superabsorbent monomer sodium acrylate (SA). As SA concentration is increased, significant structure changes are observed during polymerization that leads to less-defined nanostructure and lower stimuli response. Maximum swelling and temperature response are observed at low concentrations of SA (</w:instrText>
      </w:r>
      <w:r w:rsidR="005C60C1" w:rsidRPr="006D631C">
        <w:rPr>
          <w:rFonts w:ascii="Cambria Math" w:hAnsi="Cambria Math" w:cs="Cambria Math"/>
        </w:rPr>
        <w:instrText>∼</w:instrText>
      </w:r>
      <w:r w:rsidR="005C60C1" w:rsidRPr="006D631C">
        <w:rPr>
          <w:rFonts w:asciiTheme="majorBidi" w:hAnsiTheme="majorBidi" w:cstheme="majorBidi"/>
        </w:rPr>
        <w:instrText>2 wt%). These LLC-templated copolymers exhibit stimuli-responsive volume transitions up to 40 times and equilibrium swelling ratios of 60 times their dry mass. This 600% increase in thermal response is due to the combined high swelling capabilities of SA with the enhanced thermal-response behavior induced by the LLC-templated nanostructure. Additionally, the nanostructure induces fast deswelling rates at temperatures above the lowest critical solution temperature of PNIPAM. The high dynamic range and quick response of this composition could allow for the development of superabsorbent, stimuli-responsive hydrogels in a variety of biomaterial, microfluidic, and water remediation applications.","author":[{"dropping-particle":"","family":"McLaughlin","given":"Jacob R.","non-dropping-particle":"","parse-names":false,"suffix":""},{"dropping-particle":"","family":"Abbott","given":"Nicholas L.","non-dropping-particle":"","parse-names":false,"suffix":""},{"dropping-particle":"","family":"Guymon","given":"C. Allan","non-dropping-particle":"","parse-names":false,"suffix":""}],"container-title":"Polymer","id":"ITEM-11","issued":{"date-parts":[["2018","4"]]},"page":"119-126","title":"Responsive superabsorbent hydrogels via photopolymerization in lyotropic liquid crystal templates","type":"article-journal","volume":"142"},"uris":["http://www.mendeley.com/documents/?uuid=8899ff0c-5b1e-46dd-a332-a7faed8dd226"]}],"mendeley":{"formattedCitation":"&lt;sup&gt;36–46&lt;/sup&gt;","plainTextFormattedCitation":"36–46","previouslyFormattedCitation":"&lt;sup&gt;36–46&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36–46</w:t>
      </w:r>
      <w:r w:rsidRPr="006D631C">
        <w:rPr>
          <w:rFonts w:asciiTheme="majorBidi" w:hAnsiTheme="majorBidi" w:cstheme="majorBidi"/>
        </w:rPr>
        <w:fldChar w:fldCharType="end"/>
      </w:r>
      <w:r w:rsidRPr="006D631C">
        <w:rPr>
          <w:rFonts w:asciiTheme="majorBidi" w:hAnsiTheme="majorBidi" w:cstheme="majorBidi"/>
        </w:rPr>
        <w:t xml:space="preserve"> As an example, transcriptive templating has been used to fabricate nanostructured biodegradable hydrogel made of M-26 monomer, exhibiting 80% increase in network swelling and around 230% increase in diffusivity compared to the corresponding non-LLC polymer without changing the biocompatibility of the material.</w:t>
      </w:r>
      <w:r w:rsidRPr="006D631C">
        <w:fldChar w:fldCharType="begin" w:fldLock="1"/>
      </w:r>
      <w:r w:rsidR="00023E1F" w:rsidRPr="006D631C">
        <w:instrText>ADDIN CSL_CITATION {"citationItems":[{"id":"ITEM-1","itemData":{"DOI":"10.1021/bm070167l","ISSN":"15257797","abstract":"The physical properties, porosity, and physiological behavior of synthetic biodegradable hydrogels have been identified as highly critical design parameters in most tissue engineering materials applications. Nanotechnology may provide the means to manipulate these parameters by accessing control over the network structure of the biomaterial, providing unique property relationships that often result from nanostructured materials. In this study, a lyotropic liquid crystal (LLC) was used as a polymerization template in the formation of a photopolymerizable biodegradable PLA-b-PEG-b-PLA (PEG = poly(ethylene glycol); PLA = poly(lactic acid)) material with nanoscale lamellar morphology. Through ordering of the biodegradable monomer within the liquid crystal assembly, a 2-fold increase in maximum polymerization rate and a 30% increase in double bond conversion were realized over isotropic monomer formulations. The resulting network structure of the templated PLA-b-PEG-b-PLA material has a dramatic affect on the physical properties of the hydrogel including an 80% increase in network swelling and an approximately 230% increase in diffusivity. This increase in permeability and solvent uptake leads to rapid degradation of the lamellar templated samples, further demonstrating the influence of the LLC directed network structure on the porosity and physical properties of the biodegradable material. The ability to control the porosity, physical properties, and behavior of a biodegradable hydrogel simply by imparting LLC network structure, without changing the chemistry or biocompatibility of the polymer, could prove highly advantageous in the design of synthetic biomaterials for potential medical applications. © 2007 American Chemical Society.","author":[{"dropping-particle":"","family":"Clapper","given":"Jason D.","non-dropping-particle":"","parse-names":false,"suffix":""},{"dropping-particle":"","family":"Iverson","given":"Stephanie L.","non-dropping-particle":"","parse-names":false,"suffix":""},{"dropping-particle":"","family":"Guymon","given":"C. Allan","non-dropping-particle":"","parse-names":false,"suffix":""}],"container-title":"Biomacromolecules","id":"ITEM-1","issue":"7","issued":{"date-parts":[["2007"]]},"page":"2104-2111","title":"Nanostructured biodegradable polymer networks using lyotropic liquid crystalline templates","type":"article-journal","volume":"8"},"uris":["http://www.mendeley.com/documents/?uuid=bb658b55-8b6d-4dd4-9f02-48a4156f2348"]}],"mendeley":{"formattedCitation":"&lt;sup&gt;150&lt;/sup&gt;","plainTextFormattedCitation":"150","previouslyFormattedCitation":"&lt;sup&gt;150&lt;/sup&gt;"},"properties":{"noteIndex":0},"schema":"https://github.com/citation-style-language/schema/raw/master/csl-citation.json"}</w:instrText>
      </w:r>
      <w:r w:rsidRPr="006D631C">
        <w:fldChar w:fldCharType="separate"/>
      </w:r>
      <w:r w:rsidR="00635FF9" w:rsidRPr="006D631C">
        <w:rPr>
          <w:noProof/>
          <w:vertAlign w:val="superscript"/>
        </w:rPr>
        <w:t>150</w:t>
      </w:r>
      <w:r w:rsidRPr="006D631C">
        <w:fldChar w:fldCharType="end"/>
      </w:r>
      <w:r w:rsidRPr="006D631C">
        <w:rPr>
          <w:rFonts w:asciiTheme="majorBidi" w:hAnsiTheme="majorBidi" w:cstheme="majorBidi"/>
        </w:rPr>
        <w:t xml:space="preserve"> Polyacrylamide hydrogels have been synthesized in LLC templates with ~ 10% higher water uptake and almost two times faster swelling rate than non-LLC analogous with no change in compressive modulus.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{"citationItems":[{"id":"ITEM-1","itemData":{"DOI":"10.1021/cm021703d","ISSN":"08974756","abstract":"Recently, a considerable amount of research has centered on the synthesis of nanostructured hydrogels via the polymerization of monomers in lyotropic liquid crystal (LLC) phases. Because of the potential for controllable nanostructures, these materials have exhibited tremendous potential for a variety of applications. This work describes the impact of photopolymerization kinetics and polymer nanostructure on the physical properties of hydrogels synthesized from LLC templates. Both acrylamide and 2-hydroxyethyl methacrylate (HEMA) photopolymerize more rapidly in the highly ordered LLC phases, resulting in higher molecular weight polymers. The photopolymerization of these monomers in organized surfactant/water assemblies allow formation of highly ordered polymeric hydrogels. The ultimate physical properties appear to be a function of the different polymerization kinetics and polymer nanostructure. Nanostructured polyacrylamide hydrogels swell faster and to a greater extent than isotropic hydrogels. Compressive moduli are also higher for nanostructured polyacrylamide hydrogels when compared to isotropic analogues. The photopolymerization of HEMA results in nanostructured hydrogels, although some structural changes are evident. As a result of the different nanostructures, vastly different physical properties are observed. The isotropic polyHEMA hydrogels swell to a greater extent and considerably faster than any of the organized hydrogels. Additionally, the isotropic polyHEMA hydrogels exhibit higher compressive modulus than the hydrogels synthesized in the organized LLC phases. For both polyHEMA and polyacrylamide gels, different nanostructures produce different physical properties, implying that characteristics such as swelling and mechanical strength can be optimized simply by changing the parent LLC phase.","author":[{"dropping-particle":"","family":"Lester","given":"Christopher L.","non-dropping-particle":"","parse-names":false,"suffix":""},{"dropping-particle":"","family":"Smith","given":"Shannon M.","non-dropping-particle":"","parse-names":false,"suffix":""},{"dropping-particle":"","family":"Colson","given":"Colleen D.","non-dropping-particle":"","parse-names":false,"suffix":""},{"dropping-particle":"","family":"Guymon","given":"C. Allan","non-dropping-particle":"","parse-names":false,"suffix":""}],"container-title":"Chemistry of Materials","id":"ITEM-1","issue":"17","issued":{"date-parts":[["2003"]]},"page":"3376-3384","title":"Physical properties of hydrogels synthesized from lyotropic liquid crystalline templates","type":"article-journal","volume":"15"},"uris":["http://www.mendeley.com/documents/?uuid=f73d1f78-88b7-4d4c-83b6-c3bbcc68b73f"]}],"mendeley":{"formattedCitation":"&lt;sup&gt;44&lt;/sup&gt;","plainTextFormattedCitation":"44","previouslyFormattedCitation":"&lt;sup&gt;44&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44</w:t>
      </w:r>
      <w:r w:rsidRPr="006D631C">
        <w:rPr>
          <w:rFonts w:asciiTheme="majorBidi" w:hAnsiTheme="majorBidi" w:cstheme="majorBidi"/>
        </w:rPr>
        <w:fldChar w:fldCharType="end"/>
      </w:r>
      <w:r w:rsidRPr="006D631C">
        <w:rPr>
          <w:rFonts w:asciiTheme="majorBidi" w:hAnsiTheme="majorBidi" w:cstheme="majorBidi"/>
        </w:rPr>
        <w:t xml:space="preserve"> In another effort,</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{"citationItems":[{"id":"ITEM-1","itemData":{"DOI":"10.1016/j.polymer.2018.03.016","ISSN":"00323861","abstract":"In this work, stimuli-responsive, superabsorbent materials are created by copolymerization of stimuli-responsive poly(n-isopropyl acrylamide) (PNIPAM) in combination with superabsorbent sodium acrylate (SA) via photopolymerization in lyotropic liquid crystal (LLC) templates. Templating PNIPAM in LLC mesophases imparts nanostructure to the polymer that significantly increases transport and swelling when compared to isotropic hydrogels. These materials exhibit twice the equilibrium swelling of analogous non-templated materials and show a dynamic range between the swollen and deswollen state that is 5 times greater. To further augment this stimuli-responsive range, LLC-templated PNIPAM was combined with the superabsorbent monomer sodium acrylate (SA). As SA concentration is increased, significant structure changes are observed during polymerization that leads to less-defined nanostructure and lower stimuli response. Maximum swelling and temperature response are observed at low concentrations of SA (</w:instrText>
      </w:r>
      <w:r w:rsidR="005C60C1" w:rsidRPr="006D631C">
        <w:rPr>
          <w:rFonts w:ascii="Cambria Math" w:hAnsi="Cambria Math" w:cs="Cambria Math"/>
        </w:rPr>
        <w:instrText>∼</w:instrText>
      </w:r>
      <w:r w:rsidR="005C60C1" w:rsidRPr="006D631C">
        <w:rPr>
          <w:rFonts w:asciiTheme="majorBidi" w:hAnsiTheme="majorBidi" w:cstheme="majorBidi"/>
        </w:rPr>
        <w:instrText>2 wt%). These LLC-templated copolymers exhibit stimuli-responsive volume transitions up to 40 times and equilibrium swelling ratios of 60 times their dry mass. This 600% increase in thermal response is due to the combined high swelling capabilities of SA with the enhanced thermal-response behavior induced by the LLC-templated nanostructure. Additionally, the nanostructure induces fast deswelling rates at temperatures above the lowest critical solution temperature of PNIPAM. The high dynamic range and quick response of this composition could allow for the development of superabsorbent, stimuli-responsive hydrogels in a variety of biomaterial, microfluidic, and water remediation applications.","author":[{"dropping-particle":"","family":"McLaughlin","given":"Jacob R.","non-dropping-particle":"","parse-names":false,"suffix":""},{"dropping-particle":"","family":"Abbott","given":"Nicholas L.","non-dropping-particle":"","parse-names":false,"suffix":""},{"dropping-particle":"","family":"Guymon","given":"C. Allan","non-dropping-particle":"","parse-names":false,"suffix":""}],"container-title":"Polymer","id":"ITEM-1","issued":{"date-parts":[["2018","4"]]},"page":"119-126","title":"Responsive superabsorbent hydrogels via photopolymerization in lyotropic liquid crystal templates","type":"article-journal","volume":"142"},"uris":["http://www.mendeley.com/documents/?uuid=8899ff0c-5b1e-46dd-a332-a7faed8dd226"]}],"mendeley":{"formattedCitation":"&lt;sup&gt;38&lt;/sup&gt;","plainTextFormattedCitation":"38","previouslyFormattedCitation":"&lt;sup&gt;38&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38</w:t>
      </w:r>
      <w:r w:rsidRPr="006D631C">
        <w:rPr>
          <w:rFonts w:asciiTheme="majorBidi" w:hAnsiTheme="majorBidi" w:cstheme="majorBidi"/>
        </w:rPr>
        <w:fldChar w:fldCharType="end"/>
      </w:r>
      <w:r w:rsidRPr="006D631C">
        <w:rPr>
          <w:rFonts w:asciiTheme="majorBidi" w:hAnsiTheme="majorBidi" w:cstheme="majorBidi"/>
        </w:rPr>
        <w:t xml:space="preserve"> LLC templated poly(N-</w:t>
      </w:r>
      <w:proofErr w:type="spellStart"/>
      <w:r w:rsidRPr="006D631C">
        <w:rPr>
          <w:rFonts w:asciiTheme="majorBidi" w:hAnsiTheme="majorBidi" w:cstheme="majorBidi"/>
        </w:rPr>
        <w:lastRenderedPageBreak/>
        <w:t>isopropylacrylamide</w:t>
      </w:r>
      <w:proofErr w:type="spellEnd"/>
      <w:r w:rsidRPr="006D631C">
        <w:rPr>
          <w:rFonts w:asciiTheme="majorBidi" w:hAnsiTheme="majorBidi" w:cstheme="majorBidi"/>
        </w:rPr>
        <w:t xml:space="preserve">) (PNIPAM) hydrogels have been prepared, which not only show twice the equilibrium swelling of analogous non-LLC counterparts but also exhibit 5 times greater dynamic range between the swollen and </w:t>
      </w:r>
      <w:proofErr w:type="spellStart"/>
      <w:r w:rsidRPr="006D631C">
        <w:rPr>
          <w:rFonts w:asciiTheme="majorBidi" w:hAnsiTheme="majorBidi" w:cstheme="majorBidi"/>
        </w:rPr>
        <w:t>deswollen</w:t>
      </w:r>
      <w:proofErr w:type="spellEnd"/>
      <w:r w:rsidRPr="006D631C">
        <w:rPr>
          <w:rFonts w:asciiTheme="majorBidi" w:hAnsiTheme="majorBidi" w:cstheme="majorBidi"/>
        </w:rPr>
        <w:t xml:space="preserve"> state. In other words, the nanostructured hydrogels possess faster deswelling rates at temperatures above the lowest critical solution temperature</w:t>
      </w:r>
      <w:r w:rsidR="00C47E38" w:rsidRPr="006D631C">
        <w:rPr>
          <w:rFonts w:asciiTheme="majorBidi" w:hAnsiTheme="majorBidi" w:cstheme="majorBidi"/>
        </w:rPr>
        <w:t xml:space="preserve"> (LCST)</w:t>
      </w:r>
      <w:r w:rsidRPr="006D631C">
        <w:rPr>
          <w:rFonts w:asciiTheme="majorBidi" w:hAnsiTheme="majorBidi" w:cstheme="majorBidi"/>
        </w:rPr>
        <w:t xml:space="preserve"> for PNIPAM. These important properties have further been improved via the incorporation of about 2 </w:t>
      </w:r>
      <w:proofErr w:type="spellStart"/>
      <w:r w:rsidRPr="006D631C">
        <w:rPr>
          <w:rFonts w:asciiTheme="majorBidi" w:hAnsiTheme="majorBidi" w:cstheme="majorBidi"/>
        </w:rPr>
        <w:t>wt</w:t>
      </w:r>
      <w:proofErr w:type="spellEnd"/>
      <w:r w:rsidRPr="006D631C">
        <w:rPr>
          <w:rFonts w:asciiTheme="majorBidi" w:hAnsiTheme="majorBidi" w:cstheme="majorBidi"/>
        </w:rPr>
        <w:t xml:space="preserve">% M-16 in the polyLLC structure. </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{"citationItems":[{"id":"ITEM-1","itemData":{"DOI":"10.1016/j.polymer.2018.03.016","ISSN":"00323861","abstract":"In this work, stimuli-responsive, superabsorbent materials are created by copolymerization of stimuli-responsive poly(n-isopropyl acrylamide) (PNIPAM) in combination with superabsorbent sodium acrylate (SA) via photopolymerization in lyotropic liquid crystal (LLC) templates. Templating PNIPAM in LLC mesophases imparts nanostructure to the polymer that significantly increases transport and swelling when compared to isotropic hydrogels. These materials exhibit twice the equilibrium swelling of analogous non-templated materials and show a dynamic range between the swollen and deswollen state that is 5 times greater. To further augment this stimuli-responsive range, LLC-templated PNIPAM was combined with the superabsorbent monomer sodium acrylate (SA). As SA concentration is increased, significant structure changes are observed during polymerization that leads to less-defined nanostructure and lower stimuli response. Maximum swelling and temperature response are observed at low concentrations of SA (</w:instrText>
      </w:r>
      <w:r w:rsidR="005C60C1" w:rsidRPr="006D631C">
        <w:rPr>
          <w:rFonts w:ascii="Cambria Math" w:hAnsi="Cambria Math" w:cs="Cambria Math"/>
        </w:rPr>
        <w:instrText>∼</w:instrText>
      </w:r>
      <w:r w:rsidR="005C60C1" w:rsidRPr="006D631C">
        <w:rPr>
          <w:rFonts w:asciiTheme="majorBidi" w:hAnsiTheme="majorBidi" w:cstheme="majorBidi"/>
        </w:rPr>
        <w:instrText>2 wt%). These LLC-templated copolymers exhibit stimuli-responsive volume transitions up to 40 times and equilibrium swelling ratios of 60 times their dry mass. This 600% increase in thermal response is due to the combined high swelling capabilities of SA with the enhanced thermal-response behavior induced by the LLC-templated nanostructure. Additionally, the nanostructure induces fast deswelling rates at temperatures above the lowest critical solution temperature of PNIPAM. The high dynamic range and quick response of this composition could allow for the development of superabsorbent, stimuli-responsive hydrogels in a variety of biomaterial, microfluidic, and water remediation applications.","author":[{"dropping-particle":"","family":"McLaughlin","given":"Jacob R.","non-dropping-particle":"","parse-names":false,"suffix":""},{"dropping-particle":"","family":"Abbott","given":"Nicholas L.","non-dropping-particle":"","parse-names":false,"suffix":""},{"dropping-particle":"","family":"Guymon","given":"C. Allan","non-dropping-particle":"","parse-names":false,"suffix":""}],"container-title":"Polymer","id":"ITEM-1","issued":{"date-parts":[["2018","4"]]},"page":"119-126","title":"Responsive superabsorbent hydrogels via photopolymerization in lyotropic liquid crystal templates","type":"article-journal","volume":"142"},"uris":["http://www.mendeley.com/documents/?uuid=8899ff0c-5b1e-46dd-a332-a7faed8dd226"]}],"mendeley":{"formattedCitation":"&lt;sup&gt;38&lt;/sup&gt;","plainTextFormattedCitation":"38","previouslyFormattedCitation":"&lt;sup&gt;38&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38</w:t>
      </w:r>
      <w:r w:rsidRPr="006D631C">
        <w:rPr>
          <w:rFonts w:asciiTheme="majorBidi" w:hAnsiTheme="majorBidi" w:cstheme="majorBidi"/>
        </w:rPr>
        <w:fldChar w:fldCharType="end"/>
      </w:r>
      <w:r w:rsidRPr="006D631C">
        <w:rPr>
          <w:rFonts w:asciiTheme="majorBidi" w:hAnsiTheme="majorBidi" w:cstheme="majorBidi"/>
        </w:rPr>
        <w:t xml:space="preserve"> </w:t>
      </w:r>
    </w:p>
    <w:p w14:paraId="591BB2E0" w14:textId="6E6E1A17" w:rsidR="00796044" w:rsidRPr="006D631C" w:rsidRDefault="00796044" w:rsidP="00635FF9">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The templating process can also result in conductive components with excellent mechanical properties compared to non-LLC materials.</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{"citationItems":[{"id":"ITEM-1","itemData":{"DOI":"10.1021/acsmacrolett.6b00790","ISSN":"21611653","abstract":"The emerging technologies involving wearable electronics require new materials with high stretchability, resistance to high loads, and high conductivities. We report a facile synthetic strategy based on self-assembly of concentrated solutions of end-functionalized PEO106-PPO70-PEO106 triblock copolymer in ethylammonium nitrate into face-centered cubic micellar crystals, followed by micelle corona cross-linking to generate elastomeric ion gels (iono-elastomers). These materials exhibit an unprecedented combination of high stretchability, high ionic conductivity, and mechanoelectrical response. The latter consists of a remarkable and counterintuitive increase in ion conductivity with strain during uniaxial extension, which is reversible upon load release. Based on in situ SAXS measurements of reversible crystal structure transformations during deformation, we postulate that the origin of the conductivity increase is a reversible formation of ion nanochannels due to a novel microstructural rearrangement specific to this material.","author":[{"dropping-particle":"","family":"López-Barrón","given":"Carlos R.","non-dropping-particle":"","parse-names":false,"suffix":""},{"dropping-particle":"","family":"Chen","given":"Ru","non-dropping-particle":"","parse-names":false,"suffix":""},{"dropping-particle":"","family":"Wagner","given":"Norman J.","non-dropping-particle":"","parse-names":false,"suffix":""}],"container-title":"ACS Macro Letters","id":"ITEM-1","issue":"12","issued":{"date-parts":[["2016"]]},"page":"1332-1338","title":"Ultrastretchable Iono-Elastomers with Mechanoelectrical Response","type":"article-journal","volume":"5"},"uris":["http://www.mendeley.com/documents/?uuid=d94ed24e-94b1-4abc-96df-3cf80d984941"]},{"id":"ITEM-2","itemData":{"DOI":"10.1021/acsami.8b10672","ISSN":"19448252","abstract":"An ultrastretchable iono-elastomer with resistance sensitive to both elongation strain and temperature has been developed by hierarchical self-assembly of an end functionalized triblock copolymer in a protic ionic liquid (ethylammonium nitrate) followed by cross-linking. Small-angle X-ray scattering experiments in situ with uniaxial elongation reveal a nanoscale microstructural transition of the hierarchically self-assembled cross-linked micelles that is responsible for the material's remarkable mechanical and ionic conductivity responses. The results show that the intermicelle distance extends along the deformation direction while the micelles organize into a long-range ordered face-centered-cubic structure during the uniaxial elongation. Besides good cyclability and resistance to selected physical damage, the iono-elastomer simultaneously achieves an unprecedented combination of high stretchability (340%), highly linear resistance vs elongation strain (R2 = 0.998), and large temperature gauge factor (ΔR/R = 3.24%/°C@30 °C). Human subject testing demonstrates that the iono-elastomer-based wearable thermomechanical sensor is able to effectively and accurately register both body motion and skin temperature simultaneously.","author":[{"dropping-particle":"","family":"Xie","given":"Yunsong","non-dropping-particle":"","parse-names":false,"suffix":""},{"dropping-particle":"","family":"Xie","given":"Ru","non-dropping-particle":"","parse-names":false,"suffix":""},{"dropping-particle":"","family":"Yang","given":"Hao Cheng","non-dropping-particle":"","parse-names":false,"suffix":""},{"dropping-particle":"","family":"Chen","given":"Zhaowei","non-dropping-particle":"","parse-names":false,"suffix":""},{"dropping-particle":"","family":"Hou","given":"Jingwei","non-dropping-particle":"","parse-names":false,"suffix":""},{"dropping-particle":"","family":"López-Barrón","given":"Carlos R.","non-dropping-particle":"","parse-names":false,"suffix":""},{"dropping-particle":"","family":"Wagner","given":"Norman J.","non-dropping-particle":"","parse-names":false,"suffix":""},{"dropping-particle":"","family":"Gao","given":"Kai Zhong","non-dropping-particle":"","parse-names":false,"suffix":""}],"container-title":"ACS Applied Materials and Interfaces","id":"ITEM-2","issue":"38","issued":{"date-parts":[["2018"]]},"page":"32435-32443","title":"Iono-Elastomer-Based Wearable Strain Sensor with Real-Time Thermomechanical Dual Response","type":"article-journal","volume":"10"},"uris":["http://www.mendeley.com/documents/?uuid=ac01ca70-c8c7-4385-90f3-881be2b6ddd1"]},{"id":"ITEM-3","itemData":{"DOI":"10.1021/acs.macromol.6b00205","ISSN":"15205835","abstract":"The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J.","non-dropping-particle":"","parse-names":false,"suffix":""}],"container-title":"Macromolecules","id":"ITEM-3","issue":"14","issued":{"date-parts":[["2016"]]},"page":"5179-5189","title":"Self-Assembly of Pluronic F127 Diacrylate in Ethylammonium Nitrate: Structure, Rheology, and Ionic Conductivity before and after Photo-Cross-Linking","type":"article-journal","volume":"49"},"uris":["http://www.mendeley.com/documents/?uuid=6ddc0c83-b7e6-4ae7-bbbe-b38e8eb525a5"]}],"mendeley":{"formattedCitation":"&lt;sup&gt;13,47,48&lt;/sup&gt;","plainTextFormattedCitation":"13,47,48","previouslyFormattedCitation":"&lt;sup&gt;13,47,48&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13,47,48</w:t>
      </w:r>
      <w:r w:rsidRPr="006D631C">
        <w:rPr>
          <w:rFonts w:asciiTheme="majorBidi" w:hAnsiTheme="majorBidi" w:cstheme="majorBidi"/>
        </w:rPr>
        <w:fldChar w:fldCharType="end"/>
      </w:r>
      <w:r w:rsidRPr="006D631C">
        <w:rPr>
          <w:rFonts w:asciiTheme="majorBidi" w:hAnsiTheme="majorBidi" w:cstheme="majorBidi"/>
        </w:rPr>
        <w:t xml:space="preserve"> The work done by Lopez-Barron </w:t>
      </w:r>
      <w:r w:rsidRPr="006D631C">
        <w:rPr>
          <w:rFonts w:asciiTheme="majorBidi" w:hAnsiTheme="majorBidi" w:cstheme="majorBidi"/>
          <w:i/>
          <w:iCs/>
        </w:rPr>
        <w:t>et al.</w:t>
      </w:r>
      <w:r w:rsidRPr="006D631C">
        <w:rPr>
          <w:rFonts w:asciiTheme="majorBidi" w:hAnsiTheme="majorBidi" w:cstheme="majorBidi"/>
        </w:rPr>
        <w:t xml:space="preserve"> </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J.","non-dropping-particle":"","parse-names":false,"suffix":""}],"container-title":"Macromolecules","id":"ITEM-1","issue":"14","issued":{"date-parts":[["2016"]]},"page":"5179-5189","title":"Self-Assembly of Pluronic F127 Diacrylate in Ethylammonium Nitrate: Structure, Rheology, and Ionic Conductivity before and after Photo-Cross-Linking","type":"article-journal","volume":"49"},"uris":["http://www.mendeley.com/documents/?uuid=6ddc0c83-b7e6-4ae7-bbbe-b38e8eb525a5"]},{"id":"ITEM-2","itemData":{"DOI":"10.1021/acsmacrolett.6b00790","ISSN":"21611653","abstract":"The emerging technologies involving wearable electronics require new materials with high stretchability, resistance to high loads, and high conductivities. We report a facile synthetic strategy based on self-assembly of concentrated solutions of end-functionalized PEO106-PPO70-PEO106 triblock copolymer in ethylammonium nitrate into face-centered cubic micellar crystals, followed by micelle corona cross-linking to generate elastomeric ion gels (iono-elastomers). These materials exhibit an unprecedented combination of high stretchability, high ionic conductivity, and mechanoelectrical response. The latter consists of a remarkable and counterintuitive increase in ion conductivity with strain during uniaxial extension, which is reversible upon load release. Based on in situ SAXS measurements of reversible crystal structure transformations during deformation, we postulate that the origin of the conductivity increase is a reversible formation of ion nanochannels due to a novel microstructural rearrangement specific to this material.","author":[{"dropping-particle":"","family":"López-Barrón","given":"Carlos R.","non-dropping-particle":"","parse-names":false,"suffix":""},{"dropping-particle":"","family":"Chen","given":"Ru","non-dropping-particle":"","parse-names":false,"suffix":""},{"dropping-particle":"","family":"Wagner","given":"Norman J.","non-dropping-particle":"","parse-names":false,"suffix":""}],"container-title":"ACS Macro Letters","id":"ITEM-2","issue":"12","issued":{"date-parts":[["2016"]]},"page":"1332-1338","title":"Ultrastretchable Iono-Elastomers with Mechanoelectrical Response","type":"article-journal","volume":"5"},"uris":["http://www.mendeley.com/documents/?uuid=d94ed24e-94b1-4abc-96df-3cf80d984941"]}],"mendeley":{"formattedCitation":"&lt;sup&gt;13,47&lt;/sup&gt;","plainTextFormattedCitation":"13,47","previouslyFormattedCitation":"&lt;sup&gt;13,47&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13,47</w:t>
      </w:r>
      <w:r w:rsidRPr="006D631C">
        <w:rPr>
          <w:rFonts w:asciiTheme="majorBidi" w:hAnsiTheme="majorBidi" w:cstheme="majorBidi"/>
        </w:rPr>
        <w:fldChar w:fldCharType="end"/>
      </w:r>
      <w:r w:rsidRPr="006D631C">
        <w:rPr>
          <w:rFonts w:asciiTheme="majorBidi" w:hAnsiTheme="majorBidi" w:cstheme="majorBidi"/>
        </w:rPr>
        <w:t xml:space="preserve"> is one of the best examples in this field. They have created </w:t>
      </w:r>
      <w:r w:rsidRPr="006D631C">
        <w:rPr>
          <w:rFonts w:asciiTheme="majorBidi" w:hAnsiTheme="majorBidi" w:cstheme="majorBidi"/>
          <w:i/>
          <w:iCs/>
        </w:rPr>
        <w:t>FCC</w:t>
      </w:r>
      <w:r w:rsidRPr="006D631C">
        <w:rPr>
          <w:rFonts w:asciiTheme="majorBidi" w:hAnsiTheme="majorBidi" w:cstheme="majorBidi"/>
        </w:rPr>
        <w:t xml:space="preserve"> lattice by combining P-A-59 and a partially deuterated ionic liquid (</w:t>
      </w:r>
      <w:proofErr w:type="spellStart"/>
      <w:r w:rsidRPr="006D631C">
        <w:rPr>
          <w:rFonts w:asciiTheme="majorBidi" w:hAnsiTheme="majorBidi" w:cstheme="majorBidi"/>
        </w:rPr>
        <w:t>ethylammonium</w:t>
      </w:r>
      <w:proofErr w:type="spellEnd"/>
      <w:r w:rsidRPr="006D631C">
        <w:rPr>
          <w:rFonts w:asciiTheme="majorBidi" w:hAnsiTheme="majorBidi" w:cstheme="majorBidi"/>
        </w:rPr>
        <w:t xml:space="preserve"> nitrate) to fabricate a cross-linked ion gel having a highly elastomeric behavior with excellent mechanical properties, conductivity, and </w:t>
      </w:r>
      <w:proofErr w:type="spellStart"/>
      <w:r w:rsidRPr="006D631C">
        <w:rPr>
          <w:rFonts w:asciiTheme="majorBidi" w:hAnsiTheme="majorBidi" w:cstheme="majorBidi"/>
        </w:rPr>
        <w:t>mechanoelectrical</w:t>
      </w:r>
      <w:proofErr w:type="spellEnd"/>
      <w:r w:rsidRPr="006D631C">
        <w:rPr>
          <w:rFonts w:asciiTheme="majorBidi" w:hAnsiTheme="majorBidi" w:cstheme="majorBidi"/>
        </w:rPr>
        <w:t xml:space="preserve"> responses. The produced highly stretchable </w:t>
      </w:r>
      <w:proofErr w:type="spellStart"/>
      <w:r w:rsidRPr="006D631C">
        <w:rPr>
          <w:rFonts w:asciiTheme="majorBidi" w:hAnsiTheme="majorBidi" w:cstheme="majorBidi"/>
        </w:rPr>
        <w:t>iono</w:t>
      </w:r>
      <w:proofErr w:type="spellEnd"/>
      <w:r w:rsidRPr="006D631C">
        <w:rPr>
          <w:rFonts w:asciiTheme="majorBidi" w:hAnsiTheme="majorBidi" w:cstheme="majorBidi"/>
        </w:rPr>
        <w:t>-elastomers (exhibiting a maximum elongation of 340%) are accurately and reliably sensitive to small motion as they show a linear strain-resistance response. Additionally, they have a large temperature-dependent conductivity (3.24 %/°C @ 30 °C) which is more than twice that of the most sensitive reported materials.</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{"citationItems":[{"id":"ITEM-1","itemData":{"DOI":"10.1021/acsami.8b10672","ISSN":"19448252","abstract":"An ultrastretchable iono-elastomer with resistance sensitive to both elongation strain and temperature has been developed by hierarchical self-assembly of an end functionalized triblock copolymer in a protic ionic liquid (ethylammonium nitrate) followed by cross-linking. Small-angle X-ray scattering experiments in situ with uniaxial elongation reveal a nanoscale microstructural transition of the hierarchically self-assembled cross-linked micelles that is responsible for the material's remarkable mechanical and ionic conductivity responses. The results show that the intermicelle distance extends along the deformation direction while the micelles organize into a long-range ordered face-centered-cubic structure during the uniaxial elongation. Besides good cyclability and resistance to selected physical damage, the iono-elastomer simultaneously achieves an unprecedented combination of high stretchability (340%), highly linear resistance vs elongation strain (R2 = 0.998), and large temperature gauge factor (ΔR/R = 3.24%/°C@30 °C). Human subject testing demonstrates that the iono-elastomer-based wearable thermomechanical sensor is able to effectively and accurately register both body motion and skin temperature simultaneously.","author":[{"dropping-particle":"","family":"Xie","given":"Yunsong","non-dropping-particle":"","parse-names":false,"suffix":""},{"dropping-particle":"","family":"Xie","given":"Ru","non-dropping-particle":"","parse-names":false,"suffix":""},{"dropping-particle":"","family":"Yang","given":"Hao Cheng","non-dropping-particle":"","parse-names":false,"suffix":""},{"dropping-particle":"","family":"Chen","given":"Zhaowei","non-dropping-particle":"","parse-names":false,"suffix":""},{"dropping-particle":"","family":"Hou","given":"Jingwei","non-dropping-particle":"","parse-names":false,"suffix":""},{"dropping-particle":"","family":"López-Barrón","given":"Carlos R.","non-dropping-particle":"","parse-names":false,"suffix":""},{"dropping-particle":"","family":"Wagner","given":"Norman J.","non-dropping-particle":"","parse-names":false,"suffix":""},{"dropping-particle":"","family":"Gao","given":"Kai Zhong","non-dropping-particle":"","parse-names":false,"suffix":""}],"container-title":"ACS Applied Materials and Interfaces","id":"ITEM-1","issue":"38","issued":{"date-parts":[["2018"]]},"page":"32435-32443","title":"Iono-Elastomer-Based Wearable Strain Sensor with Real-Time Thermomechanical Dual Response","type":"article-journal","volume":"10"},"uris":["http://www.mendeley.com/documents/?uuid=ac01ca70-c8c7-4385-90f3-881be2b6ddd1"]}],"mendeley":{"formattedCitation":"&lt;sup&gt;48&lt;/sup&gt;","plainTextFormattedCitation":"48","previouslyFormattedCitation":"&lt;sup&gt;48&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48</w:t>
      </w:r>
      <w:r w:rsidRPr="006D631C">
        <w:rPr>
          <w:rFonts w:asciiTheme="majorBidi" w:hAnsiTheme="majorBidi" w:cstheme="majorBidi"/>
        </w:rPr>
        <w:fldChar w:fldCharType="end"/>
      </w:r>
      <w:r w:rsidRPr="006D631C">
        <w:rPr>
          <w:rFonts w:asciiTheme="majorBidi" w:hAnsiTheme="majorBidi" w:cstheme="majorBidi"/>
        </w:rPr>
        <w:t xml:space="preserve"> Therefore, they have been employed as thermo-mechanical sensors to capture the simultaneous/real-time strain and temperature of the human body during anaerobic exercise. This tough nanostructured material can resist external damages such as rubbing, pinching, and directional cutting while maintaining its functionality over 1000 cycles. Thus, it can potentially be used in sports training, prosthetic, personable healthcare, and robotics applications.</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{"citationItems":[{"id":"ITEM-1","itemData":{"DOI":"10.1021/acsami.8b10672","ISSN":"19448252","abstract":"An ultrastretchable iono-elastomer with resistance sensitive to both elongation strain and temperature has been developed by hierarchical self-assembly of an end functionalized triblock copolymer in a protic ionic liquid (ethylammonium nitrate) followed by cross-linking. Small-angle X-ray scattering experiments in situ with uniaxial elongation reveal a nanoscale microstructural transition of the hierarchically self-assembled cross-linked micelles that is responsible for the material's remarkable mechanical and ionic conductivity responses. The results show that the intermicelle distance extends along the deformation direction while the micelles organize into a long-range ordered face-centered-cubic structure during the uniaxial elongation. Besides good cyclability and resistance to selected physical damage, the iono-elastomer simultaneously achieves an unprecedented combination of high stretchability (340%), highly linear resistance vs elongation strain (R2 = 0.998), and large temperature gauge factor (ΔR/R = 3.24%/°C@30 °C). Human subject testing demonstrates that the iono-elastomer-based wearable thermomechanical sensor is able to effectively and accurately register both body motion and skin temperature simultaneously.","author":[{"dropping-particle":"","family":"Xie","given":"Yunsong","non-dropping-particle":"","parse-names":false,"suffix":""},{"dropping-particle":"","family":"Xie","given":"Ru","non-dropping-particle":"","parse-names":false,"suffix":""},{"dropping-particle":"","family":"Yang","given":"Hao Cheng","non-dropping-particle":"","parse-names":false,"suffix":""},{"dropping-particle":"","family":"Chen","given":"Zhaowei","non-dropping-particle":"","parse-names":false,"suffix":""},{"dropping-particle":"","family":"Hou","given":"Jingwei","non-dropping-particle":"","parse-names":false,"suffix":""},{"dropping-particle":"","family":"López-Barrón","given":"Carlos R.","non-dropping-particle":"","parse-names":false,"suffix":""},{"dropping-particle":"","family":"Wagner","given":"Norman J.","non-dropping-particle":"","parse-names":false,"suffix":""},{"dropping-particle":"","family":"Gao","given":"Kai Zhong","non-dropping-particle":"","parse-names":false,"suffix":""}],"container-title":"ACS Applied Materials and Interfaces","id":"ITEM-1","issue":"38","issued":{"date-parts":[["2018"]]},"page":"32435-32443","title":"Iono-Elastomer-Based Wearable Strain Sensor with Real-Time Thermomechanical Dual Response","type":"article-journal","volume":"10"},"uris":["http://www.mendeley.com/documents/?uuid=ac01ca70-c8c7-4385-90f3-881be2b6ddd1"]}],"mendeley":{"formattedCitation":"&lt;sup&gt;48&lt;/sup&gt;","plainTextFormattedCitation":"48","previouslyFormattedCitation":"&lt;sup&gt;48&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48</w:t>
      </w:r>
      <w:r w:rsidRPr="006D631C">
        <w:rPr>
          <w:rFonts w:asciiTheme="majorBidi" w:hAnsiTheme="majorBidi" w:cstheme="majorBidi"/>
        </w:rPr>
        <w:fldChar w:fldCharType="end"/>
      </w:r>
      <w:r w:rsidRPr="006D631C">
        <w:rPr>
          <w:rFonts w:asciiTheme="majorBidi" w:hAnsiTheme="majorBidi" w:cstheme="majorBidi"/>
        </w:rPr>
        <w:t xml:space="preserve">        </w:t>
      </w:r>
    </w:p>
    <w:p w14:paraId="16AA0EC6" w14:textId="5FF1EF57" w:rsidR="00796044" w:rsidRPr="006D631C" w:rsidRDefault="00796044" w:rsidP="00154727">
      <w:pPr>
        <w:tabs>
          <w:tab w:val="left" w:pos="90"/>
          <w:tab w:val="left" w:pos="360"/>
          <w:tab w:val="left" w:pos="992"/>
        </w:tabs>
        <w:rPr>
          <w:rFonts w:asciiTheme="majorBidi" w:hAnsiTheme="majorBidi" w:cstheme="majorBidi"/>
        </w:rPr>
      </w:pPr>
      <w:r w:rsidRPr="006D631C">
        <w:rPr>
          <w:rFonts w:asciiTheme="majorBidi" w:hAnsiTheme="majorBidi" w:cstheme="majorBidi"/>
        </w:rPr>
        <w:t>It has also been shown that the nanostructured catalytic components obtained from mesophase templating exhibit unique catalytic activity/selectivity over commercially used catalysts.</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{"citationItems":[{"id":"ITEM-1","itemData":{"DOI":"10.1021/ar000140d","ISSN":"0001-4842","PMID":"11747415","abstract":"The development of functional materials with nanometer-scale architectures and the effect of these architectures on their chemical and physical properties are currently of great interest in materials design. Polymerizable lyotropic liquid crystal (LLC) assemblies provide a facile entry into this area by allowing one to fix the inherent order in these systems using covalent bonds to create robust, nanostructured materials. The use of the cross-linked inverted hexagonal phase in templated nanocomposite formation and heterogeneous catalysis has been demonstrated. Additionally, the polymerization of LLC mesogens in the regular hexagonal and bicontinuous cubic phases is being targeted for future developments in functional materials. Future directions for new applications of these materials are also discussed.","author":[{"dropping-particle":"","family":"Gin","given":"Douglas L.","non-dropping-particle":"","parse-names":false,"suffix":""},{"dropping-particle":"","family":"Gu","given":"Weiqiang","non-dropping-particle":"","parse-names":false,"suffix":""},{"dropping-particle":"","family":"Pindzola","given":"Bradford A.","non-dropping-particle":"","parse-names":false,"suffix":""},{"dropping-particle":"","family":"Zhou","given":"Wen-Jing","non-dropping-particle":"","parse-names":false,"suffix":""}],"container-title":"Accounts of Chemical Research","id":"ITEM-1","issue":"12","issued":{"date-parts":[["2001","12","1"]]},"page":"973-980","title":"Polymerized Lyotropic Liquid Crystal Assemblies for Materials Applications","type":"article-journal","volume":"34"},"uris":["http://www.mendeley.com/documents/?uuid=5f6b5502-c4bc-404f-a3c1-398c3f179c5e"]},{"id":"ITEM-2","itemData":{"DOI":"10.1021/cm0101531","ISSN":"08974756","abstract":"A nanostructured, polymer-supported Sc(III) catalyst for heterogeneous Lewis acid catalysis in water was prepared by quantitative Sc(III) exchange of a cross-linked inverted hexagonal assembly containing sodium sulfonate groups. The material was found to catalyze Mukaiyama aldol and Mannich reactions with a syn/anti product ratio of ca. 2/1, whereas Sc(III) catalysts in solution and on amorphous polymer supports do not show any significant syn/anti diastereo-selectivity under similar conditions.","author":[{"dropping-particle":"","family":"Gu","given":"W.","non-dropping-particle":"","parse-names":false,"suffix":""},{"dropping-particle":"","family":"Zhou","given":"W. J.","non-dropping-particle":"","parse-names":false,"suffix":""},{"dropping-particle":"","family":"Gin","given":"D. L.","non-dropping-particle":"","parse-names":false,"suffix":""}],"container-title":"Chemistry of Materials","id":"ITEM-2","issue":"6","issued":{"date-parts":[["2001"]]},"page":"1949-1951","title":"A nanostructured, scandium-containing polymer for heterogeneous Lewis acid catalysis in water","type":"article-journal","volume":"13"},"uris":["http://www.mendeley.com/documents/?uuid=e814ccd6-4e46-428f-bf7e-6d8e300b9d2f"]}],"mendeley":{"formattedCitation":"&lt;sup&gt;29,49&lt;/sup&gt;","plainTextFormattedCitation":"29,49","previouslyFormattedCitation":"&lt;sup&gt;29,49&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29,49</w:t>
      </w:r>
      <w:r w:rsidRPr="006D631C">
        <w:rPr>
          <w:rFonts w:asciiTheme="majorBidi" w:hAnsiTheme="majorBidi" w:cstheme="majorBidi"/>
        </w:rPr>
        <w:fldChar w:fldCharType="end"/>
      </w:r>
      <w:r w:rsidRPr="006D631C">
        <w:rPr>
          <w:rFonts w:asciiTheme="majorBidi" w:hAnsiTheme="majorBidi" w:cstheme="majorBidi"/>
        </w:rPr>
        <w:t xml:space="preserve"> For example, Gin </w:t>
      </w:r>
      <w:r w:rsidRPr="006D631C">
        <w:rPr>
          <w:rFonts w:asciiTheme="majorBidi" w:hAnsiTheme="majorBidi" w:cstheme="majorBidi"/>
          <w:i/>
          <w:iCs/>
        </w:rPr>
        <w:t>et al.</w:t>
      </w:r>
      <w:r w:rsidRPr="006D631C">
        <w:rPr>
          <w:rFonts w:asciiTheme="majorBidi" w:hAnsiTheme="majorBidi" w:cstheme="majorBidi"/>
        </w:rPr>
        <w:t xml:space="preserve"> have shown that a polyLLC of P-A-26 with H</w:t>
      </w:r>
      <w:r w:rsidRPr="006D631C">
        <w:rPr>
          <w:rFonts w:asciiTheme="majorBidi" w:hAnsiTheme="majorBidi" w:cstheme="majorBidi"/>
          <w:vertAlign w:val="subscript"/>
        </w:rPr>
        <w:t>2</w:t>
      </w:r>
      <w:r w:rsidRPr="006D631C">
        <w:rPr>
          <w:rFonts w:asciiTheme="majorBidi" w:hAnsiTheme="majorBidi" w:cstheme="majorBidi"/>
        </w:rPr>
        <w:t xml:space="preserve"> structure can be used as an </w:t>
      </w:r>
      <w:r w:rsidRPr="006D631C">
        <w:rPr>
          <w:rFonts w:asciiTheme="majorBidi" w:hAnsiTheme="majorBidi" w:cstheme="majorBidi"/>
        </w:rPr>
        <w:lastRenderedPageBreak/>
        <w:t xml:space="preserve">effective heterogeneous base catalyst for the </w:t>
      </w:r>
      <w:proofErr w:type="spellStart"/>
      <w:r w:rsidRPr="006D631C">
        <w:rPr>
          <w:rFonts w:asciiTheme="majorBidi" w:hAnsiTheme="majorBidi" w:cstheme="majorBidi"/>
        </w:rPr>
        <w:t>Knoevenagel</w:t>
      </w:r>
      <w:proofErr w:type="spellEnd"/>
      <w:r w:rsidRPr="006D631C">
        <w:rPr>
          <w:rFonts w:asciiTheme="majorBidi" w:hAnsiTheme="majorBidi" w:cstheme="majorBidi"/>
        </w:rPr>
        <w:t xml:space="preserve"> condensation of ethyl </w:t>
      </w:r>
      <w:proofErr w:type="spellStart"/>
      <w:r w:rsidRPr="006D631C">
        <w:rPr>
          <w:rFonts w:asciiTheme="majorBidi" w:hAnsiTheme="majorBidi" w:cstheme="majorBidi"/>
        </w:rPr>
        <w:t>cyanoacetate</w:t>
      </w:r>
      <w:proofErr w:type="spellEnd"/>
      <w:r w:rsidRPr="006D631C">
        <w:rPr>
          <w:rFonts w:asciiTheme="majorBidi" w:hAnsiTheme="majorBidi" w:cstheme="majorBidi"/>
        </w:rPr>
        <w:t xml:space="preserve"> with benzaldehyde while maintaining faster reaction compared to basic versions of zeolite-Y and MCM-41 mesoporous sieves.</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{"citationItems":[{"id":"ITEM-1","itemData":{"DOI":"10.1021/ar000140d","ISSN":"0001-4842","PMID":"11747415","abstract":"The development of functional materials with nanometer-scale architectures and the effect of these architectures on their chemical and physical properties are currently of great interest in materials design. Polymerizable lyotropic liquid crystal (LLC) assemblies provide a facile entry into this area by allowing one to fix the inherent order in these systems using covalent bonds to create robust, nanostructured materials. The use of the cross-linked inverted hexagonal phase in templated nanocomposite formation and heterogeneous catalysis has been demonstrated. Additionally, the polymerization of LLC mesogens in the regular hexagonal and bicontinuous cubic phases is being targeted for future developments in functional materials. Future directions for new applications of these materials are also discussed.","author":[{"dropping-particle":"","family":"Gin","given":"Douglas L.","non-dropping-particle":"","parse-names":false,"suffix":""},{"dropping-particle":"","family":"Gu","given":"Weiqiang","non-dropping-particle":"","parse-names":false,"suffix":""},{"dropping-particle":"","family":"Pindzola","given":"Bradford A.","non-dropping-particle":"","parse-names":false,"suffix":""},{"dropping-particle":"","family":"Zhou","given":"Wen-Jing","non-dropping-particle":"","parse-names":false,"suffix":""}],"container-title":"Accounts of Chemical Research","id":"ITEM-1","issue":"12","issued":{"date-parts":[["2001","12","1"]]},"page":"973-980","title":"Polymerized Lyotropic Liquid Crystal Assemblies for Materials Applications","type":"article-journal","volume":"34"},"uris":["http://www.mendeley.com/documents/?uuid=5f6b5502-c4bc-404f-a3c1-398c3f179c5e"]}],"mendeley":{"formattedCitation":"&lt;sup&gt;29&lt;/sup&gt;","plainTextFormattedCitation":"29","previouslyFormattedCitation":"&lt;sup&gt;29&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29</w:t>
      </w:r>
      <w:r w:rsidRPr="006D631C">
        <w:rPr>
          <w:rFonts w:asciiTheme="majorBidi" w:hAnsiTheme="majorBidi" w:cstheme="majorBidi"/>
        </w:rPr>
        <w:fldChar w:fldCharType="end"/>
      </w:r>
      <w:r w:rsidRPr="006D631C">
        <w:rPr>
          <w:rFonts w:asciiTheme="majorBidi" w:hAnsiTheme="majorBidi" w:cstheme="majorBidi"/>
        </w:rPr>
        <w:t xml:space="preserve"> In another study, heterogeneous polyLLC-based catalyst with the application in aerobic oxidation of alcohols has shown higher activity</w:t>
      </w:r>
      <w:r w:rsidR="005518B6" w:rsidRPr="006D631C">
        <w:rPr>
          <w:rFonts w:asciiTheme="majorBidi" w:hAnsiTheme="majorBidi" w:cstheme="majorBidi"/>
        </w:rPr>
        <w:t xml:space="preserve"> (~</w:t>
      </w:r>
      <w:r w:rsidRPr="006D631C">
        <w:rPr>
          <w:rFonts w:asciiTheme="majorBidi" w:hAnsiTheme="majorBidi" w:cstheme="majorBidi"/>
        </w:rPr>
        <w:t>93%</w:t>
      </w:r>
      <w:r w:rsidR="005518B6" w:rsidRPr="006D631C">
        <w:rPr>
          <w:rFonts w:asciiTheme="majorBidi" w:hAnsiTheme="majorBidi" w:cstheme="majorBidi"/>
        </w:rPr>
        <w:t xml:space="preserve"> versus ~</w:t>
      </w:r>
      <w:r w:rsidRPr="006D631C">
        <w:rPr>
          <w:rFonts w:asciiTheme="majorBidi" w:hAnsiTheme="majorBidi" w:cstheme="majorBidi"/>
        </w:rPr>
        <w:t>72% benzyl alcohol conversion) and selectivity</w:t>
      </w:r>
      <w:r w:rsidR="005518B6" w:rsidRPr="006D631C">
        <w:rPr>
          <w:rFonts w:asciiTheme="majorBidi" w:hAnsiTheme="majorBidi" w:cstheme="majorBidi"/>
        </w:rPr>
        <w:t xml:space="preserve"> (~4.2 versus ~</w:t>
      </w:r>
      <w:r w:rsidRPr="006D631C">
        <w:rPr>
          <w:rFonts w:asciiTheme="majorBidi" w:hAnsiTheme="majorBidi" w:cstheme="majorBidi"/>
        </w:rPr>
        <w:t>1.9 benzyl alcohol/</w:t>
      </w:r>
      <w:r w:rsidRPr="006D631C">
        <w:t xml:space="preserve"> </w:t>
      </w:r>
      <w:r w:rsidRPr="006D631C">
        <w:rPr>
          <w:rFonts w:asciiTheme="majorBidi" w:hAnsiTheme="majorBidi" w:cstheme="majorBidi"/>
        </w:rPr>
        <w:t>3,5-bis(</w:t>
      </w:r>
      <w:proofErr w:type="spellStart"/>
      <w:r w:rsidRPr="006D631C">
        <w:rPr>
          <w:rFonts w:asciiTheme="majorBidi" w:hAnsiTheme="majorBidi" w:cstheme="majorBidi"/>
          <w:i/>
          <w:iCs/>
        </w:rPr>
        <w:t>tert</w:t>
      </w:r>
      <w:r w:rsidRPr="006D631C">
        <w:rPr>
          <w:rFonts w:asciiTheme="majorBidi" w:hAnsiTheme="majorBidi" w:cstheme="majorBidi"/>
        </w:rPr>
        <w:t>-butyldiphenylsilyloxy</w:t>
      </w:r>
      <w:proofErr w:type="spellEnd"/>
      <w:r w:rsidRPr="006D631C">
        <w:rPr>
          <w:rFonts w:asciiTheme="majorBidi" w:hAnsiTheme="majorBidi" w:cstheme="majorBidi"/>
        </w:rPr>
        <w:t xml:space="preserve">)benzyl alcohol) over the industrially available TEMPO-based catalysts (e.g., </w:t>
      </w:r>
      <w:proofErr w:type="spellStart"/>
      <w:r w:rsidRPr="006D631C">
        <w:rPr>
          <w:rFonts w:asciiTheme="majorBidi" w:hAnsiTheme="majorBidi" w:cstheme="majorBidi"/>
        </w:rPr>
        <w:t>Silicat</w:t>
      </w:r>
      <w:proofErr w:type="spellEnd"/>
      <w:r w:rsidRPr="006D631C">
        <w:rPr>
          <w:rFonts w:asciiTheme="majorBidi" w:hAnsiTheme="majorBidi" w:cstheme="majorBidi"/>
          <w:vertAlign w:val="superscript"/>
        </w:rPr>
        <w:t>®</w:t>
      </w:r>
      <w:r w:rsidRPr="006D631C">
        <w:rPr>
          <w:rFonts w:asciiTheme="majorBidi" w:hAnsiTheme="majorBidi" w:cstheme="majorBidi"/>
        </w:rPr>
        <w:t xml:space="preserve"> brand).</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{"citationItems":[{"id":"ITEM-1","itemData":{"DOI":"10.1039/c8cc05661g","ISSN":"1364548X","PMID":"30295692","abstract":"An ordered, nanoporous, TEMPO-based polymer resin formed from lyotropic liquid crystal monomers catalyzes the hetereogeneous oxidation of alcohols with high activity and substrate size selectivity under transition-metal-free, aerobic conditions.","author":[{"dropping-particle":"","family":"Dwulet","given":"Gregory E.","non-dropping-particle":"","parse-names":false,"suffix":""},{"dropping-particle":"","family":"Gin","given":"Douglas L.","non-dropping-particle":"","parse-names":false,"suffix":""}],"container-title":"Chemical Communications","id":"ITEM-1","issue":"85","issued":{"date-parts":[["2018"]]},"page":"12053-12056","title":"Ordered nanoporous lyotropic liquid crystal polymer resin for heterogeneous catalytic aerobic oxidation of alcohols","type":"article-journal","volume":"54"},"uris":["http://www.mendeley.com/documents/?uuid=078e1556-69aa-4fdc-b1f6-85992c937663"]}],"mendeley":{"formattedCitation":"&lt;sup&gt;79&lt;/sup&gt;","plainTextFormattedCitation":"79","previouslyFormattedCitation":"&lt;sup&gt;79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79</w:t>
      </w:r>
      <w:r w:rsidRPr="006D631C">
        <w:rPr>
          <w:rFonts w:asciiTheme="majorBidi" w:hAnsiTheme="majorBidi" w:cstheme="majorBidi"/>
        </w:rPr>
        <w:fldChar w:fldCharType="end"/>
      </w:r>
      <w:r w:rsidRPr="006D631C">
        <w:rPr>
          <w:rFonts w:asciiTheme="majorBidi" w:hAnsiTheme="majorBidi" w:cstheme="majorBidi"/>
        </w:rPr>
        <w:t xml:space="preserve">  </w:t>
      </w:r>
    </w:p>
    <w:p w14:paraId="4E945C2F" w14:textId="2A0055FC" w:rsidR="009B23A1" w:rsidRPr="006D631C" w:rsidRDefault="00796044" w:rsidP="00635FF9">
      <w:pPr>
        <w:tabs>
          <w:tab w:val="left" w:pos="1418"/>
        </w:tabs>
        <w:ind w:firstLine="357"/>
        <w:rPr>
          <w:rFonts w:asciiTheme="majorBidi" w:hAnsiTheme="majorBidi" w:cstheme="majorBidi"/>
        </w:rPr>
      </w:pPr>
      <w:r w:rsidRPr="006D631C">
        <w:rPr>
          <w:rFonts w:asciiTheme="majorBidi" w:hAnsiTheme="majorBidi" w:cstheme="majorBidi"/>
        </w:rPr>
        <w:t>The distinctive light emitting behavior of LLC templated products is another advantage of such materials over non-LLC ones.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{"citationItems":[{"id":"ITEM-1","itemData":{"DOI":"10.1021/ja963837w","ISSN":"00027863","author":[{"dropping-particle":"","family":"Smith","given":"R. C.","non-dropping-particle":"","parse-names":false,"suffix":""},{"dropping-particle":"","family":"Fischer","given":"W. M.","non-dropping-particle":"","parse-names":false,"suffix":""},{"dropping-particle":"","family":"Gin","given":"D. L.","non-dropping-particle":"","parse-names":false,"suffix":""}],"container-title":"Journal of the American Chemical Society","id":"ITEM-1","issue":"17","issued":{"date-parts":[["1997"]]},"page":"4092-4093","title":"Ordered poly(p-phenylenevinylene) matrix nanocomposites via lyotropic liquid-crystalline monomers","type":"article-journal","volume":"119"},"uris":["http://www.mendeley.com/documents/?uuid=09a9c592-287e-474f-98ab-faed43f1cc64"]},{"id":"ITEM-2","itemData":{"DOI":"10.1002/adma.19970090912","ISSN":"09359648","author":[{"dropping-particle":"","family":"Gray","given":"David H.","non-dropping-particle":"","parse-names":false,"suffix":""},{"dropping-particle":"","family":"Hu","given":"Sanlin","non-dropping-particle":"","parse-names":false,"suffix":""},{"dropping-particle":"","family":"Juang","given":"Elizabeth","non-dropping-particle":"","parse-names":false,"suffix":""},{"dropping-particle":"","family":"Gin","given":"Douglas L.","non-dropping-particle":"","parse-names":false,"suffix":""}],"container-title":"Advanced Materials","id":"ITEM-2","issue":"9","issued":{"date-parts":[["1997"]]},"page":"731-736","title":"Highly ordered polymer-inorganic nanocomposites via monomer self-assembly: In situ condensation approach","type":"article-journal","volume":"9"},"uris":["http://www.mendeley.com/documents/?uuid=c5bc288b-d158-44a6-a5a3-96a73666ff96"]}],"mendeley":{"formattedCitation":"&lt;sup&gt;50,51&lt;/sup&gt;","plainTextFormattedCitation":"50,51","previouslyFormattedCitation":"&lt;sup&gt;50,51&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50,51</w:t>
      </w:r>
      <w:r w:rsidRPr="006D631C">
        <w:rPr>
          <w:rFonts w:asciiTheme="majorBidi" w:hAnsiTheme="majorBidi" w:cstheme="majorBidi"/>
        </w:rPr>
        <w:fldChar w:fldCharType="end"/>
      </w:r>
      <w:r w:rsidRPr="006D631C">
        <w:rPr>
          <w:rFonts w:asciiTheme="majorBidi" w:hAnsiTheme="majorBidi" w:cstheme="majorBidi"/>
        </w:rPr>
        <w:t xml:space="preserve"> PPV-incorporated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with H</w:t>
      </w:r>
      <w:r w:rsidRPr="006D631C">
        <w:rPr>
          <w:rFonts w:asciiTheme="majorBidi" w:hAnsiTheme="majorBidi" w:cstheme="majorBidi"/>
          <w:vertAlign w:val="subscript"/>
        </w:rPr>
        <w:t>2</w:t>
      </w:r>
      <w:r w:rsidRPr="006D631C">
        <w:rPr>
          <w:rFonts w:asciiTheme="majorBidi" w:hAnsiTheme="majorBidi" w:cstheme="majorBidi"/>
        </w:rPr>
        <w:t xml:space="preserve"> structure are the best example in this application. Photoluminescence quantum efficiency of about 80% has been reported for such nanostructured materials, which is much higher than 5 - 27% yields reported for the pure PPV. Additionally, the stability of PPV against oxidation can be improved by chain isolation/protection inside the polyLLC pores.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{"citationItems":[{"id":"ITEM-1","itemData":{"DOI":"10.1021/ja963837w","ISSN":"00027863","author":[{"dropping-particle":"","family":"Smith","given":"R. C.","non-dropping-particle":"","parse-names":false,"suffix":""},{"dropping-particle":"","family":"Fischer","given":"W. M.","non-dropping-particle":"","parse-names":false,"suffix":""},{"dropping-particle":"","family":"Gin","given":"D. L.","non-dropping-particle":"","parse-names":false,"suffix":""}],"container-title":"Journal of the American Chemical Society","id":"ITEM-1","issue":"17","issued":{"date-parts":[["1997"]]},"page":"4092-4093","title":"Ordered poly(p-phenylenevinylene) matrix nanocomposites via lyotropic liquid-crystalline monomers","type":"article-journal","volume":"119"},"uris":["http://www.mendeley.com/documents/?uuid=09a9c592-287e-474f-98ab-faed43f1cc64"]}],"mendeley":{"formattedCitation":"&lt;sup&gt;50&lt;/sup&gt;","plainTextFormattedCitation":"50","previouslyFormattedCitation":"&lt;sup&gt;50&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50</w:t>
      </w:r>
      <w:r w:rsidRPr="006D631C">
        <w:rPr>
          <w:rFonts w:asciiTheme="majorBidi" w:hAnsiTheme="majorBidi" w:cstheme="majorBidi"/>
        </w:rPr>
        <w:fldChar w:fldCharType="end"/>
      </w:r>
      <w:r w:rsidRPr="006D631C">
        <w:rPr>
          <w:rFonts w:asciiTheme="majorBidi" w:hAnsiTheme="majorBidi" w:cstheme="majorBidi"/>
        </w:rPr>
        <w:t xml:space="preserve"> Polarized photoluminescence behavior can also be obtained by shear-aligning the PPV containing H</w:t>
      </w:r>
      <w:r w:rsidRPr="006D631C">
        <w:rPr>
          <w:rFonts w:asciiTheme="majorBidi" w:hAnsiTheme="majorBidi" w:cstheme="majorBidi"/>
          <w:vertAlign w:val="subscript"/>
        </w:rPr>
        <w:t xml:space="preserve">2 </w:t>
      </w:r>
      <w:r w:rsidRPr="006D631C">
        <w:rPr>
          <w:rFonts w:asciiTheme="majorBidi" w:hAnsiTheme="majorBidi" w:cstheme="majorBidi"/>
        </w:rPr>
        <w:t>phase.</w:t>
      </w:r>
      <w:r w:rsidRPr="006D631C">
        <w:rPr>
          <w:rFonts w:asciiTheme="majorBidi" w:hAnsiTheme="majorBidi" w:cstheme="majorBidi"/>
        </w:rPr>
        <w:fldChar w:fldCharType="begin" w:fldLock="1"/>
      </w:r>
      <w:r w:rsidR="00023E1F" w:rsidRPr="006D631C">
        <w:rPr>
          <w:rFonts w:asciiTheme="majorBidi" w:hAnsiTheme="majorBidi" w:cstheme="majorBidi"/>
        </w:rPr>
        <w:instrText>ADDIN CSL_CITATION {"citationItems":[{"id":"ITEM-1","itemData":{"DOI":"10.1021/ar000140d","ISSN":"0001-4842","PMID":"11747415","abstract":"The development of functional materials with nanometer-scale architectures and the effect of these architectures on their chemical and physical properties are currently of great interest in materials design. Polymerizable lyotropic liquid crystal (LLC) assemblies provide a facile entry into this area by allowing one to fix the inherent order in these systems using covalent bonds to create robust, nanostructured materials. The use of the cross-linked inverted hexagonal phase in templated nanocomposite formation and heterogeneous catalysis has been demonstrated. Additionally, the polymerization of LLC mesogens in the regular hexagonal and bicontinuous cubic phases is being targeted for future developments in functional materials. Future directions for new applications of these materials are also discussed.","author":[{"dropping-particle":"","family":"Gin","given":"Douglas L.","non-dropping-particle":"","parse-names":false,"suffix":""},{"dropping-particle":"","family":"Gu","given":"Weiqiang","non-dropping-particle":"","parse-names":false,"suffix":""},{"dropping-particle":"","family":"Pindzola","given":"Bradford A.","non-dropping-particle":"","parse-names":false,"suffix":""},{"dropping-particle":"","family":"Zhou","given":"Wen-Jing","non-dropping-particle":"","parse-names":false,"suffix":""}],"container-title":"Accounts of Chemical Research","id":"ITEM-1","issue":"12","issued":{"date-parts":[["2001","12","1"]]},"page":"973-980","title":"Polymerized Lyotropic Liquid Crystal Assemblies for Materials Applications","type":"article-journal","volume":"34"},"uris":["http://www.mendeley.com/documents/?uuid=5f6b5502-c4bc-404f-a3c1-398c3f179c5e"]}],"mendeley":{"formattedCitation":"&lt;sup&gt;29&lt;/sup&gt;","plainTextFormattedCitation":"29","previouslyFormattedCitation":"&lt;sup&gt;29&lt;/sup&gt;"},"properties":{"noteIndex":0},"schema":"https://github.com/citation-style-language/schema/raw/master/csl-citation.json"}</w:instrText>
      </w:r>
      <w:r w:rsidRPr="006D631C">
        <w:rPr>
          <w:rFonts w:asciiTheme="majorBidi" w:hAnsiTheme="majorBidi" w:cstheme="majorBidi"/>
        </w:rPr>
        <w:fldChar w:fldCharType="separate"/>
      </w:r>
      <w:r w:rsidR="00635FF9" w:rsidRPr="006D631C">
        <w:rPr>
          <w:rFonts w:asciiTheme="majorBidi" w:hAnsiTheme="majorBidi" w:cstheme="majorBidi"/>
          <w:noProof/>
          <w:vertAlign w:val="superscript"/>
        </w:rPr>
        <w:t>29</w:t>
      </w:r>
      <w:r w:rsidRPr="006D631C">
        <w:rPr>
          <w:rFonts w:asciiTheme="majorBidi" w:hAnsiTheme="majorBidi" w:cstheme="majorBidi"/>
        </w:rPr>
        <w:fldChar w:fldCharType="end"/>
      </w:r>
      <w:r w:rsidRPr="006D631C">
        <w:rPr>
          <w:rFonts w:asciiTheme="majorBidi" w:hAnsiTheme="majorBidi" w:cstheme="majorBidi"/>
        </w:rPr>
        <w:t xml:space="preserve"> Moreover, metal-based luminescence can be introduced into this system by using transition-metal and lanthanide cations as the counterions.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{"citationItems":[{"id":"ITEM-1","itemData":{"DOI":"10.1021/ja9743654","ISSN":"00027863","abstract":"The effect of transition-metal and lanthanide ions polymerizable lyotropic liquid crystal system is studied by synthesizing the Co(II), Ni(II), Cd(II), Eu(III), and Ce(III) analogues of monomers using ion-exchange. Elemental analysis of the neat salts indicates the presence of coordinated water molecules in all the compounds. This is confirm by the presence of a weak O-H band in the 3300-3500 cm -1 region of their FT-IR spectra.","author":[{"dropping-particle":"","family":"Deng","given":"Hai","non-dropping-particle":"","parse-names":false,"suffix":""},{"dropping-particle":"","family":"Gin","given":"Douglas L.","non-dropping-particle":"","parse-names":false,"suffix":""},{"dropping-particle":"","family":"Smith","given":"Ryan C.","non-dropping-particle":"","parse-names":false,"suffix":""}],"container-title":"Journal of the American Chemical Society","id":"ITEM-1","issue":"14","issued":{"date-parts":[["1998"]]},"page":"3522-3523","title":"Polymerizable lyotropic liquid crystals containing transition-metal and lanthanide ions: architectural control and introduction of new properties into nanostructured polymers","type":"article-journal","volume":"120"},"uris":["http://www.mendeley.com/documents/?uuid=0b3c308f-bafc-4cd1-96f3-59c32038b699"]}],"mendeley":{"formattedCitation":"&lt;sup&gt;78&lt;/sup&gt;","plainTextFormattedCitation":"78","previouslyFormattedCitation":"&lt;sup&gt;78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78</w:t>
      </w:r>
      <w:r w:rsidRPr="006D631C">
        <w:rPr>
          <w:rFonts w:asciiTheme="majorBidi" w:hAnsiTheme="majorBidi" w:cstheme="majorBidi"/>
        </w:rPr>
        <w:fldChar w:fldCharType="end"/>
      </w:r>
    </w:p>
    <w:p w14:paraId="110C355D" w14:textId="125CB2BD" w:rsidR="00167C8E" w:rsidRPr="006D631C" w:rsidRDefault="00D050EA" w:rsidP="002E14E4">
      <w:pPr>
        <w:tabs>
          <w:tab w:val="left" w:pos="1418"/>
        </w:tabs>
        <w:ind w:firstLine="357"/>
        <w:rPr>
          <w:rFonts w:asciiTheme="majorBidi" w:hAnsiTheme="majorBidi" w:cstheme="majorBidi"/>
        </w:rPr>
      </w:pPr>
      <w:r w:rsidRPr="006D631C">
        <w:rPr>
          <w:rFonts w:eastAsia="Calibri"/>
        </w:rPr>
        <w:t xml:space="preserve">Although there have been plenty of studies on the advancement of LLC templating, some challenges still exist in the field. Scalability of the templating process is perhaps the most challenging hurdle to making </w:t>
      </w:r>
      <w:proofErr w:type="spellStart"/>
      <w:r w:rsidRPr="006D631C">
        <w:rPr>
          <w:rFonts w:eastAsia="Calibri"/>
        </w:rPr>
        <w:t>polyLLCs</w:t>
      </w:r>
      <w:proofErr w:type="spellEnd"/>
      <w:r w:rsidRPr="006D631C">
        <w:rPr>
          <w:rFonts w:eastAsia="Calibri"/>
        </w:rPr>
        <w:t xml:space="preserve"> fabrication applicable on larger scales. Synergistic templating requires reactive surfactants which are currently not commercially available and are usually synthesized through relatively complicated and expensive chemistries. This issue has been addressed by Gin’s groups to a limited extent through the introduction of polymerizable species synthesized via cheaper raw materials (e.g., P-A-36).</w:t>
      </w:r>
      <w:r w:rsidRPr="006D631C">
        <w:rPr>
          <w:rFonts w:eastAsia="Calibri"/>
        </w:rPr>
        <w:fldChar w:fldCharType="begin" w:fldLock="1"/>
      </w:r>
      <w:r w:rsidR="005C60C1" w:rsidRPr="006D631C">
        <w:rPr>
          <w:rFonts w:eastAsia="Calibri"/>
        </w:rPr>
        <w:instrText>ADDIN CSL_CITATION {"citationItems":[{"id":"ITEM-1","itemData":{"DOI":"10.1021/cm1013027","ISSN":"08974756","abstract":"New polymerizable gemini ammonium surfactants can be cross-linked in a type I bicontinuous cubic lyotropic liquid crystal phase with water to afford nanoporous polymer membranes with sub-1 nm 3D pores for water nanofiltration applications. © 2010 American Chemical Society.","author":[{"dropping-particle":"","family":"Hatakeyama","given":"Evan S.","non-dropping-particle":"","parse-names":false,"suffix":""},{"dropping-particle":"","family":"Wiesenauer","given":"Brian R.","non-dropping-particle":"","parse-names":false,"suffix":""},{"dropping-particle":"","family":"Gabriel","given":"Christopher J.","non-dropping-particle":"","parse-names":false,"suffix":""},{"dropping-particle":"","family":"Noble","given":"Richard D.","non-dropping-particle":"","parse-names":false,"suffix":""},{"dropping-particle":"","family":"Gin","given":"Douglas L.","non-dropping-particle":"","parse-names":false,"suffix":""}],"container-title":"Chemistry of Materials","id":"ITEM-1","issue":"16","issued":{"date-parts":[["2010"]]},"page":"4525-4527","title":"Nanoporous, bicontinuous cubic lyotropic liquid crystal networks via polymerizable gemini ammonium surfactants","type":"article-journal","volume":"22"},"uris":["http://www.mendeley.com/documents/?uuid=ee60048f-096b-4632-81a8-8b2118bda996"]}],"mendeley":{"formattedCitation":"&lt;sup&gt;118&lt;/sup&gt;","plainTextFormattedCitation":"118","previouslyFormattedCitation":"&lt;sup&gt;118&lt;/sup&gt;"},"properties":{"noteIndex":0},"schema":"https://github.com/citation-style-language/schema/raw/master/csl-citation.json"}</w:instrText>
      </w:r>
      <w:r w:rsidRPr="006D631C">
        <w:rPr>
          <w:rFonts w:eastAsia="Calibri"/>
        </w:rPr>
        <w:fldChar w:fldCharType="separate"/>
      </w:r>
      <w:r w:rsidR="002E14E4" w:rsidRPr="006D631C">
        <w:rPr>
          <w:rFonts w:eastAsia="Calibri"/>
          <w:noProof/>
          <w:vertAlign w:val="superscript"/>
        </w:rPr>
        <w:t>118</w:t>
      </w:r>
      <w:r w:rsidRPr="006D631C">
        <w:rPr>
          <w:rFonts w:eastAsia="Calibri"/>
        </w:rPr>
        <w:fldChar w:fldCharType="end"/>
      </w:r>
      <w:r w:rsidRPr="006D631C">
        <w:rPr>
          <w:rFonts w:eastAsia="Calibri"/>
        </w:rPr>
        <w:t xml:space="preserve"> The alternative approach is transcriptive </w:t>
      </w:r>
      <w:r w:rsidRPr="006D631C">
        <w:rPr>
          <w:rFonts w:eastAsia="Calibri"/>
        </w:rPr>
        <w:lastRenderedPageBreak/>
        <w:t>templating, although it requires a large amount of non-reactive components (i.e., surfactant) which are not chemically integrated in the polymerized phase.</w:t>
      </w:r>
    </w:p>
    <w:p w14:paraId="6E2BF7A1" w14:textId="77777777" w:rsidR="008418B0" w:rsidRPr="006D631C" w:rsidRDefault="008418B0" w:rsidP="008418B0">
      <w:pPr>
        <w:tabs>
          <w:tab w:val="left" w:pos="90"/>
          <w:tab w:val="left" w:pos="360"/>
          <w:tab w:val="left" w:pos="992"/>
        </w:tabs>
        <w:spacing w:after="200" w:line="276" w:lineRule="auto"/>
        <w:rPr>
          <w:rFonts w:eastAsia="Calibri"/>
        </w:rPr>
      </w:pPr>
      <w:r w:rsidRPr="006D631C">
        <w:rPr>
          <w:rFonts w:eastAsia="Calibri"/>
          <w:noProof/>
        </w:rPr>
        <w:drawing>
          <wp:inline distT="0" distB="0" distL="0" distR="0" wp14:anchorId="348F7D29" wp14:editId="7FC167A8">
            <wp:extent cx="5943600" cy="54715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5471567"/>
                    </a:xfrm>
                    <a:prstGeom prst="rect">
                      <a:avLst/>
                    </a:prstGeom>
                    <a:noFill/>
                  </pic:spPr>
                </pic:pic>
              </a:graphicData>
            </a:graphic>
          </wp:inline>
        </w:drawing>
      </w:r>
    </w:p>
    <w:p w14:paraId="27C7BC4C" w14:textId="7CE1D445" w:rsidR="008418B0" w:rsidRPr="006D631C" w:rsidRDefault="008418B0" w:rsidP="008418B0">
      <w:pPr>
        <w:tabs>
          <w:tab w:val="left" w:pos="90"/>
          <w:tab w:val="left" w:pos="360"/>
          <w:tab w:val="left" w:pos="992"/>
        </w:tabs>
        <w:spacing w:line="360" w:lineRule="auto"/>
        <w:jc w:val="center"/>
        <w:rPr>
          <w:rFonts w:eastAsia="Calibri"/>
          <w:sz w:val="22"/>
          <w:szCs w:val="22"/>
        </w:rPr>
      </w:pPr>
      <w:bookmarkStart w:id="93" w:name="_Toc148175923"/>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14</w:t>
      </w:r>
      <w:r w:rsidR="00B55F32" w:rsidRPr="006D631C">
        <w:rPr>
          <w:sz w:val="22"/>
          <w:szCs w:val="22"/>
        </w:rPr>
        <w:fldChar w:fldCharType="end"/>
      </w:r>
      <w:r w:rsidRPr="006D631C">
        <w:rPr>
          <w:sz w:val="22"/>
          <w:szCs w:val="22"/>
        </w:rPr>
        <w:t xml:space="preserve">. </w:t>
      </w:r>
      <w:r w:rsidRPr="006D631C">
        <w:rPr>
          <w:rFonts w:eastAsia="Calibri"/>
          <w:sz w:val="22"/>
          <w:szCs w:val="22"/>
        </w:rPr>
        <w:t xml:space="preserve">Potential </w:t>
      </w:r>
      <w:r w:rsidRPr="006D631C">
        <w:rPr>
          <w:sz w:val="22"/>
          <w:szCs w:val="22"/>
        </w:rPr>
        <w:t>applications</w:t>
      </w:r>
      <w:r w:rsidRPr="006D631C">
        <w:rPr>
          <w:rFonts w:eastAsia="Calibri"/>
          <w:sz w:val="22"/>
          <w:szCs w:val="22"/>
        </w:rPr>
        <w:t xml:space="preserve"> of LLC templated products</w:t>
      </w:r>
      <w:bookmarkEnd w:id="93"/>
      <w:r w:rsidRPr="006D631C">
        <w:rPr>
          <w:rFonts w:eastAsia="Calibri"/>
          <w:sz w:val="22"/>
          <w:szCs w:val="22"/>
        </w:rPr>
        <w:t xml:space="preserve"> </w:t>
      </w:r>
    </w:p>
    <w:p w14:paraId="3DEBA0CD" w14:textId="77777777" w:rsidR="009B23A1" w:rsidRPr="006D631C" w:rsidRDefault="009B23A1" w:rsidP="00861405">
      <w:pPr>
        <w:pStyle w:val="TOC1"/>
      </w:pPr>
    </w:p>
    <w:p w14:paraId="3B685B77" w14:textId="7D9B5D92" w:rsidR="004D24AA" w:rsidRPr="006D631C" w:rsidRDefault="00EF6EB2" w:rsidP="00723015">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For membrane applications, H</w:t>
      </w:r>
      <w:r w:rsidRPr="006D631C">
        <w:rPr>
          <w:rFonts w:asciiTheme="majorBidi" w:hAnsiTheme="majorBidi" w:cstheme="majorBidi"/>
          <w:vertAlign w:val="subscript"/>
        </w:rPr>
        <w:t>2</w:t>
      </w:r>
      <w:r w:rsidRPr="006D631C">
        <w:rPr>
          <w:rFonts w:asciiTheme="majorBidi" w:hAnsiTheme="majorBidi" w:cstheme="majorBidi"/>
        </w:rPr>
        <w:t xml:space="preserve"> and L</w:t>
      </w:r>
      <w:r w:rsidRPr="006D631C">
        <w:rPr>
          <w:rFonts w:asciiTheme="majorBidi" w:hAnsiTheme="majorBidi" w:cstheme="majorBidi"/>
          <w:vertAlign w:val="subscript"/>
        </w:rPr>
        <w:t>α</w:t>
      </w:r>
      <w:r w:rsidRPr="006D631C">
        <w:rPr>
          <w:rFonts w:asciiTheme="majorBidi" w:hAnsiTheme="majorBidi" w:cstheme="majorBidi"/>
        </w:rPr>
        <w:t xml:space="preserve"> phases that are easily accessible suffer from improper alignment of the </w:t>
      </w:r>
      <w:proofErr w:type="spellStart"/>
      <w:r w:rsidRPr="006D631C">
        <w:rPr>
          <w:rFonts w:asciiTheme="majorBidi" w:hAnsiTheme="majorBidi" w:cstheme="majorBidi"/>
        </w:rPr>
        <w:t>nanochannels</w:t>
      </w:r>
      <w:proofErr w:type="spellEnd"/>
      <w:r w:rsidRPr="006D631C">
        <w:rPr>
          <w:rFonts w:asciiTheme="majorBidi" w:hAnsiTheme="majorBidi" w:cstheme="majorBidi"/>
        </w:rPr>
        <w:t xml:space="preserve"> and need additional pre-polymerization steps (e.g., magnetic alignment),</w:t>
      </w:r>
      <w:r w:rsidRPr="006D631C">
        <w:rPr>
          <w:rFonts w:asciiTheme="majorBidi" w:hAnsiTheme="majorBidi" w:cstheme="majorBidi"/>
        </w:rPr>
        <w:fldChar w:fldCharType="begin" w:fldLock="1"/>
      </w:r>
      <w:r w:rsidR="003741FD" w:rsidRPr="006D631C">
        <w:rPr>
          <w:rFonts w:asciiTheme="majorBidi" w:hAnsiTheme="majorBidi" w:cstheme="majorBidi"/>
        </w:rPr>
        <w:instrText>ADDIN CSL_CITATION {"citationItems":[{"id":"ITEM-1","itemData":{"DOI":"10.1021/nn102047j","ISSN":"19360851","abstract":"We demonstrate a novel path for the fabrication of thin-film polymer nanocomposites containing vertically aligned single-walled carbon nanotubes (SWNTs). Liquid crystal mesophases of hexagonally packed cylindrical micelles orient with their long axes parallel to an applied magnetic field and template the alignment of SWNTs sequestered in the micellar cores. The mesophase is a stable single-phase material containing monomers that can be polymerized after nanotube alignment to form the nanocomposite polymer. The space-pervasive nature of magnetic fields and the tunable physicochemical properties of multicomponent mesophases make this an attractive approach that can be leveraged for application in diverse nanocomposite systems. © 2010 American Chemical Society.","author":[{"dropping-particle":"","family":"Mauter","given":"Meagan S.","non-dropping-particle":"","parse-names":false,"suffix":""},{"dropping-particle":"","family":"Elimelech","given":"Menachem","non-dropping-particle":"","parse-names":false,"suffix":""},{"dropping-particle":"","family":"Osuji","given":"Chinedum O.","non-dropping-particle":"","parse-names":false,"suffix":""}],"container-title":"ACS Nano","id":"ITEM-1","issue":"11","issued":{"date-parts":[["2010"]]},"page":"6651-6658","title":"Nanocomposites of vertically aligned single-walled carbon nanotubes by magnetic alignment and polymerization of a lyotropic precursor","type":"article-journal","volume":"4"},"uris":["http://www.mendeley.com/documents/?uuid=ca6707ad-07be-49fb-8405-da71c6ae00d2"]}],"mendeley":{"formattedCitation":"&lt;sup&gt;30&lt;/sup&gt;","plainTextFormattedCitation":"30","previouslyFormattedCitation":"&lt;sup&gt;30&lt;/sup&gt;"},"properties":{"noteIndex":0},"schema":"https://github.com/citation-style-language/schema/raw/master/csl-citation.json"}</w:instrText>
      </w:r>
      <w:r w:rsidRPr="006D631C">
        <w:rPr>
          <w:rFonts w:asciiTheme="majorBidi" w:hAnsiTheme="majorBidi" w:cstheme="majorBidi"/>
        </w:rPr>
        <w:fldChar w:fldCharType="separate"/>
      </w:r>
      <w:r w:rsidR="009F509D" w:rsidRPr="006D631C">
        <w:rPr>
          <w:rFonts w:asciiTheme="majorBidi" w:hAnsiTheme="majorBidi" w:cstheme="majorBidi"/>
          <w:noProof/>
          <w:vertAlign w:val="superscript"/>
        </w:rPr>
        <w:t>30</w:t>
      </w:r>
      <w:r w:rsidRPr="006D631C">
        <w:rPr>
          <w:rFonts w:asciiTheme="majorBidi" w:hAnsiTheme="majorBidi" w:cstheme="majorBidi"/>
        </w:rPr>
        <w:fldChar w:fldCharType="end"/>
      </w:r>
      <w:r w:rsidRPr="006D631C">
        <w:rPr>
          <w:rFonts w:asciiTheme="majorBidi" w:hAnsiTheme="majorBidi" w:cstheme="majorBidi"/>
        </w:rPr>
        <w:t xml:space="preserve"> which are complicated and/or costly. On the other hand, no alignment is required for Q</w:t>
      </w:r>
      <w:r w:rsidRPr="006D631C">
        <w:rPr>
          <w:rFonts w:asciiTheme="majorBidi" w:hAnsiTheme="majorBidi" w:cstheme="majorBidi"/>
          <w:vertAlign w:val="subscript"/>
        </w:rPr>
        <w:t>α</w:t>
      </w:r>
      <w:r w:rsidRPr="006D631C">
        <w:rPr>
          <w:rFonts w:asciiTheme="majorBidi" w:hAnsiTheme="majorBidi" w:cstheme="majorBidi"/>
        </w:rPr>
        <w:t xml:space="preserve"> structure, but stable polyLLC structures are not easily achieved via commercially available </w:t>
      </w:r>
      <w:proofErr w:type="spellStart"/>
      <w:r w:rsidRPr="006D631C">
        <w:rPr>
          <w:rFonts w:asciiTheme="majorBidi" w:hAnsiTheme="majorBidi" w:cstheme="majorBidi"/>
        </w:rPr>
        <w:lastRenderedPageBreak/>
        <w:t>amphiphiles</w:t>
      </w:r>
      <w:proofErr w:type="spellEnd"/>
      <w:r w:rsidRPr="006D631C">
        <w:rPr>
          <w:rFonts w:asciiTheme="majorBidi" w:hAnsiTheme="majorBidi" w:cstheme="majorBidi"/>
        </w:rPr>
        <w:t>. This challenge can be resolved to a large extent by using easily accessible H</w:t>
      </w:r>
      <w:r w:rsidRPr="006D631C">
        <w:rPr>
          <w:rFonts w:asciiTheme="majorBidi" w:hAnsiTheme="majorBidi" w:cstheme="majorBidi"/>
          <w:vertAlign w:val="subscript"/>
        </w:rPr>
        <w:t>1</w:t>
      </w:r>
      <w:r w:rsidRPr="006D631C">
        <w:rPr>
          <w:rFonts w:asciiTheme="majorBidi" w:hAnsiTheme="majorBidi" w:cstheme="majorBidi"/>
        </w:rPr>
        <w:t xml:space="preserve"> structures which do not need any alignment, as recently shown by Osuji and co-workers, using a synergistic templating approach.</w:t>
      </w:r>
      <w:r w:rsidRPr="006D631C">
        <w:rPr>
          <w:rFonts w:asciiTheme="majorBidi" w:hAnsiTheme="majorBidi" w:cstheme="majorBidi"/>
        </w:rPr>
        <w:fldChar w:fldCharType="begin" w:fldLock="1"/>
      </w:r>
      <w:r w:rsidR="003741FD"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rFonts w:asciiTheme="majorBidi" w:hAnsiTheme="majorBidi" w:cstheme="majorBidi"/>
        </w:rPr>
        <w:fldChar w:fldCharType="separate"/>
      </w:r>
      <w:r w:rsidR="009F509D" w:rsidRPr="006D631C">
        <w:rPr>
          <w:rFonts w:asciiTheme="majorBidi" w:hAnsiTheme="majorBidi" w:cstheme="majorBidi"/>
          <w:noProof/>
          <w:vertAlign w:val="superscript"/>
        </w:rPr>
        <w:t>31</w:t>
      </w:r>
      <w:r w:rsidRPr="006D631C">
        <w:rPr>
          <w:rFonts w:asciiTheme="majorBidi" w:hAnsiTheme="majorBidi" w:cstheme="majorBidi"/>
        </w:rPr>
        <w:fldChar w:fldCharType="end"/>
      </w:r>
      <w:r w:rsidRPr="006D631C">
        <w:rPr>
          <w:rFonts w:asciiTheme="majorBidi" w:hAnsiTheme="majorBidi" w:cstheme="majorBidi"/>
        </w:rPr>
        <w:t xml:space="preserve"> The accessibility of the H</w:t>
      </w:r>
      <w:r w:rsidRPr="006D631C">
        <w:rPr>
          <w:rFonts w:asciiTheme="majorBidi" w:hAnsiTheme="majorBidi" w:cstheme="majorBidi"/>
          <w:vertAlign w:val="subscript"/>
        </w:rPr>
        <w:t>1</w:t>
      </w:r>
      <w:r w:rsidRPr="006D631C">
        <w:rPr>
          <w:rFonts w:asciiTheme="majorBidi" w:hAnsiTheme="majorBidi" w:cstheme="majorBidi"/>
        </w:rPr>
        <w:t xml:space="preserve"> mesophase makes it a feasible structure for developing a broad range of membranes tailored for different uses, including ion transport,</w:t>
      </w:r>
      <w:r w:rsidR="003741FD" w:rsidRPr="006D631C">
        <w:rPr>
          <w:rFonts w:asciiTheme="majorBidi" w:hAnsiTheme="majorBidi" w:cstheme="majorBidi"/>
        </w:rPr>
        <w:fldChar w:fldCharType="begin" w:fldLock="1"/>
      </w:r>
      <w:r w:rsidR="00FC0A93"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id":"ITEM-2","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Nano","id":"ITEM-2","issued":{"date-parts":[["2021","3","17"]]},"page":"acsnano.1c00722","title":"Rapid Fabrication by Lyotropic Self-Assembly of Thin Nanofiltration Membranes with Uniform 1 Nanometer Pores","type":"article-journal"},"uris":["http://www.mendeley.com/documents/?uuid=9a8f95cc-c536-4af0-a6e3-e51388d61691"]}],"mendeley":{"formattedCitation":"&lt;sup&gt;31,123&lt;/sup&gt;","plainTextFormattedCitation":"31,123","previouslyFormattedCitation":"&lt;sup&gt;31,123&lt;/sup&gt;"},"properties":{"noteIndex":0},"schema":"https://github.com/citation-style-language/schema/raw/master/csl-citation.json"}</w:instrText>
      </w:r>
      <w:r w:rsidR="003741FD" w:rsidRPr="006D631C">
        <w:rPr>
          <w:rFonts w:asciiTheme="majorBidi" w:hAnsiTheme="majorBidi" w:cstheme="majorBidi"/>
        </w:rPr>
        <w:fldChar w:fldCharType="separate"/>
      </w:r>
      <w:r w:rsidR="003741FD" w:rsidRPr="006D631C">
        <w:rPr>
          <w:rFonts w:asciiTheme="majorBidi" w:hAnsiTheme="majorBidi" w:cstheme="majorBidi"/>
          <w:noProof/>
          <w:vertAlign w:val="superscript"/>
        </w:rPr>
        <w:t>31,123</w:t>
      </w:r>
      <w:r w:rsidR="003741FD" w:rsidRPr="006D631C">
        <w:rPr>
          <w:rFonts w:asciiTheme="majorBidi" w:hAnsiTheme="majorBidi" w:cstheme="majorBidi"/>
        </w:rPr>
        <w:fldChar w:fldCharType="end"/>
      </w:r>
      <w:r w:rsidRPr="006D631C">
        <w:rPr>
          <w:rFonts w:asciiTheme="majorBidi" w:hAnsiTheme="majorBidi" w:cstheme="majorBidi"/>
        </w:rPr>
        <w:t xml:space="preserve"> and organic solvent nanofiltration.</w:t>
      </w:r>
      <w:r w:rsidR="009F509D" w:rsidRPr="006D631C">
        <w:rPr>
          <w:rFonts w:asciiTheme="majorBidi" w:hAnsiTheme="majorBidi" w:cstheme="majorBidi"/>
        </w:rPr>
        <w:fldChar w:fldCharType="begin" w:fldLock="1"/>
      </w:r>
      <w:r w:rsidR="003741FD" w:rsidRPr="006D631C">
        <w:rPr>
          <w:rFonts w:asciiTheme="majorBidi" w:hAnsiTheme="majorBidi" w:cstheme="majorBidi"/>
        </w:rPr>
        <w:instrText>ADDIN CSL_CITATION {"citationItems":[{"id":"ITEM-1","itemData":{"DOI":"10.1126/sciadv.abm5899","ISSN":"2375-2548","abstract":"Organic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Advances","id":"ITEM-1","issue":"11","issued":{"date-parts":[["2022","3","18"]]},"title":"Tunable organic solvent nanofiltration in self-assembled membranes at the sub–1 nm scale","type":"article-journal","volume":"8"},"uris":["http://www.mendeley.com/documents/?uuid=f4e7114e-b599-410a-a180-ef737c4d9ca1"]}],"mendeley":{"formattedCitation":"&lt;sup&gt;125&lt;/sup&gt;","plainTextFormattedCitation":"125","previouslyFormattedCitation":"&lt;sup&gt;125&lt;/sup&gt;"},"properties":{"noteIndex":0},"schema":"https://github.com/citation-style-language/schema/raw/master/csl-citation.json"}</w:instrText>
      </w:r>
      <w:r w:rsidR="009F509D" w:rsidRPr="006D631C">
        <w:rPr>
          <w:rFonts w:asciiTheme="majorBidi" w:hAnsiTheme="majorBidi" w:cstheme="majorBidi"/>
        </w:rPr>
        <w:fldChar w:fldCharType="separate"/>
      </w:r>
      <w:r w:rsidR="009F509D" w:rsidRPr="006D631C">
        <w:rPr>
          <w:rFonts w:asciiTheme="majorBidi" w:hAnsiTheme="majorBidi" w:cstheme="majorBidi"/>
          <w:noProof/>
          <w:vertAlign w:val="superscript"/>
        </w:rPr>
        <w:t>125</w:t>
      </w:r>
      <w:r w:rsidR="009F509D" w:rsidRPr="006D631C">
        <w:rPr>
          <w:rFonts w:asciiTheme="majorBidi" w:hAnsiTheme="majorBidi" w:cstheme="majorBidi"/>
        </w:rPr>
        <w:fldChar w:fldCharType="end"/>
      </w:r>
      <w:r w:rsidRPr="006D631C">
        <w:rPr>
          <w:rFonts w:asciiTheme="majorBidi" w:hAnsiTheme="majorBidi" w:cstheme="majorBidi"/>
        </w:rPr>
        <w:t xml:space="preserve"> Recent work by the same group</w:t>
      </w:r>
      <w:r w:rsidRPr="006D631C">
        <w:rPr>
          <w:rFonts w:asciiTheme="majorBidi" w:hAnsiTheme="majorBidi" w:cstheme="majorBidi"/>
        </w:rPr>
        <w:fldChar w:fldCharType="begin" w:fldLock="1"/>
      </w:r>
      <w:r w:rsidR="003741FD" w:rsidRPr="006D631C">
        <w:rPr>
          <w:rFonts w:asciiTheme="majorBidi" w:hAnsiTheme="majorBidi" w:cstheme="majorBidi"/>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Nano","id":"ITEM-1","issued":{"date-parts":[["2021","3","17"]]},"page":"acsnano.1c00722","title":"Rapid Fabrication by Lyotropic Self-Assembly of Thin Nanofiltration Membranes with Uniform 1 Nanometer Pores","type":"article-journal"},"uris":["http://www.mendeley.com/documents/?uuid=9a8f95cc-c536-4af0-a6e3-e51388d61691"]}],"mendeley":{"formattedCitation":"&lt;sup&gt;123&lt;/sup&gt;","plainTextFormattedCitation":"123","previouslyFormattedCitation":"&lt;sup&gt;123&lt;/sup&gt;"},"properties":{"noteIndex":0},"schema":"https://github.com/citation-style-language/schema/raw/master/csl-citation.json"}</w:instrText>
      </w:r>
      <w:r w:rsidRPr="006D631C">
        <w:rPr>
          <w:rFonts w:asciiTheme="majorBidi" w:hAnsiTheme="majorBidi" w:cstheme="majorBidi"/>
        </w:rPr>
        <w:fldChar w:fldCharType="separate"/>
      </w:r>
      <w:r w:rsidR="009F509D" w:rsidRPr="006D631C">
        <w:rPr>
          <w:rFonts w:asciiTheme="majorBidi" w:hAnsiTheme="majorBidi" w:cstheme="majorBidi"/>
          <w:noProof/>
          <w:vertAlign w:val="superscript"/>
        </w:rPr>
        <w:t>123</w:t>
      </w:r>
      <w:r w:rsidRPr="006D631C">
        <w:rPr>
          <w:rFonts w:asciiTheme="majorBidi" w:hAnsiTheme="majorBidi" w:cstheme="majorBidi"/>
        </w:rPr>
        <w:fldChar w:fldCharType="end"/>
      </w:r>
      <w:r w:rsidRPr="006D631C">
        <w:rPr>
          <w:rFonts w:asciiTheme="majorBidi" w:hAnsiTheme="majorBidi" w:cstheme="majorBidi"/>
        </w:rPr>
        <w:t xml:space="preserve"> has demonstrated a solution-based process for rapid fabrication of ~100 - 200 nm thick membrane selective layers over large areas using H</w:t>
      </w:r>
      <w:r w:rsidRPr="006D631C">
        <w:rPr>
          <w:rFonts w:asciiTheme="majorBidi" w:hAnsiTheme="majorBidi" w:cstheme="majorBidi"/>
          <w:vertAlign w:val="subscript"/>
        </w:rPr>
        <w:t>1</w:t>
      </w:r>
      <w:r w:rsidRPr="006D631C">
        <w:rPr>
          <w:rFonts w:asciiTheme="majorBidi" w:hAnsiTheme="majorBidi" w:cstheme="majorBidi"/>
        </w:rPr>
        <w:t xml:space="preserve"> mesophases. The permeability and rejection characteristics are on par with several commercial NF membranes, with effective pore sizes in the 1 nm range, </w:t>
      </w:r>
      <w:r w:rsidR="00FB4322" w:rsidRPr="006D631C">
        <w:rPr>
          <w:rFonts w:asciiTheme="majorBidi" w:hAnsiTheme="majorBidi" w:cstheme="majorBidi"/>
        </w:rPr>
        <w:t xml:space="preserve">MWCO ~300 Da and </w:t>
      </w:r>
      <w:proofErr w:type="spellStart"/>
      <w:r w:rsidR="00FB4322" w:rsidRPr="006D631C">
        <w:rPr>
          <w:rFonts w:asciiTheme="majorBidi" w:hAnsiTheme="majorBidi" w:cstheme="majorBidi"/>
        </w:rPr>
        <w:t>permeabilities</w:t>
      </w:r>
      <w:proofErr w:type="spellEnd"/>
      <w:r w:rsidR="00FB4322" w:rsidRPr="006D631C">
        <w:rPr>
          <w:rFonts w:asciiTheme="majorBidi" w:hAnsiTheme="majorBidi" w:cstheme="majorBidi"/>
        </w:rPr>
        <w:t xml:space="preserve"> ~</w:t>
      </w:r>
      <w:r w:rsidRPr="006D631C">
        <w:rPr>
          <w:rFonts w:asciiTheme="majorBidi" w:hAnsiTheme="majorBidi" w:cstheme="majorBidi"/>
        </w:rPr>
        <w:t xml:space="preserve">2 </w:t>
      </w:r>
      <w:r w:rsidR="00723015" w:rsidRPr="006D631C">
        <w:rPr>
          <w:rFonts w:asciiTheme="majorBidi" w:hAnsiTheme="majorBidi" w:cstheme="majorBidi"/>
        </w:rPr>
        <w:t>liters</w:t>
      </w:r>
      <w:r w:rsidRPr="006D631C">
        <w:rPr>
          <w:rFonts w:asciiTheme="majorBidi" w:hAnsiTheme="majorBidi" w:cstheme="majorBidi"/>
        </w:rPr>
        <w:t xml:space="preserve"> m</w:t>
      </w:r>
      <w:r w:rsidRPr="006D631C">
        <w:rPr>
          <w:rFonts w:asciiTheme="majorBidi" w:hAnsiTheme="majorBidi" w:cstheme="majorBidi"/>
          <w:vertAlign w:val="superscript"/>
        </w:rPr>
        <w:t xml:space="preserve">-2 </w:t>
      </w:r>
      <w:r w:rsidRPr="006D631C">
        <w:rPr>
          <w:rFonts w:asciiTheme="majorBidi" w:hAnsiTheme="majorBidi" w:cstheme="majorBidi"/>
        </w:rPr>
        <w:t>h</w:t>
      </w:r>
      <w:r w:rsidR="00723015" w:rsidRPr="006D631C">
        <w:rPr>
          <w:rFonts w:asciiTheme="majorBidi" w:hAnsiTheme="majorBidi" w:cstheme="majorBidi"/>
        </w:rPr>
        <w:t>our</w:t>
      </w:r>
      <w:r w:rsidRPr="006D631C">
        <w:rPr>
          <w:rFonts w:asciiTheme="majorBidi" w:hAnsiTheme="majorBidi" w:cstheme="majorBidi"/>
          <w:vertAlign w:val="superscript"/>
        </w:rPr>
        <w:t xml:space="preserve">-1 </w:t>
      </w:r>
      <w:r w:rsidRPr="006D631C">
        <w:rPr>
          <w:rFonts w:asciiTheme="majorBidi" w:hAnsiTheme="majorBidi" w:cstheme="majorBidi"/>
        </w:rPr>
        <w:t>bar</w:t>
      </w:r>
      <w:r w:rsidRPr="006D631C">
        <w:rPr>
          <w:rFonts w:asciiTheme="majorBidi" w:hAnsiTheme="majorBidi" w:cstheme="majorBidi"/>
          <w:vertAlign w:val="superscript"/>
        </w:rPr>
        <w:t xml:space="preserve">-1 </w:t>
      </w:r>
      <m:oMath>
        <m:r>
          <w:rPr>
            <w:rFonts w:ascii="Cambria Math" w:hAnsi="Cambria Math" w:cstheme="majorBidi"/>
          </w:rPr>
          <m:t>μ</m:t>
        </m:r>
      </m:oMath>
      <w:r w:rsidRPr="006D631C">
        <w:rPr>
          <w:rFonts w:asciiTheme="majorBidi" w:eastAsiaTheme="minorEastAsia" w:hAnsiTheme="majorBidi" w:cstheme="majorBidi"/>
        </w:rPr>
        <w:t>m</w:t>
      </w:r>
      <w:r w:rsidRPr="006D631C">
        <w:rPr>
          <w:rFonts w:asciiTheme="majorBidi" w:hAnsiTheme="majorBidi" w:cstheme="majorBidi"/>
        </w:rPr>
        <w:t xml:space="preserve">. At thicknesses of 100 nm, this </w:t>
      </w:r>
      <w:r w:rsidR="00FB4322" w:rsidRPr="006D631C">
        <w:rPr>
          <w:rFonts w:asciiTheme="majorBidi" w:hAnsiTheme="majorBidi" w:cstheme="majorBidi"/>
        </w:rPr>
        <w:t xml:space="preserve">corresponds to a </w:t>
      </w:r>
      <w:proofErr w:type="spellStart"/>
      <w:r w:rsidR="00FB4322" w:rsidRPr="006D631C">
        <w:rPr>
          <w:rFonts w:asciiTheme="majorBidi" w:hAnsiTheme="majorBidi" w:cstheme="majorBidi"/>
        </w:rPr>
        <w:t>permeance</w:t>
      </w:r>
      <w:proofErr w:type="spellEnd"/>
      <w:r w:rsidR="00FB4322" w:rsidRPr="006D631C">
        <w:rPr>
          <w:rFonts w:asciiTheme="majorBidi" w:hAnsiTheme="majorBidi" w:cstheme="majorBidi"/>
        </w:rPr>
        <w:t xml:space="preserve"> of ~</w:t>
      </w:r>
      <w:r w:rsidR="00723015" w:rsidRPr="006D631C">
        <w:rPr>
          <w:rFonts w:asciiTheme="majorBidi" w:hAnsiTheme="majorBidi" w:cstheme="majorBidi"/>
        </w:rPr>
        <w:t>20 liters</w:t>
      </w:r>
      <w:r w:rsidRPr="006D631C">
        <w:rPr>
          <w:rFonts w:asciiTheme="majorBidi" w:hAnsiTheme="majorBidi" w:cstheme="majorBidi"/>
        </w:rPr>
        <w:t xml:space="preserve"> m</w:t>
      </w:r>
      <w:r w:rsidRPr="006D631C">
        <w:rPr>
          <w:rFonts w:asciiTheme="majorBidi" w:hAnsiTheme="majorBidi" w:cstheme="majorBidi"/>
          <w:vertAlign w:val="superscript"/>
        </w:rPr>
        <w:t xml:space="preserve">-2 </w:t>
      </w:r>
      <w:r w:rsidRPr="006D631C">
        <w:rPr>
          <w:rFonts w:asciiTheme="majorBidi" w:hAnsiTheme="majorBidi" w:cstheme="majorBidi"/>
        </w:rPr>
        <w:t>h</w:t>
      </w:r>
      <w:r w:rsidR="00723015" w:rsidRPr="006D631C">
        <w:rPr>
          <w:rFonts w:asciiTheme="majorBidi" w:hAnsiTheme="majorBidi" w:cstheme="majorBidi"/>
        </w:rPr>
        <w:t>our</w:t>
      </w:r>
      <w:r w:rsidRPr="006D631C">
        <w:rPr>
          <w:rFonts w:asciiTheme="majorBidi" w:hAnsiTheme="majorBidi" w:cstheme="majorBidi"/>
          <w:vertAlign w:val="superscript"/>
        </w:rPr>
        <w:t xml:space="preserve">-1 </w:t>
      </w:r>
      <w:r w:rsidRPr="006D631C">
        <w:rPr>
          <w:rFonts w:asciiTheme="majorBidi" w:hAnsiTheme="majorBidi" w:cstheme="majorBidi"/>
        </w:rPr>
        <w:t>bar</w:t>
      </w:r>
      <w:r w:rsidRPr="006D631C">
        <w:rPr>
          <w:rFonts w:asciiTheme="majorBidi" w:hAnsiTheme="majorBidi" w:cstheme="majorBidi"/>
          <w:vertAlign w:val="superscript"/>
        </w:rPr>
        <w:t>-1</w:t>
      </w:r>
      <w:r w:rsidRPr="006D631C">
        <w:rPr>
          <w:rFonts w:asciiTheme="majorBidi" w:hAnsiTheme="majorBidi" w:cstheme="majorBidi"/>
        </w:rPr>
        <w:t xml:space="preserve">. </w:t>
      </w:r>
    </w:p>
    <w:p w14:paraId="026D7421" w14:textId="242A56A0" w:rsidR="00D01921" w:rsidRPr="006D631C" w:rsidRDefault="00D01921" w:rsidP="004D24AA">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In the general liquid crystal literature, there are a plethora of studies on the influence of surface conditions to aid the anchoring/alignment of liquid crystalline molecules or phases. In commercial display devices based on </w:t>
      </w:r>
      <w:proofErr w:type="spellStart"/>
      <w:r w:rsidRPr="006D631C">
        <w:rPr>
          <w:rFonts w:asciiTheme="majorBidi" w:hAnsiTheme="majorBidi" w:cstheme="majorBidi"/>
        </w:rPr>
        <w:t>nematic</w:t>
      </w:r>
      <w:proofErr w:type="spellEnd"/>
      <w:r w:rsidRPr="006D631C">
        <w:rPr>
          <w:rFonts w:asciiTheme="majorBidi" w:hAnsiTheme="majorBidi" w:cstheme="majorBidi"/>
        </w:rPr>
        <w:t xml:space="preserve"> phases, surface modification by lecithin surfactant coatings or microgrooves</w:t>
      </w:r>
      <w:r w:rsidRPr="006D631C">
        <w:rPr>
          <w:rFonts w:asciiTheme="majorBidi" w:hAnsiTheme="majorBidi" w:cstheme="majorBidi"/>
        </w:rPr>
        <w:fldChar w:fldCharType="begin" w:fldLock="1"/>
      </w:r>
      <w:r w:rsidR="00D54AEE" w:rsidRPr="006D631C">
        <w:rPr>
          <w:rFonts w:asciiTheme="majorBidi" w:hAnsiTheme="majorBidi" w:cstheme="majorBidi"/>
        </w:rPr>
        <w:instrText>ADDIN CSL_CITATION {"citationItems":[{"id":"ITEM-1","itemData":{"DOI":"10.1080/00268948308084245","ISSN":"0026-8941","author":[{"dropping-particle":"","family":"Castellano","given":"Joseph A.","non-dropping-particle":"","parse-names":false,"suffix":""}],"container-title":"Molecular Crystals and Liquid Crystals","id":"ITEM-1","issue":"1-2","issued":{"date-parts":[["1983","1","21"]]},"page":"33-41","title":"Surface Anchoring of Liquid Crystal Molecules on Various Substrates","type":"article-journal","volume":"94"},"uris":["http://www.mendeley.com/documents/?uuid=b6cf6384-9176-46e5-8e0f-7d4ba4f49f53"]}],"mendeley":{"formattedCitation":"&lt;sup&gt;175&lt;/sup&gt;","plainTextFormattedCitation":"175","previouslyFormattedCitation":"&lt;sup&gt;175&lt;/sup&gt;"},"properties":{"noteIndex":0},"schema":"https://github.com/citation-style-language/schema/raw/master/csl-citation.json"}</w:instrText>
      </w:r>
      <w:r w:rsidRPr="006D631C">
        <w:rPr>
          <w:rFonts w:asciiTheme="majorBidi" w:hAnsiTheme="majorBidi" w:cstheme="majorBidi"/>
        </w:rPr>
        <w:fldChar w:fldCharType="separate"/>
      </w:r>
      <w:r w:rsidR="00FC0A93" w:rsidRPr="006D631C">
        <w:rPr>
          <w:rFonts w:asciiTheme="majorBidi" w:hAnsiTheme="majorBidi" w:cstheme="majorBidi"/>
          <w:noProof/>
          <w:vertAlign w:val="superscript"/>
        </w:rPr>
        <w:t>175</w:t>
      </w:r>
      <w:r w:rsidRPr="006D631C">
        <w:rPr>
          <w:rFonts w:asciiTheme="majorBidi" w:hAnsiTheme="majorBidi" w:cstheme="majorBidi"/>
        </w:rPr>
        <w:fldChar w:fldCharType="end"/>
      </w:r>
      <w:r w:rsidRPr="006D631C">
        <w:rPr>
          <w:rFonts w:asciiTheme="majorBidi" w:hAnsiTheme="majorBidi" w:cstheme="majorBidi"/>
        </w:rPr>
        <w:t xml:space="preserve"> is used to order the </w:t>
      </w:r>
      <w:proofErr w:type="spellStart"/>
      <w:r w:rsidRPr="006D631C">
        <w:rPr>
          <w:rFonts w:asciiTheme="majorBidi" w:hAnsiTheme="majorBidi" w:cstheme="majorBidi"/>
        </w:rPr>
        <w:t>nematic</w:t>
      </w:r>
      <w:proofErr w:type="spellEnd"/>
      <w:r w:rsidRPr="006D631C">
        <w:rPr>
          <w:rFonts w:asciiTheme="majorBidi" w:hAnsiTheme="majorBidi" w:cstheme="majorBidi"/>
        </w:rPr>
        <w:t xml:space="preserve"> phases. For </w:t>
      </w:r>
      <w:proofErr w:type="spellStart"/>
      <w:r w:rsidRPr="006D631C">
        <w:rPr>
          <w:rFonts w:asciiTheme="majorBidi" w:hAnsiTheme="majorBidi" w:cstheme="majorBidi"/>
        </w:rPr>
        <w:t>thermotropic</w:t>
      </w:r>
      <w:proofErr w:type="spellEnd"/>
      <w:r w:rsidRPr="006D631C">
        <w:rPr>
          <w:rFonts w:asciiTheme="majorBidi" w:hAnsiTheme="majorBidi" w:cstheme="majorBidi"/>
        </w:rPr>
        <w:t xml:space="preserve"> mesophases, Osuji </w:t>
      </w:r>
      <w:r w:rsidRPr="006D631C">
        <w:rPr>
          <w:rFonts w:asciiTheme="majorBidi" w:hAnsiTheme="majorBidi" w:cstheme="majorBidi"/>
          <w:i/>
          <w:iCs/>
        </w:rPr>
        <w:t>et al.</w:t>
      </w:r>
      <w:r w:rsidRPr="006D631C">
        <w:rPr>
          <w:rFonts w:asciiTheme="majorBidi" w:hAnsiTheme="majorBidi" w:cstheme="majorBidi"/>
        </w:rPr>
        <w:t xml:space="preserve">, among others, have demonstrated the uniform </w:t>
      </w:r>
      <w:proofErr w:type="spellStart"/>
      <w:r w:rsidRPr="006D631C">
        <w:rPr>
          <w:rFonts w:asciiTheme="majorBidi" w:hAnsiTheme="majorBidi" w:cstheme="majorBidi"/>
        </w:rPr>
        <w:t>homeotropic</w:t>
      </w:r>
      <w:proofErr w:type="spellEnd"/>
      <w:r w:rsidRPr="006D631C">
        <w:rPr>
          <w:rFonts w:asciiTheme="majorBidi" w:hAnsiTheme="majorBidi" w:cstheme="majorBidi"/>
        </w:rPr>
        <w:t xml:space="preserve"> alignment of hexagonal cylindrical pores by confined annealing of the pre-polymerization phase between compatible substrates such as glass and </w:t>
      </w:r>
      <w:r w:rsidR="00B4540D" w:rsidRPr="006D631C">
        <w:rPr>
          <w:rFonts w:asciiTheme="majorBidi" w:hAnsiTheme="majorBidi" w:cstheme="majorBidi"/>
        </w:rPr>
        <w:t>Polydimethylsiloxane (</w:t>
      </w:r>
      <w:r w:rsidRPr="006D631C">
        <w:rPr>
          <w:rFonts w:asciiTheme="majorBidi" w:hAnsiTheme="majorBidi" w:cstheme="majorBidi"/>
        </w:rPr>
        <w:t>PDMS</w:t>
      </w:r>
      <w:r w:rsidR="00B4540D" w:rsidRPr="006D631C">
        <w:rPr>
          <w:rFonts w:asciiTheme="majorBidi" w:hAnsiTheme="majorBidi" w:cstheme="majorBidi"/>
        </w:rPr>
        <w:t>)</w:t>
      </w:r>
      <w:r w:rsidRPr="006D631C">
        <w:rPr>
          <w:rFonts w:asciiTheme="majorBidi" w:hAnsiTheme="majorBidi" w:cstheme="majorBidi"/>
        </w:rPr>
        <w:t>.</w:t>
      </w:r>
      <w:r w:rsidRPr="006D631C">
        <w:rPr>
          <w:rFonts w:asciiTheme="majorBidi" w:hAnsiTheme="majorBidi" w:cstheme="majorBidi"/>
        </w:rPr>
        <w:fldChar w:fldCharType="begin" w:fldLock="1"/>
      </w:r>
      <w:r w:rsidR="00D54AEE" w:rsidRPr="006D631C">
        <w:rPr>
          <w:rFonts w:asciiTheme="majorBidi" w:hAnsiTheme="majorBidi" w:cstheme="majorBidi"/>
        </w:rPr>
        <w:instrText>ADDIN CSL_CITATION {"citationItems":[{"id":"ITEM-1","itemData":{"DOI":"10.1021/acsnano.5b06130","ISSN":"1936086X","abstract":"Membrane separations are critically important in areas ranging from health care and analytical chemistry to bioprocessing and water purification. An ideal nanoporous membrane would consist of a thin film with physically continuous and vertically aligned nanopores and would display a narrow distribution of pore sizes. However, the current state of the art departs considerably from this ideal and is beset by intrinsic trade-offs between permeability and selectivity. We demonstrate an effective and scalable method to fabricate polymer films with ideal membrane morphologies consisting of submicron thickness films with physically continuous and vertically aligned 1 nm pores. The approach is based on soft confinement to control the orientation of a cross-linkable mesophase in which the pores are produced by self-assembly. The scalability, exceptional ease of fabrication, and potential to create a new class of nanofiltration membranes stand out as compelling aspects.","author":[{"dropping-particle":"","family":"Feng","given":"Xunda","non-dropping-particle":"","parse-names":false,"suffix":""},{"dropping-particle":"","family":"Nejati","given":"Siamak","non-dropping-particle":"","parse-names":false,"suffix":""},{"dropping-particle":"","family":"Cowan","given":"Matthew G.","non-dropping-particle":"","parse-names":false,"suffix":""},{"dropping-particle":"","family":"Tousley","given":"Marissa E.","non-dropping-particle":"","parse-names":false,"suffix":""},{"dropping-particle":"","family":"Wiesenauer","given":"Brian R.","non-dropping-particle":"","parse-names":false,"suffix":""},{"dropping-particle":"","family":"Noble","given":"Richard D.","non-dropping-particle":"","parse-names":false,"suffix":""},{"dropping-particle":"","family":"Elimelech","given":"Menachem","non-dropping-particle":"","parse-names":false,"suffix":""},{"dropping-particle":"","family":"Gin","given":"Douglas L.","non-dropping-particle":"","parse-names":false,"suffix":""},{"dropping-particle":"","family":"Osuji","given":"Chinedum O.","non-dropping-particle":"","parse-names":false,"suffix":""}],"container-title":"ACS Nano","id":"ITEM-1","issue":"1","issued":{"date-parts":[["2016"]]},"page":"150-158","title":"Thin polymer films with continuous vertically aligned 1 nm pores fabricated by soft confinement","type":"article-journal","volume":"10"},"uris":["http://www.mendeley.com/documents/?uuid=86ca82d7-35f9-4c10-8a5c-efb657639752"]}],"mendeley":{"formattedCitation":"&lt;sup&gt;176&lt;/sup&gt;","plainTextFormattedCitation":"176","previouslyFormattedCitation":"&lt;sup&gt;176&lt;/sup&gt;"},"properties":{"noteIndex":0},"schema":"https://github.com/citation-style-language/schema/raw/master/csl-citation.json"}</w:instrText>
      </w:r>
      <w:r w:rsidRPr="006D631C">
        <w:rPr>
          <w:rFonts w:asciiTheme="majorBidi" w:hAnsiTheme="majorBidi" w:cstheme="majorBidi"/>
        </w:rPr>
        <w:fldChar w:fldCharType="separate"/>
      </w:r>
      <w:r w:rsidR="00FC0A93" w:rsidRPr="006D631C">
        <w:rPr>
          <w:rFonts w:asciiTheme="majorBidi" w:hAnsiTheme="majorBidi" w:cstheme="majorBidi"/>
          <w:noProof/>
          <w:vertAlign w:val="superscript"/>
        </w:rPr>
        <w:t>176</w:t>
      </w:r>
      <w:r w:rsidRPr="006D631C">
        <w:rPr>
          <w:rFonts w:asciiTheme="majorBidi" w:hAnsiTheme="majorBidi" w:cstheme="majorBidi"/>
        </w:rPr>
        <w:fldChar w:fldCharType="end"/>
      </w:r>
      <w:r w:rsidRPr="006D631C">
        <w:rPr>
          <w:rFonts w:asciiTheme="majorBidi" w:hAnsiTheme="majorBidi" w:cstheme="majorBidi"/>
        </w:rPr>
        <w:t xml:space="preserve"> There are also examples in literature utilizing surface anchoring techniques to align lyotropic </w:t>
      </w:r>
      <w:proofErr w:type="spellStart"/>
      <w:r w:rsidRPr="006D631C">
        <w:rPr>
          <w:rFonts w:asciiTheme="majorBidi" w:hAnsiTheme="majorBidi" w:cstheme="majorBidi"/>
        </w:rPr>
        <w:t>chromonic</w:t>
      </w:r>
      <w:proofErr w:type="spellEnd"/>
      <w:r w:rsidRPr="006D631C">
        <w:rPr>
          <w:rFonts w:asciiTheme="majorBidi" w:hAnsiTheme="majorBidi" w:cstheme="majorBidi"/>
        </w:rPr>
        <w:t xml:space="preserve"> liquid crystal phases.</w:t>
      </w:r>
      <w:r w:rsidRPr="006D631C">
        <w:rPr>
          <w:rFonts w:asciiTheme="majorBidi" w:hAnsiTheme="majorBidi" w:cstheme="majorBidi"/>
        </w:rPr>
        <w:fldChar w:fldCharType="begin" w:fldLock="1"/>
      </w:r>
      <w:r w:rsidR="00D54AEE" w:rsidRPr="006D631C">
        <w:rPr>
          <w:rFonts w:asciiTheme="majorBidi" w:hAnsiTheme="majorBidi" w:cstheme="majorBidi"/>
        </w:rPr>
        <w:instrText>ADDIN CSL_CITATION {"citationItems":[{"id":"ITEM-1","itemData":{"DOI":"10.1021/acsami.9b12943","ISSN":"1944-8244","author":[{"dropping-particle":"","family":"Guo","given":"Yubing","non-dropping-particle":"","parse-names":false,"suffix":""},{"dropping-particle":"","family":"Shahsavan","given":"Hamed","non-dropping-particle":"","parse-names":false,"suffix":""},{"dropping-particle":"","family":"Davidson","given":"Zoey S.","non-dropping-particle":"","parse-names":false,"suffix":""},{"dropping-particle":"","family":"Sitti","given":"Metin","non-dropping-particle":"","parse-names":false,"suffix":""}],"container-title":"ACS Applied Materials &amp; Interfaces","id":"ITEM-1","issue":"39","issued":{"date-parts":[["2019","10","2"]]},"page":"36110-36117","title":"Precise Control of Lyotropic Chromonic Liquid Crystal Alignment through Surface Topography","type":"article-journal","volume":"11"},"uris":["http://www.mendeley.com/documents/?uuid=87318a7e-75fb-44cc-9ff2-fd68de7dcad6"]}],"mendeley":{"formattedCitation":"&lt;sup&gt;177&lt;/sup&gt;","plainTextFormattedCitation":"177","previouslyFormattedCitation":"&lt;sup&gt;177&lt;/sup&gt;"},"properties":{"noteIndex":0},"schema":"https://github.com/citation-style-language/schema/raw/master/csl-citation.json"}</w:instrText>
      </w:r>
      <w:r w:rsidRPr="006D631C">
        <w:rPr>
          <w:rFonts w:asciiTheme="majorBidi" w:hAnsiTheme="majorBidi" w:cstheme="majorBidi"/>
        </w:rPr>
        <w:fldChar w:fldCharType="separate"/>
      </w:r>
      <w:r w:rsidR="00FC0A93" w:rsidRPr="006D631C">
        <w:rPr>
          <w:rFonts w:asciiTheme="majorBidi" w:hAnsiTheme="majorBidi" w:cstheme="majorBidi"/>
          <w:noProof/>
          <w:vertAlign w:val="superscript"/>
        </w:rPr>
        <w:t>177</w:t>
      </w:r>
      <w:r w:rsidRPr="006D631C">
        <w:rPr>
          <w:rFonts w:asciiTheme="majorBidi" w:hAnsiTheme="majorBidi" w:cstheme="majorBidi"/>
        </w:rPr>
        <w:fldChar w:fldCharType="end"/>
      </w:r>
      <w:r w:rsidRPr="006D631C">
        <w:t xml:space="preserve"> </w:t>
      </w:r>
      <w:r w:rsidRPr="006D631C">
        <w:rPr>
          <w:rFonts w:asciiTheme="majorBidi" w:hAnsiTheme="majorBidi" w:cstheme="majorBidi"/>
        </w:rPr>
        <w:t>It stands to reason that surface anchoring-based alignment techniques can be utilized to resolve the alignment issues for H</w:t>
      </w:r>
      <w:r w:rsidRPr="006D631C">
        <w:rPr>
          <w:rFonts w:asciiTheme="majorBidi" w:hAnsiTheme="majorBidi" w:cstheme="majorBidi"/>
          <w:vertAlign w:val="subscript"/>
        </w:rPr>
        <w:t>2</w:t>
      </w:r>
      <w:r w:rsidRPr="006D631C">
        <w:rPr>
          <w:rFonts w:asciiTheme="majorBidi" w:hAnsiTheme="majorBidi" w:cstheme="majorBidi"/>
        </w:rPr>
        <w:t xml:space="preserve"> and L</w:t>
      </w:r>
      <w:r w:rsidRPr="006D631C">
        <w:rPr>
          <w:rFonts w:asciiTheme="majorBidi" w:hAnsiTheme="majorBidi" w:cstheme="majorBidi"/>
          <w:vertAlign w:val="subscript"/>
        </w:rPr>
        <w:t>α</w:t>
      </w:r>
      <w:r w:rsidRPr="006D631C">
        <w:rPr>
          <w:rFonts w:asciiTheme="majorBidi" w:hAnsiTheme="majorBidi" w:cstheme="majorBidi"/>
        </w:rPr>
        <w:t xml:space="preserve"> LLC structures. Foudazi </w:t>
      </w:r>
      <w:proofErr w:type="gramStart"/>
      <w:r w:rsidRPr="006D631C">
        <w:rPr>
          <w:rFonts w:asciiTheme="majorBidi" w:hAnsiTheme="majorBidi" w:cstheme="majorBidi"/>
        </w:rPr>
        <w:t>et</w:t>
      </w:r>
      <w:proofErr w:type="gramEnd"/>
      <w:r w:rsidRPr="006D631C">
        <w:rPr>
          <w:rFonts w:asciiTheme="majorBidi" w:hAnsiTheme="majorBidi" w:cstheme="majorBidi"/>
        </w:rPr>
        <w:t>. al. have also shown that it is possible to induce the alignment in LLCs simply via applying large amplitude oscillatory shear, although further studies are still required.</w:t>
      </w:r>
      <w:r w:rsidRPr="006D631C">
        <w:rPr>
          <w:rFonts w:asciiTheme="majorBidi" w:hAnsiTheme="majorBidi" w:cstheme="majorBidi"/>
        </w:rPr>
        <w:fldChar w:fldCharType="begin" w:fldLock="1"/>
      </w:r>
      <w:r w:rsidR="00D54AEE" w:rsidRPr="006D631C">
        <w:rPr>
          <w:rFonts w:asciiTheme="majorBidi" w:hAnsiTheme="majorBidi" w:cstheme="majorBidi"/>
        </w:rPr>
        <w:instrText>ADDIN CSL_CITATION {"citationItems":[{"id":"ITEM-1","itemData":{"DOI":"10.1007/s00397-019-01162-y","ISSN":"0035-4511","abstract":"Self-assembly of block copolymers in the presence of solvents forms ordered mesophase structures, also known as lyotropic liquid crystals (LLCs). The aim of this work is to investigate the rheological properties of Pluronic block copolymer/water/oil mesophases with lamellar and hexagonal structures. The flow behavior of lamellar and hexagonal mesophases indicates that they have yield stress. Oscillatory shear experiments show that mesophases have solid-like behavior and exhibit type III non-linear behavior. The elastic modulus of mesophases is probably controlled by the van der Waals interaction between micelles. We suggest that at relatively low frequencies, defects control the rheological behavior of LLCs, while at high frequencies, the contributions in micellar scale are dominant. Applying high strains on the LLCs induces two relaxation times after cessation of flow, decreases the storage modulus in the whole frequency range, and decreases the loss modulus in small-frequency regime with negligible effect at high frequencies. The decrease in moduli is reversible and the system relaxes back to its original elastic modulus at rest. The observed behavior can be attributed to the elimination of defects under high strains and their re-formation during long enough rest times.","author":[{"dropping-particle":"","family":"Qavi","given":"Sahar","non-dropping-particle":"","parse-names":false,"suffix":""},{"dropping-particle":"","family":"Foudazi","given":"Reza","non-dropping-particle":"","parse-names":false,"suffix":""}],"container-title":"Rheologica Acta","id":"ITEM-1","issue":"8","issued":{"date-parts":[["2019","8","31"]]},"page":"483-498","title":"Rheological characteristics of mesophases of block copolymer solutions","type":"article-journal","volume":"58"},"uris":["http://www.mendeley.com/documents/?uuid=c97ded4e-5292-4962-b3cb-d3d5b2bd061e"]},{"id":"ITEM-2","itemData":{"DOI":"10.1002/pol.20210440","ISSN":"2642-4150","author":[{"dropping-particle":"","family":"Bandegi","given":"Alireza","non-dropping-particle":"","parse-names":false,"suffix":""},{"dropping-particle":"","family":"Kim","given":"Kyungtae","non-dropping-particle":"","parse-names":false,"suffix":""},{"dropping-particle":"","family":"Foudazi","given":"Reza","non-dropping-particle":"","parse-names":false,"suffix":""}],"container-title":"Journal of Polymer Science","id":"ITEM-2","issue":"20","issued":{"date-parts":[["2021","10","15"]]},"page":"2334-2344","title":"Ion transport in polymerized lyotropic liquid crystals containing ionic liquid","type":"article-journal","volume":"59"},"uris":["http://www.mendeley.com/documents/?uuid=46e6f02d-24d9-465c-b1a5-25782cb4f4ce"]}],"mendeley":{"formattedCitation":"&lt;sup&gt;148,178&lt;/sup&gt;","plainTextFormattedCitation":"148,178","previouslyFormattedCitation":"&lt;sup&gt;148,178&lt;/sup&gt;"},"properties":{"noteIndex":0},"schema":"https://github.com/citation-style-language/schema/raw/master/csl-citation.json"}</w:instrText>
      </w:r>
      <w:r w:rsidRPr="006D631C">
        <w:rPr>
          <w:rFonts w:asciiTheme="majorBidi" w:hAnsiTheme="majorBidi" w:cstheme="majorBidi"/>
        </w:rPr>
        <w:fldChar w:fldCharType="separate"/>
      </w:r>
      <w:r w:rsidR="00D54AEE" w:rsidRPr="006D631C">
        <w:rPr>
          <w:rFonts w:asciiTheme="majorBidi" w:hAnsiTheme="majorBidi" w:cstheme="majorBidi"/>
          <w:noProof/>
          <w:vertAlign w:val="superscript"/>
        </w:rPr>
        <w:t>148,178</w:t>
      </w:r>
      <w:r w:rsidRPr="006D631C">
        <w:rPr>
          <w:rFonts w:asciiTheme="majorBidi" w:hAnsiTheme="majorBidi" w:cstheme="majorBidi"/>
        </w:rPr>
        <w:fldChar w:fldCharType="end"/>
      </w:r>
      <w:r w:rsidRPr="006D631C">
        <w:rPr>
          <w:rFonts w:asciiTheme="majorBidi" w:hAnsiTheme="majorBidi" w:cstheme="majorBidi"/>
        </w:rPr>
        <w:t xml:space="preserve"> </w:t>
      </w:r>
    </w:p>
    <w:p w14:paraId="698A9017" w14:textId="3EF53BB0" w:rsidR="00172905" w:rsidRPr="006D631C" w:rsidRDefault="004D3692" w:rsidP="00FC097E">
      <w:pPr>
        <w:tabs>
          <w:tab w:val="left" w:pos="1418"/>
        </w:tabs>
        <w:ind w:firstLine="357"/>
        <w:rPr>
          <w:rFonts w:asciiTheme="majorBidi" w:hAnsiTheme="majorBidi" w:cstheme="majorBidi"/>
        </w:rPr>
      </w:pPr>
      <w:r w:rsidRPr="006D631C">
        <w:rPr>
          <w:rFonts w:asciiTheme="majorBidi" w:hAnsiTheme="majorBidi" w:cstheme="majorBidi"/>
        </w:rPr>
        <w:lastRenderedPageBreak/>
        <w:t>The typical molecular wei</w:t>
      </w:r>
      <w:r w:rsidR="00BA12E3" w:rsidRPr="006D631C">
        <w:rPr>
          <w:rFonts w:asciiTheme="majorBidi" w:hAnsiTheme="majorBidi" w:cstheme="majorBidi"/>
        </w:rPr>
        <w:t xml:space="preserve">ght range of the </w:t>
      </w:r>
      <w:proofErr w:type="spellStart"/>
      <w:r w:rsidR="00BA12E3" w:rsidRPr="006D631C">
        <w:rPr>
          <w:rFonts w:asciiTheme="majorBidi" w:hAnsiTheme="majorBidi" w:cstheme="majorBidi"/>
        </w:rPr>
        <w:t>amphiphiles</w:t>
      </w:r>
      <w:proofErr w:type="spellEnd"/>
      <w:r w:rsidR="00BA12E3" w:rsidRPr="006D631C">
        <w:rPr>
          <w:rFonts w:asciiTheme="majorBidi" w:hAnsiTheme="majorBidi" w:cstheme="majorBidi"/>
        </w:rPr>
        <w:t xml:space="preserve"> (&lt;</w:t>
      </w:r>
      <w:r w:rsidRPr="006D631C">
        <w:rPr>
          <w:rFonts w:asciiTheme="majorBidi" w:hAnsiTheme="majorBidi" w:cstheme="majorBidi"/>
        </w:rPr>
        <w:t xml:space="preserve">2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discussed in this </w:t>
      </w:r>
      <w:r w:rsidR="00AA6D0D" w:rsidRPr="006D631C">
        <w:rPr>
          <w:rFonts w:asciiTheme="majorBidi" w:hAnsiTheme="majorBidi" w:cstheme="majorBidi"/>
        </w:rPr>
        <w:t>chapter</w:t>
      </w:r>
      <w:r w:rsidRPr="006D631C">
        <w:rPr>
          <w:rFonts w:asciiTheme="majorBidi" w:hAnsiTheme="majorBidi" w:cstheme="majorBidi"/>
        </w:rPr>
        <w:t xml:space="preserve"> necessarily limits the feature sizes of their lyotropic mesophases to the sub-10-nm, and more typically the sub-5-nm regime. Recent advances in block-copolymer self-assembly have enabled BCP systems which exhibit s</w:t>
      </w:r>
      <w:r w:rsidR="004C3420" w:rsidRPr="006D631C">
        <w:rPr>
          <w:rFonts w:asciiTheme="majorBidi" w:hAnsiTheme="majorBidi" w:cstheme="majorBidi"/>
        </w:rPr>
        <w:t>elf-assembled features in the 5-</w:t>
      </w:r>
      <w:r w:rsidRPr="006D631C">
        <w:rPr>
          <w:rFonts w:asciiTheme="majorBidi" w:hAnsiTheme="majorBidi" w:cstheme="majorBidi"/>
        </w:rPr>
        <w:t>10 nm range</w:t>
      </w:r>
      <w:r w:rsidR="00F32CE4" w:rsidRPr="006D631C">
        <w:rPr>
          <w:rFonts w:asciiTheme="majorBidi" w:hAnsiTheme="majorBidi" w:cstheme="majorBidi"/>
        </w:rPr>
        <w:t xml:space="preserve">. Therefore, </w:t>
      </w:r>
      <w:r w:rsidRPr="006D631C">
        <w:rPr>
          <w:rFonts w:asciiTheme="majorBidi" w:hAnsiTheme="majorBidi" w:cstheme="majorBidi"/>
        </w:rPr>
        <w:t xml:space="preserve">a continuous spectrum of options </w:t>
      </w:r>
      <w:r w:rsidR="00F32CE4" w:rsidRPr="006D631C">
        <w:rPr>
          <w:rFonts w:asciiTheme="majorBidi" w:hAnsiTheme="majorBidi" w:cstheme="majorBidi"/>
        </w:rPr>
        <w:t xml:space="preserve">is provided </w:t>
      </w:r>
      <w:r w:rsidRPr="006D631C">
        <w:rPr>
          <w:rFonts w:asciiTheme="majorBidi" w:hAnsiTheme="majorBidi" w:cstheme="majorBidi"/>
        </w:rPr>
        <w:t>for fabrication of self-assembled m</w:t>
      </w:r>
      <w:r w:rsidR="00FC097E" w:rsidRPr="006D631C">
        <w:rPr>
          <w:rFonts w:asciiTheme="majorBidi" w:hAnsiTheme="majorBidi" w:cstheme="majorBidi"/>
        </w:rPr>
        <w:t>aterials with features in the 1</w:t>
      </w:r>
      <w:r w:rsidRPr="006D631C">
        <w:rPr>
          <w:rFonts w:asciiTheme="majorBidi" w:hAnsiTheme="majorBidi" w:cstheme="majorBidi"/>
        </w:rPr>
        <w:t>-5 nm range templated by polyLLC, and features larger than 5 nm enabled by BCP micro-phase segregation. However, there are at least two approaches based on lyotropic liquid-crystalline materials to obtain features sizes near- and beyond-10 nm.</w:t>
      </w:r>
    </w:p>
    <w:p w14:paraId="69B32196" w14:textId="18E4EC19" w:rsidR="00797827" w:rsidRPr="006D631C" w:rsidRDefault="00797827" w:rsidP="006A1F59">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The first of these approaches relies on so-called ‘giant surfactants’ or ‘shape </w:t>
      </w:r>
      <w:proofErr w:type="spellStart"/>
      <w:r w:rsidRPr="006D631C">
        <w:rPr>
          <w:rFonts w:asciiTheme="majorBidi" w:hAnsiTheme="majorBidi" w:cstheme="majorBidi"/>
        </w:rPr>
        <w:t>amphiphiles</w:t>
      </w:r>
      <w:proofErr w:type="spellEnd"/>
      <w:r w:rsidRPr="006D631C">
        <w:rPr>
          <w:rFonts w:asciiTheme="majorBidi" w:hAnsiTheme="majorBidi" w:cstheme="majorBidi"/>
        </w:rPr>
        <w:t xml:space="preserve">’, which are higher molecular weight analogues of small-molecule </w:t>
      </w:r>
      <w:proofErr w:type="spellStart"/>
      <w:r w:rsidRPr="006D631C">
        <w:rPr>
          <w:rFonts w:asciiTheme="majorBidi" w:hAnsiTheme="majorBidi" w:cstheme="majorBidi"/>
        </w:rPr>
        <w:t>amphiphiles</w:t>
      </w:r>
      <w:proofErr w:type="spellEnd"/>
      <w:r w:rsidRPr="006D631C">
        <w:rPr>
          <w:rFonts w:asciiTheme="majorBidi" w:hAnsiTheme="majorBidi" w:cstheme="majorBidi"/>
        </w:rPr>
        <w:t>. As summarized by Yue et al,</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10.1039/C2PY20881D","ISSN":"1759-9954","author":[{"dropping-particle":"","family":"Yue","given":"Kan","non-dropping-particle":"","parse-names":false,"suffix":""},{"dropping-particle":"","family":"Liu","given":"Chang","non-dropping-particle":"","parse-names":false,"suffix":""},{"dropping-particle":"","family":"Guo","given":"Kai","non-dropping-particle":"","parse-names":false,"suffix":""},{"dropping-particle":"","family":"Wu","given":"Kan","non-dropping-particle":"","parse-names":false,"suffix":""},{"dropping-particle":"","family":"Dong","given":"Xue-Hui","non-dropping-particle":"","parse-names":false,"suffix":""},{"dropping-particle":"","family":"Liu","given":"Hao","non-dropping-particle":"","parse-names":false,"suffix":""},{"dropping-particle":"","family":"Huang","given":"Mingjun","non-dropping-particle":"","parse-names":false,"suffix":""},{"dropping-particle":"","family":"Wesdemiotis","given":"Chrys","non-dropping-particle":"","parse-names":false,"suffix":""},{"dropping-particle":"","family":"Cheng","given":"Stephen Z. D.","non-dropping-particle":"","parse-names":false,"suffix":""},{"dropping-particle":"","family":"Zhang","given":"Wen-Bin","non-dropping-particle":"","parse-names":false,"suffix":""}],"container-title":"Polym. Chem.","id":"ITEM-1","issue":"4","issued":{"date-parts":[["2013"]]},"page":"1056-1067","title":"Exploring shape amphiphiles beyond giant surfactants: molecular design and click synthesis","type":"article-journal","volume":"4"},"uris":["http://www.mendeley.com/documents/?uuid=674829e1-3ce7-4ba5-b743-769d68634f3d"]}],"mendeley":{"formattedCitation":"&lt;sup&gt;179&lt;/sup&gt;","plainTextFormattedCitation":"179","previouslyFormattedCitation":"&lt;sup&gt;179&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179</w:t>
      </w:r>
      <w:r w:rsidRPr="006D631C">
        <w:rPr>
          <w:rFonts w:asciiTheme="majorBidi" w:hAnsiTheme="majorBidi" w:cstheme="majorBidi"/>
        </w:rPr>
        <w:fldChar w:fldCharType="end"/>
      </w:r>
      <w:r w:rsidRPr="006D631C">
        <w:rPr>
          <w:rFonts w:asciiTheme="majorBidi" w:hAnsiTheme="majorBidi" w:cstheme="majorBidi"/>
        </w:rPr>
        <w:t xml:space="preserve"> giant surfactant analogous can be synthesized to mirror their lower-MW polyLLC counterparts in terms of architecture i.e. single-</w:t>
      </w:r>
      <w:proofErr w:type="spellStart"/>
      <w:r w:rsidRPr="006D631C">
        <w:rPr>
          <w:rFonts w:asciiTheme="majorBidi" w:hAnsiTheme="majorBidi" w:cstheme="majorBidi"/>
        </w:rPr>
        <w:t>headgroup</w:t>
      </w:r>
      <w:proofErr w:type="spellEnd"/>
      <w:r w:rsidRPr="006D631C">
        <w:rPr>
          <w:rFonts w:asciiTheme="majorBidi" w:hAnsiTheme="majorBidi" w:cstheme="majorBidi"/>
        </w:rPr>
        <w:t xml:space="preserve"> single-tail, single-</w:t>
      </w:r>
      <w:proofErr w:type="spellStart"/>
      <w:r w:rsidRPr="006D631C">
        <w:rPr>
          <w:rFonts w:asciiTheme="majorBidi" w:hAnsiTheme="majorBidi" w:cstheme="majorBidi"/>
        </w:rPr>
        <w:t>headgroup</w:t>
      </w:r>
      <w:proofErr w:type="spellEnd"/>
      <w:r w:rsidRPr="006D631C">
        <w:rPr>
          <w:rFonts w:asciiTheme="majorBidi" w:hAnsiTheme="majorBidi" w:cstheme="majorBidi"/>
        </w:rPr>
        <w:t xml:space="preserve"> multiple tail, </w:t>
      </w:r>
      <w:proofErr w:type="spellStart"/>
      <w:r w:rsidRPr="006D631C">
        <w:rPr>
          <w:rFonts w:asciiTheme="majorBidi" w:hAnsiTheme="majorBidi" w:cstheme="majorBidi"/>
        </w:rPr>
        <w:t>bolaform</w:t>
      </w:r>
      <w:proofErr w:type="spellEnd"/>
      <w:r w:rsidRPr="006D631C">
        <w:rPr>
          <w:rFonts w:asciiTheme="majorBidi" w:hAnsiTheme="majorBidi" w:cstheme="majorBidi"/>
        </w:rPr>
        <w:t xml:space="preserve"> architecture, gemini architecture and beyond. Typically, the </w:t>
      </w:r>
      <w:proofErr w:type="spellStart"/>
      <w:r w:rsidRPr="006D631C">
        <w:rPr>
          <w:rFonts w:asciiTheme="majorBidi" w:hAnsiTheme="majorBidi" w:cstheme="majorBidi"/>
        </w:rPr>
        <w:t>headgroup</w:t>
      </w:r>
      <w:proofErr w:type="spellEnd"/>
      <w:r w:rsidRPr="006D631C">
        <w:rPr>
          <w:rFonts w:asciiTheme="majorBidi" w:hAnsiTheme="majorBidi" w:cstheme="majorBidi"/>
        </w:rPr>
        <w:t xml:space="preserve"> consists of a large ‘cage’ like structure, sometimes termed a molecular nanoparticle (MNP). MNP </w:t>
      </w:r>
      <w:proofErr w:type="spellStart"/>
      <w:r w:rsidRPr="006D631C">
        <w:rPr>
          <w:rFonts w:asciiTheme="majorBidi" w:hAnsiTheme="majorBidi" w:cstheme="majorBidi"/>
        </w:rPr>
        <w:t>headgroups</w:t>
      </w:r>
      <w:proofErr w:type="spellEnd"/>
      <w:r w:rsidRPr="006D631C">
        <w:rPr>
          <w:rFonts w:asciiTheme="majorBidi" w:hAnsiTheme="majorBidi" w:cstheme="majorBidi"/>
        </w:rPr>
        <w:t xml:space="preserve"> in giant surfactant literature</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10.1002/polb.23571","ISSN":"08876266","author":[{"dropping-particle":"","family":"Yu","given":"Xinfei","non-dropping-particle":"","parse-names":false,"suffix":""},{"dropping-particle":"","family":"Li","given":"Yiwen","non-dropping-particle":"","parse-names":false,"suffix":""},{"dropping-particle":"","family":"Dong","given":"Xue-Hui","non-dropping-particle":"","parse-names":false,"suffix":""},{"dropping-particle":"","family":"Yue","given":"Kan","non-dropping-particle":"","parse-names":false,"suffix":""},{"dropping-particle":"","family":"Lin","given":"Zhiwei","non-dropping-particle":"","parse-names":false,"suffix":""},{"dropping-particle":"","family":"Feng","given":"Xueyan","non-dropping-particle":"","parse-names":false,"suffix":""},{"dropping-particle":"","family":"Huang","given":"Mingjun","non-dropping-particle":"","parse-names":false,"suffix":""},{"dropping-particle":"","family":"Zhang","given":"Wen-Bin","non-dropping-particle":"","parse-names":false,"suffix":""},{"dropping-particle":"","family":"Cheng","given":"Stephen Z. D.","non-dropping-particle":"","parse-names":false,"suffix":""}],"container-title":"Journal of Polymer Science Part B: Polymer Physics","id":"ITEM-1","issue":"20","issued":{"date-parts":[["2014","10","15"]]},"page":"1309-1325","title":"Giant surfactants based on molecular nanoparticles: Precise synthesis and solution self-assembly","type":"article-journal","volume":"52"},"uris":["http://www.mendeley.com/documents/?uuid=57ed3290-e501-47fb-958b-542d6a5e3e00"]}],"mendeley":{"formattedCitation":"&lt;sup&gt;180&lt;/sup&gt;","plainTextFormattedCitation":"180","previouslyFormattedCitation":"&lt;sup&gt;180&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180</w:t>
      </w:r>
      <w:r w:rsidRPr="006D631C">
        <w:rPr>
          <w:rFonts w:asciiTheme="majorBidi" w:hAnsiTheme="majorBidi" w:cstheme="majorBidi"/>
        </w:rPr>
        <w:fldChar w:fldCharType="end"/>
      </w:r>
      <w:r w:rsidRPr="006D631C">
        <w:rPr>
          <w:rFonts w:asciiTheme="majorBidi" w:hAnsiTheme="majorBidi" w:cstheme="majorBidi"/>
        </w:rPr>
        <w:t xml:space="preserve"> are most often fullerene or functionalized polyhedral </w:t>
      </w:r>
      <w:proofErr w:type="spellStart"/>
      <w:r w:rsidRPr="006D631C">
        <w:rPr>
          <w:rFonts w:asciiTheme="majorBidi" w:hAnsiTheme="majorBidi" w:cstheme="majorBidi"/>
        </w:rPr>
        <w:t>oligomeric</w:t>
      </w:r>
      <w:proofErr w:type="spellEnd"/>
      <w:r w:rsidRPr="006D631C">
        <w:rPr>
          <w:rFonts w:asciiTheme="majorBidi" w:hAnsiTheme="majorBidi" w:cstheme="majorBidi"/>
        </w:rPr>
        <w:t xml:space="preserve"> </w:t>
      </w:r>
      <w:proofErr w:type="spellStart"/>
      <w:r w:rsidRPr="006D631C">
        <w:rPr>
          <w:rFonts w:asciiTheme="majorBidi" w:hAnsiTheme="majorBidi" w:cstheme="majorBidi"/>
        </w:rPr>
        <w:t>silsesquioxane</w:t>
      </w:r>
      <w:proofErr w:type="spellEnd"/>
      <w:r w:rsidRPr="006D631C">
        <w:rPr>
          <w:rFonts w:asciiTheme="majorBidi" w:hAnsiTheme="majorBidi" w:cstheme="majorBidi"/>
        </w:rPr>
        <w:t xml:space="preserve"> (POSS) derivatives, although globular proteins</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{"citationItems":[{"id":"ITEM-1","itemData":{"DOI":"10.1021/ar800143a","ISSN":"0001-4842","author":[{"dropping-particle":"","family":"Reynhout","given":"Irene C.","non-dropping-particle":"","parse-names":false,"suffix":""},{"dropping-particle":"","family":"Cornelissen","given":"Jeroen J. L. M.","non-dropping-particle":"","parse-names":false,"suffix":""},{"dropping-particle":"","family":"Nolte","given":"Roeland J. M.","non-dropping-particle":"","parse-names":false,"suffix":""}],"container-title":"Accounts of Chemical Research","id":"ITEM-1","issue":"6","issued":{"date-parts":[["2009","6","16"]]},"page":"681-692","title":"Synthesis of Polymer−Biohybrids: From Small to Giant Surfactants","type":"article-journal","volume":"42"},"uris":["http://www.mendeley.com/documents/?uuid=572a0c1e-a7d9-43c5-acbf-7631fe83801c"]}],"mendeley":{"formattedCitation":"&lt;sup&gt;181&lt;/sup&gt;","plainTextFormattedCitation":"181","previouslyFormattedCitation":"&lt;sup&gt;181&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181</w:t>
      </w:r>
      <w:r w:rsidRPr="006D631C">
        <w:rPr>
          <w:rFonts w:asciiTheme="majorBidi" w:hAnsiTheme="majorBidi" w:cstheme="majorBidi"/>
        </w:rPr>
        <w:fldChar w:fldCharType="end"/>
      </w:r>
      <w:r w:rsidRPr="006D631C">
        <w:rPr>
          <w:rFonts w:asciiTheme="majorBidi" w:hAnsiTheme="majorBidi" w:cstheme="majorBidi"/>
        </w:rPr>
        <w:t xml:space="preserve"> can also be incorporated as the hydrophilic head-groups . The most commonly studied tails in the literature are polystyrene tails. Work by Yu et al</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10.1073/pnas.1302606110","ISSN":"0027-8424","author":[{"dropping-particle":"","family":"Yu","given":"X.","non-dropping-particle":"","parse-names":false,"suffix":""},{"dropping-particle":"","family":"Yue","given":"K.","non-dropping-particle":"","parse-names":false,"suffix":""},{"dropping-particle":"","family":"Hsieh","given":"I.-F.","non-dropping-particle":"","parse-names":false,"suffix":""},{"dropping-particle":"","family":"Li","given":"Y.","non-dropping-particle":"","parse-names":false,"suffix":""},{"dropping-particle":"","family":"Dong","given":"X.-H.","non-dropping-particle":"","parse-names":false,"suffix":""},{"dropping-particle":"","family":"Liu","given":"C.","non-dropping-particle":"","parse-names":false,"suffix":""},{"dropping-particle":"","family":"Xin","given":"Y.","non-dropping-particle":"","parse-names":false,"suffix":""},{"dropping-particle":"","family":"Wang","given":"H.-F.","non-dropping-particle":"","parse-names":false,"suffix":""},{"dropping-particle":"","family":"Shi","given":"A.-C.","non-dropping-particle":"","parse-names":false,"suffix":""},{"dropping-particle":"","family":"Newkome","given":"G. R.","non-dropping-particle":"","parse-names":false,"suffix":""},{"dropping-particle":"","family":"Ho","given":"R.-M.","non-dropping-particle":"","parse-names":false,"suffix":""},{"dropping-particle":"","family":"Chen","given":"E.-Q.","non-dropping-particle":"","parse-names":false,"suffix":""},{"dropping-particle":"","family":"Zhang","given":"W.-B.","non-dropping-particle":"","parse-names":false,"suffix":""},{"dropping-particle":"","family":"Cheng","given":"S. Z. D.","non-dropping-particle":"","parse-names":false,"suffix":""}],"container-title":"Proceedings of the National Academy of Sciences","id":"ITEM-1","issue":"25","issued":{"date-parts":[["2013","6","18"]]},"page":"10078-10083","title":"Giant surfactants provide a versatile platform for sub-10-nm nanostructure engineering","type":"article-journal","volume":"110"},"uris":["http://www.mendeley.com/documents/?uuid=3e37d63c-7f4a-400c-9260-51d3d6727614"]}],"mendeley":{"formattedCitation":"&lt;sup&gt;182&lt;/sup&gt;","plainTextFormattedCitation":"182","previouslyFormattedCitation":"&lt;sup&gt;182&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182</w:t>
      </w:r>
      <w:r w:rsidRPr="006D631C">
        <w:rPr>
          <w:rFonts w:asciiTheme="majorBidi" w:hAnsiTheme="majorBidi" w:cstheme="majorBidi"/>
        </w:rPr>
        <w:fldChar w:fldCharType="end"/>
      </w:r>
      <w:r w:rsidRPr="006D631C">
        <w:rPr>
          <w:rFonts w:asciiTheme="majorBidi" w:hAnsiTheme="majorBidi" w:cstheme="majorBidi"/>
        </w:rPr>
        <w:t xml:space="preserve"> has demonstrated that with appropriately designed chemical structures, POSS-PS giant surfactants can display most of the phases (micellar, lamellar, hexagonal, cubic) found in LLCs with 2 or 3 times larger periodicities i.e. 7 - 20 nm. Given the longer tail lengths and larger </w:t>
      </w:r>
      <w:proofErr w:type="spellStart"/>
      <w:r w:rsidRPr="006D631C">
        <w:rPr>
          <w:rFonts w:asciiTheme="majorBidi" w:hAnsiTheme="majorBidi" w:cstheme="majorBidi"/>
        </w:rPr>
        <w:t>headgroup</w:t>
      </w:r>
      <w:proofErr w:type="spellEnd"/>
      <w:r w:rsidRPr="006D631C">
        <w:rPr>
          <w:rFonts w:asciiTheme="majorBidi" w:hAnsiTheme="majorBidi" w:cstheme="majorBidi"/>
        </w:rPr>
        <w:t xml:space="preserve"> radii of giant surfactants compared to typical surfactants, the former provide</w:t>
      </w:r>
      <w:r w:rsidR="00F32CE4" w:rsidRPr="006D631C">
        <w:rPr>
          <w:rFonts w:asciiTheme="majorBidi" w:hAnsiTheme="majorBidi" w:cstheme="majorBidi"/>
        </w:rPr>
        <w:t>s</w:t>
      </w:r>
      <w:r w:rsidRPr="006D631C">
        <w:rPr>
          <w:rFonts w:asciiTheme="majorBidi" w:hAnsiTheme="majorBidi" w:cstheme="majorBidi"/>
        </w:rPr>
        <w:t xml:space="preserve"> many more atomic sites for targeted/localized synthetic modifications to increase functionality for advanced applications such as protein/</w:t>
      </w:r>
      <w:proofErr w:type="spellStart"/>
      <w:r w:rsidRPr="006D631C">
        <w:rPr>
          <w:rFonts w:asciiTheme="majorBidi" w:hAnsiTheme="majorBidi" w:cstheme="majorBidi"/>
        </w:rPr>
        <w:t>biomolecular</w:t>
      </w:r>
      <w:proofErr w:type="spellEnd"/>
      <w:r w:rsidRPr="006D631C">
        <w:rPr>
          <w:rFonts w:asciiTheme="majorBidi" w:hAnsiTheme="majorBidi" w:cstheme="majorBidi"/>
        </w:rPr>
        <w:t xml:space="preserve"> sensing platforms, although with the trade-off </w:t>
      </w:r>
      <w:r w:rsidRPr="006D631C">
        <w:rPr>
          <w:rFonts w:asciiTheme="majorBidi" w:hAnsiTheme="majorBidi" w:cstheme="majorBidi"/>
        </w:rPr>
        <w:lastRenderedPageBreak/>
        <w:t>of increased synthetic and purification complexity. In principle, the additional functional sites afforded by the larger molecular size could be utilized to incorporate unsaturated bonds/cross-linking sites in giant surfactant molecules. In one case,</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{"citationItems":[{"id":"ITEM-1","itemData":{"DOI":"10.1039/C9TC00422J","ISSN":"2050-7526","abstract":"Liquid crystal molecules were automatically aligned by not only morphological anisotropy but also chemical interaction.","author":[{"dropping-particle":"","family":"Yoon","given":"Won-Jin","non-dropping-particle":"","parse-names":false,"suffix":""},{"dropping-particle":"","family":"Lee","given":"Kyung Min","non-dropping-particle":"","parse-names":false,"suffix":""},{"dropping-particle":"","family":"Evans","given":"Dean R.","non-dropping-particle":"","parse-names":false,"suffix":""},{"dropping-particle":"","family":"McConney","given":"Michael E.","non-dropping-particle":"","parse-names":false,"suffix":""},{"dropping-particle":"","family":"Kim","given":"Dae-Yoon","non-dropping-particle":"","parse-names":false,"suffix":""},{"dropping-particle":"","family":"Jeong","given":"Kwang-Un","non-dropping-particle":"","parse-names":false,"suffix":""}],"container-title":"Journal of Materials Chemistry C","id":"ITEM-1","issue":"28","issued":{"date-parts":[["2019"]]},"page":"8500-8514","title":"Giant surfactants for the construction of automatic liquid crystal alignment layers","type":"article-journal","volume":"7"},"uris":["http://www.mendeley.com/documents/?uuid=e30276dc-74f1-4d89-952c-eff6eb008fa7"]}],"mendeley":{"formattedCitation":"&lt;sup&gt;183&lt;/sup&gt;","plainTextFormattedCitation":"183","previouslyFormattedCitation":"&lt;sup&gt;183&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183</w:t>
      </w:r>
      <w:r w:rsidRPr="006D631C">
        <w:rPr>
          <w:rFonts w:asciiTheme="majorBidi" w:hAnsiTheme="majorBidi" w:cstheme="majorBidi"/>
        </w:rPr>
        <w:fldChar w:fldCharType="end"/>
      </w:r>
      <w:r w:rsidRPr="006D631C">
        <w:rPr>
          <w:rFonts w:asciiTheme="majorBidi" w:hAnsiTheme="majorBidi" w:cstheme="majorBidi"/>
        </w:rPr>
        <w:t xml:space="preserve"> a methacrylate cross-linker based on the giant surfactant </w:t>
      </w:r>
      <w:proofErr w:type="spellStart"/>
      <w:r w:rsidRPr="006D631C">
        <w:rPr>
          <w:rFonts w:asciiTheme="majorBidi" w:hAnsiTheme="majorBidi" w:cstheme="majorBidi"/>
        </w:rPr>
        <w:t>headgroup</w:t>
      </w:r>
      <w:proofErr w:type="spellEnd"/>
      <w:r w:rsidRPr="006D631C">
        <w:rPr>
          <w:rFonts w:asciiTheme="majorBidi" w:hAnsiTheme="majorBidi" w:cstheme="majorBidi"/>
        </w:rPr>
        <w:t xml:space="preserve"> (M-POSS) was utilized for phase preservation in a small-molecule </w:t>
      </w:r>
      <w:proofErr w:type="spellStart"/>
      <w:r w:rsidRPr="006D631C">
        <w:rPr>
          <w:rFonts w:asciiTheme="majorBidi" w:hAnsiTheme="majorBidi" w:cstheme="majorBidi"/>
        </w:rPr>
        <w:t>amphiphile</w:t>
      </w:r>
      <w:proofErr w:type="spellEnd"/>
      <w:r w:rsidRPr="006D631C">
        <w:rPr>
          <w:rFonts w:asciiTheme="majorBidi" w:hAnsiTheme="majorBidi" w:cstheme="majorBidi"/>
        </w:rPr>
        <w:t xml:space="preserve"> mesophase. However, in general, there is very little work focusing on synergistic or transcriptive templating for giant surfactant mesophases </w:t>
      </w:r>
      <w:r w:rsidR="00F32CE4" w:rsidRPr="006D631C">
        <w:rPr>
          <w:rFonts w:asciiTheme="majorBidi" w:hAnsiTheme="majorBidi" w:cstheme="majorBidi"/>
        </w:rPr>
        <w:t>currently</w:t>
      </w:r>
      <w:r w:rsidRPr="006D631C">
        <w:rPr>
          <w:rFonts w:asciiTheme="majorBidi" w:hAnsiTheme="majorBidi" w:cstheme="majorBidi"/>
        </w:rPr>
        <w:t>.</w:t>
      </w:r>
    </w:p>
    <w:p w14:paraId="181C57DA" w14:textId="0316A35F" w:rsidR="00797827" w:rsidRPr="006D631C" w:rsidRDefault="00797827" w:rsidP="00FC56EA">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A second approach relies upon swelling of lyotropic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mesophases unit cell sizes by addition of charged lipids. </w:t>
      </w:r>
      <w:proofErr w:type="spellStart"/>
      <w:r w:rsidRPr="006D631C">
        <w:rPr>
          <w:rFonts w:asciiTheme="majorBidi" w:hAnsiTheme="majorBidi" w:cstheme="majorBidi"/>
        </w:rPr>
        <w:t>Angelov</w:t>
      </w:r>
      <w:proofErr w:type="spellEnd"/>
      <w:r w:rsidRPr="006D631C">
        <w:rPr>
          <w:rFonts w:asciiTheme="majorBidi" w:hAnsiTheme="majorBidi" w:cstheme="majorBidi"/>
        </w:rPr>
        <w:t xml:space="preserve"> et al</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10.1021/ja034578v","ISSN":"0002-7863","author":[{"dropping-particle":"","family":"Angelov","given":"Borislav","non-dropping-particle":"","parse-names":false,"suffix":""},{"dropping-particle":"","family":"Angelova","given":"Angelina","non-dropping-particle":"","parse-names":false,"suffix":""},{"dropping-particle":"","family":"Ollivon","given":"Michel","non-dropping-particle":"","parse-names":false,"suffix":""},{"dropping-particle":"","family":"Bourgaux","given":"Claudie","non-dropping-particle":"","parse-names":false,"suffix":""},{"dropping-particle":"","family":"Campitelli","given":"Andrew","non-dropping-particle":"","parse-names":false,"suffix":""}],"container-title":"Journal of the American Chemical Society","id":"ITEM-1","issue":"24","issued":{"date-parts":[["2003","6"]]},"page":"7188-7189","title":"Diamond-Type Lipid Cubic Phase with Large Water Channels","type":"article-journal","volume":"125"},"uris":["http://www.mendeley.com/documents/?uuid=13a06f3f-db7d-468b-aa99-4a076f695ae7"]}],"mendeley":{"formattedCitation":"&lt;sup&gt;184&lt;/sup&gt;","plainTextFormattedCitation":"184","previouslyFormattedCitation":"&lt;sup&gt;184&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184</w:t>
      </w:r>
      <w:r w:rsidRPr="006D631C">
        <w:rPr>
          <w:rFonts w:asciiTheme="majorBidi" w:hAnsiTheme="majorBidi" w:cstheme="majorBidi"/>
        </w:rPr>
        <w:fldChar w:fldCharType="end"/>
      </w:r>
      <w:r w:rsidRPr="006D631C">
        <w:rPr>
          <w:rFonts w:asciiTheme="majorBidi" w:hAnsiTheme="majorBidi" w:cstheme="majorBidi"/>
        </w:rPr>
        <w:t xml:space="preserve"> reported a 50% swelling in unit cell dimensions of a Diamond-type cubic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phase consisting of an aqueous </w:t>
      </w:r>
      <w:proofErr w:type="spellStart"/>
      <w:r w:rsidRPr="006D631C">
        <w:rPr>
          <w:rFonts w:asciiTheme="majorBidi" w:hAnsiTheme="majorBidi" w:cstheme="majorBidi"/>
        </w:rPr>
        <w:t>Monoolein</w:t>
      </w:r>
      <w:proofErr w:type="spellEnd"/>
      <w:r w:rsidRPr="006D631C">
        <w:rPr>
          <w:rFonts w:asciiTheme="majorBidi" w:hAnsiTheme="majorBidi" w:cstheme="majorBidi"/>
        </w:rPr>
        <w:t xml:space="preserve"> cubic phase swelled with a small amount of </w:t>
      </w:r>
      <w:proofErr w:type="spellStart"/>
      <w:r w:rsidRPr="006D631C">
        <w:rPr>
          <w:rFonts w:asciiTheme="majorBidi" w:hAnsiTheme="majorBidi" w:cstheme="majorBidi"/>
        </w:rPr>
        <w:t>octyl</w:t>
      </w:r>
      <w:proofErr w:type="spellEnd"/>
      <w:r w:rsidRPr="006D631C">
        <w:rPr>
          <w:rFonts w:asciiTheme="majorBidi" w:hAnsiTheme="majorBidi" w:cstheme="majorBidi"/>
        </w:rPr>
        <w:t xml:space="preserve">-glucoside, resulting in a lattice parameter of 15.3 nm. Work by the Brooks group has shown that increasing the formulation complexity of similar swollen mesophases of ternary lipid mixtures and beyond can yield even larger unit cell sizes and provide additional handles for controlling the unit cell spacing. </w:t>
      </w:r>
      <w:proofErr w:type="spellStart"/>
      <w:r w:rsidRPr="006D631C">
        <w:rPr>
          <w:rFonts w:asciiTheme="majorBidi" w:hAnsiTheme="majorBidi" w:cstheme="majorBidi"/>
        </w:rPr>
        <w:t>Barriga</w:t>
      </w:r>
      <w:proofErr w:type="spellEnd"/>
      <w:r w:rsidRPr="006D631C">
        <w:rPr>
          <w:rFonts w:asciiTheme="majorBidi" w:hAnsiTheme="majorBidi" w:cstheme="majorBidi"/>
        </w:rPr>
        <w:t xml:space="preserve"> and Tyler et al</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{"citationItems":[{"id":"ITEM-1","itemData":{"DOI":"10.1039/C4SM02343A","ISSN":"1744-683X","author":[{"dropping-particle":"","family":"Barriga","given":"H. M. G.","non-dropping-particle":"","parse-names":false,"suffix":""},{"dropping-particle":"","family":"Tyler","given":"A. I. I.","non-dropping-particle":"","parse-names":false,"suffix":""},{"dropping-particle":"","family":"McCarthy","given":"N. L. C.","non-dropping-particle":"","parse-names":false,"suffix":""},{"dropping-particle":"","family":"Parsons","given":"E. S.","non-dropping-particle":"","parse-names":false,"suffix":""},{"dropping-particle":"","family":"Ces","given":"O.","non-dropping-particle":"","parse-names":false,"suffix":""},{"dropping-particle":"V.","family":"Law","given":"R.","non-dropping-particle":"","parse-names":false,"suffix":""},{"dropping-particle":"","family":"Seddon","given":"J. M.","non-dropping-particle":"","parse-names":false,"suffix":""},{"dropping-particle":"","family":"Brooks","given":"N. J.","non-dropping-particle":"","parse-names":false,"suffix":""}],"container-title":"Soft Matter","id":"ITEM-1","issue":"3","issued":{"date-parts":[["2015"]]},"page":"600-607","title":"Temperature and pressure tuneable swollen bicontinuous cubic phases approaching nature's length scales","type":"article-journal","volume":"11"},"uris":["http://www.mendeley.com/documents/?uuid=1c1616eb-23fa-4858-bb7c-602b8243bc31"]}],"mendeley":{"formattedCitation":"&lt;sup&gt;185&lt;/sup&gt;","plainTextFormattedCitation":"185","previouslyFormattedCitation":"&lt;sup&gt;185&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185</w:t>
      </w:r>
      <w:r w:rsidRPr="006D631C">
        <w:rPr>
          <w:rFonts w:asciiTheme="majorBidi" w:hAnsiTheme="majorBidi" w:cstheme="majorBidi"/>
        </w:rPr>
        <w:fldChar w:fldCharType="end"/>
      </w:r>
      <w:r w:rsidRPr="006D631C">
        <w:rPr>
          <w:rFonts w:asciiTheme="majorBidi" w:hAnsiTheme="majorBidi" w:cstheme="majorBidi"/>
        </w:rPr>
        <w:t xml:space="preserve"> have shown that addition of cholesterol and charged lipids to </w:t>
      </w:r>
      <w:proofErr w:type="spellStart"/>
      <w:r w:rsidRPr="006D631C">
        <w:rPr>
          <w:rFonts w:asciiTheme="majorBidi" w:hAnsiTheme="majorBidi" w:cstheme="majorBidi"/>
        </w:rPr>
        <w:t>monoolein</w:t>
      </w:r>
      <w:proofErr w:type="spellEnd"/>
      <w:r w:rsidRPr="006D631C">
        <w:rPr>
          <w:rFonts w:asciiTheme="majorBidi" w:hAnsiTheme="majorBidi" w:cstheme="majorBidi"/>
        </w:rPr>
        <w:t xml:space="preserve">-water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phase swell the primitive cubic unit cell spacing from ~10 nm to nearly 50 nm, while also enabling pressure and temperature sensitivity in the phase to tune the unit cell parameter. In a follow up work,</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{"citationItems":[{"id":"ITEM-1","itemData":{"DOI":"10.1039/C5SM00311C","ISSN":"1744-683X","abstract":"We have constructed swollen bicontinuous cubic lipid phases from monoglyceride, anionic lipid and cholesterol. These self-assembled systems have lattice parameters of almost 50 nm, over 4 times larger than archetypal lipid cubic phases.","author":[{"dropping-particle":"","family":"Tyler","given":"Arwen I. I.","non-dropping-particle":"","parse-names":false,"suffix":""},{"dropping-particle":"","family":"Barriga","given":"Hanna M. G.","non-dropping-particle":"","parse-names":false,"suffix":""},{"dropping-particle":"","family":"Parsons","given":"Edward S.","non-dropping-particle":"","parse-names":false,"suffix":""},{"dropping-particle":"","family":"McCarthy","given":"Nicola L. C.","non-dropping-particle":"","parse-names":false,"suffix":""},{"dropping-particle":"","family":"Ces","given":"Oscar","non-dropping-particle":"","parse-names":false,"suffix":""},{"dropping-particle":"V.","family":"Law","given":"Robert","non-dropping-particle":"","parse-names":false,"suffix":""},{"dropping-particle":"","family":"Seddon","given":"John M.","non-dropping-particle":"","parse-names":false,"suffix":""},{"dropping-particle":"","family":"Brooks","given":"Nicholas J.","non-dropping-particle":"","parse-names":false,"suffix":""}],"container-title":"Soft Matter","id":"ITEM-1","issue":"16","issued":{"date-parts":[["2015"]]},"page":"3279-3286","title":"Electrostatic swelling of bicontinuous cubic lipid phases","type":"article-journal","volume":"11"},"uris":["http://www.mendeley.com/documents/?uuid=074110d4-5020-4030-b43c-eabd4beec406"]}],"mendeley":{"formattedCitation":"&lt;sup&gt;186&lt;/sup&gt;","plainTextFormattedCitation":"186","previouslyFormattedCitation":"&lt;sup&gt;186&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186</w:t>
      </w:r>
      <w:r w:rsidRPr="006D631C">
        <w:rPr>
          <w:rFonts w:asciiTheme="majorBidi" w:hAnsiTheme="majorBidi" w:cstheme="majorBidi"/>
        </w:rPr>
        <w:fldChar w:fldCharType="end"/>
      </w:r>
      <w:r w:rsidRPr="006D631C">
        <w:rPr>
          <w:rFonts w:asciiTheme="majorBidi" w:hAnsiTheme="majorBidi" w:cstheme="majorBidi"/>
        </w:rPr>
        <w:t xml:space="preserve"> they further elucidate the importance of the electrostatic stability imparted to the swelled cubic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phase by the added anionic lipid in the ternary mixture. This additional stability allows the mesophase to surpass the theoretically expected limit</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{"citationItems":[{"id":"ITEM-1","itemData":{"DOI":"10.1051/jp2:1992142","ISSN":"1155-4312","author":[{"dropping-particle":"","family":"Bruinsma","given":"R.","non-dropping-particle":"","parse-names":false,"suffix":""}],"container-title":"Journal de Physique II","id":"ITEM-1","issue":"3","issued":{"date-parts":[["1992","3"]]},"page":"425-451","title":"Elasticity and excitations of minimal crystals","type":"article-journal","volume":"2"},"uris":["http://www.mendeley.com/documents/?uuid=28e12296-fd8e-4e22-9073-d85b8204699c"]}],"mendeley":{"formattedCitation":"&lt;sup&gt;187&lt;/sup&gt;","plainTextFormattedCitation":"187","previouslyFormattedCitation":"&lt;sup&gt;187&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187</w:t>
      </w:r>
      <w:r w:rsidRPr="006D631C">
        <w:rPr>
          <w:rFonts w:asciiTheme="majorBidi" w:hAnsiTheme="majorBidi" w:cstheme="majorBidi"/>
        </w:rPr>
        <w:fldChar w:fldCharType="end"/>
      </w:r>
      <w:r w:rsidRPr="006D631C">
        <w:rPr>
          <w:rFonts w:asciiTheme="majorBidi" w:hAnsiTheme="majorBidi" w:cstheme="majorBidi"/>
        </w:rPr>
        <w:t xml:space="preserve"> of ~30 nm lattice parameter due to the effect of thermal oscillations. Recent work from Leal’s group has demonstrated even larger lattice cell parameters. In glycerol </w:t>
      </w:r>
      <w:proofErr w:type="spellStart"/>
      <w:r w:rsidRPr="006D631C">
        <w:rPr>
          <w:rFonts w:asciiTheme="majorBidi" w:hAnsiTheme="majorBidi" w:cstheme="majorBidi"/>
        </w:rPr>
        <w:t>monooleate</w:t>
      </w:r>
      <w:proofErr w:type="spellEnd"/>
      <w:r w:rsidRPr="006D631C">
        <w:rPr>
          <w:rFonts w:asciiTheme="majorBidi" w:hAnsiTheme="majorBidi" w:cstheme="majorBidi"/>
        </w:rPr>
        <w:t xml:space="preserve"> based mesophases,</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10.1073/pnas.1710774114","ISSN":"0027-8424","author":[{"dropping-particle":"","family":"Kim","given":"Hojun","non-dropping-particle":"","parse-names":false,"suffix":""},{"dropping-particle":"","family":"Song","given":"Ziyuan","non-dropping-particle":"","parse-names":false,"suffix":""},{"dropping-particle":"","family":"Leal","given":"Cecilia","non-dropping-particle":"","parse-names":false,"suffix":""}],"container-title":"Proceedings of the National Academy of Sciences","id":"ITEM-1","issue":"41","issued":{"date-parts":[["2017","10","10"]]},"page":"10834-10839","title":"Super-swelled lyotropic single crystals","type":"article-journal","volume":"114"},"uris":["http://www.mendeley.com/documents/?uuid=1ddd975e-979a-487f-ae79-028b6ff129de"]}],"mendeley":{"formattedCitation":"&lt;sup&gt;188&lt;/sup&gt;","plainTextFormattedCitation":"188","previouslyFormattedCitation":"&lt;sup&gt;188&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188</w:t>
      </w:r>
      <w:r w:rsidRPr="006D631C">
        <w:rPr>
          <w:rFonts w:asciiTheme="majorBidi" w:hAnsiTheme="majorBidi" w:cstheme="majorBidi"/>
        </w:rPr>
        <w:fldChar w:fldCharType="end"/>
      </w:r>
      <w:r w:rsidRPr="006D631C">
        <w:rPr>
          <w:rFonts w:asciiTheme="majorBidi" w:hAnsiTheme="majorBidi" w:cstheme="majorBidi"/>
        </w:rPr>
        <w:t xml:space="preserve"> doped with charged lipids and </w:t>
      </w:r>
      <w:r w:rsidR="00D024BA" w:rsidRPr="006D631C">
        <w:rPr>
          <w:rFonts w:asciiTheme="majorBidi" w:hAnsiTheme="majorBidi" w:cstheme="majorBidi"/>
        </w:rPr>
        <w:t>poly(ethylene glycol) (</w:t>
      </w:r>
      <w:r w:rsidRPr="006D631C">
        <w:rPr>
          <w:rFonts w:asciiTheme="majorBidi" w:hAnsiTheme="majorBidi" w:cstheme="majorBidi"/>
        </w:rPr>
        <w:t>PEG</w:t>
      </w:r>
      <w:r w:rsidR="00D024BA" w:rsidRPr="006D631C">
        <w:rPr>
          <w:rFonts w:asciiTheme="majorBidi" w:hAnsiTheme="majorBidi" w:cstheme="majorBidi"/>
        </w:rPr>
        <w:t>)</w:t>
      </w:r>
      <w:r w:rsidRPr="006D631C">
        <w:rPr>
          <w:rFonts w:asciiTheme="majorBidi" w:hAnsiTheme="majorBidi" w:cstheme="majorBidi"/>
        </w:rPr>
        <w:t xml:space="preserve">-lipids, a </w:t>
      </w:r>
      <w:proofErr w:type="spellStart"/>
      <w:r w:rsidRPr="006D631C">
        <w:rPr>
          <w:rFonts w:asciiTheme="majorBidi" w:hAnsiTheme="majorBidi" w:cstheme="majorBidi"/>
        </w:rPr>
        <w:t>gyroid</w:t>
      </w:r>
      <w:proofErr w:type="spellEnd"/>
      <w:r w:rsidRPr="006D631C">
        <w:rPr>
          <w:rFonts w:asciiTheme="majorBidi" w:hAnsiTheme="majorBidi" w:cstheme="majorBidi"/>
        </w:rPr>
        <w:t xml:space="preserve"> phase with unit cell parameter 64.4 nm was obtained, corresponding to an estimated water channel diameter of 38 nm. Further work</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{"citationItems":[{"id":"ITEM-1","itemData":{"DOI":"10.1039/C8SM02059K","ISSN":"1744-683X","abstract":"Phase behavior of GMO/DOTAP/DOPE-PEG with bicontinuous cubic phases of different symmetry present in a wide composition range.","author":[{"dropping-particle":"","family":"Leung","given":"Sherry S. W.","non-dropping-particle":"","parse-names":false,"suffix":""},{"dropping-particle":"","family":"Leal","given":"Cecilia","non-dropping-particle":"","parse-names":false,"suffix":""}],"container-title":"Soft Matter","id":"ITEM-1","issue":"6","issued":{"date-parts":[["2019"]]},"page":"1269-1277","title":"The stabilization of primitive bicontinuous cubic phases with tunable swelling over a wide composition range","type":"article-journal","volume":"15"},"uris":["http://www.mendeley.com/documents/?uuid=f2a96542-b657-4f8b-9203-7a592aa9812d"]}],"mendeley":{"formattedCitation":"&lt;sup&gt;189&lt;/sup&gt;","plainTextFormattedCitation":"189","previouslyFormattedCitation":"&lt;sup&gt;189&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189</w:t>
      </w:r>
      <w:r w:rsidRPr="006D631C">
        <w:rPr>
          <w:rFonts w:asciiTheme="majorBidi" w:hAnsiTheme="majorBidi" w:cstheme="majorBidi"/>
        </w:rPr>
        <w:fldChar w:fldCharType="end"/>
      </w:r>
      <w:r w:rsidRPr="006D631C">
        <w:rPr>
          <w:rFonts w:asciiTheme="majorBidi" w:hAnsiTheme="majorBidi" w:cstheme="majorBidi"/>
        </w:rPr>
        <w:t xml:space="preserve"> on this </w:t>
      </w:r>
      <w:r w:rsidRPr="006D631C">
        <w:rPr>
          <w:rFonts w:asciiTheme="majorBidi" w:hAnsiTheme="majorBidi" w:cstheme="majorBidi"/>
        </w:rPr>
        <w:lastRenderedPageBreak/>
        <w:t xml:space="preserve">composition identified the role of the PEG-lipid composition as a reliable handle to switch the mesophase between diamond, </w:t>
      </w:r>
      <w:proofErr w:type="spellStart"/>
      <w:r w:rsidRPr="006D631C">
        <w:rPr>
          <w:rFonts w:asciiTheme="majorBidi" w:hAnsiTheme="majorBidi" w:cstheme="majorBidi"/>
        </w:rPr>
        <w:t>gyroid</w:t>
      </w:r>
      <w:proofErr w:type="spellEnd"/>
      <w:r w:rsidRPr="006D631C">
        <w:rPr>
          <w:rFonts w:asciiTheme="majorBidi" w:hAnsiTheme="majorBidi" w:cstheme="majorBidi"/>
        </w:rPr>
        <w:t xml:space="preserve"> and primitive cubic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morphology. The larger water channels of the swollen </w:t>
      </w:r>
      <w:proofErr w:type="spellStart"/>
      <w:r w:rsidRPr="006D631C">
        <w:rPr>
          <w:rFonts w:asciiTheme="majorBidi" w:hAnsiTheme="majorBidi" w:cstheme="majorBidi"/>
        </w:rPr>
        <w:t>lipidic</w:t>
      </w:r>
      <w:proofErr w:type="spellEnd"/>
      <w:r w:rsidRPr="006D631C">
        <w:rPr>
          <w:rFonts w:asciiTheme="majorBidi" w:hAnsiTheme="majorBidi" w:cstheme="majorBidi"/>
        </w:rPr>
        <w:t xml:space="preserve"> mesophases reduce much of their suitability for selective separations such as filtration, but in turn enable their use in emerging biotechnology applications such as platforms for protein crystallization processes.</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{"citationItems":[{"id":"ITEM-1","itemData":{"DOI":"10.1038/s41467-018-02996-5","ISSN":"2041-1723","PMID":"29416037","abstract":"In meso crystallization of membrane proteins from lipidic mesophases is central to protein structural biology but limited to membrane proteins with small extracellular domains (ECDs), comparable to the water channels (3-5 nm) of the mesophase. Here we present a strategy expanding the scope of in meso crystallization to membrane proteins with very large ECDs. We combine monoacylglycerols and phospholipids to design thermodynamically stable ultra-swollen bicontinuous cubic phases of double-gyroid (Ia3d), double-diamond (Pn3m), and double-primitive (Im3m) space groups, with water channels five times larger than traditional lipidic mesophases, and showing re-entrant behavior upon increasing hydration, of sequences Ia3d→Pn3m→Ia3d and Pn3m→Im3m→Pn3m, unknown in lipid self-assembly. We use these mesophases to crystallize membrane proteins with ECDs inaccessible to conventional in meso crystallization, demonstrating the methodology on the Gloeobacter ligand-gated ion channel (GLIC) protein, and show substantial modulation of packing, molecular contacts and activation state of the ensued proteins crystals, illuminating a general strategy in protein structural biology.","author":[{"dropping-particle":"","family":"Zabara","given":"Alexandru","non-dropping-particle":"","parse-names":false,"suffix":""},{"dropping-particle":"","family":"Chong","given":"Josephine Tse Yin","non-dropping-particle":"","parse-names":false,"suffix":""},{"dropping-particle":"","family":"Martiel","given":"Isabelle","non-dropping-particle":"","parse-names":false,"suffix":""},{"dropping-particle":"","family":"Stark","given":"Laura","non-dropping-particle":"","parse-names":false,"suffix":""},{"dropping-particle":"","family":"Cromer","given":"Brett A.","non-dropping-particle":"","parse-names":false,"suffix":""},{"dropping-particle":"","family":"Speziale","given":"Chiara","non-dropping-particle":"","parse-names":false,"suffix":""},{"dropping-particle":"","family":"Drummond","given":"Calum John","non-dropping-particle":"","parse-names":false,"suffix":""},{"dropping-particle":"","family":"Mezzenga","given":"Raffaele","non-dropping-particle":"","parse-names":false,"suffix":""}],"container-title":"Nature Communications","id":"ITEM-1","issue":"1","issued":{"date-parts":[["2018","12","7"]]},"page":"544","title":"Design of ultra-swollen lipidic mesophases for the crystallization of membrane proteins with large extracellular domains","type":"article-journal","volume":"9"},"uris":["http://www.mendeley.com/documents/?uuid=99195e9f-e3f5-4e5f-94ea-a085d416798a"]}],"mendeley":{"formattedCitation":"&lt;sup&gt;190&lt;/sup&gt;","plainTextFormattedCitation":"190","previouslyFormattedCitation":"&lt;sup&gt;190&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190</w:t>
      </w:r>
      <w:r w:rsidRPr="006D631C">
        <w:rPr>
          <w:rFonts w:asciiTheme="majorBidi" w:hAnsiTheme="majorBidi" w:cstheme="majorBidi"/>
        </w:rPr>
        <w:fldChar w:fldCharType="end"/>
      </w:r>
    </w:p>
    <w:p w14:paraId="1263104D" w14:textId="77777777" w:rsidR="00797827" w:rsidRPr="006D631C" w:rsidRDefault="00797827" w:rsidP="0049597E">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Most of the existing literature on the aforementioned two approaches focuses on the chemical synthesis or formulation stability of the larger lattice parameter lyotropic mesophases. </w:t>
      </w:r>
      <w:proofErr w:type="gramStart"/>
      <w:r w:rsidRPr="006D631C">
        <w:rPr>
          <w:rFonts w:asciiTheme="majorBidi" w:hAnsiTheme="majorBidi" w:cstheme="majorBidi"/>
        </w:rPr>
        <w:t>Neither approach has been extensively studied for phase and</w:t>
      </w:r>
      <w:proofErr w:type="gramEnd"/>
      <w:r w:rsidRPr="006D631C">
        <w:rPr>
          <w:rFonts w:asciiTheme="majorBidi" w:hAnsiTheme="majorBidi" w:cstheme="majorBidi"/>
        </w:rPr>
        <w:t xml:space="preserve"> feature preservation after polymerization, thus presenting opportunities for future researchers to combine synergistic or transcriptive templating approaches to preserve large unit cell self-assembled mesophases of giant surfactants or swelled LLC phases.</w:t>
      </w:r>
    </w:p>
    <w:p w14:paraId="7D752619" w14:textId="339AE763" w:rsidR="00797827" w:rsidRPr="006D631C" w:rsidRDefault="00797827"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The optimization of transcriptive templating recipes seems necessary to decrease the required concentration of surfactant and thus to improve the thermal and mechanical properties of the final products. Using specific types of </w:t>
      </w:r>
      <w:proofErr w:type="spellStart"/>
      <w:r w:rsidRPr="006D631C">
        <w:rPr>
          <w:rFonts w:asciiTheme="majorBidi" w:hAnsiTheme="majorBidi" w:cstheme="majorBidi"/>
        </w:rPr>
        <w:t>amphiphiles</w:t>
      </w:r>
      <w:proofErr w:type="spellEnd"/>
      <w:r w:rsidRPr="006D631C">
        <w:rPr>
          <w:rFonts w:asciiTheme="majorBidi" w:hAnsiTheme="majorBidi" w:cstheme="majorBidi"/>
        </w:rPr>
        <w:t xml:space="preserve"> which have very low CMCs (such as sodium </w:t>
      </w:r>
      <w:proofErr w:type="spellStart"/>
      <w:r w:rsidRPr="006D631C">
        <w:rPr>
          <w:rFonts w:asciiTheme="majorBidi" w:hAnsiTheme="majorBidi" w:cstheme="majorBidi"/>
        </w:rPr>
        <w:t>alkoxy</w:t>
      </w:r>
      <w:proofErr w:type="spellEnd"/>
      <w:r w:rsidRPr="006D631C">
        <w:rPr>
          <w:rFonts w:asciiTheme="majorBidi" w:hAnsiTheme="majorBidi" w:cstheme="majorBidi"/>
        </w:rPr>
        <w:t xml:space="preserve"> sulfate reported by Chen </w:t>
      </w:r>
      <w:r w:rsidRPr="006D631C">
        <w:rPr>
          <w:rFonts w:asciiTheme="majorBidi" w:hAnsiTheme="majorBidi" w:cstheme="majorBidi"/>
          <w:i/>
          <w:iCs/>
        </w:rPr>
        <w:t>et al.</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{"citationItems":[{"id":"ITEM-1","itemData":{"DOI":"10.1021/acs.langmuir.9b01969","ISSN":"0743-7463","abstract":"Rheological properties of the solution of an extended surfactant, sodium alkoxy sulfate (C8-(PO)4-(EO)1-SO4Na), are investigated as a function of the presence of various paraffinic oils over a range of salt conditions in the Winsor III microemulsion region at oil fractions where the microemulsion is \"oil-starved\". The addition of as small as 3 vol % alkane to 2 wt % surfactant solutions at salt concentrations where the oil-water interfacial tension is minimized induces a sudden shift in the rheological behavior. The solution viscosity increases by 5 orders of magnitude, with solid-like behaviors (G′ &gt; G″) being observed in the entire frequency region investigated (0.01-100 rad/s). Commonly, in the cases where wormlike micelles are present in the solution, alkanes are believed to be solubilized in the core of micelles, leading to a radial growth of the cylindrical part of the wormlike micelle, resulting in a drop of end-cap energy (EC) and micelle length and a reduction in viscosity. In this study, however, the addition of oil causes the formation of wormlike micelles. The viscosity of solubilized-oil samples does, however, decrease with an increase in incorporated oil volume. We hypothesize that this \"abnormal oleo-responsive\" viscoelastic behavior is related to a spacer of intermediate hydrophilicity, that is, polypropylene oxide (PO) segment of the alkoxy sulfate, being inserted between the hydrophobic tail and hydrophilic head (the ethoxylated sulfate segment) of the extended surfactant. The addition of a small amount of oil likely extends the PO moiety and increases the tail length of the surfactant in the aggregates as well as reducing the headgroup size, driving the formation of wormlike micelles from a solution that initially had a viscosity consistent with the absence of such structures.","author":[{"dropping-particle":"","family":"Chen","given":"Changlong","non-dropping-particle":"","parse-names":false,"suffix":""},{"dropping-particle":"","family":"Wang","given":"Shuoshi","non-dropping-particle":"","parse-names":false,"suffix":""},{"dropping-particle":"","family":"Grady","given":"Brian P.","non-dropping-particle":"","parse-names":false,"suffix":""},{"dropping-particle":"","family":"Harwell","given":"Jeffrey H.","non-dropping-particle":"","parse-names":false,"suffix":""},{"dropping-particle":"","family":"Shiau","given":"Bor-Jier","non-dropping-particle":"","parse-names":false,"suffix":""}],"container-title":"Langmuir","id":"ITEM-1","issue":"37","issued":{"date-parts":[["2019","9","17"]]},"page":"12168-12179","title":"Oil-Induced Viscoelasticity in Micellar Solutions of Alkoxy Sulfate","type":"article-journal","volume":"35"},"uris":["http://www.mendeley.com/documents/?uuid=04b26b3c-67f6-4ccd-8b20-60b81b46d887"]}],"mendeley":{"formattedCitation":"&lt;sup&gt;191&lt;/sup&gt;","plainTextFormattedCitation":"191","previouslyFormattedCitation":"&lt;sup&gt;191&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191</w:t>
      </w:r>
      <w:r w:rsidRPr="006D631C">
        <w:rPr>
          <w:rFonts w:asciiTheme="majorBidi" w:hAnsiTheme="majorBidi" w:cstheme="majorBidi"/>
        </w:rPr>
        <w:fldChar w:fldCharType="end"/>
      </w:r>
      <w:r w:rsidRPr="006D631C">
        <w:rPr>
          <w:rFonts w:asciiTheme="majorBidi" w:hAnsiTheme="majorBidi" w:cstheme="majorBidi"/>
        </w:rPr>
        <w:t>) might be helpful in resolving this issue. Furthermore, the high porosity of polymerized LLCs after extraction/drying of non-reactive component(s) results in poor mechanical properties. Although the random alignment of the nanostructures overshadows this effect to some extent, incorporation of nanoparticles (e.g., carbon nanotubes) in LLC structures might be a proper approach to overcome this challenge if the structure retention is not affected by the presence of nanoparticles.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{"citationItems":[{"id":"ITEM-1","itemData":{"DOI":"10.1002/marc.201600070","ISSN":"15213927","abstract":"The UV-initiated free radical polymerization of a lyotropic mesophase prepared by co-assembly of an aqueous mixture of an ionic liquid (IL) monomer, 3-decyl-1-vinylimidazolium chloride, in a dimethyl sulfoxide dispersion of an IL-monomer nanodiamond conjugate yields a well-ordered 2D hexagonally structured network-polymer composite. The IL monomer is covalently bound to carboxylated detonation diamond via ester-linked 3-decyl-1-vinylimidazolium bromide. Successful preparation of the amphiphile-functionalized nanodiamond is determined by ATR/FT-IR, thermogravimetric analysis, and small-angle X-ray scattering (SAXS). Mesophase and composite structure are evaluated by SAXS, revealing a columnar architecture composed of amphiphilic ionic liquid cylinders containing solvent-rich cores. Self-assembly directed site localization of the nanodiamond positions the particles in the alkyl chain continuum upon polymerization. The composite reversibly swells in ethanol allowing structural variation and modulation of the nanoparticle internal packing arrangement. This work demonstrates that through careful molecular design, self-organization and site-directed assembly of nanodiamond into chemically distinct regions of a nanostructured organogel can be achieved.","author":[{"dropping-particle":"","family":"Ringstrand","given":"Bryan S.","non-dropping-particle":"","parse-names":false,"suffix":""},{"dropping-particle":"","family":"Seifert","given":"Sönke","non-dropping-particle":"","parse-names":false,"suffix":""},{"dropping-particle":"","family":"Podlesak","given":"David W.","non-dropping-particle":"","parse-names":false,"suffix":""},{"dropping-particle":"","family":"Firestone","given":"Millicent A.","non-dropping-particle":"","parse-names":false,"suffix":""}],"container-title":"Macromolecular rapid communications","id":"ITEM-1","issue":"14","issued":{"date-parts":[["2016"]]},"page":"1155-1167","title":"Self-Assembly Directed Organization of Nanodiamond During Ionic Liquid Crystalline Polymer Formation","type":"article-journal","volume":"37"},"uris":["http://www.mendeley.com/documents/?uuid=840f9fb6-b00a-45cf-8149-2292653eb71c"]}],"mendeley":{"formattedCitation":"&lt;sup&gt;80&lt;/sup&gt;","plainTextFormattedCitation":"80","previouslyFormattedCitation":"&lt;sup&gt;80&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80</w:t>
      </w:r>
      <w:r w:rsidRPr="006D631C">
        <w:rPr>
          <w:rFonts w:asciiTheme="majorBidi" w:hAnsiTheme="majorBidi" w:cstheme="majorBidi"/>
        </w:rPr>
        <w:fldChar w:fldCharType="end"/>
      </w:r>
      <w:r w:rsidRPr="006D631C">
        <w:rPr>
          <w:rFonts w:asciiTheme="majorBidi" w:hAnsiTheme="majorBidi" w:cstheme="majorBidi"/>
        </w:rPr>
        <w:t xml:space="preserve"> Nanoparticles may induce heterogeneity in the structure or direct the self-assembly toward formation of a different LLC structure.   </w:t>
      </w:r>
    </w:p>
    <w:p w14:paraId="12437BE7" w14:textId="7D9EC6C9" w:rsidR="00797827" w:rsidRPr="006D631C" w:rsidRDefault="00797827" w:rsidP="002E14E4">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In addition to the discussed challenges, there are still some relatively unexplored application-oriented opportunities available in the field. For instance, production of stimuli-responsive (e.g., </w:t>
      </w:r>
      <w:r w:rsidRPr="006D631C">
        <w:rPr>
          <w:rFonts w:asciiTheme="majorBidi" w:hAnsiTheme="majorBidi" w:cstheme="majorBidi"/>
        </w:rPr>
        <w:lastRenderedPageBreak/>
        <w:t>thermoresponsive and pH-responsive) membranes through LLC templating needs further attention. To the best of our knowledge, except for the reported works on LLC templated thermo-responsive hydrogels (hydrophilic polymers),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Matter","id":"ITEM-1","issue":"31","issued":{"date-parts":[["2013"]]},"page":"7458-7467","title":"Improved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templates","type":"article-journal","volume":"9"},"uris":["http://www.mendeley.com/documents/?uuid=1744ca1d-c40e-4c6d-aa09-30d94aee5e9f"]},{"id":"ITEM-2","itemData":{"DOI":"10.1016/j.polymer.2018.03.016","ISSN":"00323861","abstract":"In this work, stimuli-responsive, superabsorbent materials are created by copolymerization of stimuli-responsive poly(n-isopropyl acrylamide) (PNIPAM) in combination with superabsorbent sodium acrylate (SA) via photopolymerization in lyotropic liquid crystal (LLC) templates. Templating PNIPAM in LLC mesophases imparts nanostructure to the polymer that significantly increases transport and swelling when compared to isotropic hydrogels. These materials exhibit twice the equilibrium swelling of analogous non-templated materials and show a dynamic range between the swollen and deswollen state that is 5 times greater. To further augment this stimuli-responsive range, LLC-templated PNIPAM was combined with the superabsorbent monomer sodium acrylate (SA). As SA concentration is increased, significant structure changes are observed during polymerization that leads to less-defined nanostructure and lower stimuli response. Maximum swelling and temperature response are observed at low concentrations of SA (</w:instrText>
      </w:r>
      <w:r w:rsidR="005C60C1" w:rsidRPr="006D631C">
        <w:rPr>
          <w:rFonts w:ascii="Cambria Math" w:hAnsi="Cambria Math" w:cs="Cambria Math"/>
        </w:rPr>
        <w:instrText>∼</w:instrText>
      </w:r>
      <w:r w:rsidR="005C60C1" w:rsidRPr="006D631C">
        <w:rPr>
          <w:rFonts w:asciiTheme="majorBidi" w:hAnsiTheme="majorBidi" w:cstheme="majorBidi"/>
        </w:rPr>
        <w:instrText>2 wt%). These LLC-templated copolymers exhibit stimuli-responsive volume transitions up to 40 times and equilibrium swelling ratios of 60 times their dry mass. This 600% increase in thermal response is due to the combined high swelling capabilities of SA with the enhanced thermal-response behavior induced by the LLC-templated nanostructure. Additionally, the nanostructure induces fast deswelling rates at temperatures above the lowest critical solution temperature of PNIPAM. The high dynamic range and quick response of this composition could allow for the development of superabsorbent, stimuli-responsive hydrogels in a variety of biomaterial, microfluidic, and water remediation applications.","author":[{"dropping-particle":"","family":"McLaughlin","given":"Jacob R.","non-dropping-particle":"","parse-names":false,"suffix":""},{"dropping-particle":"","family":"Abbott","given":"Nicholas L.","non-dropping-particle":"","parse-names":false,"suffix":""},{"dropping-particle":"","family":"Guymon","given":"C. Allan","non-dropping-particle":"","parse-names":false,"suffix":""}],"container-title":"Polymer","id":"ITEM-2","issued":{"date-parts":[["2018","4"]]},"page":"119-126","title":"Responsive superabsorbent hydrogels via photopolymerization in lyotropic liquid crystal templates","type":"article-journal","volume":"142"},"uris":["http://www.mendeley.com/documents/?uuid=8899ff0c-5b1e-46dd-a332-a7faed8dd226"]}],"mendeley":{"formattedCitation":"&lt;sup&gt;38,42&lt;/sup&gt;","plainTextFormattedCitation":"38,42","previouslyFormattedCitation":"&lt;sup&gt;38,42&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38,42</w:t>
      </w:r>
      <w:r w:rsidRPr="006D631C">
        <w:rPr>
          <w:rFonts w:asciiTheme="majorBidi" w:hAnsiTheme="majorBidi" w:cstheme="majorBidi"/>
        </w:rPr>
        <w:fldChar w:fldCharType="end"/>
      </w:r>
      <w:r w:rsidRPr="006D631C">
        <w:rPr>
          <w:rFonts w:asciiTheme="majorBidi" w:hAnsiTheme="majorBidi" w:cstheme="majorBidi"/>
        </w:rPr>
        <w:t xml:space="preserve"> there is </w:t>
      </w:r>
      <w:r w:rsidR="00DA3CF1" w:rsidRPr="006D631C">
        <w:rPr>
          <w:rFonts w:asciiTheme="majorBidi" w:hAnsiTheme="majorBidi" w:cstheme="majorBidi"/>
        </w:rPr>
        <w:t xml:space="preserve">a handful of </w:t>
      </w:r>
      <w:r w:rsidRPr="006D631C">
        <w:rPr>
          <w:rFonts w:asciiTheme="majorBidi" w:hAnsiTheme="majorBidi" w:cstheme="majorBidi"/>
        </w:rPr>
        <w:t>report</w:t>
      </w:r>
      <w:r w:rsidR="00DA3CF1" w:rsidRPr="006D631C">
        <w:rPr>
          <w:rFonts w:asciiTheme="majorBidi" w:hAnsiTheme="majorBidi" w:cstheme="majorBidi"/>
        </w:rPr>
        <w:t>s</w:t>
      </w:r>
      <w:r w:rsidRPr="006D631C">
        <w:rPr>
          <w:rFonts w:asciiTheme="majorBidi" w:hAnsiTheme="majorBidi" w:cstheme="majorBidi"/>
        </w:rPr>
        <w:t xml:space="preserve"> exploring the possibility of having dynamic pore sizes in stimuli-responsive </w:t>
      </w:r>
      <w:r w:rsidR="00DA3CF1" w:rsidRPr="006D631C">
        <w:rPr>
          <w:rFonts w:asciiTheme="majorBidi" w:hAnsiTheme="majorBidi" w:cstheme="majorBidi"/>
        </w:rPr>
        <w:t>polyLLCs</w:t>
      </w:r>
      <w:r w:rsidRPr="006D631C">
        <w:rPr>
          <w:rFonts w:asciiTheme="majorBidi" w:hAnsiTheme="majorBidi" w:cstheme="majorBidi"/>
        </w:rPr>
        <w:t>.</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{"citationItems":[{"id":"ITEM-1","itemData":{"DOI":"10.1002/adma.200702210","ISSN":"09359648","author":[{"dropping-particle":"","family":"Pecinovsky","given":"Cory S.","non-dropping-particle":"","parse-names":false,"suffix":""},{"dropping-particle":"","family":"Hatakeyama","given":"Evan S.","non-dropping-particle":"","parse-names":false,"suffix":""},{"dropping-particle":"","family":"Gin","given":"Douglas L.","non-dropping-particle":"","parse-names":false,"suffix":""}],"container-title":"Advanced Materials","id":"ITEM-1","issue":"1","issued":{"date-parts":[["2008"]]},"page":"174-178","title":"Polymerizable photochromic macrocyclic metallomesogens: Design of supramolecular polymers with responsive nanopores","type":"article-journal","volume":"20"},"uris":["http://www.mendeley.com/documents/?uuid=31f3af7b-43ba-4f53-82e6-67735f73f2e9"]},{"id":"ITEM-2","itemData":{"DOI":"10.1002/admi.202201761","ISSN":"2196-7350","author":[{"dropping-particle":"","family":"Li","given":"Patrick","non-dropping-particle":"","parse-names":false,"suffix":""},{"dropping-particle":"","family":"Johnson","given":"Christopher","non-dropping-particle":"","parse-names":false,"suffix":""},{"dropping-particle":"","family":"Dyer","given":"Samantha S.","non-dropping-particle":"","parse-names":false,"suffix":""},{"dropping-particle":"","family":"Osuji","given":"Chinedum O.","non-dropping-particle":"","parse-names":false,"suffix":""},{"dropping-particle":"","family":"Gin","given":"Douglas L.","non-dropping-particle":"","parse-names":false,"suffix":""}],"container-title":"Advanced Materials Interfaces","id":"ITEM-2","issued":{"date-parts":[["2022","12","4"]]},"page":"2201761","title":"A pH‐ and Light‐Responsive Nanoporous Lyotropic Gyroid Polymer Network","type":"article-journal"},"uris":["http://www.mendeley.com/documents/?uuid=e6b2f03c-2c58-40fd-9524-e8f93218c017"]}],"mendeley":{"formattedCitation":"&lt;sup&gt;126,133&lt;/sup&gt;","plainTextFormattedCitation":"126,133","previouslyFormattedCitation":"&lt;sup&gt;126,133&lt;/sup&gt;"},"properties":{"noteIndex":0},"schema":"https://github.com/citation-style-language/schema/raw/master/csl-citation.json"}</w:instrText>
      </w:r>
      <w:r w:rsidRPr="006D631C">
        <w:rPr>
          <w:rFonts w:asciiTheme="majorBidi" w:hAnsiTheme="majorBidi" w:cstheme="majorBidi"/>
        </w:rPr>
        <w:fldChar w:fldCharType="separate"/>
      </w:r>
      <w:r w:rsidR="00DA3CF1" w:rsidRPr="006D631C">
        <w:rPr>
          <w:rFonts w:asciiTheme="majorBidi" w:hAnsiTheme="majorBidi" w:cstheme="majorBidi"/>
          <w:noProof/>
          <w:vertAlign w:val="superscript"/>
        </w:rPr>
        <w:t>126,133</w:t>
      </w:r>
      <w:r w:rsidRPr="006D631C">
        <w:rPr>
          <w:rFonts w:asciiTheme="majorBidi" w:hAnsiTheme="majorBidi" w:cstheme="majorBidi"/>
        </w:rPr>
        <w:fldChar w:fldCharType="end"/>
      </w:r>
      <w:r w:rsidRPr="006D631C">
        <w:rPr>
          <w:rFonts w:asciiTheme="majorBidi" w:hAnsiTheme="majorBidi" w:cstheme="majorBidi"/>
        </w:rPr>
        <w:t xml:space="preserve"> According to the literature, stimuli-responsive membranes that possess inherent pore size </w:t>
      </w:r>
      <w:proofErr w:type="spellStart"/>
      <w:r w:rsidRPr="006D631C">
        <w:rPr>
          <w:rFonts w:asciiTheme="majorBidi" w:hAnsiTheme="majorBidi" w:cstheme="majorBidi"/>
        </w:rPr>
        <w:t>tuneability</w:t>
      </w:r>
      <w:proofErr w:type="spellEnd"/>
      <w:r w:rsidRPr="006D631C">
        <w:rPr>
          <w:rFonts w:asciiTheme="majorBidi" w:hAnsiTheme="majorBidi" w:cstheme="majorBidi"/>
        </w:rPr>
        <w:t xml:space="preserve"> exhibit higher water flux recovery and variable permeability/selectivity.</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Science","id":"ITEM-1","issued":{"date-parts":[["2018","5"]]},"page":"117-124","title":"Two-step thermoresponsive membrane with tunable separation properties and improved cleaning efficiency","type":"article-journal","volume":"554"},"uris":["http://www.mendeley.com/documents/?uuid=6b7db567-d73b-49b7-8074-a48dddee7720"]},{"id":"ITEM-2","itemData":{"DOI":"10.1016/j.memsci.2010.03.046","ISSN":"03767388","abstract":"Stimuli-responsive membranes change their physicochemical properties in response to changes in their environment. Stimuli-responsive membranes have been designed to respond to changes in pH, temperature, ionic strength, light, electric and magnetic fields, and chemical cues. This review covers the design of stimuli-responsive membranes and their ever-expanding range of use. It considers stimuli-responsive changes in membrane structure and surface characteristics that enable novel applications. © 2010 Elsevier B.V.","author":[{"dropping-particle":"","family":"Wandera","given":"Daniel","non-dropping-particle":"","parse-names":false,"suffix":""},{"dropping-particle":"","family":"Wickramasinghe","given":"S. Ranil","non-dropping-particle":"","parse-names":false,"suffix":""},{"dropping-particle":"","family":"Husson","given":"Scott M.","non-dropping-particle":"","parse-names":false,"suffix":""}],"container-title":"Journal of Membrane Science","id":"ITEM-2","issue":"1-2","issued":{"date-parts":[["2010","7","15"]]},"page":"6-35","title":"Stimuli-responsive membranes","type":"article-journal","volume":"357"},"uris":["http://www.mendeley.com/documents/?uuid=f4b1bf86-85c5-4e71-a28b-6d4273599fd3"]}],"mendeley":{"formattedCitation":"&lt;sup&gt;5,192&lt;/sup&gt;","plainTextFormattedCitation":"5,192","previouslyFormattedCitation":"&lt;sup&gt;5,192&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5,192</w:t>
      </w:r>
      <w:r w:rsidRPr="006D631C">
        <w:rPr>
          <w:rFonts w:asciiTheme="majorBidi" w:hAnsiTheme="majorBidi" w:cstheme="majorBidi"/>
        </w:rPr>
        <w:fldChar w:fldCharType="end"/>
      </w:r>
      <w:r w:rsidRPr="006D631C">
        <w:rPr>
          <w:rFonts w:asciiTheme="majorBidi" w:hAnsiTheme="majorBidi" w:cstheme="majorBidi"/>
        </w:rPr>
        <w:t xml:space="preserve"> Application of LLC templating in the production of ion gels is another fertile research ground. The combination of BCPs and ionic liquids is the common approach to fabricate ion gels.</w:t>
      </w:r>
      <w:r w:rsidRPr="006D631C">
        <w:rPr>
          <w:rFonts w:asciiTheme="majorBidi" w:hAnsiTheme="majorBidi" w:cstheme="majorBidi"/>
        </w:rPr>
        <w:fldChar w:fldCharType="begin" w:fldLock="1"/>
      </w:r>
      <w:r w:rsidR="00DA3CF1" w:rsidRPr="006D631C">
        <w:rPr>
          <w:rFonts w:asciiTheme="majorBidi" w:hAnsiTheme="majorBidi" w:cstheme="majorBidi"/>
        </w:rPr>
        <w:instrText>ADDIN CSL_CITATION {"citationItems":[{"id":"ITEM-1","itemData":{"DOI":"10.1021/ma702252v","ISSN":"00249297","abstract":"The lyotropic phase behavior of three poly(1,2-butadiene-b-ethylene oxide) diblock copolymers (PB-PEO) with different monomer volume fractions has been studied in two different ionic liquids, 1-ethyl-3-methylimidazolium bis(trifluoromethylsulfonyl)imide ([EMI][TFSI]) and 1-butyl-3-methylimidazolium hexafluorophosphate ([BMI][PF6]), across the complete concentration range. The ordered microstructures present in the solutions were characterized via small-angle X-ray scattering (SAXS). The phase diagrams for the PB-PEO/ ionic liquid solutions include regions corresponding to the classical copolymer microstructures: body-centered-cubic lattices of spheres, hexagonally ordered cylinders, and lamellae. Additionally, the phase diagrams also include wide regions of coexisting microstructures and regions apparently corresponding to a disordered network microstructure. The phase behavior of the PB-PEO copolymers in both ionic liquids was comparable to their previously reported aqueous solution behavior. The temperature dependence of the phase diagrams was very modest, indicative of a highly segregated system. The level of solvent selectivity was also investigated via cryogenic transmission electron microscopy (cryo-TEM) on dilute solutions. On the basis of the morphology of the dilute solution copolymer aggregate structures in the ionic liquid solvents, and on the structural length scales of the concentrated solutions, it was concluded that for PB-PEO [BMI][PF6] behaves as a more selective solvent than [EMI][TFSI]. © 2008 American Chemical Society.","author":[{"dropping-particle":"","family":"Simone","given":"Peter M.","non-dropping-particle":"","parse-names":false,"suffix":""},{"dropping-particle":"","family":"Lodge","given":"Timothy P.","non-dropping-particle":"","parse-names":false,"suffix":""}],"container-title":"Macromolecules","id":"ITEM-1","issue":"5","issued":{"date-parts":[["2008"]]},"page":"1753-1759","title":"Lyotropic phase behavior of polybutadiene-poly (ethylene oxide) diblock copolymers in ionic liquids","type":"article-journal","volume":"41"},"uris":["http://www.mendeley.com/documents/?uuid=29a5c0fb-ab8d-46dc-b0a3-1d07cc7fb613"]},{"id":"ITEM-2","itemData":{"DOI":"10.1021/ma900451e","ISSN":"00249297","abstract":"The ionic conductivity, σ, of mixtures of nearly symmetric polystyrene-block-poly(ethylene oxide) copolymers and Li[N(SO 2CF 3) 2] (LiTFSI) salt was measured as a function of molecular weight, salt concentration, and temperature. The molecular weight of the polyethylene oxide) block, M PEO, was varied from 7 to 98 kg/mol. The molar ratio of lithium to ethylene oxide, r, was varied from 0.02 to 0.10. In general, σ increases with increasing M PEO for all values of r. The data can be summarized by plots of normalized conductivity, σ n, versus M PEO, where σ n = σ/fφ PEOσ PEO), φ PEO is the PEO volume fraction in the copolymer, σ PEO is the conductivity of PEO homopolymer, and f is a morphology-dependent factor set equal to 2/3 for our lamellar samples. The temperature-dependent conductivity data at a given salt concentration collapse onto a single curve when plotted in this format. At r = 0.085, σn values reach a plateau in the vicinity of unity in the high M PEO limit. At other values of r, σn continues to increase with M PEO within the experimental range and reaches a value of around 0.5 in the high M PEO limit. © 2009 American Chemical Society.","author":[{"dropping-particle":"","family":"Panday","given":"Ashoutosh","non-dropping-particle":"","parse-names":false,"suffix":""},{"dropping-particle":"","family":"Mullin","given":"Scott","non-dropping-particle":"","parse-names":false,"suffix":""},{"dropping-particle":"","family":"Gomez","given":"Enrique D.","non-dropping-particle":"","parse-names":false,"suffix":""},{"dropping-particle":"","family":"Wanakule","given":"Nisita","non-dropping-particle":"","parse-names":false,"suffix":""},{"dropping-particle":"","family":"Chen","given":"Vincent L.","non-dropping-particle":"","parse-names":false,"suffix":""},{"dropping-particle":"","family":"Hexemer","given":"Alexander","non-dropping-particle":"","parse-names":false,"suffix":""},{"dropping-particle":"","family":"Pople","given":"John","non-dropping-particle":"","parse-names":false,"suffix":""},{"dropping-particle":"","family":"Balsara","given":"Nitash P.","non-dropping-particle":"","parse-names":false,"suffix":""}],"container-title":"Macromolecules","id":"ITEM-2","issue":"13","issued":{"date-parts":[["2009"]]},"page":"4632-4637","title":"Effect of molecular weight and salt concentration on conductivity of block copolymer electrolytes","type":"article-journal","volume":"42"},"uris":["http://www.mendeley.com/documents/?uuid=24c259a2-5e23-48f2-90e6-2d8f482fdc75"]},{"id":"ITEM-3","itemData":{"DOI":"10.1021/ma900401a","ISSN":"00249297","abstract":"Order-order and order-disorder phase transitions in mixtures of poly(styrene-block-ethylene oxide) (SEO) copolymers and lithium bis(trifluoromethylsulfonimide) (LiTFSI), a common lithium salt used in polymer electrolytes, were studied using a combination of small-angle X-ray scattering (SAXS), birefringence, and ac impedance spectroscopy. The SEO/LiTFSI mixtures exhibit lamellar, hexagonally packed cylinders, and gyroid microphases. The molecular weight of the blocks and the salt concentration was adjusted to obtain order-order and order-disorder transition temperatures within the available experimental window. The ionic conductivities of the mixtures, normalized by the ionic conductivity of a 20 kg/mol homopolymer PEO sample at the salt concentration and temperature of interest, were independent of temperature, in spite of the presence of the above-mentioned phase transitions. © 2009 American Chemical Society.","author":[{"dropping-particle":"","family":"Wanakule","given":"Nisita S.","non-dropping-particle":"","parse-names":false,"suffix":""},{"dropping-particle":"","family":"Panday","given":"Ashoutosh","non-dropping-particle":"","parse-names":false,"suffix":""},{"dropping-particle":"","family":"Mullin","given":"Scott A.","non-dropping-particle":"","parse-names":false,"suffix":""},{"dropping-particle":"","family":"Gann","given":"Eliot","non-dropping-particle":"","parse-names":false,"suffix":""},{"dropping-particle":"","family":"Hexemer","given":"Alex","non-dropping-particle":"","parse-names":false,"suffix":""},{"dropping-particle":"","family":"Balsara","given":"Nitash P.","non-dropping-particle":"","parse-names":false,"suffix":""}],"container-title":"Macromolecules","id":"ITEM-3","issue":"15","issued":{"date-parts":[["2009"]]},"page":"5642-5651","title":"Ionic conductivity of block copolymer electrolytes in the vicinity of order-disorder and order-order transitions","type":"article-journal","volume":"42"},"uris":["http://www.mendeley.com/documents/?uuid=f0cf0cfd-6793-45c6-be48-dccc6799a135"]},{"id":"ITEM-4","itemData":{"DOI":"10.1021/ma0629541","ISSN":"00249297","abstract":"The relationship between ionic conductivity, morphology, and Rheological properties of polystyrene-Wocfc-poly(ethylene oxide) copolymers (SEO) doped with a lithium salt, Li[N(SO2CF3)2], is elucidated. We focus on lamellar samples with poly(ethylene oxide) (PEO) volume fractions, φ, ranging from 0.38 to 0.55, and PEO block molecular weights, M PEO, ranging from 16 to 98 kg/mol. The low-frequency storage modulus (G′) at 90 °C increases with increasing MPEO from about 4 × 105 to 5 × 107 Pa. Surprisingly, the conductivity of the SEO/salt mixtures with the molar ratio of Li to ethylene oxide moieties of 0.02 σ, also increases with increasing MPEO, from 6.2 × 10-5 to 3.6 × 10-4 S/cm at 90 °C. We compare σ with the conductivity of pure PEO/salt mixtures, σPEO. and find that σ/[(φσPEO] of our highest molecular weight sample is close to 0.67, the theoretical upper limit for transport through randomly oriented lamellar grains. © 2007 American Chemical Society.","author":[{"dropping-particle":"","family":"Singh","given":"Mohit","non-dropping-particle":"","parse-names":false,"suffix":""},{"dropping-particle":"","family":"Odusanya","given":"Omolola","non-dropping-particle":"","parse-names":false,"suffix":""},{"dropping-particle":"","family":"Wilmes","given":"Gregg M.","non-dropping-particle":"","parse-names":false,"suffix":""},{"dropping-particle":"","family":"Eitouni","given":"Hany B.","non-dropping-particle":"","parse-names":false,"suffix":""},{"dropping-particle":"","family":"Gomez","given":"Enrique D.","non-dropping-particle":"","parse-names":false,"suffix":""},{"dropping-particle":"","family":"Patel","given":"Amish J.","non-dropping-particle":"","parse-names":false,"suffix":""},{"dropping-particle":"","family":"Chen","given":"Vincent L.","non-dropping-particle":"","parse-names":false,"suffix":""},{"dropping-particle":"","family":"Park","given":"Moon Jeong","non-dropping-particle":"","parse-names":false,"suffix":""},{"dropping-particle":"","family":"Fragouli","given":"Panagiota","non-dropping-particle":"","parse-names":false,"suffix":""},{"dropping-particle":"","family":"Iatrou","given":"Hermis","non-dropping-particle":"","parse-names":false,"suffix":""},{"dropping-particle":"","family":"Hadjichristidis","given":"Nikos","non-dropping-particle":"","parse-names":false,"suffix":""},{"dropping-particle":"","family":"Cookson","given":"David","non-dropping-particle":"","parse-names":false,"suffix":""},{"dropping-particle":"","family":"Balsara","given":"Nitash P.","non-dropping-particle":"","parse-names":false,"suffix":""}],"container-title":"Macromolecules","id":"ITEM-4","issue":"13","issued":{"date-parts":[["2007"]]},"page":"4578-4585","title":"Effect of molecular weight on the mechanical and electrical properties of block copolymer electrolytes","type":"article-journal","volume":"40"},"uris":["http://www.mendeley.com/documents/?uuid=37b41fe6-528a-4d67-91e2-061e8db1c053"]},{"id":"ITEM-5","itemData":{"DOI":"10.1021/ma202741g","ISSN":"00249297","abstract":"Nanostructured membranes containing structural and proton-conducting domains are of great interest for a wide range of applications requiring high conductivity coupled to high thermal stability. Understanding the effect of nanodomain confinement on proton-conducting properties in such materials is essential for designing new, improved membranes. This relationship has been investigated for a lamellae-forming mixture of poly(styrene-b-2-vinyl pyridine) (PS-b-P2VP) with ionic liquid composed of imidazole and bis(trifluoromethylsulfonyl)imide, where the ionic liquid selectively resides in the P2VP domains of the block copolymer. Quasi-elastic neutron scattering and NMR diffusion measurements reveal increased prevalence of a fast proton hopping transport mechanism, which we hypothesize is due to changes in the hydrogen bond structure of the ionic liquid under confinement. This, in combination with unique ion aggregation behavior, leads to a lower activation energy for macroscopic ion transport compared with that in a mixture of ionic liquid with P2VP homopolymer. The proton transference number in both samples is significantly higher than that in the neat ionic liquid, which could be taken advantage of for applications such as proton exchange membrane fuel cells and actuators. These results portend the rational design of nanostructured membranes having improved mechanical properties and conductivity. © 2012 American Chemical Society.","author":[{"dropping-particle":"","family":"Hoarfrost","given":"Megan L.","non-dropping-particle":"","parse-names":false,"suffix":""},{"dropping-particle":"","family":"Tyagi","given":"Madhu S.","non-dropping-particle":"","parse-names":false,"suffix":""},{"dropping-particle":"","family":"Segalman","given":"Rachel A.","non-dropping-particle":"","parse-names":false,"suffix":""},{"dropping-particle":"","family":"Reimer","given":"Jeffrey A.","non-dropping-particle":"","parse-names":false,"suffix":""}],"container-title":"Macromolecules","id":"ITEM-5","issue":"7","issued":{"date-parts":[["2012"]]},"page":"3112-3120","title":"Effect of confinement on proton transport mechanisms in block copolymer/ionic liquid membranes","type":"article-journal","volume":"45"},"uris":["http://www.mendeley.com/documents/?uuid=1b6d95e2-d75f-4fa7-b209-90ad4606a85c"]},{"id":"ITEM-6","itemData":{"DOI":"10.1021/ma902804e","ISSN":"00249297","abstract":"The phase behavior of concentrated mixtures of block copolymers with an ionic liquid has been studied using a large series of block copolymers with varying molecular weight and volume fraction to gain a thorough understanding of the thermodynamics of self-assembly. The lyotropic phase behavior of mixtures of poly(styrene-block-2-vinylpyridine) (S2VP) copolymers with the ionic liquid imidazolium bis(trifluoromethane)sulfonimide ([Im][TFSI]) is reminiscent of block copolymer/selective molecular solvent mixtures, and ordered microstructures corresponding to lamellae, hexagonally close-packed cylinders, body-centered cubic, and face-centered cubic oriented micelles are observed. Scaling analysis reveals that, in contrast to observations of block copolymer/molecular solvent mixtures, the interfacial area occupied by each S2VP chain decreases upon the addition of [Im][TFSI], indicating a considerable increase in the effective segregation strength of the S2VP copolymer with ionic liquid addition. © 2010 American Chemical Society.","author":[{"dropping-particle":"","family":"Virgili","given":"Justin M.","non-dropping-particle":"","parse-names":false,"suffix":""},{"dropping-particle":"","family":"Hoarfrost","given":"Megan L.","non-dropping-particle":"","parse-names":false,"suffix":""},{"dropping-particle":"","family":"Segalman","given":"Rachel A.","non-dropping-particle":"","parse-names":false,"suffix":""}],"container-title":"Macromolecules","id":"ITEM-6","issue":"12","issued":{"date-parts":[["2010"]]},"page":"5417-5423","title":"Effect of an ionic liquid solvent on the phase behavior of block copolymers","type":"article-journal","volume":"43"},"uris":["http://www.mendeley.com/documents/?uuid=ecce22a4-783a-4732-803e-8f8e41a39f3a"]},{"id":"ITEM-7","itemData":{"DOI":"10.1002/polb.23404","ISSN":"08876266","abstract":"Ion-conducting block copolymers (BCPs) have attracted significant interest as conducting materials in solid-state lithium batteries. BCP self-assembly offers promise for designing ordered materials with nanoscale domains. Such nanostructures provide a facile method for introducing sufficient mechanical stability into polymer electrolyte membranes, while maintaining the ionic conductivity at levels similar to corresponding solvent-free homopolymer electrolytes. This ability to simultaneously control conductivity and mechanical integrity provides opportunities for the fabrication of sturdy, yet easily processable, solid-state lithium batteries. In this review, we first introduce several fundamental studies of ion conduction in homopolymers for the understanding of ion transport in the conducting domain of BCP systems. Then, we summarize recent experimental studies of BCP electrolytes with respect to the effects of salt-doping and morphology on ionic conductivity. Finally, we present some remaining challenges for BCP electrolytes and highlight several important areas for future research. © 2013 Wiley Periodicals, Inc.","author":[{"dropping-particle":"","family":"Young","given":"Wen-Shiue","non-dropping-particle":"","parse-names":false,"suffix":""},{"dropping-particle":"","family":"Kuan","given":"Wei-Fan","non-dropping-particle":"","parse-names":false,"suffix":""},{"dropping-particle":"","family":"Epps","given":"Thomas H.","non-dropping-particle":"","parse-names":false,"suffix":""}],"container-title":"Journal of Polymer Science Part B: Polymer Physics","id":"ITEM-7","issue":"1","issued":{"date-parts":[["2014","1","1"]]},"page":"1-16","title":"Block copolymer electrolytes for rechargeable lithium batteries","type":"article-journal","volume":"52"},"uris":["http://www.mendeley.com/documents/?uuid=92605b84-fe4c-4b32-9c4f-b936a80e2220"]}],"mendeley":{"formattedCitation":"&lt;sup&gt;193–199&lt;/sup&gt;","plainTextFormattedCitation":"193–199","previouslyFormattedCitation":"&lt;sup&gt;193–199&lt;/sup&gt;"},"properties":{"noteIndex":0},"schema":"https://github.com/citation-style-language/schema/raw/master/csl-citation.json"}</w:instrText>
      </w:r>
      <w:r w:rsidRPr="006D631C">
        <w:rPr>
          <w:rFonts w:asciiTheme="majorBidi" w:hAnsiTheme="majorBidi" w:cstheme="majorBidi"/>
        </w:rPr>
        <w:fldChar w:fldCharType="separate"/>
      </w:r>
      <w:r w:rsidR="006A1F59" w:rsidRPr="006D631C">
        <w:rPr>
          <w:rFonts w:asciiTheme="majorBidi" w:hAnsiTheme="majorBidi" w:cstheme="majorBidi"/>
          <w:noProof/>
          <w:vertAlign w:val="superscript"/>
        </w:rPr>
        <w:t>193–199</w:t>
      </w:r>
      <w:r w:rsidRPr="006D631C">
        <w:rPr>
          <w:rFonts w:asciiTheme="majorBidi" w:hAnsiTheme="majorBidi" w:cstheme="majorBidi"/>
        </w:rPr>
        <w:fldChar w:fldCharType="end"/>
      </w:r>
      <w:r w:rsidRPr="006D631C">
        <w:rPr>
          <w:rFonts w:asciiTheme="majorBidi" w:hAnsiTheme="majorBidi" w:cstheme="majorBidi"/>
        </w:rPr>
        <w:t xml:space="preserve"> </w:t>
      </w:r>
      <w:proofErr w:type="gramStart"/>
      <w:r w:rsidRPr="006D631C">
        <w:rPr>
          <w:rFonts w:asciiTheme="majorBidi" w:hAnsiTheme="majorBidi" w:cstheme="majorBidi"/>
        </w:rPr>
        <w:t>While</w:t>
      </w:r>
      <w:proofErr w:type="gramEnd"/>
      <w:r w:rsidRPr="006D631C">
        <w:rPr>
          <w:rFonts w:asciiTheme="majorBidi" w:hAnsiTheme="majorBidi" w:cstheme="majorBidi"/>
        </w:rPr>
        <w:t xml:space="preserve"> this method works perfectly, in some cases, to preserve the conductivity of the obtained polymer electrolyte, a relatively high amount of ionic liquid is required which results in deterioration of the mechanical properties over time. To address this issue, a limited number of reports have used LLC templating to fabricate robust ion gels having proper conductivity.</w:t>
      </w:r>
      <w:r w:rsidRPr="006D631C">
        <w:rPr>
          <w:rFonts w:asciiTheme="majorBidi" w:hAnsiTheme="majorBidi" w:cstheme="majorBidi"/>
        </w:rPr>
        <w:fldChar w:fldCharType="begin" w:fldLock="1"/>
      </w:r>
      <w:r w:rsidR="000537AA" w:rsidRPr="006D631C">
        <w:rPr>
          <w:rFonts w:asciiTheme="majorBidi" w:hAnsiTheme="majorBidi" w:cstheme="majorBidi"/>
        </w:rPr>
        <w:instrText>ADDIN CSL_CITATION {"citationItems":[{"id":"ITEM-1","itemData":{"DOI":"10.1039/D0SM00850H","ISSN":"1744-683X","abstract":"Ion gels can be produced through polymerization of lyotropic liquid crystal templates of a monomer, cross-linker, ionic liquid, and amphiphilic block copolymer. The mechanical strength of ion gels can be increased one order of magnitude without compromising the ionic conductivity.","author":[{"dropping-particle":"","family":"Bandegi","given":"Alireza","non-dropping-particle":"","parse-names":false,"suffix":""},{"dropping-particle":"","family":"Bañuelos","given":"Jose L.","non-dropping-particle":"","parse-names":false,"suffix":""},{"dropping-particle":"","family":"Foudazi","given":"Reza","non-dropping-particle":"","parse-names":false,"suffix":""}],"container-title":"Soft Matter","id":"ITEM-1","issue":"26","issued":{"date-parts":[["2020"]]},"page":"6102-6114","title":"Formation of ion gels by polymerization of block copolymer/ionic liquid/oil mesophases","type":"article-journal","volume":"16"},"uris":["http://www.mendeley.com/documents/?uuid=3c9b1002-6da8-4045-95db-af61dff5546a"]},{"id":"ITEM-2","itemData":{"DOI":"10.1021/acsami.8b10672","ISSN":"19448252","abstract":"An ultrastretchable iono-elastomer with resistance sensitive to both elongation strain and temperature has been developed by hierarchical self-assembly of an end functionalized triblock copolymer in a protic ionic liquid (ethylammonium nitrate) followed by cross-linking. Small-angle X-ray scattering experiments in situ with uniaxial elongation reveal a nanoscale microstructural transition of the hierarchically self-assembled cross-linked micelles that is responsible for the material's remarkable mechanical and ionic conductivity responses. The results show that the intermicelle distance extends along the deformation direction while the micelles organize into a long-range ordered face-centered-cubic structure during the uniaxial elongation. Besides good cyclability and resistance to selected physical damage, the iono-elastomer simultaneously achieves an unprecedented combination of high stretchability (340%), highly linear resistance vs elongation strain (R2 = 0.998), and large temperature gauge factor (ΔR/R = 3.24%/°C@30 °C). Human subject testing demonstrates that the iono-elastomer-based wearable thermomechanical sensor is able to effectively and accurately register both body motion and skin temperature simultaneously.","author":[{"dropping-particle":"","family":"Xie","given":"Yunsong","non-dropping-particle":"","parse-names":false,"suffix":""},{"dropping-particle":"","family":"Xie","given":"Ru","non-dropping-particle":"","parse-names":false,"suffix":""},{"dropping-particle":"","family":"Yang","given":"Hao Cheng","non-dropping-particle":"","parse-names":false,"suffix":""},{"dropping-particle":"","family":"Chen","given":"Zhaowei","non-dropping-particle":"","parse-names":false,"suffix":""},{"dropping-particle":"","family":"Hou","given":"Jingwei","non-dropping-particle":"","parse-names":false,"suffix":""},{"dropping-particle":"","family":"López-Barrón","given":"Carlos R.","non-dropping-particle":"","parse-names":false,"suffix":""},{"dropping-particle":"","family":"Wagner","given":"Norman J.","non-dropping-particle":"","parse-names":false,"suffix":""},{"dropping-particle":"","family":"Gao","given":"Kai Zhong","non-dropping-particle":"","parse-names":false,"suffix":""}],"container-title":"ACS Applied Materials and Interfaces","id":"ITEM-2","issue":"38","issued":{"date-parts":[["2018"]]},"page":"32435-32443","title":"Iono-Elastomer-Based Wearable Strain Sensor with Real-Time Thermomechanical Dual Response","type":"article-journal","volume":"10"},"uris":["http://www.mendeley.com/documents/?uuid=ac01ca70-c8c7-4385-90f3-881be2b6ddd1"]},{"id":"ITEM-3","itemData":{"DOI":"10.1021/acs.macromol.6b00205","ISSN":"15205835","abstract":"The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J.","non-dropping-particle":"","parse-names":false,"suffix":""}],"container-title":"Macromolecules","id":"ITEM-3","issue":"14","issued":{"date-parts":[["2016"]]},"page":"5179-5189","title":"Self-Assembly of Pluronic F127 Diacrylate in Ethylammonium Nitrate: Structure, Rheology, and Ionic Conductivity before and after Photo-Cross-Linking","type":"article-journal","volume":"49"},"uris":["http://www.mendeley.com/documents/?uuid=6ddc0c83-b7e6-4ae7-bbbe-b38e8eb525a5"]},{"id":"ITEM-4","itemData":{"DOI":"10.1021/acsmacrolett.6b00790","ISSN":"21611653","abstract":"The emerging technologies involving wearable electronics require new materials with high stretchability, resistance to high loads, and high conductivities. We report a facile synthetic strategy based on self-assembly of concentrated solutions of end-functionalized PEO106-PPO70-PEO106 triblock copolymer in ethylammonium nitrate into face-centered cubic micellar crystals, followed by micelle corona cross-linking to generate elastomeric ion gels (iono-elastomers). These materials exhibit an unprecedented combination of high stretchability, high ionic conductivity, and mechanoelectrical response. The latter consists of a remarkable and counterintuitive increase in ion conductivity with strain during uniaxial extension, which is reversible upon load release. Based on in situ SAXS measurements of reversible crystal structure transformations during deformation, we postulate that the origin of the conductivity increase is a reversible formation of ion nanochannels due to a novel microstructural rearrangement specific to this material.","author":[{"dropping-particle":"","family":"López-Barrón","given":"Carlos R.","non-dropping-particle":"","parse-names":false,"suffix":""},{"dropping-particle":"","family":"Chen","given":"Ru","non-dropping-particle":"","parse-names":false,"suffix":""},{"dropping-particle":"","family":"Wagner","given":"Norman J.","non-dropping-particle":"","parse-names":false,"suffix":""}],"container-title":"ACS Macro Letters","id":"ITEM-4","issue":"12","issued":{"date-parts":[["2016"]]},"page":"1332-1338","title":"Ultrastretchable Iono-Elastomers with Mechanoelectrical Response","type":"article-journal","volume":"5"},"uris":["http://www.mendeley.com/documents/?uuid=d94ed24e-94b1-4abc-96df-3cf80d984941"]},{"id":"ITEM-5","itemData":{"DOI":"10.1002/pol.20210440","ISSN":"2642-4150","author":[{"dropping-particle":"","family":"Bandegi","given":"Alireza","non-dropping-particle":"","parse-names":false,"suffix":""},{"dropping-particle":"","family":"Kim","given":"Kyungtae","non-dropping-particle":"","parse-names":false,"suffix":""},{"dropping-particle":"","family":"Foudazi","given":"Reza","non-dropping-particle":"","parse-names":false,"suffix":""}],"container-title":"Journal of Polymer Science","id":"ITEM-5","issue":"20","issued":{"date-parts":[["2021","10","15"]]},"page":"2334-2344","title":"Ion transport in polymerized lyotropic liquid crystals containing ionic liquid","type":"article-journal","volume":"59"},"uris":["http://www.mendeley.com/documents/?uuid=46e6f02d-24d9-465c-b1a5-25782cb4f4ce"]}],"mendeley":{"formattedCitation":"&lt;sup&gt;13,47,48,147,148&lt;/sup&gt;","plainTextFormattedCitation":"13,47,48,147,148","previouslyFormattedCitation":"&lt;sup&gt;13,47,48,147,148&lt;/sup&gt;"},"properties":{"noteIndex":0},"schema":"https://github.com/citation-style-language/schema/raw/master/csl-citation.json"}</w:instrText>
      </w:r>
      <w:r w:rsidRPr="006D631C">
        <w:rPr>
          <w:rFonts w:asciiTheme="majorBidi" w:hAnsiTheme="majorBidi" w:cstheme="majorBidi"/>
        </w:rPr>
        <w:fldChar w:fldCharType="separate"/>
      </w:r>
      <w:r w:rsidR="000537AA" w:rsidRPr="006D631C">
        <w:rPr>
          <w:rFonts w:asciiTheme="majorBidi" w:hAnsiTheme="majorBidi" w:cstheme="majorBidi"/>
          <w:noProof/>
          <w:vertAlign w:val="superscript"/>
        </w:rPr>
        <w:t>13,47,48,147,148</w:t>
      </w:r>
      <w:r w:rsidRPr="006D631C">
        <w:rPr>
          <w:rFonts w:asciiTheme="majorBidi" w:hAnsiTheme="majorBidi" w:cstheme="majorBidi"/>
        </w:rPr>
        <w:fldChar w:fldCharType="end"/>
      </w:r>
      <w:r w:rsidRPr="006D631C">
        <w:rPr>
          <w:rFonts w:asciiTheme="majorBidi" w:hAnsiTheme="majorBidi" w:cstheme="majorBidi"/>
        </w:rPr>
        <w:t xml:space="preserve"> Nevertheless, expanding the available formulations and using different structures are still required to improve the mechanical properties beyond those offered by the current polymer electrolytes. </w:t>
      </w:r>
    </w:p>
    <w:p w14:paraId="72D7496D" w14:textId="421E68DB" w:rsidR="00797827" w:rsidRPr="006D631C" w:rsidRDefault="00797827" w:rsidP="009771A6">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There has been a great deal of interest toward commercialization of energy conversion devices in fuel cells and solar cells.</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{"citationItems":[{"id":"ITEM-1","itemData":{"DOI":"10.1039/C7NR08457A","ISSN":"2040-3364","abstract":"Swollen hexagonal liquid crystals are versatile temples to synthesize nanomaterials for energy harvesting applications.","author":[{"dropping-particle":"","family":"Ghosh","given":"Srabanti","non-dropping-particle":"","parse-names":false,"suffix":""},{"dropping-particle":"","family":"Ramos","given":"Laurence","non-dropping-particle":"","parse-names":false,"suffix":""},{"dropping-particle":"","family":"Remita","given":"Hynd","non-dropping-particle":"","parse-names":false,"suffix":""}],"container-title":"Nanoscale","id":"ITEM-1","issue":"13","issued":{"date-parts":[["2018"]]},"page":"5793-5819","title":"Swollen hexagonal liquid crystals as smart nanoreactors: implementation in materials chemistry for energy applications","type":"article-journal","volume":"10"},"uris":["http://www.mendeley.com/documents/?uuid=41c977b0-0e47-406c-bb46-a46c017865ed"]}],"mendeley":{"formattedCitation":"&lt;sup&gt;200&lt;/sup&gt;","plainTextFormattedCitation":"200","previouslyFormattedCitation":"&lt;sup&gt;200&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200</w:t>
      </w:r>
      <w:r w:rsidRPr="006D631C">
        <w:rPr>
          <w:rFonts w:asciiTheme="majorBidi" w:hAnsiTheme="majorBidi" w:cstheme="majorBidi"/>
        </w:rPr>
        <w:fldChar w:fldCharType="end"/>
      </w:r>
      <w:r w:rsidRPr="006D631C">
        <w:rPr>
          <w:rFonts w:asciiTheme="majorBidi" w:hAnsiTheme="majorBidi" w:cstheme="majorBidi"/>
        </w:rPr>
        <w:t xml:space="preserve"> Therefore, it can be a great opportunity to employ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with different nanostructures to improve the efficiency of such materials and thus facilitate the commercialization process. PolyLLCs and LLC templating methods offer several advantages over the materials and methods currently used in this field. For instance, </w:t>
      </w:r>
      <w:proofErr w:type="spellStart"/>
      <w:r w:rsidRPr="006D631C">
        <w:rPr>
          <w:rFonts w:asciiTheme="majorBidi" w:hAnsiTheme="majorBidi" w:cstheme="majorBidi"/>
        </w:rPr>
        <w:t>microemulsion</w:t>
      </w:r>
      <w:proofErr w:type="spellEnd"/>
      <w:r w:rsidRPr="006D631C">
        <w:rPr>
          <w:rFonts w:asciiTheme="majorBidi" w:hAnsiTheme="majorBidi" w:cstheme="majorBidi"/>
        </w:rPr>
        <w:t>-templated products usually do not have anisotropic structure as L</w:t>
      </w:r>
      <w:r w:rsidRPr="006D631C">
        <w:rPr>
          <w:rFonts w:asciiTheme="majorBidi" w:hAnsiTheme="majorBidi" w:cstheme="majorBidi"/>
          <w:vertAlign w:val="subscript"/>
        </w:rPr>
        <w:t>α</w:t>
      </w:r>
      <w:r w:rsidRPr="006D631C">
        <w:rPr>
          <w:rFonts w:asciiTheme="majorBidi" w:hAnsiTheme="majorBidi" w:cstheme="majorBidi"/>
        </w:rPr>
        <w:t xml:space="preserve"> , H</w:t>
      </w:r>
      <w:r w:rsidRPr="006D631C">
        <w:rPr>
          <w:rFonts w:asciiTheme="majorBidi" w:hAnsiTheme="majorBidi" w:cstheme="majorBidi"/>
          <w:vertAlign w:val="subscript"/>
        </w:rPr>
        <w:t>1</w:t>
      </w:r>
      <w:r w:rsidRPr="006D631C">
        <w:rPr>
          <w:rFonts w:asciiTheme="majorBidi" w:hAnsiTheme="majorBidi" w:cstheme="majorBidi"/>
        </w:rPr>
        <w:t xml:space="preserve"> and H</w:t>
      </w:r>
      <w:r w:rsidRPr="006D631C">
        <w:rPr>
          <w:rFonts w:asciiTheme="majorBidi" w:hAnsiTheme="majorBidi" w:cstheme="majorBidi"/>
          <w:vertAlign w:val="subscript"/>
        </w:rPr>
        <w:t>2</w:t>
      </w:r>
      <w:r w:rsidRPr="006D631C">
        <w:rPr>
          <w:rFonts w:asciiTheme="majorBidi" w:hAnsiTheme="majorBidi" w:cstheme="majorBidi"/>
        </w:rPr>
        <w:t xml:space="preserve"> LLCs do.</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{"citationItems":[{"id":"ITEM-1","itemData":{"DOI":"10.1039/C7NR08457A","ISSN":"2040-3364","abstract":"Swollen hexagonal liquid crystals are versatile temples to synthesize nanomaterials for energy harvesting applications.","author":[{"dropping-particle":"","family":"Ghosh","given":"Srabanti","non-dropping-particle":"","parse-names":false,"suffix":""},{"dropping-particle":"","family":"Ramos","given":"Laurence","non-dropping-particle":"","parse-names":false,"suffix":""},{"dropping-particle":"","family":"Remita","given":"Hynd","non-dropping-particle":"","parse-names":false,"suffix":""}],"container-title":"Nanoscale","id":"ITEM-1","issue":"13","issued":{"date-parts":[["2018"]]},"page":"5793-5819","title":"Swollen hexagonal liquid crystals as smart nanoreactors: implementation in materials chemistry for energy applications","type":"article-journal","volume":"10"},"uris":["http://www.mendeley.com/documents/?uuid=41c977b0-0e47-406c-bb46-a46c017865ed"]}],"mendeley":{"formattedCitation":"&lt;sup&gt;200&lt;/sup&gt;","plainTextFormattedCitation":"200","previouslyFormattedCitation":"&lt;sup&gt;200&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200</w:t>
      </w:r>
      <w:r w:rsidRPr="006D631C">
        <w:rPr>
          <w:rFonts w:asciiTheme="majorBidi" w:hAnsiTheme="majorBidi" w:cstheme="majorBidi"/>
        </w:rPr>
        <w:fldChar w:fldCharType="end"/>
      </w:r>
      <w:r w:rsidRPr="006D631C">
        <w:rPr>
          <w:rFonts w:asciiTheme="majorBidi" w:hAnsiTheme="majorBidi" w:cstheme="majorBidi"/>
        </w:rPr>
        <w:t xml:space="preserve"> Moreover, LLC templating is much more straightforward than multi-step gas bubble templating approach employed to create porous structures.</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10.1016/j.ces.2004.04.001","ISSN":"00092509","author":[{"dropping-particle":"","family":"Fan","given":"X.","non-dropping-particle":"","parse-names":false,"suffix":""},{"dropping-particle":"","family":"Zhang","given":"Z.","non-dropping-particle":"","parse-names":false,"suffix":""},{"dropping-particle":"","family":"Li","given":"G.","non-dropping-particle":"","parse-names":false,"suffix":""},{"dropping-particle":"","family":"Rowson","given":"N.A.","non-dropping-particle":"","parse-names":false,"suffix":""}],"container-title":"Chemical Engineering Science","id":"ITEM-1","issue":"13","issued":{"date-parts":[["2004","7"]]},"page":"2639-2645","title":"Attachment of solid particles to air bubbles in surfactant-free aqueous solutions","type":"article-journal","volume":"59"},"uris":["http://www.mendeley.com/documents/?uuid=24cb52e0-d44c-4828-8334-e3343c65fbba"]}],"mendeley":{"formattedCitation":"&lt;sup&gt;201&lt;/sup&gt;","plainTextFormattedCitation":"201","previouslyFormattedCitation":"&lt;sup&gt;201&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201</w:t>
      </w:r>
      <w:r w:rsidRPr="006D631C">
        <w:rPr>
          <w:rFonts w:asciiTheme="majorBidi" w:hAnsiTheme="majorBidi" w:cstheme="majorBidi"/>
        </w:rPr>
        <w:fldChar w:fldCharType="end"/>
      </w:r>
      <w:r w:rsidRPr="006D631C">
        <w:rPr>
          <w:rFonts w:asciiTheme="majorBidi" w:hAnsiTheme="majorBidi" w:cstheme="majorBidi"/>
        </w:rPr>
        <w:t xml:space="preserve"> Additionally, templating with soft LLCs is simpler and </w:t>
      </w:r>
      <w:r w:rsidRPr="006D631C">
        <w:rPr>
          <w:rFonts w:asciiTheme="majorBidi" w:hAnsiTheme="majorBidi" w:cstheme="majorBidi"/>
        </w:rPr>
        <w:lastRenderedPageBreak/>
        <w:t>safer than employing hard templates which not only is a complex technique, but also is not safe as harmful chemicals are used for the template removal.</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10.1021/cm702126j","ISSN":"0897-4756","author":[{"dropping-particle":"","family":"Thomas","given":"Arne","non-dropping-particle":"","parse-names":false,"suffix":""},{"dropping-particle":"","family":"Goettmann","given":"Frederic","non-dropping-particle":"","parse-names":false,"suffix":""},{"dropping-particle":"","family":"Antonietti","given":"Markus","non-dropping-particle":"","parse-names":false,"suffix":""}],"container-title":"Chemistry of Materials","id":"ITEM-1","issue":"3","issued":{"date-parts":[["2008","2"]]},"page":"738-755","title":"Hard Templates for Soft Materials: Creating Nanostructured Organic Materials †","type":"article-journal","volume":"20"},"uris":["http://www.mendeley.com/documents/?uuid=7264758c-6dcc-4125-a998-38ccb67bb468"]}],"mendeley":{"formattedCitation":"&lt;sup&gt;202&lt;/sup&gt;","plainTextFormattedCitation":"202","previouslyFormattedCitation":"&lt;sup&gt;202&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202</w:t>
      </w:r>
      <w:r w:rsidRPr="006D631C">
        <w:rPr>
          <w:rFonts w:asciiTheme="majorBidi" w:hAnsiTheme="majorBidi" w:cstheme="majorBidi"/>
        </w:rPr>
        <w:fldChar w:fldCharType="end"/>
      </w:r>
    </w:p>
    <w:p w14:paraId="4828C0E0" w14:textId="12D65541" w:rsidR="00797827" w:rsidRPr="006D631C" w:rsidRDefault="00797827" w:rsidP="009771A6">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Successful production of inorganic nanostructures (e.g., Pt, </w:t>
      </w:r>
      <w:proofErr w:type="spellStart"/>
      <w:r w:rsidRPr="006D631C">
        <w:rPr>
          <w:rFonts w:asciiTheme="majorBidi" w:hAnsiTheme="majorBidi" w:cstheme="majorBidi"/>
        </w:rPr>
        <w:t>Pd</w:t>
      </w:r>
      <w:proofErr w:type="spellEnd"/>
      <w:r w:rsidRPr="006D631C">
        <w:rPr>
          <w:rFonts w:asciiTheme="majorBidi" w:hAnsiTheme="majorBidi" w:cstheme="majorBidi"/>
        </w:rPr>
        <w:t xml:space="preserve"> and bimetallic) in LLC templates has already been documented. According to the experimental results, the obtained nanomaterials exhibit remarkable </w:t>
      </w:r>
      <w:proofErr w:type="spellStart"/>
      <w:r w:rsidRPr="006D631C">
        <w:rPr>
          <w:rFonts w:asciiTheme="majorBidi" w:hAnsiTheme="majorBidi" w:cstheme="majorBidi"/>
        </w:rPr>
        <w:t>electrocatalytic</w:t>
      </w:r>
      <w:proofErr w:type="spellEnd"/>
      <w:r w:rsidRPr="006D631C">
        <w:rPr>
          <w:rFonts w:asciiTheme="majorBidi" w:hAnsiTheme="majorBidi" w:cstheme="majorBidi"/>
        </w:rPr>
        <w:t xml:space="preserve"> activity, high conductivity and chemical stability, and low cost of production.</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{"citationItems":[{"id":"ITEM-1","itemData":{"DOI":"10.1039/C7NR08457A","ISSN":"2040-3364","abstract":"Swollen hexagonal liquid crystals are versatile temples to synthesize nanomaterials for energy harvesting applications.","author":[{"dropping-particle":"","family":"Ghosh","given":"Srabanti","non-dropping-particle":"","parse-names":false,"suffix":""},{"dropping-particle":"","family":"Ramos","given":"Laurence","non-dropping-particle":"","parse-names":false,"suffix":""},{"dropping-particle":"","family":"Remita","given":"Hynd","non-dropping-particle":"","parse-names":false,"suffix":""}],"container-title":"Nanoscale","id":"ITEM-1","issue":"13","issued":{"date-parts":[["2018"]]},"page":"5793-5819","title":"Swollen hexagonal liquid crystals as smart nanoreactors: implementation in materials chemistry for energy applications","type":"article-journal","volume":"10"},"uris":["http://www.mendeley.com/documents/?uuid=41c977b0-0e47-406c-bb46-a46c017865ed"]}],"mendeley":{"formattedCitation":"&lt;sup&gt;200&lt;/sup&gt;","plainTextFormattedCitation":"200","previouslyFormattedCitation":"&lt;sup&gt;200&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200</w:t>
      </w:r>
      <w:r w:rsidRPr="006D631C">
        <w:rPr>
          <w:rFonts w:asciiTheme="majorBidi" w:hAnsiTheme="majorBidi" w:cstheme="majorBidi"/>
        </w:rPr>
        <w:fldChar w:fldCharType="end"/>
      </w:r>
      <w:r w:rsidRPr="006D631C">
        <w:rPr>
          <w:rFonts w:asciiTheme="majorBidi" w:hAnsiTheme="majorBidi" w:cstheme="majorBidi"/>
        </w:rPr>
        <w:t xml:space="preserve"> Nevertheless, there are still limited works on LLC templating of organic species. In one work, </w:t>
      </w:r>
      <w:proofErr w:type="spellStart"/>
      <w:r w:rsidRPr="006D631C">
        <w:rPr>
          <w:rFonts w:asciiTheme="majorBidi" w:hAnsiTheme="majorBidi" w:cstheme="majorBidi"/>
        </w:rPr>
        <w:t>Hulvat</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Pr="006D631C">
        <w:rPr>
          <w:rFonts w:asciiTheme="majorBidi" w:hAnsiTheme="majorBidi" w:cstheme="majorBidi"/>
        </w:rPr>
        <w:t xml:space="preserve"> used M-18 in normal hexagonal structure to fabricate nanostructured conductive materials. The obtained products have shown higher conductivity compared to the non-templated formulation.</w:t>
      </w:r>
      <w:r w:rsidRPr="006D631C">
        <w:rPr>
          <w:color w:val="000000"/>
          <w:sz w:val="10"/>
          <w:szCs w:val="10"/>
        </w:rPr>
        <w:fldChar w:fldCharType="begin" w:fldLock="1"/>
      </w:r>
      <w:r w:rsidR="00DA3CF1" w:rsidRPr="006D631C">
        <w:rPr>
          <w:color w:val="000000"/>
        </w:rPr>
        <w:instrText>ADDIN CSL_CITATION {"citationItems":[{"id":"ITEM-1","itemData":{"DOI":"10.1002/anie.200390206","ISSN":"14337851","abstract":"Mimicking the texture and anisotropy of the template, birefringent conducting polymer films (see picture) have been obtained by electropolymerization of 3,4-ethyldioxythiophene (EDOT) within a hexagonal lyotropic liquid crystal. Using a self-assembled template to control molecular orientation in conducting polymers could enhance electronic and optical properties.","author":[{"dropping-particle":"","family":"Hulvat","given":"James F.","non-dropping-particle":"","parse-names":false,"suffix":""},{"dropping-particle":"","family":"Stupp","given":"Samuel I.","non-dropping-particle":"","parse-names":false,"suffix":""}],"container-title":"Angewandte Chemie - International Edition","id":"ITEM-1","issue":"7","issued":{"date-parts":[["2003"]]},"page":"778-781","title":"Liquid-crystal templating of conducting polymers","type":"article-journal","volume":"42"},"uris":["http://www.mendeley.com/documents/?uuid=7b97ab80-8504-4f36-bb48-6805b0f6dfde"]},{"id":"ITEM-2","itemData":{"DOI":"10.1002/adma.200306263","ISSN":"0935-9648","abstract":"Anisotropic films of poly(3,4-ethyl-dioxythiophene) (PEDOT) have been prepared by polymerization in an aqueous, self-organized liquid crystalline template. The cylindrical, hydrophobic cores of the hexagonal template direct electropolymerization, producing films with anisotropic optical absorption and conductivity.","author":[{"dropping-particle":"","family":"Hulvat","given":"J. F.","non-dropping-particle":"","parse-names":false,"suffix":""},{"dropping-particle":"","family":"Stupp","given":"S. I.","non-dropping-particle":"","parse-names":false,"suffix":""}],"container-title":"Advanced Materials","id":"ITEM-2","issue":"7","issued":{"date-parts":[["2004"]]},"page":"589-592","title":"Anisotropic Properties of Conducting Polymers Prepared by Liquid Crystal Templating","type":"article-journal","volume":"16"},"uris":["http://www.mendeley.com/documents/?uuid=f4d3bd88-6692-42de-ac1b-2e9eda2ee9ca"]}],"mendeley":{"formattedCitation":"&lt;sup&gt;163,164&lt;/sup&gt;","plainTextFormattedCitation":"163,164","previouslyFormattedCitation":"&lt;sup&gt;163,164&lt;/sup&gt;"},"properties":{"noteIndex":0},"schema":"https://github.com/citation-style-language/schema/raw/master/csl-citation.json"}</w:instrText>
      </w:r>
      <w:r w:rsidRPr="006D631C">
        <w:rPr>
          <w:color w:val="000000"/>
          <w:sz w:val="10"/>
          <w:szCs w:val="10"/>
        </w:rPr>
        <w:fldChar w:fldCharType="separate"/>
      </w:r>
      <w:r w:rsidR="006A1F59" w:rsidRPr="006D631C">
        <w:rPr>
          <w:noProof/>
          <w:color w:val="000000"/>
          <w:vertAlign w:val="superscript"/>
        </w:rPr>
        <w:t>163,164</w:t>
      </w:r>
      <w:r w:rsidRPr="006D631C">
        <w:rPr>
          <w:color w:val="000000"/>
          <w:sz w:val="10"/>
          <w:szCs w:val="10"/>
        </w:rPr>
        <w:fldChar w:fldCharType="end"/>
      </w:r>
      <w:r w:rsidRPr="006D631C">
        <w:rPr>
          <w:color w:val="000000"/>
        </w:rPr>
        <w:t xml:space="preserve"> Similar increase in conductivity has been reported for the products obtained from LLC templating of M-18 by Ghosh </w:t>
      </w:r>
      <w:r w:rsidRPr="006D631C">
        <w:rPr>
          <w:i/>
          <w:iCs/>
          <w:color w:val="000000"/>
        </w:rPr>
        <w:t>et al.</w:t>
      </w:r>
      <w:r w:rsidRPr="006D631C">
        <w:rPr>
          <w:color w:val="000000"/>
        </w:rPr>
        <w:fldChar w:fldCharType="begin" w:fldLock="1"/>
      </w:r>
      <w:r w:rsidR="00DA3CF1" w:rsidRPr="006D631C">
        <w:rPr>
          <w:color w:val="000000"/>
        </w:rPr>
        <w:instrText>ADDIN CSL_CITATION {"citationItems":[{"id":"ITEM-1","itemData":{"DOI":"10.1039/C3NJ01349A","ISSN":"1144-0546","abstract":"Anisotropic conducting PEDOT polymers are prepared within hexagonal mesophases according to an original one-pot synthesis and are characterized after extraction.","author":[{"dropping-particle":"","family":"Ghosh","given":"Srabanti","non-dropping-particle":"","parse-names":false,"suffix":""},{"dropping-particle":"","family":"Remita","given":"Hynd","non-dropping-particle":"","parse-names":false,"suffix":""},{"dropping-particle":"","family":"Ramos","given":"Laurence","non-dropping-particle":"","parse-names":false,"suffix":""},{"dropping-particle":"","family":"Dazzi","given":"Alexandre","non-dropping-particle":"","parse-names":false,"suffix":""},{"dropping-particle":"","family":"Deniset-Besseau","given":"Ariane","non-dropping-particle":"","parse-names":false,"suffix":""},{"dropping-particle":"","family":"Beaunier","given":"Patricia","non-dropping-particle":"","parse-names":false,"suffix":""},{"dropping-particle":"","family":"Goubard","given":"Fabrice","non-dropping-particle":"","parse-names":false,"suffix":""},{"dropping-particle":"","family":"Aubert","given":"Pierre-Henri","non-dropping-particle":"","parse-names":false,"suffix":""},{"dropping-particle":"","family":"Brisset","given":"Francois","non-dropping-particle":"","parse-names":false,"suffix":""},{"dropping-particle":"","family":"Remita","given":"Samy","non-dropping-particle":"","parse-names":false,"suffix":""}],"container-title":"New J. Chem.","id":"ITEM-1","issue":"3","issued":{"date-parts":[["2014"]]},"page":"1106-1115","title":"PEDOT nanostructures synthesized in hexagonal mesophases","type":"article-journal","volume":"38"},"uris":["http://www.mendeley.com/documents/?uuid=2c3042a9-ba1c-4113-a40b-b454455774b2"]}],"mendeley":{"formattedCitation":"&lt;sup&gt;165&lt;/sup&gt;","plainTextFormattedCitation":"165","previouslyFormattedCitation":"&lt;sup&gt;165&lt;/sup&gt;"},"properties":{"noteIndex":0},"schema":"https://github.com/citation-style-language/schema/raw/master/csl-citation.json"}</w:instrText>
      </w:r>
      <w:r w:rsidRPr="006D631C">
        <w:rPr>
          <w:color w:val="000000"/>
        </w:rPr>
        <w:fldChar w:fldCharType="separate"/>
      </w:r>
      <w:r w:rsidR="006A1F59" w:rsidRPr="006D631C">
        <w:rPr>
          <w:noProof/>
          <w:color w:val="000000"/>
          <w:vertAlign w:val="superscript"/>
        </w:rPr>
        <w:t>165</w:t>
      </w:r>
      <w:r w:rsidRPr="006D631C">
        <w:rPr>
          <w:color w:val="000000"/>
        </w:rPr>
        <w:fldChar w:fldCharType="end"/>
      </w:r>
      <w:r w:rsidRPr="006D631C">
        <w:rPr>
          <w:color w:val="000000"/>
        </w:rPr>
        <w:t xml:space="preserve"> </w:t>
      </w:r>
      <w:r w:rsidRPr="006D631C">
        <w:rPr>
          <w:rFonts w:asciiTheme="majorBidi" w:hAnsiTheme="majorBidi" w:cstheme="majorBidi"/>
        </w:rPr>
        <w:t>In another effort, M-39 has been polymerized in H</w:t>
      </w:r>
      <w:r w:rsidRPr="006D631C">
        <w:rPr>
          <w:rFonts w:asciiTheme="majorBidi" w:hAnsiTheme="majorBidi" w:cstheme="majorBidi"/>
          <w:vertAlign w:val="subscript"/>
        </w:rPr>
        <w:t>1</w:t>
      </w:r>
      <w:r w:rsidRPr="006D631C">
        <w:rPr>
          <w:rFonts w:asciiTheme="majorBidi" w:hAnsiTheme="majorBidi" w:cstheme="majorBidi"/>
        </w:rPr>
        <w:t xml:space="preserve"> structure, resulting in nanofibers with a conductivity higher than the values reported in the literature for same polymer.</w:t>
      </w:r>
      <w:r w:rsidRPr="006D631C">
        <w:rPr>
          <w:color w:val="000000"/>
          <w:sz w:val="10"/>
          <w:szCs w:val="10"/>
        </w:rPr>
        <w:fldChar w:fldCharType="begin" w:fldLock="1"/>
      </w:r>
      <w:r w:rsidR="00DA3CF1" w:rsidRPr="006D631C">
        <w:rPr>
          <w:color w:val="000000"/>
        </w:rPr>
        <w:instrText>ADDIN CSL_CITATION {"citationItems":[{"id":"ITEM-1","itemData":{"DOI":"10.1039/C5NJ00826C","ISSN":"1144-0546","abstract":"Conducting poly(diphenylbutadiyne) (PDPB) nanofibers with controlled diameters (5 to 25 nm) and relatively high conductivity were synthesized in soft templates using UV and gamma irradiation.","author":[{"dropping-particle":"","family":"Ghosh","given":"Srabanti","non-dropping-particle":"","parse-names":false,"suffix":""},{"dropping-particle":"","family":"Ramos","given":"Laurence","non-dropping-particle":"","parse-names":false,"suffix":""},{"dropping-particle":"","family":"Remita","given":"Samy","non-dropping-particle":"","parse-names":false,"suffix":""},{"dropping-particle":"","family":"Dazzi","given":"Alexandre","non-dropping-particle":"","parse-names":false,"suffix":""},{"dropping-particle":"","family":"Deniset-Besseau","given":"Ariane","non-dropping-particle":"","parse-names":false,"suffix":""},{"dropping-particle":"","family":"Beaunier","given":"Patricia","non-dropping-particle":"","parse-names":false,"suffix":""},{"dropping-particle":"","family":"Goubard","given":"Fabrice","non-dropping-particle":"","parse-names":false,"suffix":""},{"dropping-particle":"","family":"Aubert","given":"Pierre-Henri","non-dropping-particle":"","parse-names":false,"suffix":""},{"dropping-particle":"","family":"Remita","given":"Hynd","non-dropping-particle":"","parse-names":false,"suffix":""}],"container-title":"New Journal of Chemistry","id":"ITEM-1","issue":"11","issued":{"date-parts":[["2015"]]},"page":"8311-8320","title":"Conducting polymer nanofibers with controlled diameters synthesized in hexagonal mesophases","type":"article-journal","volume":"39"},"uris":["http://www.mendeley.com/documents/?uuid=acedd214-53ef-430c-935c-6ed1567585b9"]}],"mendeley":{"formattedCitation":"&lt;sup&gt;172&lt;/sup&gt;","plainTextFormattedCitation":"172","previouslyFormattedCitation":"&lt;sup&gt;172&lt;/sup&gt;"},"properties":{"noteIndex":0},"schema":"https://github.com/citation-style-language/schema/raw/master/csl-citation.json"}</w:instrText>
      </w:r>
      <w:r w:rsidRPr="006D631C">
        <w:rPr>
          <w:color w:val="000000"/>
          <w:sz w:val="10"/>
          <w:szCs w:val="10"/>
        </w:rPr>
        <w:fldChar w:fldCharType="separate"/>
      </w:r>
      <w:r w:rsidR="006A1F59" w:rsidRPr="006D631C">
        <w:rPr>
          <w:noProof/>
          <w:color w:val="000000"/>
          <w:vertAlign w:val="superscript"/>
        </w:rPr>
        <w:t>172</w:t>
      </w:r>
      <w:r w:rsidRPr="006D631C">
        <w:rPr>
          <w:color w:val="000000"/>
          <w:sz w:val="10"/>
          <w:szCs w:val="10"/>
        </w:rPr>
        <w:fldChar w:fldCharType="end"/>
      </w:r>
      <w:r w:rsidRPr="006D631C">
        <w:rPr>
          <w:rFonts w:asciiTheme="majorBidi" w:hAnsiTheme="majorBidi" w:cstheme="majorBidi"/>
        </w:rPr>
        <w:t xml:space="preserve"> M-40 has been used in LLC templating to fabricate nanostructured semiconductors with the optical band gap of 2.25 eV and strong absorption in the visible region, applicable in electronic devices or solar light harvesting applications.</w:t>
      </w:r>
      <w:r w:rsidRPr="006D631C">
        <w:rPr>
          <w:color w:val="000000"/>
          <w:sz w:val="10"/>
          <w:szCs w:val="10"/>
        </w:rPr>
        <w:fldChar w:fldCharType="begin" w:fldLock="1"/>
      </w:r>
      <w:r w:rsidR="00DA3CF1" w:rsidRPr="006D631C">
        <w:rPr>
          <w:color w:val="000000"/>
        </w:rPr>
        <w:instrText>ADDIN CSL_CITATION {"citationItems":[{"id":"ITEM-1","itemData":{"DOI":"10.1016/j.apcatb.2017.02.069","ISSN":"09263373","author":[{"dropping-particle":"","family":"Floresyona","given":"Dita","non-dropping-particle":"","parse-names":false,"suffix":""},{"dropping-particle":"","family":"Goubard","given":"Fabrice","non-dropping-particle":"","parse-names":false,"suffix":""},{"dropping-particle":"","family":"Aubert","given":"Pierre-Henri","non-dropping-particle":"","parse-names":false,"suffix":""},{"dropping-particle":"","family":"Lampre","given":"Isabelle","non-dropping-particle":"","parse-names":false,"suffix":""},{"dropping-particle":"","family":"Mathurin","given":"Jérémie","non-dropping-particle":"","parse-names":false,"suffix":""},{"dropping-particle":"","family":"Dazzi","given":"Alexandre","non-dropping-particle":"","parse-names":false,"suffix":""},{"dropping-particle":"","family":"Ghosh","given":"Srabanti","non-dropping-particle":"","parse-names":false,"suffix":""},{"dropping-particle":"","family":"Beaunier","given":"Patricia","non-dropping-particle":"","parse-names":false,"suffix":""},{"dropping-particle":"","family":"Brisset","given":"François","non-dropping-particle":"","parse-names":false,"suffix":""},{"dropping-particle":"","family":"Remita","given":"Samy","non-dropping-particle":"","parse-names":false,"suffix":""},{"dropping-particle":"","family":"Ramos","given":"Laurence","non-dropping-particle":"","parse-names":false,"suffix":""},{"dropping-particle":"","family":"Remita","given":"Hynd","non-dropping-particle":"","parse-names":false,"suffix":""}],"container-title":"Applied Catalysis B: Environmental","id":"ITEM-1","issued":{"date-parts":[["2017","7"]]},"page":"23-32","title":"Highly active poly(3-hexylthiophene) nanostructures for photocatalysis under solar light","type":"article-journal","volume":"209"},"uris":["http://www.mendeley.com/documents/?uuid=5594ab81-5d53-49f7-ba18-318981052493"]}],"mendeley":{"formattedCitation":"&lt;sup&gt;173&lt;/sup&gt;","plainTextFormattedCitation":"173","previouslyFormattedCitation":"&lt;sup&gt;173&lt;/sup&gt;"},"properties":{"noteIndex":0},"schema":"https://github.com/citation-style-language/schema/raw/master/csl-citation.json"}</w:instrText>
      </w:r>
      <w:r w:rsidRPr="006D631C">
        <w:rPr>
          <w:color w:val="000000"/>
          <w:sz w:val="10"/>
          <w:szCs w:val="10"/>
        </w:rPr>
        <w:fldChar w:fldCharType="separate"/>
      </w:r>
      <w:r w:rsidR="006A1F59" w:rsidRPr="006D631C">
        <w:rPr>
          <w:noProof/>
          <w:color w:val="000000"/>
          <w:vertAlign w:val="superscript"/>
        </w:rPr>
        <w:t>173</w:t>
      </w:r>
      <w:r w:rsidRPr="006D631C">
        <w:rPr>
          <w:color w:val="000000"/>
          <w:sz w:val="10"/>
          <w:szCs w:val="10"/>
        </w:rPr>
        <w:fldChar w:fldCharType="end"/>
      </w:r>
      <w:r w:rsidRPr="006D631C">
        <w:rPr>
          <w:rFonts w:asciiTheme="majorBidi" w:hAnsiTheme="majorBidi" w:cstheme="majorBidi"/>
        </w:rPr>
        <w:t xml:space="preserve"> Furthermore, there are some works in the literature showing that the properties of LLC-templated conductive polymers can be further enhanced by incorporation of inorganic nanoparticles in the LLC structure.</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{"citationItems":[{"id":"ITEM-1","itemData":{"DOI":"10.1039/C7NR08457A","ISSN":"2040-3364","abstract":"Swollen hexagonal liquid crystals are versatile temples to synthesize nanomaterials for energy harvesting applications.","author":[{"dropping-particle":"","family":"Ghosh","given":"Srabanti","non-dropping-particle":"","parse-names":false,"suffix":""},{"dropping-particle":"","family":"Ramos","given":"Laurence","non-dropping-particle":"","parse-names":false,"suffix":""},{"dropping-particle":"","family":"Remita","given":"Hynd","non-dropping-particle":"","parse-names":false,"suffix":""}],"container-title":"Nanoscale","id":"ITEM-1","issue":"13","issued":{"date-parts":[["2018"]]},"page":"5793-5819","title":"Swollen hexagonal liquid crystals as smart nanoreactors: implementation in materials chemistry for energy applications","type":"article-journal","volume":"10"},"uris":["http://www.mendeley.com/documents/?uuid=41c977b0-0e47-406c-bb46-a46c017865ed"]}],"mendeley":{"formattedCitation":"&lt;sup&gt;200&lt;/sup&gt;","plainTextFormattedCitation":"200","previouslyFormattedCitation":"&lt;sup&gt;200&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200</w:t>
      </w:r>
      <w:r w:rsidRPr="006D631C">
        <w:rPr>
          <w:rFonts w:asciiTheme="majorBidi" w:hAnsiTheme="majorBidi" w:cstheme="majorBidi"/>
        </w:rPr>
        <w:fldChar w:fldCharType="end"/>
      </w:r>
      <w:r w:rsidRPr="006D631C">
        <w:rPr>
          <w:rFonts w:asciiTheme="majorBidi" w:hAnsiTheme="majorBidi" w:cstheme="majorBidi"/>
        </w:rPr>
        <w:t xml:space="preserve"> These appealing results confirm the potential of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in this field.       </w:t>
      </w:r>
    </w:p>
    <w:p w14:paraId="5E7C28F7" w14:textId="711D0B30" w:rsidR="00797827" w:rsidRPr="006D631C" w:rsidRDefault="00797827" w:rsidP="00FB1272">
      <w:pPr>
        <w:tabs>
          <w:tab w:val="left" w:pos="90"/>
          <w:tab w:val="left" w:pos="360"/>
          <w:tab w:val="left" w:pos="992"/>
        </w:tabs>
        <w:spacing w:after="240"/>
        <w:ind w:firstLine="357"/>
        <w:rPr>
          <w:rFonts w:asciiTheme="majorBidi" w:hAnsiTheme="majorBidi" w:cstheme="majorBidi"/>
        </w:rPr>
      </w:pPr>
      <w:r w:rsidRPr="006D631C">
        <w:rPr>
          <w:rFonts w:asciiTheme="majorBidi" w:hAnsiTheme="majorBidi" w:cstheme="majorBidi"/>
        </w:rPr>
        <w:t>Another area of opportunity lies in the use of polymerized LLCs to control the synthesis and organization of inorganic nanomaterials. The use of LLCs to template synthesis of nanostructured inorganic materials is well-known and is the basis for the production of mesoporous molecular sieves such as SBA-15</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{"citationItems":[{"id":"ITEM-1","itemData":{"DOI":"10.1021/jp045798d","ISSN":"1520-6106","author":[{"dropping-particle":"","family":"Wang","given":"Xueguang","non-dropping-particle":"","parse-names":false,"suffix":""},{"dropping-particle":"","family":"Lin","given":"Kyle S. K.","non-dropping-particle":"","parse-names":false,"suffix":""},{"dropping-particle":"","family":"Chan","given":"Jerry C. C.","non-dropping-particle":"","parse-names":false,"suffix":""},{"dropping-particle":"","family":"Cheng","given":"Soofin","non-dropping-particle":"","parse-names":false,"suffix":""}],"container-title":"The Journal of Physical Chemistry B","id":"ITEM-1","issue":"5","issued":{"date-parts":[["2005","2"]]},"page":"1763-1769","title":"Direct Synthesis and Catalytic Applications of Ordered Large Pore Aminopropyl-Functionalized SBA-15 Mesoporous Materials","type":"article-journal","volume":"109"},"uris":["http://www.mendeley.com/documents/?uuid=973675ad-b226-4892-bd67-774bff05a1b5"]}],"mendeley":{"formattedCitation":"&lt;sup&gt;203&lt;/sup&gt;","plainTextFormattedCitation":"203","previouslyFormattedCitation":"&lt;sup&gt;203&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203</w:t>
      </w:r>
      <w:r w:rsidRPr="006D631C">
        <w:rPr>
          <w:rFonts w:asciiTheme="majorBidi" w:hAnsiTheme="majorBidi" w:cstheme="majorBidi"/>
        </w:rPr>
        <w:fldChar w:fldCharType="end"/>
      </w:r>
      <w:r w:rsidRPr="006D631C">
        <w:rPr>
          <w:rFonts w:asciiTheme="majorBidi" w:hAnsiTheme="majorBidi" w:cstheme="majorBidi"/>
        </w:rPr>
        <w:t xml:space="preserve"> and MCM-41</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{"citationItems":[{"id":"ITEM-1","itemData":{"DOI":"10.1021/ie950702a","ISSN":"0888-5885","author":[{"dropping-particle":"","family":"Zhao","given":"Xiu S.","non-dropping-particle":"","parse-names":false,"suffix":""},{"dropping-particle":"","family":"Lu","given":"G. Q. (Max)","non-dropping-particle":"","parse-names":false,"suffix":""},{"dropping-particle":"","family":"Millar","given":"Graeme J.","non-dropping-particle":"","parse-names":false,"suffix":""}],"container-title":"Industrial &amp; Engineering Chemistry Research","id":"ITEM-1","issue":"7","issued":{"date-parts":[["1996","1"]]},"page":"2075-2090","title":"Advances in Mesoporous Molecular Sieve MCM-41","type":"article-journal","volume":"35"},"uris":["http://www.mendeley.com/documents/?uuid=6936d31b-8826-4727-be60-d9ab625eb47c"]}],"mendeley":{"formattedCitation":"&lt;sup&gt;204&lt;/sup&gt;","plainTextFormattedCitation":"204","previouslyFormattedCitation":"&lt;sup&gt;204&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204</w:t>
      </w:r>
      <w:r w:rsidRPr="006D631C">
        <w:rPr>
          <w:rFonts w:asciiTheme="majorBidi" w:hAnsiTheme="majorBidi" w:cstheme="majorBidi"/>
        </w:rPr>
        <w:fldChar w:fldCharType="end"/>
      </w:r>
      <w:r w:rsidRPr="006D631C">
        <w:rPr>
          <w:rFonts w:asciiTheme="majorBidi" w:hAnsiTheme="majorBidi" w:cstheme="majorBidi"/>
        </w:rPr>
        <w:t>. These siliceous materials are valued as catalyst supports</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{"citationItems":[{"id":"ITEM-1","itemData":{"DOI":"10.1007/s42452-019-0677-z","ISSN":"2523-3963","author":[{"dropping-particle":"","family":"Silva","given":"F. das C. M.","non-dropping-particle":"da","parse-names":false,"suffix":""},{"dropping-particle":"","family":"Costa","given":"M. J. dos S.","non-dropping-particle":"","parse-names":false,"suffix":""},{"dropping-particle":"","family":"Silva","given":"L. K. R.","non-dropping-particle":"da","parse-names":false,"suffix":""},{"dropping-particle":"","family":"Batista","given":"A. M.","non-dropping-particle":"","parse-names":false,"suffix":""},{"dropping-particle":"","family":"Luz","given":"G. E.","non-dropping-particle":"da","parse-names":false,"suffix":""}],"container-title":"SN Applied Sciences","id":"ITEM-1","issue":"6","issued":{"date-parts":[["2019","6"]]},"page":"654","title":"Functionalization methods of SBA-15 mesoporous molecular sieve: a brief overview","type":"article-journal","volume":"1"},"uris":["http://www.mendeley.com/documents/?uuid=48265ad9-57dc-4059-9d07-28bab7051046"]},{"id":"ITEM-2","itemData":{"DOI":"10.1021/ie950702a","ISSN":"0888-5885","author":[{"dropping-particle":"","family":"Zhao","given":"Xiu S.","non-dropping-particle":"","parse-names":false,"suffix":""},{"dropping-particle":"","family":"Lu","given":"G. Q. (Max)","non-dropping-particle":"","parse-names":false,"suffix":""},{"dropping-particle":"","family":"Millar","given":"Graeme J.","non-dropping-particle":"","parse-names":false,"suffix":""}],"container-title":"Industrial &amp; Engineering Chemistry Research","id":"ITEM-2","issue":"7","issued":{"date-parts":[["1996","1"]]},"page":"2075-2090","title":"Advances in Mesoporous Molecular Sieve MCM-41","type":"article-journal","volume":"35"},"uris":["http://www.mendeley.com/documents/?uuid=6936d31b-8826-4727-be60-d9ab625eb47c"]}],"mendeley":{"formattedCitation":"&lt;sup&gt;204,205&lt;/sup&gt;","plainTextFormattedCitation":"204,205","previouslyFormattedCitation":"&lt;sup&gt;204,205&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204,205</w:t>
      </w:r>
      <w:r w:rsidRPr="006D631C">
        <w:rPr>
          <w:rFonts w:asciiTheme="majorBidi" w:hAnsiTheme="majorBidi" w:cstheme="majorBidi"/>
        </w:rPr>
        <w:fldChar w:fldCharType="end"/>
      </w:r>
      <w:r w:rsidRPr="006D631C">
        <w:rPr>
          <w:rFonts w:asciiTheme="majorBidi" w:hAnsiTheme="majorBidi" w:cstheme="majorBidi"/>
        </w:rPr>
        <w:t xml:space="preserve">. The opportunity exists for templated synthesis of inorganic materials in the aqueous </w:t>
      </w:r>
      <w:r w:rsidRPr="006D631C">
        <w:rPr>
          <w:rFonts w:asciiTheme="majorBidi" w:hAnsiTheme="majorBidi" w:cstheme="majorBidi"/>
        </w:rPr>
        <w:lastRenderedPageBreak/>
        <w:t>channels of polymerized LLCs. A simple route for example is the formation of nanoparticles by reduction of precursor species (e.g.</w:t>
      </w:r>
      <w:r w:rsidR="00F32CE4" w:rsidRPr="006D631C">
        <w:rPr>
          <w:rFonts w:asciiTheme="majorBidi" w:hAnsiTheme="majorBidi" w:cstheme="majorBidi"/>
        </w:rPr>
        <w:t>,</w:t>
      </w:r>
      <w:r w:rsidRPr="006D631C">
        <w:rPr>
          <w:rFonts w:asciiTheme="majorBidi" w:hAnsiTheme="majorBidi" w:cstheme="majorBidi"/>
        </w:rPr>
        <w:t xml:space="preserve"> metal ions). The resulting nanomaterial-containing nanostructured polymer membranes are of potential utility as catalytic membranes. Early work by Gin </w:t>
      </w:r>
      <w:r w:rsidRPr="006D631C">
        <w:rPr>
          <w:rFonts w:asciiTheme="majorBidi" w:hAnsiTheme="majorBidi" w:cstheme="majorBidi"/>
          <w:i/>
          <w:iCs/>
        </w:rPr>
        <w:t>et al.</w:t>
      </w:r>
      <w:r w:rsidRPr="006D631C">
        <w:rPr>
          <w:rFonts w:asciiTheme="majorBidi" w:hAnsiTheme="majorBidi" w:cstheme="majorBidi"/>
        </w:rPr>
        <w:t>,</w:t>
      </w:r>
      <w:r w:rsidRPr="006D631C">
        <w:rPr>
          <w:rFonts w:asciiTheme="majorBidi" w:hAnsiTheme="majorBidi" w:cstheme="majorBidi"/>
        </w:rPr>
        <w:fldChar w:fldCharType="begin" w:fldLock="1"/>
      </w:r>
      <w:r w:rsidR="007C5923" w:rsidRPr="006D631C">
        <w:rPr>
          <w:rFonts w:asciiTheme="majorBidi" w:hAnsiTheme="majorBidi" w:cstheme="majorBidi"/>
        </w:rPr>
        <w:instrText>ADDIN CSL_CITATION {"citationItems":[{"id":"ITEM-1","itemData":{"DOI":"10.1021/cm990603d","ISSN":"0897-4756","author":[{"dropping-particle":"","family":"Ding","given":"Julia H.","non-dropping-particle":"","parse-names":false,"suffix":""},{"dropping-particle":"","family":"Gin","given":"Douglas L.","non-dropping-particle":"","parse-names":false,"suffix":""}],"container-title":"Chemistry of Materials","id":"ITEM-1","issue":"1","issued":{"date-parts":[["2000","1"]]},"page":"22-24","title":"Catalytic Pd Nanoparticles Synthesized Using a Lyotropic Liquid Crystal Polymer Template","type":"article-journal","volume":"12"},"uris":["http://www.mendeley.com/documents/?uuid=3649ca26-1f92-4721-baf2-b57cf17cca75"]}],"mendeley":{"formattedCitation":"&lt;sup&gt;206&lt;/sup&gt;","plainTextFormattedCitation":"206","previouslyFormattedCitation":"&lt;sup&gt;206&lt;/sup&gt;"},"properties":{"noteIndex":0},"schema":"https://github.com/citation-style-language/schema/raw/master/csl-citation.json"}</w:instrText>
      </w:r>
      <w:r w:rsidRPr="006D631C">
        <w:rPr>
          <w:rFonts w:asciiTheme="majorBidi" w:hAnsiTheme="majorBidi" w:cstheme="majorBidi"/>
        </w:rPr>
        <w:fldChar w:fldCharType="separate"/>
      </w:r>
      <w:r w:rsidR="009771A6" w:rsidRPr="006D631C">
        <w:rPr>
          <w:rFonts w:asciiTheme="majorBidi" w:hAnsiTheme="majorBidi" w:cstheme="majorBidi"/>
          <w:noProof/>
          <w:vertAlign w:val="superscript"/>
        </w:rPr>
        <w:t>206</w:t>
      </w:r>
      <w:r w:rsidRPr="006D631C">
        <w:rPr>
          <w:rFonts w:asciiTheme="majorBidi" w:hAnsiTheme="majorBidi" w:cstheme="majorBidi"/>
        </w:rPr>
        <w:fldChar w:fldCharType="end"/>
      </w:r>
      <w:r w:rsidRPr="006D631C">
        <w:rPr>
          <w:rFonts w:asciiTheme="majorBidi" w:hAnsiTheme="majorBidi" w:cstheme="majorBidi"/>
        </w:rPr>
        <w:t xml:space="preserve"> highlighted this potential with the formation of </w:t>
      </w:r>
      <w:proofErr w:type="spellStart"/>
      <w:r w:rsidRPr="006D631C">
        <w:rPr>
          <w:rFonts w:asciiTheme="majorBidi" w:hAnsiTheme="majorBidi" w:cstheme="majorBidi"/>
        </w:rPr>
        <w:t>Pd</w:t>
      </w:r>
      <w:proofErr w:type="spellEnd"/>
      <w:r w:rsidRPr="006D631C">
        <w:rPr>
          <w:rFonts w:asciiTheme="majorBidi" w:hAnsiTheme="majorBidi" w:cstheme="majorBidi"/>
        </w:rPr>
        <w:t xml:space="preserve"> nanoparticles in polymerized hexagonal mesophases derived from a wedge-shaped </w:t>
      </w:r>
      <w:proofErr w:type="spellStart"/>
      <w:r w:rsidRPr="006D631C">
        <w:rPr>
          <w:rFonts w:asciiTheme="majorBidi" w:hAnsiTheme="majorBidi" w:cstheme="majorBidi"/>
        </w:rPr>
        <w:t>amphiphile</w:t>
      </w:r>
      <w:proofErr w:type="spellEnd"/>
      <w:r w:rsidRPr="006D631C">
        <w:rPr>
          <w:rFonts w:asciiTheme="majorBidi" w:hAnsiTheme="majorBidi" w:cstheme="majorBidi"/>
        </w:rPr>
        <w:t xml:space="preserve">. The concept of nanostructured catalytic polymer membranes is a compelling one. In some cases, rather than relying on the synthesis of a second phase material, the chemistry of the polar </w:t>
      </w:r>
      <w:proofErr w:type="spellStart"/>
      <w:r w:rsidRPr="006D631C">
        <w:rPr>
          <w:rFonts w:asciiTheme="majorBidi" w:hAnsiTheme="majorBidi" w:cstheme="majorBidi"/>
        </w:rPr>
        <w:t>headgroup</w:t>
      </w:r>
      <w:proofErr w:type="spellEnd"/>
      <w:r w:rsidRPr="006D631C">
        <w:rPr>
          <w:rFonts w:asciiTheme="majorBidi" w:hAnsiTheme="majorBidi" w:cstheme="majorBidi"/>
        </w:rPr>
        <w:t xml:space="preserve"> itself can be used, as demonstrated by Gin </w:t>
      </w:r>
      <w:r w:rsidRPr="006D631C">
        <w:rPr>
          <w:rFonts w:asciiTheme="majorBidi" w:hAnsiTheme="majorBidi" w:cstheme="majorBidi"/>
          <w:i/>
          <w:iCs/>
        </w:rPr>
        <w:t>et al.</w:t>
      </w:r>
      <w:r w:rsidRPr="006D631C">
        <w:rPr>
          <w:rFonts w:asciiTheme="majorBidi" w:hAnsiTheme="majorBidi" w:cstheme="majorBidi"/>
        </w:rPr>
        <w:t>, for Lewis</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{"citationItems":[{"id":"ITEM-1","itemData":{"DOI":"10.1021/cm0101531","ISSN":"08974756","abstract":"A nanostructured, polymer-supported Sc(III) catalyst for heterogeneous Lewis acid catalysis in water was prepared by quantitative Sc(III) exchange of a cross-linked inverted hexagonal assembly containing sodium sulfonate groups. The material was found to catalyze Mukaiyama aldol and Mannich reactions with a syn/anti product ratio of ca. 2/1, whereas Sc(III) catalysts in solution and on amorphous polymer supports do not show any significant syn/anti diastereo-selectivity under similar conditions.","author":[{"dropping-particle":"","family":"Gu","given":"W.","non-dropping-particle":"","parse-names":false,"suffix":""},{"dropping-particle":"","family":"Zhou","given":"W. J.","non-dropping-particle":"","parse-names":false,"suffix":""},{"dropping-particle":"","family":"Gin","given":"D. L.","non-dropping-particle":"","parse-names":false,"suffix":""}],"container-title":"Chemistry of Materials","id":"ITEM-1","issue":"6","issued":{"date-parts":[["2001"]]},"page":"1949-1951","title":"A nanostructured, scandium-containing polymer for heterogeneous Lewis acid catalysis in water","type":"article-journal","volume":"13"},"uris":["http://www.mendeley.com/documents/?uuid=e814ccd6-4e46-428f-bf7e-6d8e300b9d2f"]}],"mendeley":{"formattedCitation":"&lt;sup&gt;49&lt;/sup&gt;","plainTextFormattedCitation":"49","previouslyFormattedCitation":"&lt;sup&gt;49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49</w:t>
      </w:r>
      <w:r w:rsidRPr="006D631C">
        <w:rPr>
          <w:rFonts w:asciiTheme="majorBidi" w:hAnsiTheme="majorBidi" w:cstheme="majorBidi"/>
        </w:rPr>
        <w:fldChar w:fldCharType="end"/>
      </w:r>
      <w:r w:rsidRPr="006D631C">
        <w:rPr>
          <w:rFonts w:asciiTheme="majorBidi" w:hAnsiTheme="majorBidi" w:cstheme="majorBidi"/>
        </w:rPr>
        <w:t xml:space="preserve"> and Bronsted</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10.1021/ja038501i","ISSN":"00027863","author":[{"dropping-particle":"","family":"Xu","given":"Yanjie","non-dropping-particle":"","parse-names":false,"suffix":""},{"dropping-particle":"","family":"Gu","given":"Weiqiang","non-dropping-particle":"","parse-names":false,"suffix":""},{"dropping-particle":"","family":"Gin","given":"Douglas L.","non-dropping-particle":"","parse-names":false,"suffix":""}],"container-title":"Journal of the American Chemical Society","id":"ITEM-1","issue":"6","issued":{"date-parts":[["2004"]]},"page":"1616-1617","title":"Heterogeneous Catalysis Using a Nanostructured Solid Acid Resin Based on Lyotropic Liquid Crystals","type":"article-journal","volume":"126"},"uris":["http://www.mendeley.com/documents/?uuid=7b50099a-36a3-49f2-8fc1-6fd89bda31f3"]}],"mendeley":{"formattedCitation":"&lt;sup&gt;95&lt;/sup&gt;","plainTextFormattedCitation":"95","previouslyFormattedCitation":"&lt;sup&gt;95&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95</w:t>
      </w:r>
      <w:r w:rsidRPr="006D631C">
        <w:rPr>
          <w:rFonts w:asciiTheme="majorBidi" w:hAnsiTheme="majorBidi" w:cstheme="majorBidi"/>
        </w:rPr>
        <w:fldChar w:fldCharType="end"/>
      </w:r>
      <w:r w:rsidRPr="006D631C">
        <w:rPr>
          <w:rFonts w:asciiTheme="majorBidi" w:hAnsiTheme="majorBidi" w:cstheme="majorBidi"/>
        </w:rPr>
        <w:t xml:space="preserve"> acid catalysis. In total however, well-controlled nanomaterial synthesis in polymerized LLCs can be challenging due to the difficulties in controlling the polymerization, as identified in this </w:t>
      </w:r>
      <w:r w:rsidR="00FE7128" w:rsidRPr="006D631C">
        <w:rPr>
          <w:rFonts w:asciiTheme="majorBidi" w:hAnsiTheme="majorBidi" w:cstheme="majorBidi"/>
        </w:rPr>
        <w:t>chapter</w:t>
      </w:r>
      <w:r w:rsidRPr="006D631C">
        <w:rPr>
          <w:rFonts w:asciiTheme="majorBidi" w:hAnsiTheme="majorBidi" w:cstheme="majorBidi"/>
        </w:rPr>
        <w:t>.</w:t>
      </w:r>
    </w:p>
    <w:p w14:paraId="16EF1574" w14:textId="3EE94185" w:rsidR="00E417BE" w:rsidRPr="006D631C" w:rsidRDefault="00E417BE" w:rsidP="0093630B">
      <w:pPr>
        <w:pStyle w:val="Heading2"/>
      </w:pPr>
      <w:bookmarkStart w:id="94" w:name="_Toc148175799"/>
      <w:r w:rsidRPr="006D631C">
        <w:t xml:space="preserve">1.8 </w:t>
      </w:r>
      <w:r w:rsidR="0093630B" w:rsidRPr="006D631C">
        <w:t>O</w:t>
      </w:r>
      <w:r w:rsidR="009652F9" w:rsidRPr="006D631C">
        <w:t>verview of thesis research</w:t>
      </w:r>
      <w:r w:rsidR="00745F18" w:rsidRPr="006D631C">
        <w:t>: goal and objectives</w:t>
      </w:r>
      <w:bookmarkEnd w:id="94"/>
      <w:r w:rsidRPr="006D631C">
        <w:t xml:space="preserve"> </w:t>
      </w:r>
    </w:p>
    <w:p w14:paraId="7B22938C" w14:textId="4A65BC02" w:rsidR="007B4BBC" w:rsidRPr="006D631C" w:rsidRDefault="008D3C94" w:rsidP="0036551A">
      <w:pPr>
        <w:tabs>
          <w:tab w:val="left" w:pos="1418"/>
        </w:tabs>
        <w:ind w:firstLine="357"/>
        <w:rPr>
          <w:rFonts w:asciiTheme="majorBidi" w:hAnsiTheme="majorBidi" w:cstheme="majorBidi"/>
        </w:rPr>
      </w:pPr>
      <w:r w:rsidRPr="006D631C">
        <w:rPr>
          <w:rFonts w:asciiTheme="majorBidi" w:hAnsiTheme="majorBidi" w:cstheme="majorBidi"/>
        </w:rPr>
        <w:t>As we discussed in section 1.7, there are a plenty of research opportunities f</w:t>
      </w:r>
      <w:r w:rsidR="00EB06D0" w:rsidRPr="006D631C">
        <w:rPr>
          <w:rFonts w:asciiTheme="majorBidi" w:hAnsiTheme="majorBidi" w:cstheme="majorBidi"/>
        </w:rPr>
        <w:t xml:space="preserve">or LLC templating. </w:t>
      </w:r>
      <w:r w:rsidR="0036551A" w:rsidRPr="006D631C">
        <w:rPr>
          <w:rFonts w:asciiTheme="majorBidi" w:hAnsiTheme="majorBidi" w:cstheme="majorBidi"/>
        </w:rPr>
        <w:t>The goal of this work is to</w:t>
      </w:r>
      <w:r w:rsidRPr="006D631C">
        <w:rPr>
          <w:rFonts w:asciiTheme="majorBidi" w:hAnsiTheme="majorBidi" w:cstheme="majorBidi"/>
        </w:rPr>
        <w:t xml:space="preserve"> </w:t>
      </w:r>
      <w:r w:rsidR="0036551A" w:rsidRPr="006D631C">
        <w:rPr>
          <w:rFonts w:asciiTheme="majorBidi" w:hAnsiTheme="majorBidi" w:cstheme="majorBidi"/>
        </w:rPr>
        <w:t>synthesize</w:t>
      </w:r>
      <w:r w:rsidRPr="006D631C">
        <w:rPr>
          <w:rFonts w:asciiTheme="majorBidi" w:hAnsiTheme="majorBidi" w:cstheme="majorBidi"/>
        </w:rPr>
        <w:t xml:space="preserve"> stimuli-responsive membranes</w:t>
      </w:r>
      <w:r w:rsidR="00032DAB" w:rsidRPr="006D631C">
        <w:rPr>
          <w:rFonts w:asciiTheme="majorBidi" w:hAnsiTheme="majorBidi" w:cstheme="majorBidi"/>
        </w:rPr>
        <w:t xml:space="preserve"> through transcriptive and synergistic </w:t>
      </w:r>
      <w:r w:rsidR="003F45B1" w:rsidRPr="006D631C">
        <w:rPr>
          <w:rFonts w:asciiTheme="majorBidi" w:hAnsiTheme="majorBidi" w:cstheme="majorBidi"/>
        </w:rPr>
        <w:t xml:space="preserve">LLC </w:t>
      </w:r>
      <w:r w:rsidR="00032DAB" w:rsidRPr="006D631C">
        <w:rPr>
          <w:rFonts w:asciiTheme="majorBidi" w:hAnsiTheme="majorBidi" w:cstheme="majorBidi"/>
        </w:rPr>
        <w:t>templating</w:t>
      </w:r>
      <w:r w:rsidR="00F83F04" w:rsidRPr="006D631C">
        <w:rPr>
          <w:rFonts w:asciiTheme="majorBidi" w:hAnsiTheme="majorBidi" w:cstheme="majorBidi"/>
        </w:rPr>
        <w:t xml:space="preserve"> using thermoresponsive </w:t>
      </w:r>
      <w:proofErr w:type="gramStart"/>
      <w:r w:rsidR="00D74452" w:rsidRPr="006D631C">
        <w:rPr>
          <w:rFonts w:asciiTheme="majorBidi" w:hAnsiTheme="majorBidi" w:cstheme="majorBidi"/>
        </w:rPr>
        <w:t>p</w:t>
      </w:r>
      <w:r w:rsidR="00F83F04" w:rsidRPr="006D631C">
        <w:rPr>
          <w:rFonts w:asciiTheme="majorBidi" w:hAnsiTheme="majorBidi" w:cstheme="majorBidi"/>
        </w:rPr>
        <w:t>oly(</w:t>
      </w:r>
      <w:proofErr w:type="gramEnd"/>
      <w:r w:rsidR="00F83F04" w:rsidRPr="006D631C">
        <w:rPr>
          <w:rFonts w:asciiTheme="majorBidi" w:hAnsiTheme="majorBidi" w:cstheme="majorBidi"/>
        </w:rPr>
        <w:t>ethylene oxide)-poly(propylene oxide)-poly(ethylene oxide) (PEO-PPO-PEO)</w:t>
      </w:r>
      <w:r w:rsidR="00DC46F9" w:rsidRPr="006D631C">
        <w:rPr>
          <w:rFonts w:asciiTheme="majorBidi" w:hAnsiTheme="majorBidi" w:cstheme="majorBidi"/>
        </w:rPr>
        <w:t xml:space="preserve"> </w:t>
      </w:r>
      <w:r w:rsidR="00F83F04" w:rsidRPr="006D631C">
        <w:rPr>
          <w:rFonts w:asciiTheme="majorBidi" w:hAnsiTheme="majorBidi" w:cstheme="majorBidi"/>
        </w:rPr>
        <w:t xml:space="preserve">triblock copolymer surfactants (known as Pluronics or </w:t>
      </w:r>
      <w:proofErr w:type="spellStart"/>
      <w:r w:rsidR="00F83F04" w:rsidRPr="006D631C">
        <w:rPr>
          <w:rFonts w:asciiTheme="majorBidi" w:hAnsiTheme="majorBidi" w:cstheme="majorBidi"/>
        </w:rPr>
        <w:t>Poloxamers</w:t>
      </w:r>
      <w:proofErr w:type="spellEnd"/>
      <w:r w:rsidR="00F83F04" w:rsidRPr="006D631C">
        <w:rPr>
          <w:rFonts w:asciiTheme="majorBidi" w:hAnsiTheme="majorBidi" w:cstheme="majorBidi"/>
        </w:rPr>
        <w:t>)</w:t>
      </w:r>
      <w:r w:rsidR="00032DAB" w:rsidRPr="006D631C">
        <w:rPr>
          <w:rFonts w:asciiTheme="majorBidi" w:hAnsiTheme="majorBidi" w:cstheme="majorBidi"/>
        </w:rPr>
        <w:t>.</w:t>
      </w:r>
      <w:r w:rsidR="00DC46F9" w:rsidRPr="006D631C">
        <w:rPr>
          <w:rFonts w:asciiTheme="majorBidi" w:hAnsiTheme="majorBidi" w:cstheme="majorBidi"/>
        </w:rPr>
        <w:t xml:space="preserve"> </w:t>
      </w:r>
      <w:r w:rsidR="00AD4FF0" w:rsidRPr="006D631C">
        <w:rPr>
          <w:rFonts w:asciiTheme="majorBidi" w:hAnsiTheme="majorBidi" w:cstheme="majorBidi"/>
        </w:rPr>
        <w:t>Pluronic block copolymers</w:t>
      </w:r>
      <w:r w:rsidR="00E50377" w:rsidRPr="006D631C">
        <w:rPr>
          <w:rFonts w:asciiTheme="majorBidi" w:hAnsiTheme="majorBidi" w:cstheme="majorBidi"/>
        </w:rPr>
        <w:t xml:space="preserve"> (see A-19 </w:t>
      </w:r>
      <w:proofErr w:type="spellStart"/>
      <w:r w:rsidR="00E50377" w:rsidRPr="006D631C">
        <w:rPr>
          <w:rFonts w:asciiTheme="majorBidi" w:hAnsiTheme="majorBidi" w:cstheme="majorBidi"/>
        </w:rPr>
        <w:t>amphiphile</w:t>
      </w:r>
      <w:proofErr w:type="spellEnd"/>
      <w:r w:rsidR="00E50377" w:rsidRPr="006D631C">
        <w:rPr>
          <w:rFonts w:asciiTheme="majorBidi" w:hAnsiTheme="majorBidi" w:cstheme="majorBidi"/>
        </w:rPr>
        <w:t xml:space="preserve"> in Figure 1-4 for chemical structure)</w:t>
      </w:r>
      <w:r w:rsidR="00AD4FF0" w:rsidRPr="006D631C">
        <w:rPr>
          <w:rFonts w:asciiTheme="majorBidi" w:hAnsiTheme="majorBidi" w:cstheme="majorBidi"/>
        </w:rPr>
        <w:t xml:space="preserve"> come in a diverse array of types, each featuring a unique combination of molecular weight for the PPO block and weight percentage for the PEO block</w:t>
      </w:r>
      <w:r w:rsidR="005B4D3C" w:rsidRPr="006D631C">
        <w:rPr>
          <w:rFonts w:asciiTheme="majorBidi" w:hAnsiTheme="majorBidi" w:cstheme="majorBidi"/>
        </w:rPr>
        <w:t>, as shown in Figure 1-15</w:t>
      </w:r>
      <w:r w:rsidR="00AD4FF0" w:rsidRPr="006D631C">
        <w:rPr>
          <w:rFonts w:asciiTheme="majorBidi" w:hAnsiTheme="majorBidi" w:cstheme="majorBidi"/>
        </w:rPr>
        <w:t>.</w:t>
      </w:r>
      <w:r w:rsidR="005B4D3C" w:rsidRPr="006D631C">
        <w:rPr>
          <w:rFonts w:asciiTheme="majorBidi" w:hAnsiTheme="majorBidi" w:cstheme="majorBidi"/>
        </w:rPr>
        <w:t xml:space="preserve"> </w:t>
      </w:r>
      <w:r w:rsidR="008F2DF7" w:rsidRPr="006D631C">
        <w:rPr>
          <w:rFonts w:asciiTheme="majorBidi" w:hAnsiTheme="majorBidi" w:cstheme="majorBidi"/>
        </w:rPr>
        <w:t>Each Pluronic block copolymer is denoted with a letter that corresponds to its physical form. Specifically, the notation for each Pluronic begins with one of three letters: L for liquid, P for paste, or F for flakes.</w:t>
      </w:r>
      <w:r w:rsidR="0028606E" w:rsidRPr="006D631C">
        <w:rPr>
          <w:rFonts w:asciiTheme="majorBidi" w:hAnsiTheme="majorBidi" w:cstheme="majorBidi"/>
        </w:rPr>
        <w:t xml:space="preserve"> </w:t>
      </w:r>
      <w:r w:rsidR="002E6F4B" w:rsidRPr="006D631C">
        <w:rPr>
          <w:rFonts w:asciiTheme="majorBidi" w:hAnsiTheme="majorBidi" w:cstheme="majorBidi"/>
        </w:rPr>
        <w:t>After the initial letter, there is a numerical code that indicates both the molecular weight of the PPO block and the weight percentage of the PEO block.</w:t>
      </w:r>
      <w:r w:rsidR="00533359" w:rsidRPr="006D631C">
        <w:rPr>
          <w:rFonts w:asciiTheme="majorBidi" w:hAnsiTheme="majorBidi" w:cstheme="majorBidi"/>
        </w:rPr>
        <w:t xml:space="preserve"> As an example, consider Pluronic P84 and F88, which share the same molecular weight for their PPO block. </w:t>
      </w:r>
      <w:r w:rsidR="00533359" w:rsidRPr="006D631C">
        <w:rPr>
          <w:rFonts w:asciiTheme="majorBidi" w:hAnsiTheme="majorBidi" w:cstheme="majorBidi"/>
        </w:rPr>
        <w:lastRenderedPageBreak/>
        <w:t>However, Pluronic P84 has a weight percentage of 40% for its PEO block, while Pluronic F88 contains 80% PEO by weight.</w:t>
      </w:r>
      <w:r w:rsidR="00116FA8" w:rsidRPr="006D631C">
        <w:rPr>
          <w:rFonts w:asciiTheme="majorBidi" w:hAnsiTheme="majorBidi" w:cstheme="majorBidi"/>
        </w:rPr>
        <w:t xml:space="preserve"> As shown by </w:t>
      </w:r>
      <w:proofErr w:type="spellStart"/>
      <w:r w:rsidR="00116FA8" w:rsidRPr="006D631C">
        <w:rPr>
          <w:rFonts w:asciiTheme="majorBidi" w:hAnsiTheme="majorBidi" w:cstheme="majorBidi"/>
        </w:rPr>
        <w:t>Alexandridis</w:t>
      </w:r>
      <w:proofErr w:type="spellEnd"/>
      <w:r w:rsidR="00116FA8" w:rsidRPr="006D631C">
        <w:rPr>
          <w:rFonts w:asciiTheme="majorBidi" w:hAnsiTheme="majorBidi" w:cstheme="majorBidi"/>
        </w:rPr>
        <w:t xml:space="preserve"> </w:t>
      </w:r>
      <w:r w:rsidR="00116FA8" w:rsidRPr="006D631C">
        <w:rPr>
          <w:rFonts w:asciiTheme="majorBidi" w:hAnsiTheme="majorBidi" w:cstheme="majorBidi"/>
          <w:i/>
          <w:iCs/>
        </w:rPr>
        <w:t>et al.</w:t>
      </w:r>
      <w:r w:rsidR="00116FA8" w:rsidRPr="006D631C">
        <w:rPr>
          <w:rFonts w:asciiTheme="majorBidi" w:hAnsiTheme="majorBidi" w:cstheme="majorBidi"/>
        </w:rPr>
        <w:t>,</w:t>
      </w:r>
      <w:r w:rsidR="00B84AB9" w:rsidRPr="006D631C">
        <w:rPr>
          <w:rFonts w:asciiTheme="majorBidi" w:hAnsiTheme="majorBidi" w:cstheme="majorBidi"/>
        </w:rPr>
        <w:fldChar w:fldCharType="begin" w:fldLock="1"/>
      </w:r>
      <w:r w:rsidR="0072669A" w:rsidRPr="006D631C">
        <w:rPr>
          <w:rFonts w:asciiTheme="majorBidi" w:hAnsiTheme="majorBidi" w:cstheme="majorBidi"/>
        </w:rPr>
        <w:instrText>ADDIN CSL_CITATION {"citationItems":[{"id":"ITEM-1","itemData":{"DOI":"10.1021/ma00127a016","ISSN":"0024-9297","author":[{"dropping-particle":"","family":"Alexandridis","given":"Paschalis","non-dropping-particle":"","parse-names":false,"suffix":""},{"dropping-particle":"","family":"Olsson","given":"Ulf","non-dropping-particle":"","parse-names":false,"suffix":""},{"dropping-particle":"","family":"Lindman","given":"Bjoern","non-dropping-particle":"","parse-names":false,"suffix":""}],"container-title":"Macromolecules","id":"ITEM-1","issue":"23","issued":{"date-parts":[["1995","11","1"]]},"page":"7700-7710","title":"Self-Assembly of Amphiphilic Block Copolymers: The (EO)13(PO)30(EO)13-Water-p-Xylene System","type":"article-journal","volume":"28"},"uris":["http://www.mendeley.com/documents/?uuid=b94a8cb0-5ccd-47e8-8fa6-d6931324cd23"]},{"id":"ITEM-2","itemData":{"DOI":"10.1021/jp951626s","ISSN":"0022-3654","author":[{"dropping-particle":"","family":"Alexandridis","given":"Paschalis","non-dropping-particle":"","parse-names":false,"suffix":""},{"dropping-particle":"","family":"Olsson","given":"Ulf","non-dropping-particle":"","parse-names":false,"suffix":""},{"dropping-particle":"","family":"Lindman","given":"Björn","non-dropping-particle":"","parse-names":false,"suffix":""}],"container-title":"The Journal of Physical Chemistry","id":"ITEM-2","issue":"1","issued":{"date-parts":[["1996","1","1"]]},"page":"280-288","title":"Phase Behavior of Amphiphilic Block Copolymers in Water−Oil Mixtures: The Pluronic 25R4−Water− p -Xylene System","type":"article-journal","volume":"100"},"uris":["http://www.mendeley.com/documents/?uuid=b7286569-aea1-4acf-978d-4cc3f80f6e73"]},{"id":"ITEM-3","itemData":{"DOI":"10.1021/ma970625q","ISSN":"0024-9297","abstract":"Amphiphilic block copolymers can self-assemble in the presence of selective solvents (\"water\" and \"oil\") into a variety of different microstructures. The role that \"oil\" plays in the phase behavior and structure of copolymer-oil-water systems is the focus of the present investigation. We examined a poloxamer-type poly(ethylene oxide)-poly(propylene oxide)-poly(ethylene oxide) triblock copolymer (Pluronic F127: E100P70E100) in ternary isothermal systems with water and each of three \"oils\" (of varying polarity), p-xylene, re-butyl acetate and butan-1-ol. A total of six phases with different microstructures have been identified in the ternary systems studied here: normal (oil-in-water) micellar cubic (I1), normal hexagonal (H1), lamellar (Lα), and reverse (water-in-oil) hexagonal (H2) lyotropic liquid crystals, and normal micellar (L1) and reverse micellar (L2) solutions. The number and types of phases, as well as the composition range of their stability, are different for each ternary system, reflecting the effects of oil. Systematic small-angle X-ray scattering (SAXS) measurements have been performed in order to establish the structure of the phases and determine their characteristic length-scales. The location of the \"oils\" in the different self-assembled microstructures has been deduced from the structural dimensions obtained from SAXS and the constraints imposed by the copolymer total volume fraction and interfacial area: all xylene is present in the interior (apolar core) of the oil-in-water microdomains and butanol is located at the interfacial region between poly(propylene oxide) and poly(ethylene oxide), while butyl acetate contributes to both the core and the interfacial domains.","author":[{"dropping-particle":"","family":"Holmqvist","given":"Peter","non-dropping-particle":"","parse-names":false,"suffix":""},{"dropping-particle":"","family":"Alexandridis","given":"Paschalis","non-dropping-particle":"","parse-names":false,"suffix":""},{"dropping-particle":"","family":"Lindman","given":"Björn","non-dropping-particle":"","parse-names":false,"suffix":""}],"container-title":"Macromolecules","id":"ITEM-3","issue":"22","issued":{"date-parts":[["1997","11"]]},"page":"6788-6797","title":"Modification of the Microstructure in Poloxamer Block Copolymer−Water−“Oil” Systems by Varying the “Oil” Type","type":"article-journal","volume":"30"},"uris":["http://www.mendeley.com/documents/?uuid=3cf97da7-0a93-4402-9252-d67e07fda8ca"]},{"id":"ITEM-4","itemData":{"DOI":"10.1021/la971117c","ISSN":"0743-7463","author":[{"dropping-particle":"","family":"Alexandridis","given":"Paschalis","non-dropping-particle":"","parse-names":false,"suffix":""},{"dropping-particle":"","family":"Olsson","given":"Ulf","non-dropping-particle":"","parse-names":false,"suffix":""},{"dropping-particle":"","family":"Lindman","given":"Björn","non-dropping-particle":"","parse-names":false,"suffix":""}],"container-title":"Langmuir","id":"ITEM-4","issue":"10","issued":{"date-parts":[["1998","5","1"]]},"page":"2627-2638","title":"A Record Nine Different Phases (Four Cubic, Two Hexagonal, and One Lamellar Lyotropic Liquid Crystalline and Two Micellar Solutions) in a Ternary Isothermal System of an Amphiphilic Block Copolymer and Selective Solvents (Water and Oil)","type":"article-journal","volume":"14"},"uris":["http://www.mendeley.com/documents/?uuid=155769a2-de44-435b-a43a-aa933b57434a"]},{"id":"ITEM-5","itemData":{"DOI":"10.1021/jp9730297","ISSN":"1520-6106","author":[{"dropping-particle":"","family":"Holmqvist","given":"Peter","non-dropping-particle":"","parse-names":false,"suffix":""},{"dropping-particle":"","family":"Alexandridis","given":"Paschalis","non-dropping-particle":"","parse-names":false,"suffix":""},{"dropping-particle":"","family":"Lindman","given":"Björn","non-dropping-particle":"","parse-names":false,"suffix":""}],"container-title":"The Journal of Physical Chemistry B","id":"ITEM-5","issue":"7","issued":{"date-parts":[["1998","2","1"]]},"page":"1149-1158","title":"Modification of the Microstructure in Block Copolymer−Water−“Oil” Systems by Varying the Copolymer Composition and the “Oil” Type: Small-Angle X-ray Scattering and Deuterium-NMR Investigation","type":"article-journal","volume":"102"},"uris":["http://www.mendeley.com/documents/?uuid=8081fc15-18db-41a9-82f6-78dce70022a1"]},{"id":"ITEM-6","itemData":{"DOI":"10.3390/jfb9010011","ISSN":"2079-4983","author":[{"dropping-particle":"","family":"Bodratti","given":"Andrew","non-dropping-particle":"","parse-names":false,"suffix":""},{"dropping-particle":"","family":"Alexandridis","given":"Paschalis","non-dropping-particle":"","parse-names":false,"suffix":""}],"container-title":"Journal of Functional Biomaterials","id":"ITEM-6","issue":"1","issued":{"date-parts":[["2018","1","18"]]},"page":"11","title":"Formulation of Poloxamers for Drug Delivery","type":"article-journal","volume":"9"},"uris":["http://www.mendeley.com/documents/?uuid=d82dcec8-85e0-4690-acd9-dec2999f6c0e"]}],"mendeley":{"formattedCitation":"&lt;sup&gt;207–212&lt;/sup&gt;","plainTextFormattedCitation":"207–212","previouslyFormattedCitation":"&lt;sup&gt;207–212&lt;/sup&gt;"},"properties":{"noteIndex":0},"schema":"https://github.com/citation-style-language/schema/raw/master/csl-citation.json"}</w:instrText>
      </w:r>
      <w:r w:rsidR="00B84AB9"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207–212</w:t>
      </w:r>
      <w:r w:rsidR="00B84AB9" w:rsidRPr="006D631C">
        <w:rPr>
          <w:rFonts w:asciiTheme="majorBidi" w:hAnsiTheme="majorBidi" w:cstheme="majorBidi"/>
        </w:rPr>
        <w:fldChar w:fldCharType="end"/>
      </w:r>
      <w:r w:rsidR="00116FA8" w:rsidRPr="006D631C">
        <w:rPr>
          <w:rFonts w:asciiTheme="majorBidi" w:hAnsiTheme="majorBidi" w:cstheme="majorBidi"/>
        </w:rPr>
        <w:t xml:space="preserve"> </w:t>
      </w:r>
      <w:r w:rsidR="00D20732" w:rsidRPr="006D631C">
        <w:rPr>
          <w:rFonts w:asciiTheme="majorBidi" w:hAnsiTheme="majorBidi" w:cstheme="majorBidi"/>
        </w:rPr>
        <w:t>Pluronics can create LLCs with a variety structure</w:t>
      </w:r>
      <w:r w:rsidR="0072669A" w:rsidRPr="006D631C">
        <w:rPr>
          <w:rFonts w:asciiTheme="majorBidi" w:hAnsiTheme="majorBidi" w:cstheme="majorBidi"/>
        </w:rPr>
        <w:t>s</w:t>
      </w:r>
      <w:r w:rsidR="00D20732" w:rsidRPr="006D631C">
        <w:rPr>
          <w:rFonts w:asciiTheme="majorBidi" w:hAnsiTheme="majorBidi" w:cstheme="majorBidi"/>
        </w:rPr>
        <w:t xml:space="preserve"> upon mixing with water or in ternary systems with water and oil.</w:t>
      </w:r>
      <w:r w:rsidR="00663CF9" w:rsidRPr="006D631C">
        <w:rPr>
          <w:rFonts w:asciiTheme="majorBidi" w:hAnsiTheme="majorBidi" w:cstheme="majorBidi"/>
        </w:rPr>
        <w:t xml:space="preserve"> </w:t>
      </w:r>
      <w:r w:rsidR="00C4059A" w:rsidRPr="006D631C">
        <w:rPr>
          <w:rFonts w:asciiTheme="majorBidi" w:hAnsiTheme="majorBidi" w:cstheme="majorBidi"/>
        </w:rPr>
        <w:t>Figure 1-16 exhibits phase diagram for Pluronic L64, Pluronic F127 and Pluronic P84</w:t>
      </w:r>
      <w:r w:rsidR="009C478E" w:rsidRPr="006D631C">
        <w:rPr>
          <w:rFonts w:asciiTheme="majorBidi" w:hAnsiTheme="majorBidi" w:cstheme="majorBidi"/>
        </w:rPr>
        <w:t>,</w:t>
      </w:r>
      <w:r w:rsidR="00D01C9F" w:rsidRPr="006D631C">
        <w:rPr>
          <w:rFonts w:asciiTheme="majorBidi" w:hAnsiTheme="majorBidi" w:cstheme="majorBidi"/>
        </w:rPr>
        <w:t xml:space="preserve"> which have been used in this </w:t>
      </w:r>
      <w:r w:rsidR="00F10A94" w:rsidRPr="006D631C">
        <w:rPr>
          <w:rFonts w:asciiTheme="majorBidi" w:hAnsiTheme="majorBidi" w:cstheme="majorBidi"/>
        </w:rPr>
        <w:t>research</w:t>
      </w:r>
      <w:r w:rsidR="00D01C9F" w:rsidRPr="006D631C">
        <w:rPr>
          <w:rFonts w:asciiTheme="majorBidi" w:hAnsiTheme="majorBidi" w:cstheme="majorBidi"/>
        </w:rPr>
        <w:t xml:space="preserve">. </w:t>
      </w:r>
      <w:r w:rsidR="00C4059A" w:rsidRPr="006D631C">
        <w:rPr>
          <w:rFonts w:asciiTheme="majorBidi" w:hAnsiTheme="majorBidi" w:cstheme="majorBidi"/>
        </w:rPr>
        <w:t xml:space="preserve"> </w:t>
      </w:r>
      <w:r w:rsidR="00D20732" w:rsidRPr="006D631C">
        <w:rPr>
          <w:rFonts w:asciiTheme="majorBidi" w:hAnsiTheme="majorBidi" w:cstheme="majorBidi"/>
        </w:rPr>
        <w:t xml:space="preserve"> </w:t>
      </w:r>
      <w:r w:rsidR="00116FA8" w:rsidRPr="006D631C">
        <w:rPr>
          <w:rFonts w:asciiTheme="majorBidi" w:hAnsiTheme="majorBidi" w:cstheme="majorBidi"/>
        </w:rPr>
        <w:t xml:space="preserve"> </w:t>
      </w:r>
    </w:p>
    <w:p w14:paraId="3FC745DA" w14:textId="2CFFB52F" w:rsidR="00DC46F9" w:rsidRPr="006D631C" w:rsidRDefault="00B9624A" w:rsidP="00DB7B01">
      <w:pPr>
        <w:tabs>
          <w:tab w:val="left" w:pos="1418"/>
        </w:tabs>
        <w:spacing w:line="360" w:lineRule="auto"/>
        <w:jc w:val="center"/>
        <w:rPr>
          <w:rFonts w:asciiTheme="majorBidi" w:hAnsiTheme="majorBidi" w:cstheme="majorBidi"/>
        </w:rPr>
      </w:pPr>
      <w:r w:rsidRPr="006D631C">
        <w:rPr>
          <w:noProof/>
        </w:rPr>
        <w:drawing>
          <wp:inline distT="0" distB="0" distL="0" distR="0" wp14:anchorId="58327B16" wp14:editId="2FC5170B">
            <wp:extent cx="3924000" cy="3086639"/>
            <wp:effectExtent l="0" t="0" r="63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24000" cy="3086639"/>
                    </a:xfrm>
                    <a:prstGeom prst="rect">
                      <a:avLst/>
                    </a:prstGeom>
                    <a:noFill/>
                    <a:ln>
                      <a:noFill/>
                    </a:ln>
                  </pic:spPr>
                </pic:pic>
              </a:graphicData>
            </a:graphic>
          </wp:inline>
        </w:drawing>
      </w:r>
    </w:p>
    <w:p w14:paraId="409AC132" w14:textId="4011BE94" w:rsidR="001617CE" w:rsidRPr="006D631C" w:rsidRDefault="001617CE" w:rsidP="004416E5">
      <w:pPr>
        <w:tabs>
          <w:tab w:val="left" w:pos="90"/>
          <w:tab w:val="left" w:pos="360"/>
          <w:tab w:val="left" w:pos="992"/>
        </w:tabs>
        <w:spacing w:after="240" w:line="360" w:lineRule="auto"/>
        <w:jc w:val="center"/>
        <w:rPr>
          <w:rFonts w:eastAsia="Calibri"/>
          <w:sz w:val="22"/>
          <w:szCs w:val="22"/>
        </w:rPr>
      </w:pPr>
      <w:bookmarkStart w:id="95" w:name="_Toc148175924"/>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15</w:t>
      </w:r>
      <w:r w:rsidR="00B55F32" w:rsidRPr="006D631C">
        <w:rPr>
          <w:sz w:val="22"/>
          <w:szCs w:val="22"/>
        </w:rPr>
        <w:fldChar w:fldCharType="end"/>
      </w:r>
      <w:r w:rsidRPr="006D631C">
        <w:rPr>
          <w:sz w:val="22"/>
          <w:szCs w:val="22"/>
        </w:rPr>
        <w:t xml:space="preserve">. </w:t>
      </w:r>
      <w:r w:rsidRPr="006D631C">
        <w:rPr>
          <w:rFonts w:eastAsia="Calibri"/>
          <w:sz w:val="22"/>
          <w:szCs w:val="22"/>
        </w:rPr>
        <w:t>The Pluronic block copolymer chart display</w:t>
      </w:r>
      <w:r w:rsidR="00F1131F" w:rsidRPr="006D631C">
        <w:rPr>
          <w:rFonts w:eastAsia="Calibri"/>
          <w:sz w:val="22"/>
          <w:szCs w:val="22"/>
        </w:rPr>
        <w:t>ing</w:t>
      </w:r>
      <w:r w:rsidRPr="006D631C">
        <w:rPr>
          <w:rFonts w:eastAsia="Calibri"/>
          <w:sz w:val="22"/>
          <w:szCs w:val="22"/>
        </w:rPr>
        <w:t xml:space="preserve"> </w:t>
      </w:r>
      <w:r w:rsidR="00053AF9" w:rsidRPr="006D631C">
        <w:rPr>
          <w:rFonts w:eastAsia="Calibri"/>
          <w:sz w:val="22"/>
          <w:szCs w:val="22"/>
        </w:rPr>
        <w:t>different types of the copolymer based on</w:t>
      </w:r>
      <w:r w:rsidRPr="006D631C">
        <w:rPr>
          <w:rFonts w:eastAsia="Calibri"/>
          <w:sz w:val="22"/>
          <w:szCs w:val="22"/>
        </w:rPr>
        <w:t xml:space="preserve"> the PPO molecular weight a</w:t>
      </w:r>
      <w:r w:rsidR="00053AF9" w:rsidRPr="006D631C">
        <w:rPr>
          <w:rFonts w:eastAsia="Calibri"/>
          <w:sz w:val="22"/>
          <w:szCs w:val="22"/>
        </w:rPr>
        <w:t>nd the weight percentage of PEO.</w:t>
      </w:r>
      <w:r w:rsidR="00FB2548" w:rsidRPr="006D631C">
        <w:rPr>
          <w:rFonts w:eastAsia="Calibri"/>
          <w:sz w:val="22"/>
          <w:szCs w:val="22"/>
        </w:rPr>
        <w:fldChar w:fldCharType="begin" w:fldLock="1"/>
      </w:r>
      <w:r w:rsidR="00B84AB9" w:rsidRPr="006D631C">
        <w:rPr>
          <w:rFonts w:eastAsia="Calibri"/>
          <w:sz w:val="22"/>
          <w:szCs w:val="22"/>
        </w:rPr>
        <w:instrText>ADDIN CSL_CITATION {"citationItems":[{"id":"ITEM-1","itemData":{"author":[{"dropping-particle":"","family":"Qavi","given":"Sahar","non-dropping-particle":"","parse-names":false,"suffix":""}],"id":"ITEM-1","issued":{"date-parts":[["2019"]]},"number-of-pages":"256","publisher":"New Mexico State University","title":"RHEOLOGY, CHEMORHEOLOGY, AND MEMBRANE APPLICATION of AMPHIPHILIC BLOCK COPOLYMER/ WATER/OIL MESOPHASES","type":"thesis"},"uris":["http://www.mendeley.com/documents/?uuid=280cca4d-81d9-4959-a2b7-f5b716bb2755"]}],"mendeley":{"formattedCitation":"&lt;sup&gt;142&lt;/sup&gt;","plainTextFormattedCitation":"142","previouslyFormattedCitation":"&lt;sup&gt;142&lt;/sup&gt;"},"properties":{"noteIndex":0},"schema":"https://github.com/citation-style-language/schema/raw/master/csl-citation.json"}</w:instrText>
      </w:r>
      <w:r w:rsidR="00FB2548" w:rsidRPr="006D631C">
        <w:rPr>
          <w:rFonts w:eastAsia="Calibri"/>
          <w:sz w:val="22"/>
          <w:szCs w:val="22"/>
        </w:rPr>
        <w:fldChar w:fldCharType="separate"/>
      </w:r>
      <w:r w:rsidR="00FB2548" w:rsidRPr="006D631C">
        <w:rPr>
          <w:rFonts w:eastAsia="Calibri"/>
          <w:noProof/>
          <w:sz w:val="22"/>
          <w:szCs w:val="22"/>
          <w:vertAlign w:val="superscript"/>
        </w:rPr>
        <w:t>142</w:t>
      </w:r>
      <w:bookmarkEnd w:id="95"/>
      <w:r w:rsidR="00FB2548" w:rsidRPr="006D631C">
        <w:rPr>
          <w:rFonts w:eastAsia="Calibri"/>
          <w:sz w:val="22"/>
          <w:szCs w:val="22"/>
        </w:rPr>
        <w:fldChar w:fldCharType="end"/>
      </w:r>
    </w:p>
    <w:p w14:paraId="1B78196B" w14:textId="2A279CF9" w:rsidR="00735B58" w:rsidRPr="006D631C" w:rsidRDefault="00084C7D" w:rsidP="00C25945">
      <w:pPr>
        <w:tabs>
          <w:tab w:val="left" w:pos="1418"/>
        </w:tabs>
        <w:ind w:firstLine="357"/>
        <w:rPr>
          <w:rFonts w:asciiTheme="majorBidi" w:hAnsiTheme="majorBidi" w:cstheme="majorBidi"/>
        </w:rPr>
      </w:pPr>
      <w:r w:rsidRPr="006D631C">
        <w:rPr>
          <w:rFonts w:asciiTheme="majorBidi" w:hAnsiTheme="majorBidi" w:cstheme="majorBidi"/>
        </w:rPr>
        <w:t>Stimuli-responsive membranes can be synthesized in LLC templates directed by Pluronic block copolymers,</w:t>
      </w:r>
      <w:r w:rsidR="00C25945" w:rsidRPr="006D631C">
        <w:rPr>
          <w:rFonts w:asciiTheme="majorBidi" w:hAnsiTheme="majorBidi" w:cstheme="majorBidi"/>
        </w:rPr>
        <w:t xml:space="preserve"> which can alter their </w:t>
      </w:r>
      <w:r w:rsidR="00735B58" w:rsidRPr="006D631C">
        <w:rPr>
          <w:rFonts w:asciiTheme="majorBidi" w:hAnsiTheme="majorBidi" w:cstheme="majorBidi"/>
        </w:rPr>
        <w:t>surface properties and pore structure via an external stimulus, such as temperature</w:t>
      </w:r>
      <w:r w:rsidR="00735B58" w:rsidRPr="006D631C">
        <w:rPr>
          <w:rFonts w:asciiTheme="majorBidi" w:hAnsiTheme="majorBidi" w:cstheme="majorBidi"/>
          <w:vertAlign w:val="superscript"/>
        </w:rPr>
        <w:fldChar w:fldCharType="begin" w:fldLock="1"/>
      </w:r>
      <w:r w:rsidR="00735B58" w:rsidRPr="006D631C">
        <w:rPr>
          <w:rFonts w:asciiTheme="majorBidi" w:hAnsiTheme="majorBidi" w:cstheme="majorBidi"/>
          <w:vertAlign w:val="superscript"/>
        </w:rPr>
        <w:instrText>ADDIN CSL_CITATION {"citationItems":[{"id":"ITEM-1","itemData":{"DOI":"10.1016/j.memsci.2018.02.060","ISSN":"03767388","abstract":"We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Science","id":"ITEM-1","issued":{"date-parts":[["2018","5"]]},"page":"117-124","title":"Two-step thermoresponsive membrane with tunable separation properties and improved cleaning efficiency","type":"article-journal","volume":"554"},"uris":["http://www.mendeley.com/documents/?uuid=6b7db567-d73b-49b7-8074-a48dddee7720"]}],"mendeley":{"formattedCitation":"&lt;sup&gt;192&lt;/sup&gt;","plainTextFormattedCitation":"192","previouslyFormattedCitation":"&lt;sup&gt;192&lt;/sup&gt;"},"properties":{"noteIndex":0},"schema":"https://github.com/citation-style-language/schema/raw/master/csl-citation.json"}</w:instrText>
      </w:r>
      <w:r w:rsidR="00735B58" w:rsidRPr="006D631C">
        <w:rPr>
          <w:rFonts w:asciiTheme="majorBidi" w:hAnsiTheme="majorBidi" w:cstheme="majorBidi"/>
          <w:vertAlign w:val="superscript"/>
        </w:rPr>
        <w:fldChar w:fldCharType="separate"/>
      </w:r>
      <w:r w:rsidR="00735B58" w:rsidRPr="006D631C">
        <w:rPr>
          <w:rFonts w:asciiTheme="majorBidi" w:hAnsiTheme="majorBidi" w:cstheme="majorBidi"/>
          <w:noProof/>
          <w:vertAlign w:val="superscript"/>
        </w:rPr>
        <w:t>192</w:t>
      </w:r>
      <w:r w:rsidR="00735B58" w:rsidRPr="006D631C">
        <w:rPr>
          <w:rFonts w:asciiTheme="majorBidi" w:hAnsiTheme="majorBidi" w:cstheme="majorBidi"/>
          <w:vertAlign w:val="superscript"/>
        </w:rPr>
        <w:fldChar w:fldCharType="end"/>
      </w:r>
      <w:r w:rsidR="00735B58" w:rsidRPr="006D631C">
        <w:rPr>
          <w:rFonts w:asciiTheme="majorBidi" w:hAnsiTheme="majorBidi" w:cstheme="majorBidi"/>
        </w:rPr>
        <w:t xml:space="preserve"> and pH.</w:t>
      </w:r>
      <w:r w:rsidR="00735B58"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{"citationItems":[{"id":"ITEM-1","itemData":{"DOI":"10.1016/j.memsci.2014.03.067","ISSN":"18733123","abstract":"In this work, novel cross linked pegylated functional copolymer poly (acrylic acid-co-polyethylene glycol methyl ether methacrylate) was prepared from AA and PEGMA, via precipitation polymerization using toluene as solvent. The copolymer was directly blended with polysulfone (PSF) using N-methylpyrrolidone (NMP) as solvent to prepare flat sheet polymeric membrane by the phase inversion method. Presence of copolymer in blended membrane was confirmed by Fourier transform infrared-attenuated total reflectance (FTIR-ATR) spectroscopy. Blended membranes showed enhanced pore density, pure water flux and hydrophilicity. Cross sectional morphology of the membranes was changed significantly with higher wt% of the copolymer. Contact angle and hydraulic permeability of modified membrane with 7wt% of copolymer were 48.7° and 0.794L/m2hkPa compared to 63.2° and 0.353L/m2hkPa respectively, for unmodified membrane. The blended membranes also showed evidence of pH sensitivity compared to unmodified membrane. For membrane modified with 7wt% of the copolymer, hydraulic permeability was increased from 0.355 to 0.794L/m2hkPa when pH was changed from 11 to 2. Finally, fouling resistance behavior of modified membrane was studied by bovine serum albumin protein separation study. Modified membrane achieved a maximum of around 90% flux recovery ratio after bovine serum albumin (BSA) separation, which is remarkably higher compared to 37% flux recovery ratio of unmodified membrane. Effect of pH for BSA rejection on different membranes was also studied at pH 2, pH 7 and pH 11. It was found that modified membranes had almost same rejection at pH 7 and pH 11, but rejection was much lower at pH 2. © 2014 Elsevier B.V.","author":[{"dropping-particle":"","family":"Sinha","given":"M. K.","non-dropping-particle":"","parse-names":false,"suffix":""},{"dropping-particle":"","family":"Purkait","given":"M. K.","non-dropping-particle":"","parse-names":false,"suffix":""}],"container-title":"Journal of Membrane Science","id":"ITEM-1","issued":{"date-parts":[["2014"]]},"title":"Preparation and characterization of novel pegylated hydrophilic pH responsive polysulfone ultrafiltration membrane","type":"article-journal"},"uris":["http://www.mendeley.com/documents/?uuid=2869dac3-1896-4a28-92c9-54286e75c777"]}],"mendeley":{"formattedCitation":"&lt;sup&gt;213&lt;/sup&gt;","plainTextFormattedCitation":"213","previouslyFormattedCitation":"&lt;sup&gt;213&lt;/sup&gt;"},"properties":{"noteIndex":0},"schema":"https://github.com/citation-style-language/schema/raw/master/csl-citation.json"}</w:instrText>
      </w:r>
      <w:r w:rsidR="00735B58" w:rsidRPr="006D631C">
        <w:rPr>
          <w:rFonts w:asciiTheme="majorBidi" w:hAnsiTheme="majorBidi" w:cstheme="majorBidi"/>
        </w:rPr>
        <w:fldChar w:fldCharType="separate"/>
      </w:r>
      <w:r w:rsidR="00735B58" w:rsidRPr="006D631C">
        <w:rPr>
          <w:rFonts w:asciiTheme="majorBidi" w:hAnsiTheme="majorBidi" w:cstheme="majorBidi"/>
          <w:noProof/>
          <w:vertAlign w:val="superscript"/>
        </w:rPr>
        <w:t>213</w:t>
      </w:r>
      <w:r w:rsidR="00735B58" w:rsidRPr="006D631C">
        <w:rPr>
          <w:rFonts w:asciiTheme="majorBidi" w:hAnsiTheme="majorBidi" w:cstheme="majorBidi"/>
        </w:rPr>
        <w:fldChar w:fldCharType="end"/>
      </w:r>
      <w:r w:rsidR="00735B58" w:rsidRPr="006D631C">
        <w:rPr>
          <w:rFonts w:asciiTheme="majorBidi" w:hAnsiTheme="majorBidi" w:cstheme="majorBidi"/>
        </w:rPr>
        <w:t xml:space="preserve"> This behavior not only results in a tunable pore size and thus dynamic selectivity, but also improves the cleaning efficiency of the membrane after contamination with </w:t>
      </w:r>
      <w:proofErr w:type="spellStart"/>
      <w:r w:rsidR="00735B58" w:rsidRPr="006D631C">
        <w:rPr>
          <w:rFonts w:asciiTheme="majorBidi" w:hAnsiTheme="majorBidi" w:cstheme="majorBidi"/>
        </w:rPr>
        <w:t>foulants</w:t>
      </w:r>
      <w:proofErr w:type="spellEnd"/>
      <w:r w:rsidR="00735B58" w:rsidRPr="006D631C">
        <w:rPr>
          <w:rFonts w:asciiTheme="majorBidi" w:hAnsiTheme="majorBidi" w:cstheme="majorBidi"/>
        </w:rPr>
        <w:t xml:space="preserve">. Using LLC templating will also address the challenges (e.g., little or no control over the size of pores, limited surface porosity and employing large quantities of organic </w:t>
      </w:r>
      <w:r w:rsidR="00735B58" w:rsidRPr="006D631C">
        <w:rPr>
          <w:rFonts w:asciiTheme="majorBidi" w:hAnsiTheme="majorBidi" w:cstheme="majorBidi"/>
        </w:rPr>
        <w:lastRenderedPageBreak/>
        <w:t xml:space="preserve">solvent) involved with non-solvent induced phase separation (NIPS), as the common method used to prepare such membranes. </w:t>
      </w:r>
    </w:p>
    <w:p w14:paraId="3CC22063" w14:textId="20D1C360" w:rsidR="00705121" w:rsidRPr="006D631C" w:rsidRDefault="00DF5650" w:rsidP="006D6D9E">
      <w:pPr>
        <w:tabs>
          <w:tab w:val="left" w:pos="1418"/>
        </w:tabs>
        <w:jc w:val="center"/>
        <w:rPr>
          <w:rFonts w:asciiTheme="majorBidi" w:hAnsiTheme="majorBidi" w:cstheme="majorBidi"/>
        </w:rPr>
      </w:pPr>
      <w:r w:rsidRPr="006D631C">
        <w:rPr>
          <w:rFonts w:asciiTheme="majorBidi" w:hAnsiTheme="majorBidi" w:cstheme="majorBidi"/>
          <w:noProof/>
        </w:rPr>
        <w:drawing>
          <wp:inline distT="0" distB="0" distL="0" distR="0" wp14:anchorId="3AB27F38" wp14:editId="325C7A6F">
            <wp:extent cx="5901690" cy="490791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01690" cy="4907915"/>
                    </a:xfrm>
                    <a:prstGeom prst="rect">
                      <a:avLst/>
                    </a:prstGeom>
                    <a:noFill/>
                  </pic:spPr>
                </pic:pic>
              </a:graphicData>
            </a:graphic>
          </wp:inline>
        </w:drawing>
      </w:r>
    </w:p>
    <w:p w14:paraId="3FD39C14" w14:textId="7A23D608" w:rsidR="00852680" w:rsidRPr="006D631C" w:rsidRDefault="00852680" w:rsidP="004416E5">
      <w:pPr>
        <w:tabs>
          <w:tab w:val="left" w:pos="90"/>
          <w:tab w:val="left" w:pos="360"/>
          <w:tab w:val="left" w:pos="992"/>
        </w:tabs>
        <w:spacing w:after="240" w:line="360" w:lineRule="auto"/>
        <w:jc w:val="center"/>
        <w:rPr>
          <w:rFonts w:eastAsia="Calibri"/>
          <w:sz w:val="22"/>
          <w:szCs w:val="22"/>
        </w:rPr>
      </w:pPr>
      <w:bookmarkStart w:id="96" w:name="_Toc148175925"/>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1</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16</w:t>
      </w:r>
      <w:r w:rsidR="00B55F32" w:rsidRPr="006D631C">
        <w:rPr>
          <w:sz w:val="22"/>
          <w:szCs w:val="22"/>
        </w:rPr>
        <w:fldChar w:fldCharType="end"/>
      </w:r>
      <w:r w:rsidRPr="006D631C">
        <w:rPr>
          <w:sz w:val="22"/>
          <w:szCs w:val="22"/>
        </w:rPr>
        <w:t xml:space="preserve">. </w:t>
      </w:r>
      <w:r w:rsidRPr="006D631C">
        <w:rPr>
          <w:rFonts w:eastAsia="Calibri"/>
          <w:sz w:val="22"/>
          <w:szCs w:val="22"/>
        </w:rPr>
        <w:t>Ternary phase diagram of (a) Pluronic L64,</w:t>
      </w:r>
      <w:r w:rsidR="00E95125" w:rsidRPr="006D631C">
        <w:rPr>
          <w:rFonts w:eastAsia="Calibri"/>
          <w:sz w:val="22"/>
          <w:szCs w:val="22"/>
        </w:rPr>
        <w:fldChar w:fldCharType="begin" w:fldLock="1"/>
      </w:r>
      <w:r w:rsidR="00E95125" w:rsidRPr="006D631C">
        <w:rPr>
          <w:rFonts w:eastAsia="Calibri"/>
          <w:sz w:val="22"/>
          <w:szCs w:val="22"/>
        </w:rPr>
        <w:instrText>ADDIN CSL_CITATION {"citationItems":[{"id":"ITEM-1","itemData":{"DOI":"10.1021/ma00127a016","ISSN":"0024-9297","author":[{"dropping-particle":"","family":"Alexandridis","given":"Paschalis","non-dropping-particle":"","parse-names":false,"suffix":""},{"dropping-particle":"","family":"Olsson","given":"Ulf","non-dropping-particle":"","parse-names":false,"suffix":""},{"dropping-particle":"","family":"Lindman","given":"Bjoern","non-dropping-particle":"","parse-names":false,"suffix":""}],"container-title":"Macromolecules","id":"ITEM-1","issue":"23","issued":{"date-parts":[["1995","11","1"]]},"page":"7700-7710","title":"Self-Assembly of Amphiphilic Block Copolymers: The (EO)13(PO)30(EO)13-Water-p-Xylene System","type":"article-journal","volume":"28"},"uris":["http://www.mendeley.com/documents/?uuid=b94a8cb0-5ccd-47e8-8fa6-d6931324cd23"]}],"mendeley":{"formattedCitation":"&lt;sup&gt;207&lt;/sup&gt;","plainTextFormattedCitation":"207","previouslyFormattedCitation":"&lt;sup&gt;207&lt;/sup&gt;"},"properties":{"noteIndex":0},"schema":"https://github.com/citation-style-language/schema/raw/master/csl-citation.json"}</w:instrText>
      </w:r>
      <w:r w:rsidR="00E95125" w:rsidRPr="006D631C">
        <w:rPr>
          <w:rFonts w:eastAsia="Calibri"/>
          <w:sz w:val="22"/>
          <w:szCs w:val="22"/>
        </w:rPr>
        <w:fldChar w:fldCharType="separate"/>
      </w:r>
      <w:r w:rsidR="00E95125" w:rsidRPr="006D631C">
        <w:rPr>
          <w:rFonts w:eastAsia="Calibri"/>
          <w:noProof/>
          <w:sz w:val="22"/>
          <w:szCs w:val="22"/>
          <w:vertAlign w:val="superscript"/>
        </w:rPr>
        <w:t>207</w:t>
      </w:r>
      <w:r w:rsidR="00E95125" w:rsidRPr="006D631C">
        <w:rPr>
          <w:rFonts w:eastAsia="Calibri"/>
          <w:sz w:val="22"/>
          <w:szCs w:val="22"/>
        </w:rPr>
        <w:fldChar w:fldCharType="end"/>
      </w:r>
      <w:r w:rsidRPr="006D631C">
        <w:rPr>
          <w:rFonts w:eastAsia="Calibri"/>
          <w:sz w:val="22"/>
          <w:szCs w:val="22"/>
        </w:rPr>
        <w:t xml:space="preserve"> (b) Pluronic P84</w:t>
      </w:r>
      <w:r w:rsidR="008F0EDA" w:rsidRPr="006D631C">
        <w:rPr>
          <w:rFonts w:eastAsia="Calibri"/>
          <w:sz w:val="22"/>
          <w:szCs w:val="22"/>
        </w:rPr>
        <w:fldChar w:fldCharType="begin" w:fldLock="1"/>
      </w:r>
      <w:r w:rsidR="008F0EDA" w:rsidRPr="006D631C">
        <w:rPr>
          <w:rFonts w:eastAsia="Calibri"/>
          <w:sz w:val="22"/>
          <w:szCs w:val="22"/>
        </w:rPr>
        <w:instrText>ADDIN CSL_CITATION {"citationItems":[{"id":"ITEM-1","itemData":{"DOI":"10.3390/jfb9010011","ISSN":"2079-4983","author":[{"dropping-particle":"","family":"Bodratti","given":"Andrew","non-dropping-particle":"","parse-names":false,"suffix":""},{"dropping-particle":"","family":"Alexandridis","given":"Paschalis","non-dropping-particle":"","parse-names":false,"suffix":""}],"container-title":"Journal of Functional Biomaterials","id":"ITEM-1","issue":"1","issued":{"date-parts":[["2018","1","18"]]},"page":"11","title":"Formulation of Poloxamers for Drug Delivery","type":"article-journal","volume":"9"},"uris":["http://www.mendeley.com/documents/?uuid=d82dcec8-85e0-4690-acd9-dec2999f6c0e"]}],"mendeley":{"formattedCitation":"&lt;sup&gt;212&lt;/sup&gt;","plainTextFormattedCitation":"212","previouslyFormattedCitation":"&lt;sup&gt;212&lt;/sup&gt;"},"properties":{"noteIndex":0},"schema":"https://github.com/citation-style-language/schema/raw/master/csl-citation.json"}</w:instrText>
      </w:r>
      <w:r w:rsidR="008F0EDA" w:rsidRPr="006D631C">
        <w:rPr>
          <w:rFonts w:eastAsia="Calibri"/>
          <w:sz w:val="22"/>
          <w:szCs w:val="22"/>
        </w:rPr>
        <w:fldChar w:fldCharType="separate"/>
      </w:r>
      <w:r w:rsidR="008F0EDA" w:rsidRPr="006D631C">
        <w:rPr>
          <w:rFonts w:eastAsia="Calibri"/>
          <w:noProof/>
          <w:sz w:val="22"/>
          <w:szCs w:val="22"/>
          <w:vertAlign w:val="superscript"/>
        </w:rPr>
        <w:t>212</w:t>
      </w:r>
      <w:r w:rsidR="008F0EDA" w:rsidRPr="006D631C">
        <w:rPr>
          <w:rFonts w:eastAsia="Calibri"/>
          <w:sz w:val="22"/>
          <w:szCs w:val="22"/>
        </w:rPr>
        <w:fldChar w:fldCharType="end"/>
      </w:r>
      <w:r w:rsidRPr="006D631C">
        <w:rPr>
          <w:rFonts w:eastAsia="Calibri"/>
          <w:sz w:val="22"/>
          <w:szCs w:val="22"/>
        </w:rPr>
        <w:t xml:space="preserve"> and (c) Pluronic F127</w:t>
      </w:r>
      <w:r w:rsidR="008F0EDA" w:rsidRPr="006D631C">
        <w:rPr>
          <w:rFonts w:eastAsia="Calibri"/>
          <w:sz w:val="22"/>
          <w:szCs w:val="22"/>
        </w:rPr>
        <w:fldChar w:fldCharType="begin" w:fldLock="1"/>
      </w:r>
      <w:r w:rsidR="00DA7FC9" w:rsidRPr="006D631C">
        <w:rPr>
          <w:rFonts w:eastAsia="Calibri"/>
          <w:sz w:val="22"/>
          <w:szCs w:val="22"/>
        </w:rPr>
        <w:instrText>ADDIN CSL_CITATION {"citationItems":[{"id":"ITEM-1","itemData":{"DOI":"10.1021/ma970625q","ISSN":"0024-9297","abstract":"Amphiphilic block copolymers can self-assemble in the presence of selective solvents (\"water\" and \"oil\") into a variety of different microstructures. The role that \"oil\" plays in the phase behavior and structure of copolymer-oil-water systems is the focus of the present investigation. We examined a poloxamer-type poly(ethylene oxide)-poly(propylene oxide)-poly(ethylene oxide) triblock copolymer (Pluronic F127: E100P70E100) in ternary isothermal systems with water and each of three \"oils\" (of varying polarity), p-xylene, re-butyl acetate and butan-1-ol. A total of six phases with different microstructures have been identified in the ternary systems studied here: normal (oil-in-water) micellar cubic (I1), normal hexagonal (H1), lamellar (Lα), and reverse (water-in-oil) hexagonal (H2) lyotropic liquid crystals, and normal micellar (L1) and reverse micellar (L2) solutions. The number and types of phases, as well as the composition range of their stability, are different for each ternary system, reflecting the effects of oil. Systematic small-angle X-ray scattering (SAXS) measurements have been performed in order to establish the structure of the phases and determine their characteristic length-scales. The location of the \"oils\" in the different self-assembled microstructures has been deduced from the structural dimensions obtained from SAXS and the constraints imposed by the copolymer total volume fraction and interfacial area: all xylene is present in the interior (apolar core) of the oil-in-water microdomains and butanol is located at the interfacial region between poly(propylene oxide) and poly(ethylene oxide), while butyl acetate contributes to both the core and the interfacial domains.","author":[{"dropping-particle":"","family":"Holmqvist","given":"Peter","non-dropping-particle":"","parse-names":false,"suffix":""},{"dropping-particle":"","family":"Alexandridis","given":"Paschalis","non-dropping-particle":"","parse-names":false,"suffix":""},{"dropping-particle":"","family":"Lindman","given":"Björn","non-dropping-particle":"","parse-names":false,"suffix":""}],"container-title":"Macromolecules","id":"ITEM-1","issue":"22","issued":{"date-parts":[["1997","11"]]},"page":"6788-6797","title":"Modification of the Microstructure in Poloxamer Block Copolymer−Water−“Oil” Systems by Varying the “Oil” Type","type":"article-journal","volume":"30"},"uris":["http://www.mendeley.com/documents/?uuid=3cf97da7-0a93-4402-9252-d67e07fda8ca"]}],"mendeley":{"formattedCitation":"&lt;sup&gt;209&lt;/sup&gt;","plainTextFormattedCitation":"209","previouslyFormattedCitation":"&lt;sup&gt;209&lt;/sup&gt;"},"properties":{"noteIndex":0},"schema":"https://github.com/citation-style-language/schema/raw/master/csl-citation.json"}</w:instrText>
      </w:r>
      <w:r w:rsidR="008F0EDA" w:rsidRPr="006D631C">
        <w:rPr>
          <w:rFonts w:eastAsia="Calibri"/>
          <w:sz w:val="22"/>
          <w:szCs w:val="22"/>
        </w:rPr>
        <w:fldChar w:fldCharType="separate"/>
      </w:r>
      <w:r w:rsidR="008F0EDA" w:rsidRPr="006D631C">
        <w:rPr>
          <w:rFonts w:eastAsia="Calibri"/>
          <w:noProof/>
          <w:sz w:val="22"/>
          <w:szCs w:val="22"/>
          <w:vertAlign w:val="superscript"/>
        </w:rPr>
        <w:t>209</w:t>
      </w:r>
      <w:r w:rsidR="008F0EDA" w:rsidRPr="006D631C">
        <w:rPr>
          <w:rFonts w:eastAsia="Calibri"/>
          <w:sz w:val="22"/>
          <w:szCs w:val="22"/>
        </w:rPr>
        <w:fldChar w:fldCharType="end"/>
      </w:r>
      <w:r w:rsidRPr="006D631C">
        <w:rPr>
          <w:rFonts w:eastAsia="Calibri"/>
          <w:sz w:val="22"/>
          <w:szCs w:val="22"/>
        </w:rPr>
        <w:t xml:space="preserve"> in the presence of water and p-xylene. The concentrations are in </w:t>
      </w:r>
      <w:proofErr w:type="spellStart"/>
      <w:r w:rsidRPr="006D631C">
        <w:rPr>
          <w:rFonts w:eastAsia="Calibri"/>
          <w:sz w:val="22"/>
          <w:szCs w:val="22"/>
        </w:rPr>
        <w:t>wt</w:t>
      </w:r>
      <w:proofErr w:type="spellEnd"/>
      <w:r w:rsidRPr="006D631C">
        <w:rPr>
          <w:rFonts w:eastAsia="Calibri"/>
          <w:sz w:val="22"/>
          <w:szCs w:val="22"/>
        </w:rPr>
        <w:t>%.</w:t>
      </w:r>
      <w:bookmarkEnd w:id="96"/>
      <w:r w:rsidRPr="006D631C">
        <w:rPr>
          <w:rFonts w:eastAsia="Calibri"/>
          <w:sz w:val="22"/>
          <w:szCs w:val="22"/>
        </w:rPr>
        <w:t xml:space="preserve">  </w:t>
      </w:r>
    </w:p>
    <w:p w14:paraId="33D855BC" w14:textId="02EA763E" w:rsidR="00EB06D0" w:rsidRPr="006D631C" w:rsidRDefault="00EB06D0" w:rsidP="00EB06D0">
      <w:pPr>
        <w:tabs>
          <w:tab w:val="left" w:pos="1418"/>
        </w:tabs>
        <w:ind w:firstLine="357"/>
        <w:rPr>
          <w:rFonts w:asciiTheme="majorBidi" w:hAnsiTheme="majorBidi" w:cstheme="majorBidi"/>
        </w:rPr>
      </w:pPr>
      <w:r w:rsidRPr="006D631C">
        <w:rPr>
          <w:rFonts w:asciiTheme="majorBidi" w:hAnsiTheme="majorBidi" w:cstheme="majorBidi"/>
        </w:rPr>
        <w:t xml:space="preserve">Throughout this </w:t>
      </w:r>
      <w:r w:rsidR="00F32CE4" w:rsidRPr="006D631C">
        <w:rPr>
          <w:rFonts w:asciiTheme="majorBidi" w:hAnsiTheme="majorBidi" w:cstheme="majorBidi"/>
        </w:rPr>
        <w:t>dissertation</w:t>
      </w:r>
      <w:r w:rsidRPr="006D631C">
        <w:rPr>
          <w:rFonts w:asciiTheme="majorBidi" w:hAnsiTheme="majorBidi" w:cstheme="majorBidi"/>
        </w:rPr>
        <w:t xml:space="preserve">, we are trying to answer following research questions </w:t>
      </w:r>
      <w:r w:rsidR="001230B7" w:rsidRPr="006D631C">
        <w:rPr>
          <w:rFonts w:asciiTheme="majorBidi" w:hAnsiTheme="majorBidi" w:cstheme="majorBidi"/>
        </w:rPr>
        <w:t>to</w:t>
      </w:r>
      <w:r w:rsidRPr="006D631C">
        <w:rPr>
          <w:rFonts w:asciiTheme="majorBidi" w:hAnsiTheme="majorBidi" w:cstheme="majorBidi"/>
        </w:rPr>
        <w:t xml:space="preserve"> fulfill our goal:</w:t>
      </w:r>
    </w:p>
    <w:p w14:paraId="0D5DE6EA" w14:textId="236BAF63" w:rsidR="00EB06D0" w:rsidRPr="006D631C" w:rsidRDefault="00EB06D0" w:rsidP="00CA7BB9">
      <w:pPr>
        <w:tabs>
          <w:tab w:val="left" w:pos="1418"/>
        </w:tabs>
        <w:ind w:left="709" w:hanging="425"/>
        <w:rPr>
          <w:rFonts w:asciiTheme="majorBidi" w:hAnsiTheme="majorBidi" w:cstheme="majorBidi"/>
        </w:rPr>
      </w:pPr>
      <w:r w:rsidRPr="006D631C">
        <w:rPr>
          <w:rFonts w:asciiTheme="majorBidi" w:hAnsiTheme="majorBidi" w:cstheme="majorBidi"/>
        </w:rPr>
        <w:t>I.</w:t>
      </w:r>
      <w:r w:rsidRPr="006D631C">
        <w:rPr>
          <w:rFonts w:asciiTheme="majorBidi" w:hAnsiTheme="majorBidi" w:cstheme="majorBidi"/>
        </w:rPr>
        <w:tab/>
        <w:t xml:space="preserve">How the polymerization kinetics, mesophase stability and mechanical properties of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obtained from transcriptive templating can be controlled through changing the</w:t>
      </w:r>
      <w:r w:rsidR="00A06958" w:rsidRPr="006D631C">
        <w:t xml:space="preserve"> </w:t>
      </w:r>
      <w:r w:rsidR="00A06958" w:rsidRPr="006D631C">
        <w:rPr>
          <w:rFonts w:asciiTheme="majorBidi" w:hAnsiTheme="majorBidi" w:cstheme="majorBidi"/>
        </w:rPr>
        <w:t>loci of initiation step of thermal polymerization</w:t>
      </w:r>
      <w:r w:rsidR="0077455F" w:rsidRPr="006D631C">
        <w:rPr>
          <w:rFonts w:asciiTheme="majorBidi" w:hAnsiTheme="majorBidi" w:cstheme="majorBidi"/>
        </w:rPr>
        <w:t xml:space="preserve">? </w:t>
      </w:r>
      <w:r w:rsidRPr="006D631C">
        <w:rPr>
          <w:rFonts w:asciiTheme="majorBidi" w:hAnsiTheme="majorBidi" w:cstheme="majorBidi"/>
        </w:rPr>
        <w:t xml:space="preserve">  </w:t>
      </w:r>
    </w:p>
    <w:p w14:paraId="66705BC6" w14:textId="795555B7" w:rsidR="00EB06D0" w:rsidRPr="006D631C" w:rsidRDefault="00EB06D0" w:rsidP="00D650EF">
      <w:pPr>
        <w:tabs>
          <w:tab w:val="left" w:pos="1418"/>
        </w:tabs>
        <w:ind w:left="709" w:hanging="425"/>
        <w:rPr>
          <w:rFonts w:asciiTheme="majorBidi" w:hAnsiTheme="majorBidi" w:cstheme="majorBidi"/>
        </w:rPr>
      </w:pPr>
      <w:r w:rsidRPr="006D631C">
        <w:rPr>
          <w:rFonts w:asciiTheme="majorBidi" w:hAnsiTheme="majorBidi" w:cstheme="majorBidi"/>
        </w:rPr>
        <w:lastRenderedPageBreak/>
        <w:t>II.</w:t>
      </w:r>
      <w:r w:rsidRPr="006D631C">
        <w:rPr>
          <w:rFonts w:asciiTheme="majorBidi" w:hAnsiTheme="majorBidi" w:cstheme="majorBidi"/>
        </w:rPr>
        <w:tab/>
      </w:r>
      <w:r w:rsidR="000A06CA" w:rsidRPr="006D631C">
        <w:rPr>
          <w:rFonts w:asciiTheme="majorBidi" w:hAnsiTheme="majorBidi" w:cstheme="majorBidi"/>
        </w:rPr>
        <w:t xml:space="preserve">To what degree can membrane created through transcriptive LLC templating employing a thermoresponsive surfactant adjust </w:t>
      </w:r>
      <w:r w:rsidR="00D650EF" w:rsidRPr="006D631C">
        <w:rPr>
          <w:rFonts w:asciiTheme="majorBidi" w:hAnsiTheme="majorBidi" w:cstheme="majorBidi"/>
        </w:rPr>
        <w:t xml:space="preserve">its </w:t>
      </w:r>
      <w:r w:rsidR="000A06CA" w:rsidRPr="006D631C">
        <w:rPr>
          <w:rFonts w:asciiTheme="majorBidi" w:hAnsiTheme="majorBidi" w:cstheme="majorBidi"/>
        </w:rPr>
        <w:t xml:space="preserve">pore size, permeability, and selectivity in response to temperature </w:t>
      </w:r>
      <w:r w:rsidR="00253F30" w:rsidRPr="006D631C">
        <w:rPr>
          <w:rFonts w:asciiTheme="majorBidi" w:hAnsiTheme="majorBidi" w:cstheme="majorBidi"/>
        </w:rPr>
        <w:t>alteration</w:t>
      </w:r>
      <w:r w:rsidR="000A06CA" w:rsidRPr="006D631C">
        <w:rPr>
          <w:rFonts w:asciiTheme="majorBidi" w:hAnsiTheme="majorBidi" w:cstheme="majorBidi"/>
        </w:rPr>
        <w:t xml:space="preserve">? Additionally, how does the performance efficiency of </w:t>
      </w:r>
      <w:r w:rsidR="00D650EF" w:rsidRPr="006D631C">
        <w:rPr>
          <w:rFonts w:asciiTheme="majorBidi" w:hAnsiTheme="majorBidi" w:cstheme="majorBidi"/>
        </w:rPr>
        <w:t xml:space="preserve">this </w:t>
      </w:r>
      <w:r w:rsidR="000A06CA" w:rsidRPr="006D631C">
        <w:rPr>
          <w:rFonts w:asciiTheme="majorBidi" w:hAnsiTheme="majorBidi" w:cstheme="majorBidi"/>
        </w:rPr>
        <w:t xml:space="preserve">membrane in terms of permeability, selectivity, and </w:t>
      </w:r>
      <w:r w:rsidR="00253F30" w:rsidRPr="006D631C">
        <w:rPr>
          <w:rFonts w:asciiTheme="majorBidi" w:hAnsiTheme="majorBidi" w:cstheme="majorBidi"/>
        </w:rPr>
        <w:t>fouling resistance</w:t>
      </w:r>
      <w:r w:rsidR="000A06CA" w:rsidRPr="006D631C">
        <w:rPr>
          <w:rFonts w:asciiTheme="majorBidi" w:hAnsiTheme="majorBidi" w:cstheme="majorBidi"/>
        </w:rPr>
        <w:t xml:space="preserve"> compare to that of existing commercial alternatives?</w:t>
      </w:r>
      <w:r w:rsidRPr="006D631C">
        <w:rPr>
          <w:rFonts w:asciiTheme="majorBidi" w:hAnsiTheme="majorBidi" w:cstheme="majorBidi"/>
        </w:rPr>
        <w:t xml:space="preserve"> </w:t>
      </w:r>
    </w:p>
    <w:p w14:paraId="7F7DA0AE" w14:textId="58112629" w:rsidR="00EB06D0" w:rsidRPr="006D631C" w:rsidRDefault="00EB06D0" w:rsidP="005F27F2">
      <w:pPr>
        <w:tabs>
          <w:tab w:val="left" w:pos="1418"/>
        </w:tabs>
        <w:ind w:left="709" w:hanging="425"/>
        <w:rPr>
          <w:rFonts w:asciiTheme="majorBidi" w:hAnsiTheme="majorBidi" w:cstheme="majorBidi"/>
        </w:rPr>
      </w:pPr>
      <w:r w:rsidRPr="006D631C">
        <w:rPr>
          <w:rFonts w:asciiTheme="majorBidi" w:hAnsiTheme="majorBidi" w:cstheme="majorBidi"/>
        </w:rPr>
        <w:t>III.</w:t>
      </w:r>
      <w:r w:rsidRPr="006D631C">
        <w:rPr>
          <w:rFonts w:asciiTheme="majorBidi" w:hAnsiTheme="majorBidi" w:cstheme="majorBidi"/>
        </w:rPr>
        <w:tab/>
      </w:r>
      <w:r w:rsidR="00253F30" w:rsidRPr="006D631C">
        <w:rPr>
          <w:rFonts w:asciiTheme="majorBidi" w:hAnsiTheme="majorBidi" w:cstheme="majorBidi"/>
        </w:rPr>
        <w:t>What is the achievable pore size for UF membrane synthesized via synergistic LLC templating utilizing a reactive thermoresponsive surfactant? To what extent do changes in temperature induce variations in membrane pore size, permeability, and selectivity? How effectively does the synthesized membrane perform in terms of resistance to fouling caused by various ionic and nonionic species?</w:t>
      </w:r>
    </w:p>
    <w:p w14:paraId="35E6D332" w14:textId="17C08C31" w:rsidR="00EB06D0" w:rsidRPr="006D631C" w:rsidRDefault="00EB06D0" w:rsidP="00182320">
      <w:pPr>
        <w:tabs>
          <w:tab w:val="left" w:pos="1418"/>
        </w:tabs>
        <w:ind w:left="709" w:hanging="425"/>
        <w:rPr>
          <w:rFonts w:asciiTheme="majorBidi" w:hAnsiTheme="majorBidi" w:cstheme="majorBidi"/>
        </w:rPr>
      </w:pPr>
      <w:r w:rsidRPr="006D631C">
        <w:rPr>
          <w:rFonts w:asciiTheme="majorBidi" w:hAnsiTheme="majorBidi" w:cstheme="majorBidi"/>
        </w:rPr>
        <w:t>IV.</w:t>
      </w:r>
      <w:r w:rsidRPr="006D631C">
        <w:rPr>
          <w:rFonts w:asciiTheme="majorBidi" w:hAnsiTheme="majorBidi" w:cstheme="majorBidi"/>
        </w:rPr>
        <w:tab/>
      </w:r>
      <w:r w:rsidR="00182320" w:rsidRPr="006D631C">
        <w:rPr>
          <w:rFonts w:asciiTheme="majorBidi" w:hAnsiTheme="majorBidi" w:cstheme="majorBidi"/>
        </w:rPr>
        <w:t xml:space="preserve">What pore size can be achieved for NF membrane generated through synergistic LLC templating by employing a reactive thermoresponsive surfactant and an ionic monomer? How does the resulting membrane perform in terms of rejecting salts containing monovalent, divalent, and trivalent </w:t>
      </w:r>
      <w:r w:rsidR="001B38D1" w:rsidRPr="006D631C">
        <w:rPr>
          <w:rFonts w:asciiTheme="majorBidi" w:hAnsiTheme="majorBidi" w:cstheme="majorBidi"/>
        </w:rPr>
        <w:t>an</w:t>
      </w:r>
      <w:r w:rsidR="00182320" w:rsidRPr="006D631C">
        <w:rPr>
          <w:rFonts w:asciiTheme="majorBidi" w:hAnsiTheme="majorBidi" w:cstheme="majorBidi"/>
        </w:rPr>
        <w:t xml:space="preserve">ions? To what degree do changes in temperature and pH affect the selectivity and permeability of the membrane?  </w:t>
      </w:r>
    </w:p>
    <w:p w14:paraId="026F03EC" w14:textId="77777777" w:rsidR="00A21F37" w:rsidRPr="006D631C" w:rsidRDefault="001979A0" w:rsidP="00A21F37">
      <w:pPr>
        <w:tabs>
          <w:tab w:val="left" w:pos="1418"/>
        </w:tabs>
        <w:ind w:firstLine="357"/>
        <w:rPr>
          <w:rFonts w:asciiTheme="majorBidi" w:hAnsiTheme="majorBidi" w:cstheme="majorBidi"/>
        </w:rPr>
      </w:pPr>
      <w:r w:rsidRPr="006D631C">
        <w:rPr>
          <w:rFonts w:asciiTheme="majorBidi" w:hAnsiTheme="majorBidi" w:cstheme="majorBidi"/>
        </w:rPr>
        <w:t>Based on the mentioned research questions, the following objectives can be defined</w:t>
      </w:r>
      <w:r w:rsidR="00A21F37" w:rsidRPr="006D631C">
        <w:rPr>
          <w:rFonts w:asciiTheme="majorBidi" w:hAnsiTheme="majorBidi" w:cstheme="majorBidi"/>
        </w:rPr>
        <w:t>:</w:t>
      </w:r>
    </w:p>
    <w:p w14:paraId="4D45A7C9" w14:textId="48EA2590" w:rsidR="00DC1D76" w:rsidRPr="006D631C" w:rsidRDefault="001979A0" w:rsidP="00EA5AA7">
      <w:pPr>
        <w:tabs>
          <w:tab w:val="left" w:pos="1418"/>
        </w:tabs>
        <w:ind w:firstLine="357"/>
        <w:rPr>
          <w:rFonts w:asciiTheme="majorBidi" w:hAnsiTheme="majorBidi" w:cstheme="majorBidi"/>
        </w:rPr>
      </w:pPr>
      <w:r w:rsidRPr="006D631C">
        <w:rPr>
          <w:rFonts w:asciiTheme="majorBidi" w:hAnsiTheme="majorBidi" w:cstheme="majorBidi"/>
        </w:rPr>
        <w:t xml:space="preserve"> </w:t>
      </w:r>
      <w:r w:rsidR="005C5FC7" w:rsidRPr="006D631C">
        <w:rPr>
          <w:rFonts w:asciiTheme="majorBidi" w:hAnsiTheme="majorBidi" w:cstheme="majorBidi"/>
          <w:b/>
          <w:bCs/>
        </w:rPr>
        <w:t>Objective 1</w:t>
      </w:r>
      <w:r w:rsidR="005C5FC7" w:rsidRPr="006D631C">
        <w:rPr>
          <w:rFonts w:asciiTheme="majorBidi" w:hAnsiTheme="majorBidi" w:cstheme="majorBidi"/>
        </w:rPr>
        <w:t xml:space="preserve">: </w:t>
      </w:r>
      <w:r w:rsidR="00705AAA" w:rsidRPr="006D631C">
        <w:rPr>
          <w:rFonts w:asciiTheme="majorBidi" w:hAnsiTheme="majorBidi" w:cstheme="majorBidi"/>
        </w:rPr>
        <w:t xml:space="preserve">investigate how </w:t>
      </w:r>
      <w:r w:rsidR="00D633C9" w:rsidRPr="006D631C">
        <w:rPr>
          <w:rFonts w:asciiTheme="majorBidi" w:hAnsiTheme="majorBidi" w:cstheme="majorBidi"/>
        </w:rPr>
        <w:t>loci of initiation step of thermal polymerization</w:t>
      </w:r>
      <w:r w:rsidR="00D633C9" w:rsidRPr="006D631C" w:rsidDel="00D633C9">
        <w:rPr>
          <w:rFonts w:asciiTheme="majorBidi" w:hAnsiTheme="majorBidi" w:cstheme="majorBidi"/>
        </w:rPr>
        <w:t xml:space="preserve"> </w:t>
      </w:r>
      <w:r w:rsidR="00705AAA" w:rsidRPr="006D631C">
        <w:rPr>
          <w:rFonts w:asciiTheme="majorBidi" w:hAnsiTheme="majorBidi" w:cstheme="majorBidi"/>
        </w:rPr>
        <w:t>affect</w:t>
      </w:r>
      <w:r w:rsidR="00AB05FC" w:rsidRPr="006D631C">
        <w:rPr>
          <w:rFonts w:asciiTheme="majorBidi" w:hAnsiTheme="majorBidi" w:cstheme="majorBidi"/>
        </w:rPr>
        <w:t>s</w:t>
      </w:r>
      <w:r w:rsidR="00705AAA" w:rsidRPr="006D631C">
        <w:rPr>
          <w:rFonts w:asciiTheme="majorBidi" w:hAnsiTheme="majorBidi" w:cstheme="majorBidi"/>
        </w:rPr>
        <w:t xml:space="preserve"> the reaction kinetics, mesophase stability, and mechanical properties of </w:t>
      </w:r>
      <w:proofErr w:type="spellStart"/>
      <w:r w:rsidR="00705AAA" w:rsidRPr="006D631C">
        <w:rPr>
          <w:rFonts w:asciiTheme="majorBidi" w:hAnsiTheme="majorBidi" w:cstheme="majorBidi"/>
        </w:rPr>
        <w:t>polyLLCs</w:t>
      </w:r>
      <w:proofErr w:type="spellEnd"/>
      <w:r w:rsidR="00705AAA" w:rsidRPr="006D631C">
        <w:rPr>
          <w:rFonts w:asciiTheme="majorBidi" w:hAnsiTheme="majorBidi" w:cstheme="majorBidi"/>
        </w:rPr>
        <w:t xml:space="preserve"> formed using transcriptive LLC templating. The main objective is to identify a highly efficient initiation system for thermal polymerization that can retain the LLC structure during transcriptive templating. The findings of this investigation will be presented in </w:t>
      </w:r>
      <w:r w:rsidR="00EA5AA7" w:rsidRPr="006D631C">
        <w:rPr>
          <w:rFonts w:asciiTheme="majorBidi" w:hAnsiTheme="majorBidi" w:cstheme="majorBidi"/>
        </w:rPr>
        <w:t xml:space="preserve">Chapter </w:t>
      </w:r>
      <w:r w:rsidR="00705AAA" w:rsidRPr="006D631C">
        <w:rPr>
          <w:rFonts w:asciiTheme="majorBidi" w:hAnsiTheme="majorBidi" w:cstheme="majorBidi"/>
        </w:rPr>
        <w:t>2.</w:t>
      </w:r>
      <w:r w:rsidR="005C5FC7" w:rsidRPr="006D631C">
        <w:rPr>
          <w:rFonts w:asciiTheme="majorBidi" w:hAnsiTheme="majorBidi" w:cstheme="majorBidi"/>
        </w:rPr>
        <w:t xml:space="preserve">    </w:t>
      </w:r>
    </w:p>
    <w:p w14:paraId="6A1DA453" w14:textId="3DAF8598" w:rsidR="001B6C6D" w:rsidRPr="006D631C" w:rsidRDefault="001B6C6D" w:rsidP="00B6773B">
      <w:pPr>
        <w:tabs>
          <w:tab w:val="left" w:pos="1418"/>
        </w:tabs>
        <w:ind w:firstLine="357"/>
        <w:rPr>
          <w:rFonts w:asciiTheme="majorBidi" w:hAnsiTheme="majorBidi" w:cstheme="majorBidi"/>
        </w:rPr>
      </w:pPr>
      <w:r w:rsidRPr="006D631C">
        <w:rPr>
          <w:rFonts w:asciiTheme="majorBidi" w:hAnsiTheme="majorBidi" w:cstheme="majorBidi"/>
          <w:b/>
          <w:bCs/>
        </w:rPr>
        <w:t>Objective 2</w:t>
      </w:r>
      <w:r w:rsidRPr="006D631C">
        <w:rPr>
          <w:rFonts w:asciiTheme="majorBidi" w:hAnsiTheme="majorBidi" w:cstheme="majorBidi"/>
        </w:rPr>
        <w:t xml:space="preserve">: </w:t>
      </w:r>
      <w:r w:rsidR="00B6773B" w:rsidRPr="006D631C">
        <w:rPr>
          <w:rFonts w:asciiTheme="majorBidi" w:hAnsiTheme="majorBidi" w:cstheme="majorBidi"/>
        </w:rPr>
        <w:t xml:space="preserve">assess the thermoresponsiveness of PolyLLCs produced through transcriptive LLC templating, utilizing a thermo-responsive surfactant. Additionally, the performance of these </w:t>
      </w:r>
      <w:r w:rsidR="00B6773B" w:rsidRPr="006D631C">
        <w:rPr>
          <w:rFonts w:asciiTheme="majorBidi" w:hAnsiTheme="majorBidi" w:cstheme="majorBidi"/>
        </w:rPr>
        <w:lastRenderedPageBreak/>
        <w:t>PolyLLCs as a UF membrane will be evaluated. The results of this investigation will be documented in CHAPTER 3.</w:t>
      </w:r>
      <w:r w:rsidRPr="006D631C">
        <w:rPr>
          <w:rFonts w:asciiTheme="majorBidi" w:hAnsiTheme="majorBidi" w:cstheme="majorBidi"/>
        </w:rPr>
        <w:t xml:space="preserve">    </w:t>
      </w:r>
    </w:p>
    <w:p w14:paraId="77FDAC8E" w14:textId="7B6AA56C" w:rsidR="00657184" w:rsidRPr="006D631C" w:rsidRDefault="00657184" w:rsidP="00EA5AA7">
      <w:pPr>
        <w:tabs>
          <w:tab w:val="left" w:pos="1418"/>
        </w:tabs>
        <w:ind w:firstLine="357"/>
        <w:rPr>
          <w:rFonts w:asciiTheme="majorBidi" w:hAnsiTheme="majorBidi" w:cstheme="majorBidi"/>
        </w:rPr>
      </w:pPr>
      <w:r w:rsidRPr="006D631C">
        <w:rPr>
          <w:rFonts w:asciiTheme="majorBidi" w:hAnsiTheme="majorBidi" w:cstheme="majorBidi"/>
          <w:b/>
          <w:bCs/>
        </w:rPr>
        <w:t>Objective 3</w:t>
      </w:r>
      <w:r w:rsidRPr="006D631C">
        <w:rPr>
          <w:rFonts w:asciiTheme="majorBidi" w:hAnsiTheme="majorBidi" w:cstheme="majorBidi"/>
        </w:rPr>
        <w:t xml:space="preserve">: </w:t>
      </w:r>
      <w:r w:rsidR="00E56BCD" w:rsidRPr="006D631C">
        <w:rPr>
          <w:rFonts w:asciiTheme="majorBidi" w:hAnsiTheme="majorBidi" w:cstheme="majorBidi"/>
        </w:rPr>
        <w:t xml:space="preserve">examine the thermoresponsiveness of </w:t>
      </w:r>
      <w:proofErr w:type="spellStart"/>
      <w:r w:rsidR="00E56BCD" w:rsidRPr="006D631C">
        <w:rPr>
          <w:rFonts w:asciiTheme="majorBidi" w:hAnsiTheme="majorBidi" w:cstheme="majorBidi"/>
        </w:rPr>
        <w:t>polyLLCs</w:t>
      </w:r>
      <w:proofErr w:type="spellEnd"/>
      <w:r w:rsidR="00E56BCD" w:rsidRPr="006D631C">
        <w:rPr>
          <w:rFonts w:asciiTheme="majorBidi" w:hAnsiTheme="majorBidi" w:cstheme="majorBidi"/>
        </w:rPr>
        <w:t xml:space="preserve"> produced through synergistic LLC templating utilizing a polymerizable Pluronic. Moreover, the performance of these </w:t>
      </w:r>
      <w:proofErr w:type="spellStart"/>
      <w:r w:rsidR="00E56BCD" w:rsidRPr="006D631C">
        <w:rPr>
          <w:rFonts w:asciiTheme="majorBidi" w:hAnsiTheme="majorBidi" w:cstheme="majorBidi"/>
        </w:rPr>
        <w:t>polyLLCs</w:t>
      </w:r>
      <w:proofErr w:type="spellEnd"/>
      <w:r w:rsidR="00E56BCD" w:rsidRPr="006D631C">
        <w:rPr>
          <w:rFonts w:asciiTheme="majorBidi" w:hAnsiTheme="majorBidi" w:cstheme="majorBidi"/>
        </w:rPr>
        <w:t xml:space="preserve"> as a UF membrane will also be evaluated. The results and conclusions of this investigation will be presented in </w:t>
      </w:r>
      <w:r w:rsidR="00EA5AA7" w:rsidRPr="006D631C">
        <w:rPr>
          <w:rFonts w:asciiTheme="majorBidi" w:hAnsiTheme="majorBidi" w:cstheme="majorBidi"/>
        </w:rPr>
        <w:t xml:space="preserve">Chapter </w:t>
      </w:r>
      <w:r w:rsidR="00E56BCD" w:rsidRPr="006D631C">
        <w:rPr>
          <w:rFonts w:asciiTheme="majorBidi" w:hAnsiTheme="majorBidi" w:cstheme="majorBidi"/>
        </w:rPr>
        <w:t>4.</w:t>
      </w:r>
      <w:r w:rsidR="0055736A" w:rsidRPr="006D631C">
        <w:rPr>
          <w:rFonts w:asciiTheme="majorBidi" w:hAnsiTheme="majorBidi" w:cstheme="majorBidi"/>
        </w:rPr>
        <w:t xml:space="preserve"> </w:t>
      </w:r>
      <w:r w:rsidRPr="006D631C">
        <w:rPr>
          <w:rFonts w:asciiTheme="majorBidi" w:hAnsiTheme="majorBidi" w:cstheme="majorBidi"/>
        </w:rPr>
        <w:t xml:space="preserve">    </w:t>
      </w:r>
    </w:p>
    <w:p w14:paraId="1BB4FBE2" w14:textId="6CD6C094" w:rsidR="009A4633" w:rsidRPr="006D631C" w:rsidRDefault="009A4633" w:rsidP="00EA5AA7">
      <w:pPr>
        <w:tabs>
          <w:tab w:val="left" w:pos="1418"/>
        </w:tabs>
        <w:ind w:firstLine="357"/>
        <w:rPr>
          <w:rFonts w:asciiTheme="majorBidi" w:hAnsiTheme="majorBidi" w:cstheme="majorBidi"/>
        </w:rPr>
      </w:pPr>
      <w:r w:rsidRPr="006D631C">
        <w:rPr>
          <w:rFonts w:asciiTheme="majorBidi" w:hAnsiTheme="majorBidi" w:cstheme="majorBidi"/>
          <w:b/>
          <w:bCs/>
        </w:rPr>
        <w:t>Objective 4</w:t>
      </w:r>
      <w:r w:rsidRPr="006D631C">
        <w:rPr>
          <w:rFonts w:asciiTheme="majorBidi" w:hAnsiTheme="majorBidi" w:cstheme="majorBidi"/>
        </w:rPr>
        <w:t xml:space="preserve">: </w:t>
      </w:r>
      <w:r w:rsidR="00172BAC" w:rsidRPr="006D631C">
        <w:rPr>
          <w:rFonts w:asciiTheme="majorBidi" w:hAnsiTheme="majorBidi" w:cstheme="majorBidi"/>
        </w:rPr>
        <w:t xml:space="preserve">assess the thermo- and pH-responsiveness of NF membranes produced through synergistic LLC templating using a polymerizable Pluronic. The findings of this investigation will be detailed in </w:t>
      </w:r>
      <w:r w:rsidR="00EA5AA7" w:rsidRPr="006D631C">
        <w:rPr>
          <w:rFonts w:asciiTheme="majorBidi" w:hAnsiTheme="majorBidi" w:cstheme="majorBidi"/>
        </w:rPr>
        <w:t xml:space="preserve">Chapter </w:t>
      </w:r>
      <w:r w:rsidR="00172BAC" w:rsidRPr="006D631C">
        <w:rPr>
          <w:rFonts w:asciiTheme="majorBidi" w:hAnsiTheme="majorBidi" w:cstheme="majorBidi"/>
        </w:rPr>
        <w:t>5.</w:t>
      </w:r>
      <w:r w:rsidR="00A27336" w:rsidRPr="006D631C">
        <w:rPr>
          <w:rFonts w:asciiTheme="majorBidi" w:hAnsiTheme="majorBidi" w:cstheme="majorBidi"/>
        </w:rPr>
        <w:t xml:space="preserve"> </w:t>
      </w:r>
      <w:r w:rsidRPr="006D631C">
        <w:rPr>
          <w:rFonts w:asciiTheme="majorBidi" w:hAnsiTheme="majorBidi" w:cstheme="majorBidi"/>
        </w:rPr>
        <w:t xml:space="preserve">     </w:t>
      </w:r>
    </w:p>
    <w:p w14:paraId="066078A4" w14:textId="3AD701BC" w:rsidR="00AA6D0D" w:rsidRPr="006D631C" w:rsidRDefault="00EF4C3D" w:rsidP="00EA5AA7">
      <w:pPr>
        <w:tabs>
          <w:tab w:val="left" w:pos="1418"/>
        </w:tabs>
        <w:ind w:firstLine="357"/>
        <w:rPr>
          <w:rFonts w:asciiTheme="majorBidi" w:hAnsiTheme="majorBidi" w:cstheme="majorBidi"/>
        </w:rPr>
      </w:pPr>
      <w:r w:rsidRPr="006D631C">
        <w:rPr>
          <w:rFonts w:asciiTheme="majorBidi" w:hAnsiTheme="majorBidi" w:cstheme="majorBidi"/>
        </w:rPr>
        <w:t xml:space="preserve">The conclusion of our research and outlook for future work are provided in </w:t>
      </w:r>
      <w:r w:rsidR="00EA5AA7" w:rsidRPr="006D631C">
        <w:rPr>
          <w:rFonts w:asciiTheme="majorBidi" w:hAnsiTheme="majorBidi" w:cstheme="majorBidi"/>
        </w:rPr>
        <w:t xml:space="preserve">Chapter </w:t>
      </w:r>
      <w:r w:rsidRPr="006D631C">
        <w:rPr>
          <w:rFonts w:asciiTheme="majorBidi" w:hAnsiTheme="majorBidi" w:cstheme="majorBidi"/>
        </w:rPr>
        <w:t xml:space="preserve">6.   </w:t>
      </w:r>
      <w:r w:rsidR="009C4049" w:rsidRPr="006D631C">
        <w:rPr>
          <w:rFonts w:asciiTheme="majorBidi" w:hAnsiTheme="majorBidi" w:cstheme="majorBidi"/>
        </w:rPr>
        <w:t xml:space="preserve"> </w:t>
      </w:r>
      <w:r w:rsidR="00DD0B8E" w:rsidRPr="006D631C">
        <w:rPr>
          <w:rFonts w:asciiTheme="majorBidi" w:hAnsiTheme="majorBidi" w:cstheme="majorBidi"/>
        </w:rPr>
        <w:t xml:space="preserve">   </w:t>
      </w:r>
      <w:r w:rsidR="00495938" w:rsidRPr="006D631C">
        <w:rPr>
          <w:rFonts w:asciiTheme="majorBidi" w:hAnsiTheme="majorBidi" w:cstheme="majorBidi"/>
        </w:rPr>
        <w:t xml:space="preserve"> </w:t>
      </w:r>
      <w:r w:rsidR="00186EBB" w:rsidRPr="006D631C">
        <w:rPr>
          <w:rFonts w:asciiTheme="majorBidi" w:hAnsiTheme="majorBidi" w:cstheme="majorBidi"/>
        </w:rPr>
        <w:t xml:space="preserve"> </w:t>
      </w:r>
      <w:r w:rsidR="00032DAB" w:rsidRPr="006D631C">
        <w:rPr>
          <w:rFonts w:asciiTheme="majorBidi" w:hAnsiTheme="majorBidi" w:cstheme="majorBidi"/>
        </w:rPr>
        <w:t xml:space="preserve"> </w:t>
      </w:r>
      <w:r w:rsidR="008D3C94" w:rsidRPr="006D631C">
        <w:rPr>
          <w:rFonts w:asciiTheme="majorBidi" w:hAnsiTheme="majorBidi" w:cstheme="majorBidi"/>
        </w:rPr>
        <w:t xml:space="preserve">    </w:t>
      </w:r>
    </w:p>
    <w:p w14:paraId="21249639" w14:textId="266217C1" w:rsidR="005F23CB" w:rsidRPr="006D631C" w:rsidRDefault="005F23CB" w:rsidP="00861405">
      <w:pPr>
        <w:pStyle w:val="TOC1"/>
      </w:pPr>
    </w:p>
    <w:p w14:paraId="1C36127E" w14:textId="6B577384" w:rsidR="005F23CB" w:rsidRPr="006D631C" w:rsidRDefault="005F23CB" w:rsidP="005F23CB"/>
    <w:p w14:paraId="14F77DC6" w14:textId="18BCD4B9" w:rsidR="005F23CB" w:rsidRPr="006D631C" w:rsidRDefault="005F23CB" w:rsidP="00861405">
      <w:pPr>
        <w:pStyle w:val="TOC1"/>
      </w:pPr>
    </w:p>
    <w:p w14:paraId="1F3970AF" w14:textId="04D7B011" w:rsidR="005F23CB" w:rsidRPr="006D631C" w:rsidRDefault="005F23CB" w:rsidP="005F23CB"/>
    <w:p w14:paraId="618A2E14" w14:textId="7B925E72" w:rsidR="005F23CB" w:rsidRPr="006D631C" w:rsidRDefault="005F23CB" w:rsidP="00861405">
      <w:pPr>
        <w:pStyle w:val="TOC1"/>
      </w:pPr>
    </w:p>
    <w:p w14:paraId="393E4129" w14:textId="2D4744DF" w:rsidR="005F23CB" w:rsidRPr="006D631C" w:rsidRDefault="005F23CB" w:rsidP="005F23CB"/>
    <w:p w14:paraId="2229FD6C" w14:textId="2F23DE58" w:rsidR="005F23CB" w:rsidRPr="006D631C" w:rsidRDefault="005F23CB" w:rsidP="00861405">
      <w:pPr>
        <w:pStyle w:val="TOC1"/>
      </w:pPr>
    </w:p>
    <w:p w14:paraId="0E15A971" w14:textId="5640CA43" w:rsidR="005F23CB" w:rsidRPr="006D631C" w:rsidRDefault="005F23CB" w:rsidP="005F23CB"/>
    <w:p w14:paraId="0E9C529F" w14:textId="5BC1B49A" w:rsidR="005F23CB" w:rsidRPr="006D631C" w:rsidRDefault="005F23CB" w:rsidP="00861405">
      <w:pPr>
        <w:pStyle w:val="TOC1"/>
      </w:pPr>
    </w:p>
    <w:p w14:paraId="313A535C" w14:textId="4A67183D" w:rsidR="005F23CB" w:rsidRPr="006D631C" w:rsidRDefault="005F23CB" w:rsidP="005F23CB"/>
    <w:p w14:paraId="7019C728" w14:textId="4641D3C9" w:rsidR="005F23CB" w:rsidRPr="006D631C" w:rsidRDefault="005F23CB" w:rsidP="00861405">
      <w:pPr>
        <w:pStyle w:val="TOC1"/>
      </w:pPr>
    </w:p>
    <w:p w14:paraId="66669D29" w14:textId="699E02CE" w:rsidR="005F23CB" w:rsidRPr="006D631C" w:rsidRDefault="005F23CB" w:rsidP="005F23CB"/>
    <w:p w14:paraId="6DDE9973" w14:textId="2A92774F" w:rsidR="005F23CB" w:rsidRPr="006D631C" w:rsidRDefault="005F23CB" w:rsidP="00861405">
      <w:pPr>
        <w:pStyle w:val="TOC1"/>
      </w:pPr>
    </w:p>
    <w:p w14:paraId="4FF7D8BB" w14:textId="2856188A" w:rsidR="005F23CB" w:rsidRPr="006D631C" w:rsidRDefault="005F23CB" w:rsidP="005F23CB"/>
    <w:p w14:paraId="09F830FD" w14:textId="1DA97920" w:rsidR="005F23CB" w:rsidRPr="006D631C" w:rsidRDefault="005F23CB" w:rsidP="00861405">
      <w:pPr>
        <w:pStyle w:val="TOC1"/>
      </w:pPr>
    </w:p>
    <w:p w14:paraId="3B4344A5" w14:textId="44B9FEC4" w:rsidR="00D93E98" w:rsidRPr="006D631C" w:rsidRDefault="004A723E" w:rsidP="00FC18CB">
      <w:pPr>
        <w:pStyle w:val="Heading1"/>
        <w:jc w:val="center"/>
      </w:pPr>
      <w:bookmarkStart w:id="97" w:name="_Toc148175800"/>
      <w:r w:rsidRPr="006D631C">
        <w:lastRenderedPageBreak/>
        <w:t>INITIATOR-DEPEND</w:t>
      </w:r>
      <w:r w:rsidR="00FC18CB" w:rsidRPr="006D631C">
        <w:t>E</w:t>
      </w:r>
      <w:r w:rsidRPr="006D631C">
        <w:t>NT KINETICS OF LYOTROPIC LIQUID CRYSTAL-TEMPLATED THERMAL POLYMERIZATION</w:t>
      </w:r>
      <w:r w:rsidR="00C45A12" w:rsidRPr="006D631C">
        <w:rPr>
          <w:rStyle w:val="FootnoteReference"/>
        </w:rPr>
        <w:footnoteReference w:id="3"/>
      </w:r>
      <w:bookmarkEnd w:id="97"/>
    </w:p>
    <w:p w14:paraId="084FD598" w14:textId="6C0180A8" w:rsidR="005F23CB" w:rsidRPr="006D631C" w:rsidRDefault="005F23CB" w:rsidP="00861405">
      <w:pPr>
        <w:pStyle w:val="TOC1"/>
      </w:pPr>
    </w:p>
    <w:p w14:paraId="7643460A" w14:textId="566CEA9E" w:rsidR="00A820AA" w:rsidRPr="006D631C" w:rsidRDefault="00A820AA" w:rsidP="001565BC">
      <w:pPr>
        <w:pStyle w:val="Heading2"/>
      </w:pPr>
      <w:bookmarkStart w:id="98" w:name="_Toc148175801"/>
      <w:r w:rsidRPr="006D631C">
        <w:t xml:space="preserve">2.1 </w:t>
      </w:r>
      <w:r w:rsidR="001565BC" w:rsidRPr="006D631C">
        <w:t>Introduction</w:t>
      </w:r>
      <w:bookmarkEnd w:id="98"/>
    </w:p>
    <w:p w14:paraId="7FD53F67" w14:textId="41138258" w:rsidR="006A7013" w:rsidRPr="006D631C" w:rsidRDefault="00113A7E" w:rsidP="002E14E4">
      <w:pPr>
        <w:ind w:firstLine="357"/>
        <w:rPr>
          <w:rFonts w:asciiTheme="majorBidi" w:hAnsiTheme="majorBidi" w:cstheme="majorBidi"/>
        </w:rPr>
      </w:pPr>
      <w:r w:rsidRPr="006D631C">
        <w:rPr>
          <w:rFonts w:asciiTheme="majorBidi" w:hAnsiTheme="majorBidi" w:cstheme="majorBidi"/>
        </w:rPr>
        <w:t xml:space="preserve">As we discussed in </w:t>
      </w:r>
      <w:r w:rsidR="00EA5AA7" w:rsidRPr="006D631C">
        <w:rPr>
          <w:rFonts w:asciiTheme="majorBidi" w:hAnsiTheme="majorBidi" w:cstheme="majorBidi"/>
        </w:rPr>
        <w:t xml:space="preserve">Chapter </w:t>
      </w:r>
      <w:r w:rsidRPr="006D631C">
        <w:rPr>
          <w:rFonts w:asciiTheme="majorBidi" w:hAnsiTheme="majorBidi" w:cstheme="majorBidi"/>
        </w:rPr>
        <w:t xml:space="preserve">1, </w:t>
      </w:r>
      <w:r w:rsidR="001F0F9D" w:rsidRPr="006D631C">
        <w:rPr>
          <w:rFonts w:asciiTheme="majorBidi" w:hAnsiTheme="majorBidi" w:cstheme="majorBidi"/>
        </w:rPr>
        <w:t>t</w:t>
      </w:r>
      <w:r w:rsidRPr="006D631C">
        <w:rPr>
          <w:rFonts w:asciiTheme="majorBidi" w:hAnsiTheme="majorBidi" w:cstheme="majorBidi"/>
        </w:rPr>
        <w:t xml:space="preserve">he most important challenge in </w:t>
      </w:r>
      <w:r w:rsidR="001F0F9D" w:rsidRPr="006D631C">
        <w:rPr>
          <w:rFonts w:asciiTheme="majorBidi" w:hAnsiTheme="majorBidi" w:cstheme="majorBidi"/>
        </w:rPr>
        <w:t xml:space="preserve">transcriptive </w:t>
      </w:r>
      <w:r w:rsidRPr="006D631C">
        <w:rPr>
          <w:rFonts w:asciiTheme="majorBidi" w:hAnsiTheme="majorBidi" w:cstheme="majorBidi"/>
        </w:rPr>
        <w:t>LLC templating is preservation of the nanostructure during polymerization, which can be altered due to the phase-separation/inversion.</w:t>
      </w:r>
      <w:r w:rsidRPr="006D631C">
        <w:rPr>
          <w:rFonts w:asciiTheme="majorBidi" w:hAnsiTheme="majorBidi" w:cstheme="majorBidi"/>
        </w:rPr>
        <w:fldChar w:fldCharType="begin" w:fldLock="1"/>
      </w:r>
      <w:r w:rsidR="00DE4C83" w:rsidRPr="006D631C">
        <w:rPr>
          <w:rFonts w:asciiTheme="majorBidi" w:hAnsiTheme="majorBidi" w:cstheme="majorBidi"/>
        </w:rPr>
        <w:instrText>ADDIN CSL_CITATION {"citationItems":[{"id":"ITEM-1","itemData":{"DOI":"10.1021/la00038a065","ISSN":"15205827","abstract":"The determination of five separate one-phase regions, corresponding to five distinct bicontinuous cubic phase microstructures, in the phase diagram of DDAB (didodecyldimethylammonium bromide)-waterstyrene at 20 °C, provides a unique opportunity to study progressions between distinct cubic phases. A thorough phase behavior study of this region is reported, involving hundreds of samples and aided by the NMR self-diffusion technique and small-angle X-ray scattering (SAXS) technique. Two-phase samples have been found in each of the four two-phase regions separating these different monophasic regions, as well as the required three-phase samples involving cubic, lamellar, water-rich, and microemulsion phases. The structural sequence for the four cubic regions starting at lowest water content and increasing, identified by reference to the minimal surface dividing the infinitely connected bilayer, is proposed to be G (Ia3d) → D (Pn3m) → P (Im3m) → C(P) (Im3m) (Neovius' surface). The structure of the fifth cubic phase is unknown, but it is shown that the minimal surface describing this structure has a low value of γ = -(2/π)(S/V2/3)3/XE, more specifically γ &lt; 1.7 and probably γ &lt; 1.5, where the dimensionless area and the Euler characteristic are measured over any representative patch of surface. We conjecture that the “C(D)” minimal surface describes this cubic phase. A free energy theory based on surfactant chain lengths and head group areas gives qualitative agreement with the observed phase boundaries and with lattice parameters reported in the literature with cyclohexane and octane as hydrophobe. This progression can also be qualitatively understood in terms of simple arguments focusing on the mean curvature of the polar-apolar interface and does not require the introduction of a second curvature free energy contribution such as a Gaussian curvature term; a more precise interpretation is that the mean curvature term far outweighs the “difference curvature” term. The same two theoretical approaches also explain the strong slope of the phase boundaries with respect to the lines of constant waiter content, the “slowing down” of the lattice parameter increase as the phase boundaries are approached, and the tell-tale jump in the monolayer mean curvature across each of the two-phase regions. The water self-diffusion rate plotted as a function of water volume fraction falls on five curves corresponding to the five one-phase regions, with discontinuities at the phas…","author":[{"dropping-particle":"","family":"Ström","given":"Pelle","non-dropping-particle":"","parse-names":false,"suffix":""},{"dropping-particle":"","family":"Anderson","given":"David M.","non-dropping-particle":"","parse-names":false,"suffix":""}],"container-title":"Langmuir","id":"ITEM-1","issue":"2","issued":{"date-parts":[["1992"]]},"page":"691-709","title":"The Cubic Phase Region in the System Didodecyldimethylammonium Bromide-Water-Styrene","type":"article-journal","volume":"8"},"uris":["http://www.mendeley.com/documents/?uuid=2d5adf0f-e14e-4b98-9688-13e88e40a84c"]},{"id":"ITEM-2","itemData":{"DOI":"10.1002/anie.201500305","ISSN":"15213773","abstract":"A soft chemistry synthetic strategy based on a Friedel-Crafts alkylation reaction is developed for the textural engineering of phenolic resin (PR) with a robust mesoporous framework to avoid serious framework shrinkage and maximize retention of organic functional moieties. By taking advantage of the structural benefits of molecular bridges, the resultant sample maintains a bimodal micro-mesoporous architecture with well-preserved organic functional groups, which is effective for carbon capture. Moreover, this soft chemistry synthetic protocol can be further extended to nanotexture other arene-based polymers with robust frameworks.","author":[{"dropping-particle":"","family":"Zhang","given":"Jinshui","non-dropping-particle":"","parse-names":false,"suffix":""},{"dropping-particle":"","family":"Qiao","given":"Zhen An","non-dropping-particle":"","parse-names":false,"suffix":""},{"dropping-particle":"","family":"Mahurin","given":"Shannon M.","non-dropping-particle":"","parse-names":false,"suffix":""},{"dropping-particle":"","family":"Jiang","given":"Xueguang","non-dropping-particle":"","parse-names":false,"suffix":""},{"dropping-particle":"","family":"Chai","given":"Song Hai","non-dropping-particle":"","parse-names":false,"suffix":""},{"dropping-particle":"","family":"Lu","given":"Hanfeng","non-dropping-particle":"","parse-names":false,"suffix":""},{"dropping-particle":"","family":"Nelson","given":"Kimberly","non-dropping-particle":"","parse-names":false,"suffix":""},{"dropping-particle":"","family":"Dai","given":"Sheng","non-dropping-particle":"","parse-names":false,"suffix":""}],"container-title":"Angewandte Chemie - International Edition","id":"ITEM-2","issue":"15","issued":{"date-parts":[["2015"]]},"page":"4582-4586","title":"Hypercrosslinked Phenolic Polymers with Well-Developed Mesoporous Frameworks","type":"article-journal","volume":"54"},"uris":["http://www.mendeley.com/documents/?uuid=52ccadb5-384b-42ce-bdf4-f3a9e59fbf7b"]}],"mendeley":{"formattedCitation":"&lt;sup&gt;54,55&lt;/sup&gt;","plainTextFormattedCitation":"54,55","previouslyFormattedCitation":"&lt;sup&gt;54,55&lt;/sup&gt;"},"properties":{"noteIndex":0},"schema":"https://github.com/citation-style-language/schema/raw/master/csl-citation.json"}</w:instrText>
      </w:r>
      <w:r w:rsidRPr="006D631C">
        <w:rPr>
          <w:rFonts w:asciiTheme="majorBidi" w:hAnsiTheme="majorBidi" w:cstheme="majorBidi"/>
        </w:rPr>
        <w:fldChar w:fldCharType="separate"/>
      </w:r>
      <w:r w:rsidR="001F0F9D" w:rsidRPr="006D631C">
        <w:rPr>
          <w:rFonts w:asciiTheme="majorBidi" w:hAnsiTheme="majorBidi" w:cstheme="majorBidi"/>
          <w:noProof/>
          <w:vertAlign w:val="superscript"/>
        </w:rPr>
        <w:t>54,55</w:t>
      </w:r>
      <w:r w:rsidRPr="006D631C">
        <w:rPr>
          <w:rFonts w:asciiTheme="majorBidi" w:hAnsiTheme="majorBidi" w:cstheme="majorBidi"/>
        </w:rPr>
        <w:fldChar w:fldCharType="end"/>
      </w:r>
      <w:r w:rsidR="00DE4C83" w:rsidRPr="006D631C">
        <w:rPr>
          <w:rFonts w:asciiTheme="majorBidi" w:hAnsiTheme="majorBidi" w:cstheme="majorBidi"/>
        </w:rPr>
        <w:t xml:space="preserve"> While c</w:t>
      </w:r>
      <w:r w:rsidRPr="006D631C">
        <w:rPr>
          <w:rFonts w:asciiTheme="majorBidi" w:hAnsiTheme="majorBidi" w:cstheme="majorBidi"/>
        </w:rPr>
        <w:t>ross-linking the polymer chains</w:t>
      </w:r>
      <w:r w:rsidRPr="006D631C">
        <w:rPr>
          <w:rFonts w:asciiTheme="majorBidi" w:hAnsiTheme="majorBidi" w:cstheme="majorBidi"/>
        </w:rPr>
        <w:fldChar w:fldCharType="begin" w:fldLock="1"/>
      </w:r>
      <w:r w:rsidR="00DE4C83"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pathways","type":"article-journal","volume":"5"},"uris":["http://www.mendeley.com/documents/?uuid=d507d8b2-fc83-4bd7-9e6d-10370c7b5e6e"]},{"id":"ITEM-2","itemData":{"DOI":"10.1016/j.memsci.2019.02.060","ISSN":"18733123","abstract":"Industrially,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Science","id":"ITEM-2","issued":{"date-parts":[["2019"]]},"page":"125-133","title":"Ultrafiltration membranes from polymerization of self-assembled Pluronic block copolymer mesophases","type":"article-journal","volume":"580"},"uris":["http://www.mendeley.com/documents/?uuid=bed9b600-bdbf-4c48-a9d1-d3c7ba3f3449"]},{"id":"ITEM-3","itemData":{"DOI":"10.1016/j.memsci.2017.08.028","ISSN":"18733123","abstract":"A thin-film composite, bicontinuous cubic lyotropic liquid crystal polymer (TFC QI) membrane with uniform-size, ionic nanopores was studied for the treatment of hydraulic fracturing flowback water. The TFC QI membrane performance was compared to those of a commercial nanofiltration (NF) membrane (NF270) and a commercial reverse osmosis (RO) membrane (SW30HR) for the filtration of flowback water from the Denver-Julesburg Basin. The permeability, salt rejection, and organic solute rejection for each membrane was evaluated. The results illustrate that the TFC QI membrane maintained its performance to a similar degree as the commercial NF and RO membranes while demonstrating a unique selectivity not observed in the commercial membranes. Specifically, the TFC QI membrane rejected 75% of the salt while recovering 9.6% of the dissolved organic carbon (DOC) and 50% of the water. Of particular interest was the recovery of labile DOC, which was assessed through biodegradation experiments. Analysis following biodegradation of the TFC QI membrane permeate demonstrates the membrane's ability to recover labile DOC in a reduced-saline permeate. Improved recovery of labile DOC (increased to 22%) was demonstrated by reducing the pH of the flowback water. Therefore, the selectivity of the TFC QI membrane provides an opportunity to recover resources from hydraulic fracturing flowback.","author":[{"dropping-particle":"","family":"Dischinger","given":"Sarah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L.","non-dropping-particle":"","parse-names":false,"suffix":""},{"dropping-particle":"","family":"Linden","given":"Karl G.","non-dropping-particle":"","parse-names":false,"suffix":""}],"container-title":"Journal of Membrane Science","id":"ITEM-3","issued":{"date-parts":[["2017"]]},"page":"319-327","title":"Application of a lyotropic liquid crystal nanofiltration membrane for hydraulic fracturing flowback water: Selectivity and implications for treatment","type":"article-journal","volume":"543"},"uris":["http://www.mendeley.com/documents/?uuid=5a46df75-f496-4fbd-8165-bd32a6b934a9"]},{"id":"ITEM-4","itemData":{"DOI":"10.1021/ja073067w","ISSN":"0002-7863","abstract":"A polymeric membrane material for efficient water desalination based on a cross-linked type I bicontinuous cubic (QI) lyotropic liquid crystal (LLC) assembly is described. This ordered, nanoporous, polymer material is formed by the self-assembly of a cross-linkable gemini amphiphile in water and contains interpenetrating organic networks separated from one another by a continuous, ultrathin water layer surface (ca. 0.75 nm gap spacing) with overall cubic symmetry. Supported membranes of this material are produced by hot-pressing the initial LLC monomer gel at high pressure through a commercial microporous hydrophilic membrane support at 70 °C and then radically photocross-linking the infused QI monomer phase. In stirred dead-end water filtration tests, the resulting 40-μm thick, optically transparent, supported LLC membranes exhibit 95-99.9% rejection of dissolved salt ions, neutral molecules and macromolecules, and molecular ions in the 0.64-1.2 nm size range in a single pass. This rejection performance is slightly better than that of a commercial reverse osmosis (RO) membrane for the same solutes under the same test conditions, and significantly better than that of a commercial porous nanofiltration membrane. The LLC polymer material also exhibits a thickness- and pressure-normalized water permeability that is similar to or just slightly lower than the dense active layer materials used in current RO membranes. It is believed that the 3-D interconnected water manifold system in the cross-linked QI-phase material allows small water molecules (0.27 nm kinetic diameter) to pass through with good efficiency, while effectively rejecting dissolved solutes close in size to, or larger than, the about 0.75 nm water layer gap spacing. Copyright © 2007 American Chemical Society.","author":[{"dropping-particle":"","family":"Zhou","given":"Meijuan","non-dropping-particle":"","parse-names":false,"suffix":""},{"dropping-particle":"","family":"Nemade","given":"Parag R.","non-dropping-particle":"","parse-names":false,"suffix":""},{"dropping-particle":"","family":"Lu","given":"Xiaoyun","non-dropping-particle":"","parse-names":false,"suffix":""},{"dropping-particle":"","family":"Zeng","given":"Xiaohui","non-dropping-particle":"","parse-names":false,"suffix":""},{"dropping-particle":"","family":"Hatakeyama","given":"Evan S.","non-dropping-particle":"","parse-names":false,"suffix":""},{"dropping-particle":"","family":"Noble","given":"Richard D.","non-dropping-particle":"","parse-names":false,"suffix":""},{"dropping-particle":"","family":"Gin","given":"Douglas L.","non-dropping-particle":"","parse-names":false,"suffix":""}],"container-title":"Journal of the American Chemical Society","id":"ITEM-4","issue":"31","issued":{"date-parts":[["2007","8","1"]]},"page":"9574-9575","title":"New Type of Membrane Material for Water Desalination Based on a Cross-Linked Bicontinuous Cubic Lyotropic Liquid Crystal Assembly","type":"article-journal","volume":"129"},"uris":["http://www.mendeley.com/documents/?uuid=0d2d8de2-7149-4057-b6fa-a85131e88c1f"]},{"id":"ITEM-5","itemData":{"DOI":"10.1002/marc.200700707","ISSN":"15213927","abstract":"Cross-linked lyotropic liquid crystal (LLC) assemblies represent a new class of polymer materials for membrane applications. These materials are formed by the phase-segregation and self-assembly of polymerizable amphiphiles in water into condensed ordered ensembles that can be cross-linked in situ with retention of microstructure. The resulting LLC polymer networks have ordered, nanometer-scale aqueous and cross-linked organic domains, which can be used to affect gas solubility and diffusivity through the polymer to help separate molecules via the solution-diffusion mechanism. The open aqueous domains can also be used for pore transport and size exclusion with resolution on the molecular size level. The use and application potential of cross-linked LLC assemblies as gas separation membranes, selective vapor barrier materials, and water nanofiltration and desalination membranes are presented. © 2008 WILEY-VCH Verlag GmbH &amp; Co. KGaA.","author":[{"dropping-particle":"","family":"Gin","given":"Douglas L.","non-dropping-particle":"","parse-names":false,"suffix":""},{"dropping-particle":"","family":"Bara","given":"Jason E.","non-dropping-particle":"","parse-names":false,"suffix":""},{"dropping-particle":"","family":"Noble","given":"Richard D.","non-dropping-particle":"","parse-names":false,"suffix":""},{"dropping-particle":"","family":"Elliott","given":"Brian J.","non-dropping-particle":"","parse-names":false,"suffix":""}],"container-title":"Macromolecular Rapid Communications","id":"ITEM-5","issue":"5","issued":{"date-parts":[["2008"]]},"page":"367-389","title":"Polymerized lyotropic liquid crystal assemblies for membrane applications","type":"article-journal","volume":"29"},"uris":["http://www.mendeley.com/documents/?uuid=4e290c39-f788-4b76-9603-0f40ea2c76fb"]}],"mendeley":{"formattedCitation":"&lt;sup&gt;31–35&lt;/sup&gt;","plainTextFormattedCitation":"31–35","previouslyFormattedCitation":"&lt;sup&gt;31–35&lt;/sup&gt;"},"properties":{"noteIndex":0},"schema":"https://github.com/citation-style-language/schema/raw/master/csl-citation.json"}</w:instrText>
      </w:r>
      <w:r w:rsidRPr="006D631C">
        <w:rPr>
          <w:rFonts w:asciiTheme="majorBidi" w:hAnsiTheme="majorBidi" w:cstheme="majorBidi"/>
        </w:rPr>
        <w:fldChar w:fldCharType="separate"/>
      </w:r>
      <w:r w:rsidR="001F0F9D" w:rsidRPr="006D631C">
        <w:rPr>
          <w:rFonts w:asciiTheme="majorBidi" w:hAnsiTheme="majorBidi" w:cstheme="majorBidi"/>
          <w:noProof/>
          <w:vertAlign w:val="superscript"/>
        </w:rPr>
        <w:t>31–35</w:t>
      </w:r>
      <w:r w:rsidRPr="006D631C">
        <w:rPr>
          <w:rFonts w:asciiTheme="majorBidi" w:hAnsiTheme="majorBidi" w:cstheme="majorBidi"/>
        </w:rPr>
        <w:fldChar w:fldCharType="end"/>
      </w:r>
      <w:r w:rsidRPr="006D631C">
        <w:rPr>
          <w:rFonts w:asciiTheme="majorBidi" w:hAnsiTheme="majorBidi" w:cstheme="majorBidi"/>
        </w:rPr>
        <w:t xml:space="preserve"> and using block copolymer surfactants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{"citationItems":[{"id":"ITEM-1","itemData":{"DOI":"10.1021/ma030037e","ISSN":"00249297","abstract":"Nanostructured polymers are of significant interest due to their potential use in applications ranging from ultrafiltration membranes to catalysis supports. To date, much research has focused on using small molecular weight surfactants that form lyotropic liquid crystals (LLCs) as polymerization templates or polymerizing reactive LLCs to form such nanostructure in polymers. LLC phases formed from small molecular weight surfactants, however, are in and of themselves neither thermally nor mechanically stable, often rendering it difficult to preserve the LLC structure throughout polymerization. A relatively new class of surfactant molecules, Pluronic block copolymers, may afford increased flexibility in nanostructure development when used as polymerization templates. This work has focused on the photopolymerization of water and oil-soluble monomers in Pluronic lyotropic liquid crystals. In particular, the effect that LLC order and monomer segregation behavior has on monomer polymerization rate has been examined. The order of the LLC mesophase has a significant impact on polymerization rate with faster polymerization occurring in the normal phases for the oil-soluble monomer hexanediol diacrylate (HDDA) and in the inverse phases for the water-soluble monomer poly(ethylene glycol) diacrylate (PEG-400-DA). In addition, the effect of monomer addition and polymerization on LLC order has been characterized, with retention of LLC order before and after photopolymerization. Mesophase thermal stability, or the persistence of an LC phase at elevated temperatures, has also been examined for the polymer/LLC hydrogels to determine how polymer nanostructure differences affect fundamental LLC properties. Interestingly, when PEG-400-DA is polymerized in the continuous domains of the hexagonal mesophase, the clearing point is increased more than 40°C. However, when HDDA is polymerized in the discontinuous domains of hexagonal phase, the mesophase thermal stability increases only 25°C. Conversely, when HDDA is polymerized in the continuous region of the inverse hexagonal phase, the clearing point increases more than 60°C. The difference in polymer nanostructure that evolves during the polymerizations directly impacts the mesophase thermal stability. The LLC polymerization also affects the physical properties of polymer/Pluronic hydrogels with significant differences in compressive modulus observed based on the LLC phase in which the nanostructured polymer is generated.","author":[{"dropping-particle":"","family":"McCormick","given":"Demetrius T.","non-dropping-particle":"","parse-names":false,"suffix":""},{"dropping-particle":"","family":"Stovall","given":"Kalena D.","non-dropping-particle":"","parse-names":false,"suffix":""},{"dropping-particle":"","family":"Guymon","given":"C. Allan","non-dropping-particle":"","parse-names":false,"suffix":""}],"container-title":"Macromolecules","id":"ITEM-1","issue":"17","issued":{"date-parts":[["2003","8"]]},"page":"6549-6558","title":"Photopolymerization in pluronic lyotropic liquid crystals: Induced mesophase thermal stability","type":"article-journal","volume":"36"},"uris":["http://www.mendeley.com/documents/?uuid=ae7754a0-e1c1-4349-91b8-e716989d935f"]},{"id":"ITEM-2","itemData":{"DOI":"10.1021/ja060242k","ISSN":"00027863","abstract":"A general method based on two-phase polymerization has been described to synthesize mesoporous carbons via self-assembly. Mild reacting conditions and wide composition ranges are the obvious advantages of this method over the techniques previously reported. Copyright © 2006 American Chemical Society.","author":[{"dropping-particle":"","family":"Liang","given":"Chengdu","non-dropping-particle":"","parse-names":false,"suffix":""},{"dropping-particle":"","family":"Dai","given":"Sheng","non-dropping-particle":"","parse-names":false,"suffix":""}],"container-title":"Journal of the American Chemical Society","id":"ITEM-2","issue":"16","issued":{"date-parts":[["2006"]]},"page":"5316-5317","title":"Synthesis of mesoporous carbon materials via enhanced hydrogen-bonding interaction","type":"article-journal","volume":"128"},"uris":["http://www.mendeley.com/documents/?uuid=11247020-80d9-4819-933a-d7e3b6a52ed1"]},{"id":"ITEM-3","itemData":{"DOI":"10.1039/c4ra14246b","ISSN":"20462069","abstract":"The synthesis of ordered porous carbons by a green, simple and rapid approach based on light exposure of a solution of carbon precursors and a soft-template in the presence or not of a photosensitizer is demonstrated herein along with their formation mechanism. The influence of the benzophenone amount on the formation of phenolic resin and the carbon structure, morphology and textural properties was systematically studied. The polymerization, self-assembly and carbonization are promoted in the same step by light. The benzophenone accelerates several times the reaction rate modifying mainly the phenolic-resin structure (higher degree of cross-linking and carbonization) via radical formation, as highlighted by Raman spectroscopy. In addition, the increase of benzophenone amount gradually induces the modification of carbon morphology from a worm-like disordered structure to a highly organized hexagonal one while the surface area and pore volume remain unchanged. The 13C and 1H solid state and relaxation NMR analysis pointed out that this behavior is triggered by the different micellar structuration of the template in the presence of benzophenone, the phenolic-resin composition involving only carbon precursor derived compounds and not benzophenone.","author":[{"dropping-particle":"","family":"Ghimbeu","given":"Camélia Matei","non-dropping-particle":"","parse-names":false,"suffix":""},{"dropping-particle":"","family":"Sopronyi","given":"Mihai","non-dropping-particle":"","parse-names":false,"suffix":""},{"dropping-particle":"","family":"Sima","given":"Felix","non-dropping-particle":"","parse-names":false,"suffix":""},{"dropping-particle":"","family":"Vaulot","given":"Cyril","non-dropping-particle":"","parse-names":false,"suffix":""},{"dropping-particle":"","family":"Vidal","given":"Loïc","non-dropping-particle":"","parse-names":false,"suffix":""},{"dropping-particle":"","family":"Meins","given":"Jean Marc","non-dropping-particle":"Le","parse-names":false,"suffix":""},{"dropping-particle":"","family":"Delmotte","given":"Luc","non-dropping-particle":"","parse-names":false,"suffix":""}],"container-title":"RSC Advances","id":"ITEM-3","issue":"4","issued":{"date-parts":[["2015"]]},"page":"2861-2868","title":"\"Light-assisted evaporation induced self-assembly\": An efficient approach toward ordered carbon materials","type":"article-journal","volume":"5"},"uris":["http://www.mendeley.com/documents/?uuid=a4a8a6be-a1df-4397-97d6-268fb98581fd"]},{"id":"ITEM-4","itemData":{"DOI":"10.1039/c8gc03497d","ISSN":"14639270","abstract":"We report the synthesis of sustainable ordered mesoporous carbons (OMCs) produced from lignin, using the evaporation induced self-assembly (EISA) method. We demonstrated that it is possible to replace half of the phloroglucinol (a well-known carbon precursor currently not derived from bioprecursors) by hardwood organosolv lignin while obtaining a highly ordered pore structure. Notably, we also used glyoxal instead of formaldehyde as a crosslinker, which makes the synthesis route even \"greener\" with respect to the toxicity of the precursors and their renewable sourcing. Finally, we demonstrated that the resulting carbons make powerful electrodes in supercapacitors and we have made clear correlations between the porous structure and their electrochemical performance in symmetric supercapacitors in order to deliver tailored energy storage to meet various demands (i.e. amount of charge stored vs. power of delivery).","author":[{"dropping-particle":"","family":"Herou","given":"Servann","non-dropping-particle":"","parse-names":false,"suffix":""},{"dropping-particle":"","family":"Ribadeneyra","given":"Maria Crespo","non-dropping-particle":"","parse-names":false,"suffix":""},{"dropping-particle":"","family":"Madhu","given":"Rajesh","non-dropping-particle":"","parse-names":false,"suffix":""},{"dropping-particle":"","family":"Araullo-Peters","given":"Vicente","non-dropping-particle":"","parse-names":false,"suffix":""},{"dropping-particle":"","family":"Jensen","given":"Anders","non-dropping-particle":"","parse-names":false,"suffix":""},{"dropping-particle":"","family":"Schlee","given":"Philipp","non-dropping-particle":"","parse-names":false,"suffix":""},{"dropping-particle":"","family":"Titirici","given":"Magdalena","non-dropping-particle":"","parse-names":false,"suffix":""}],"container-title":"Green Chemistry","id":"ITEM-4","issue":"3","issued":{"date-parts":[["2019"]]},"page":"550-559","title":"Ordered mesoporous carbons from lignin: A new class of biobased electrodes for supercapacitors","type":"article-journal","volume":"21"},"uris":["http://www.mendeley.com/documents/?uuid=c93c069e-a3f5-4b9f-9bf6-927989923f52"]}],"mendeley":{"formattedCitation":"&lt;sup&gt;45,143–145&lt;/sup&gt;","plainTextFormattedCitation":"45,143–145","previouslyFormattedCitation":"&lt;sup&gt;45,143–145&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45,143–145</w:t>
      </w:r>
      <w:r w:rsidRPr="006D631C">
        <w:rPr>
          <w:rFonts w:asciiTheme="majorBidi" w:hAnsiTheme="majorBidi" w:cstheme="majorBidi"/>
        </w:rPr>
        <w:fldChar w:fldCharType="end"/>
      </w:r>
      <w:r w:rsidRPr="006D631C">
        <w:rPr>
          <w:rFonts w:asciiTheme="majorBidi" w:hAnsiTheme="majorBidi" w:cstheme="majorBidi"/>
        </w:rPr>
        <w:t xml:space="preserve"> are the main appr</w:t>
      </w:r>
      <w:r w:rsidR="00DE4C83" w:rsidRPr="006D631C">
        <w:rPr>
          <w:rFonts w:asciiTheme="majorBidi" w:hAnsiTheme="majorBidi" w:cstheme="majorBidi"/>
        </w:rPr>
        <w:t>oaches to overcome this challenge,</w:t>
      </w:r>
      <w:r w:rsidRPr="006D631C">
        <w:rPr>
          <w:rFonts w:asciiTheme="majorBidi" w:hAnsiTheme="majorBidi" w:cstheme="majorBidi"/>
        </w:rPr>
        <w:t xml:space="preserve"> </w:t>
      </w:r>
      <w:r w:rsidR="00DE4C83" w:rsidRPr="006D631C">
        <w:rPr>
          <w:rFonts w:asciiTheme="majorBidi" w:hAnsiTheme="majorBidi" w:cstheme="majorBidi"/>
        </w:rPr>
        <w:t>maintaining a fast polymerization ra</w:t>
      </w:r>
      <w:r w:rsidR="00A56EFE" w:rsidRPr="006D631C">
        <w:rPr>
          <w:rFonts w:asciiTheme="majorBidi" w:hAnsiTheme="majorBidi" w:cstheme="majorBidi"/>
        </w:rPr>
        <w:t xml:space="preserve">te can be a complementary method to kinetically trap the chains and thus retain the </w:t>
      </w:r>
      <w:r w:rsidR="0004098B" w:rsidRPr="006D631C">
        <w:rPr>
          <w:rFonts w:asciiTheme="majorBidi" w:hAnsiTheme="majorBidi" w:cstheme="majorBidi"/>
        </w:rPr>
        <w:t>nanostructure</w:t>
      </w:r>
      <w:r w:rsidRPr="006D631C">
        <w:rPr>
          <w:rFonts w:asciiTheme="majorBidi" w:hAnsiTheme="majorBidi" w:cstheme="majorBidi"/>
        </w:rPr>
        <w:t>. Furthermore, the polymerization kinetics can be used as a tool to predict any probable structural changes during templating since any discontinuities in the profile of the reaction rate can be a sign of structural alterations.</w:t>
      </w:r>
      <w:r w:rsidRPr="006D631C">
        <w:rPr>
          <w:rFonts w:asciiTheme="majorBidi" w:hAnsiTheme="majorBidi" w:cstheme="majorBidi"/>
        </w:rPr>
        <w:fldChar w:fldCharType="begin" w:fldLock="1"/>
      </w:r>
      <w:r w:rsidR="00DE4C83"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1F0F9D" w:rsidRPr="006D631C">
        <w:rPr>
          <w:rFonts w:asciiTheme="majorBidi" w:hAnsiTheme="majorBidi" w:cstheme="majorBidi"/>
          <w:noProof/>
          <w:vertAlign w:val="superscript"/>
        </w:rPr>
        <w:t>27</w:t>
      </w:r>
      <w:r w:rsidRPr="006D631C">
        <w:rPr>
          <w:rFonts w:asciiTheme="majorBidi" w:hAnsiTheme="majorBidi" w:cstheme="majorBidi"/>
        </w:rPr>
        <w:fldChar w:fldCharType="end"/>
      </w:r>
      <w:r w:rsidR="00643345" w:rsidRPr="006D631C">
        <w:rPr>
          <w:rFonts w:asciiTheme="majorBidi" w:hAnsiTheme="majorBidi" w:cstheme="majorBidi"/>
        </w:rPr>
        <w:t xml:space="preserve"> </w:t>
      </w:r>
    </w:p>
    <w:p w14:paraId="5BA12151" w14:textId="5108F928" w:rsidR="008E4D8E" w:rsidRPr="006D631C" w:rsidRDefault="00643345" w:rsidP="002E14E4">
      <w:pPr>
        <w:ind w:firstLine="357"/>
        <w:rPr>
          <w:rFonts w:asciiTheme="majorBidi" w:hAnsiTheme="majorBidi" w:cstheme="majorBidi"/>
        </w:rPr>
      </w:pPr>
      <w:r w:rsidRPr="006D631C">
        <w:rPr>
          <w:rFonts w:asciiTheme="majorBidi" w:hAnsiTheme="majorBidi" w:cstheme="majorBidi"/>
        </w:rPr>
        <w:t>Due to the importance of polymerization kinetics during LLC templating</w:t>
      </w:r>
      <w:r w:rsidR="006A7013" w:rsidRPr="006D631C">
        <w:rPr>
          <w:rFonts w:asciiTheme="majorBidi" w:hAnsiTheme="majorBidi" w:cstheme="majorBidi"/>
        </w:rPr>
        <w:t>,</w:t>
      </w:r>
      <w:r w:rsidRPr="006D631C">
        <w:t xml:space="preserve"> </w:t>
      </w:r>
      <w:r w:rsidRPr="006D631C">
        <w:rPr>
          <w:rFonts w:asciiTheme="majorBidi" w:hAnsiTheme="majorBidi" w:cstheme="majorBidi"/>
        </w:rPr>
        <w:t xml:space="preserve">Guymon and coworkers studied the kinetics of photopolymerization in LLCs for a variety of LLC formulations </w:t>
      </w:r>
      <w:r w:rsidR="006A7013" w:rsidRPr="006D631C">
        <w:rPr>
          <w:rFonts w:asciiTheme="majorBidi" w:hAnsiTheme="majorBidi" w:cstheme="majorBidi"/>
        </w:rPr>
        <w:t>which we discussed in further details in section 1.5</w:t>
      </w:r>
      <w:r w:rsidRPr="006D631C">
        <w:rPr>
          <w:rFonts w:asciiTheme="majorBidi" w:hAnsiTheme="majorBidi" w:cstheme="majorBidi"/>
        </w:rPr>
        <w:t xml:space="preserve">. </w:t>
      </w:r>
      <w:r w:rsidR="006E2219" w:rsidRPr="006D631C">
        <w:rPr>
          <w:rFonts w:asciiTheme="majorBidi" w:hAnsiTheme="majorBidi" w:cstheme="majorBidi"/>
        </w:rPr>
        <w:t xml:space="preserve">Even though photopolymerization is frequently used in LLC templating, thermal polymerization is an alternative approach that is more favorable for industrial scale synthesis of polymers. However, there are few systematic works on evaluating the thermal polymerization in LLC templating. </w:t>
      </w:r>
      <w:proofErr w:type="spellStart"/>
      <w:r w:rsidR="006E2219" w:rsidRPr="006D631C">
        <w:rPr>
          <w:rFonts w:asciiTheme="majorBidi" w:hAnsiTheme="majorBidi" w:cstheme="majorBidi"/>
        </w:rPr>
        <w:t>DePierro</w:t>
      </w:r>
      <w:proofErr w:type="spellEnd"/>
      <w:r w:rsidR="006E2219" w:rsidRPr="006D631C">
        <w:rPr>
          <w:rFonts w:asciiTheme="majorBidi" w:hAnsiTheme="majorBidi" w:cstheme="majorBidi"/>
        </w:rPr>
        <w:t xml:space="preserve"> </w:t>
      </w:r>
      <w:r w:rsidR="006E2219" w:rsidRPr="006D631C">
        <w:rPr>
          <w:rFonts w:asciiTheme="majorBidi" w:hAnsiTheme="majorBidi" w:cstheme="majorBidi"/>
          <w:i/>
        </w:rPr>
        <w:t>et al.</w:t>
      </w:r>
      <w:r w:rsidR="006E2219" w:rsidRPr="006D631C">
        <w:rPr>
          <w:rFonts w:asciiTheme="majorBidi" w:hAnsiTheme="majorBidi" w:cstheme="majorBidi"/>
        </w:rPr>
        <w:t xml:space="preserve"> have reported that it is challenging to preserve the LLC structure during thermal polymerization of acrylamide, possibly </w:t>
      </w:r>
      <w:r w:rsidR="006E2219" w:rsidRPr="006D631C">
        <w:rPr>
          <w:rFonts w:asciiTheme="majorBidi" w:hAnsiTheme="majorBidi" w:cstheme="majorBidi"/>
        </w:rPr>
        <w:lastRenderedPageBreak/>
        <w:t>because of slow reaction rate.</w:t>
      </w:r>
      <w:r w:rsidR="006E2219"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{"citationItems":[{"id":"ITEM-1","itemData":{"DOI":"10.1021/cm061969a","ISSN":"08974756","abstract":"Lyotropic liquid crystals (LLCs) have recently been employed as polymerization templates to yield highly ordered nanostructured hydrogels, which have shown promise in biological separations and tissue engineering. To allow greater control of hydrogel structure using LLC templates, this study focuses on the influence of polymerization kinetics and temperature on ultimate polymer morphology and properties. A more in-depth understanding of these phenomena has been obtained through extensive examination of polymer structure with small-angle X-ray scattering (SAXS) and scanning electron microscopy (SEM). The impact of different polymerization rate and temperature regimes on polymer morphology was determined using isotropic, cubic, and hexagonal phases as polymerization templates. Polymer morphology varies dramatically depending on LLC phase template, while within a given phase changes in polymerization time scale and temperature greatly impact polymer structure. SAXS reveals a higher degree of retained liquid crystalline order using rapid polymerization at relatively low temperatures. SEM images demonstrate that rapid polymerization yields polymers with highly ordered network structures and nanoscale morphology. Less ordered, thermodynamically driven polymer features result from relatively slow polymerization. The degree of swelling in aqueous solution increases dramatically in ordered LLC phases relative to bulk polymerization, with lower swelling resulting from faster polymerization. Similarly, higher surface area results from polymerization in LLC media relative to isotropic systems, and surface area increases with increasing polymerization rate. © 2006 American Chemical Society.","author":[{"dropping-particle":"","family":"DePierro","given":"Michael A.","non-dropping-particle":"","parse-names":false,"suffix":""},{"dropping-particle":"","family":"Carpenter","given":"Kyle G.","non-dropping-particle":"","parse-names":false,"suffix":""},{"dropping-particle":"","family":"Guymon","given":"C. Allan","non-dropping-particle":"","parse-names":false,"suffix":""}],"container-title":"Chemistry of Materials","id":"ITEM-1","issue":"23","issued":{"date-parts":[["2006","11"]]},"page":"5609-5617","title":"Influence of polymerization conditions on nanostructure and properties of polyacrylamide hydrogels templated from lyotropic liquid crystals","type":"article-journal","volume":"18"},"uris":["http://www.mendeley.com/documents/?uuid=e0a07ef3-cb63-401e-9e29-f5755f782e7d"]}],"mendeley":{"formattedCitation":"&lt;sup&gt;40&lt;/sup&gt;","plainTextFormattedCitation":"40","previouslyFormattedCitation":"&lt;sup&gt;40&lt;/sup&gt;"},"properties":{"noteIndex":0},"schema":"https://github.com/citation-style-language/schema/raw/master/csl-citation.json"}</w:instrText>
      </w:r>
      <w:r w:rsidR="006E2219"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40</w:t>
      </w:r>
      <w:r w:rsidR="006E2219" w:rsidRPr="006D631C">
        <w:rPr>
          <w:rFonts w:asciiTheme="majorBidi" w:hAnsiTheme="majorBidi" w:cstheme="majorBidi"/>
        </w:rPr>
        <w:fldChar w:fldCharType="end"/>
      </w:r>
      <w:r w:rsidR="006E2219" w:rsidRPr="006D631C">
        <w:rPr>
          <w:rFonts w:asciiTheme="majorBidi" w:hAnsiTheme="majorBidi" w:cstheme="majorBidi"/>
        </w:rPr>
        <w:t xml:space="preserve"> However, </w:t>
      </w:r>
      <w:proofErr w:type="spellStart"/>
      <w:r w:rsidR="006E2219" w:rsidRPr="006D631C">
        <w:rPr>
          <w:rFonts w:asciiTheme="majorBidi" w:hAnsiTheme="majorBidi" w:cstheme="majorBidi"/>
        </w:rPr>
        <w:t>Qavi</w:t>
      </w:r>
      <w:proofErr w:type="spellEnd"/>
      <w:r w:rsidR="006E2219" w:rsidRPr="006D631C">
        <w:rPr>
          <w:rFonts w:asciiTheme="majorBidi" w:hAnsiTheme="majorBidi" w:cstheme="majorBidi"/>
        </w:rPr>
        <w:t xml:space="preserve"> and coworkers have shown the possibility to retain the structure (e.g., hexagonal and lamellar) when the thermal polymerization is used.</w:t>
      </w:r>
      <w:r w:rsidR="006E2219" w:rsidRPr="006D631C">
        <w:rPr>
          <w:rFonts w:asciiTheme="majorBidi" w:hAnsiTheme="majorBidi" w:cstheme="majorBidi"/>
        </w:rPr>
        <w:fldChar w:fldCharType="begin" w:fldLock="1"/>
      </w:r>
      <w:r w:rsidR="006E2219"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mesophases","type":"article-journal","volume":"15"},"uris":["http://www.mendeley.com/documents/?uuid=5a774487-acd6-4203-928f-13a0a6b06e6b"]},{"id":"ITEM-2","itemData":{"DOI":"10.1016/j.memsci.2019.02.060","ISSN":"18733123","abstract":"Industrially,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Science","id":"ITEM-2","issued":{"date-parts":[["2019"]]},"page":"125-133","title":"Ultrafiltration membranes from polymerization of self-assembled Pluronic block copolymer mesophases","type":"article-journal","volume":"580"},"uris":["http://www.mendeley.com/documents/?uuid=bed9b600-bdbf-4c48-a9d1-d3c7ba3f3449"]}],"mendeley":{"formattedCitation":"&lt;sup&gt;32,56&lt;/sup&gt;","plainTextFormattedCitation":"32,56","previouslyFormattedCitation":"&lt;sup&gt;32,56&lt;/sup&gt;"},"properties":{"noteIndex":0},"schema":"https://github.com/citation-style-language/schema/raw/master/csl-citation.json"}</w:instrText>
      </w:r>
      <w:r w:rsidR="006E2219" w:rsidRPr="006D631C">
        <w:rPr>
          <w:rFonts w:asciiTheme="majorBidi" w:hAnsiTheme="majorBidi" w:cstheme="majorBidi"/>
        </w:rPr>
        <w:fldChar w:fldCharType="separate"/>
      </w:r>
      <w:r w:rsidR="006E2219" w:rsidRPr="006D631C">
        <w:rPr>
          <w:rFonts w:asciiTheme="majorBidi" w:hAnsiTheme="majorBidi" w:cstheme="majorBidi"/>
          <w:noProof/>
          <w:vertAlign w:val="superscript"/>
        </w:rPr>
        <w:t>32,56</w:t>
      </w:r>
      <w:r w:rsidR="006E2219" w:rsidRPr="006D631C">
        <w:rPr>
          <w:rFonts w:asciiTheme="majorBidi" w:hAnsiTheme="majorBidi" w:cstheme="majorBidi"/>
        </w:rPr>
        <w:fldChar w:fldCharType="end"/>
      </w:r>
      <w:r w:rsidR="006E2219" w:rsidRPr="006D631C">
        <w:rPr>
          <w:rFonts w:asciiTheme="majorBidi" w:hAnsiTheme="majorBidi" w:cstheme="majorBidi"/>
        </w:rPr>
        <w:t xml:space="preserve"> They have also found that the reaction is slower in </w:t>
      </w:r>
      <w:proofErr w:type="spellStart"/>
      <w:r w:rsidR="006E2219" w:rsidRPr="006D631C">
        <w:rPr>
          <w:rFonts w:asciiTheme="majorBidi" w:hAnsiTheme="majorBidi" w:cstheme="majorBidi"/>
        </w:rPr>
        <w:t>nanoconfinements</w:t>
      </w:r>
      <w:proofErr w:type="spellEnd"/>
      <w:r w:rsidR="006E2219" w:rsidRPr="006D631C">
        <w:rPr>
          <w:rFonts w:asciiTheme="majorBidi" w:hAnsiTheme="majorBidi" w:cstheme="majorBidi"/>
        </w:rPr>
        <w:t xml:space="preserve"> with lower domain size of polymerizing phase and attributed this observation to higher probability of termination reaction</w:t>
      </w:r>
      <w:r w:rsidR="00066CA4" w:rsidRPr="006D631C">
        <w:rPr>
          <w:rFonts w:asciiTheme="majorBidi" w:hAnsiTheme="majorBidi" w:cstheme="majorBidi"/>
        </w:rPr>
        <w:t xml:space="preserve"> as well as free radicals recombination due to the cage effect</w:t>
      </w:r>
      <w:r w:rsidR="006E2219" w:rsidRPr="006D631C">
        <w:rPr>
          <w:rFonts w:asciiTheme="majorBidi" w:hAnsiTheme="majorBidi" w:cstheme="majorBidi"/>
        </w:rPr>
        <w:t>.</w:t>
      </w:r>
      <w:r w:rsidR="006E2219" w:rsidRPr="006D631C">
        <w:rPr>
          <w:rFonts w:asciiTheme="majorBidi" w:hAnsiTheme="majorBidi" w:cstheme="majorBidi"/>
        </w:rPr>
        <w:fldChar w:fldCharType="begin" w:fldLock="1"/>
      </w:r>
      <w:r w:rsidR="006E2219"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006E2219" w:rsidRPr="006D631C">
        <w:rPr>
          <w:rFonts w:asciiTheme="majorBidi" w:hAnsiTheme="majorBidi" w:cstheme="majorBidi"/>
        </w:rPr>
        <w:fldChar w:fldCharType="separate"/>
      </w:r>
      <w:r w:rsidR="006E2219" w:rsidRPr="006D631C">
        <w:rPr>
          <w:rFonts w:asciiTheme="majorBidi" w:hAnsiTheme="majorBidi" w:cstheme="majorBidi"/>
          <w:noProof/>
          <w:vertAlign w:val="superscript"/>
        </w:rPr>
        <w:t>56</w:t>
      </w:r>
      <w:r w:rsidR="006E2219" w:rsidRPr="006D631C">
        <w:rPr>
          <w:rFonts w:asciiTheme="majorBidi" w:hAnsiTheme="majorBidi" w:cstheme="majorBidi"/>
        </w:rPr>
        <w:fldChar w:fldCharType="end"/>
      </w:r>
      <w:r w:rsidR="008E4D8E" w:rsidRPr="006D631C">
        <w:rPr>
          <w:rFonts w:asciiTheme="majorBidi" w:hAnsiTheme="majorBidi" w:cstheme="majorBidi"/>
        </w:rPr>
        <w:t xml:space="preserve">  </w:t>
      </w:r>
    </w:p>
    <w:p w14:paraId="049236F3" w14:textId="2C312A02" w:rsidR="001133D5" w:rsidRPr="006D631C" w:rsidRDefault="008E4D8E" w:rsidP="0072669A">
      <w:pPr>
        <w:ind w:firstLine="357"/>
        <w:rPr>
          <w:rFonts w:asciiTheme="majorBidi" w:hAnsiTheme="majorBidi" w:cstheme="majorBidi"/>
        </w:rPr>
      </w:pPr>
      <w:r w:rsidRPr="006D631C">
        <w:rPr>
          <w:rFonts w:asciiTheme="majorBidi" w:hAnsiTheme="majorBidi" w:cstheme="majorBidi"/>
        </w:rPr>
        <w:t xml:space="preserve">    In this study, we use </w:t>
      </w:r>
      <w:r w:rsidR="00532F3F" w:rsidRPr="006D631C">
        <w:rPr>
          <w:rFonts w:asciiTheme="majorBidi" w:hAnsiTheme="majorBidi" w:cstheme="majorBidi"/>
        </w:rPr>
        <w:t>Pluronic L64</w:t>
      </w:r>
      <w:r w:rsidR="002C64EB" w:rsidRPr="006D631C">
        <w:rPr>
          <w:rFonts w:asciiTheme="majorBidi" w:hAnsiTheme="majorBidi" w:cstheme="majorBidi"/>
        </w:rPr>
        <w:t>,</w:t>
      </w:r>
      <w:r w:rsidRPr="006D631C">
        <w:rPr>
          <w:rFonts w:asciiTheme="majorBidi" w:hAnsiTheme="majorBidi" w:cstheme="majorBidi"/>
        </w:rPr>
        <w:t xml:space="preserve"> as the </w:t>
      </w:r>
      <w:r w:rsidR="002C64EB" w:rsidRPr="006D631C">
        <w:rPr>
          <w:rFonts w:asciiTheme="majorBidi" w:hAnsiTheme="majorBidi" w:cstheme="majorBidi"/>
        </w:rPr>
        <w:t xml:space="preserve">model Pluronic </w:t>
      </w:r>
      <w:r w:rsidRPr="006D631C">
        <w:rPr>
          <w:rFonts w:asciiTheme="majorBidi" w:hAnsiTheme="majorBidi" w:cstheme="majorBidi"/>
        </w:rPr>
        <w:t>surfactant</w:t>
      </w:r>
      <w:r w:rsidR="002C64EB" w:rsidRPr="006D631C">
        <w:rPr>
          <w:rFonts w:asciiTheme="majorBidi" w:hAnsiTheme="majorBidi" w:cstheme="majorBidi"/>
        </w:rPr>
        <w:t>,</w:t>
      </w:r>
      <w:r w:rsidRPr="006D631C">
        <w:rPr>
          <w:rFonts w:asciiTheme="majorBidi" w:hAnsiTheme="majorBidi" w:cstheme="majorBidi"/>
        </w:rPr>
        <w:t xml:space="preserve"> in combination with water and oil phases to create inverse hexagonal (H</w:t>
      </w:r>
      <w:r w:rsidRPr="006D631C">
        <w:rPr>
          <w:rFonts w:asciiTheme="majorBidi" w:hAnsiTheme="majorBidi" w:cstheme="majorBidi"/>
          <w:vertAlign w:val="subscript"/>
        </w:rPr>
        <w:t>2</w:t>
      </w:r>
      <w:r w:rsidRPr="006D631C">
        <w:rPr>
          <w:rFonts w:asciiTheme="majorBidi" w:hAnsiTheme="majorBidi" w:cstheme="majorBidi"/>
        </w:rPr>
        <w:t>) and lamellar (L</w:t>
      </w:r>
      <w:r w:rsidRPr="006D631C">
        <w:rPr>
          <w:rFonts w:asciiTheme="majorBidi" w:hAnsiTheme="majorBidi" w:cstheme="majorBidi"/>
          <w:vertAlign w:val="subscript"/>
        </w:rPr>
        <w:t>α</w:t>
      </w:r>
      <w:r w:rsidRPr="006D631C">
        <w:rPr>
          <w:rFonts w:asciiTheme="majorBidi" w:hAnsiTheme="majorBidi" w:cstheme="majorBidi"/>
        </w:rPr>
        <w:t>) structures. The oil phase contains n-butyl acrylate (</w:t>
      </w:r>
      <w:proofErr w:type="spellStart"/>
      <w:proofErr w:type="gramStart"/>
      <w:r w:rsidRPr="006D631C">
        <w:rPr>
          <w:rFonts w:asciiTheme="majorBidi" w:hAnsiTheme="majorBidi" w:cstheme="majorBidi"/>
        </w:rPr>
        <w:t>nBA</w:t>
      </w:r>
      <w:proofErr w:type="spellEnd"/>
      <w:proofErr w:type="gramEnd"/>
      <w:r w:rsidRPr="006D631C">
        <w:rPr>
          <w:rFonts w:asciiTheme="majorBidi" w:hAnsiTheme="majorBidi" w:cstheme="majorBidi"/>
        </w:rPr>
        <w:t xml:space="preserve">) as monomer and ethylene glycol </w:t>
      </w:r>
      <w:proofErr w:type="spellStart"/>
      <w:r w:rsidRPr="006D631C">
        <w:rPr>
          <w:rFonts w:asciiTheme="majorBidi" w:hAnsiTheme="majorBidi" w:cstheme="majorBidi"/>
        </w:rPr>
        <w:t>dimethacrylate</w:t>
      </w:r>
      <w:proofErr w:type="spellEnd"/>
      <w:r w:rsidRPr="006D631C">
        <w:rPr>
          <w:rFonts w:asciiTheme="majorBidi" w:hAnsiTheme="majorBidi" w:cstheme="majorBidi"/>
        </w:rPr>
        <w:t xml:space="preserve"> (EGDMA) as cross-linker. Two types of thermal initiation system are used to polymerize the oil phase: initiation from water (IFW) by using ammonium persulfate (APS) and initiation from oil (IFO) by employing </w:t>
      </w:r>
      <w:proofErr w:type="spellStart"/>
      <w:r w:rsidRPr="006D631C">
        <w:rPr>
          <w:rFonts w:asciiTheme="majorBidi" w:hAnsiTheme="majorBidi" w:cstheme="majorBidi"/>
        </w:rPr>
        <w:t>azobisisobutyronitrile</w:t>
      </w:r>
      <w:proofErr w:type="spellEnd"/>
      <w:r w:rsidRPr="006D631C">
        <w:rPr>
          <w:rFonts w:asciiTheme="majorBidi" w:hAnsiTheme="majorBidi" w:cstheme="majorBidi"/>
        </w:rPr>
        <w:t xml:space="preserve"> (AIBN) or benzoyl peroxide (BPO). Despite the fact that monomer and </w:t>
      </w:r>
      <w:proofErr w:type="spellStart"/>
      <w:r w:rsidRPr="006D631C">
        <w:rPr>
          <w:rFonts w:asciiTheme="majorBidi" w:hAnsiTheme="majorBidi" w:cstheme="majorBidi"/>
        </w:rPr>
        <w:t>crosslinker</w:t>
      </w:r>
      <w:proofErr w:type="spellEnd"/>
      <w:r w:rsidRPr="006D631C">
        <w:rPr>
          <w:rFonts w:asciiTheme="majorBidi" w:hAnsiTheme="majorBidi" w:cstheme="majorBidi"/>
        </w:rPr>
        <w:t xml:space="preserve"> form the oil phase, we show that the polymerization rate is much faster in the case of IFW compared to IFO. Faster polymerization rate has already been reported for APS over AIBN in an inverse emulsion polymerization of acrylamide.</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{"citationItems":[{"id":"ITEM-1","itemData":{"DOI":"10.1295/polymj.36.793","ISSN":"00323896","abstract":"The nature of the reaction loci in inverse emulsion polymerization of acrylamide (AAm) initiated by oil (2,2′-azoisobutyronitrile, AIBN)- and water-soluble (ammonium peroxodisulfate, APS) initiators was investigated. The rate of polymerization (Kp,max, Interval 2) increases with increasing the emulsifier concentration up to a certain critical concentration and then decreases. The rate of polymerization and the polymerization rate per particle are some-what larger in the APS-initiated polymerization than in the AIBN-initiated one. For both initiators the polymerization rate per particle is proportional to the particle size and decreases with increasing the emulsifier concentration and the decrease is much more pronounced at the high emulsifier concentrations. The similar kinetic dependences for both initiators were discussed in terms of the formation of monomeric or oligomeric radicals with the similar nature, mobility via the reaction system and partitioning between the oil and water phases. The similar radicals carrying the initiator fragment were formed by the addition of one or two (or several) units to the primary radicals (SO4.- or 2-cyanoiso-propyl). The estimated average number of radicals per particle (n̄) is much below 0.5. The low radical concentration in the polymer particles was discussed in terms of the desorption of monomeric and emulsifier radicals. The desorption of radicals was confirmed by both the Nomura model (Nmodel, k′ des,N) and the Ugelstad approach (the solution of population balance for the particle with n̄, Tmodel, k′des,T). The k′des,T's were found to be much larger than the k′des,N's. The differences in the k′des's were discussed in terms of the desorption (surface active) monomeric radicals (the polymerization within the outer spheres of polymer particles) and emulsifier (the chain transfer to emulsifier) radicals. The radical entry rate decreases with increasing the emulsifier concentration or decreasing the particle size.","author":[{"dropping-particle":"","family":"Capek","given":"Ignác","non-dropping-particle":"","parse-names":false,"suffix":""}],"container-title":"Polymer Journal","id":"ITEM-1","issue":"10","issued":{"date-parts":[["2004"]]},"page":"793-803","title":"Inverse emulsion polymerization of acrylamide initiated by oil- and water-soluble initiators: Effect of emulsifier concentration","type":"article-journal","volume":"36"},"uris":["http://www.mendeley.com/documents/?uuid=3362587f-c4f9-4b47-9887-d76e70f2260d"]}],"mendeley":{"formattedCitation":"&lt;sup&gt;214&lt;/sup&gt;","plainTextFormattedCitation":"214","previouslyFormattedCitation":"&lt;sup&gt;214&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214</w:t>
      </w:r>
      <w:r w:rsidRPr="006D631C">
        <w:rPr>
          <w:rFonts w:asciiTheme="majorBidi" w:hAnsiTheme="majorBidi" w:cstheme="majorBidi"/>
        </w:rPr>
        <w:fldChar w:fldCharType="end"/>
      </w:r>
      <w:r w:rsidRPr="006D631C">
        <w:rPr>
          <w:rFonts w:asciiTheme="majorBidi" w:hAnsiTheme="majorBidi" w:cstheme="majorBidi"/>
        </w:rPr>
        <w:t xml:space="preserve"> In such polymerization system, free radicals generated by oil-soluble AIBN diffuse into hydrophilic polymer particles as monomer-rich loci, resulting in slower reaction rate. In contrast, even though free radicals of water-soluble APS migrate into the monomer-rich oil phase in the current study, the reaction is still faster for APS compared to AIBN. Furthermore, our experiments reveal that in similar monomer conversions, the templated product using IFW system exhibits enhanced mechanical properties than the samples obtained from IFO approach. Both observations make the current study unique in terms of the effect of initiation system on polymerization kinetics as well as the mechanical properties of final products. We also study the effect of initiator concentration and the temperature on the polymerization kinetics.</w:t>
      </w:r>
    </w:p>
    <w:p w14:paraId="2711BAA0" w14:textId="03FAD23E" w:rsidR="00241D37" w:rsidRPr="006D631C" w:rsidRDefault="00241D37" w:rsidP="00241D37">
      <w:pPr>
        <w:pStyle w:val="Heading2"/>
      </w:pPr>
      <w:bookmarkStart w:id="99" w:name="_Toc148175802"/>
      <w:r w:rsidRPr="006D631C">
        <w:lastRenderedPageBreak/>
        <w:t>2.2 Experimental</w:t>
      </w:r>
      <w:bookmarkEnd w:id="99"/>
    </w:p>
    <w:p w14:paraId="4505A77C" w14:textId="5FA16C19" w:rsidR="00364DBF" w:rsidRPr="006D631C" w:rsidRDefault="00364DBF" w:rsidP="00364DBF">
      <w:pPr>
        <w:pStyle w:val="Heading3"/>
      </w:pPr>
      <w:bookmarkStart w:id="100" w:name="_Toc148175803"/>
      <w:r w:rsidRPr="006D631C">
        <w:t>2.2.1 Materials</w:t>
      </w:r>
      <w:bookmarkEnd w:id="100"/>
      <w:r w:rsidRPr="006D631C">
        <w:t xml:space="preserve"> </w:t>
      </w:r>
    </w:p>
    <w:p w14:paraId="250E4050" w14:textId="4D56C635" w:rsidR="00144A6A" w:rsidRPr="006D631C" w:rsidRDefault="0039395B" w:rsidP="0072669A">
      <w:pPr>
        <w:ind w:firstLine="357"/>
        <w:rPr>
          <w:rFonts w:asciiTheme="majorBidi" w:hAnsiTheme="majorBidi" w:cstheme="majorBidi"/>
        </w:rPr>
      </w:pPr>
      <w:r w:rsidRPr="006D631C">
        <w:rPr>
          <w:rFonts w:asciiTheme="majorBidi" w:hAnsiTheme="majorBidi" w:cstheme="majorBidi"/>
        </w:rPr>
        <w:t>Pluronic L64 (PEO</w:t>
      </w:r>
      <w:r w:rsidRPr="006D631C">
        <w:rPr>
          <w:rFonts w:asciiTheme="majorBidi" w:hAnsiTheme="majorBidi" w:cstheme="majorBidi"/>
          <w:vertAlign w:val="subscript"/>
        </w:rPr>
        <w:t>13</w:t>
      </w:r>
      <w:r w:rsidRPr="006D631C">
        <w:rPr>
          <w:rFonts w:asciiTheme="majorBidi" w:hAnsiTheme="majorBidi" w:cstheme="majorBidi"/>
        </w:rPr>
        <w:t>-PPO</w:t>
      </w:r>
      <w:r w:rsidRPr="006D631C">
        <w:rPr>
          <w:rFonts w:asciiTheme="majorBidi" w:hAnsiTheme="majorBidi" w:cstheme="majorBidi"/>
          <w:vertAlign w:val="subscript"/>
        </w:rPr>
        <w:t>30</w:t>
      </w:r>
      <w:r w:rsidRPr="006D631C">
        <w:rPr>
          <w:rFonts w:asciiTheme="majorBidi" w:hAnsiTheme="majorBidi" w:cstheme="majorBidi"/>
        </w:rPr>
        <w:t>-PEO</w:t>
      </w:r>
      <w:r w:rsidRPr="006D631C">
        <w:rPr>
          <w:rFonts w:asciiTheme="majorBidi" w:hAnsiTheme="majorBidi" w:cstheme="majorBidi"/>
          <w:vertAlign w:val="subscript"/>
        </w:rPr>
        <w:t>13</w:t>
      </w:r>
      <w:r w:rsidRPr="006D631C">
        <w:rPr>
          <w:rFonts w:asciiTheme="majorBidi" w:hAnsiTheme="majorBidi" w:cstheme="majorBidi"/>
        </w:rPr>
        <w:t xml:space="preserve">) with the </w:t>
      </w:r>
      <w:proofErr w:type="spellStart"/>
      <w:r w:rsidRPr="006D631C">
        <w:rPr>
          <w:rFonts w:asciiTheme="majorBidi" w:hAnsiTheme="majorBidi" w:cstheme="majorBidi"/>
        </w:rPr>
        <w:t>polydispersity</w:t>
      </w:r>
      <w:proofErr w:type="spellEnd"/>
      <w:r w:rsidRPr="006D631C">
        <w:rPr>
          <w:rFonts w:asciiTheme="majorBidi" w:hAnsiTheme="majorBidi" w:cstheme="majorBidi"/>
        </w:rPr>
        <w:t xml:space="preserve"> index of 1.1</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{"citationItems":[{"id":"ITEM-1","itemData":{"DOI":"10.1021/ma00127a016","ISSN":"0024-9297","abstract":"The self-assembly of a poly(ethy1ene oxidel-block-poly(propy1ene oxide)-block-poly(ethy1ene oxide) copolymer (Pluronic L64, (E O) I ~ (P O) ~ O (E O) ~ ~) in the presence of water andp-xylene was investigated. The phase boundaries were identified using 2H NMR of heavy water (2Hz0) and inspection under polarized light. Small-angle X-ray scattering was employed to ascertain the structure of the various liquid crystalline phases formed and to determine the structural lengths involved. A rich phase behavior with normal hexagonal, lamellar, bicontinuous cubic, and reverse hexagonal liquid crystalline regions, in addition to three separate liquid phases, was observed at 25 \"C. The cubic phase was identified as having a structure associated with the Gyroid minimal surface. A very small liquid region, found between the normal hexagonal and lamellar phases on the binary water-polymer axis, is identified as a melted analogue of a bicontinuous cubic phase often present in this part of the phase diagram. The pure polymer exists at 25 \"C as a disordered melt. Structure and segregation are induced by the addition of water. p-Xylene is soluble in the polymer melt but does not induce structure when added alone. For polymer concentrations above-50%, a sequence of liquid crystalline phases is observed when the water-to-oil ratio is varied. Here we can identify the volume fraction of apolar components, given by the sum of the PPO and oil volume fractions, as the major parameter governing the phase behavior.","author":[{"dropping-particle":"","family":"Alexandridis","given":"Paschalis","non-dropping-particle":"","parse-names":false,"suffix":""},{"dropping-particle":"","family":"Olsson","given":"Ulf","non-dropping-particle":"","parse-names":false,"suffix":""},{"dropping-particle":"","family":"Lindman","given":"Bjoern","non-dropping-particle":"","parse-names":false,"suffix":""}],"container-title":"Macromolecules","id":"ITEM-1","issue":"23","issued":{"date-parts":[["1995","11"]]},"page":"7700-7710","title":"Self-Assembly of Amphiphilic Block Copolymers: The (EO)13(PO)30(EO)13-Water-p-Xylene System","type":"article-journal","volume":"28"},"uris":["http://www.mendeley.com/documents/?uuid=53841adf-ace3-4998-9fe3-1cb531b34104"]}],"mendeley":{"formattedCitation":"&lt;sup&gt;215&lt;/sup&gt;","plainTextFormattedCitation":"215","previouslyFormattedCitation":"&lt;sup&gt;215&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215</w:t>
      </w:r>
      <w:r w:rsidRPr="006D631C">
        <w:rPr>
          <w:rFonts w:asciiTheme="majorBidi" w:hAnsiTheme="majorBidi" w:cstheme="majorBidi"/>
        </w:rPr>
        <w:fldChar w:fldCharType="end"/>
      </w:r>
      <w:r w:rsidRPr="006D631C">
        <w:rPr>
          <w:rFonts w:asciiTheme="majorBidi" w:hAnsiTheme="majorBidi" w:cstheme="majorBidi"/>
        </w:rPr>
        <w:t xml:space="preserve"> was kindly provided by BASF. </w:t>
      </w:r>
      <w:proofErr w:type="spellStart"/>
      <w:proofErr w:type="gramStart"/>
      <w:r w:rsidRPr="006D631C">
        <w:rPr>
          <w:rFonts w:asciiTheme="majorBidi" w:hAnsiTheme="majorBidi" w:cstheme="majorBidi"/>
        </w:rPr>
        <w:t>nBA</w:t>
      </w:r>
      <w:proofErr w:type="spellEnd"/>
      <w:proofErr w:type="gramEnd"/>
      <w:r w:rsidRPr="006D631C">
        <w:rPr>
          <w:rFonts w:asciiTheme="majorBidi" w:hAnsiTheme="majorBidi" w:cstheme="majorBidi"/>
        </w:rPr>
        <w:t xml:space="preserve">, EGDMA, APS, AIBN and BPO were purchased from Sigma-Aldrich and used as received. Deionized water (0.055 </w:t>
      </w:r>
      <w:proofErr w:type="spellStart"/>
      <w:r w:rsidRPr="006D631C">
        <w:rPr>
          <w:rFonts w:asciiTheme="majorBidi" w:hAnsiTheme="majorBidi" w:cstheme="majorBidi"/>
        </w:rPr>
        <w:t>μS</w:t>
      </w:r>
      <w:proofErr w:type="spellEnd"/>
      <w:r w:rsidRPr="006D631C">
        <w:rPr>
          <w:rFonts w:asciiTheme="majorBidi" w:hAnsiTheme="majorBidi" w:cstheme="majorBidi"/>
        </w:rPr>
        <w:t>/cm, EMD Millipore Direct-Q3) was used as the aqueous phase. The reaction scheme and chemical structures of the employed materials are shown in Fig</w:t>
      </w:r>
      <w:r w:rsidR="004B0B5E" w:rsidRPr="006D631C">
        <w:rPr>
          <w:rFonts w:asciiTheme="majorBidi" w:hAnsiTheme="majorBidi" w:cstheme="majorBidi"/>
        </w:rPr>
        <w:t>ure</w:t>
      </w:r>
      <w:r w:rsidRPr="006D631C">
        <w:rPr>
          <w:rFonts w:asciiTheme="majorBidi" w:hAnsiTheme="majorBidi" w:cstheme="majorBidi"/>
        </w:rPr>
        <w:t xml:space="preserve"> </w:t>
      </w:r>
      <w:r w:rsidR="004B0B5E" w:rsidRPr="006D631C">
        <w:rPr>
          <w:rFonts w:asciiTheme="majorBidi" w:hAnsiTheme="majorBidi" w:cstheme="majorBidi"/>
        </w:rPr>
        <w:t>2-</w:t>
      </w:r>
      <w:r w:rsidRPr="006D631C">
        <w:rPr>
          <w:rFonts w:asciiTheme="majorBidi" w:hAnsiTheme="majorBidi" w:cstheme="majorBidi"/>
        </w:rPr>
        <w:t>1a-e.</w:t>
      </w:r>
    </w:p>
    <w:p w14:paraId="2193A344" w14:textId="346AA988" w:rsidR="00F61172" w:rsidRPr="006D631C" w:rsidRDefault="00F61172" w:rsidP="006834E6">
      <w:pPr>
        <w:pStyle w:val="Heading3"/>
      </w:pPr>
      <w:bookmarkStart w:id="101" w:name="_Toc148175804"/>
      <w:r w:rsidRPr="006D631C">
        <w:t xml:space="preserve">2.2.2 Preparation of </w:t>
      </w:r>
      <w:r w:rsidR="006834E6" w:rsidRPr="006D631C">
        <w:t>m</w:t>
      </w:r>
      <w:r w:rsidRPr="006D631C">
        <w:t xml:space="preserve">esophase </w:t>
      </w:r>
      <w:r w:rsidR="006834E6" w:rsidRPr="006D631C">
        <w:t>s</w:t>
      </w:r>
      <w:r w:rsidRPr="006D631C">
        <w:t>amples</w:t>
      </w:r>
      <w:bookmarkEnd w:id="101"/>
      <w:r w:rsidRPr="006D631C">
        <w:t xml:space="preserve"> </w:t>
      </w:r>
    </w:p>
    <w:p w14:paraId="37EB35A1" w14:textId="3F767097" w:rsidR="00F61172" w:rsidRPr="006D631C" w:rsidRDefault="003A406C" w:rsidP="003A406C">
      <w:pPr>
        <w:ind w:firstLine="357"/>
        <w:rPr>
          <w:rFonts w:asciiTheme="majorBidi" w:hAnsiTheme="majorBidi" w:cstheme="majorBidi"/>
        </w:rPr>
      </w:pPr>
      <w:r w:rsidRPr="006D631C">
        <w:rPr>
          <w:rFonts w:asciiTheme="majorBidi" w:hAnsiTheme="majorBidi" w:cstheme="majorBidi"/>
        </w:rPr>
        <w:t>Pluronic/water/oil weight ratios of 50/35/15 and 55/15/30 were used to produce lamellar and hexagonal structures, respectively.</w:t>
      </w:r>
      <w:r w:rsidRPr="006D631C">
        <w:rPr>
          <w:rFonts w:asciiTheme="majorBidi" w:hAnsiTheme="majorBidi" w:cstheme="majorBidi"/>
        </w:rPr>
        <w:fldChar w:fldCharType="begin" w:fldLock="1"/>
      </w:r>
      <w:r w:rsidR="00415C46"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32</w:t>
      </w:r>
      <w:r w:rsidRPr="006D631C">
        <w:rPr>
          <w:rFonts w:asciiTheme="majorBidi" w:hAnsiTheme="majorBidi" w:cstheme="majorBidi"/>
        </w:rPr>
        <w:fldChar w:fldCharType="end"/>
      </w:r>
      <w:r w:rsidRPr="006D631C">
        <w:rPr>
          <w:rFonts w:asciiTheme="majorBidi" w:hAnsiTheme="majorBidi" w:cstheme="majorBidi"/>
        </w:rPr>
        <w:t xml:space="preserve"> To prepare the mesophases, the components were mixed using centrifugation at 10000 rpm for 10 min. The centrifugation was repeated until a transparent gel was obtained. EGDMA concentration in the oil phase was adjusted on 30 </w:t>
      </w:r>
      <w:proofErr w:type="spellStart"/>
      <w:r w:rsidRPr="006D631C">
        <w:rPr>
          <w:rFonts w:asciiTheme="majorBidi" w:hAnsiTheme="majorBidi" w:cstheme="majorBidi"/>
        </w:rPr>
        <w:t>wt</w:t>
      </w:r>
      <w:proofErr w:type="spellEnd"/>
      <w:r w:rsidRPr="006D631C">
        <w:rPr>
          <w:rFonts w:asciiTheme="majorBidi" w:hAnsiTheme="majorBidi" w:cstheme="majorBidi"/>
        </w:rPr>
        <w:t xml:space="preserve">% with respect to </w:t>
      </w:r>
      <w:proofErr w:type="spellStart"/>
      <w:proofErr w:type="gramStart"/>
      <w:r w:rsidRPr="006D631C">
        <w:rPr>
          <w:rFonts w:asciiTheme="majorBidi" w:hAnsiTheme="majorBidi" w:cstheme="majorBidi"/>
        </w:rPr>
        <w:t>nBA</w:t>
      </w:r>
      <w:proofErr w:type="spellEnd"/>
      <w:proofErr w:type="gramEnd"/>
      <w:r w:rsidRPr="006D631C">
        <w:rPr>
          <w:rFonts w:asciiTheme="majorBidi" w:hAnsiTheme="majorBidi" w:cstheme="majorBidi"/>
        </w:rPr>
        <w:t xml:space="preserve"> content. For all of the initiators, 5 </w:t>
      </w:r>
      <w:proofErr w:type="spellStart"/>
      <w:r w:rsidRPr="006D631C">
        <w:rPr>
          <w:rFonts w:asciiTheme="majorBidi" w:hAnsiTheme="majorBidi" w:cstheme="majorBidi"/>
        </w:rPr>
        <w:t>mol</w:t>
      </w:r>
      <w:proofErr w:type="spellEnd"/>
      <w:r w:rsidRPr="006D631C">
        <w:rPr>
          <w:rFonts w:asciiTheme="majorBidi" w:hAnsiTheme="majorBidi" w:cstheme="majorBidi"/>
        </w:rPr>
        <w:t>% concentration was used with respect to the total monomer content (</w:t>
      </w:r>
      <w:proofErr w:type="spellStart"/>
      <w:proofErr w:type="gramStart"/>
      <w:r w:rsidRPr="006D631C">
        <w:rPr>
          <w:rFonts w:asciiTheme="majorBidi" w:hAnsiTheme="majorBidi" w:cstheme="majorBidi"/>
        </w:rPr>
        <w:t>nBA</w:t>
      </w:r>
      <w:proofErr w:type="spellEnd"/>
      <w:proofErr w:type="gramEnd"/>
      <w:r w:rsidRPr="006D631C">
        <w:rPr>
          <w:rFonts w:asciiTheme="majorBidi" w:hAnsiTheme="majorBidi" w:cstheme="majorBidi"/>
        </w:rPr>
        <w:t xml:space="preserve"> + EGDMA). To incorporate the initiators, APS was dissolved in water and the oil soluble initiators were dissolved in the monomer phase before mixing and centrifugation. To evaluate the effect of combining IFO and IFW systems on the polymerization kinetics, some samples were prepared with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APS in water phase and 2.5 </w:t>
      </w:r>
      <w:proofErr w:type="spellStart"/>
      <w:r w:rsidRPr="006D631C">
        <w:rPr>
          <w:rFonts w:asciiTheme="majorBidi" w:hAnsiTheme="majorBidi" w:cstheme="majorBidi"/>
        </w:rPr>
        <w:t>mol</w:t>
      </w:r>
      <w:proofErr w:type="spellEnd"/>
      <w:r w:rsidRPr="006D631C">
        <w:rPr>
          <w:rFonts w:asciiTheme="majorBidi" w:hAnsiTheme="majorBidi" w:cstheme="majorBidi"/>
        </w:rPr>
        <w:t>% AIBN or BPO in oil phase.</w:t>
      </w:r>
    </w:p>
    <w:p w14:paraId="2CD9D74C" w14:textId="7F554150" w:rsidR="006834E6" w:rsidRPr="006D631C" w:rsidRDefault="006834E6" w:rsidP="006834E6">
      <w:pPr>
        <w:pStyle w:val="Heading3"/>
      </w:pPr>
      <w:bookmarkStart w:id="102" w:name="_Toc148175805"/>
      <w:r w:rsidRPr="006D631C">
        <w:t>2.2.3 Structural characterization</w:t>
      </w:r>
      <w:bookmarkEnd w:id="102"/>
      <w:r w:rsidRPr="006D631C">
        <w:t xml:space="preserve"> </w:t>
      </w:r>
    </w:p>
    <w:p w14:paraId="3C2556E0" w14:textId="5C09285B" w:rsidR="006834E6" w:rsidRPr="006D631C" w:rsidRDefault="006834E6" w:rsidP="005020E8">
      <w:pPr>
        <w:ind w:firstLine="357"/>
        <w:rPr>
          <w:rFonts w:asciiTheme="majorBidi" w:hAnsiTheme="majorBidi" w:cstheme="majorBidi"/>
        </w:rPr>
      </w:pPr>
      <w:r w:rsidRPr="006D631C">
        <w:rPr>
          <w:rFonts w:asciiTheme="majorBidi" w:hAnsiTheme="majorBidi" w:cstheme="majorBidi"/>
        </w:rPr>
        <w:t xml:space="preserve">A cross-polarized light microscope (model BX60, Olympus) was used to characterize the structure of mesophases before and after the polymerization to assess any structural changes </w:t>
      </w:r>
      <w:r w:rsidR="003D3B3F" w:rsidRPr="006D631C">
        <w:rPr>
          <w:rFonts w:asciiTheme="majorBidi" w:hAnsiTheme="majorBidi" w:cstheme="majorBidi"/>
        </w:rPr>
        <w:t>upon</w:t>
      </w:r>
      <w:r w:rsidRPr="006D631C">
        <w:rPr>
          <w:rFonts w:asciiTheme="majorBidi" w:hAnsiTheme="majorBidi" w:cstheme="majorBidi"/>
        </w:rPr>
        <w:t xml:space="preserve"> reaction. A small amount of non-polymerized, mesophase sample was placed on a glass slide and covered with a glass cover slip. Cross-polarized images of samples were taken using a microscope-</w:t>
      </w:r>
      <w:r w:rsidRPr="006D631C">
        <w:rPr>
          <w:rFonts w:asciiTheme="majorBidi" w:hAnsiTheme="majorBidi" w:cstheme="majorBidi"/>
        </w:rPr>
        <w:lastRenderedPageBreak/>
        <w:t xml:space="preserve">mounted digital camera. </w:t>
      </w:r>
      <w:r w:rsidR="005020E8" w:rsidRPr="006D631C">
        <w:rPr>
          <w:rFonts w:asciiTheme="majorBidi" w:hAnsiTheme="majorBidi" w:cstheme="majorBidi"/>
        </w:rPr>
        <w:t>SAXS</w:t>
      </w:r>
      <w:r w:rsidRPr="006D631C">
        <w:rPr>
          <w:rFonts w:asciiTheme="majorBidi" w:hAnsiTheme="majorBidi" w:cstheme="majorBidi"/>
        </w:rPr>
        <w:t xml:space="preserve"> was employed to further characterize the structure of LLCs before and after the reaction. The mesophase samples were loaded into quartz capillaries with a nominal diameter of 1.5 mm (Charles Supper Company, Natick, MA) by centrifugation, followed by sealing with critoseal and epoxy glue. The samples were then cured in the capillaries at 65 °C for 24 hours to study the structure after the polymerization. A Bruker </w:t>
      </w:r>
      <w:proofErr w:type="spellStart"/>
      <w:r w:rsidRPr="006D631C">
        <w:rPr>
          <w:rFonts w:asciiTheme="majorBidi" w:hAnsiTheme="majorBidi" w:cstheme="majorBidi"/>
        </w:rPr>
        <w:t>Nanostar</w:t>
      </w:r>
      <w:proofErr w:type="spellEnd"/>
      <w:r w:rsidRPr="006D631C">
        <w:rPr>
          <w:rFonts w:asciiTheme="majorBidi" w:hAnsiTheme="majorBidi" w:cstheme="majorBidi"/>
        </w:rPr>
        <w:t xml:space="preserve"> X-ray scattering system equipped with a </w:t>
      </w:r>
      <w:proofErr w:type="spellStart"/>
      <w:r w:rsidRPr="006D631C">
        <w:rPr>
          <w:rFonts w:asciiTheme="majorBidi" w:hAnsiTheme="majorBidi" w:cstheme="majorBidi"/>
        </w:rPr>
        <w:t>monochromated</w:t>
      </w:r>
      <w:proofErr w:type="spellEnd"/>
      <w:r w:rsidRPr="006D631C">
        <w:rPr>
          <w:rFonts w:asciiTheme="majorBidi" w:hAnsiTheme="majorBidi" w:cstheme="majorBidi"/>
        </w:rPr>
        <w:t xml:space="preserve"> Cu Kα radiation source was used for SAXS measurement. One dimensional (1D) scattering profiles were generated via azimuthal integration of the two-dimensional (2D) scattering patterns.</w:t>
      </w:r>
    </w:p>
    <w:p w14:paraId="48A77C7D" w14:textId="510E5DD5" w:rsidR="002156EC" w:rsidRPr="006D631C" w:rsidRDefault="002156EC" w:rsidP="002156EC">
      <w:pPr>
        <w:pStyle w:val="Heading3"/>
      </w:pPr>
      <w:bookmarkStart w:id="103" w:name="_Toc148175806"/>
      <w:r w:rsidRPr="006D631C">
        <w:t>2.2.4 Polymerization kinetics</w:t>
      </w:r>
      <w:bookmarkEnd w:id="103"/>
      <w:r w:rsidRPr="006D631C">
        <w:t xml:space="preserve"> </w:t>
      </w:r>
    </w:p>
    <w:p w14:paraId="5C5FB507" w14:textId="680CE090" w:rsidR="002156EC" w:rsidRPr="006D631C" w:rsidRDefault="00171864" w:rsidP="002E14E4">
      <w:pPr>
        <w:ind w:firstLine="357"/>
        <w:rPr>
          <w:rFonts w:asciiTheme="majorBidi" w:hAnsiTheme="majorBidi" w:cstheme="majorBidi"/>
        </w:rPr>
      </w:pPr>
      <w:r w:rsidRPr="006D631C">
        <w:rPr>
          <w:rFonts w:asciiTheme="majorBidi" w:hAnsiTheme="majorBidi" w:cstheme="majorBidi"/>
        </w:rPr>
        <w:t xml:space="preserve">Isothermal differential scanning calorimetry (DSC) was performed using Q2000 (TA Instruments, New Castle, DE). Approximately 10 mg of mesophase sample was placed in a </w:t>
      </w:r>
      <w:proofErr w:type="spellStart"/>
      <w:r w:rsidRPr="006D631C">
        <w:rPr>
          <w:rFonts w:asciiTheme="majorBidi" w:hAnsiTheme="majorBidi" w:cstheme="majorBidi"/>
        </w:rPr>
        <w:t>Tzero</w:t>
      </w:r>
      <w:proofErr w:type="spellEnd"/>
      <w:r w:rsidRPr="006D631C">
        <w:rPr>
          <w:rFonts w:asciiTheme="majorBidi" w:hAnsiTheme="majorBidi" w:cstheme="majorBidi"/>
        </w:rPr>
        <w:t xml:space="preserve"> aluminum pan and sealed with a </w:t>
      </w:r>
      <w:proofErr w:type="spellStart"/>
      <w:r w:rsidRPr="006D631C">
        <w:rPr>
          <w:rFonts w:asciiTheme="majorBidi" w:hAnsiTheme="majorBidi" w:cstheme="majorBidi"/>
        </w:rPr>
        <w:t>Tzero</w:t>
      </w:r>
      <w:proofErr w:type="spellEnd"/>
      <w:r w:rsidRPr="006D631C">
        <w:rPr>
          <w:rFonts w:asciiTheme="majorBidi" w:hAnsiTheme="majorBidi" w:cstheme="majorBidi"/>
        </w:rPr>
        <w:t xml:space="preserve"> hermetic lid. The polymerization kinetics at 65 °C (± 0.1 °C) was studied under nitrogen atmosphere. To evaluate the effect of the reaction temperature on the reaction kinetics, some experiments were also performed at 55 and 75 °C. To determine the rate of polymerization (normalized to the total reactive concentration), the procedure developed by Guymon </w:t>
      </w:r>
      <w:r w:rsidRPr="006D631C">
        <w:rPr>
          <w:rFonts w:asciiTheme="majorBidi" w:hAnsiTheme="majorBidi" w:cstheme="majorBidi"/>
          <w:i/>
          <w:iCs/>
        </w:rPr>
        <w:t>et al.</w:t>
      </w:r>
      <w:r w:rsidRPr="006D631C">
        <w:rPr>
          <w:rFonts w:asciiTheme="majorBidi" w:hAnsiTheme="majorBidi" w:cstheme="majorBidi"/>
        </w:rPr>
        <w:t xml:space="preserve"> was employed.</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{"citationItems":[{"id":"ITEM-1","itemData":{"DOI":"10.1021/ma101418e","ISSN":"00249297","abstract":"The ability to direct polymer structure on the nanometer scale has provided access to enhanced material properties that may be tailored to accommodate a growing number of advanced biological and industrial applications. A promising method of generating nanostructure in organic polymers uses self-assembling lyotropic liquid crystalline (LLC) mesophases as templates for polymerization. Unfortunately, thermodynamically driven phase separation often prevents polymer morphology from being precisely controlled. As the demand for polymers with accurately engineered properties increases, a detailed understanding of the phase separation process is needed to control the nanostructure and properties of LLC templated polymers. In this study, photopolymerization kinetics are utilized to identify phase separation events occurring during the photopolymerization of poly(ethylene glycol) diacrylate and hexanediol diacrylate monomers templated in the normal hexagonal or lamellar LLC mesophases. Discontinuities are found in the polymerization rate of anisotropic polymers at several double bond conversions that are not present in the rate profiles of isotropic controls. The polymer morphology was subsequently characterized at particular conversions using small angle X-ray scattering. Changes in polymer nanostructure occur at double bond conversions that coincide with the observed rate discontinuities. These results demonstrate that photopolymerization kinetics can be used as a probe to monitor the evolution of polymer nanostructure during polymerization and optimize the conditions governing the control of polymer morphology to enhance properties dependent on nanostructure. © 2010 American Chemical Society.","author":[{"dropping-particle":"","family":"Forney","given":"Bradley S.","non-dropping-particle":"","parse-names":false,"suffix":""},{"dropping-particle":"","family":"Guymon","given":"C. Allan","non-dropping-particle":"","parse-names":false,"suffix":""}],"container-title":"Macromolecules","id":"ITEM-1","issue":"20","issued":{"date-parts":[["2010","10","26"]]},"page":"8502-8510","title":"Nanostructure evolution during photopolymerization in lyotropic liquid crystal templates","type":"article-journal","volume":"43"},"uris":["http://www.mendeley.com/documents/?uuid=862518bf-5405-45d5-af85-3c72739c9ed0"]},{"id":"ITEM-2","itemData":{"DOI":"10.1021/ma001853e","ISSN":"00249297","abstract":"The templating of the ordered nanostructures of lyotropic liquid crystals (LLC) onto organic polymers has recently been of great interest. This work describes the polymerization and segregation behavior of polar and nonpolar monomers in an LLC environment. Nonpolar monomers partition to the oil-soluble domains of the LLC phase, whereas more polar monomers segregate at the interface of the liquid crystals. The polymerization kinetics in both cases are significantly influenced by the LLC phase morphologies although in different ways. The nonpolar monomers exhibit the fastest polymerization rates in micellar aggregates. This behavior is a result of an increase in the rate of propagation, induced by higher local concentrations of monomer in the micelles as compared to other mesophases. For more polar monomers, the opposite polymerization behavior is observed. The fastest polymerizations for these monomers are observed in the highly ordered lamellar mesophase with the minimum polymerization rate observed in the isotropic micellar phase. In this case, the enhanced polymerization rates are a consequence of depressed termination rates. This decrease in termination rate is due to diffusional limitations induced by the high degree of order in a lamellar mesophase. Initial results also indicate that the original LLC phase morphologies are retained after photopolymerization.","author":[{"dropping-particle":"","family":"Lester","given":"Christopher L.","non-dropping-particle":"","parse-names":false,"suffix":""},{"dropping-particle":"","family":"Colson","given":"Colleen D.","non-dropping-particle":"","parse-names":false,"suffix":""},{"dropping-particle":"","family":"Guymon","given":"C. Allan","non-dropping-particle":"","parse-names":false,"suffix":""}],"container-title":"Macromolecules","id":"ITEM-2","issue":"13","issued":{"date-parts":[["2001","6"]]},"page":"4430-4438","title":"Photopolymerization kinetics and structure development of templated lyotropic liquid crystalline systems","type":"article-journal","volume":"34"},"uris":["http://www.mendeley.com/documents/?uuid=5ad8b034-dc0f-455e-ac27-09cb31650bdb"]},{"id":"ITEM-3","itemData":{"DOI":"10.1016/j.polymer.2004.11.007","ISSN":"00323861","abstract":"Through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Allan","non-dropping-particle":"","parse-names":false,"suffix":""}],"container-title":"Polymer","id":"ITEM-3","issue":"2","issued":{"date-parts":[["2005"]]},"page":"335-345","title":"Effect of photoinitiator segregation on polymerization kinetics in lyotropic liquid crystals","type":"article-journal","volume":"46"},"uris":["http://www.mendeley.com/documents/?uuid=9305a569-bf29-4306-91ea-3a1da5446f5a"]},{"id":"ITEM-4","itemData":{"DOI":"10.1002/pola.27783","ISSN":"10990518","abstract":"Polymerization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Chemistry","id":"ITEM-4","issue":"1","issued":{"date-parts":[["2016","1","1"]]},"page":"144-154","title":"Radical polymerization behavior and molecular weight development of homologous monoacrylate monomers in lyotropic liquid crystal phases","type":"article-journal","volume":"54"},"uris":["http://www.mendeley.com/documents/?uuid=4f7b9c95-7916-4292-a0f1-82a611583a7f"]}],"mendeley":{"formattedCitation":"&lt;sup&gt;39,43,99,157&lt;/sup&gt;","plainTextFormattedCitation":"39,43,99,157","previouslyFormattedCitation":"&lt;sup&gt;39,43,99,157&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39,43,99,157</w:t>
      </w:r>
      <w:r w:rsidRPr="006D631C">
        <w:rPr>
          <w:rFonts w:asciiTheme="majorBidi" w:hAnsiTheme="majorBidi" w:cstheme="majorBidi"/>
        </w:rPr>
        <w:fldChar w:fldCharType="end"/>
      </w:r>
      <w:r w:rsidRPr="006D631C">
        <w:rPr>
          <w:rFonts w:asciiTheme="majorBidi" w:hAnsiTheme="majorBidi" w:cstheme="majorBidi"/>
        </w:rPr>
        <w:t xml:space="preserve"> Having the heat flow, </w:t>
      </w:r>
      <w:r w:rsidRPr="006D631C">
        <w:rPr>
          <w:rFonts w:asciiTheme="majorBidi" w:hAnsiTheme="majorBidi" w:cstheme="majorBidi"/>
          <w:i/>
        </w:rPr>
        <w:t>Q</w:t>
      </w:r>
      <w:r w:rsidRPr="006D631C">
        <w:rPr>
          <w:rFonts w:asciiTheme="majorBidi" w:hAnsiTheme="majorBidi" w:cstheme="majorBidi"/>
        </w:rPr>
        <w:t>(</w:t>
      </w:r>
      <w:r w:rsidRPr="006D631C">
        <w:rPr>
          <w:rFonts w:asciiTheme="majorBidi" w:hAnsiTheme="majorBidi" w:cstheme="majorBidi"/>
          <w:i/>
        </w:rPr>
        <w:t>t</w:t>
      </w:r>
      <w:r w:rsidRPr="006D631C">
        <w:rPr>
          <w:rFonts w:asciiTheme="majorBidi" w:hAnsiTheme="majorBidi" w:cstheme="majorBidi"/>
        </w:rPr>
        <w:t xml:space="preserve">), the polymerization rate, </w:t>
      </w:r>
      <w:proofErr w:type="spellStart"/>
      <w:r w:rsidRPr="006D631C">
        <w:rPr>
          <w:rFonts w:asciiTheme="majorBidi" w:hAnsiTheme="majorBidi" w:cstheme="majorBidi"/>
          <w:i/>
          <w:iCs/>
        </w:rPr>
        <w:t>R</w:t>
      </w:r>
      <w:r w:rsidRPr="006D631C">
        <w:rPr>
          <w:rFonts w:asciiTheme="majorBidi" w:hAnsiTheme="majorBidi" w:cstheme="majorBidi"/>
          <w:i/>
          <w:iCs/>
          <w:vertAlign w:val="subscript"/>
        </w:rPr>
        <w:t>p</w:t>
      </w:r>
      <w:proofErr w:type="spellEnd"/>
      <w:r w:rsidRPr="006D631C">
        <w:rPr>
          <w:rFonts w:asciiTheme="majorBidi" w:hAnsiTheme="majorBidi" w:cstheme="majorBidi"/>
        </w:rPr>
        <w:t>, was calculated using Eq. (</w:t>
      </w:r>
      <w:r w:rsidR="00C94AAB" w:rsidRPr="006D631C">
        <w:rPr>
          <w:rFonts w:asciiTheme="majorBidi" w:hAnsiTheme="majorBidi" w:cstheme="majorBidi"/>
        </w:rPr>
        <w:t>2-</w:t>
      </w:r>
      <w:r w:rsidRPr="006D631C">
        <w:rPr>
          <w:rFonts w:asciiTheme="majorBidi" w:hAnsiTheme="majorBidi" w:cstheme="majorBidi"/>
        </w:rPr>
        <w:t>1):</w:t>
      </w:r>
      <w:r w:rsidRPr="006D631C">
        <w:rPr>
          <w:rFonts w:asciiTheme="majorBidi" w:hAnsiTheme="majorBidi" w:cstheme="majorBidi"/>
        </w:rPr>
        <w:fldChar w:fldCharType="begin" w:fldLock="1"/>
      </w:r>
      <w:r w:rsidR="00A542A3"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00415C46" w:rsidRPr="006D631C">
        <w:rPr>
          <w:rFonts w:asciiTheme="majorBidi" w:hAnsiTheme="majorBidi" w:cstheme="majorBidi"/>
          <w:noProof/>
          <w:vertAlign w:val="superscript"/>
        </w:rPr>
        <w:t>56</w:t>
      </w:r>
      <w:r w:rsidRPr="006D631C">
        <w:rPr>
          <w:rFonts w:asciiTheme="majorBidi" w:hAnsiTheme="majorBidi" w:cstheme="majorBidi"/>
        </w:rPr>
        <w:fldChar w:fldCharType="end"/>
      </w:r>
    </w:p>
    <w:p w14:paraId="187D91A9" w14:textId="0A21D062" w:rsidR="00074972" w:rsidRPr="006D631C" w:rsidRDefault="00074972" w:rsidP="00074972">
      <w:pPr>
        <w:pStyle w:val="Caption"/>
        <w:rPr>
          <w:rFonts w:asciiTheme="majorBidi" w:hAnsiTheme="majorBidi" w:cstheme="majorBidi"/>
        </w:rPr>
      </w:pPr>
      <w:r w:rsidRPr="006D631C">
        <w:rPr>
          <w:rFonts w:asciiTheme="majorBidi" w:hAnsiTheme="majorBidi" w:cstheme="majorBidi"/>
          <w:position w:val="-32"/>
          <w:szCs w:val="24"/>
        </w:rPr>
        <w:object w:dxaOrig="2900" w:dyaOrig="740" w14:anchorId="6D84BE18">
          <v:shape id="_x0000_i1047" type="#_x0000_t75" style="width:2in;height:37.8pt" o:ole="">
            <v:imagedata r:id="rId72" o:title=""/>
          </v:shape>
          <o:OLEObject Type="Embed" ProgID="Equation.DSMT4" ShapeID="_x0000_i1047" DrawAspect="Content" ObjectID="_1760013315" r:id="rId73"/>
        </w:object>
      </w:r>
      <w:r w:rsidRPr="006D631C">
        <w:rPr>
          <w:rFonts w:asciiTheme="majorBidi" w:hAnsiTheme="majorBidi" w:cstheme="majorBidi"/>
        </w:rPr>
        <w:tab/>
      </w:r>
      <w:r w:rsidRPr="006D631C">
        <w:rPr>
          <w:rFonts w:asciiTheme="majorBidi" w:hAnsiTheme="majorBidi" w:cstheme="majorBidi"/>
        </w:rPr>
        <w:tab/>
      </w:r>
      <w:r w:rsidRPr="006D631C">
        <w:rPr>
          <w:rFonts w:asciiTheme="majorBidi" w:hAnsiTheme="majorBidi" w:cstheme="majorBidi"/>
        </w:rPr>
        <w:tab/>
        <w:t xml:space="preserve">             </w:t>
      </w:r>
      <w:r w:rsidRPr="006D631C">
        <w:rPr>
          <w:rFonts w:asciiTheme="majorBidi" w:hAnsiTheme="majorBidi" w:cstheme="majorBidi"/>
        </w:rPr>
        <w:tab/>
        <w:t xml:space="preserve">                                                    (</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2</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1</w:t>
      </w:r>
      <w:r w:rsidR="006A54D9" w:rsidRPr="006D631C">
        <w:rPr>
          <w:rFonts w:asciiTheme="majorBidi" w:hAnsiTheme="majorBidi" w:cstheme="majorBidi"/>
        </w:rPr>
        <w:fldChar w:fldCharType="end"/>
      </w:r>
      <w:r w:rsidRPr="006D631C">
        <w:rPr>
          <w:rFonts w:asciiTheme="majorBidi" w:hAnsiTheme="majorBidi" w:cstheme="majorBidi"/>
        </w:rPr>
        <w:t>)</w:t>
      </w:r>
    </w:p>
    <w:p w14:paraId="0D991670" w14:textId="773D65FE" w:rsidR="00074972" w:rsidRPr="006D631C" w:rsidRDefault="00074972" w:rsidP="00DC519A">
      <w:pPr>
        <w:ind w:firstLine="357"/>
      </w:pPr>
      <w:r w:rsidRPr="006D631C">
        <w:t xml:space="preserve">Where </w:t>
      </w:r>
      <w:proofErr w:type="spellStart"/>
      <w:r w:rsidRPr="006D631C">
        <w:rPr>
          <w:i/>
          <w:iCs/>
        </w:rPr>
        <w:t>Q</w:t>
      </w:r>
      <w:r w:rsidRPr="006D631C">
        <w:rPr>
          <w:i/>
          <w:iCs/>
          <w:vertAlign w:val="subscript"/>
        </w:rPr>
        <w:t>monomer</w:t>
      </w:r>
      <w:proofErr w:type="spellEnd"/>
      <w:r w:rsidRPr="006D631C">
        <w:t xml:space="preserve"> and </w:t>
      </w:r>
      <w:proofErr w:type="spellStart"/>
      <w:r w:rsidRPr="006D631C">
        <w:rPr>
          <w:i/>
          <w:iCs/>
        </w:rPr>
        <w:t>Q</w:t>
      </w:r>
      <w:r w:rsidRPr="006D631C">
        <w:rPr>
          <w:i/>
          <w:iCs/>
          <w:vertAlign w:val="subscript"/>
        </w:rPr>
        <w:t>crosslinker</w:t>
      </w:r>
      <w:proofErr w:type="spellEnd"/>
      <w:r w:rsidR="002603A8" w:rsidRPr="006D631C">
        <w:t xml:space="preserve"> </w:t>
      </w:r>
      <w:r w:rsidRPr="006D631C">
        <w:t>are the</w:t>
      </w:r>
      <w:r w:rsidR="00EE44E3" w:rsidRPr="006D631C">
        <w:t xml:space="preserve"> theoretical</w:t>
      </w:r>
      <w:r w:rsidRPr="006D631C">
        <w:t xml:space="preserve"> heat of reaction of monomer and </w:t>
      </w:r>
      <w:proofErr w:type="spellStart"/>
      <w:r w:rsidRPr="006D631C">
        <w:t>crosslinker</w:t>
      </w:r>
      <w:proofErr w:type="spellEnd"/>
      <w:r w:rsidRPr="006D631C">
        <w:t xml:space="preserve"> (in J), respectively.</w:t>
      </w:r>
      <w:r w:rsidR="002603A8" w:rsidRPr="006D631C">
        <w:t xml:space="preserve"> Eq. (1-2)</w:t>
      </w:r>
      <w:r w:rsidRPr="006D631C">
        <w:t xml:space="preserve"> </w:t>
      </w:r>
      <w:r w:rsidR="002603A8" w:rsidRPr="006D631C">
        <w:t xml:space="preserve">can be </w:t>
      </w:r>
      <w:r w:rsidR="00DC519A" w:rsidRPr="006D631C">
        <w:t>written as</w:t>
      </w:r>
      <w:r w:rsidR="002603A8" w:rsidRPr="006D631C">
        <w:t xml:space="preserve"> following equation:</w:t>
      </w:r>
    </w:p>
    <w:p w14:paraId="25DD5131" w14:textId="77777777" w:rsidR="00074972" w:rsidRPr="006D631C" w:rsidRDefault="00074972" w:rsidP="00861405">
      <w:pPr>
        <w:pStyle w:val="TOC1"/>
      </w:pPr>
    </w:p>
    <w:p w14:paraId="4CA2EBE4" w14:textId="077A96CE" w:rsidR="003172B0" w:rsidRPr="006D631C" w:rsidRDefault="002603A8" w:rsidP="00157BF8">
      <w:pPr>
        <w:pStyle w:val="Caption"/>
        <w:rPr>
          <w:rFonts w:asciiTheme="majorBidi" w:hAnsiTheme="majorBidi" w:cstheme="majorBidi"/>
        </w:rPr>
      </w:pPr>
      <w:r w:rsidRPr="006D631C">
        <w:rPr>
          <w:rFonts w:asciiTheme="majorBidi" w:hAnsiTheme="majorBidi" w:cstheme="majorBidi"/>
          <w:position w:val="-72"/>
          <w:szCs w:val="24"/>
        </w:rPr>
        <w:object w:dxaOrig="4680" w:dyaOrig="1140" w14:anchorId="580DF2D4">
          <v:shape id="_x0000_i1048" type="#_x0000_t75" style="width:232.2pt;height:58.2pt" o:ole="">
            <v:imagedata r:id="rId74" o:title=""/>
          </v:shape>
          <o:OLEObject Type="Embed" ProgID="Equation.DSMT4" ShapeID="_x0000_i1048" DrawAspect="Content" ObjectID="_1760013316" r:id="rId75"/>
        </w:object>
      </w:r>
      <w:r w:rsidR="003172B0" w:rsidRPr="006D631C">
        <w:rPr>
          <w:rFonts w:asciiTheme="majorBidi" w:hAnsiTheme="majorBidi" w:cstheme="majorBidi"/>
        </w:rPr>
        <w:tab/>
      </w:r>
      <w:r w:rsidR="003172B0" w:rsidRPr="006D631C">
        <w:rPr>
          <w:rFonts w:asciiTheme="majorBidi" w:hAnsiTheme="majorBidi" w:cstheme="majorBidi"/>
        </w:rPr>
        <w:tab/>
      </w:r>
      <w:r w:rsidR="003172B0" w:rsidRPr="006D631C">
        <w:rPr>
          <w:rFonts w:asciiTheme="majorBidi" w:hAnsiTheme="majorBidi" w:cstheme="majorBidi"/>
        </w:rPr>
        <w:tab/>
        <w:t xml:space="preserve">           </w:t>
      </w:r>
      <w:r w:rsidRPr="006D631C">
        <w:rPr>
          <w:rFonts w:asciiTheme="majorBidi" w:hAnsiTheme="majorBidi" w:cstheme="majorBidi"/>
        </w:rPr>
        <w:t xml:space="preserve">             </w:t>
      </w:r>
      <w:r w:rsidR="003172B0" w:rsidRPr="006D631C">
        <w:rPr>
          <w:rFonts w:asciiTheme="majorBidi" w:hAnsiTheme="majorBidi" w:cstheme="majorBidi"/>
        </w:rPr>
        <w:t xml:space="preserve"> </w:t>
      </w:r>
      <w:r w:rsidR="00013B11" w:rsidRPr="006D631C">
        <w:rPr>
          <w:rFonts w:asciiTheme="majorBidi" w:hAnsiTheme="majorBidi" w:cstheme="majorBidi"/>
        </w:rPr>
        <w:t xml:space="preserve">         </w:t>
      </w:r>
      <w:r w:rsidR="003172B0" w:rsidRPr="006D631C">
        <w:rPr>
          <w:rFonts w:asciiTheme="majorBidi" w:hAnsiTheme="majorBidi" w:cstheme="majorBidi"/>
        </w:rPr>
        <w:t xml:space="preserve"> </w:t>
      </w:r>
      <w:r w:rsidR="003172B0"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2</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2</w:t>
      </w:r>
      <w:r w:rsidR="006A54D9" w:rsidRPr="006D631C">
        <w:rPr>
          <w:rFonts w:asciiTheme="majorBidi" w:hAnsiTheme="majorBidi" w:cstheme="majorBidi"/>
        </w:rPr>
        <w:fldChar w:fldCharType="end"/>
      </w:r>
      <w:r w:rsidR="003172B0" w:rsidRPr="006D631C">
        <w:rPr>
          <w:rFonts w:asciiTheme="majorBidi" w:hAnsiTheme="majorBidi" w:cstheme="majorBidi"/>
        </w:rPr>
        <w:t>)</w:t>
      </w:r>
    </w:p>
    <w:p w14:paraId="41CE899D" w14:textId="12CE5ABD" w:rsidR="009F39CB" w:rsidRPr="006D631C" w:rsidRDefault="009F39CB" w:rsidP="002E14E4">
      <w:pPr>
        <w:widowControl w:val="0"/>
        <w:ind w:firstLine="357"/>
        <w:rPr>
          <w:rFonts w:asciiTheme="majorBidi" w:hAnsiTheme="majorBidi" w:cstheme="majorBidi"/>
        </w:rPr>
      </w:pPr>
      <w:r w:rsidRPr="006D631C">
        <w:rPr>
          <w:rFonts w:asciiTheme="majorBidi" w:hAnsiTheme="majorBidi" w:cstheme="majorBidi"/>
        </w:rPr>
        <w:t xml:space="preserve">where </w:t>
      </w:r>
      <w:r w:rsidRPr="006D631C">
        <w:rPr>
          <w:rFonts w:asciiTheme="majorBidi" w:hAnsiTheme="majorBidi" w:cstheme="majorBidi"/>
          <w:i/>
          <w:iCs/>
        </w:rPr>
        <w:t>M</w:t>
      </w:r>
      <w:r w:rsidRPr="006D631C">
        <w:rPr>
          <w:rFonts w:asciiTheme="majorBidi" w:hAnsiTheme="majorBidi" w:cstheme="majorBidi"/>
        </w:rPr>
        <w:t xml:space="preserve">, </w:t>
      </w:r>
      <w:r w:rsidRPr="006D631C">
        <w:rPr>
          <w:rFonts w:asciiTheme="majorBidi" w:hAnsiTheme="majorBidi" w:cstheme="majorBidi"/>
          <w:iCs/>
        </w:rPr>
        <w:t>[</w:t>
      </w:r>
      <w:r w:rsidRPr="006D631C">
        <w:rPr>
          <w:rFonts w:asciiTheme="majorBidi" w:hAnsiTheme="majorBidi" w:cstheme="majorBidi"/>
          <w:i/>
          <w:iCs/>
        </w:rPr>
        <w:t>M</w:t>
      </w:r>
      <w:r w:rsidRPr="006D631C">
        <w:rPr>
          <w:rFonts w:asciiTheme="majorBidi" w:hAnsiTheme="majorBidi" w:cstheme="majorBidi"/>
          <w:iCs/>
        </w:rPr>
        <w:t>]</w:t>
      </w:r>
      <w:r w:rsidRPr="006D631C">
        <w:rPr>
          <w:rFonts w:asciiTheme="majorBidi" w:hAnsiTheme="majorBidi" w:cstheme="majorBidi"/>
          <w:iCs/>
          <w:vertAlign w:val="subscript"/>
        </w:rPr>
        <w:t>0</w:t>
      </w:r>
      <w:r w:rsidRPr="006D631C">
        <w:rPr>
          <w:rFonts w:asciiTheme="majorBidi" w:hAnsiTheme="majorBidi" w:cstheme="majorBidi"/>
        </w:rPr>
        <w:t xml:space="preserve">, </w:t>
      </w:r>
      <w:proofErr w:type="spellStart"/>
      <w:r w:rsidRPr="006D631C">
        <w:rPr>
          <w:rFonts w:asciiTheme="majorBidi" w:hAnsiTheme="majorBidi" w:cstheme="majorBidi"/>
          <w:i/>
          <w:iCs/>
        </w:rPr>
        <w:t>ΔH</w:t>
      </w:r>
      <w:r w:rsidRPr="006D631C">
        <w:rPr>
          <w:rFonts w:asciiTheme="majorBidi" w:hAnsiTheme="majorBidi" w:cstheme="majorBidi"/>
          <w:i/>
          <w:iCs/>
          <w:vertAlign w:val="subscript"/>
        </w:rPr>
        <w:t>p</w:t>
      </w:r>
      <w:proofErr w:type="spellEnd"/>
      <w:r w:rsidRPr="006D631C">
        <w:rPr>
          <w:rFonts w:asciiTheme="majorBidi" w:hAnsiTheme="majorBidi" w:cstheme="majorBidi"/>
        </w:rPr>
        <w:t xml:space="preserve">, </w:t>
      </w:r>
      <w:r w:rsidRPr="006D631C">
        <w:rPr>
          <w:rFonts w:asciiTheme="majorBidi" w:hAnsiTheme="majorBidi" w:cstheme="majorBidi"/>
          <w:i/>
          <w:iCs/>
        </w:rPr>
        <w:t>n</w:t>
      </w:r>
      <w:r w:rsidRPr="006D631C">
        <w:rPr>
          <w:rFonts w:asciiTheme="majorBidi" w:hAnsiTheme="majorBidi" w:cstheme="majorBidi"/>
        </w:rPr>
        <w:t xml:space="preserve">, and </w:t>
      </w:r>
      <w:r w:rsidRPr="006D631C">
        <w:rPr>
          <w:rFonts w:asciiTheme="majorBidi" w:hAnsiTheme="majorBidi" w:cstheme="majorBidi"/>
          <w:i/>
          <w:iCs/>
        </w:rPr>
        <w:t>m</w:t>
      </w:r>
      <w:r w:rsidRPr="006D631C">
        <w:rPr>
          <w:rFonts w:asciiTheme="majorBidi" w:hAnsiTheme="majorBidi" w:cstheme="majorBidi"/>
        </w:rPr>
        <w:t xml:space="preserve"> are molar mass, initial concentration, reaction enthalpy (86,200 J/</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for acrylates and 56,000 J/</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for </w:t>
      </w:r>
      <w:proofErr w:type="spellStart"/>
      <w:r w:rsidRPr="006D631C">
        <w:rPr>
          <w:rFonts w:asciiTheme="majorBidi" w:hAnsiTheme="majorBidi" w:cstheme="majorBidi"/>
        </w:rPr>
        <w:t>methacrylates</w:t>
      </w:r>
      <w:proofErr w:type="spellEnd"/>
      <w:r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{"citationItems":[{"id":"ITEM-1","itemData":{"DOI":"10.1002/047147875X.ch6","ISBN":"0471274003","abstract":"Chain copolymerization allows the modification of polymer structure and properties by the incorporation of two or more different monomers into the polymer chain. Copolymer composition depends on the relative amounts of monomers present in the reaction system as well as the monomer reactivities. Pairs of monomers follow either an alternating or ideal behavior depending on their structures and whether copolymerization proceeds by radical, anionic, or cationic propagation. The different behaviors are discussed in terms of the terminal, penultimate, depropagation and complex participation models for copolymerization behavior. The Q-e and patterns of reactivity schemes place monomer reactivities on a theoretical basis in radical copolymerization. Cyclopolymerization occurs in some polymerizations of diene monomers. Copolymerization is important for many commercial products, including polystyrene, polyethylene, unsaturated polyesters, allyl resins, and other commercial polymers.","author":[{"dropping-particle":"","family":"Odian","given":"George","non-dropping-particle":"","parse-names":false,"suffix":""}],"container-title":"Principles of Polymerization","id":"ITEM-1","issued":{"date-parts":[["2004"]]},"publisher":"John Wiley &amp; Sons, Inc.","publisher-place":"Hoboken, NJ, USA","title":"Chain Copolymerization","type":"chapter"},"uris":["http://www.mendeley.com/documents/?uuid=decefd3a-c596-4623-acf3-7cf2bb6b9257"]}],"mendeley":{"formattedCitation":"&lt;sup&gt;216&lt;/sup&gt;","plainTextFormattedCitation":"216","previouslyFormattedCitation":"&lt;sup&gt;216&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216</w:t>
      </w:r>
      <w:r w:rsidRPr="006D631C">
        <w:rPr>
          <w:rFonts w:asciiTheme="majorBidi" w:hAnsiTheme="majorBidi" w:cstheme="majorBidi"/>
        </w:rPr>
        <w:fldChar w:fldCharType="end"/>
      </w:r>
      <w:r w:rsidRPr="006D631C">
        <w:rPr>
          <w:rFonts w:asciiTheme="majorBidi" w:hAnsiTheme="majorBidi" w:cstheme="majorBidi"/>
        </w:rPr>
        <w:t xml:space="preserve"> functionality, and the total mass of corresponding species (i.e., monomer or </w:t>
      </w:r>
      <w:proofErr w:type="spellStart"/>
      <w:r w:rsidRPr="006D631C">
        <w:rPr>
          <w:rFonts w:asciiTheme="majorBidi" w:hAnsiTheme="majorBidi" w:cstheme="majorBidi"/>
        </w:rPr>
        <w:t>crosslinker</w:t>
      </w:r>
      <w:proofErr w:type="spellEnd"/>
      <w:r w:rsidRPr="006D631C">
        <w:rPr>
          <w:rFonts w:asciiTheme="majorBidi" w:hAnsiTheme="majorBidi" w:cstheme="majorBidi"/>
        </w:rPr>
        <w:t>), respectively.</w:t>
      </w:r>
      <w:r w:rsidRPr="006D631C">
        <w:rPr>
          <w:rFonts w:asciiTheme="majorBidi" w:hAnsiTheme="majorBidi" w:cstheme="majorBidi"/>
        </w:rPr>
        <w:fldChar w:fldCharType="begin" w:fldLock="1"/>
      </w:r>
      <w:r w:rsidR="00432338" w:rsidRPr="006D631C">
        <w:rPr>
          <w:rFonts w:asciiTheme="majorBidi" w:hAnsiTheme="majorBidi" w:cstheme="majorBidi"/>
        </w:rPr>
        <w:instrText>ADDIN CSL_CITATION {"citationItems":[{"id":"ITEM-1","itemData":{"DOI":"10.1021/ma500823q","ISSN":"15205835","abstract":"Polymerization in lyotropic liquid crystalline (LLC) media is a promising method enabling synthesis of nanostructured organic polymers. To understand polymer structure development in LLC systems, this study investigates the polymerization of acrylate monomers of differing polarity and size within the hexagonal and lamellar phase of dodecyltrimethylammonium bromide and water. LLC structure, polymer morphology, and polymerization behavior were characterized to understand the connection between polymerization environment and formation of polymer structure. While the order of the template phase highly influences final polymer order, variations in monomer chemistry can lead to significantly different polymer structures even from the same liquid crystalline phase. More rapid polymerization, which leads to higher conversion and higher cross-link density of the relatively low molecular weight monomers, yields highly anisotropic polymer structure exhibiting alignment of 800 nm channels extending for lengths greater than 150 μm. Less ordered polymer structure results with analogous monomers of higher molecular weight. While polymer structure appears to result from a phase separation process in these systems, the structure directing influence of the liquid crystalline media is exhibited in several systems including the formation of highly oriented cylindrical structures with diameter of 200 nm from polymerization of poly(ethylene glycol) dimethacrylate in the hexagonal phase. Significant control of polymer structure has been demonstrated using LLC templates through proper selection of monomer chemistry, concentration, and LLC template structure. © 2014 American Chemical Society.","author":[{"dropping-particle":"","family":"Depierro","given":"Michael A.","non-dropping-particle":"","parse-names":false,"suffix":""},{"dropping-particle":"","family":"Guymon","given":"C. Allan","non-dropping-particle":"","parse-names":false,"suffix":""}],"container-title":"Macromolecules","id":"ITEM-1","issue":"16","issued":{"date-parts":[["2014"]]},"page":"5728-5738","title":"Polymer structure development in lyotropic liquid crystalline solutions","type":"article-journal","volume":"47"},"uris":["http://www.mendeley.com/documents/?uuid=2a98fefa-bbdd-4c03-b8d7-c79fe8179be3"]},{"id":"ITEM-2","itemData":{"DOI":"10.1002/pola.27783","ISSN":"10990518","abstract":"Polymerization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Chemistry","id":"ITEM-2","issue":"1","issued":{"date-parts":[["2016","1","1"]]},"page":"144-154","title":"Radical polymerization behavior and molecular weight development of homologous monoacrylate monomers in lyotropic liquid crystal phases","type":"article-journal","volume":"54"},"uris":["http://www.mendeley.com/documents/?uuid=4f7b9c95-7916-4292-a0f1-82a611583a7f"]}],"mendeley":{"formattedCitation":"&lt;sup&gt;99,168&lt;/sup&gt;","plainTextFormattedCitation":"99,168","previouslyFormattedCitation":"&lt;sup&gt;99,168&lt;/sup&gt;"},"properties":{"noteIndex":0},"schema":"https://github.com/citation-style-language/schema/raw/master/csl-citation.json"}</w:instrText>
      </w:r>
      <w:r w:rsidRPr="006D631C">
        <w:rPr>
          <w:rFonts w:asciiTheme="majorBidi" w:hAnsiTheme="majorBidi" w:cstheme="majorBidi"/>
        </w:rPr>
        <w:fldChar w:fldCharType="separate"/>
      </w:r>
      <w:r w:rsidR="00A542A3" w:rsidRPr="006D631C">
        <w:rPr>
          <w:rFonts w:asciiTheme="majorBidi" w:hAnsiTheme="majorBidi" w:cstheme="majorBidi"/>
          <w:noProof/>
          <w:vertAlign w:val="superscript"/>
        </w:rPr>
        <w:t>99,168</w:t>
      </w:r>
      <w:r w:rsidRPr="006D631C">
        <w:rPr>
          <w:rFonts w:asciiTheme="majorBidi" w:hAnsiTheme="majorBidi" w:cstheme="majorBidi"/>
        </w:rPr>
        <w:fldChar w:fldCharType="end"/>
      </w:r>
      <w:r w:rsidRPr="006D631C">
        <w:rPr>
          <w:rFonts w:asciiTheme="majorBidi" w:hAnsiTheme="majorBidi" w:cstheme="majorBidi"/>
        </w:rPr>
        <w:t xml:space="preserve"> The degree of monomer conversion was calculated by integrating the area under the </w:t>
      </w:r>
      <w:proofErr w:type="spellStart"/>
      <w:r w:rsidRPr="006D631C">
        <w:rPr>
          <w:rFonts w:asciiTheme="majorBidi" w:hAnsiTheme="majorBidi" w:cstheme="majorBidi"/>
          <w:i/>
          <w:iCs/>
        </w:rPr>
        <w:t>R</w:t>
      </w:r>
      <w:r w:rsidRPr="006D631C">
        <w:rPr>
          <w:rFonts w:asciiTheme="majorBidi" w:hAnsiTheme="majorBidi" w:cstheme="majorBidi"/>
          <w:i/>
          <w:iCs/>
          <w:vertAlign w:val="subscript"/>
        </w:rPr>
        <w:t>p</w:t>
      </w:r>
      <w:proofErr w:type="spellEnd"/>
      <w:r w:rsidRPr="006D631C">
        <w:rPr>
          <w:rFonts w:asciiTheme="majorBidi" w:hAnsiTheme="majorBidi" w:cstheme="majorBidi"/>
          <w:iCs/>
        </w:rPr>
        <w:t>(</w:t>
      </w:r>
      <w:r w:rsidRPr="006D631C">
        <w:rPr>
          <w:rFonts w:asciiTheme="majorBidi" w:hAnsiTheme="majorBidi" w:cstheme="majorBidi"/>
          <w:i/>
          <w:iCs/>
        </w:rPr>
        <w:t>t</w:t>
      </w:r>
      <w:r w:rsidRPr="006D631C">
        <w:rPr>
          <w:rFonts w:asciiTheme="majorBidi" w:hAnsiTheme="majorBidi" w:cstheme="majorBidi"/>
          <w:iCs/>
        </w:rPr>
        <w:t>)/[</w:t>
      </w:r>
      <w:r w:rsidRPr="006D631C">
        <w:rPr>
          <w:rFonts w:asciiTheme="majorBidi" w:hAnsiTheme="majorBidi" w:cstheme="majorBidi"/>
          <w:i/>
          <w:iCs/>
        </w:rPr>
        <w:t>M</w:t>
      </w:r>
      <w:r w:rsidRPr="006D631C">
        <w:rPr>
          <w:rFonts w:asciiTheme="majorBidi" w:hAnsiTheme="majorBidi" w:cstheme="majorBidi"/>
          <w:iCs/>
        </w:rPr>
        <w:t>]</w:t>
      </w:r>
      <w:r w:rsidRPr="006D631C">
        <w:rPr>
          <w:rFonts w:asciiTheme="majorBidi" w:hAnsiTheme="majorBidi" w:cstheme="majorBidi"/>
          <w:iCs/>
          <w:vertAlign w:val="subscript"/>
        </w:rPr>
        <w:t>0</w:t>
      </w:r>
      <w:r w:rsidRPr="006D631C">
        <w:rPr>
          <w:rFonts w:asciiTheme="majorBidi" w:hAnsiTheme="majorBidi" w:cstheme="majorBidi"/>
        </w:rPr>
        <w:t xml:space="preserve"> versus time curve since </w:t>
      </w:r>
      <w:r w:rsidRPr="006D631C">
        <w:rPr>
          <w:rFonts w:asciiTheme="majorBidi" w:hAnsiTheme="majorBidi" w:cstheme="majorBidi"/>
          <w:position w:val="-24"/>
        </w:rPr>
        <w:object w:dxaOrig="1920" w:dyaOrig="620" w14:anchorId="00EA9123">
          <v:shape id="_x0000_i1049" type="#_x0000_t75" style="width:96pt;height:31.2pt" o:ole="">
            <v:imagedata r:id="rId76" o:title=""/>
          </v:shape>
          <o:OLEObject Type="Embed" ProgID="Equation.DSMT4" ShapeID="_x0000_i1049" DrawAspect="Content" ObjectID="_1760013317" r:id="rId77"/>
        </w:object>
      </w:r>
      <w:r w:rsidRPr="006D631C">
        <w:rPr>
          <w:rFonts w:asciiTheme="majorBidi" w:hAnsiTheme="majorBidi" w:cstheme="majorBidi"/>
        </w:rPr>
        <w:t xml:space="preserve">with </w:t>
      </w:r>
      <w:r w:rsidRPr="006D631C">
        <w:rPr>
          <w:rFonts w:asciiTheme="majorBidi" w:hAnsiTheme="majorBidi" w:cstheme="majorBidi"/>
          <w:i/>
          <w:iCs/>
        </w:rPr>
        <w:t>p</w:t>
      </w:r>
      <w:r w:rsidRPr="006D631C">
        <w:rPr>
          <w:rFonts w:asciiTheme="majorBidi" w:hAnsiTheme="majorBidi" w:cstheme="majorBidi"/>
        </w:rPr>
        <w:t xml:space="preserve"> being the monomer conversion.</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{"citationItems":[{"id":"ITEM-1","itemData":{"DOI":"10.1021/cm4004849","ISSN":"08974756","abstract":"A promising method of synthesizing polymers with useful property relationships utilizes self-assembling lyotropic liquid crystals (LLCs) as photopolymerization templates to direct polymer structure on the nanometer scale. Unfortunately, thermodynamically driven phase separation of the polymer from the LLC template often occurs during polymerization and prevents control over final polymer nanostructure and properties. In this work, the nanostructure of polyacrylamide is controlled through photopolymerization in LLC templates formed using specific concentrations of polymerizable and nonreactive surfactants. Polymer structure information obtained using electron microscopy, X-ray scattering, and polarized light microscopy indicates that LLC nanostructure is retained during photopolymerization at particular reactive surfactant concentrations. Physical properties including water uptake, diffusivity, and mechanical strength are greater in polyacrylamide systems that exhibit nanostructure as compared to isotropic controls of the same chemical composition. Useful property relationships typically unattainable in traditional hydrogel systems are also observed for nanostructured hydrogels including simultaneous increases in water uptake and mechanical strength. These results demonstrate methods of generating and retaining polymer nanostructure during photopolymerization in systems that otherwise phase separate from the LLC template and may be utilized to synthesize nanostructured polymers with property relationships useful in a growing number of advanced applications. © 2013 American Chemical Society.","author":[{"dropping-particle":"","family":"Forney","given":"Bradley S.","non-dropping-particle":"","parse-names":false,"suffix":""},{"dropping-particle":"","family":"Baguenard","given":"Céline","non-dropping-particle":"","parse-names":false,"suffix":""},{"dropping-particle":"","family":"Guymon","given":"C. Allan","non-dropping-particle":"","parse-names":false,"suffix":""}],"container-title":"Chemistry of Materials","id":"ITEM-1","issue":"15","issued":{"date-parts":[["2013"]]},"page":"2950-2960","title":"Effects of controlling polymer nanostructure using photopolymerization within lyotropic liquid crystalline templates","type":"article-journal","volume":"25"},"uris":["http://www.mendeley.com/documents/?uuid=3abed647-ad42-477e-bd39-1d39d5b7ac76"]}],"mendeley":{"formattedCitation":"&lt;sup&gt;41&lt;/sup&gt;","plainTextFormattedCitation":"41","previouslyFormattedCitation":"&lt;sup&gt;41&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41</w:t>
      </w:r>
      <w:r w:rsidRPr="006D631C">
        <w:rPr>
          <w:rFonts w:asciiTheme="majorBidi" w:hAnsiTheme="majorBidi" w:cstheme="majorBidi"/>
        </w:rPr>
        <w:fldChar w:fldCharType="end"/>
      </w:r>
      <w:r w:rsidRPr="006D631C">
        <w:rPr>
          <w:rFonts w:asciiTheme="majorBidi" w:hAnsiTheme="majorBidi" w:cstheme="majorBidi"/>
        </w:rPr>
        <w:t xml:space="preserve"> Schematic of the polymerization process in different LLC structures is shown in Fig</w:t>
      </w:r>
      <w:r w:rsidR="000601A5" w:rsidRPr="006D631C">
        <w:rPr>
          <w:rFonts w:asciiTheme="majorBidi" w:hAnsiTheme="majorBidi" w:cstheme="majorBidi"/>
        </w:rPr>
        <w:t>ure</w:t>
      </w:r>
      <w:r w:rsidRPr="006D631C">
        <w:rPr>
          <w:rFonts w:asciiTheme="majorBidi" w:hAnsiTheme="majorBidi" w:cstheme="majorBidi"/>
        </w:rPr>
        <w:t xml:space="preserve"> </w:t>
      </w:r>
      <w:r w:rsidR="00FD7B5F" w:rsidRPr="006D631C">
        <w:rPr>
          <w:rFonts w:asciiTheme="majorBidi" w:hAnsiTheme="majorBidi" w:cstheme="majorBidi"/>
        </w:rPr>
        <w:t>2</w:t>
      </w:r>
      <w:r w:rsidR="000601A5" w:rsidRPr="006D631C">
        <w:rPr>
          <w:rFonts w:asciiTheme="majorBidi" w:hAnsiTheme="majorBidi" w:cstheme="majorBidi"/>
        </w:rPr>
        <w:t>-</w:t>
      </w:r>
      <w:r w:rsidRPr="006D631C">
        <w:rPr>
          <w:rFonts w:asciiTheme="majorBidi" w:hAnsiTheme="majorBidi" w:cstheme="majorBidi"/>
        </w:rPr>
        <w:t>1f.</w:t>
      </w:r>
    </w:p>
    <w:p w14:paraId="10E24865" w14:textId="3684D8DF" w:rsidR="00784CDF" w:rsidRPr="006D631C" w:rsidRDefault="00784CDF" w:rsidP="004A5740">
      <w:pPr>
        <w:pStyle w:val="Heading3"/>
      </w:pPr>
      <w:bookmarkStart w:id="104" w:name="_Toc148175807"/>
      <w:r w:rsidRPr="006D631C">
        <w:t xml:space="preserve">2.2.5 </w:t>
      </w:r>
      <w:proofErr w:type="spellStart"/>
      <w:r w:rsidR="004A5740" w:rsidRPr="006D631C">
        <w:t>Chemorheology</w:t>
      </w:r>
      <w:proofErr w:type="spellEnd"/>
      <w:r w:rsidR="004A5740" w:rsidRPr="006D631C">
        <w:t xml:space="preserve"> and mechanical properties</w:t>
      </w:r>
      <w:bookmarkEnd w:id="104"/>
      <w:r w:rsidRPr="006D631C">
        <w:t xml:space="preserve"> </w:t>
      </w:r>
    </w:p>
    <w:p w14:paraId="53FFFCAB" w14:textId="66780E16" w:rsidR="00784CDF" w:rsidRPr="006D631C" w:rsidRDefault="00F507A2" w:rsidP="0090028E">
      <w:pPr>
        <w:ind w:firstLine="357"/>
        <w:rPr>
          <w:rFonts w:asciiTheme="majorBidi" w:hAnsiTheme="majorBidi" w:cstheme="majorBidi"/>
        </w:rPr>
      </w:pPr>
      <w:r w:rsidRPr="006D631C">
        <w:rPr>
          <w:rFonts w:asciiTheme="majorBidi" w:hAnsiTheme="majorBidi" w:cstheme="majorBidi"/>
        </w:rPr>
        <w:t xml:space="preserve">A stress-controlled </w:t>
      </w:r>
      <w:proofErr w:type="spellStart"/>
      <w:r w:rsidRPr="006D631C">
        <w:rPr>
          <w:rFonts w:asciiTheme="majorBidi" w:hAnsiTheme="majorBidi" w:cstheme="majorBidi"/>
        </w:rPr>
        <w:t>rheometer</w:t>
      </w:r>
      <w:proofErr w:type="spellEnd"/>
      <w:r w:rsidRPr="006D631C">
        <w:rPr>
          <w:rFonts w:asciiTheme="majorBidi" w:hAnsiTheme="majorBidi" w:cstheme="majorBidi"/>
        </w:rPr>
        <w:t xml:space="preserve"> DHR-3 (TA Instruments, New Castle, DE) was used to study the </w:t>
      </w:r>
      <w:proofErr w:type="spellStart"/>
      <w:r w:rsidRPr="006D631C">
        <w:rPr>
          <w:rFonts w:asciiTheme="majorBidi" w:hAnsiTheme="majorBidi" w:cstheme="majorBidi"/>
        </w:rPr>
        <w:t>chemorheology</w:t>
      </w:r>
      <w:proofErr w:type="spellEnd"/>
      <w:r w:rsidRPr="006D631C">
        <w:rPr>
          <w:rFonts w:asciiTheme="majorBidi" w:hAnsiTheme="majorBidi" w:cstheme="majorBidi"/>
        </w:rPr>
        <w:t xml:space="preserve"> and the mechanical properties of the polymerized samples.</w:t>
      </w:r>
      <w:r w:rsidRPr="006D631C">
        <w:rPr>
          <w:rFonts w:asciiTheme="majorBidi" w:hAnsiTheme="majorBidi" w:cstheme="majorBidi"/>
        </w:rPr>
        <w:fldChar w:fldCharType="begin" w:fldLock="1"/>
      </w:r>
      <w:r w:rsidR="009C3217"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00432338" w:rsidRPr="006D631C">
        <w:rPr>
          <w:rFonts w:asciiTheme="majorBidi" w:hAnsiTheme="majorBidi" w:cstheme="majorBidi"/>
          <w:noProof/>
          <w:vertAlign w:val="superscript"/>
        </w:rPr>
        <w:t>56</w:t>
      </w:r>
      <w:r w:rsidRPr="006D631C">
        <w:rPr>
          <w:rFonts w:asciiTheme="majorBidi" w:hAnsiTheme="majorBidi" w:cstheme="majorBidi"/>
        </w:rPr>
        <w:fldChar w:fldCharType="end"/>
      </w:r>
      <w:r w:rsidRPr="006D631C">
        <w:rPr>
          <w:rFonts w:asciiTheme="majorBidi" w:hAnsiTheme="majorBidi" w:cstheme="majorBidi"/>
        </w:rPr>
        <w:t xml:space="preserve"> A 40 mm sand blasted parallel</w:t>
      </w:r>
      <w:r w:rsidRPr="006D631C">
        <w:t xml:space="preserve"> </w:t>
      </w:r>
      <w:r w:rsidRPr="006D631C">
        <w:rPr>
          <w:rFonts w:asciiTheme="majorBidi" w:hAnsiTheme="majorBidi" w:cstheme="majorBidi"/>
        </w:rPr>
        <w:t>plate geometry with 1 mm gap was employed in all of the experiments to suppress the wall-slip, which was confirmed to be indeed negligible in uncured and cured mesophases (Fig</w:t>
      </w:r>
      <w:r w:rsidR="00432338" w:rsidRPr="006D631C">
        <w:rPr>
          <w:rFonts w:asciiTheme="majorBidi" w:hAnsiTheme="majorBidi" w:cstheme="majorBidi"/>
        </w:rPr>
        <w:t>ure</w:t>
      </w:r>
      <w:r w:rsidRPr="006D631C">
        <w:rPr>
          <w:rFonts w:asciiTheme="majorBidi" w:hAnsiTheme="majorBidi" w:cstheme="majorBidi"/>
        </w:rPr>
        <w:t xml:space="preserve"> </w:t>
      </w:r>
      <w:r w:rsidR="001E115D" w:rsidRPr="006D631C">
        <w:rPr>
          <w:rFonts w:asciiTheme="majorBidi" w:hAnsiTheme="majorBidi" w:cstheme="majorBidi"/>
        </w:rPr>
        <w:t>C</w:t>
      </w:r>
      <w:r w:rsidRPr="006D631C">
        <w:rPr>
          <w:rFonts w:asciiTheme="majorBidi" w:hAnsiTheme="majorBidi" w:cstheme="majorBidi"/>
        </w:rPr>
        <w:t>1</w:t>
      </w:r>
      <w:r w:rsidR="00F02CCD" w:rsidRPr="006D631C">
        <w:rPr>
          <w:rFonts w:asciiTheme="majorBidi" w:hAnsiTheme="majorBidi" w:cstheme="majorBidi"/>
        </w:rPr>
        <w:t xml:space="preserve"> in</w:t>
      </w:r>
      <w:r w:rsidR="001E115D" w:rsidRPr="006D631C">
        <w:rPr>
          <w:rFonts w:asciiTheme="majorBidi" w:hAnsiTheme="majorBidi" w:cstheme="majorBidi"/>
        </w:rPr>
        <w:t xml:space="preserve"> </w:t>
      </w:r>
      <w:r w:rsidR="0090028E" w:rsidRPr="006D631C">
        <w:rPr>
          <w:rFonts w:asciiTheme="majorBidi" w:hAnsiTheme="majorBidi" w:cstheme="majorBidi"/>
        </w:rPr>
        <w:t xml:space="preserve">Appendix </w:t>
      </w:r>
      <w:r w:rsidR="001E115D" w:rsidRPr="006D631C">
        <w:rPr>
          <w:rFonts w:asciiTheme="majorBidi" w:hAnsiTheme="majorBidi" w:cstheme="majorBidi"/>
        </w:rPr>
        <w:t>C</w:t>
      </w:r>
      <w:r w:rsidRPr="006D631C">
        <w:rPr>
          <w:rFonts w:asciiTheme="majorBidi" w:hAnsiTheme="majorBidi" w:cstheme="majorBidi"/>
        </w:rPr>
        <w:t>) in agreement with previous study.</w:t>
      </w:r>
      <w:r w:rsidRPr="006D631C">
        <w:rPr>
          <w:rFonts w:asciiTheme="majorBidi" w:hAnsiTheme="majorBidi" w:cstheme="majorBidi"/>
        </w:rPr>
        <w:fldChar w:fldCharType="begin" w:fldLock="1"/>
      </w:r>
      <w:r w:rsidR="009C3217" w:rsidRPr="006D631C">
        <w:rPr>
          <w:rFonts w:asciiTheme="majorBidi" w:hAnsiTheme="majorBidi" w:cstheme="majorBidi"/>
        </w:rPr>
        <w:instrText>ADDIN CSL_CITATION {"citationItems":[{"id":"ITEM-1","itemData":{"DOI":"10.1007/s00397-019-01162-y","ISSN":"0035-4511","abstract":"Self-assembly of block copolymers in the presence of solvents forms ordered mesophase structures, also known as lyotropic liquid crystals (LLCs). The aim of this work is to investigate the rheological properties of Pluronic block copolymer/water/oil mesophases with lamellar and hexagonal structures. The flow behavior of lamellar and hexagonal mesophases indicates that they have yield stress. Oscillatory shear experiments show that mesophases have solid-like behavior and exhibit type III non-linear behavior. The elastic modulus of mesophases is probably controlled by the van der Waals interaction between micelles. We suggest that at relatively low frequencies, defects control the rheological behavior of LLCs, while at high frequencies, the contributions in micellar scale are dominant. Applying high strains on the LLCs induces two relaxation times after cessation of flow, decreases the storage modulus in the whole frequency range, and decreases the loss modulus in small-frequency regime with negligible effect at high frequencies. The decrease in moduli is reversible and the system relaxes back to its original elastic modulus at rest. The observed behavior can be attributed to the elimination of defects under high strains and their re-formation during long enough rest times.","author":[{"dropping-particle":"","family":"Qavi","given":"Sahar","non-dropping-particle":"","parse-names":false,"suffix":""},{"dropping-particle":"","family":"Foudazi","given":"Reza","non-dropping-particle":"","parse-names":false,"suffix":""}],"container-title":"Rheologica Acta","id":"ITEM-1","issue":"8","issued":{"date-parts":[["2019","8","31"]]},"page":"483-498","title":"Rheological characteristics of mesophases of block copolymer solutions","type":"article-journal","volume":"58"},"uris":["http://www.mendeley.com/documents/?uuid=c97ded4e-5292-4962-b3cb-d3d5b2bd061e"]}],"mendeley":{"formattedCitation":"&lt;sup&gt;178&lt;/sup&gt;","plainTextFormattedCitation":"178","previouslyFormattedCitation":"&lt;sup&gt;178&lt;/sup&gt;"},"properties":{"noteIndex":0},"schema":"https://github.com/citation-style-language/schema/raw/master/csl-citation.json"}</w:instrText>
      </w:r>
      <w:r w:rsidRPr="006D631C">
        <w:rPr>
          <w:rFonts w:asciiTheme="majorBidi" w:hAnsiTheme="majorBidi" w:cstheme="majorBidi"/>
        </w:rPr>
        <w:fldChar w:fldCharType="separate"/>
      </w:r>
      <w:r w:rsidR="00432338" w:rsidRPr="006D631C">
        <w:rPr>
          <w:rFonts w:asciiTheme="majorBidi" w:hAnsiTheme="majorBidi" w:cstheme="majorBidi"/>
          <w:noProof/>
          <w:vertAlign w:val="superscript"/>
        </w:rPr>
        <w:t>178</w:t>
      </w:r>
      <w:r w:rsidRPr="006D631C">
        <w:rPr>
          <w:rFonts w:asciiTheme="majorBidi" w:hAnsiTheme="majorBidi" w:cstheme="majorBidi"/>
        </w:rPr>
        <w:fldChar w:fldCharType="end"/>
      </w:r>
      <w:r w:rsidRPr="006D631C">
        <w:rPr>
          <w:rFonts w:asciiTheme="majorBidi" w:hAnsiTheme="majorBidi" w:cstheme="majorBidi"/>
        </w:rPr>
        <w:t xml:space="preserve"> A solvent trap filled with deionized water was used to minimize any probable monomers or water loss during the reaction at 65 °C under the </w:t>
      </w:r>
      <w:proofErr w:type="spellStart"/>
      <w:r w:rsidRPr="006D631C">
        <w:rPr>
          <w:rFonts w:asciiTheme="majorBidi" w:hAnsiTheme="majorBidi" w:cstheme="majorBidi"/>
        </w:rPr>
        <w:t>rheometer</w:t>
      </w:r>
      <w:proofErr w:type="spellEnd"/>
      <w:r w:rsidRPr="006D631C">
        <w:rPr>
          <w:rFonts w:asciiTheme="majorBidi" w:hAnsiTheme="majorBidi" w:cstheme="majorBidi"/>
        </w:rPr>
        <w:t xml:space="preserve">. In the case of </w:t>
      </w:r>
      <w:proofErr w:type="spellStart"/>
      <w:r w:rsidRPr="006D631C">
        <w:rPr>
          <w:rFonts w:asciiTheme="majorBidi" w:hAnsiTheme="majorBidi" w:cstheme="majorBidi"/>
        </w:rPr>
        <w:t>chemorheology</w:t>
      </w:r>
      <w:proofErr w:type="spellEnd"/>
      <w:r w:rsidRPr="006D631C">
        <w:rPr>
          <w:rFonts w:asciiTheme="majorBidi" w:hAnsiTheme="majorBidi" w:cstheme="majorBidi"/>
        </w:rPr>
        <w:t>, the tests were performed in the linear viscoelastic region (0.1% strain, confirmed from amplitude sweep tests). The evolution of dynamic moduli with time at 65 °C was considered for determining the polymerization kinetics.</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10.1021/ma401157b","ISSN":"0024-9297","author":[{"dropping-particle":"","family":"Foudazi","given":"Reza","non-dropping-particle":"","parse-names":false,"suffix":""},{"dropping-particle":"","family":"Gokun","given":"Polina","non-dropping-particle":"","parse-names":false,"suffix":""},{"dropping-particle":"","family":"Feke","given":"Donald L.","non-dropping-particle":"","parse-names":false,"suffix":""},{"dropping-particle":"","family":"Rowan","given":"Stuart J.","non-dropping-particle":"","parse-names":false,"suffix":""},{"dropping-particle":"","family":"Manas-Zloczower","given":"Ica","non-dropping-particle":"","parse-names":false,"suffix":""}],"container-title":"Macromolecules","id":"ITEM-1","issue":"13","issued":{"date-parts":[["2013","7","9"]]},"page":"5393-5396","title":"Chemorheology of Poly(high internal phase emulsions)","type":"article-journal","volume":"46"},"uris":["http://www.mendeley.com/documents/?uuid=d4f9c2a3-e106-4abf-a204-279a9e3a4eb4"]}],"mendeley":{"formattedCitation":"&lt;sup&gt;217&lt;/sup&gt;","plainTextFormattedCitation":"217","previouslyFormattedCitation":"&lt;sup&gt;217&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217</w:t>
      </w:r>
      <w:r w:rsidRPr="006D631C">
        <w:rPr>
          <w:rFonts w:asciiTheme="majorBidi" w:hAnsiTheme="majorBidi" w:cstheme="majorBidi"/>
        </w:rPr>
        <w:fldChar w:fldCharType="end"/>
      </w:r>
      <w:r w:rsidRPr="006D631C">
        <w:rPr>
          <w:rFonts w:asciiTheme="majorBidi" w:hAnsiTheme="majorBidi" w:cstheme="majorBidi"/>
        </w:rPr>
        <w:t xml:space="preserve"> To evaluate the mechanical properties of polymerized LLCs, after curing the sample under </w:t>
      </w:r>
      <w:proofErr w:type="spellStart"/>
      <w:r w:rsidRPr="006D631C">
        <w:rPr>
          <w:rFonts w:asciiTheme="majorBidi" w:hAnsiTheme="majorBidi" w:cstheme="majorBidi"/>
        </w:rPr>
        <w:t>rheometer</w:t>
      </w:r>
      <w:proofErr w:type="spellEnd"/>
      <w:r w:rsidRPr="006D631C">
        <w:rPr>
          <w:rFonts w:asciiTheme="majorBidi" w:hAnsiTheme="majorBidi" w:cstheme="majorBidi"/>
        </w:rPr>
        <w:t>, the temperature was decreased to 25 °C and then dynamic frequency sweep test was carried out in the frequency range of 0.1 to 400 rad/s.</w:t>
      </w:r>
    </w:p>
    <w:p w14:paraId="6769851E" w14:textId="4E67E5BE" w:rsidR="00C41C5E" w:rsidRPr="006D631C" w:rsidRDefault="00661A8E" w:rsidP="001C2C14">
      <w:pPr>
        <w:pStyle w:val="TOC1"/>
        <w:tabs>
          <w:tab w:val="clear" w:pos="9350"/>
          <w:tab w:val="right" w:leader="dot" w:pos="9356"/>
        </w:tabs>
        <w:rPr>
          <w:noProof w:val="0"/>
        </w:rPr>
      </w:pPr>
      <w:r w:rsidRPr="006D631C">
        <w:lastRenderedPageBreak/>
        <w:drawing>
          <wp:inline distT="0" distB="0" distL="0" distR="0" wp14:anchorId="21172746" wp14:editId="56EF854F">
            <wp:extent cx="5940000" cy="6312573"/>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0000" cy="6312573"/>
                    </a:xfrm>
                    <a:prstGeom prst="rect">
                      <a:avLst/>
                    </a:prstGeom>
                    <a:noFill/>
                  </pic:spPr>
                </pic:pic>
              </a:graphicData>
            </a:graphic>
          </wp:inline>
        </w:drawing>
      </w:r>
    </w:p>
    <w:p w14:paraId="7644A822" w14:textId="390BE858" w:rsidR="00C334DC" w:rsidRPr="006D631C" w:rsidRDefault="00C334DC" w:rsidP="00C334DC">
      <w:pPr>
        <w:pStyle w:val="Caption"/>
        <w:jc w:val="center"/>
        <w:rPr>
          <w:rFonts w:cs="Times New Roman"/>
          <w:sz w:val="22"/>
          <w:szCs w:val="22"/>
        </w:rPr>
      </w:pPr>
      <w:bookmarkStart w:id="105" w:name="_Toc148175926"/>
      <w:r w:rsidRPr="006D631C">
        <w:rPr>
          <w:rFonts w:cs="Times New Roman"/>
          <w:sz w:val="22"/>
          <w:szCs w:val="22"/>
        </w:rPr>
        <w:t xml:space="preserve">Figure </w:t>
      </w:r>
      <w:r w:rsidR="00B55F32" w:rsidRPr="006D631C">
        <w:rPr>
          <w:rFonts w:cs="Times New Roman"/>
          <w:sz w:val="22"/>
          <w:szCs w:val="22"/>
        </w:rPr>
        <w:fldChar w:fldCharType="begin"/>
      </w:r>
      <w:r w:rsidR="00B55F32" w:rsidRPr="006D631C">
        <w:rPr>
          <w:rFonts w:cs="Times New Roman"/>
          <w:sz w:val="22"/>
          <w:szCs w:val="22"/>
        </w:rPr>
        <w:instrText xml:space="preserve"> STYLEREF 1 \s </w:instrText>
      </w:r>
      <w:r w:rsidR="00B55F32" w:rsidRPr="006D631C">
        <w:rPr>
          <w:rFonts w:cs="Times New Roman"/>
          <w:sz w:val="22"/>
          <w:szCs w:val="22"/>
        </w:rPr>
        <w:fldChar w:fldCharType="separate"/>
      </w:r>
      <w:r w:rsidR="00B55F32" w:rsidRPr="006D631C">
        <w:rPr>
          <w:rFonts w:cs="Times New Roman"/>
          <w:sz w:val="22"/>
          <w:szCs w:val="22"/>
          <w:cs/>
        </w:rPr>
        <w:t>‎</w:t>
      </w:r>
      <w:r w:rsidR="00B55F32" w:rsidRPr="006D631C">
        <w:rPr>
          <w:rFonts w:cs="Times New Roman"/>
          <w:sz w:val="22"/>
          <w:szCs w:val="22"/>
        </w:rPr>
        <w:t>2</w:t>
      </w:r>
      <w:r w:rsidR="00B55F32" w:rsidRPr="006D631C">
        <w:rPr>
          <w:rFonts w:cs="Times New Roman"/>
          <w:sz w:val="22"/>
          <w:szCs w:val="22"/>
        </w:rPr>
        <w:fldChar w:fldCharType="end"/>
      </w:r>
      <w:r w:rsidR="00B55F32" w:rsidRPr="006D631C">
        <w:rPr>
          <w:rFonts w:cs="Times New Roman"/>
          <w:sz w:val="22"/>
          <w:szCs w:val="22"/>
        </w:rPr>
        <w:noBreakHyphen/>
      </w:r>
      <w:r w:rsidR="00B55F32" w:rsidRPr="006D631C">
        <w:rPr>
          <w:rFonts w:cs="Times New Roman"/>
          <w:sz w:val="22"/>
          <w:szCs w:val="22"/>
        </w:rPr>
        <w:fldChar w:fldCharType="begin"/>
      </w:r>
      <w:r w:rsidR="00B55F32" w:rsidRPr="006D631C">
        <w:rPr>
          <w:rFonts w:cs="Times New Roman"/>
          <w:sz w:val="22"/>
          <w:szCs w:val="22"/>
        </w:rPr>
        <w:instrText xml:space="preserve"> SEQ Figure \* ARABIC \s 1 </w:instrText>
      </w:r>
      <w:r w:rsidR="00B55F32" w:rsidRPr="006D631C">
        <w:rPr>
          <w:rFonts w:cs="Times New Roman"/>
          <w:sz w:val="22"/>
          <w:szCs w:val="22"/>
        </w:rPr>
        <w:fldChar w:fldCharType="separate"/>
      </w:r>
      <w:r w:rsidR="00B55F32" w:rsidRPr="006D631C">
        <w:rPr>
          <w:rFonts w:cs="Times New Roman"/>
          <w:sz w:val="22"/>
          <w:szCs w:val="22"/>
        </w:rPr>
        <w:t>1</w:t>
      </w:r>
      <w:r w:rsidR="00B55F32" w:rsidRPr="006D631C">
        <w:rPr>
          <w:rFonts w:cs="Times New Roman"/>
          <w:sz w:val="22"/>
          <w:szCs w:val="22"/>
        </w:rPr>
        <w:fldChar w:fldCharType="end"/>
      </w:r>
      <w:r w:rsidRPr="006D631C">
        <w:rPr>
          <w:rFonts w:cs="Times New Roman"/>
          <w:sz w:val="22"/>
          <w:szCs w:val="22"/>
        </w:rPr>
        <w:t>. (a) Monomers and reaction scheme of their polymerization process in this study; (b-e) Chemical structures of initiators and surfactant: (b) APS, (c) BPO, (d) AIBN, and (e) Pluronic L64; (f) Schematic of polymerization process in lamellar and hexagonal structures.</w:t>
      </w:r>
      <w:bookmarkEnd w:id="105"/>
    </w:p>
    <w:p w14:paraId="6E2DD66F" w14:textId="472DDCA5" w:rsidR="000C52A7" w:rsidRPr="006D631C" w:rsidRDefault="000C52A7" w:rsidP="00334ED0">
      <w:pPr>
        <w:pStyle w:val="Heading2"/>
      </w:pPr>
      <w:bookmarkStart w:id="106" w:name="_Toc148175808"/>
      <w:r w:rsidRPr="006D631C">
        <w:lastRenderedPageBreak/>
        <w:t xml:space="preserve">2.3 </w:t>
      </w:r>
      <w:r w:rsidR="00334ED0" w:rsidRPr="006D631C">
        <w:t>Results and discussion</w:t>
      </w:r>
      <w:bookmarkEnd w:id="106"/>
    </w:p>
    <w:p w14:paraId="29046B48" w14:textId="20796622" w:rsidR="00730C0E" w:rsidRPr="006D631C" w:rsidRDefault="00730C0E" w:rsidP="00F41971">
      <w:pPr>
        <w:pStyle w:val="Heading3"/>
      </w:pPr>
      <w:bookmarkStart w:id="107" w:name="_Toc148175809"/>
      <w:r w:rsidRPr="006D631C">
        <w:t xml:space="preserve">2.3.1 </w:t>
      </w:r>
      <w:r w:rsidR="00F41971" w:rsidRPr="006D631C">
        <w:t>Cross-polarized light microscopy (CPLM)</w:t>
      </w:r>
      <w:bookmarkEnd w:id="107"/>
      <w:r w:rsidRPr="006D631C">
        <w:t xml:space="preserve"> </w:t>
      </w:r>
    </w:p>
    <w:p w14:paraId="504550EA" w14:textId="4AB6B9E7" w:rsidR="005F23CB" w:rsidRPr="006D631C" w:rsidRDefault="005266D0" w:rsidP="009864C0">
      <w:pPr>
        <w:ind w:firstLine="357"/>
        <w:rPr>
          <w:rFonts w:asciiTheme="majorBidi" w:hAnsiTheme="majorBidi" w:cstheme="majorBidi"/>
        </w:rPr>
      </w:pPr>
      <w:proofErr w:type="spellStart"/>
      <w:r w:rsidRPr="006D631C">
        <w:rPr>
          <w:rFonts w:asciiTheme="majorBidi" w:hAnsiTheme="majorBidi" w:cstheme="majorBidi"/>
        </w:rPr>
        <w:t>Qavi</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Pr="006D631C">
        <w:rPr>
          <w:rFonts w:asciiTheme="majorBidi" w:hAnsiTheme="majorBidi" w:cstheme="majorBidi"/>
        </w:rPr>
        <w:t xml:space="preserve"> previously showed that Pluronic L64/water/oil systems with weight ratios of 50/35/15 and 55/15/30 have lamellar and hexagonal structures, respectively.</w:t>
      </w:r>
      <w:r w:rsidRPr="006D631C">
        <w:rPr>
          <w:rFonts w:asciiTheme="majorBidi" w:hAnsiTheme="majorBidi" w:cstheme="majorBidi"/>
        </w:rPr>
        <w:fldChar w:fldCharType="begin" w:fldLock="1"/>
      </w:r>
      <w:r w:rsidR="00BB4C3B"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rFonts w:asciiTheme="majorBidi" w:hAnsiTheme="majorBidi" w:cstheme="majorBidi"/>
        </w:rPr>
        <w:fldChar w:fldCharType="separate"/>
      </w:r>
      <w:r w:rsidR="009C3217" w:rsidRPr="006D631C">
        <w:rPr>
          <w:rFonts w:asciiTheme="majorBidi" w:hAnsiTheme="majorBidi" w:cstheme="majorBidi"/>
          <w:noProof/>
          <w:vertAlign w:val="superscript"/>
        </w:rPr>
        <w:t>32</w:t>
      </w:r>
      <w:r w:rsidRPr="006D631C">
        <w:rPr>
          <w:rFonts w:asciiTheme="majorBidi" w:hAnsiTheme="majorBidi" w:cstheme="majorBidi"/>
        </w:rPr>
        <w:fldChar w:fldCharType="end"/>
      </w:r>
      <w:r w:rsidRPr="006D631C">
        <w:rPr>
          <w:rFonts w:asciiTheme="majorBidi" w:hAnsiTheme="majorBidi" w:cstheme="majorBidi"/>
        </w:rPr>
        <w:t xml:space="preserve"> To confirm the preservation of these LLC structures after polymerization, </w:t>
      </w:r>
      <w:r w:rsidR="009C3217" w:rsidRPr="006D631C">
        <w:rPr>
          <w:rFonts w:asciiTheme="majorBidi" w:hAnsiTheme="majorBidi" w:cstheme="majorBidi"/>
        </w:rPr>
        <w:t>c</w:t>
      </w:r>
      <w:r w:rsidRPr="006D631C">
        <w:rPr>
          <w:rFonts w:asciiTheme="majorBidi" w:hAnsiTheme="majorBidi" w:cstheme="majorBidi"/>
        </w:rPr>
        <w:t>ross-polarized light microscopy studies were carried out on the LLC samples before and after polymerization. The obtained results are shown in Fig</w:t>
      </w:r>
      <w:r w:rsidR="00A968D8" w:rsidRPr="006D631C">
        <w:rPr>
          <w:rFonts w:asciiTheme="majorBidi" w:hAnsiTheme="majorBidi" w:cstheme="majorBidi"/>
        </w:rPr>
        <w:t>ure</w:t>
      </w:r>
      <w:r w:rsidRPr="006D631C">
        <w:rPr>
          <w:rFonts w:asciiTheme="majorBidi" w:hAnsiTheme="majorBidi" w:cstheme="majorBidi"/>
        </w:rPr>
        <w:t xml:space="preserve"> </w:t>
      </w:r>
      <w:r w:rsidR="00A968D8" w:rsidRPr="006D631C">
        <w:rPr>
          <w:rFonts w:asciiTheme="majorBidi" w:hAnsiTheme="majorBidi" w:cstheme="majorBidi"/>
        </w:rPr>
        <w:t>2-</w:t>
      </w:r>
      <w:r w:rsidRPr="006D631C">
        <w:rPr>
          <w:rFonts w:asciiTheme="majorBidi" w:hAnsiTheme="majorBidi" w:cstheme="majorBidi"/>
        </w:rPr>
        <w:t xml:space="preserve">2. </w:t>
      </w:r>
      <w:r w:rsidR="009864C0" w:rsidRPr="006D631C">
        <w:rPr>
          <w:rFonts w:asciiTheme="majorBidi" w:hAnsiTheme="majorBidi" w:cstheme="majorBidi"/>
        </w:rPr>
        <w:t>All</w:t>
      </w:r>
      <w:r w:rsidR="00223797" w:rsidRPr="006D631C">
        <w:rPr>
          <w:rFonts w:asciiTheme="majorBidi" w:hAnsiTheme="majorBidi" w:cstheme="majorBidi"/>
        </w:rPr>
        <w:t xml:space="preserve"> of the formulations are</w:t>
      </w:r>
      <w:r w:rsidRPr="006D631C">
        <w:rPr>
          <w:rFonts w:asciiTheme="majorBidi" w:hAnsiTheme="majorBidi" w:cstheme="majorBidi"/>
        </w:rPr>
        <w:t xml:space="preserve"> </w:t>
      </w:r>
      <w:r w:rsidR="00223797" w:rsidRPr="006D631C">
        <w:rPr>
          <w:rFonts w:asciiTheme="majorBidi" w:hAnsiTheme="majorBidi" w:cstheme="majorBidi"/>
        </w:rPr>
        <w:t>birefringen</w:t>
      </w:r>
      <w:r w:rsidR="009864C0" w:rsidRPr="006D631C">
        <w:rPr>
          <w:rFonts w:asciiTheme="majorBidi" w:hAnsiTheme="majorBidi" w:cstheme="majorBidi"/>
        </w:rPr>
        <w:t>t</w:t>
      </w:r>
      <w:r w:rsidRPr="006D631C">
        <w:rPr>
          <w:rFonts w:asciiTheme="majorBidi" w:hAnsiTheme="majorBidi" w:cstheme="majorBidi"/>
        </w:rPr>
        <w:t xml:space="preserve"> before polymerization regardless of the applied initiation system</w:t>
      </w:r>
      <w:r w:rsidR="00223797" w:rsidRPr="006D631C">
        <w:rPr>
          <w:rFonts w:asciiTheme="majorBidi" w:hAnsiTheme="majorBidi" w:cstheme="majorBidi"/>
        </w:rPr>
        <w:t xml:space="preserve"> as some textures are observed under CPLM</w:t>
      </w:r>
      <w:r w:rsidRPr="006D631C">
        <w:rPr>
          <w:rFonts w:asciiTheme="majorBidi" w:hAnsiTheme="majorBidi" w:cstheme="majorBidi"/>
        </w:rPr>
        <w:t>. The absence of extinction (a dark image) in the CPLM photograph of polymerized species indicates that the structure remains birefringent after the polymerization using IFW or IFO systems.</w:t>
      </w:r>
    </w:p>
    <w:p w14:paraId="1E3F2444" w14:textId="51433179" w:rsidR="00E672BE" w:rsidRPr="006D631C" w:rsidRDefault="00E672BE" w:rsidP="00F45A4F">
      <w:pPr>
        <w:pStyle w:val="Heading3"/>
      </w:pPr>
      <w:bookmarkStart w:id="108" w:name="_Toc148175810"/>
      <w:r w:rsidRPr="006D631C">
        <w:t xml:space="preserve">2.3.2 Small </w:t>
      </w:r>
      <w:r w:rsidR="00F45A4F" w:rsidRPr="006D631C">
        <w:t>a</w:t>
      </w:r>
      <w:r w:rsidRPr="006D631C">
        <w:t xml:space="preserve">ngle X-ray </w:t>
      </w:r>
      <w:r w:rsidR="00F45A4F" w:rsidRPr="006D631C">
        <w:t>s</w:t>
      </w:r>
      <w:r w:rsidRPr="006D631C">
        <w:t>cattering (SAXS)</w:t>
      </w:r>
      <w:bookmarkEnd w:id="108"/>
      <w:r w:rsidRPr="006D631C">
        <w:t xml:space="preserve"> </w:t>
      </w:r>
    </w:p>
    <w:p w14:paraId="790FA317" w14:textId="3C9749D5" w:rsidR="005F23CB" w:rsidRPr="006D631C" w:rsidRDefault="004F386E" w:rsidP="002E14E4">
      <w:pPr>
        <w:ind w:firstLine="357"/>
        <w:rPr>
          <w:rFonts w:asciiTheme="majorBidi" w:hAnsiTheme="majorBidi" w:cstheme="majorBidi"/>
        </w:rPr>
      </w:pPr>
      <w:r w:rsidRPr="006D631C">
        <w:rPr>
          <w:rFonts w:asciiTheme="majorBidi" w:hAnsiTheme="majorBidi" w:cstheme="majorBidi"/>
        </w:rPr>
        <w:t xml:space="preserve">To confirm the results of CPLM and study the structure of LLCs quantitatively, we performed SAXS analysis. The SAXS results for lamellar and hexagonal systems before and after curing with different initiators are shown in Figure 2-3. As expected, Bragg peaks with ratios of 1:2 and 1:√3 are observed for lamellar and hexagonal structures, respectively, before polymerization. The peaks with similar ratios are obtained after polymerization via different initiators for both lamellar and hexagonal phases. The only notable point here is the change in positions of the peaks after polymerization which is a sign of change in </w:t>
      </w:r>
      <w:r w:rsidRPr="006D631C">
        <w:rPr>
          <w:rFonts w:asciiTheme="majorBidi" w:hAnsiTheme="majorBidi" w:cstheme="majorBidi"/>
          <w:i/>
        </w:rPr>
        <w:t>d</w:t>
      </w:r>
      <w:r w:rsidRPr="006D631C">
        <w:rPr>
          <w:rFonts w:asciiTheme="majorBidi" w:hAnsiTheme="majorBidi" w:cstheme="majorBidi"/>
        </w:rPr>
        <w:t>-spacing of the structures after polymerization. Such structural changes have commonly been reported in the literature for polymerization of LLCs.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Matter","id":"ITEM-1","issue":"31","issued":{"date-parts":[["2013"]]},"page":"7458-7467","title":"Improved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templates","type":"article-journal","volume":"9"},"uris":["http://www.mendeley.com/documents/?uuid=1744ca1d-c40e-4c6d-aa09-30d94aee5e9f"]},{"id":"ITEM-2","itemData":{"DOI":"10.1016/j.memsci.2019.02.060","ISSN":"18733123","abstract":"Industrially,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Science","id":"ITEM-2","issued":{"date-parts":[["2019"]]},"page":"125-133","title":"Ultrafiltration membranes from polymerization of self-assembled Pluronic block copolymer mesophases","type":"article-journal","volume":"580"},"uris":["http://www.mendeley.com/documents/?uuid=bed9b600-bdbf-4c48-a9d1-d3c7ba3f3449"]},{"id":"ITEM-3","itemData":{"DOI":"10.1039/c9sm01565e","ISSN":"17446848","abstract":"This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Matter","id":"ITEM-3","issue":"41","issued":{"date-parts":[["2019"]]},"page":"8238-8250","title":"Polymerization in soft nanoconfinement of lamellar and reverse hexagonal mesophases","type":"article-journal","volume":"15"},"uris":["http://www.mendeley.com/documents/?uuid=5a774487-acd6-4203-928f-13a0a6b06e6b"]},{"id":"ITEM-4","itemData":{"DOI":"10.1002/adma.200702210","ISSN":"09359648","author":[{"dropping-particle":"","family":"Pecinovsky","given":"Cory S.","non-dropping-particle":"","parse-names":false,"suffix":""},{"dropping-particle":"","family":"Hatakeyama","given":"Evan S.","non-dropping-particle":"","parse-names":false,"suffix":""},{"dropping-particle":"","family":"Gin","given":"Douglas L.","non-dropping-particle":"","parse-names":false,"suffix":""}],"container-title":"Advanced Materials","id":"ITEM-4","issue":"1","issued":{"date-parts":[["2008"]]},"page":"174-178","title":"Polymerizable photochromic macrocyclic metallomesogens: Design of supramolecular polymers with responsive nanopores","type":"article-journal","volume":"20"},"uris":["http://www.mendeley.com/documents/?uuid=31f3af7b-43ba-4f53-82e6-67735f73f2e9"]}],"mendeley":{"formattedCitation":"&lt;sup&gt;32,42,56,133&lt;/sup&gt;","plainTextFormattedCitation":"32,42,56,133","previouslyFormattedCitation":"&lt;sup&gt;32,42,56,133&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32,42,56,133</w:t>
      </w:r>
      <w:r w:rsidRPr="006D631C">
        <w:rPr>
          <w:rFonts w:asciiTheme="majorBidi" w:hAnsiTheme="majorBidi" w:cstheme="majorBidi"/>
        </w:rPr>
        <w:fldChar w:fldCharType="end"/>
      </w:r>
    </w:p>
    <w:p w14:paraId="533057B2" w14:textId="77777777" w:rsidR="00231301" w:rsidRPr="006D631C" w:rsidRDefault="002718E8" w:rsidP="00231301">
      <w:pPr>
        <w:ind w:firstLine="357"/>
        <w:rPr>
          <w:rFonts w:asciiTheme="majorBidi" w:hAnsiTheme="majorBidi" w:cstheme="majorBidi"/>
        </w:rPr>
      </w:pPr>
      <w:r w:rsidRPr="006D631C">
        <w:rPr>
          <w:rFonts w:asciiTheme="majorBidi" w:hAnsiTheme="majorBidi" w:cstheme="majorBidi"/>
        </w:rPr>
        <w:t xml:space="preserve">Using the obtained data for the principal scattering vector, </w:t>
      </w:r>
      <w:r w:rsidRPr="006D631C">
        <w:rPr>
          <w:rFonts w:asciiTheme="majorBidi" w:hAnsiTheme="majorBidi" w:cstheme="majorBidi"/>
          <w:i/>
        </w:rPr>
        <w:t>q</w:t>
      </w:r>
      <w:r w:rsidRPr="006D631C">
        <w:rPr>
          <w:rFonts w:asciiTheme="majorBidi" w:hAnsiTheme="majorBidi" w:cstheme="majorBidi"/>
        </w:rPr>
        <w:t xml:space="preserve">*, we can calculate the lattice parameter and </w:t>
      </w:r>
      <w:proofErr w:type="spellStart"/>
      <w:r w:rsidRPr="006D631C">
        <w:rPr>
          <w:rFonts w:asciiTheme="majorBidi" w:hAnsiTheme="majorBidi" w:cstheme="majorBidi"/>
        </w:rPr>
        <w:t>nanoconfinement</w:t>
      </w:r>
      <w:proofErr w:type="spellEnd"/>
      <w:r w:rsidRPr="006D631C">
        <w:rPr>
          <w:rFonts w:asciiTheme="majorBidi" w:hAnsiTheme="majorBidi" w:cstheme="majorBidi"/>
        </w:rPr>
        <w:t xml:space="preserve"> radius</w:t>
      </w:r>
      <w:r w:rsidR="00946BCF" w:rsidRPr="006D631C">
        <w:rPr>
          <w:rFonts w:asciiTheme="majorBidi" w:hAnsiTheme="majorBidi" w:cstheme="majorBidi"/>
        </w:rPr>
        <w:t xml:space="preserve"> (</w:t>
      </w:r>
      <w:proofErr w:type="spellStart"/>
      <w:r w:rsidR="00946BCF" w:rsidRPr="006D631C">
        <w:rPr>
          <w:rFonts w:asciiTheme="majorBidi" w:hAnsiTheme="majorBidi" w:cstheme="majorBidi"/>
          <w:i/>
          <w:iCs/>
        </w:rPr>
        <w:t>R</w:t>
      </w:r>
      <w:r w:rsidR="00946BCF" w:rsidRPr="006D631C">
        <w:rPr>
          <w:rFonts w:asciiTheme="majorBidi" w:hAnsiTheme="majorBidi" w:cstheme="majorBidi"/>
          <w:i/>
          <w:iCs/>
          <w:vertAlign w:val="subscript"/>
        </w:rPr>
        <w:t>h</w:t>
      </w:r>
      <w:proofErr w:type="gramStart"/>
      <w:r w:rsidR="00946BCF" w:rsidRPr="006D631C">
        <w:rPr>
          <w:rFonts w:asciiTheme="majorBidi" w:hAnsiTheme="majorBidi" w:cstheme="majorBidi"/>
          <w:i/>
          <w:iCs/>
          <w:vertAlign w:val="subscript"/>
        </w:rPr>
        <w:t>,max</w:t>
      </w:r>
      <w:proofErr w:type="spellEnd"/>
      <w:proofErr w:type="gramEnd"/>
      <w:r w:rsidR="00946BCF" w:rsidRPr="006D631C">
        <w:rPr>
          <w:rFonts w:asciiTheme="majorBidi" w:hAnsiTheme="majorBidi" w:cstheme="majorBidi"/>
        </w:rPr>
        <w:t xml:space="preserve"> and </w:t>
      </w:r>
      <w:r w:rsidR="00946BCF" w:rsidRPr="006D631C">
        <w:rPr>
          <w:rFonts w:asciiTheme="majorBidi" w:hAnsiTheme="majorBidi" w:cstheme="majorBidi"/>
          <w:i/>
          <w:iCs/>
        </w:rPr>
        <w:t>R</w:t>
      </w:r>
      <w:r w:rsidR="00247941" w:rsidRPr="006D631C">
        <w:rPr>
          <w:rFonts w:asciiTheme="majorBidi" w:hAnsiTheme="majorBidi" w:cstheme="majorBidi"/>
          <w:i/>
          <w:iCs/>
          <w:vertAlign w:val="subscript"/>
        </w:rPr>
        <w:t>1</w:t>
      </w:r>
      <w:r w:rsidR="00946BCF" w:rsidRPr="006D631C">
        <w:rPr>
          <w:rFonts w:asciiTheme="majorBidi" w:hAnsiTheme="majorBidi" w:cstheme="majorBidi"/>
          <w:i/>
          <w:iCs/>
          <w:vertAlign w:val="subscript"/>
        </w:rPr>
        <w:t>,max</w:t>
      </w:r>
      <w:r w:rsidR="00427B0E" w:rsidRPr="006D631C">
        <w:rPr>
          <w:rFonts w:asciiTheme="majorBidi" w:hAnsiTheme="majorBidi" w:cstheme="majorBidi"/>
        </w:rPr>
        <w:t xml:space="preserve"> for hexagonal and lamellar, respectively</w:t>
      </w:r>
      <w:r w:rsidR="00946BCF" w:rsidRPr="006D631C">
        <w:rPr>
          <w:rFonts w:asciiTheme="majorBidi" w:hAnsiTheme="majorBidi" w:cstheme="majorBidi"/>
        </w:rPr>
        <w:t>)</w:t>
      </w:r>
      <w:r w:rsidRPr="006D631C">
        <w:rPr>
          <w:rFonts w:asciiTheme="majorBidi" w:hAnsiTheme="majorBidi" w:cstheme="majorBidi"/>
        </w:rPr>
        <w:t xml:space="preserve"> </w:t>
      </w:r>
      <w:r w:rsidRPr="006D631C">
        <w:rPr>
          <w:rFonts w:asciiTheme="majorBidi" w:hAnsiTheme="majorBidi" w:cstheme="majorBidi"/>
        </w:rPr>
        <w:lastRenderedPageBreak/>
        <w:t>for both structures using the equations presented in section 1.2.1 and 1.2.2</w:t>
      </w:r>
      <w:r w:rsidR="00231301" w:rsidRPr="006D631C">
        <w:rPr>
          <w:rFonts w:asciiTheme="majorBidi" w:hAnsiTheme="majorBidi" w:cstheme="majorBidi"/>
        </w:rPr>
        <w:t xml:space="preserve"> and following equations:</w:t>
      </w:r>
    </w:p>
    <w:p w14:paraId="237B4014" w14:textId="61E0F828" w:rsidR="00466A95" w:rsidRPr="006D631C" w:rsidRDefault="005C5E04" w:rsidP="00466A95">
      <w:pPr>
        <w:pStyle w:val="Caption"/>
        <w:rPr>
          <w:rFonts w:asciiTheme="majorBidi" w:hAnsiTheme="majorBidi" w:cstheme="majorBidi"/>
          <w:szCs w:val="24"/>
        </w:rPr>
      </w:pPr>
      <w:r w:rsidRPr="006D631C">
        <w:rPr>
          <w:rFonts w:asciiTheme="majorBidi" w:hAnsiTheme="majorBidi" w:cstheme="majorBidi"/>
          <w:position w:val="-24"/>
          <w:szCs w:val="24"/>
        </w:rPr>
        <w:object w:dxaOrig="1300" w:dyaOrig="620" w14:anchorId="3447B54F">
          <v:shape id="_x0000_i1050" type="#_x0000_t75" style="width:63.6pt;height:31.2pt" o:ole="">
            <v:imagedata r:id="rId79" o:title=""/>
          </v:shape>
          <o:OLEObject Type="Embed" ProgID="Equation.DSMT4" ShapeID="_x0000_i1050" DrawAspect="Content" ObjectID="_1760013318" r:id="rId80"/>
        </w:object>
      </w:r>
      <w:r w:rsidR="00466A95" w:rsidRPr="006D631C">
        <w:rPr>
          <w:rFonts w:asciiTheme="majorBidi" w:hAnsiTheme="majorBidi" w:cstheme="majorBidi"/>
          <w:szCs w:val="24"/>
        </w:rPr>
        <w:t xml:space="preserve"> </w:t>
      </w:r>
      <w:r w:rsidR="00466A95" w:rsidRPr="006D631C">
        <w:rPr>
          <w:rFonts w:asciiTheme="majorBidi" w:hAnsiTheme="majorBidi" w:cstheme="majorBidi"/>
          <w:szCs w:val="24"/>
        </w:rPr>
        <w:tab/>
      </w:r>
      <w:r w:rsidR="00466A95" w:rsidRPr="006D631C">
        <w:rPr>
          <w:rFonts w:asciiTheme="majorBidi" w:hAnsiTheme="majorBidi" w:cstheme="majorBidi"/>
          <w:szCs w:val="24"/>
        </w:rPr>
        <w:tab/>
      </w:r>
      <w:r w:rsidR="00466A95" w:rsidRPr="006D631C">
        <w:rPr>
          <w:rFonts w:asciiTheme="majorBidi" w:hAnsiTheme="majorBidi" w:cstheme="majorBidi"/>
          <w:szCs w:val="24"/>
        </w:rPr>
        <w:tab/>
      </w:r>
      <w:r w:rsidR="00466A95" w:rsidRPr="006D631C">
        <w:rPr>
          <w:rFonts w:asciiTheme="majorBidi" w:hAnsiTheme="majorBidi" w:cstheme="majorBidi"/>
          <w:szCs w:val="24"/>
        </w:rPr>
        <w:tab/>
      </w:r>
      <w:r w:rsidR="00466A95" w:rsidRPr="006D631C">
        <w:rPr>
          <w:rFonts w:asciiTheme="majorBidi" w:hAnsiTheme="majorBidi" w:cstheme="majorBidi"/>
          <w:szCs w:val="24"/>
        </w:rPr>
        <w:tab/>
      </w:r>
      <w:r w:rsidR="00466A95" w:rsidRPr="006D631C">
        <w:rPr>
          <w:rFonts w:asciiTheme="majorBidi" w:hAnsiTheme="majorBidi" w:cstheme="majorBidi"/>
          <w:szCs w:val="24"/>
        </w:rPr>
        <w:tab/>
      </w:r>
      <w:r w:rsidR="00466A95" w:rsidRPr="006D631C">
        <w:rPr>
          <w:rFonts w:asciiTheme="majorBidi" w:hAnsiTheme="majorBidi" w:cstheme="majorBidi"/>
          <w:szCs w:val="24"/>
        </w:rPr>
        <w:tab/>
      </w:r>
      <w:r w:rsidR="00466A95" w:rsidRPr="006D631C">
        <w:rPr>
          <w:rFonts w:asciiTheme="majorBidi" w:hAnsiTheme="majorBidi" w:cstheme="majorBidi"/>
          <w:szCs w:val="24"/>
        </w:rPr>
        <w:tab/>
      </w:r>
      <w:r w:rsidR="00466A95" w:rsidRPr="006D631C">
        <w:rPr>
          <w:rFonts w:asciiTheme="majorBidi" w:hAnsiTheme="majorBidi" w:cstheme="majorBidi"/>
          <w:szCs w:val="24"/>
        </w:rPr>
        <w:tab/>
      </w:r>
      <w:r w:rsidR="00466A95" w:rsidRPr="006D631C">
        <w:rPr>
          <w:rFonts w:asciiTheme="majorBidi" w:hAnsiTheme="majorBidi" w:cstheme="majorBidi"/>
          <w:szCs w:val="24"/>
        </w:rPr>
        <w:tab/>
      </w:r>
      <w:r w:rsidR="00466A95" w:rsidRPr="006D631C">
        <w:rPr>
          <w:rFonts w:asciiTheme="majorBidi" w:hAnsiTheme="majorBidi" w:cstheme="majorBidi"/>
          <w:szCs w:val="24"/>
        </w:rPr>
        <w:tab/>
        <w:t>(</w:t>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STYLEREF 1 \s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cs/>
        </w:rPr>
        <w:t>‎</w:t>
      </w:r>
      <w:r w:rsidR="005014F7" w:rsidRPr="006D631C">
        <w:rPr>
          <w:rFonts w:asciiTheme="majorBidi" w:hAnsiTheme="majorBidi" w:cstheme="majorBidi"/>
          <w:szCs w:val="24"/>
        </w:rPr>
        <w:t>2</w:t>
      </w:r>
      <w:r w:rsidR="006A54D9" w:rsidRPr="006D631C">
        <w:rPr>
          <w:rFonts w:asciiTheme="majorBidi" w:hAnsiTheme="majorBidi" w:cstheme="majorBidi"/>
          <w:szCs w:val="24"/>
        </w:rPr>
        <w:fldChar w:fldCharType="end"/>
      </w:r>
      <w:r w:rsidR="006A54D9" w:rsidRPr="006D631C">
        <w:rPr>
          <w:rFonts w:asciiTheme="majorBidi" w:hAnsiTheme="majorBidi" w:cstheme="majorBidi"/>
          <w:szCs w:val="24"/>
        </w:rPr>
        <w:noBreakHyphen/>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SEQ Equation \* ARABIC \s 1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rPr>
        <w:t>3</w:t>
      </w:r>
      <w:r w:rsidR="006A54D9" w:rsidRPr="006D631C">
        <w:rPr>
          <w:rFonts w:asciiTheme="majorBidi" w:hAnsiTheme="majorBidi" w:cstheme="majorBidi"/>
          <w:szCs w:val="24"/>
        </w:rPr>
        <w:fldChar w:fldCharType="end"/>
      </w:r>
      <w:r w:rsidR="00466A95" w:rsidRPr="006D631C">
        <w:rPr>
          <w:rFonts w:asciiTheme="majorBidi" w:hAnsiTheme="majorBidi" w:cstheme="majorBidi"/>
          <w:szCs w:val="24"/>
        </w:rPr>
        <w:t xml:space="preserve">) </w:t>
      </w:r>
    </w:p>
    <w:p w14:paraId="4A55F284" w14:textId="5B7902BE" w:rsidR="00466A95" w:rsidRPr="006D631C" w:rsidRDefault="00466A95" w:rsidP="00533F03">
      <w:pPr>
        <w:pStyle w:val="Caption"/>
        <w:rPr>
          <w:rFonts w:asciiTheme="majorBidi" w:hAnsiTheme="majorBidi" w:cstheme="majorBidi"/>
          <w:szCs w:val="24"/>
        </w:rPr>
      </w:pPr>
      <w:r w:rsidRPr="006D631C">
        <w:rPr>
          <w:rFonts w:asciiTheme="majorBidi" w:hAnsiTheme="majorBidi" w:cstheme="majorBidi"/>
          <w:position w:val="-34"/>
          <w:szCs w:val="24"/>
        </w:rPr>
        <w:object w:dxaOrig="3519" w:dyaOrig="920" w14:anchorId="3E036660">
          <v:shape id="_x0000_i1051" type="#_x0000_t75" style="width:177pt;height:47.4pt" o:ole="">
            <v:imagedata r:id="rId81" o:title=""/>
          </v:shape>
          <o:OLEObject Type="Embed" ProgID="Equation.DSMT4" ShapeID="_x0000_i1051" DrawAspect="Content" ObjectID="_1760013319" r:id="rId82"/>
        </w:object>
      </w:r>
      <w:r w:rsidRPr="006D631C">
        <w:rPr>
          <w:rFonts w:asciiTheme="majorBidi" w:hAnsiTheme="majorBidi" w:cstheme="majorBidi"/>
          <w:szCs w:val="24"/>
        </w:rPr>
        <w:t xml:space="preserve"> </w:t>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t>(</w:t>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STYLEREF 1 \s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cs/>
        </w:rPr>
        <w:t>‎</w:t>
      </w:r>
      <w:r w:rsidR="005014F7" w:rsidRPr="006D631C">
        <w:rPr>
          <w:rFonts w:asciiTheme="majorBidi" w:hAnsiTheme="majorBidi" w:cstheme="majorBidi"/>
          <w:szCs w:val="24"/>
        </w:rPr>
        <w:t>2</w:t>
      </w:r>
      <w:r w:rsidR="006A54D9" w:rsidRPr="006D631C">
        <w:rPr>
          <w:rFonts w:asciiTheme="majorBidi" w:hAnsiTheme="majorBidi" w:cstheme="majorBidi"/>
          <w:szCs w:val="24"/>
        </w:rPr>
        <w:fldChar w:fldCharType="end"/>
      </w:r>
      <w:r w:rsidR="006A54D9" w:rsidRPr="006D631C">
        <w:rPr>
          <w:rFonts w:asciiTheme="majorBidi" w:hAnsiTheme="majorBidi" w:cstheme="majorBidi"/>
          <w:szCs w:val="24"/>
        </w:rPr>
        <w:noBreakHyphen/>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SEQ Equation \* ARABIC \s 1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rPr>
        <w:t>4</w:t>
      </w:r>
      <w:r w:rsidR="006A54D9" w:rsidRPr="006D631C">
        <w:rPr>
          <w:rFonts w:asciiTheme="majorBidi" w:hAnsiTheme="majorBidi" w:cstheme="majorBidi"/>
          <w:szCs w:val="24"/>
        </w:rPr>
        <w:fldChar w:fldCharType="end"/>
      </w:r>
      <w:r w:rsidRPr="006D631C">
        <w:rPr>
          <w:rFonts w:asciiTheme="majorBidi" w:hAnsiTheme="majorBidi" w:cstheme="majorBidi"/>
          <w:szCs w:val="24"/>
        </w:rPr>
        <w:t xml:space="preserve">) </w:t>
      </w:r>
    </w:p>
    <w:p w14:paraId="281DCD60" w14:textId="3FFFF431" w:rsidR="002718E8" w:rsidRPr="006D631C" w:rsidRDefault="002718E8" w:rsidP="00231301">
      <w:pPr>
        <w:rPr>
          <w:rFonts w:asciiTheme="majorBidi" w:hAnsiTheme="majorBidi" w:cstheme="majorBidi"/>
        </w:rPr>
      </w:pPr>
      <w:r w:rsidRPr="006D631C">
        <w:rPr>
          <w:rFonts w:asciiTheme="majorBidi" w:hAnsiTheme="majorBidi" w:cstheme="majorBidi"/>
        </w:rPr>
        <w:t xml:space="preserve"> </w:t>
      </w:r>
      <w:proofErr w:type="gramStart"/>
      <w:r w:rsidR="005C5E04" w:rsidRPr="006D631C">
        <w:rPr>
          <w:rFonts w:asciiTheme="majorBidi" w:hAnsiTheme="majorBidi" w:cstheme="majorBidi"/>
        </w:rPr>
        <w:t>where</w:t>
      </w:r>
      <w:proofErr w:type="gramEnd"/>
      <w:r w:rsidR="005C5E04" w:rsidRPr="006D631C">
        <w:rPr>
          <w:rFonts w:asciiTheme="majorBidi" w:hAnsiTheme="majorBidi" w:cstheme="majorBidi"/>
        </w:rPr>
        <w:t xml:space="preserve"> </w:t>
      </w:r>
      <w:proofErr w:type="spellStart"/>
      <w:r w:rsidR="005C5E04" w:rsidRPr="006D631C">
        <w:rPr>
          <w:rFonts w:asciiTheme="majorBidi" w:hAnsiTheme="majorBidi" w:cstheme="majorBidi"/>
          <w:i/>
          <w:iCs/>
        </w:rPr>
        <w:t>ϕ</w:t>
      </w:r>
      <w:r w:rsidR="005C5E04" w:rsidRPr="006D631C">
        <w:rPr>
          <w:rFonts w:asciiTheme="majorBidi" w:hAnsiTheme="majorBidi" w:cstheme="majorBidi"/>
          <w:i/>
          <w:iCs/>
          <w:vertAlign w:val="subscript"/>
        </w:rPr>
        <w:t>Oil</w:t>
      </w:r>
      <w:proofErr w:type="spellEnd"/>
      <w:r w:rsidR="005C5E04" w:rsidRPr="006D631C">
        <w:rPr>
          <w:rFonts w:asciiTheme="majorBidi" w:hAnsiTheme="majorBidi" w:cstheme="majorBidi"/>
        </w:rPr>
        <w:t>,</w:t>
      </w:r>
      <w:r w:rsidR="005C5E04" w:rsidRPr="006D631C">
        <w:rPr>
          <w:rFonts w:asciiTheme="majorBidi" w:hAnsiTheme="majorBidi" w:cstheme="majorBidi"/>
          <w:i/>
          <w:iCs/>
        </w:rPr>
        <w:t xml:space="preserve"> </w:t>
      </w:r>
      <w:proofErr w:type="spellStart"/>
      <w:r w:rsidR="005C5E04" w:rsidRPr="006D631C">
        <w:rPr>
          <w:rFonts w:asciiTheme="majorBidi" w:hAnsiTheme="majorBidi" w:cstheme="majorBidi"/>
          <w:i/>
          <w:iCs/>
        </w:rPr>
        <w:t>ϕ</w:t>
      </w:r>
      <w:r w:rsidR="005C5E04" w:rsidRPr="006D631C">
        <w:rPr>
          <w:rFonts w:asciiTheme="majorBidi" w:hAnsiTheme="majorBidi" w:cstheme="majorBidi"/>
          <w:i/>
          <w:iCs/>
          <w:vertAlign w:val="subscript"/>
        </w:rPr>
        <w:t>Pluronic</w:t>
      </w:r>
      <w:proofErr w:type="spellEnd"/>
      <w:r w:rsidR="005C5E04" w:rsidRPr="006D631C">
        <w:rPr>
          <w:rFonts w:asciiTheme="majorBidi" w:hAnsiTheme="majorBidi" w:cstheme="majorBidi"/>
        </w:rPr>
        <w:t>,</w:t>
      </w:r>
      <w:r w:rsidR="005C5E04" w:rsidRPr="006D631C">
        <w:rPr>
          <w:rFonts w:asciiTheme="majorBidi" w:hAnsiTheme="majorBidi" w:cstheme="majorBidi"/>
          <w:i/>
          <w:iCs/>
        </w:rPr>
        <w:t xml:space="preserve"> </w:t>
      </w:r>
      <w:proofErr w:type="spellStart"/>
      <w:r w:rsidR="005C5E04" w:rsidRPr="006D631C">
        <w:rPr>
          <w:rFonts w:asciiTheme="majorBidi" w:hAnsiTheme="majorBidi" w:cstheme="majorBidi"/>
          <w:i/>
          <w:iCs/>
        </w:rPr>
        <w:t>ϕ</w:t>
      </w:r>
      <w:r w:rsidR="005C5E04" w:rsidRPr="006D631C">
        <w:rPr>
          <w:rFonts w:asciiTheme="majorBidi" w:hAnsiTheme="majorBidi" w:cstheme="majorBidi"/>
          <w:i/>
          <w:iCs/>
          <w:vertAlign w:val="subscript"/>
        </w:rPr>
        <w:t>Water</w:t>
      </w:r>
      <w:proofErr w:type="spellEnd"/>
      <w:r w:rsidR="005C5E04" w:rsidRPr="006D631C">
        <w:rPr>
          <w:rFonts w:asciiTheme="majorBidi" w:hAnsiTheme="majorBidi" w:cstheme="majorBidi"/>
        </w:rPr>
        <w:t xml:space="preserve"> are volume fraction of oil, Pluronic, and water, respectively.</w:t>
      </w:r>
    </w:p>
    <w:p w14:paraId="61DEC939" w14:textId="665B6FD1" w:rsidR="005F23CB" w:rsidRPr="006D631C" w:rsidRDefault="00BF560F" w:rsidP="00861405">
      <w:pPr>
        <w:pStyle w:val="TOC1"/>
        <w:rPr>
          <w:noProof w:val="0"/>
        </w:rPr>
      </w:pPr>
      <w:r w:rsidRPr="006D631C">
        <w:drawing>
          <wp:inline distT="0" distB="0" distL="0" distR="0" wp14:anchorId="5CDD96BE" wp14:editId="0AD87193">
            <wp:extent cx="3600000" cy="3590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2.ti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0" cy="3590000"/>
                    </a:xfrm>
                    <a:prstGeom prst="rect">
                      <a:avLst/>
                    </a:prstGeom>
                  </pic:spPr>
                </pic:pic>
              </a:graphicData>
            </a:graphic>
          </wp:inline>
        </w:drawing>
      </w:r>
    </w:p>
    <w:p w14:paraId="4A35C638" w14:textId="284D59DD" w:rsidR="00BF560F" w:rsidRPr="006D631C" w:rsidRDefault="00BF560F" w:rsidP="000D690F">
      <w:pPr>
        <w:pStyle w:val="Caption"/>
        <w:jc w:val="center"/>
        <w:rPr>
          <w:rFonts w:cs="Times New Roman"/>
          <w:sz w:val="22"/>
          <w:szCs w:val="22"/>
        </w:rPr>
      </w:pPr>
      <w:bookmarkStart w:id="109" w:name="_Toc148175927"/>
      <w:r w:rsidRPr="006D631C">
        <w:rPr>
          <w:rFonts w:cs="Times New Roman"/>
          <w:sz w:val="22"/>
          <w:szCs w:val="22"/>
        </w:rPr>
        <w:t xml:space="preserve">Figure </w:t>
      </w:r>
      <w:r w:rsidR="00B55F32" w:rsidRPr="006D631C">
        <w:rPr>
          <w:rFonts w:cs="Times New Roman"/>
          <w:sz w:val="22"/>
          <w:szCs w:val="22"/>
        </w:rPr>
        <w:fldChar w:fldCharType="begin"/>
      </w:r>
      <w:r w:rsidR="00B55F32" w:rsidRPr="006D631C">
        <w:rPr>
          <w:rFonts w:cs="Times New Roman"/>
          <w:sz w:val="22"/>
          <w:szCs w:val="22"/>
        </w:rPr>
        <w:instrText xml:space="preserve"> STYLEREF 1 \s </w:instrText>
      </w:r>
      <w:r w:rsidR="00B55F32" w:rsidRPr="006D631C">
        <w:rPr>
          <w:rFonts w:cs="Times New Roman"/>
          <w:sz w:val="22"/>
          <w:szCs w:val="22"/>
        </w:rPr>
        <w:fldChar w:fldCharType="separate"/>
      </w:r>
      <w:r w:rsidR="00B55F32" w:rsidRPr="006D631C">
        <w:rPr>
          <w:rFonts w:cs="Times New Roman"/>
          <w:sz w:val="22"/>
          <w:szCs w:val="22"/>
          <w:cs/>
        </w:rPr>
        <w:t>‎</w:t>
      </w:r>
      <w:r w:rsidR="00B55F32" w:rsidRPr="006D631C">
        <w:rPr>
          <w:rFonts w:cs="Times New Roman"/>
          <w:sz w:val="22"/>
          <w:szCs w:val="22"/>
        </w:rPr>
        <w:t>2</w:t>
      </w:r>
      <w:r w:rsidR="00B55F32" w:rsidRPr="006D631C">
        <w:rPr>
          <w:rFonts w:cs="Times New Roman"/>
          <w:sz w:val="22"/>
          <w:szCs w:val="22"/>
        </w:rPr>
        <w:fldChar w:fldCharType="end"/>
      </w:r>
      <w:r w:rsidR="00B55F32" w:rsidRPr="006D631C">
        <w:rPr>
          <w:rFonts w:cs="Times New Roman"/>
          <w:sz w:val="22"/>
          <w:szCs w:val="22"/>
        </w:rPr>
        <w:noBreakHyphen/>
      </w:r>
      <w:r w:rsidR="00B55F32" w:rsidRPr="006D631C">
        <w:rPr>
          <w:rFonts w:cs="Times New Roman"/>
          <w:sz w:val="22"/>
          <w:szCs w:val="22"/>
        </w:rPr>
        <w:fldChar w:fldCharType="begin"/>
      </w:r>
      <w:r w:rsidR="00B55F32" w:rsidRPr="006D631C">
        <w:rPr>
          <w:rFonts w:cs="Times New Roman"/>
          <w:sz w:val="22"/>
          <w:szCs w:val="22"/>
        </w:rPr>
        <w:instrText xml:space="preserve"> SEQ Figure \* ARABIC \s 1 </w:instrText>
      </w:r>
      <w:r w:rsidR="00B55F32" w:rsidRPr="006D631C">
        <w:rPr>
          <w:rFonts w:cs="Times New Roman"/>
          <w:sz w:val="22"/>
          <w:szCs w:val="22"/>
        </w:rPr>
        <w:fldChar w:fldCharType="separate"/>
      </w:r>
      <w:r w:rsidR="00B55F32" w:rsidRPr="006D631C">
        <w:rPr>
          <w:rFonts w:cs="Times New Roman"/>
          <w:sz w:val="22"/>
          <w:szCs w:val="22"/>
        </w:rPr>
        <w:t>2</w:t>
      </w:r>
      <w:r w:rsidR="00B55F32" w:rsidRPr="006D631C">
        <w:rPr>
          <w:rFonts w:cs="Times New Roman"/>
          <w:sz w:val="22"/>
          <w:szCs w:val="22"/>
        </w:rPr>
        <w:fldChar w:fldCharType="end"/>
      </w:r>
      <w:r w:rsidRPr="006D631C">
        <w:rPr>
          <w:rFonts w:cs="Times New Roman"/>
          <w:sz w:val="22"/>
          <w:szCs w:val="22"/>
        </w:rPr>
        <w:t>. CPLM images of LLCs with lamellar and hexagonal structures before and after thermal polymerization by IFW and IFO systems. Scale bar: 50μm.</w:t>
      </w:r>
      <w:bookmarkEnd w:id="109"/>
    </w:p>
    <w:p w14:paraId="6C92E52C" w14:textId="118D10B6" w:rsidR="005F23CB" w:rsidRPr="006D631C" w:rsidRDefault="000F1441" w:rsidP="00582016">
      <w:pPr>
        <w:jc w:val="center"/>
      </w:pPr>
      <w:r w:rsidRPr="006D631C">
        <w:rPr>
          <w:noProof/>
        </w:rPr>
        <w:lastRenderedPageBreak/>
        <w:drawing>
          <wp:inline distT="0" distB="0" distL="0" distR="0" wp14:anchorId="4B678749" wp14:editId="30588B3F">
            <wp:extent cx="3079372" cy="297688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4099"/>
                    <a:stretch/>
                  </pic:blipFill>
                  <pic:spPr bwMode="auto">
                    <a:xfrm>
                      <a:off x="0" y="0"/>
                      <a:ext cx="3079574" cy="2977075"/>
                    </a:xfrm>
                    <a:prstGeom prst="rect">
                      <a:avLst/>
                    </a:prstGeom>
                    <a:noFill/>
                    <a:ln>
                      <a:noFill/>
                    </a:ln>
                    <a:extLst>
                      <a:ext uri="{53640926-AAD7-44D8-BBD7-CCE9431645EC}">
                        <a14:shadowObscured xmlns:a14="http://schemas.microsoft.com/office/drawing/2010/main"/>
                      </a:ext>
                    </a:extLst>
                  </pic:spPr>
                </pic:pic>
              </a:graphicData>
            </a:graphic>
          </wp:inline>
        </w:drawing>
      </w:r>
    </w:p>
    <w:p w14:paraId="4C623CCF" w14:textId="62AFEE97" w:rsidR="00582016" w:rsidRPr="006D631C" w:rsidRDefault="00582016" w:rsidP="00582016">
      <w:pPr>
        <w:pStyle w:val="Caption"/>
        <w:jc w:val="center"/>
        <w:rPr>
          <w:rFonts w:cs="Times New Roman"/>
          <w:sz w:val="22"/>
          <w:szCs w:val="22"/>
        </w:rPr>
      </w:pPr>
      <w:bookmarkStart w:id="110" w:name="_Toc148175928"/>
      <w:r w:rsidRPr="006D631C">
        <w:rPr>
          <w:rFonts w:cs="Times New Roman"/>
          <w:sz w:val="22"/>
          <w:szCs w:val="22"/>
        </w:rPr>
        <w:t xml:space="preserve">Figure </w:t>
      </w:r>
      <w:r w:rsidR="00B55F32" w:rsidRPr="006D631C">
        <w:rPr>
          <w:rFonts w:cs="Times New Roman"/>
          <w:sz w:val="22"/>
          <w:szCs w:val="22"/>
        </w:rPr>
        <w:fldChar w:fldCharType="begin"/>
      </w:r>
      <w:r w:rsidR="00B55F32" w:rsidRPr="006D631C">
        <w:rPr>
          <w:rFonts w:cs="Times New Roman"/>
          <w:sz w:val="22"/>
          <w:szCs w:val="22"/>
        </w:rPr>
        <w:instrText xml:space="preserve"> STYLEREF 1 \s </w:instrText>
      </w:r>
      <w:r w:rsidR="00B55F32" w:rsidRPr="006D631C">
        <w:rPr>
          <w:rFonts w:cs="Times New Roman"/>
          <w:sz w:val="22"/>
          <w:szCs w:val="22"/>
        </w:rPr>
        <w:fldChar w:fldCharType="separate"/>
      </w:r>
      <w:r w:rsidR="00B55F32" w:rsidRPr="006D631C">
        <w:rPr>
          <w:rFonts w:cs="Times New Roman"/>
          <w:sz w:val="22"/>
          <w:szCs w:val="22"/>
          <w:cs/>
        </w:rPr>
        <w:t>‎</w:t>
      </w:r>
      <w:r w:rsidR="00B55F32" w:rsidRPr="006D631C">
        <w:rPr>
          <w:rFonts w:cs="Times New Roman"/>
          <w:sz w:val="22"/>
          <w:szCs w:val="22"/>
        </w:rPr>
        <w:t>2</w:t>
      </w:r>
      <w:r w:rsidR="00B55F32" w:rsidRPr="006D631C">
        <w:rPr>
          <w:rFonts w:cs="Times New Roman"/>
          <w:sz w:val="22"/>
          <w:szCs w:val="22"/>
        </w:rPr>
        <w:fldChar w:fldCharType="end"/>
      </w:r>
      <w:r w:rsidR="00B55F32" w:rsidRPr="006D631C">
        <w:rPr>
          <w:rFonts w:cs="Times New Roman"/>
          <w:sz w:val="22"/>
          <w:szCs w:val="22"/>
        </w:rPr>
        <w:noBreakHyphen/>
      </w:r>
      <w:r w:rsidR="00B55F32" w:rsidRPr="006D631C">
        <w:rPr>
          <w:rFonts w:cs="Times New Roman"/>
          <w:sz w:val="22"/>
          <w:szCs w:val="22"/>
        </w:rPr>
        <w:fldChar w:fldCharType="begin"/>
      </w:r>
      <w:r w:rsidR="00B55F32" w:rsidRPr="006D631C">
        <w:rPr>
          <w:rFonts w:cs="Times New Roman"/>
          <w:sz w:val="22"/>
          <w:szCs w:val="22"/>
        </w:rPr>
        <w:instrText xml:space="preserve"> SEQ Figure \* ARABIC \s 1 </w:instrText>
      </w:r>
      <w:r w:rsidR="00B55F32" w:rsidRPr="006D631C">
        <w:rPr>
          <w:rFonts w:cs="Times New Roman"/>
          <w:sz w:val="22"/>
          <w:szCs w:val="22"/>
        </w:rPr>
        <w:fldChar w:fldCharType="separate"/>
      </w:r>
      <w:r w:rsidR="00B55F32" w:rsidRPr="006D631C">
        <w:rPr>
          <w:rFonts w:cs="Times New Roman"/>
          <w:sz w:val="22"/>
          <w:szCs w:val="22"/>
        </w:rPr>
        <w:t>3</w:t>
      </w:r>
      <w:r w:rsidR="00B55F32" w:rsidRPr="006D631C">
        <w:rPr>
          <w:rFonts w:cs="Times New Roman"/>
          <w:sz w:val="22"/>
          <w:szCs w:val="22"/>
        </w:rPr>
        <w:fldChar w:fldCharType="end"/>
      </w:r>
      <w:r w:rsidRPr="006D631C">
        <w:rPr>
          <w:rFonts w:cs="Times New Roman"/>
          <w:sz w:val="22"/>
          <w:szCs w:val="22"/>
        </w:rPr>
        <w:t>. 1D SAXS data for (a) lamellar and (b) hexagonal phases before and after polymerization with different initiators. The plots are vertically shifted for clarity.</w:t>
      </w:r>
      <w:bookmarkEnd w:id="110"/>
    </w:p>
    <w:p w14:paraId="6221B86E" w14:textId="7343815A" w:rsidR="005F23CB" w:rsidRPr="006D631C" w:rsidRDefault="00027AB3" w:rsidP="0072669A">
      <w:pPr>
        <w:ind w:firstLine="357"/>
      </w:pPr>
      <w:r w:rsidRPr="006D631C">
        <w:rPr>
          <w:rFonts w:asciiTheme="majorBidi" w:hAnsiTheme="majorBidi" w:cstheme="majorBidi"/>
        </w:rPr>
        <w:t>It should be mentioned that in these calculations, the volume fraction of apolar domain</w:t>
      </w:r>
      <w:r w:rsidR="007606CE" w:rsidRPr="006D631C">
        <w:rPr>
          <w:rFonts w:asciiTheme="majorBidi" w:hAnsiTheme="majorBidi" w:cstheme="majorBidi"/>
        </w:rPr>
        <w:t xml:space="preserve"> </w:t>
      </w:r>
      <w:r w:rsidRPr="006D631C">
        <w:rPr>
          <w:rFonts w:asciiTheme="majorBidi" w:hAnsiTheme="majorBidi" w:cstheme="majorBidi"/>
        </w:rPr>
        <w:t xml:space="preserve">was defined as the volume fraction of the </w:t>
      </w:r>
      <w:r w:rsidR="006218E4" w:rsidRPr="006D631C">
        <w:rPr>
          <w:rFonts w:asciiTheme="majorBidi" w:hAnsiTheme="majorBidi" w:cstheme="majorBidi"/>
        </w:rPr>
        <w:t>oil</w:t>
      </w:r>
      <w:r w:rsidRPr="006D631C">
        <w:rPr>
          <w:rFonts w:asciiTheme="majorBidi" w:hAnsiTheme="majorBidi" w:cstheme="majorBidi"/>
        </w:rPr>
        <w:t xml:space="preserve"> phase and PPO block. Additionally, the volume fraction of PEO chains and water was considered as the volume fraction of polar domain.</w:t>
      </w:r>
      <w:r w:rsidR="00CE31D8" w:rsidRPr="006D631C">
        <w:rPr>
          <w:rFonts w:asciiTheme="majorBidi" w:hAnsiTheme="majorBidi" w:cstheme="majorBidi"/>
        </w:rPr>
        <w:t xml:space="preserve"> To calculate the mentioned volume fractions, we followed the assumptions and procedures proposed earlier.</w:t>
      </w:r>
      <w:r w:rsidR="00CE31D8" w:rsidRPr="006D631C">
        <w:rPr>
          <w:rFonts w:asciiTheme="majorBidi" w:hAnsiTheme="majorBidi" w:cstheme="majorBidi"/>
        </w:rPr>
        <w:fldChar w:fldCharType="begin" w:fldLock="1"/>
      </w:r>
      <w:r w:rsidR="00BC7388"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00CE31D8" w:rsidRPr="006D631C">
        <w:rPr>
          <w:rFonts w:asciiTheme="majorBidi" w:hAnsiTheme="majorBidi" w:cstheme="majorBidi"/>
        </w:rPr>
        <w:fldChar w:fldCharType="separate"/>
      </w:r>
      <w:r w:rsidR="005B615C" w:rsidRPr="006D631C">
        <w:rPr>
          <w:rFonts w:asciiTheme="majorBidi" w:hAnsiTheme="majorBidi" w:cstheme="majorBidi"/>
          <w:noProof/>
          <w:vertAlign w:val="superscript"/>
        </w:rPr>
        <w:t>32</w:t>
      </w:r>
      <w:r w:rsidR="00CE31D8" w:rsidRPr="006D631C">
        <w:rPr>
          <w:rFonts w:asciiTheme="majorBidi" w:hAnsiTheme="majorBidi" w:cstheme="majorBidi"/>
        </w:rPr>
        <w:fldChar w:fldCharType="end"/>
      </w:r>
      <w:r w:rsidR="00CE31D8" w:rsidRPr="006D631C">
        <w:rPr>
          <w:rFonts w:asciiTheme="majorBidi" w:hAnsiTheme="majorBidi" w:cstheme="majorBidi"/>
        </w:rPr>
        <w:t xml:space="preserve"> Briefly, by considering the complete segregation of the water, PEO, PPO, and monomer phases and thus using their bulk density, the volume fractions are calculated. The radius of gyration (</w:t>
      </w:r>
      <w:proofErr w:type="spellStart"/>
      <w:r w:rsidR="00CE31D8" w:rsidRPr="006D631C">
        <w:rPr>
          <w:rFonts w:asciiTheme="majorBidi" w:hAnsiTheme="majorBidi" w:cstheme="majorBidi"/>
          <w:i/>
          <w:iCs/>
        </w:rPr>
        <w:t>R</w:t>
      </w:r>
      <w:r w:rsidR="00CE31D8" w:rsidRPr="006D631C">
        <w:rPr>
          <w:rFonts w:asciiTheme="majorBidi" w:hAnsiTheme="majorBidi" w:cstheme="majorBidi"/>
          <w:i/>
          <w:iCs/>
          <w:vertAlign w:val="subscript"/>
        </w:rPr>
        <w:t>g</w:t>
      </w:r>
      <w:proofErr w:type="spellEnd"/>
      <w:r w:rsidR="00CE31D8" w:rsidRPr="006D631C">
        <w:rPr>
          <w:rFonts w:asciiTheme="majorBidi" w:hAnsiTheme="majorBidi" w:cstheme="majorBidi"/>
        </w:rPr>
        <w:t>) for Pluronic P85 (PEO</w:t>
      </w:r>
      <w:r w:rsidR="00CE31D8" w:rsidRPr="006D631C">
        <w:rPr>
          <w:rFonts w:asciiTheme="majorBidi" w:hAnsiTheme="majorBidi" w:cstheme="majorBidi"/>
          <w:vertAlign w:val="subscript"/>
        </w:rPr>
        <w:t>25</w:t>
      </w:r>
      <w:r w:rsidR="00CE31D8" w:rsidRPr="006D631C">
        <w:rPr>
          <w:rFonts w:asciiTheme="majorBidi" w:hAnsiTheme="majorBidi" w:cstheme="majorBidi"/>
        </w:rPr>
        <w:t>-PPO</w:t>
      </w:r>
      <w:r w:rsidR="00CE31D8" w:rsidRPr="006D631C">
        <w:rPr>
          <w:rFonts w:asciiTheme="majorBidi" w:hAnsiTheme="majorBidi" w:cstheme="majorBidi"/>
          <w:vertAlign w:val="subscript"/>
        </w:rPr>
        <w:t>40</w:t>
      </w:r>
      <w:r w:rsidR="00CE31D8" w:rsidRPr="006D631C">
        <w:rPr>
          <w:rFonts w:asciiTheme="majorBidi" w:hAnsiTheme="majorBidi" w:cstheme="majorBidi"/>
        </w:rPr>
        <w:t>-PEO</w:t>
      </w:r>
      <w:r w:rsidR="00CE31D8" w:rsidRPr="006D631C">
        <w:rPr>
          <w:rFonts w:asciiTheme="majorBidi" w:hAnsiTheme="majorBidi" w:cstheme="majorBidi"/>
          <w:vertAlign w:val="subscript"/>
        </w:rPr>
        <w:t>25</w:t>
      </w:r>
      <w:r w:rsidR="00CE31D8" w:rsidRPr="006D631C">
        <w:rPr>
          <w:rFonts w:asciiTheme="majorBidi" w:hAnsiTheme="majorBidi" w:cstheme="majorBidi"/>
        </w:rPr>
        <w:t>) is 1.7 nm.</w:t>
      </w:r>
      <w:r w:rsidR="00CE31D8"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{"citationItems":[{"id":"ITEM-1","itemData":{"DOI":"10.1021/ma00109a016","ISSN":"15205835","abstract":"Triblock copolymers of poly(ethylene oxide) (PEO) and poly(propylene oxide) (PPO) form lamellar mesophases at low temperatures. The order-to-disorder transition is closely related to the melting transition of the PEO subunit. When water is incorporated into the copolymer melt, a single phase is formed at high temperatures, which is possibly a lamellar mesophase, formed as a consequence of the hydrophobic PPO blocks. At low temperatures two phases are present, one of which is similar to the high temperature phase while the other is similar to the lamellar melt, but swollen up to 10%. © 1995, American Chemical Society. All rights reserved.","author":[{"dropping-particle":"","family":"Mortensen","given":"Kell","non-dropping-particle":"","parse-names":false,"suffix":""},{"dropping-particle":"","family":"Brown","given":"Wyn","non-dropping-particle":"","parse-names":false,"suffix":""},{"dropping-particle":"","family":"Jørgensen","given":"Erling","non-dropping-particle":"","parse-names":false,"suffix":""}],"container-title":"Macromolecules","id":"ITEM-1","issue":"5","issued":{"date-parts":[["1995","9"]]},"page":"1458-1463","title":"Lamellar Mesophase of Polyethylene oxide)-Poly(propylene oxide)-Poly(ethylene oxide) Melts and Water-Swollen Mixtures","type":"article-journal","volume":"28"},"uris":["http://www.mendeley.com/documents/?uuid=cc828825-7231-4172-b939-4dc5813a9012"]}],"mendeley":{"formattedCitation":"&lt;sup&gt;218&lt;/sup&gt;","plainTextFormattedCitation":"218","previouslyFormattedCitation":"&lt;sup&gt;218&lt;/sup&gt;"},"properties":{"noteIndex":0},"schema":"https://github.com/citation-style-language/schema/raw/master/csl-citation.json"}</w:instrText>
      </w:r>
      <w:r w:rsidR="00CE31D8"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218</w:t>
      </w:r>
      <w:r w:rsidR="00CE31D8" w:rsidRPr="006D631C">
        <w:rPr>
          <w:rFonts w:asciiTheme="majorBidi" w:hAnsiTheme="majorBidi" w:cstheme="majorBidi"/>
        </w:rPr>
        <w:fldChar w:fldCharType="end"/>
      </w:r>
      <w:r w:rsidR="00CE31D8" w:rsidRPr="006D631C">
        <w:rPr>
          <w:rFonts w:asciiTheme="majorBidi" w:hAnsiTheme="majorBidi" w:cstheme="majorBidi"/>
        </w:rPr>
        <w:t xml:space="preserve"> Pluronic P85 has a higher polymerization degree than Pluronic L64, thus, the latter has even smaller </w:t>
      </w:r>
      <w:proofErr w:type="spellStart"/>
      <w:r w:rsidR="00CE31D8" w:rsidRPr="006D631C">
        <w:rPr>
          <w:rFonts w:asciiTheme="majorBidi" w:hAnsiTheme="majorBidi" w:cstheme="majorBidi"/>
          <w:i/>
          <w:iCs/>
        </w:rPr>
        <w:t>R</w:t>
      </w:r>
      <w:r w:rsidR="00CE31D8" w:rsidRPr="006D631C">
        <w:rPr>
          <w:rFonts w:asciiTheme="majorBidi" w:hAnsiTheme="majorBidi" w:cstheme="majorBidi"/>
          <w:i/>
          <w:iCs/>
          <w:vertAlign w:val="subscript"/>
        </w:rPr>
        <w:t>g</w:t>
      </w:r>
      <w:proofErr w:type="spellEnd"/>
      <w:r w:rsidR="00CE31D8" w:rsidRPr="006D631C">
        <w:rPr>
          <w:rFonts w:asciiTheme="majorBidi" w:hAnsiTheme="majorBidi" w:cstheme="majorBidi"/>
        </w:rPr>
        <w:t xml:space="preserve">. Therefore, as discussed by </w:t>
      </w:r>
      <w:proofErr w:type="spellStart"/>
      <w:r w:rsidR="00CE31D8" w:rsidRPr="006D631C">
        <w:rPr>
          <w:rFonts w:asciiTheme="majorBidi" w:hAnsiTheme="majorBidi" w:cstheme="majorBidi"/>
        </w:rPr>
        <w:t>Qavi</w:t>
      </w:r>
      <w:proofErr w:type="spellEnd"/>
      <w:r w:rsidR="00CE31D8" w:rsidRPr="006D631C">
        <w:rPr>
          <w:rFonts w:asciiTheme="majorBidi" w:hAnsiTheme="majorBidi" w:cstheme="majorBidi"/>
        </w:rPr>
        <w:t xml:space="preserve"> </w:t>
      </w:r>
      <w:r w:rsidR="00CE31D8" w:rsidRPr="006D631C">
        <w:rPr>
          <w:rFonts w:asciiTheme="majorBidi" w:hAnsiTheme="majorBidi" w:cstheme="majorBidi"/>
          <w:i/>
          <w:iCs/>
        </w:rPr>
        <w:t>et al.</w:t>
      </w:r>
      <w:r w:rsidR="00CE31D8" w:rsidRPr="006D631C">
        <w:rPr>
          <w:rFonts w:asciiTheme="majorBidi" w:hAnsiTheme="majorBidi" w:cstheme="majorBidi"/>
        </w:rPr>
        <w:t>,</w:t>
      </w:r>
      <w:r w:rsidR="00CE31D8" w:rsidRPr="006D631C">
        <w:rPr>
          <w:rFonts w:asciiTheme="majorBidi" w:hAnsiTheme="majorBidi" w:cstheme="majorBidi"/>
        </w:rPr>
        <w:fldChar w:fldCharType="begin" w:fldLock="1"/>
      </w:r>
      <w:r w:rsidR="00BC7388" w:rsidRPr="006D631C">
        <w:rPr>
          <w:rFonts w:asciiTheme="majorBidi" w:hAnsiTheme="majorBidi" w:cstheme="majorBidi"/>
        </w:rPr>
        <w:instrText>ADDIN CSL_CITATION {"citationItems":[{"id":"ITEM-1","itemData":{"DOI":"10.1039/c8sm02336k","ISSN":"17446848","abstract":"Amphiphilic block copolymers self-assemble at the water/oil interface to form different mesomorphic structures, such as lamellar, micellar cubic, normal hexagonal, and reverse hexagonal structures. Usually, these structures are polycrystalline and the value of their elastic modulus depends on the average orientation of their constituent's single crystals. We provide a model to predict the elastic modulus and yielding of mesophases from their characteristic length and intermicellar interactions. Shear modulus of each structure is calculated as a function of deformation (strain). Zero-shear modulus, G0, depends on the inverse of the intermicellar distance with a power law model. The power law index for each structure is approximately n + 2 where n is the degree of confinement in the mesophase: 1 for lamellar, 2 for both normal and reverse hexagonal, and 3 for micellar cubic structures. Rheological properties of different mesophases of Pluronic P84 in the presence of water and p-xylene are used as a case study. The model is found to be in good agreement with experimental data in the linear viscoelastic region. When compared to experimental data, the yield strain value obtained from the model is one order of magnitude higher than the limit of the linear viscoelastic regime and close to the strain at the cross-over point of storage and loss moduli. Frequency sweep measurements are done to characterize the relaxation and cooperative model behaviors of each mesophase structure.","author":[{"dropping-particle":"","family":"Qavi","given":"Sahar","non-dropping-particle":"","parse-names":false,"suffix":""},{"dropping-particle":"","family":"Firestone","given":"Millicent A.","non-dropping-particle":"","parse-names":false,"suffix":""},{"dropping-particle":"","family":"Foudazi","given":"Reza","non-dropping-particle":"","parse-names":false,"suffix":""}],"container-title":"Soft Matter","id":"ITEM-1","issue":"28","issued":{"date-parts":[["2019"]]},"page":"5626-5637","title":"Elasticity and yielding of mesophases of block copolymers in water-oil mixtures","type":"article-journal","volume":"15"},"uris":["http://www.mendeley.com/documents/?uuid=d6b996a8-3b15-449b-bf48-5adc680fb63c"]}],"mendeley":{"formattedCitation":"&lt;sup&gt;62&lt;/sup&gt;","plainTextFormattedCitation":"62","previouslyFormattedCitation":"&lt;sup&gt;62&lt;/sup&gt;"},"properties":{"noteIndex":0},"schema":"https://github.com/citation-style-language/schema/raw/master/csl-citation.json"}</w:instrText>
      </w:r>
      <w:r w:rsidR="00CE31D8" w:rsidRPr="006D631C">
        <w:rPr>
          <w:rFonts w:asciiTheme="majorBidi" w:hAnsiTheme="majorBidi" w:cstheme="majorBidi"/>
        </w:rPr>
        <w:fldChar w:fldCharType="separate"/>
      </w:r>
      <w:r w:rsidR="005B615C" w:rsidRPr="006D631C">
        <w:rPr>
          <w:rFonts w:asciiTheme="majorBidi" w:hAnsiTheme="majorBidi" w:cstheme="majorBidi"/>
          <w:noProof/>
          <w:vertAlign w:val="superscript"/>
        </w:rPr>
        <w:t>62</w:t>
      </w:r>
      <w:r w:rsidR="00CE31D8" w:rsidRPr="006D631C">
        <w:rPr>
          <w:rFonts w:asciiTheme="majorBidi" w:hAnsiTheme="majorBidi" w:cstheme="majorBidi"/>
        </w:rPr>
        <w:fldChar w:fldCharType="end"/>
      </w:r>
      <w:r w:rsidR="00CE31D8" w:rsidRPr="006D631C">
        <w:rPr>
          <w:rFonts w:asciiTheme="majorBidi" w:hAnsiTheme="majorBidi" w:cstheme="majorBidi"/>
        </w:rPr>
        <w:t xml:space="preserve"> there is hardly any bridging between polar/apolar domains by Pluronic chains in this system.</w:t>
      </w:r>
      <w:r w:rsidR="00040474" w:rsidRPr="006D631C">
        <w:rPr>
          <w:rFonts w:asciiTheme="majorBidi" w:hAnsiTheme="majorBidi" w:cstheme="majorBidi"/>
        </w:rPr>
        <w:t xml:space="preserve"> </w:t>
      </w:r>
    </w:p>
    <w:p w14:paraId="0ECA5B61" w14:textId="7E181246" w:rsidR="005F23CB" w:rsidRPr="006D631C" w:rsidRDefault="0053207F" w:rsidP="008E2023">
      <w:pPr>
        <w:ind w:firstLine="357"/>
        <w:rPr>
          <w:rFonts w:asciiTheme="majorBidi" w:hAnsiTheme="majorBidi" w:cstheme="majorBidi"/>
        </w:rPr>
      </w:pPr>
      <w:r w:rsidRPr="006D631C">
        <w:rPr>
          <w:rFonts w:asciiTheme="majorBidi" w:hAnsiTheme="majorBidi" w:cstheme="majorBidi"/>
        </w:rPr>
        <w:t xml:space="preserve">Table </w:t>
      </w:r>
      <w:r w:rsidR="00B0024E" w:rsidRPr="006D631C">
        <w:rPr>
          <w:rFonts w:asciiTheme="majorBidi" w:hAnsiTheme="majorBidi" w:cstheme="majorBidi"/>
        </w:rPr>
        <w:t>2-</w:t>
      </w:r>
      <w:r w:rsidRPr="006D631C">
        <w:rPr>
          <w:rFonts w:asciiTheme="majorBidi" w:hAnsiTheme="majorBidi" w:cstheme="majorBidi"/>
        </w:rPr>
        <w:t xml:space="preserve">1 shows the results of the aforementioned calculations. The confinement size almost remains unchanged regardless of the employed initiation system. Additionally, the confinement size is bigger for hexagonal structure compared to lamellar one, which can significantly affect the </w:t>
      </w:r>
      <w:r w:rsidRPr="006D631C">
        <w:rPr>
          <w:rFonts w:asciiTheme="majorBidi" w:hAnsiTheme="majorBidi" w:cstheme="majorBidi"/>
        </w:rPr>
        <w:lastRenderedPageBreak/>
        <w:t>polymerization kinetics, as previously reported in the literature</w:t>
      </w:r>
      <w:r w:rsidRPr="006D631C">
        <w:rPr>
          <w:rFonts w:asciiTheme="majorBidi" w:hAnsiTheme="majorBidi" w:cstheme="majorBidi"/>
        </w:rPr>
        <w:fldChar w:fldCharType="begin" w:fldLock="1"/>
      </w:r>
      <w:r w:rsidR="00D32955"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00BC7388" w:rsidRPr="006D631C">
        <w:rPr>
          <w:rFonts w:asciiTheme="majorBidi" w:hAnsiTheme="majorBidi" w:cstheme="majorBidi"/>
          <w:noProof/>
          <w:vertAlign w:val="superscript"/>
        </w:rPr>
        <w:t>56</w:t>
      </w:r>
      <w:r w:rsidRPr="006D631C">
        <w:rPr>
          <w:rFonts w:asciiTheme="majorBidi" w:hAnsiTheme="majorBidi" w:cstheme="majorBidi"/>
        </w:rPr>
        <w:fldChar w:fldCharType="end"/>
      </w:r>
      <w:r w:rsidRPr="006D631C">
        <w:rPr>
          <w:rFonts w:asciiTheme="majorBidi" w:hAnsiTheme="majorBidi" w:cstheme="majorBidi"/>
        </w:rPr>
        <w:t xml:space="preserve"> and will be discussed in the following sections. It is also noteworthy that the lattice parameter change</w:t>
      </w:r>
      <w:r w:rsidR="00BC7388" w:rsidRPr="006D631C">
        <w:rPr>
          <w:rFonts w:asciiTheme="majorBidi" w:hAnsiTheme="majorBidi" w:cstheme="majorBidi"/>
        </w:rPr>
        <w:t>s</w:t>
      </w:r>
      <w:r w:rsidRPr="006D631C">
        <w:rPr>
          <w:rFonts w:asciiTheme="majorBidi" w:hAnsiTheme="majorBidi" w:cstheme="majorBidi"/>
        </w:rPr>
        <w:t xml:space="preserve"> upon polymerization for both structures, which is a common phenomenon in polymerization of LLCs that happens due to the formation of polymer network and thus the competition between thermodynamics and kinetics.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Matter","id":"ITEM-1","issue":"31","issued":{"date-parts":[["2013"]]},"page":"7458-7467","title":"Improved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mendeley":{"formattedCitation":"&lt;sup&gt;42&lt;/sup&gt;","plainTextFormattedCitation":"42","previouslyFormattedCitation":"&lt;sup&gt;42&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42</w:t>
      </w:r>
      <w:r w:rsidRPr="006D631C">
        <w:rPr>
          <w:rFonts w:asciiTheme="majorBidi" w:hAnsiTheme="majorBidi" w:cstheme="majorBidi"/>
        </w:rPr>
        <w:fldChar w:fldCharType="end"/>
      </w:r>
      <w:r w:rsidRPr="006D631C">
        <w:rPr>
          <w:rFonts w:asciiTheme="majorBidi" w:hAnsiTheme="majorBidi" w:cstheme="majorBidi"/>
        </w:rPr>
        <w:t xml:space="preserve"> In terms of thermodynamics, the thermodynamic penalty of mixing</w:t>
      </w:r>
      <w:r w:rsidRPr="006D631C" w:rsidDel="004D376B">
        <w:rPr>
          <w:rFonts w:asciiTheme="majorBidi" w:hAnsiTheme="majorBidi" w:cstheme="majorBidi"/>
        </w:rPr>
        <w:t xml:space="preserve"> </w:t>
      </w:r>
      <w:r w:rsidRPr="006D631C">
        <w:rPr>
          <w:rFonts w:asciiTheme="majorBidi" w:hAnsiTheme="majorBidi" w:cstheme="majorBidi"/>
        </w:rPr>
        <w:t xml:space="preserve">increases by increasing the molecular weight of the oil phase. Such increase in the thermodynamic penalty coupled with the change in surface energy of the polymerizing phase can induce phase separation, resulting in the domain size increase. On the other hand, the density increases due to the formation of polymer network (shrinkage of the polymerizing phase) which can result in smaller domain sizes. Due to the suppression of the chains mobility by the cross-linking, the phase separation and thus complete loss of nanostructure is avoided, but yet the domain size is controlled by the competition between </w:t>
      </w:r>
      <w:proofErr w:type="spellStart"/>
      <w:r w:rsidRPr="006D631C">
        <w:rPr>
          <w:rFonts w:asciiTheme="majorBidi" w:hAnsiTheme="majorBidi" w:cstheme="majorBidi"/>
        </w:rPr>
        <w:t>demixing</w:t>
      </w:r>
      <w:proofErr w:type="spellEnd"/>
      <w:r w:rsidRPr="006D631C">
        <w:rPr>
          <w:rFonts w:asciiTheme="majorBidi" w:hAnsiTheme="majorBidi" w:cstheme="majorBidi"/>
        </w:rPr>
        <w:t xml:space="preserve"> and shrinkage.</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{"citationItems":[{"id":"ITEM-1","itemData":{"DOI":"10.1126/science.1221383","ISSN":"10959203","abstract":"Materials with percolating mesopores are attractive for applications such as catalysis, nanotemplating, and separations. Polymeric frameworks are particularly appealing because the chemical composition and the surface chemistry are readily tunable. We report on the preparation of robust nanoporous polymers with percolating pores in the 4- to 8-nanometer range from a microphase-separated bicontinuous precursor. We combined polymerization-induced phase separation with in situ block polymer formation from a mixture of multifunctional monomers and a chemically etchable polymer containing a terminal chain transfer agent. This marriage results in microphase separation of the mixture into continuous domains of the etchable polymer and the emergent cross-linked polymer. Precise control over pore size distribution and mechanical integrity renders these materials particularly suited for various advanced applications.","author":[{"dropping-particle":"","family":"Seo","given":"Myungeun","non-dropping-particle":"","parse-names":false,"suffix":""},{"dropping-particle":"","family":"Hillmyer","given":"Marc A.","non-dropping-particle":"","parse-names":false,"suffix":""}],"container-title":"Science","id":"ITEM-1","issue":"6087","issued":{"date-parts":[["2012"]]},"page":"1422-1425","title":"Reticulated nanoporous polymers by controlled polymerization-induced microphase separation","type":"article-journal","volume":"336"},"uris":["http://www.mendeley.com/documents/?uuid=6c80a84c-25b0-4fac-9f44-4c31b1d82721"]},{"id":"ITEM-2","itemData":{"DOI":"10.1016/j.memsci.2019.02.060","ISSN":"18733123","abstract":"Industrially,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Science","id":"ITEM-2","issued":{"date-parts":[["2019"]]},"page":"125-133","title":"Ultrafiltration membranes from polymerization of self-assembled Pluronic block copolymer mesophases","type":"article-journal","volume":"580"},"uris":["http://www.mendeley.com/documents/?uuid=bed9b600-bdbf-4c48-a9d1-d3c7ba3f3449"]}],"mendeley":{"formattedCitation":"&lt;sup&gt;32,219&lt;/sup&gt;","plainTextFormattedCitation":"32,219","previouslyFormattedCitation":"&lt;sup&gt;32,219&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32,219</w:t>
      </w:r>
      <w:r w:rsidRPr="006D631C">
        <w:rPr>
          <w:rFonts w:asciiTheme="majorBidi" w:hAnsiTheme="majorBidi" w:cstheme="majorBidi"/>
        </w:rPr>
        <w:fldChar w:fldCharType="end"/>
      </w:r>
      <w:r w:rsidR="004854E4" w:rsidRPr="006D631C">
        <w:rPr>
          <w:rFonts w:asciiTheme="majorBidi" w:hAnsiTheme="majorBidi" w:cstheme="majorBidi"/>
        </w:rPr>
        <w:t xml:space="preserve"> In the case of lamellar structure, </w:t>
      </w:r>
      <w:r w:rsidR="00F96321" w:rsidRPr="006D631C">
        <w:rPr>
          <w:rFonts w:asciiTheme="majorBidi" w:hAnsiTheme="majorBidi" w:cstheme="majorBidi"/>
        </w:rPr>
        <w:t>~</w:t>
      </w:r>
      <w:r w:rsidR="004854E4" w:rsidRPr="006D631C">
        <w:rPr>
          <w:rFonts w:asciiTheme="majorBidi" w:hAnsiTheme="majorBidi" w:cstheme="majorBidi"/>
        </w:rPr>
        <w:t>20% decrease in lattice parameter is seen after polymerization for all of the initiators which is higher than the changes typically reported for similar systems.</w:t>
      </w:r>
      <w:r w:rsidR="002322C8" w:rsidRPr="006D631C">
        <w:rPr>
          <w:rFonts w:asciiTheme="majorBidi" w:hAnsiTheme="majorBidi" w:cstheme="majorBidi"/>
        </w:rPr>
        <w:fldChar w:fldCharType="begin" w:fldLock="1"/>
      </w:r>
      <w:r w:rsidR="00D8798C"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002322C8" w:rsidRPr="006D631C">
        <w:rPr>
          <w:rFonts w:asciiTheme="majorBidi" w:hAnsiTheme="majorBidi" w:cstheme="majorBidi"/>
        </w:rPr>
        <w:fldChar w:fldCharType="separate"/>
      </w:r>
      <w:r w:rsidR="002322C8" w:rsidRPr="006D631C">
        <w:rPr>
          <w:rFonts w:asciiTheme="majorBidi" w:hAnsiTheme="majorBidi" w:cstheme="majorBidi"/>
          <w:noProof/>
          <w:vertAlign w:val="superscript"/>
        </w:rPr>
        <w:t>32</w:t>
      </w:r>
      <w:r w:rsidR="002322C8" w:rsidRPr="006D631C">
        <w:rPr>
          <w:rFonts w:asciiTheme="majorBidi" w:hAnsiTheme="majorBidi" w:cstheme="majorBidi"/>
        </w:rPr>
        <w:fldChar w:fldCharType="end"/>
      </w:r>
      <w:r w:rsidR="004854E4" w:rsidRPr="006D631C">
        <w:rPr>
          <w:rFonts w:asciiTheme="majorBidi" w:hAnsiTheme="majorBidi" w:cstheme="majorBidi"/>
        </w:rPr>
        <w:t xml:space="preserve"> Formation of lamellar structure with smaller lattice parameter due to the probable p</w:t>
      </w:r>
      <w:r w:rsidR="008E2023" w:rsidRPr="006D631C">
        <w:rPr>
          <w:rFonts w:asciiTheme="majorBidi" w:hAnsiTheme="majorBidi" w:cstheme="majorBidi"/>
        </w:rPr>
        <w:t xml:space="preserve">hase separation during reaction, </w:t>
      </w:r>
      <w:r w:rsidR="004854E4" w:rsidRPr="006D631C">
        <w:rPr>
          <w:rFonts w:asciiTheme="majorBidi" w:hAnsiTheme="majorBidi" w:cstheme="majorBidi"/>
        </w:rPr>
        <w:t>decreasing the density</w:t>
      </w:r>
      <w:r w:rsidR="008E2023" w:rsidRPr="006D631C">
        <w:rPr>
          <w:rFonts w:asciiTheme="majorBidi" w:hAnsiTheme="majorBidi" w:cstheme="majorBidi"/>
        </w:rPr>
        <w:t xml:space="preserve"> and water loss (water expulsion form the polar domain and/or water evaporation during reaction) </w:t>
      </w:r>
      <w:r w:rsidR="004854E4" w:rsidRPr="006D631C">
        <w:rPr>
          <w:rFonts w:asciiTheme="majorBidi" w:hAnsiTheme="majorBidi" w:cstheme="majorBidi"/>
        </w:rPr>
        <w:t>can be responsible for such observation.</w:t>
      </w:r>
      <w:r w:rsidR="008E2023" w:rsidRPr="006D631C">
        <w:rPr>
          <w:rFonts w:asciiTheme="majorBidi" w:hAnsiTheme="majorBidi" w:cstheme="majorBidi"/>
        </w:rPr>
        <w:t xml:space="preserve"> </w:t>
      </w:r>
      <w:r w:rsidR="008A6F4C" w:rsidRPr="006D631C">
        <w:rPr>
          <w:rFonts w:asciiTheme="majorBidi" w:hAnsiTheme="majorBidi" w:cstheme="majorBidi"/>
        </w:rPr>
        <w:t xml:space="preserve">For the hexagonal phase, there is an approximate 10% increase in the lattice parameter, indicating a probable </w:t>
      </w:r>
      <w:proofErr w:type="spellStart"/>
      <w:r w:rsidR="008A6F4C" w:rsidRPr="006D631C">
        <w:rPr>
          <w:rFonts w:asciiTheme="majorBidi" w:hAnsiTheme="majorBidi" w:cstheme="majorBidi"/>
        </w:rPr>
        <w:t>demixing</w:t>
      </w:r>
      <w:proofErr w:type="spellEnd"/>
      <w:r w:rsidR="008A6F4C" w:rsidRPr="006D631C">
        <w:rPr>
          <w:rFonts w:asciiTheme="majorBidi" w:hAnsiTheme="majorBidi" w:cstheme="majorBidi"/>
        </w:rPr>
        <w:t xml:space="preserve"> during the reaction.</w:t>
      </w:r>
    </w:p>
    <w:p w14:paraId="5C6B3A12" w14:textId="5E4DB8C7" w:rsidR="009C2E9B" w:rsidRPr="006D631C" w:rsidRDefault="009C2E9B" w:rsidP="009C2E9B">
      <w:pPr>
        <w:pStyle w:val="TOC1"/>
      </w:pPr>
    </w:p>
    <w:p w14:paraId="66B693B7" w14:textId="6B3E4585" w:rsidR="009C2E9B" w:rsidRPr="006D631C" w:rsidRDefault="009C2E9B" w:rsidP="009C2E9B"/>
    <w:p w14:paraId="4EFE02BD" w14:textId="10E274D2" w:rsidR="009C2E9B" w:rsidRPr="006D631C" w:rsidRDefault="009C2E9B" w:rsidP="009C2E9B">
      <w:pPr>
        <w:pStyle w:val="TOC1"/>
      </w:pPr>
    </w:p>
    <w:p w14:paraId="5AA852B0" w14:textId="11CEE37F" w:rsidR="009C2E9B" w:rsidRPr="006D631C" w:rsidRDefault="009C2E9B" w:rsidP="009C2E9B"/>
    <w:p w14:paraId="48FA39F5" w14:textId="75A526E2" w:rsidR="009C2E9B" w:rsidRPr="006D631C" w:rsidRDefault="009C2E9B" w:rsidP="009C2E9B">
      <w:pPr>
        <w:pStyle w:val="TOC1"/>
      </w:pPr>
    </w:p>
    <w:p w14:paraId="5BD1917A" w14:textId="77777777" w:rsidR="009C2E9B" w:rsidRPr="006D631C" w:rsidRDefault="009C2E9B" w:rsidP="009C2E9B"/>
    <w:p w14:paraId="52CA720D" w14:textId="5530A2A9" w:rsidR="002F25AF" w:rsidRPr="006D631C" w:rsidRDefault="002F25AF" w:rsidP="002F25AF">
      <w:pPr>
        <w:pStyle w:val="Caption"/>
        <w:keepNext/>
        <w:spacing w:after="0"/>
        <w:jc w:val="center"/>
        <w:rPr>
          <w:sz w:val="22"/>
          <w:szCs w:val="22"/>
        </w:rPr>
      </w:pPr>
      <w:bookmarkStart w:id="111" w:name="_Toc148175969"/>
      <w:r w:rsidRPr="006D631C">
        <w:rPr>
          <w:sz w:val="22"/>
          <w:szCs w:val="22"/>
        </w:rPr>
        <w:lastRenderedPageBreak/>
        <w:t xml:space="preserve">Table </w:t>
      </w:r>
      <w:r w:rsidR="0093296F" w:rsidRPr="006D631C">
        <w:rPr>
          <w:sz w:val="22"/>
          <w:szCs w:val="22"/>
        </w:rPr>
        <w:fldChar w:fldCharType="begin"/>
      </w:r>
      <w:r w:rsidR="0093296F" w:rsidRPr="006D631C">
        <w:rPr>
          <w:sz w:val="22"/>
          <w:szCs w:val="22"/>
        </w:rPr>
        <w:instrText xml:space="preserve"> STYLEREF 1 \s </w:instrText>
      </w:r>
      <w:r w:rsidR="0093296F" w:rsidRPr="006D631C">
        <w:rPr>
          <w:sz w:val="22"/>
          <w:szCs w:val="22"/>
        </w:rPr>
        <w:fldChar w:fldCharType="separate"/>
      </w:r>
      <w:r w:rsidR="0093296F" w:rsidRPr="006D631C">
        <w:rPr>
          <w:sz w:val="22"/>
          <w:szCs w:val="22"/>
          <w:cs/>
        </w:rPr>
        <w:t>‎</w:t>
      </w:r>
      <w:r w:rsidR="0093296F" w:rsidRPr="006D631C">
        <w:rPr>
          <w:sz w:val="22"/>
          <w:szCs w:val="22"/>
        </w:rPr>
        <w:t>2</w:t>
      </w:r>
      <w:r w:rsidR="0093296F" w:rsidRPr="006D631C">
        <w:rPr>
          <w:sz w:val="22"/>
          <w:szCs w:val="22"/>
        </w:rPr>
        <w:fldChar w:fldCharType="end"/>
      </w:r>
      <w:r w:rsidR="0093296F" w:rsidRPr="006D631C">
        <w:rPr>
          <w:sz w:val="22"/>
          <w:szCs w:val="22"/>
        </w:rPr>
        <w:noBreakHyphen/>
      </w:r>
      <w:r w:rsidR="0093296F" w:rsidRPr="006D631C">
        <w:rPr>
          <w:sz w:val="22"/>
          <w:szCs w:val="22"/>
        </w:rPr>
        <w:fldChar w:fldCharType="begin"/>
      </w:r>
      <w:r w:rsidR="0093296F" w:rsidRPr="006D631C">
        <w:rPr>
          <w:sz w:val="22"/>
          <w:szCs w:val="22"/>
        </w:rPr>
        <w:instrText xml:space="preserve"> SEQ Table \* ARABIC \s 1 </w:instrText>
      </w:r>
      <w:r w:rsidR="0093296F" w:rsidRPr="006D631C">
        <w:rPr>
          <w:sz w:val="22"/>
          <w:szCs w:val="22"/>
        </w:rPr>
        <w:fldChar w:fldCharType="separate"/>
      </w:r>
      <w:r w:rsidR="0093296F" w:rsidRPr="006D631C">
        <w:rPr>
          <w:sz w:val="22"/>
          <w:szCs w:val="22"/>
        </w:rPr>
        <w:t>1</w:t>
      </w:r>
      <w:r w:rsidR="0093296F" w:rsidRPr="006D631C">
        <w:rPr>
          <w:sz w:val="22"/>
          <w:szCs w:val="22"/>
        </w:rPr>
        <w:fldChar w:fldCharType="end"/>
      </w:r>
      <w:r w:rsidRPr="006D631C">
        <w:rPr>
          <w:sz w:val="22"/>
          <w:szCs w:val="22"/>
        </w:rPr>
        <w:t>. Calculated parameters for different LLC structures before and after polymerization.</w:t>
      </w:r>
      <w:bookmarkEnd w:id="111"/>
    </w:p>
    <w:tbl>
      <w:tblPr>
        <w:tblW w:w="8505" w:type="dxa"/>
        <w:jc w:val="center"/>
        <w:tblLayout w:type="fixed"/>
        <w:tblLook w:val="04A0" w:firstRow="1" w:lastRow="0" w:firstColumn="1" w:lastColumn="0" w:noHBand="0" w:noVBand="1"/>
      </w:tblPr>
      <w:tblGrid>
        <w:gridCol w:w="1701"/>
        <w:gridCol w:w="1418"/>
        <w:gridCol w:w="1417"/>
        <w:gridCol w:w="709"/>
        <w:gridCol w:w="992"/>
        <w:gridCol w:w="851"/>
        <w:gridCol w:w="1417"/>
      </w:tblGrid>
      <w:tr w:rsidR="00AB7392" w:rsidRPr="006D631C" w14:paraId="31D28F7E" w14:textId="77777777" w:rsidTr="00AB7392">
        <w:trPr>
          <w:trHeight w:val="504"/>
          <w:jc w:val="center"/>
        </w:trPr>
        <w:tc>
          <w:tcPr>
            <w:tcW w:w="1701" w:type="dxa"/>
            <w:tcBorders>
              <w:top w:val="single" w:sz="4" w:space="0" w:color="auto"/>
              <w:bottom w:val="single" w:sz="4" w:space="0" w:color="auto"/>
            </w:tcBorders>
            <w:shd w:val="clear" w:color="auto" w:fill="auto"/>
            <w:noWrap/>
            <w:vAlign w:val="center"/>
            <w:hideMark/>
          </w:tcPr>
          <w:p w14:paraId="3B863B52"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Sample</w:t>
            </w:r>
          </w:p>
        </w:tc>
        <w:tc>
          <w:tcPr>
            <w:tcW w:w="1418" w:type="dxa"/>
            <w:tcBorders>
              <w:top w:val="single" w:sz="4" w:space="0" w:color="auto"/>
              <w:bottom w:val="single" w:sz="4" w:space="0" w:color="auto"/>
            </w:tcBorders>
            <w:shd w:val="clear" w:color="auto" w:fill="auto"/>
            <w:noWrap/>
            <w:vAlign w:val="center"/>
            <w:hideMark/>
          </w:tcPr>
          <w:p w14:paraId="279E9973"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LLC structure</w:t>
            </w:r>
          </w:p>
        </w:tc>
        <w:tc>
          <w:tcPr>
            <w:tcW w:w="1417" w:type="dxa"/>
            <w:tcBorders>
              <w:top w:val="single" w:sz="4" w:space="0" w:color="auto"/>
              <w:bottom w:val="single" w:sz="4" w:space="0" w:color="auto"/>
            </w:tcBorders>
            <w:shd w:val="clear" w:color="auto" w:fill="auto"/>
            <w:noWrap/>
            <w:vAlign w:val="center"/>
          </w:tcPr>
          <w:p w14:paraId="0A719065" w14:textId="2D1B78E3" w:rsidR="00AB7392" w:rsidRPr="006D631C" w:rsidRDefault="00AB7392" w:rsidP="0095634C">
            <w:pPr>
              <w:widowControl w:val="0"/>
              <w:spacing w:line="240" w:lineRule="auto"/>
              <w:jc w:val="center"/>
              <w:rPr>
                <w:color w:val="000000"/>
                <w:sz w:val="22"/>
                <w:szCs w:val="22"/>
              </w:rPr>
            </w:pPr>
            <w:r w:rsidRPr="006D631C">
              <w:rPr>
                <w:rFonts w:asciiTheme="majorBidi" w:hAnsiTheme="majorBidi" w:cstheme="majorBidi"/>
                <w:sz w:val="22"/>
                <w:szCs w:val="22"/>
              </w:rPr>
              <w:t>Lattice parameter</w:t>
            </w:r>
            <w:r w:rsidRPr="006D631C">
              <w:rPr>
                <w:color w:val="000000"/>
                <w:sz w:val="22"/>
                <w:szCs w:val="22"/>
              </w:rPr>
              <w:t xml:space="preserve"> </w:t>
            </w:r>
          </w:p>
          <w:p w14:paraId="41BD2E56"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(nm)</w:t>
            </w:r>
          </w:p>
        </w:tc>
        <w:tc>
          <w:tcPr>
            <w:tcW w:w="709" w:type="dxa"/>
            <w:tcBorders>
              <w:top w:val="single" w:sz="4" w:space="0" w:color="auto"/>
              <w:bottom w:val="single" w:sz="4" w:space="0" w:color="auto"/>
            </w:tcBorders>
            <w:shd w:val="clear" w:color="auto" w:fill="auto"/>
            <w:noWrap/>
            <w:vAlign w:val="center"/>
          </w:tcPr>
          <w:p w14:paraId="5D9559B7" w14:textId="08E115DE" w:rsidR="00AB7392" w:rsidRPr="006D631C" w:rsidRDefault="00AB7392" w:rsidP="00AB7392">
            <w:pPr>
              <w:widowControl w:val="0"/>
              <w:spacing w:line="240" w:lineRule="auto"/>
              <w:jc w:val="center"/>
              <w:rPr>
                <w:color w:val="000000"/>
                <w:sz w:val="22"/>
                <w:szCs w:val="22"/>
                <w:vertAlign w:val="superscript"/>
              </w:rPr>
            </w:pPr>
            <w:proofErr w:type="spellStart"/>
            <w:r w:rsidRPr="006D631C">
              <w:rPr>
                <w:rFonts w:asciiTheme="majorBidi" w:hAnsiTheme="majorBidi" w:cstheme="majorBidi"/>
                <w:i/>
                <w:iCs/>
                <w:sz w:val="22"/>
                <w:szCs w:val="22"/>
              </w:rPr>
              <w:t>ϕ</w:t>
            </w:r>
            <w:r w:rsidRPr="006D631C">
              <w:rPr>
                <w:rFonts w:asciiTheme="majorBidi" w:hAnsiTheme="majorBidi" w:cstheme="majorBidi"/>
                <w:i/>
                <w:iCs/>
                <w:sz w:val="22"/>
                <w:szCs w:val="22"/>
                <w:vertAlign w:val="subscript"/>
              </w:rPr>
              <w:t>Oil</w:t>
            </w:r>
            <w:proofErr w:type="spellEnd"/>
          </w:p>
        </w:tc>
        <w:tc>
          <w:tcPr>
            <w:tcW w:w="992" w:type="dxa"/>
            <w:tcBorders>
              <w:top w:val="single" w:sz="4" w:space="0" w:color="auto"/>
              <w:bottom w:val="single" w:sz="4" w:space="0" w:color="auto"/>
            </w:tcBorders>
            <w:vAlign w:val="center"/>
          </w:tcPr>
          <w:p w14:paraId="459FB88B" w14:textId="4687DF57" w:rsidR="00AB7392" w:rsidRPr="006D631C" w:rsidRDefault="00AB7392" w:rsidP="00AB7392">
            <w:pPr>
              <w:widowControl w:val="0"/>
              <w:spacing w:line="240" w:lineRule="auto"/>
              <w:jc w:val="center"/>
              <w:rPr>
                <w:rFonts w:asciiTheme="majorBidi" w:hAnsiTheme="majorBidi" w:cstheme="majorBidi"/>
                <w:i/>
                <w:iCs/>
                <w:sz w:val="22"/>
                <w:szCs w:val="22"/>
                <w:vertAlign w:val="superscript"/>
              </w:rPr>
            </w:pPr>
            <w:proofErr w:type="spellStart"/>
            <w:r w:rsidRPr="006D631C">
              <w:rPr>
                <w:rFonts w:asciiTheme="majorBidi" w:hAnsiTheme="majorBidi" w:cstheme="majorBidi"/>
                <w:i/>
                <w:iCs/>
                <w:sz w:val="22"/>
                <w:szCs w:val="22"/>
              </w:rPr>
              <w:t>ϕ</w:t>
            </w:r>
            <w:r w:rsidRPr="006D631C">
              <w:rPr>
                <w:rFonts w:asciiTheme="majorBidi" w:hAnsiTheme="majorBidi" w:cstheme="majorBidi"/>
                <w:i/>
                <w:iCs/>
                <w:sz w:val="22"/>
                <w:szCs w:val="22"/>
                <w:vertAlign w:val="subscript"/>
              </w:rPr>
              <w:t>Pluronic</w:t>
            </w:r>
            <w:proofErr w:type="spellEnd"/>
          </w:p>
        </w:tc>
        <w:tc>
          <w:tcPr>
            <w:tcW w:w="851" w:type="dxa"/>
            <w:tcBorders>
              <w:top w:val="single" w:sz="4" w:space="0" w:color="auto"/>
              <w:bottom w:val="single" w:sz="4" w:space="0" w:color="auto"/>
            </w:tcBorders>
            <w:vAlign w:val="center"/>
          </w:tcPr>
          <w:p w14:paraId="1B777807" w14:textId="1393A3E9" w:rsidR="00AB7392" w:rsidRPr="006D631C" w:rsidRDefault="00AB7392" w:rsidP="00AB7392">
            <w:pPr>
              <w:widowControl w:val="0"/>
              <w:spacing w:line="240" w:lineRule="auto"/>
              <w:jc w:val="center"/>
              <w:rPr>
                <w:rFonts w:asciiTheme="majorBidi" w:hAnsiTheme="majorBidi" w:cstheme="majorBidi"/>
                <w:i/>
                <w:iCs/>
                <w:sz w:val="22"/>
                <w:szCs w:val="22"/>
                <w:vertAlign w:val="superscript"/>
              </w:rPr>
            </w:pPr>
            <w:proofErr w:type="spellStart"/>
            <w:r w:rsidRPr="006D631C">
              <w:rPr>
                <w:rFonts w:asciiTheme="majorBidi" w:hAnsiTheme="majorBidi" w:cstheme="majorBidi"/>
                <w:i/>
                <w:iCs/>
                <w:sz w:val="22"/>
                <w:szCs w:val="22"/>
              </w:rPr>
              <w:t>ϕ</w:t>
            </w:r>
            <w:r w:rsidRPr="006D631C">
              <w:rPr>
                <w:rFonts w:asciiTheme="majorBidi" w:hAnsiTheme="majorBidi" w:cstheme="majorBidi"/>
                <w:i/>
                <w:iCs/>
                <w:sz w:val="22"/>
                <w:szCs w:val="22"/>
                <w:vertAlign w:val="subscript"/>
              </w:rPr>
              <w:t>Water</w:t>
            </w:r>
            <w:proofErr w:type="spellEnd"/>
          </w:p>
        </w:tc>
        <w:tc>
          <w:tcPr>
            <w:tcW w:w="1417" w:type="dxa"/>
            <w:tcBorders>
              <w:top w:val="single" w:sz="4" w:space="0" w:color="auto"/>
              <w:bottom w:val="single" w:sz="4" w:space="0" w:color="auto"/>
            </w:tcBorders>
            <w:vAlign w:val="center"/>
          </w:tcPr>
          <w:p w14:paraId="0B68348E" w14:textId="77777777" w:rsidR="00AB7392" w:rsidRPr="006D631C" w:rsidRDefault="00AB7392" w:rsidP="0095634C">
            <w:pPr>
              <w:widowControl w:val="0"/>
              <w:spacing w:line="240" w:lineRule="auto"/>
              <w:jc w:val="center"/>
              <w:rPr>
                <w:rFonts w:asciiTheme="majorBidi" w:hAnsiTheme="majorBidi" w:cstheme="majorBidi"/>
                <w:sz w:val="22"/>
                <w:szCs w:val="22"/>
              </w:rPr>
            </w:pPr>
            <w:r w:rsidRPr="006D631C">
              <w:rPr>
                <w:rFonts w:asciiTheme="majorBidi" w:hAnsiTheme="majorBidi" w:cstheme="majorBidi"/>
                <w:sz w:val="22"/>
                <w:szCs w:val="22"/>
              </w:rPr>
              <w:t>Confinement size</w:t>
            </w:r>
          </w:p>
          <w:p w14:paraId="37B4E56E" w14:textId="77777777" w:rsidR="00AB7392" w:rsidRPr="006D631C" w:rsidRDefault="00AB7392" w:rsidP="0095634C">
            <w:pPr>
              <w:widowControl w:val="0"/>
              <w:spacing w:line="240" w:lineRule="auto"/>
              <w:jc w:val="center"/>
              <w:rPr>
                <w:rFonts w:asciiTheme="majorBidi" w:hAnsiTheme="majorBidi" w:cstheme="majorBidi"/>
                <w:i/>
                <w:iCs/>
                <w:sz w:val="22"/>
                <w:szCs w:val="22"/>
              </w:rPr>
            </w:pPr>
            <w:r w:rsidRPr="006D631C">
              <w:rPr>
                <w:rFonts w:asciiTheme="majorBidi" w:hAnsiTheme="majorBidi" w:cstheme="majorBidi"/>
                <w:sz w:val="22"/>
                <w:szCs w:val="22"/>
              </w:rPr>
              <w:t>(nm)</w:t>
            </w:r>
          </w:p>
        </w:tc>
      </w:tr>
      <w:tr w:rsidR="00AB7392" w:rsidRPr="006D631C" w14:paraId="2E51862A" w14:textId="77777777" w:rsidTr="00AB7392">
        <w:trPr>
          <w:trHeight w:val="413"/>
          <w:jc w:val="center"/>
        </w:trPr>
        <w:tc>
          <w:tcPr>
            <w:tcW w:w="1701" w:type="dxa"/>
            <w:vMerge w:val="restart"/>
            <w:tcBorders>
              <w:top w:val="single" w:sz="4" w:space="0" w:color="auto"/>
            </w:tcBorders>
            <w:shd w:val="clear" w:color="auto" w:fill="auto"/>
            <w:noWrap/>
            <w:vAlign w:val="center"/>
          </w:tcPr>
          <w:p w14:paraId="75D7A924" w14:textId="77777777" w:rsidR="00AB7392" w:rsidRPr="006D631C" w:rsidRDefault="00AB7392" w:rsidP="0095634C">
            <w:pPr>
              <w:widowControl w:val="0"/>
              <w:spacing w:line="240" w:lineRule="auto"/>
              <w:jc w:val="center"/>
              <w:rPr>
                <w:color w:val="000000"/>
                <w:sz w:val="22"/>
                <w:szCs w:val="22"/>
              </w:rPr>
            </w:pPr>
            <w:proofErr w:type="spellStart"/>
            <w:r w:rsidRPr="006D631C">
              <w:rPr>
                <w:color w:val="000000"/>
                <w:sz w:val="22"/>
                <w:szCs w:val="22"/>
              </w:rPr>
              <w:t>Unpolymerized</w:t>
            </w:r>
            <w:proofErr w:type="spellEnd"/>
          </w:p>
        </w:tc>
        <w:tc>
          <w:tcPr>
            <w:tcW w:w="1418" w:type="dxa"/>
            <w:tcBorders>
              <w:top w:val="single" w:sz="4" w:space="0" w:color="auto"/>
            </w:tcBorders>
            <w:shd w:val="clear" w:color="auto" w:fill="auto"/>
            <w:noWrap/>
            <w:vAlign w:val="center"/>
          </w:tcPr>
          <w:p w14:paraId="6D80B825"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L</w:t>
            </w:r>
            <w:r w:rsidRPr="006D631C">
              <w:rPr>
                <w:color w:val="000000"/>
                <w:sz w:val="22"/>
                <w:szCs w:val="22"/>
                <w:vertAlign w:val="subscript"/>
              </w:rPr>
              <w:t>α</w:t>
            </w:r>
          </w:p>
        </w:tc>
        <w:tc>
          <w:tcPr>
            <w:tcW w:w="1417" w:type="dxa"/>
            <w:tcBorders>
              <w:top w:val="single" w:sz="4" w:space="0" w:color="auto"/>
            </w:tcBorders>
            <w:shd w:val="clear" w:color="auto" w:fill="auto"/>
            <w:noWrap/>
            <w:vAlign w:val="center"/>
          </w:tcPr>
          <w:p w14:paraId="7E255D32"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6.40</w:t>
            </w:r>
          </w:p>
        </w:tc>
        <w:tc>
          <w:tcPr>
            <w:tcW w:w="709" w:type="dxa"/>
            <w:tcBorders>
              <w:top w:val="single" w:sz="4" w:space="0" w:color="auto"/>
            </w:tcBorders>
            <w:shd w:val="clear" w:color="auto" w:fill="auto"/>
            <w:noWrap/>
            <w:vAlign w:val="center"/>
          </w:tcPr>
          <w:p w14:paraId="0136E7C7"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0.16</w:t>
            </w:r>
          </w:p>
        </w:tc>
        <w:tc>
          <w:tcPr>
            <w:tcW w:w="992" w:type="dxa"/>
            <w:tcBorders>
              <w:top w:val="single" w:sz="4" w:space="0" w:color="auto"/>
            </w:tcBorders>
            <w:vAlign w:val="center"/>
          </w:tcPr>
          <w:p w14:paraId="32666E39"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0.49</w:t>
            </w:r>
          </w:p>
        </w:tc>
        <w:tc>
          <w:tcPr>
            <w:tcW w:w="851" w:type="dxa"/>
            <w:tcBorders>
              <w:top w:val="single" w:sz="4" w:space="0" w:color="auto"/>
            </w:tcBorders>
            <w:vAlign w:val="center"/>
          </w:tcPr>
          <w:p w14:paraId="1E9F4BA4"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0.36</w:t>
            </w:r>
          </w:p>
        </w:tc>
        <w:tc>
          <w:tcPr>
            <w:tcW w:w="1417" w:type="dxa"/>
            <w:tcBorders>
              <w:top w:val="single" w:sz="4" w:space="0" w:color="auto"/>
            </w:tcBorders>
            <w:vAlign w:val="center"/>
          </w:tcPr>
          <w:p w14:paraId="1A3CECB4"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~0.5</w:t>
            </w:r>
          </w:p>
        </w:tc>
      </w:tr>
      <w:tr w:rsidR="00AB7392" w:rsidRPr="006D631C" w14:paraId="77CEF94A" w14:textId="77777777" w:rsidTr="00AB7392">
        <w:trPr>
          <w:trHeight w:val="399"/>
          <w:jc w:val="center"/>
        </w:trPr>
        <w:tc>
          <w:tcPr>
            <w:tcW w:w="1701" w:type="dxa"/>
            <w:vMerge/>
            <w:tcBorders>
              <w:bottom w:val="single" w:sz="4" w:space="0" w:color="auto"/>
            </w:tcBorders>
            <w:shd w:val="clear" w:color="auto" w:fill="auto"/>
            <w:noWrap/>
            <w:vAlign w:val="center"/>
          </w:tcPr>
          <w:p w14:paraId="0894CBC2" w14:textId="77777777" w:rsidR="00AB7392" w:rsidRPr="006D631C" w:rsidRDefault="00AB7392" w:rsidP="0095634C">
            <w:pPr>
              <w:widowControl w:val="0"/>
              <w:spacing w:line="240" w:lineRule="auto"/>
              <w:jc w:val="center"/>
              <w:rPr>
                <w:color w:val="000000"/>
                <w:sz w:val="22"/>
                <w:szCs w:val="22"/>
              </w:rPr>
            </w:pPr>
          </w:p>
        </w:tc>
        <w:tc>
          <w:tcPr>
            <w:tcW w:w="1418" w:type="dxa"/>
            <w:tcBorders>
              <w:bottom w:val="single" w:sz="4" w:space="0" w:color="auto"/>
            </w:tcBorders>
            <w:shd w:val="clear" w:color="auto" w:fill="auto"/>
            <w:noWrap/>
            <w:vAlign w:val="center"/>
          </w:tcPr>
          <w:p w14:paraId="4F59846D"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H</w:t>
            </w:r>
            <w:r w:rsidRPr="006D631C">
              <w:rPr>
                <w:color w:val="000000"/>
                <w:sz w:val="22"/>
                <w:szCs w:val="22"/>
                <w:vertAlign w:val="subscript"/>
              </w:rPr>
              <w:t>2</w:t>
            </w:r>
          </w:p>
        </w:tc>
        <w:tc>
          <w:tcPr>
            <w:tcW w:w="1417" w:type="dxa"/>
            <w:tcBorders>
              <w:bottom w:val="single" w:sz="4" w:space="0" w:color="auto"/>
            </w:tcBorders>
            <w:shd w:val="clear" w:color="auto" w:fill="auto"/>
            <w:noWrap/>
            <w:vAlign w:val="center"/>
          </w:tcPr>
          <w:p w14:paraId="383A3738"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5.75</w:t>
            </w:r>
          </w:p>
        </w:tc>
        <w:tc>
          <w:tcPr>
            <w:tcW w:w="709" w:type="dxa"/>
            <w:tcBorders>
              <w:bottom w:val="single" w:sz="4" w:space="0" w:color="auto"/>
            </w:tcBorders>
            <w:shd w:val="clear" w:color="auto" w:fill="auto"/>
            <w:noWrap/>
            <w:vAlign w:val="center"/>
          </w:tcPr>
          <w:p w14:paraId="40D142F2"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0.31</w:t>
            </w:r>
          </w:p>
        </w:tc>
        <w:tc>
          <w:tcPr>
            <w:tcW w:w="992" w:type="dxa"/>
            <w:tcBorders>
              <w:bottom w:val="single" w:sz="4" w:space="0" w:color="auto"/>
            </w:tcBorders>
            <w:vAlign w:val="center"/>
          </w:tcPr>
          <w:p w14:paraId="37022252"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0.54</w:t>
            </w:r>
          </w:p>
        </w:tc>
        <w:tc>
          <w:tcPr>
            <w:tcW w:w="851" w:type="dxa"/>
            <w:tcBorders>
              <w:bottom w:val="single" w:sz="4" w:space="0" w:color="auto"/>
            </w:tcBorders>
            <w:vAlign w:val="center"/>
          </w:tcPr>
          <w:p w14:paraId="67EB668C"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0.15</w:t>
            </w:r>
          </w:p>
        </w:tc>
        <w:tc>
          <w:tcPr>
            <w:tcW w:w="1417" w:type="dxa"/>
            <w:tcBorders>
              <w:bottom w:val="single" w:sz="4" w:space="0" w:color="auto"/>
            </w:tcBorders>
            <w:vAlign w:val="center"/>
          </w:tcPr>
          <w:p w14:paraId="7CE1A6F5"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~1.2</w:t>
            </w:r>
          </w:p>
        </w:tc>
      </w:tr>
      <w:tr w:rsidR="00AB7392" w:rsidRPr="006D631C" w14:paraId="3C6E5A66" w14:textId="77777777" w:rsidTr="00AB7392">
        <w:trPr>
          <w:trHeight w:val="399"/>
          <w:jc w:val="center"/>
        </w:trPr>
        <w:tc>
          <w:tcPr>
            <w:tcW w:w="1701" w:type="dxa"/>
            <w:vMerge w:val="restart"/>
            <w:tcBorders>
              <w:top w:val="single" w:sz="4" w:space="0" w:color="auto"/>
            </w:tcBorders>
            <w:shd w:val="clear" w:color="auto" w:fill="auto"/>
            <w:noWrap/>
            <w:vAlign w:val="center"/>
            <w:hideMark/>
          </w:tcPr>
          <w:p w14:paraId="5A3E887D"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APS-initiated</w:t>
            </w:r>
          </w:p>
        </w:tc>
        <w:tc>
          <w:tcPr>
            <w:tcW w:w="1418" w:type="dxa"/>
            <w:tcBorders>
              <w:top w:val="single" w:sz="4" w:space="0" w:color="auto"/>
            </w:tcBorders>
            <w:shd w:val="clear" w:color="auto" w:fill="auto"/>
            <w:noWrap/>
            <w:vAlign w:val="center"/>
            <w:hideMark/>
          </w:tcPr>
          <w:p w14:paraId="2C06FFF3"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L</w:t>
            </w:r>
            <w:r w:rsidRPr="006D631C">
              <w:rPr>
                <w:color w:val="000000"/>
                <w:sz w:val="22"/>
                <w:szCs w:val="22"/>
                <w:vertAlign w:val="subscript"/>
              </w:rPr>
              <w:t>α</w:t>
            </w:r>
          </w:p>
        </w:tc>
        <w:tc>
          <w:tcPr>
            <w:tcW w:w="1417" w:type="dxa"/>
            <w:tcBorders>
              <w:top w:val="single" w:sz="4" w:space="0" w:color="auto"/>
            </w:tcBorders>
            <w:shd w:val="clear" w:color="auto" w:fill="auto"/>
            <w:noWrap/>
            <w:vAlign w:val="center"/>
          </w:tcPr>
          <w:p w14:paraId="2395CD45"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5.06</w:t>
            </w:r>
          </w:p>
        </w:tc>
        <w:tc>
          <w:tcPr>
            <w:tcW w:w="709" w:type="dxa"/>
            <w:tcBorders>
              <w:top w:val="single" w:sz="4" w:space="0" w:color="auto"/>
            </w:tcBorders>
            <w:shd w:val="clear" w:color="auto" w:fill="auto"/>
            <w:noWrap/>
            <w:vAlign w:val="center"/>
          </w:tcPr>
          <w:p w14:paraId="5AA57526"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0.16</w:t>
            </w:r>
          </w:p>
        </w:tc>
        <w:tc>
          <w:tcPr>
            <w:tcW w:w="992" w:type="dxa"/>
            <w:tcBorders>
              <w:top w:val="single" w:sz="4" w:space="0" w:color="auto"/>
            </w:tcBorders>
            <w:vAlign w:val="center"/>
          </w:tcPr>
          <w:p w14:paraId="188C193C"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0.49</w:t>
            </w:r>
          </w:p>
        </w:tc>
        <w:tc>
          <w:tcPr>
            <w:tcW w:w="851" w:type="dxa"/>
            <w:tcBorders>
              <w:top w:val="single" w:sz="4" w:space="0" w:color="auto"/>
            </w:tcBorders>
            <w:vAlign w:val="center"/>
          </w:tcPr>
          <w:p w14:paraId="51B0D1E3"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0.36</w:t>
            </w:r>
          </w:p>
        </w:tc>
        <w:tc>
          <w:tcPr>
            <w:tcW w:w="1417" w:type="dxa"/>
            <w:tcBorders>
              <w:top w:val="single" w:sz="4" w:space="0" w:color="auto"/>
            </w:tcBorders>
            <w:vAlign w:val="center"/>
          </w:tcPr>
          <w:p w14:paraId="0CDE04E4"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~0.4</w:t>
            </w:r>
          </w:p>
        </w:tc>
      </w:tr>
      <w:tr w:rsidR="00AB7392" w:rsidRPr="006D631C" w14:paraId="530C506A" w14:textId="77777777" w:rsidTr="00AB7392">
        <w:trPr>
          <w:trHeight w:val="399"/>
          <w:jc w:val="center"/>
        </w:trPr>
        <w:tc>
          <w:tcPr>
            <w:tcW w:w="1701" w:type="dxa"/>
            <w:vMerge/>
            <w:tcBorders>
              <w:bottom w:val="single" w:sz="4" w:space="0" w:color="auto"/>
            </w:tcBorders>
            <w:shd w:val="clear" w:color="auto" w:fill="auto"/>
            <w:noWrap/>
            <w:vAlign w:val="center"/>
            <w:hideMark/>
          </w:tcPr>
          <w:p w14:paraId="708EBE0A" w14:textId="77777777" w:rsidR="00AB7392" w:rsidRPr="006D631C" w:rsidRDefault="00AB7392" w:rsidP="0095634C">
            <w:pPr>
              <w:widowControl w:val="0"/>
              <w:spacing w:line="240" w:lineRule="auto"/>
              <w:jc w:val="center"/>
              <w:rPr>
                <w:color w:val="000000"/>
                <w:sz w:val="22"/>
                <w:szCs w:val="22"/>
              </w:rPr>
            </w:pPr>
          </w:p>
        </w:tc>
        <w:tc>
          <w:tcPr>
            <w:tcW w:w="1418" w:type="dxa"/>
            <w:tcBorders>
              <w:bottom w:val="single" w:sz="4" w:space="0" w:color="auto"/>
            </w:tcBorders>
            <w:shd w:val="clear" w:color="auto" w:fill="auto"/>
            <w:noWrap/>
            <w:vAlign w:val="center"/>
            <w:hideMark/>
          </w:tcPr>
          <w:p w14:paraId="2F1D6E4F"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H</w:t>
            </w:r>
            <w:r w:rsidRPr="006D631C">
              <w:rPr>
                <w:color w:val="000000"/>
                <w:sz w:val="22"/>
                <w:szCs w:val="22"/>
                <w:vertAlign w:val="subscript"/>
              </w:rPr>
              <w:t>2</w:t>
            </w:r>
          </w:p>
        </w:tc>
        <w:tc>
          <w:tcPr>
            <w:tcW w:w="1417" w:type="dxa"/>
            <w:tcBorders>
              <w:bottom w:val="single" w:sz="4" w:space="0" w:color="auto"/>
            </w:tcBorders>
            <w:shd w:val="clear" w:color="auto" w:fill="auto"/>
            <w:noWrap/>
            <w:vAlign w:val="center"/>
          </w:tcPr>
          <w:p w14:paraId="171D9D1A"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6.47</w:t>
            </w:r>
          </w:p>
        </w:tc>
        <w:tc>
          <w:tcPr>
            <w:tcW w:w="709" w:type="dxa"/>
            <w:tcBorders>
              <w:bottom w:val="single" w:sz="4" w:space="0" w:color="auto"/>
            </w:tcBorders>
            <w:shd w:val="clear" w:color="auto" w:fill="auto"/>
            <w:noWrap/>
            <w:vAlign w:val="center"/>
          </w:tcPr>
          <w:p w14:paraId="0C5E1301"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0.31</w:t>
            </w:r>
          </w:p>
        </w:tc>
        <w:tc>
          <w:tcPr>
            <w:tcW w:w="992" w:type="dxa"/>
            <w:tcBorders>
              <w:bottom w:val="single" w:sz="4" w:space="0" w:color="auto"/>
            </w:tcBorders>
            <w:vAlign w:val="center"/>
          </w:tcPr>
          <w:p w14:paraId="100BD2C0"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0.54</w:t>
            </w:r>
          </w:p>
        </w:tc>
        <w:tc>
          <w:tcPr>
            <w:tcW w:w="851" w:type="dxa"/>
            <w:tcBorders>
              <w:bottom w:val="single" w:sz="4" w:space="0" w:color="auto"/>
            </w:tcBorders>
            <w:vAlign w:val="center"/>
          </w:tcPr>
          <w:p w14:paraId="30A0CADF"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0.15</w:t>
            </w:r>
          </w:p>
        </w:tc>
        <w:tc>
          <w:tcPr>
            <w:tcW w:w="1417" w:type="dxa"/>
            <w:tcBorders>
              <w:bottom w:val="single" w:sz="4" w:space="0" w:color="auto"/>
            </w:tcBorders>
            <w:vAlign w:val="center"/>
          </w:tcPr>
          <w:p w14:paraId="6E83D842"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~1.3</w:t>
            </w:r>
          </w:p>
        </w:tc>
      </w:tr>
      <w:tr w:rsidR="00AB7392" w:rsidRPr="006D631C" w14:paraId="71053094" w14:textId="77777777" w:rsidTr="00AB7392">
        <w:trPr>
          <w:trHeight w:val="399"/>
          <w:jc w:val="center"/>
        </w:trPr>
        <w:tc>
          <w:tcPr>
            <w:tcW w:w="1701" w:type="dxa"/>
            <w:vMerge w:val="restart"/>
            <w:tcBorders>
              <w:top w:val="single" w:sz="4" w:space="0" w:color="auto"/>
            </w:tcBorders>
            <w:shd w:val="clear" w:color="auto" w:fill="auto"/>
            <w:noWrap/>
            <w:vAlign w:val="center"/>
            <w:hideMark/>
          </w:tcPr>
          <w:p w14:paraId="1A75D6D7"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AIBN-initiated</w:t>
            </w:r>
          </w:p>
        </w:tc>
        <w:tc>
          <w:tcPr>
            <w:tcW w:w="1418" w:type="dxa"/>
            <w:tcBorders>
              <w:top w:val="single" w:sz="4" w:space="0" w:color="auto"/>
            </w:tcBorders>
            <w:shd w:val="clear" w:color="auto" w:fill="auto"/>
            <w:noWrap/>
            <w:vAlign w:val="center"/>
            <w:hideMark/>
          </w:tcPr>
          <w:p w14:paraId="35BFB1E6"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L</w:t>
            </w:r>
            <w:r w:rsidRPr="006D631C">
              <w:rPr>
                <w:color w:val="000000"/>
                <w:sz w:val="22"/>
                <w:szCs w:val="22"/>
                <w:vertAlign w:val="subscript"/>
              </w:rPr>
              <w:t>α</w:t>
            </w:r>
          </w:p>
        </w:tc>
        <w:tc>
          <w:tcPr>
            <w:tcW w:w="1417" w:type="dxa"/>
            <w:tcBorders>
              <w:top w:val="single" w:sz="4" w:space="0" w:color="auto"/>
            </w:tcBorders>
            <w:shd w:val="clear" w:color="auto" w:fill="auto"/>
            <w:noWrap/>
            <w:vAlign w:val="center"/>
          </w:tcPr>
          <w:p w14:paraId="16189C73"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4.98</w:t>
            </w:r>
          </w:p>
        </w:tc>
        <w:tc>
          <w:tcPr>
            <w:tcW w:w="709" w:type="dxa"/>
            <w:tcBorders>
              <w:top w:val="single" w:sz="4" w:space="0" w:color="auto"/>
            </w:tcBorders>
            <w:shd w:val="clear" w:color="auto" w:fill="auto"/>
            <w:noWrap/>
            <w:vAlign w:val="center"/>
          </w:tcPr>
          <w:p w14:paraId="4F4DBA04"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0.16</w:t>
            </w:r>
          </w:p>
        </w:tc>
        <w:tc>
          <w:tcPr>
            <w:tcW w:w="992" w:type="dxa"/>
            <w:tcBorders>
              <w:top w:val="single" w:sz="4" w:space="0" w:color="auto"/>
            </w:tcBorders>
            <w:vAlign w:val="center"/>
          </w:tcPr>
          <w:p w14:paraId="73E6164C"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0.49</w:t>
            </w:r>
          </w:p>
        </w:tc>
        <w:tc>
          <w:tcPr>
            <w:tcW w:w="851" w:type="dxa"/>
            <w:tcBorders>
              <w:top w:val="single" w:sz="4" w:space="0" w:color="auto"/>
            </w:tcBorders>
            <w:vAlign w:val="center"/>
          </w:tcPr>
          <w:p w14:paraId="5CF2628F"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0.36</w:t>
            </w:r>
          </w:p>
        </w:tc>
        <w:tc>
          <w:tcPr>
            <w:tcW w:w="1417" w:type="dxa"/>
            <w:tcBorders>
              <w:top w:val="single" w:sz="4" w:space="0" w:color="auto"/>
            </w:tcBorders>
            <w:vAlign w:val="center"/>
          </w:tcPr>
          <w:p w14:paraId="1B4CEBF7"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~0.4</w:t>
            </w:r>
          </w:p>
        </w:tc>
      </w:tr>
      <w:tr w:rsidR="00AB7392" w:rsidRPr="006D631C" w14:paraId="00A99042" w14:textId="77777777" w:rsidTr="00AB7392">
        <w:trPr>
          <w:trHeight w:val="399"/>
          <w:jc w:val="center"/>
        </w:trPr>
        <w:tc>
          <w:tcPr>
            <w:tcW w:w="1701" w:type="dxa"/>
            <w:vMerge/>
            <w:tcBorders>
              <w:bottom w:val="single" w:sz="4" w:space="0" w:color="auto"/>
            </w:tcBorders>
            <w:shd w:val="clear" w:color="auto" w:fill="auto"/>
            <w:noWrap/>
            <w:vAlign w:val="center"/>
            <w:hideMark/>
          </w:tcPr>
          <w:p w14:paraId="6F259367" w14:textId="77777777" w:rsidR="00AB7392" w:rsidRPr="006D631C" w:rsidRDefault="00AB7392" w:rsidP="0095634C">
            <w:pPr>
              <w:widowControl w:val="0"/>
              <w:spacing w:line="240" w:lineRule="auto"/>
              <w:jc w:val="center"/>
              <w:rPr>
                <w:color w:val="000000"/>
                <w:sz w:val="22"/>
                <w:szCs w:val="22"/>
              </w:rPr>
            </w:pPr>
          </w:p>
        </w:tc>
        <w:tc>
          <w:tcPr>
            <w:tcW w:w="1418" w:type="dxa"/>
            <w:tcBorders>
              <w:bottom w:val="single" w:sz="4" w:space="0" w:color="auto"/>
            </w:tcBorders>
            <w:shd w:val="clear" w:color="auto" w:fill="auto"/>
            <w:noWrap/>
            <w:vAlign w:val="center"/>
            <w:hideMark/>
          </w:tcPr>
          <w:p w14:paraId="0F94B727"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H</w:t>
            </w:r>
            <w:r w:rsidRPr="006D631C">
              <w:rPr>
                <w:color w:val="000000"/>
                <w:sz w:val="22"/>
                <w:szCs w:val="22"/>
                <w:vertAlign w:val="subscript"/>
              </w:rPr>
              <w:t>2</w:t>
            </w:r>
          </w:p>
        </w:tc>
        <w:tc>
          <w:tcPr>
            <w:tcW w:w="1417" w:type="dxa"/>
            <w:tcBorders>
              <w:bottom w:val="single" w:sz="4" w:space="0" w:color="auto"/>
            </w:tcBorders>
            <w:shd w:val="clear" w:color="auto" w:fill="auto"/>
            <w:noWrap/>
            <w:vAlign w:val="center"/>
          </w:tcPr>
          <w:p w14:paraId="574319D3"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6.25</w:t>
            </w:r>
          </w:p>
        </w:tc>
        <w:tc>
          <w:tcPr>
            <w:tcW w:w="709" w:type="dxa"/>
            <w:tcBorders>
              <w:bottom w:val="single" w:sz="4" w:space="0" w:color="auto"/>
            </w:tcBorders>
            <w:shd w:val="clear" w:color="auto" w:fill="auto"/>
            <w:noWrap/>
            <w:vAlign w:val="center"/>
          </w:tcPr>
          <w:p w14:paraId="49E1796F"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0.31</w:t>
            </w:r>
          </w:p>
        </w:tc>
        <w:tc>
          <w:tcPr>
            <w:tcW w:w="992" w:type="dxa"/>
            <w:tcBorders>
              <w:bottom w:val="single" w:sz="4" w:space="0" w:color="auto"/>
            </w:tcBorders>
            <w:vAlign w:val="center"/>
          </w:tcPr>
          <w:p w14:paraId="69FC78BB"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0.54</w:t>
            </w:r>
          </w:p>
        </w:tc>
        <w:tc>
          <w:tcPr>
            <w:tcW w:w="851" w:type="dxa"/>
            <w:tcBorders>
              <w:bottom w:val="single" w:sz="4" w:space="0" w:color="auto"/>
            </w:tcBorders>
            <w:vAlign w:val="center"/>
          </w:tcPr>
          <w:p w14:paraId="15B07CDF"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0.15</w:t>
            </w:r>
          </w:p>
        </w:tc>
        <w:tc>
          <w:tcPr>
            <w:tcW w:w="1417" w:type="dxa"/>
            <w:tcBorders>
              <w:bottom w:val="single" w:sz="4" w:space="0" w:color="auto"/>
            </w:tcBorders>
            <w:vAlign w:val="center"/>
          </w:tcPr>
          <w:p w14:paraId="2B3DE5E7"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~1.3</w:t>
            </w:r>
          </w:p>
        </w:tc>
      </w:tr>
      <w:tr w:rsidR="00AB7392" w:rsidRPr="006D631C" w14:paraId="42C3687D" w14:textId="77777777" w:rsidTr="00AB7392">
        <w:trPr>
          <w:trHeight w:val="399"/>
          <w:jc w:val="center"/>
        </w:trPr>
        <w:tc>
          <w:tcPr>
            <w:tcW w:w="1701" w:type="dxa"/>
            <w:vMerge w:val="restart"/>
            <w:tcBorders>
              <w:top w:val="single" w:sz="4" w:space="0" w:color="auto"/>
            </w:tcBorders>
            <w:shd w:val="clear" w:color="auto" w:fill="auto"/>
            <w:noWrap/>
            <w:vAlign w:val="center"/>
            <w:hideMark/>
          </w:tcPr>
          <w:p w14:paraId="040FF671"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BPO-initiated</w:t>
            </w:r>
          </w:p>
        </w:tc>
        <w:tc>
          <w:tcPr>
            <w:tcW w:w="1418" w:type="dxa"/>
            <w:tcBorders>
              <w:top w:val="single" w:sz="4" w:space="0" w:color="auto"/>
            </w:tcBorders>
            <w:shd w:val="clear" w:color="auto" w:fill="auto"/>
            <w:noWrap/>
            <w:vAlign w:val="center"/>
            <w:hideMark/>
          </w:tcPr>
          <w:p w14:paraId="736E04F2"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L</w:t>
            </w:r>
            <w:r w:rsidRPr="006D631C">
              <w:rPr>
                <w:color w:val="000000"/>
                <w:sz w:val="22"/>
                <w:szCs w:val="22"/>
                <w:vertAlign w:val="subscript"/>
              </w:rPr>
              <w:t>α</w:t>
            </w:r>
          </w:p>
        </w:tc>
        <w:tc>
          <w:tcPr>
            <w:tcW w:w="1417" w:type="dxa"/>
            <w:tcBorders>
              <w:top w:val="single" w:sz="4" w:space="0" w:color="auto"/>
            </w:tcBorders>
            <w:shd w:val="clear" w:color="auto" w:fill="auto"/>
            <w:noWrap/>
            <w:vAlign w:val="center"/>
          </w:tcPr>
          <w:p w14:paraId="5EC0B094"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5.15</w:t>
            </w:r>
          </w:p>
        </w:tc>
        <w:tc>
          <w:tcPr>
            <w:tcW w:w="709" w:type="dxa"/>
            <w:tcBorders>
              <w:top w:val="single" w:sz="4" w:space="0" w:color="auto"/>
            </w:tcBorders>
            <w:shd w:val="clear" w:color="auto" w:fill="auto"/>
            <w:noWrap/>
            <w:vAlign w:val="center"/>
          </w:tcPr>
          <w:p w14:paraId="25F00FA2"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0.16</w:t>
            </w:r>
          </w:p>
        </w:tc>
        <w:tc>
          <w:tcPr>
            <w:tcW w:w="992" w:type="dxa"/>
            <w:tcBorders>
              <w:top w:val="single" w:sz="4" w:space="0" w:color="auto"/>
            </w:tcBorders>
            <w:vAlign w:val="center"/>
          </w:tcPr>
          <w:p w14:paraId="05946DC8"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0.49</w:t>
            </w:r>
          </w:p>
        </w:tc>
        <w:tc>
          <w:tcPr>
            <w:tcW w:w="851" w:type="dxa"/>
            <w:tcBorders>
              <w:top w:val="single" w:sz="4" w:space="0" w:color="auto"/>
            </w:tcBorders>
            <w:vAlign w:val="center"/>
          </w:tcPr>
          <w:p w14:paraId="2A44406A"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0.36</w:t>
            </w:r>
          </w:p>
        </w:tc>
        <w:tc>
          <w:tcPr>
            <w:tcW w:w="1417" w:type="dxa"/>
            <w:tcBorders>
              <w:top w:val="single" w:sz="4" w:space="0" w:color="auto"/>
            </w:tcBorders>
            <w:vAlign w:val="center"/>
          </w:tcPr>
          <w:p w14:paraId="0782DF76"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~0.4</w:t>
            </w:r>
          </w:p>
        </w:tc>
      </w:tr>
      <w:tr w:rsidR="00AB7392" w:rsidRPr="006D631C" w14:paraId="7FD798C5" w14:textId="77777777" w:rsidTr="00AB7392">
        <w:trPr>
          <w:trHeight w:val="399"/>
          <w:jc w:val="center"/>
        </w:trPr>
        <w:tc>
          <w:tcPr>
            <w:tcW w:w="1701" w:type="dxa"/>
            <w:vMerge/>
            <w:tcBorders>
              <w:bottom w:val="single" w:sz="4" w:space="0" w:color="auto"/>
            </w:tcBorders>
            <w:shd w:val="clear" w:color="auto" w:fill="auto"/>
            <w:noWrap/>
            <w:vAlign w:val="center"/>
            <w:hideMark/>
          </w:tcPr>
          <w:p w14:paraId="5D8C6D35" w14:textId="77777777" w:rsidR="00AB7392" w:rsidRPr="006D631C" w:rsidRDefault="00AB7392" w:rsidP="0095634C">
            <w:pPr>
              <w:widowControl w:val="0"/>
              <w:spacing w:line="240" w:lineRule="auto"/>
              <w:jc w:val="center"/>
              <w:rPr>
                <w:color w:val="000000"/>
                <w:sz w:val="22"/>
                <w:szCs w:val="22"/>
              </w:rPr>
            </w:pPr>
          </w:p>
        </w:tc>
        <w:tc>
          <w:tcPr>
            <w:tcW w:w="1418" w:type="dxa"/>
            <w:tcBorders>
              <w:bottom w:val="single" w:sz="4" w:space="0" w:color="auto"/>
            </w:tcBorders>
            <w:shd w:val="clear" w:color="auto" w:fill="auto"/>
            <w:noWrap/>
            <w:vAlign w:val="center"/>
            <w:hideMark/>
          </w:tcPr>
          <w:p w14:paraId="6F46765F"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H</w:t>
            </w:r>
            <w:r w:rsidRPr="006D631C">
              <w:rPr>
                <w:color w:val="000000"/>
                <w:sz w:val="22"/>
                <w:szCs w:val="22"/>
                <w:vertAlign w:val="subscript"/>
              </w:rPr>
              <w:t>2</w:t>
            </w:r>
          </w:p>
        </w:tc>
        <w:tc>
          <w:tcPr>
            <w:tcW w:w="1417" w:type="dxa"/>
            <w:tcBorders>
              <w:bottom w:val="single" w:sz="4" w:space="0" w:color="auto"/>
            </w:tcBorders>
            <w:shd w:val="clear" w:color="auto" w:fill="auto"/>
            <w:noWrap/>
            <w:vAlign w:val="center"/>
          </w:tcPr>
          <w:p w14:paraId="7D381ED5"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6.25</w:t>
            </w:r>
          </w:p>
        </w:tc>
        <w:tc>
          <w:tcPr>
            <w:tcW w:w="709" w:type="dxa"/>
            <w:tcBorders>
              <w:bottom w:val="single" w:sz="4" w:space="0" w:color="auto"/>
            </w:tcBorders>
            <w:shd w:val="clear" w:color="auto" w:fill="auto"/>
            <w:noWrap/>
            <w:vAlign w:val="center"/>
          </w:tcPr>
          <w:p w14:paraId="454A215C"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0.31</w:t>
            </w:r>
          </w:p>
        </w:tc>
        <w:tc>
          <w:tcPr>
            <w:tcW w:w="992" w:type="dxa"/>
            <w:tcBorders>
              <w:bottom w:val="single" w:sz="4" w:space="0" w:color="auto"/>
            </w:tcBorders>
            <w:vAlign w:val="center"/>
          </w:tcPr>
          <w:p w14:paraId="47EEA80E"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0.54</w:t>
            </w:r>
          </w:p>
        </w:tc>
        <w:tc>
          <w:tcPr>
            <w:tcW w:w="851" w:type="dxa"/>
            <w:tcBorders>
              <w:bottom w:val="single" w:sz="4" w:space="0" w:color="auto"/>
            </w:tcBorders>
            <w:vAlign w:val="center"/>
          </w:tcPr>
          <w:p w14:paraId="29B1EE90"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0.15</w:t>
            </w:r>
          </w:p>
        </w:tc>
        <w:tc>
          <w:tcPr>
            <w:tcW w:w="1417" w:type="dxa"/>
            <w:tcBorders>
              <w:bottom w:val="single" w:sz="4" w:space="0" w:color="auto"/>
            </w:tcBorders>
            <w:vAlign w:val="center"/>
          </w:tcPr>
          <w:p w14:paraId="3D4449FF" w14:textId="77777777" w:rsidR="00AB7392" w:rsidRPr="006D631C" w:rsidRDefault="00AB7392" w:rsidP="0095634C">
            <w:pPr>
              <w:widowControl w:val="0"/>
              <w:spacing w:line="240" w:lineRule="auto"/>
              <w:jc w:val="center"/>
              <w:rPr>
                <w:color w:val="000000"/>
                <w:sz w:val="22"/>
                <w:szCs w:val="22"/>
              </w:rPr>
            </w:pPr>
            <w:r w:rsidRPr="006D631C">
              <w:rPr>
                <w:color w:val="000000"/>
                <w:sz w:val="22"/>
                <w:szCs w:val="22"/>
              </w:rPr>
              <w:t>~1.3</w:t>
            </w:r>
          </w:p>
        </w:tc>
      </w:tr>
    </w:tbl>
    <w:p w14:paraId="47FD2536" w14:textId="77777777" w:rsidR="003672EB" w:rsidRPr="006D631C" w:rsidRDefault="003672EB" w:rsidP="00861405">
      <w:pPr>
        <w:pStyle w:val="TOC1"/>
      </w:pPr>
    </w:p>
    <w:p w14:paraId="5BC18DDA" w14:textId="5DB48F98" w:rsidR="00F45A4F" w:rsidRPr="006D631C" w:rsidRDefault="00F45A4F" w:rsidP="00494B59">
      <w:pPr>
        <w:pStyle w:val="Heading3"/>
      </w:pPr>
      <w:bookmarkStart w:id="112" w:name="_Toc148175811"/>
      <w:r w:rsidRPr="006D631C">
        <w:t xml:space="preserve">2.3.3 </w:t>
      </w:r>
      <w:r w:rsidR="00F31914" w:rsidRPr="006D631C">
        <w:t xml:space="preserve">Thermal </w:t>
      </w:r>
      <w:r w:rsidR="00494B59" w:rsidRPr="006D631C">
        <w:t>p</w:t>
      </w:r>
      <w:r w:rsidR="00F31914" w:rsidRPr="006D631C">
        <w:t xml:space="preserve">olymerization </w:t>
      </w:r>
      <w:r w:rsidR="00494B59" w:rsidRPr="006D631C">
        <w:t>k</w:t>
      </w:r>
      <w:r w:rsidR="00F31914" w:rsidRPr="006D631C">
        <w:t>inetics</w:t>
      </w:r>
      <w:bookmarkEnd w:id="112"/>
      <w:r w:rsidRPr="006D631C">
        <w:t xml:space="preserve"> </w:t>
      </w:r>
    </w:p>
    <w:p w14:paraId="48AEA717" w14:textId="5EA0034F" w:rsidR="003672EB" w:rsidRPr="006D631C" w:rsidRDefault="008C48D9" w:rsidP="0090028E">
      <w:pPr>
        <w:ind w:firstLine="357"/>
        <w:rPr>
          <w:rFonts w:asciiTheme="majorBidi" w:hAnsiTheme="majorBidi" w:cstheme="majorBidi"/>
        </w:rPr>
      </w:pPr>
      <w:r w:rsidRPr="006D631C">
        <w:rPr>
          <w:rFonts w:asciiTheme="majorBidi" w:hAnsiTheme="majorBidi" w:cstheme="majorBidi"/>
        </w:rPr>
        <w:t xml:space="preserve">DSC was utilized to study the thermal polymerization kinetics in LLC </w:t>
      </w:r>
      <w:proofErr w:type="spellStart"/>
      <w:r w:rsidRPr="006D631C">
        <w:rPr>
          <w:rFonts w:asciiTheme="majorBidi" w:hAnsiTheme="majorBidi" w:cstheme="majorBidi"/>
        </w:rPr>
        <w:t>nanoconfinements</w:t>
      </w:r>
      <w:proofErr w:type="spellEnd"/>
      <w:r w:rsidRPr="006D631C">
        <w:rPr>
          <w:rFonts w:asciiTheme="majorBidi" w:hAnsiTheme="majorBidi" w:cstheme="majorBidi"/>
        </w:rPr>
        <w:t xml:space="preserve"> dependent on initiators. The calculated normalized polymerization rate and overall monomer conversion for LLC structures are shown in Fig</w:t>
      </w:r>
      <w:r w:rsidR="003D43BE" w:rsidRPr="006D631C">
        <w:rPr>
          <w:rFonts w:asciiTheme="majorBidi" w:hAnsiTheme="majorBidi" w:cstheme="majorBidi"/>
        </w:rPr>
        <w:t>ure</w:t>
      </w:r>
      <w:r w:rsidRPr="006D631C">
        <w:rPr>
          <w:rFonts w:asciiTheme="majorBidi" w:hAnsiTheme="majorBidi" w:cstheme="majorBidi"/>
        </w:rPr>
        <w:t xml:space="preserve"> </w:t>
      </w:r>
      <w:r w:rsidR="003D43BE" w:rsidRPr="006D631C">
        <w:rPr>
          <w:rFonts w:asciiTheme="majorBidi" w:hAnsiTheme="majorBidi" w:cstheme="majorBidi"/>
        </w:rPr>
        <w:t>2-4</w:t>
      </w:r>
      <w:r w:rsidRPr="006D631C">
        <w:rPr>
          <w:rFonts w:asciiTheme="majorBidi" w:hAnsiTheme="majorBidi" w:cstheme="majorBidi"/>
        </w:rPr>
        <w:t>. It is noteworthy that for all of the initiation systems, the absence of any fluctuation and/or discontinuities in DSC results (see Fig</w:t>
      </w:r>
      <w:r w:rsidR="00E93CC9" w:rsidRPr="006D631C">
        <w:rPr>
          <w:rFonts w:asciiTheme="majorBidi" w:hAnsiTheme="majorBidi" w:cstheme="majorBidi"/>
        </w:rPr>
        <w:t>ure</w:t>
      </w:r>
      <w:r w:rsidRPr="006D631C">
        <w:rPr>
          <w:rFonts w:asciiTheme="majorBidi" w:hAnsiTheme="majorBidi" w:cstheme="majorBidi"/>
        </w:rPr>
        <w:t xml:space="preserve"> </w:t>
      </w:r>
      <w:r w:rsidR="00D01368" w:rsidRPr="006D631C">
        <w:rPr>
          <w:rFonts w:asciiTheme="majorBidi" w:hAnsiTheme="majorBidi" w:cstheme="majorBidi"/>
        </w:rPr>
        <w:t>C</w:t>
      </w:r>
      <w:r w:rsidR="00AD32BF" w:rsidRPr="006D631C">
        <w:rPr>
          <w:rFonts w:asciiTheme="majorBidi" w:hAnsiTheme="majorBidi" w:cstheme="majorBidi"/>
        </w:rPr>
        <w:t xml:space="preserve">2 in </w:t>
      </w:r>
      <w:r w:rsidR="0090028E" w:rsidRPr="006D631C">
        <w:rPr>
          <w:rFonts w:asciiTheme="majorBidi" w:hAnsiTheme="majorBidi" w:cstheme="majorBidi"/>
        </w:rPr>
        <w:t xml:space="preserve">Appendix </w:t>
      </w:r>
      <w:r w:rsidR="00AD32BF" w:rsidRPr="006D631C">
        <w:rPr>
          <w:rFonts w:asciiTheme="majorBidi" w:hAnsiTheme="majorBidi" w:cstheme="majorBidi"/>
        </w:rPr>
        <w:t>C</w:t>
      </w:r>
      <w:r w:rsidRPr="006D631C">
        <w:rPr>
          <w:rFonts w:asciiTheme="majorBidi" w:hAnsiTheme="majorBidi" w:cstheme="majorBidi"/>
        </w:rPr>
        <w:t xml:space="preserve"> for typical raw DSC data) confirms that no structural changes happen during polymerization of LLCs.</w:t>
      </w:r>
      <w:r w:rsidRPr="006D631C">
        <w:rPr>
          <w:rFonts w:asciiTheme="majorBidi" w:hAnsiTheme="majorBidi" w:cstheme="majorBidi"/>
        </w:rPr>
        <w:fldChar w:fldCharType="begin" w:fldLock="1"/>
      </w:r>
      <w:r w:rsidR="00426571" w:rsidRPr="006D631C">
        <w:rPr>
          <w:rFonts w:asciiTheme="majorBidi" w:hAnsiTheme="majorBidi" w:cstheme="majorBidi"/>
        </w:rPr>
        <w:instrText>ADDIN CSL_CITATION {"citationItems":[{"id":"ITEM-1","itemData":{"DOI":"10.1002/polb.24296","ISSN":"10990488","abstract":"Photopolymerization in and of lyotropic liquid crystal (LLC) template phases shows great promise for generating nanostructure in organic polymers. Interestingly, the order imposed on the polymerization system in LLCs significantly alters polymerization kinetics. The rate of polymerization of hydrophilic monomers increases with increasing LLC order, primarily due to monomer/polymer association with surfactant and the resulting decrease of growing polymer chain diffusion. Conversely, as LLC order increases, hydrophobic monomers become less segregated as nonpolar volume increases, which decreases polymerization rate. The efficiency of initiators is also dependent on LLC template order, further contributing to polymerization rate changes. When reactive surfactants are used, LLC mesophase, location of reactive group, and aliphatic tail length also affect polymerization kinetics. Overall, these photopolymerization kinetics directly relate to the segregation behavior and local order of reactive groups and thus can be used to probe nanostructure evolution, facilitating understanding and control of ultimate polymer nanostructure. © 2017 Wiley Periodicals, Inc. J. Polym. Sci., Part B: Polym. Phys. 2017, 55, 471–489.","author":[{"dropping-particle":"","family":"Worthington","given":"Kristan S.","non-dropping-particle":"","parse-names":false,"suffix":""},{"dropping-particle":"","family":"Baguenard","given":"Céline","non-dropping-particle":"","parse-names":false,"suffix":""},{"dropping-particle":"","family":"Forney","given":"Bradley S.","non-dropping-particle":"","parse-names":false,"suffix":""},{"dropping-particle":"","family":"Guymon","given":"C. Allan","non-dropping-particle":"","parse-names":false,"suffix":""}],"container-title":"Journal of Polymer Science, Part B: Polymer Physics","id":"ITEM-1","issue":"6","issued":{"date-parts":[["2017","3","15"]]},"page":"471-489","title":"Photopolymerization kinetics in and of self-assembling lyotropic liquid crystal templates","type":"article-journal","volume":"55"},"uris":["http://www.mendeley.com/documents/?uuid=e84953dd-2ec0-4bed-8555-bc9ed5be609b"]}],"mendeley":{"formattedCitation":"&lt;sup&gt;27&lt;/sup&gt;","plainTextFormattedCitation":"27","previouslyFormattedCitation":"&lt;sup&gt;27&lt;/sup&gt;"},"properties":{"noteIndex":0},"schema":"https://github.com/citation-style-language/schema/raw/master/csl-citation.json"}</w:instrText>
      </w:r>
      <w:r w:rsidRPr="006D631C">
        <w:rPr>
          <w:rFonts w:asciiTheme="majorBidi" w:hAnsiTheme="majorBidi" w:cstheme="majorBidi"/>
        </w:rPr>
        <w:fldChar w:fldCharType="separate"/>
      </w:r>
      <w:r w:rsidR="008D2C96" w:rsidRPr="006D631C">
        <w:rPr>
          <w:rFonts w:asciiTheme="majorBidi" w:hAnsiTheme="majorBidi" w:cstheme="majorBidi"/>
          <w:noProof/>
          <w:vertAlign w:val="superscript"/>
        </w:rPr>
        <w:t>27</w:t>
      </w:r>
      <w:r w:rsidRPr="006D631C">
        <w:rPr>
          <w:rFonts w:asciiTheme="majorBidi" w:hAnsiTheme="majorBidi" w:cstheme="majorBidi"/>
        </w:rPr>
        <w:fldChar w:fldCharType="end"/>
      </w:r>
      <w:r w:rsidRPr="006D631C">
        <w:rPr>
          <w:rFonts w:asciiTheme="majorBidi" w:hAnsiTheme="majorBidi" w:cstheme="majorBidi"/>
        </w:rPr>
        <w:t xml:space="preserve"> This conclusion agrees with SAXS results, proving the retention of structure during polymerization of studied samples.</w:t>
      </w:r>
    </w:p>
    <w:p w14:paraId="72860606" w14:textId="7311BEC4" w:rsidR="00D32955" w:rsidRPr="006D631C" w:rsidRDefault="00F07945" w:rsidP="00861405">
      <w:pPr>
        <w:pStyle w:val="TOC1"/>
        <w:rPr>
          <w:noProof w:val="0"/>
        </w:rPr>
      </w:pPr>
      <w:r w:rsidRPr="006D631C">
        <w:lastRenderedPageBreak/>
        <w:drawing>
          <wp:inline distT="0" distB="0" distL="0" distR="0" wp14:anchorId="5FF016EF" wp14:editId="4B8C4252">
            <wp:extent cx="5544000" cy="7066485"/>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44000" cy="7066485"/>
                    </a:xfrm>
                    <a:prstGeom prst="rect">
                      <a:avLst/>
                    </a:prstGeom>
                    <a:noFill/>
                  </pic:spPr>
                </pic:pic>
              </a:graphicData>
            </a:graphic>
          </wp:inline>
        </w:drawing>
      </w:r>
    </w:p>
    <w:p w14:paraId="578FB6E9" w14:textId="6D608102" w:rsidR="001E10D0" w:rsidRPr="006D631C" w:rsidRDefault="001E10D0" w:rsidP="001E10D0">
      <w:pPr>
        <w:pStyle w:val="Caption"/>
        <w:jc w:val="center"/>
        <w:rPr>
          <w:rFonts w:cs="Times New Roman"/>
          <w:sz w:val="22"/>
          <w:szCs w:val="22"/>
        </w:rPr>
      </w:pPr>
      <w:bookmarkStart w:id="113" w:name="_Toc148175929"/>
      <w:r w:rsidRPr="006D631C">
        <w:rPr>
          <w:rFonts w:cs="Times New Roman"/>
          <w:sz w:val="22"/>
          <w:szCs w:val="22"/>
        </w:rPr>
        <w:t xml:space="preserve">Figure </w:t>
      </w:r>
      <w:r w:rsidR="00B55F32" w:rsidRPr="006D631C">
        <w:rPr>
          <w:rFonts w:cs="Times New Roman"/>
          <w:sz w:val="22"/>
          <w:szCs w:val="22"/>
        </w:rPr>
        <w:fldChar w:fldCharType="begin"/>
      </w:r>
      <w:r w:rsidR="00B55F32" w:rsidRPr="006D631C">
        <w:rPr>
          <w:rFonts w:cs="Times New Roman"/>
          <w:sz w:val="22"/>
          <w:szCs w:val="22"/>
        </w:rPr>
        <w:instrText xml:space="preserve"> STYLEREF 1 \s </w:instrText>
      </w:r>
      <w:r w:rsidR="00B55F32" w:rsidRPr="006D631C">
        <w:rPr>
          <w:rFonts w:cs="Times New Roman"/>
          <w:sz w:val="22"/>
          <w:szCs w:val="22"/>
        </w:rPr>
        <w:fldChar w:fldCharType="separate"/>
      </w:r>
      <w:r w:rsidR="00B55F32" w:rsidRPr="006D631C">
        <w:rPr>
          <w:rFonts w:cs="Times New Roman"/>
          <w:sz w:val="22"/>
          <w:szCs w:val="22"/>
          <w:cs/>
        </w:rPr>
        <w:t>‎</w:t>
      </w:r>
      <w:r w:rsidR="00B55F32" w:rsidRPr="006D631C">
        <w:rPr>
          <w:rFonts w:cs="Times New Roman"/>
          <w:sz w:val="22"/>
          <w:szCs w:val="22"/>
        </w:rPr>
        <w:t>2</w:t>
      </w:r>
      <w:r w:rsidR="00B55F32" w:rsidRPr="006D631C">
        <w:rPr>
          <w:rFonts w:cs="Times New Roman"/>
          <w:sz w:val="22"/>
          <w:szCs w:val="22"/>
        </w:rPr>
        <w:fldChar w:fldCharType="end"/>
      </w:r>
      <w:r w:rsidR="00B55F32" w:rsidRPr="006D631C">
        <w:rPr>
          <w:rFonts w:cs="Times New Roman"/>
          <w:sz w:val="22"/>
          <w:szCs w:val="22"/>
        </w:rPr>
        <w:noBreakHyphen/>
      </w:r>
      <w:r w:rsidR="00B55F32" w:rsidRPr="006D631C">
        <w:rPr>
          <w:rFonts w:cs="Times New Roman"/>
          <w:sz w:val="22"/>
          <w:szCs w:val="22"/>
        </w:rPr>
        <w:fldChar w:fldCharType="begin"/>
      </w:r>
      <w:r w:rsidR="00B55F32" w:rsidRPr="006D631C">
        <w:rPr>
          <w:rFonts w:cs="Times New Roman"/>
          <w:sz w:val="22"/>
          <w:szCs w:val="22"/>
        </w:rPr>
        <w:instrText xml:space="preserve"> SEQ Figure \* ARABIC \s 1 </w:instrText>
      </w:r>
      <w:r w:rsidR="00B55F32" w:rsidRPr="006D631C">
        <w:rPr>
          <w:rFonts w:cs="Times New Roman"/>
          <w:sz w:val="22"/>
          <w:szCs w:val="22"/>
        </w:rPr>
        <w:fldChar w:fldCharType="separate"/>
      </w:r>
      <w:r w:rsidR="00B55F32" w:rsidRPr="006D631C">
        <w:rPr>
          <w:rFonts w:cs="Times New Roman"/>
          <w:sz w:val="22"/>
          <w:szCs w:val="22"/>
        </w:rPr>
        <w:t>4</w:t>
      </w:r>
      <w:r w:rsidR="00B55F32" w:rsidRPr="006D631C">
        <w:rPr>
          <w:rFonts w:cs="Times New Roman"/>
          <w:sz w:val="22"/>
          <w:szCs w:val="22"/>
        </w:rPr>
        <w:fldChar w:fldCharType="end"/>
      </w:r>
      <w:r w:rsidRPr="006D631C">
        <w:rPr>
          <w:rFonts w:cs="Times New Roman"/>
          <w:sz w:val="22"/>
          <w:szCs w:val="22"/>
        </w:rPr>
        <w:t xml:space="preserve">. </w:t>
      </w:r>
      <w:r w:rsidRPr="006D631C">
        <w:rPr>
          <w:rFonts w:eastAsia="Calibri" w:cs="Times New Roman"/>
          <w:iCs w:val="0"/>
          <w:color w:val="auto"/>
          <w:sz w:val="22"/>
          <w:szCs w:val="22"/>
        </w:rPr>
        <w:t xml:space="preserve">Normalized polymerization rate versus time and overall monomer conversion obtained from thermal polymerization in hexagonal and lamellar structures using different initiation systems: (a) APS, (b) BPO, (c) AIBN, (d) APS+AIBN and (e) APS+BPO. For all samples, the total initiator concentration of 5 </w:t>
      </w:r>
      <w:proofErr w:type="spellStart"/>
      <w:r w:rsidRPr="006D631C">
        <w:rPr>
          <w:rFonts w:eastAsia="Calibri" w:cs="Times New Roman"/>
          <w:iCs w:val="0"/>
          <w:color w:val="auto"/>
          <w:sz w:val="22"/>
          <w:szCs w:val="22"/>
        </w:rPr>
        <w:t>mol</w:t>
      </w:r>
      <w:proofErr w:type="spellEnd"/>
      <w:r w:rsidRPr="006D631C">
        <w:rPr>
          <w:rFonts w:eastAsia="Calibri" w:cs="Times New Roman"/>
          <w:iCs w:val="0"/>
          <w:color w:val="auto"/>
          <w:sz w:val="22"/>
          <w:szCs w:val="22"/>
        </w:rPr>
        <w:t>% was used with respect to the total monomer content.</w:t>
      </w:r>
      <w:bookmarkEnd w:id="113"/>
    </w:p>
    <w:p w14:paraId="0AD065DC" w14:textId="774E1EA6" w:rsidR="00F07945" w:rsidRPr="006D631C" w:rsidRDefault="00904ED4" w:rsidP="0090028E">
      <w:pPr>
        <w:ind w:firstLine="357"/>
      </w:pPr>
      <w:r w:rsidRPr="006D631C">
        <w:rPr>
          <w:rFonts w:asciiTheme="majorBidi" w:hAnsiTheme="majorBidi" w:cstheme="majorBidi"/>
        </w:rPr>
        <w:lastRenderedPageBreak/>
        <w:t xml:space="preserve">Unexpectedly, APS-initiated thermal polymerization (IFW) shows much faster polymerization rate compared to the IFO reactions initiated by AIBN and BPO. The maximum polymerization rate for IFW system is ~2.5-3 times higher than for IFO ones. Furthermore, the overall monomer conversion is more than 90% for IFW, whereas less than 75% conversion is achieved with IFO approach. One might argue that such difference is due to the different free radical concentrations generated by different initiators. To examine this hypothesis, we calculated and plotted the theoretical concentration of free radicals (normalized with the initiator efficiency) produced by different thermal initiators over time at 55, 65, and 75 °C and initial initiator concentration of 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with respect to the total monomer content. The calculation and results are presented in </w:t>
      </w:r>
      <w:r w:rsidR="0090028E" w:rsidRPr="006D631C">
        <w:rPr>
          <w:rFonts w:asciiTheme="majorBidi" w:hAnsiTheme="majorBidi" w:cstheme="majorBidi"/>
        </w:rPr>
        <w:t xml:space="preserve">Appendix </w:t>
      </w:r>
      <w:r w:rsidR="004B6CD6" w:rsidRPr="006D631C">
        <w:rPr>
          <w:rFonts w:asciiTheme="majorBidi" w:hAnsiTheme="majorBidi" w:cstheme="majorBidi"/>
        </w:rPr>
        <w:t>C</w:t>
      </w:r>
      <w:r w:rsidRPr="006D631C">
        <w:rPr>
          <w:rFonts w:asciiTheme="majorBidi" w:hAnsiTheme="majorBidi" w:cstheme="majorBidi"/>
        </w:rPr>
        <w:t xml:space="preserve"> (</w:t>
      </w:r>
      <w:r w:rsidR="004B6CD6" w:rsidRPr="006D631C">
        <w:rPr>
          <w:rFonts w:asciiTheme="majorBidi" w:hAnsiTheme="majorBidi" w:cstheme="majorBidi"/>
        </w:rPr>
        <w:t>the</w:t>
      </w:r>
      <w:r w:rsidRPr="006D631C">
        <w:rPr>
          <w:rFonts w:asciiTheme="majorBidi" w:hAnsiTheme="majorBidi" w:cstheme="majorBidi"/>
        </w:rPr>
        <w:t xml:space="preserve"> text and Fig</w:t>
      </w:r>
      <w:r w:rsidR="004B6CD6" w:rsidRPr="006D631C">
        <w:rPr>
          <w:rFonts w:asciiTheme="majorBidi" w:hAnsiTheme="majorBidi" w:cstheme="majorBidi"/>
        </w:rPr>
        <w:t>ure</w:t>
      </w:r>
      <w:r w:rsidRPr="006D631C">
        <w:rPr>
          <w:rFonts w:asciiTheme="majorBidi" w:hAnsiTheme="majorBidi" w:cstheme="majorBidi"/>
        </w:rPr>
        <w:t xml:space="preserve"> </w:t>
      </w:r>
      <w:r w:rsidR="004B6CD6" w:rsidRPr="006D631C">
        <w:rPr>
          <w:rFonts w:asciiTheme="majorBidi" w:hAnsiTheme="majorBidi" w:cstheme="majorBidi"/>
        </w:rPr>
        <w:t>C</w:t>
      </w:r>
      <w:r w:rsidR="00155658" w:rsidRPr="006D631C">
        <w:rPr>
          <w:rFonts w:asciiTheme="majorBidi" w:hAnsiTheme="majorBidi" w:cstheme="majorBidi"/>
        </w:rPr>
        <w:t>3</w:t>
      </w:r>
      <w:r w:rsidRPr="006D631C">
        <w:rPr>
          <w:rFonts w:asciiTheme="majorBidi" w:hAnsiTheme="majorBidi" w:cstheme="majorBidi"/>
        </w:rPr>
        <w:t xml:space="preserve">). AIBN has the highest free radical generation capability and the concentration of the free radicals generated by APS is in between of AIBN and BPO. Therefore, the free radical concentration is not the </w:t>
      </w:r>
      <w:r w:rsidR="007236E5" w:rsidRPr="006D631C">
        <w:rPr>
          <w:rFonts w:asciiTheme="majorBidi" w:hAnsiTheme="majorBidi" w:cstheme="majorBidi"/>
        </w:rPr>
        <w:t>only</w:t>
      </w:r>
      <w:r w:rsidRPr="006D631C">
        <w:rPr>
          <w:rFonts w:asciiTheme="majorBidi" w:hAnsiTheme="majorBidi" w:cstheme="majorBidi"/>
        </w:rPr>
        <w:t xml:space="preserve"> factor determining the reaction rates for different initiation systems.</w:t>
      </w:r>
    </w:p>
    <w:p w14:paraId="354BDCD0" w14:textId="5A08193A" w:rsidR="005F23CB" w:rsidRPr="006D631C" w:rsidRDefault="00C8511C" w:rsidP="00C54195">
      <w:pPr>
        <w:ind w:firstLine="357"/>
      </w:pPr>
      <w:r w:rsidRPr="006D631C">
        <w:rPr>
          <w:rFonts w:asciiTheme="majorBidi" w:hAnsiTheme="majorBidi" w:cstheme="majorBidi"/>
        </w:rPr>
        <w:t>To further evaluate IFW and IFO, we polymerized the oil phase in the same structure using a combination of IFW and IFO systems (APS</w:t>
      </w:r>
      <w:r w:rsidR="0078336F" w:rsidRPr="006D631C">
        <w:rPr>
          <w:rFonts w:asciiTheme="majorBidi" w:hAnsiTheme="majorBidi" w:cstheme="majorBidi"/>
        </w:rPr>
        <w:t>+</w:t>
      </w:r>
      <w:r w:rsidRPr="006D631C">
        <w:rPr>
          <w:rFonts w:asciiTheme="majorBidi" w:hAnsiTheme="majorBidi" w:cstheme="majorBidi"/>
        </w:rPr>
        <w:t>AIBN and APS</w:t>
      </w:r>
      <w:r w:rsidR="0078336F" w:rsidRPr="006D631C">
        <w:rPr>
          <w:rFonts w:asciiTheme="majorBidi" w:hAnsiTheme="majorBidi" w:cstheme="majorBidi"/>
        </w:rPr>
        <w:t>+</w:t>
      </w:r>
      <w:r w:rsidRPr="006D631C">
        <w:rPr>
          <w:rFonts w:asciiTheme="majorBidi" w:hAnsiTheme="majorBidi" w:cstheme="majorBidi"/>
        </w:rPr>
        <w:t xml:space="preserve">BPO). We used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of each initiator to adjust the total initiator content to 5 </w:t>
      </w:r>
      <w:proofErr w:type="spellStart"/>
      <w:r w:rsidRPr="006D631C">
        <w:rPr>
          <w:rFonts w:asciiTheme="majorBidi" w:hAnsiTheme="majorBidi" w:cstheme="majorBidi"/>
        </w:rPr>
        <w:t>mol</w:t>
      </w:r>
      <w:proofErr w:type="spellEnd"/>
      <w:r w:rsidRPr="006D631C">
        <w:rPr>
          <w:rFonts w:asciiTheme="majorBidi" w:hAnsiTheme="majorBidi" w:cstheme="majorBidi"/>
        </w:rPr>
        <w:t>% with respect to the total monomer concentration. The acquired results show that the reaction kinetics for IFW+IFO fits in between of IFW and IFO systems. Additionally, the maximum polymerization rate is almost doubled for both AIBN and BPO when combined with APS. Furthermore, the overall monomer conversion enhanced from ~75% to ~97% and from ~50% to ~80% for AIBN+APS and BPO+APS, respectively. These results become interesting when we compare the free radical concentration trend for the mixed initiation systems with those for separate initiators (see Fig</w:t>
      </w:r>
      <w:r w:rsidR="005C341C" w:rsidRPr="006D631C">
        <w:rPr>
          <w:rFonts w:asciiTheme="majorBidi" w:hAnsiTheme="majorBidi" w:cstheme="majorBidi"/>
        </w:rPr>
        <w:t>ure</w:t>
      </w:r>
      <w:r w:rsidRPr="006D631C">
        <w:rPr>
          <w:rFonts w:asciiTheme="majorBidi" w:hAnsiTheme="majorBidi" w:cstheme="majorBidi"/>
        </w:rPr>
        <w:t xml:space="preserve"> </w:t>
      </w:r>
      <w:r w:rsidR="005C341C" w:rsidRPr="006D631C">
        <w:rPr>
          <w:rFonts w:asciiTheme="majorBidi" w:hAnsiTheme="majorBidi" w:cstheme="majorBidi"/>
        </w:rPr>
        <w:t>C</w:t>
      </w:r>
      <w:r w:rsidR="00C54195" w:rsidRPr="006D631C">
        <w:rPr>
          <w:rFonts w:asciiTheme="majorBidi" w:hAnsiTheme="majorBidi" w:cstheme="majorBidi"/>
        </w:rPr>
        <w:t>3</w:t>
      </w:r>
      <w:r w:rsidRPr="006D631C">
        <w:rPr>
          <w:rFonts w:asciiTheme="majorBidi" w:hAnsiTheme="majorBidi" w:cstheme="majorBidi"/>
        </w:rPr>
        <w:t xml:space="preserve">). The concentration of active sites decreases when we combine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APS with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AIBN, </w:t>
      </w:r>
      <w:r w:rsidRPr="006D631C">
        <w:rPr>
          <w:rFonts w:asciiTheme="majorBidi" w:hAnsiTheme="majorBidi" w:cstheme="majorBidi"/>
        </w:rPr>
        <w:lastRenderedPageBreak/>
        <w:t xml:space="preserve">but the reaction rate as well as monomer conversion increases compared to 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AIBN alone. In contrast, the free radical content of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BPO combined with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APS is higher than that of 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BPO and still the polymerization rate and monomer conversion improve. Based on these observations, one may suggest that there is another important factor controlling the polymerization kinetics in the </w:t>
      </w:r>
      <w:proofErr w:type="spellStart"/>
      <w:r w:rsidRPr="006D631C">
        <w:rPr>
          <w:rFonts w:asciiTheme="majorBidi" w:hAnsiTheme="majorBidi" w:cstheme="majorBidi"/>
        </w:rPr>
        <w:t>nanoconfinements</w:t>
      </w:r>
      <w:proofErr w:type="spellEnd"/>
      <w:r w:rsidRPr="006D631C">
        <w:rPr>
          <w:rFonts w:asciiTheme="majorBidi" w:hAnsiTheme="majorBidi" w:cstheme="majorBidi"/>
        </w:rPr>
        <w:t xml:space="preserve"> of the LLCs. To determine the controlling parameter, we performed the same experiments with hexagonal LLC structure to investigate if the same trend is observed for polymerization kinetics.</w:t>
      </w:r>
    </w:p>
    <w:p w14:paraId="4D965104" w14:textId="6658187D" w:rsidR="005F23CB" w:rsidRPr="006D631C" w:rsidRDefault="002002B5" w:rsidP="002002B5">
      <w:pPr>
        <w:ind w:firstLine="357"/>
        <w:rPr>
          <w:rFonts w:asciiTheme="majorBidi" w:hAnsiTheme="majorBidi" w:cstheme="majorBidi"/>
        </w:rPr>
      </w:pPr>
      <w:r w:rsidRPr="006D631C">
        <w:rPr>
          <w:rFonts w:asciiTheme="majorBidi" w:hAnsiTheme="majorBidi" w:cstheme="majorBidi"/>
        </w:rPr>
        <w:t>As shown in Figure 2-4, the reaction kinetics in the hexagonal LLC changes in a fashion similar to what is observed for lamellar phase, i.e., the fastest polymerization rate is observed when APS is used. The maximum reaction rate for APS is ~1.6 and ~2.7 times higher than that for AIBN and BPO-initiated samples, respectively. The monomer conversion of about 90% is achieved for APS and AIBN, whereas the conversion of 65% is seen for BPO. Furthermore, similar to the polymerization in lamellar structure, an improvement in the polymerization rate as well as monomer conversion is seen for AIBN+APS and BPO+APS.</w:t>
      </w:r>
    </w:p>
    <w:p w14:paraId="6B4C1C0F" w14:textId="771FFDDD" w:rsidR="00AB42A8" w:rsidRPr="006D631C" w:rsidRDefault="00AF7AD4" w:rsidP="0087468C">
      <w:pPr>
        <w:ind w:firstLine="357"/>
        <w:rPr>
          <w:rFonts w:asciiTheme="majorBidi" w:hAnsiTheme="majorBidi" w:cstheme="majorBidi"/>
        </w:rPr>
      </w:pPr>
      <w:r w:rsidRPr="006D631C">
        <w:rPr>
          <w:rFonts w:asciiTheme="majorBidi" w:hAnsiTheme="majorBidi" w:cstheme="majorBidi"/>
        </w:rPr>
        <w:t xml:space="preserve">Although the overall trends of polymerization kinetics are similar in lamellar and hexagonal structures, some noticeable differences exist in terms of the values of polymerization rates and monomer conversions.  Therefore, it seems crucial to have a comparison between the results for lamellar and hexagonal phases. Since we have normalized the polymerization rate to the monomer concentration, we can compare the polymerization kinetics irrespective of monomer concentration difference between these two LLC structures. Analysis of SAXS data revealed that the </w:t>
      </w:r>
      <w:proofErr w:type="spellStart"/>
      <w:r w:rsidRPr="006D631C">
        <w:rPr>
          <w:rFonts w:asciiTheme="majorBidi" w:hAnsiTheme="majorBidi" w:cstheme="majorBidi"/>
        </w:rPr>
        <w:t>nanoconfinement</w:t>
      </w:r>
      <w:proofErr w:type="spellEnd"/>
      <w:r w:rsidRPr="006D631C">
        <w:rPr>
          <w:rFonts w:asciiTheme="majorBidi" w:hAnsiTheme="majorBidi" w:cstheme="majorBidi"/>
        </w:rPr>
        <w:t xml:space="preserve"> size of 0.5 and 1.2 nm is obtained for lamellar and hexagonal LLCs, respectively. </w:t>
      </w:r>
      <w:proofErr w:type="spellStart"/>
      <w:r w:rsidR="005D0786" w:rsidRPr="006D631C">
        <w:rPr>
          <w:rFonts w:asciiTheme="majorBidi" w:hAnsiTheme="majorBidi" w:cstheme="majorBidi"/>
        </w:rPr>
        <w:t>Qavi</w:t>
      </w:r>
      <w:proofErr w:type="spellEnd"/>
      <w:r w:rsidR="005D0786" w:rsidRPr="006D631C">
        <w:rPr>
          <w:rFonts w:asciiTheme="majorBidi" w:hAnsiTheme="majorBidi" w:cstheme="majorBidi"/>
        </w:rPr>
        <w:t xml:space="preserve"> </w:t>
      </w:r>
      <w:r w:rsidR="005D0786" w:rsidRPr="006D631C">
        <w:rPr>
          <w:rFonts w:asciiTheme="majorBidi" w:hAnsiTheme="majorBidi" w:cstheme="majorBidi"/>
          <w:i/>
          <w:iCs/>
        </w:rPr>
        <w:t>et al.</w:t>
      </w:r>
      <w:r w:rsidRPr="006D631C">
        <w:rPr>
          <w:rFonts w:asciiTheme="majorBidi" w:hAnsiTheme="majorBidi" w:cstheme="majorBidi"/>
        </w:rPr>
        <w:t xml:space="preserve"> have shown that as the size of confinement decreases, the local concentration of radicals and </w:t>
      </w:r>
      <w:proofErr w:type="spellStart"/>
      <w:r w:rsidRPr="006D631C">
        <w:rPr>
          <w:rFonts w:asciiTheme="majorBidi" w:hAnsiTheme="majorBidi" w:cstheme="majorBidi"/>
        </w:rPr>
        <w:t>macroradicals</w:t>
      </w:r>
      <w:proofErr w:type="spellEnd"/>
      <w:r w:rsidRPr="006D631C">
        <w:rPr>
          <w:rFonts w:asciiTheme="majorBidi" w:hAnsiTheme="majorBidi" w:cstheme="majorBidi"/>
        </w:rPr>
        <w:t xml:space="preserve"> increases, enhancing the termination reaction</w:t>
      </w:r>
      <w:r w:rsidR="00407F79" w:rsidRPr="006D631C">
        <w:rPr>
          <w:rFonts w:asciiTheme="majorBidi" w:hAnsiTheme="majorBidi" w:cstheme="majorBidi"/>
        </w:rPr>
        <w:t xml:space="preserve"> as well as free radicals </w:t>
      </w:r>
      <w:r w:rsidR="00407F79" w:rsidRPr="006D631C">
        <w:rPr>
          <w:rFonts w:asciiTheme="majorBidi" w:hAnsiTheme="majorBidi" w:cstheme="majorBidi"/>
        </w:rPr>
        <w:lastRenderedPageBreak/>
        <w:t>recombination due to the ca</w:t>
      </w:r>
      <w:r w:rsidR="0027187C" w:rsidRPr="006D631C">
        <w:rPr>
          <w:rFonts w:asciiTheme="majorBidi" w:hAnsiTheme="majorBidi" w:cstheme="majorBidi"/>
        </w:rPr>
        <w:t>g</w:t>
      </w:r>
      <w:r w:rsidR="00407F79" w:rsidRPr="006D631C">
        <w:rPr>
          <w:rFonts w:asciiTheme="majorBidi" w:hAnsiTheme="majorBidi" w:cstheme="majorBidi"/>
        </w:rPr>
        <w:t>e effect</w:t>
      </w:r>
      <w:r w:rsidRPr="006D631C">
        <w:rPr>
          <w:rFonts w:asciiTheme="majorBidi" w:hAnsiTheme="majorBidi" w:cstheme="majorBidi"/>
        </w:rPr>
        <w:t xml:space="preserve"> and thus slowing down the polymerization in LLCs.</w:t>
      </w:r>
      <w:r w:rsidRPr="006D631C">
        <w:rPr>
          <w:rFonts w:asciiTheme="majorBidi" w:hAnsiTheme="majorBidi" w:cstheme="majorBidi"/>
        </w:rPr>
        <w:fldChar w:fldCharType="begin" w:fldLock="1"/>
      </w:r>
      <w:r w:rsidR="00136933"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00426571" w:rsidRPr="006D631C">
        <w:rPr>
          <w:rFonts w:asciiTheme="majorBidi" w:hAnsiTheme="majorBidi" w:cstheme="majorBidi"/>
          <w:noProof/>
          <w:vertAlign w:val="superscript"/>
        </w:rPr>
        <w:t>56</w:t>
      </w:r>
      <w:r w:rsidRPr="006D631C">
        <w:rPr>
          <w:rFonts w:asciiTheme="majorBidi" w:hAnsiTheme="majorBidi" w:cstheme="majorBidi"/>
        </w:rPr>
        <w:fldChar w:fldCharType="end"/>
      </w:r>
      <w:r w:rsidR="0035731B" w:rsidRPr="006D631C">
        <w:rPr>
          <w:rFonts w:asciiTheme="majorBidi" w:hAnsiTheme="majorBidi" w:cstheme="majorBidi"/>
        </w:rPr>
        <w:t xml:space="preserve"> These findings can be explained via overall rate of polymerization formula shown as Eq. (2-</w:t>
      </w:r>
      <w:r w:rsidR="00802154" w:rsidRPr="006D631C">
        <w:rPr>
          <w:rFonts w:asciiTheme="majorBidi" w:hAnsiTheme="majorBidi" w:cstheme="majorBidi"/>
        </w:rPr>
        <w:t>5</w:t>
      </w:r>
      <w:r w:rsidR="0035731B" w:rsidRPr="006D631C">
        <w:rPr>
          <w:rFonts w:asciiTheme="majorBidi" w:hAnsiTheme="majorBidi" w:cstheme="majorBidi"/>
        </w:rPr>
        <w:t>)</w:t>
      </w:r>
      <w:r w:rsidR="003D6E0B" w:rsidRPr="006D631C">
        <w:rPr>
          <w:rFonts w:asciiTheme="majorBidi" w:hAnsiTheme="majorBidi" w:cstheme="majorBidi"/>
        </w:rPr>
        <w:t xml:space="preserve"> which can be derived under steady state conditions (the rate</w:t>
      </w:r>
      <w:r w:rsidR="00232F7F" w:rsidRPr="006D631C">
        <w:rPr>
          <w:rFonts w:asciiTheme="majorBidi" w:hAnsiTheme="majorBidi" w:cstheme="majorBidi"/>
        </w:rPr>
        <w:t xml:space="preserve"> of</w:t>
      </w:r>
      <w:r w:rsidR="003D6E0B" w:rsidRPr="006D631C">
        <w:rPr>
          <w:rFonts w:asciiTheme="majorBidi" w:hAnsiTheme="majorBidi" w:cstheme="majorBidi"/>
        </w:rPr>
        <w:t xml:space="preserve"> initiation is equal to the rate of termination)</w:t>
      </w:r>
      <w:r w:rsidR="0035731B" w:rsidRPr="006D631C">
        <w:rPr>
          <w:rFonts w:asciiTheme="majorBidi" w:hAnsiTheme="majorBidi" w:cstheme="majorBidi"/>
        </w:rPr>
        <w:t>.</w:t>
      </w:r>
      <w:r w:rsidR="00232F7F" w:rsidRPr="006D631C">
        <w:rPr>
          <w:rFonts w:asciiTheme="majorBidi" w:hAnsiTheme="majorBidi" w:cstheme="majorBidi"/>
        </w:rPr>
        <w:t xml:space="preserve"> In </w:t>
      </w:r>
      <w:r w:rsidR="00026AF2" w:rsidRPr="006D631C">
        <w:rPr>
          <w:rFonts w:asciiTheme="majorBidi" w:hAnsiTheme="majorBidi" w:cstheme="majorBidi"/>
        </w:rPr>
        <w:t>this</w:t>
      </w:r>
      <w:r w:rsidR="00232F7F" w:rsidRPr="006D631C">
        <w:rPr>
          <w:rFonts w:asciiTheme="majorBidi" w:hAnsiTheme="majorBidi" w:cstheme="majorBidi"/>
        </w:rPr>
        <w:t xml:space="preserve"> equation, </w:t>
      </w:r>
      <w:proofErr w:type="spellStart"/>
      <w:r w:rsidR="00232F7F" w:rsidRPr="006D631C">
        <w:rPr>
          <w:rFonts w:asciiTheme="majorBidi" w:hAnsiTheme="majorBidi" w:cstheme="majorBidi"/>
          <w:i/>
          <w:iCs/>
        </w:rPr>
        <w:t>k</w:t>
      </w:r>
      <w:r w:rsidR="00632A2D" w:rsidRPr="006D631C">
        <w:rPr>
          <w:rFonts w:asciiTheme="majorBidi" w:hAnsiTheme="majorBidi" w:cstheme="majorBidi"/>
          <w:i/>
          <w:iCs/>
          <w:vertAlign w:val="subscript"/>
        </w:rPr>
        <w:t>d</w:t>
      </w:r>
      <w:proofErr w:type="spellEnd"/>
      <w:r w:rsidR="00232F7F" w:rsidRPr="006D631C">
        <w:rPr>
          <w:rFonts w:asciiTheme="majorBidi" w:hAnsiTheme="majorBidi" w:cstheme="majorBidi"/>
        </w:rPr>
        <w:t xml:space="preserve">, </w:t>
      </w:r>
      <w:proofErr w:type="spellStart"/>
      <w:r w:rsidR="00232F7F" w:rsidRPr="006D631C">
        <w:rPr>
          <w:rFonts w:asciiTheme="majorBidi" w:hAnsiTheme="majorBidi" w:cstheme="majorBidi"/>
          <w:i/>
          <w:iCs/>
        </w:rPr>
        <w:t>k</w:t>
      </w:r>
      <w:r w:rsidR="00632A2D" w:rsidRPr="006D631C">
        <w:rPr>
          <w:rFonts w:asciiTheme="majorBidi" w:hAnsiTheme="majorBidi" w:cstheme="majorBidi"/>
          <w:i/>
          <w:iCs/>
          <w:vertAlign w:val="subscript"/>
        </w:rPr>
        <w:t>p</w:t>
      </w:r>
      <w:proofErr w:type="spellEnd"/>
      <w:r w:rsidR="00232F7F" w:rsidRPr="006D631C">
        <w:rPr>
          <w:rFonts w:asciiTheme="majorBidi" w:hAnsiTheme="majorBidi" w:cstheme="majorBidi"/>
        </w:rPr>
        <w:t xml:space="preserve">, </w:t>
      </w:r>
      <w:proofErr w:type="spellStart"/>
      <w:r w:rsidR="00232F7F" w:rsidRPr="006D631C">
        <w:rPr>
          <w:rFonts w:asciiTheme="majorBidi" w:hAnsiTheme="majorBidi" w:cstheme="majorBidi"/>
          <w:i/>
          <w:iCs/>
        </w:rPr>
        <w:t>k</w:t>
      </w:r>
      <w:r w:rsidR="00232F7F" w:rsidRPr="006D631C">
        <w:rPr>
          <w:rFonts w:asciiTheme="majorBidi" w:hAnsiTheme="majorBidi" w:cstheme="majorBidi"/>
          <w:i/>
          <w:iCs/>
          <w:vertAlign w:val="subscript"/>
        </w:rPr>
        <w:t>t</w:t>
      </w:r>
      <w:proofErr w:type="spellEnd"/>
      <w:r w:rsidR="00026AF2" w:rsidRPr="006D631C">
        <w:rPr>
          <w:rFonts w:asciiTheme="majorBidi" w:hAnsiTheme="majorBidi" w:cstheme="majorBidi"/>
        </w:rPr>
        <w:t>,</w:t>
      </w:r>
      <w:r w:rsidR="00232F7F" w:rsidRPr="006D631C">
        <w:rPr>
          <w:rFonts w:asciiTheme="majorBidi" w:hAnsiTheme="majorBidi" w:cstheme="majorBidi"/>
        </w:rPr>
        <w:t xml:space="preserve"> </w:t>
      </w:r>
      <w:r w:rsidR="00026AF2" w:rsidRPr="006D631C">
        <w:rPr>
          <w:rFonts w:asciiTheme="majorBidi" w:hAnsiTheme="majorBidi" w:cstheme="majorBidi"/>
          <w:i/>
          <w:iCs/>
        </w:rPr>
        <w:t>[M]</w:t>
      </w:r>
      <w:r w:rsidR="00026AF2" w:rsidRPr="006D631C">
        <w:rPr>
          <w:rFonts w:asciiTheme="majorBidi" w:hAnsiTheme="majorBidi" w:cstheme="majorBidi"/>
        </w:rPr>
        <w:t xml:space="preserve">, </w:t>
      </w:r>
      <w:r w:rsidR="00026AF2" w:rsidRPr="006D631C">
        <w:rPr>
          <w:rFonts w:asciiTheme="majorBidi" w:hAnsiTheme="majorBidi" w:cstheme="majorBidi"/>
          <w:i/>
          <w:iCs/>
        </w:rPr>
        <w:t>[I]</w:t>
      </w:r>
      <w:r w:rsidR="00026AF2" w:rsidRPr="006D631C">
        <w:rPr>
          <w:rFonts w:asciiTheme="majorBidi" w:hAnsiTheme="majorBidi" w:cstheme="majorBidi"/>
        </w:rPr>
        <w:t xml:space="preserve">, </w:t>
      </w:r>
      <w:r w:rsidR="00232F7F" w:rsidRPr="006D631C">
        <w:rPr>
          <w:rFonts w:asciiTheme="majorBidi" w:hAnsiTheme="majorBidi" w:cstheme="majorBidi"/>
        </w:rPr>
        <w:t xml:space="preserve">and </w:t>
      </w:r>
      <w:r w:rsidR="00232F7F" w:rsidRPr="006D631C">
        <w:rPr>
          <w:rFonts w:asciiTheme="majorBidi" w:hAnsiTheme="majorBidi" w:cstheme="majorBidi"/>
          <w:i/>
          <w:iCs/>
        </w:rPr>
        <w:t>f</w:t>
      </w:r>
      <w:r w:rsidR="00232F7F" w:rsidRPr="006D631C">
        <w:rPr>
          <w:rFonts w:asciiTheme="majorBidi" w:hAnsiTheme="majorBidi" w:cstheme="majorBidi"/>
        </w:rPr>
        <w:t xml:space="preserve"> are </w:t>
      </w:r>
      <w:r w:rsidR="00026AF2" w:rsidRPr="006D631C">
        <w:rPr>
          <w:rFonts w:asciiTheme="majorBidi" w:hAnsiTheme="majorBidi" w:cstheme="majorBidi"/>
        </w:rPr>
        <w:t>kinetics rate constant of initiator decomposition, the propagation rate constant, the termination rate constant,</w:t>
      </w:r>
      <w:r w:rsidR="00632A2D" w:rsidRPr="006D631C">
        <w:rPr>
          <w:rFonts w:asciiTheme="majorBidi" w:hAnsiTheme="majorBidi" w:cstheme="majorBidi"/>
        </w:rPr>
        <w:t xml:space="preserve"> monomer concentration, </w:t>
      </w:r>
      <w:r w:rsidR="00026AF2" w:rsidRPr="006D631C">
        <w:rPr>
          <w:rFonts w:asciiTheme="majorBidi" w:hAnsiTheme="majorBidi" w:cstheme="majorBidi"/>
        </w:rPr>
        <w:t>initiator concentration</w:t>
      </w:r>
      <w:r w:rsidR="00632A2D" w:rsidRPr="006D631C">
        <w:rPr>
          <w:rFonts w:asciiTheme="majorBidi" w:hAnsiTheme="majorBidi" w:cstheme="majorBidi"/>
        </w:rPr>
        <w:t>, and initiator efficiency,</w:t>
      </w:r>
      <w:r w:rsidR="00026AF2" w:rsidRPr="006D631C">
        <w:rPr>
          <w:rFonts w:asciiTheme="majorBidi" w:hAnsiTheme="majorBidi" w:cstheme="majorBidi"/>
        </w:rPr>
        <w:t xml:space="preserve"> respectively.</w:t>
      </w:r>
      <w:r w:rsidR="009F1A0B" w:rsidRPr="006D631C">
        <w:rPr>
          <w:rFonts w:asciiTheme="majorBidi" w:hAnsiTheme="majorBidi" w:cstheme="majorBidi"/>
        </w:rPr>
        <w:t xml:space="preserve"> </w:t>
      </w:r>
      <w:r w:rsidR="00080348" w:rsidRPr="006D631C">
        <w:rPr>
          <w:rFonts w:asciiTheme="majorBidi" w:hAnsiTheme="majorBidi" w:cstheme="majorBidi"/>
        </w:rPr>
        <w:t>Based on</w:t>
      </w:r>
      <w:r w:rsidR="00232F7F" w:rsidRPr="006D631C">
        <w:rPr>
          <w:rFonts w:asciiTheme="majorBidi" w:hAnsiTheme="majorBidi" w:cstheme="majorBidi"/>
        </w:rPr>
        <w:t xml:space="preserve"> this equation, </w:t>
      </w:r>
      <w:r w:rsidR="009F1A0B" w:rsidRPr="006D631C">
        <w:rPr>
          <w:rFonts w:asciiTheme="majorBidi" w:hAnsiTheme="majorBidi" w:cstheme="majorBidi"/>
        </w:rPr>
        <w:t xml:space="preserve">any phenomenon that results in slower termination rate (lower </w:t>
      </w:r>
      <w:proofErr w:type="spellStart"/>
      <w:r w:rsidR="009F1A0B" w:rsidRPr="006D631C">
        <w:rPr>
          <w:rFonts w:asciiTheme="majorBidi" w:hAnsiTheme="majorBidi" w:cstheme="majorBidi"/>
          <w:i/>
          <w:iCs/>
        </w:rPr>
        <w:t>k</w:t>
      </w:r>
      <w:r w:rsidR="009F1A0B" w:rsidRPr="006D631C">
        <w:rPr>
          <w:rFonts w:asciiTheme="majorBidi" w:hAnsiTheme="majorBidi" w:cstheme="majorBidi"/>
          <w:i/>
          <w:iCs/>
          <w:vertAlign w:val="subscript"/>
        </w:rPr>
        <w:t>t</w:t>
      </w:r>
      <w:proofErr w:type="spellEnd"/>
      <w:r w:rsidR="009F1A0B" w:rsidRPr="006D631C">
        <w:rPr>
          <w:rFonts w:asciiTheme="majorBidi" w:hAnsiTheme="majorBidi" w:cstheme="majorBidi"/>
        </w:rPr>
        <w:t xml:space="preserve">) can enhance the overall rate of polymerization. </w:t>
      </w:r>
      <w:proofErr w:type="spellStart"/>
      <w:r w:rsidR="009F1A0B" w:rsidRPr="006D631C">
        <w:rPr>
          <w:rFonts w:asciiTheme="majorBidi" w:hAnsiTheme="majorBidi" w:cstheme="majorBidi"/>
        </w:rPr>
        <w:t>Trommsdorff</w:t>
      </w:r>
      <w:proofErr w:type="spellEnd"/>
      <w:r w:rsidR="009F1A0B" w:rsidRPr="006D631C">
        <w:rPr>
          <w:rFonts w:asciiTheme="majorBidi" w:hAnsiTheme="majorBidi" w:cstheme="majorBidi"/>
        </w:rPr>
        <w:t xml:space="preserve"> or </w:t>
      </w:r>
      <w:proofErr w:type="spellStart"/>
      <w:r w:rsidR="009F1A0B" w:rsidRPr="006D631C">
        <w:rPr>
          <w:rFonts w:asciiTheme="majorBidi" w:hAnsiTheme="majorBidi" w:cstheme="majorBidi"/>
        </w:rPr>
        <w:t>Norish</w:t>
      </w:r>
      <w:proofErr w:type="spellEnd"/>
      <w:r w:rsidR="009F1A0B" w:rsidRPr="006D631C">
        <w:rPr>
          <w:rFonts w:asciiTheme="majorBidi" w:hAnsiTheme="majorBidi" w:cstheme="majorBidi"/>
        </w:rPr>
        <w:t xml:space="preserve">-Smith effect, which is also known as </w:t>
      </w:r>
      <w:proofErr w:type="spellStart"/>
      <w:r w:rsidR="009F1A0B" w:rsidRPr="006D631C">
        <w:rPr>
          <w:rFonts w:asciiTheme="majorBidi" w:hAnsiTheme="majorBidi" w:cstheme="majorBidi"/>
        </w:rPr>
        <w:t>autoacceleration</w:t>
      </w:r>
      <w:proofErr w:type="spellEnd"/>
      <w:r w:rsidR="009F1A0B" w:rsidRPr="006D631C">
        <w:rPr>
          <w:rFonts w:asciiTheme="majorBidi" w:hAnsiTheme="majorBidi" w:cstheme="majorBidi"/>
        </w:rPr>
        <w:t>, is the best example of such phenomenon.</w:t>
      </w:r>
      <w:r w:rsidR="00D475CE" w:rsidRPr="006D631C">
        <w:rPr>
          <w:rFonts w:asciiTheme="majorBidi" w:hAnsiTheme="majorBidi" w:cstheme="majorBidi"/>
        </w:rPr>
        <w:t xml:space="preserve"> </w:t>
      </w:r>
      <w:proofErr w:type="spellStart"/>
      <w:r w:rsidR="00115717" w:rsidRPr="006D631C">
        <w:rPr>
          <w:rFonts w:asciiTheme="majorBidi" w:hAnsiTheme="majorBidi" w:cstheme="majorBidi"/>
        </w:rPr>
        <w:t>Autoacceleration</w:t>
      </w:r>
      <w:proofErr w:type="spellEnd"/>
      <w:r w:rsidR="00115717" w:rsidRPr="006D631C">
        <w:rPr>
          <w:rFonts w:asciiTheme="majorBidi" w:hAnsiTheme="majorBidi" w:cstheme="majorBidi"/>
        </w:rPr>
        <w:t xml:space="preserve"> occurs when viscosity of the reaction medium</w:t>
      </w:r>
      <w:r w:rsidR="00E400D9" w:rsidRPr="006D631C">
        <w:rPr>
          <w:rFonts w:asciiTheme="majorBidi" w:hAnsiTheme="majorBidi" w:cstheme="majorBidi"/>
        </w:rPr>
        <w:t xml:space="preserve"> </w:t>
      </w:r>
      <w:r w:rsidR="00E47965" w:rsidRPr="006D631C">
        <w:rPr>
          <w:rFonts w:asciiTheme="majorBidi" w:hAnsiTheme="majorBidi" w:cstheme="majorBidi"/>
        </w:rPr>
        <w:t>significantly</w:t>
      </w:r>
      <w:r w:rsidR="00115717" w:rsidRPr="006D631C">
        <w:rPr>
          <w:rFonts w:asciiTheme="majorBidi" w:hAnsiTheme="majorBidi" w:cstheme="majorBidi"/>
        </w:rPr>
        <w:t xml:space="preserve"> increases due to reaching a specific monomer conversion and polymer molecular weight. </w:t>
      </w:r>
      <w:r w:rsidR="00985BFE" w:rsidRPr="006D631C">
        <w:rPr>
          <w:rFonts w:asciiTheme="majorBidi" w:hAnsiTheme="majorBidi" w:cstheme="majorBidi"/>
        </w:rPr>
        <w:t>According to Norrish</w:t>
      </w:r>
      <w:r w:rsidR="009B39C3" w:rsidRPr="006D631C">
        <w:rPr>
          <w:rFonts w:asciiTheme="majorBidi" w:hAnsiTheme="majorBidi" w:cstheme="majorBidi"/>
        </w:rPr>
        <w:t xml:space="preserve"> and</w:t>
      </w:r>
      <w:r w:rsidR="00985BFE" w:rsidRPr="006D631C">
        <w:rPr>
          <w:rFonts w:asciiTheme="majorBidi" w:hAnsiTheme="majorBidi" w:cstheme="majorBidi"/>
        </w:rPr>
        <w:t xml:space="preserve"> Smith, and Trommsdorff,</w:t>
      </w:r>
      <w:r w:rsidR="00ED0529"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{"citationItems":[{"id":"ITEM-1","itemData":{"DOI":"10.1002/047147875X.ch6","ISBN":"0471274003","abstract":"Chain copolymerization allows the modification of polymer structure and properties by the incorporation of two or more different monomers into the polymer chain. Copolymer composition depends on the relative amounts of monomers present in the reaction system as well as the monomer reactivities. Pairs of monomers follow either an alternating or ideal behavior depending on their structures and whether copolymerization proceeds by radical, anionic, or cationic propagation. The different behaviors are discussed in terms of the terminal, penultimate, depropagation and complex participation models for copolymerization behavior. The Q-e and patterns of reactivity schemes place monomer reactivities on a theoretical basis in radical copolymerization. Cyclopolymerization occurs in some polymerizations of diene monomers. Copolymerization is important for many commercial products, including polystyrene, polyethylene, unsaturated polyesters, allyl resins, and other commercial polymers.","author":[{"dropping-particle":"","family":"Odian","given":"George","non-dropping-particle":"","parse-names":false,"suffix":""}],"container-title":"Principles of Polymerization","id":"ITEM-1","issued":{"date-parts":[["2004"]]},"publisher":"John Wiley &amp; Sons, Inc.","publisher-place":"Hoboken, NJ, USA","title":"Chain Copolymerization","type":"chapter"},"uris":["http://www.mendeley.com/documents/?uuid=decefd3a-c596-4623-acf3-7cf2bb6b9257"]}],"mendeley":{"formattedCitation":"&lt;sup&gt;216&lt;/sup&gt;","plainTextFormattedCitation":"216","previouslyFormattedCitation":"&lt;sup&gt;216&lt;/sup&gt;"},"properties":{"noteIndex":0},"schema":"https://github.com/citation-style-language/schema/raw/master/csl-citation.json"}</w:instrText>
      </w:r>
      <w:r w:rsidR="00ED0529"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216</w:t>
      </w:r>
      <w:r w:rsidR="00ED0529" w:rsidRPr="006D631C">
        <w:rPr>
          <w:rFonts w:asciiTheme="majorBidi" w:hAnsiTheme="majorBidi" w:cstheme="majorBidi"/>
        </w:rPr>
        <w:fldChar w:fldCharType="end"/>
      </w:r>
      <w:r w:rsidR="00985BFE" w:rsidRPr="006D631C">
        <w:rPr>
          <w:rFonts w:asciiTheme="majorBidi" w:hAnsiTheme="majorBidi" w:cstheme="majorBidi"/>
        </w:rPr>
        <w:t xml:space="preserve"> </w:t>
      </w:r>
      <w:r w:rsidR="00115717" w:rsidRPr="006D631C">
        <w:rPr>
          <w:rFonts w:asciiTheme="majorBidi" w:hAnsiTheme="majorBidi" w:cstheme="majorBidi"/>
        </w:rPr>
        <w:t xml:space="preserve">under these </w:t>
      </w:r>
      <w:r w:rsidR="00E47965" w:rsidRPr="006D631C">
        <w:rPr>
          <w:rFonts w:asciiTheme="majorBidi" w:hAnsiTheme="majorBidi" w:cstheme="majorBidi"/>
        </w:rPr>
        <w:t>conditions</w:t>
      </w:r>
      <w:r w:rsidR="00115717" w:rsidRPr="006D631C">
        <w:rPr>
          <w:rFonts w:asciiTheme="majorBidi" w:hAnsiTheme="majorBidi" w:cstheme="majorBidi"/>
        </w:rPr>
        <w:t xml:space="preserve">, </w:t>
      </w:r>
      <w:r w:rsidR="002A6F5E" w:rsidRPr="006D631C">
        <w:rPr>
          <w:rFonts w:asciiTheme="majorBidi" w:hAnsiTheme="majorBidi" w:cstheme="majorBidi"/>
        </w:rPr>
        <w:t xml:space="preserve">the probability of collisions between growing chains decreases due to </w:t>
      </w:r>
      <w:r w:rsidR="002026BC" w:rsidRPr="006D631C">
        <w:rPr>
          <w:rFonts w:asciiTheme="majorBidi" w:hAnsiTheme="majorBidi" w:cstheme="majorBidi"/>
        </w:rPr>
        <w:t xml:space="preserve">the </w:t>
      </w:r>
      <w:r w:rsidR="002A6F5E" w:rsidRPr="006D631C">
        <w:rPr>
          <w:rFonts w:asciiTheme="majorBidi" w:hAnsiTheme="majorBidi" w:cstheme="majorBidi"/>
        </w:rPr>
        <w:t>diffusion limitations, leading to limited termination of the reaction</w:t>
      </w:r>
      <w:r w:rsidR="00115717" w:rsidRPr="006D631C">
        <w:rPr>
          <w:rFonts w:asciiTheme="majorBidi" w:hAnsiTheme="majorBidi" w:cstheme="majorBidi"/>
        </w:rPr>
        <w:t xml:space="preserve">. </w:t>
      </w:r>
      <w:r w:rsidR="00AB7209" w:rsidRPr="006D631C">
        <w:rPr>
          <w:rFonts w:asciiTheme="majorBidi" w:hAnsiTheme="majorBidi" w:cstheme="majorBidi"/>
        </w:rPr>
        <w:t xml:space="preserve">As a result, the ratio of </w:t>
      </w:r>
      <w:r w:rsidR="00AB7209" w:rsidRPr="006D631C">
        <w:rPr>
          <w:rFonts w:asciiTheme="majorBidi" w:hAnsiTheme="majorBidi" w:cstheme="majorBidi"/>
          <w:i/>
          <w:iCs/>
        </w:rPr>
        <w:t>k</w:t>
      </w:r>
      <w:r w:rsidR="00AB7209" w:rsidRPr="006D631C">
        <w:rPr>
          <w:rFonts w:asciiTheme="majorBidi" w:hAnsiTheme="majorBidi" w:cstheme="majorBidi"/>
          <w:i/>
          <w:iCs/>
          <w:vertAlign w:val="subscript"/>
        </w:rPr>
        <w:t>p</w:t>
      </w:r>
      <w:r w:rsidR="00AB7209" w:rsidRPr="006D631C">
        <w:rPr>
          <w:rFonts w:asciiTheme="majorBidi" w:hAnsiTheme="majorBidi" w:cstheme="majorBidi"/>
          <w:i/>
          <w:iCs/>
          <w:vertAlign w:val="superscript"/>
        </w:rPr>
        <w:t>2</w:t>
      </w:r>
      <w:r w:rsidR="00AB7209" w:rsidRPr="006D631C">
        <w:rPr>
          <w:rFonts w:asciiTheme="majorBidi" w:hAnsiTheme="majorBidi" w:cstheme="majorBidi"/>
        </w:rPr>
        <w:t>/</w:t>
      </w:r>
      <w:proofErr w:type="spellStart"/>
      <w:r w:rsidR="00AB7209" w:rsidRPr="006D631C">
        <w:rPr>
          <w:rFonts w:asciiTheme="majorBidi" w:hAnsiTheme="majorBidi" w:cstheme="majorBidi"/>
          <w:i/>
          <w:iCs/>
        </w:rPr>
        <w:t>k</w:t>
      </w:r>
      <w:r w:rsidR="00AB7209" w:rsidRPr="006D631C">
        <w:rPr>
          <w:rFonts w:asciiTheme="majorBidi" w:hAnsiTheme="majorBidi" w:cstheme="majorBidi"/>
          <w:i/>
          <w:iCs/>
          <w:vertAlign w:val="subscript"/>
        </w:rPr>
        <w:t>t</w:t>
      </w:r>
      <w:proofErr w:type="spellEnd"/>
      <w:r w:rsidR="00AB7209" w:rsidRPr="006D631C">
        <w:rPr>
          <w:rFonts w:asciiTheme="majorBidi" w:hAnsiTheme="majorBidi" w:cstheme="majorBidi"/>
        </w:rPr>
        <w:t xml:space="preserve"> increases significantly (up to a hundredfold), leading to a significant increase in the polymerization rate.</w:t>
      </w:r>
      <w:r w:rsidR="00924607" w:rsidRPr="006D631C">
        <w:rPr>
          <w:rFonts w:asciiTheme="majorBidi" w:hAnsiTheme="majorBidi" w:cstheme="majorBidi"/>
        </w:rPr>
        <w:t xml:space="preserve"> Under </w:t>
      </w:r>
      <w:proofErr w:type="spellStart"/>
      <w:r w:rsidR="00924607" w:rsidRPr="006D631C">
        <w:rPr>
          <w:rFonts w:asciiTheme="majorBidi" w:hAnsiTheme="majorBidi" w:cstheme="majorBidi"/>
        </w:rPr>
        <w:t>nanoconfinement</w:t>
      </w:r>
      <w:proofErr w:type="spellEnd"/>
      <w:r w:rsidR="00924607" w:rsidRPr="006D631C">
        <w:rPr>
          <w:rFonts w:asciiTheme="majorBidi" w:hAnsiTheme="majorBidi" w:cstheme="majorBidi"/>
        </w:rPr>
        <w:t>, however, the likelihood of chain termination rises as a consequence of the proximity of the growing chains to one another, resulting in slower rate of polymerization.</w:t>
      </w:r>
      <w:r w:rsidR="00605A85" w:rsidRPr="006D631C">
        <w:rPr>
          <w:rFonts w:asciiTheme="majorBidi" w:hAnsiTheme="majorBidi" w:cstheme="majorBidi"/>
        </w:rPr>
        <w:t xml:space="preserve"> </w:t>
      </w:r>
      <w:r w:rsidR="007E22C0" w:rsidRPr="006D631C">
        <w:rPr>
          <w:rFonts w:asciiTheme="majorBidi" w:hAnsiTheme="majorBidi" w:cstheme="majorBidi"/>
        </w:rPr>
        <w:t>The confinement can also elevate the possibility of free radical recombination because of the cage effect, leading to a decrease in initiator efficiency (</w:t>
      </w:r>
      <w:r w:rsidR="007E22C0" w:rsidRPr="006D631C">
        <w:rPr>
          <w:rFonts w:asciiTheme="majorBidi" w:hAnsiTheme="majorBidi" w:cstheme="majorBidi"/>
          <w:i/>
          <w:iCs/>
        </w:rPr>
        <w:t>f</w:t>
      </w:r>
      <w:r w:rsidR="007E22C0" w:rsidRPr="006D631C">
        <w:rPr>
          <w:rFonts w:asciiTheme="majorBidi" w:hAnsiTheme="majorBidi" w:cstheme="majorBidi"/>
        </w:rPr>
        <w:t xml:space="preserve">) and ultimately resulting </w:t>
      </w:r>
      <w:r w:rsidR="0071173A" w:rsidRPr="006D631C">
        <w:rPr>
          <w:rFonts w:asciiTheme="majorBidi" w:hAnsiTheme="majorBidi" w:cstheme="majorBidi"/>
        </w:rPr>
        <w:t xml:space="preserve">in a slower polymerization rate. </w:t>
      </w:r>
      <w:r w:rsidR="00A91DD8" w:rsidRPr="006D631C">
        <w:rPr>
          <w:rFonts w:asciiTheme="majorBidi" w:hAnsiTheme="majorBidi" w:cstheme="majorBidi"/>
        </w:rPr>
        <w:t xml:space="preserve">Evaluation of the molecular weight of the produced polymer at the same initiator content is an approach </w:t>
      </w:r>
      <w:r w:rsidR="00C12A3B" w:rsidRPr="006D631C">
        <w:rPr>
          <w:rFonts w:asciiTheme="majorBidi" w:hAnsiTheme="majorBidi" w:cstheme="majorBidi"/>
        </w:rPr>
        <w:t>to determine whether the polymerization rate is governed by the rate of termination.</w:t>
      </w:r>
      <w:r w:rsidR="00A91DD8" w:rsidRPr="006D631C">
        <w:rPr>
          <w:rFonts w:asciiTheme="majorBidi" w:hAnsiTheme="majorBidi" w:cstheme="majorBidi"/>
        </w:rPr>
        <w:t xml:space="preserve"> </w:t>
      </w:r>
      <w:r w:rsidR="00C12A3B" w:rsidRPr="006D631C">
        <w:rPr>
          <w:rFonts w:asciiTheme="majorBidi" w:hAnsiTheme="majorBidi" w:cstheme="majorBidi"/>
        </w:rPr>
        <w:t>Slower reaction rates that lead to lower molecular weights are indicative of an increase</w:t>
      </w:r>
      <w:r w:rsidR="00B14142" w:rsidRPr="006D631C">
        <w:rPr>
          <w:rFonts w:asciiTheme="majorBidi" w:hAnsiTheme="majorBidi" w:cstheme="majorBidi"/>
        </w:rPr>
        <w:t xml:space="preserve"> in termination reactions</w:t>
      </w:r>
      <w:r w:rsidR="00A91DD8" w:rsidRPr="006D631C">
        <w:rPr>
          <w:rFonts w:asciiTheme="majorBidi" w:hAnsiTheme="majorBidi" w:cstheme="majorBidi"/>
        </w:rPr>
        <w:t>.</w:t>
      </w:r>
      <w:r w:rsidR="00A91DD8" w:rsidRPr="006D631C">
        <w:rPr>
          <w:rFonts w:asciiTheme="majorBidi" w:hAnsiTheme="majorBidi" w:cstheme="majorBidi"/>
        </w:rPr>
        <w:fldChar w:fldCharType="begin" w:fldLock="1"/>
      </w:r>
      <w:r w:rsidR="00A91DD8" w:rsidRPr="006D631C">
        <w:rPr>
          <w:rFonts w:asciiTheme="majorBidi" w:hAnsiTheme="majorBidi" w:cstheme="majorBidi"/>
        </w:rPr>
        <w:instrText>ADDIN CSL_CITATION {"citationItems":[{"id":"ITEM-1","itemData":{"DOI":"10.1002/pola.27783","ISSN":"10990518","abstract":"Polymerization in highly ordered lyotropic liquid-crystalline (LLC) media enables controllable synthesis of polymers possessing interesting nanostructure and physical properties. This study investigates the radical polymerization rate and molecular weight (MW) development of monoacrylates of different aliphatic tail length in a range of LLC phases. Polymerization rate data were acquired using photodifferential scanning calorimetry, and linear polymer MW was determined with gel permeation chromatography. Polymerization occurs much more rapidly, and higher MW is attained in the ordered LLC phases relative to isotropic solutions and neat polymerization. These properties change significantly as a function of LLC phase and monomer structure. A direct relationship is observed between polymer MW formation and the polymerization rate. Definitive changes in rate and MW were observed at phase boundaries, indicating the important role of solvent order. This study demonstrates how solvent ordering effects can be used to control polymer MW and rate of polymerization.","author":[{"dropping-particle":"","family":"DePierro","given":"Michael A.","non-dropping-particle":"","parse-names":false,"suffix":""},{"dropping-particle":"","family":"Baguenard","given":"Céline","non-dropping-particle":"","parse-names":false,"suffix":""},{"dropping-particle":"","family":"Allan Guymon","given":"C.","non-dropping-particle":"","parse-names":false,"suffix":""}],"container-title":"Journal of Polymer Science, Part A: Polymer Chemistry","id":"ITEM-1","issue":"1","issued":{"date-parts":[["2016","1","1"]]},"page":"144-154","title":"Radical polymerization behavior and molecular weight development of homologous monoacrylate monomers in lyotropic liquid crystal phases","type":"article-journal","volume":"54"},"uris":["http://www.mendeley.com/documents/?uuid=4f7b9c95-7916-4292-a0f1-82a611583a7f"]}],"mendeley":{"formattedCitation":"&lt;sup&gt;99&lt;/sup&gt;","plainTextFormattedCitation":"99","previouslyFormattedCitation":"&lt;sup&gt;99&lt;/sup&gt;"},"properties":{"noteIndex":0},"schema":"https://github.com/citation-style-language/schema/raw/master/csl-citation.json"}</w:instrText>
      </w:r>
      <w:r w:rsidR="00A91DD8" w:rsidRPr="006D631C">
        <w:rPr>
          <w:rFonts w:asciiTheme="majorBidi" w:hAnsiTheme="majorBidi" w:cstheme="majorBidi"/>
        </w:rPr>
        <w:fldChar w:fldCharType="separate"/>
      </w:r>
      <w:r w:rsidR="00A91DD8" w:rsidRPr="006D631C">
        <w:rPr>
          <w:rFonts w:asciiTheme="majorBidi" w:hAnsiTheme="majorBidi" w:cstheme="majorBidi"/>
          <w:noProof/>
          <w:vertAlign w:val="superscript"/>
        </w:rPr>
        <w:t>99</w:t>
      </w:r>
      <w:r w:rsidR="00A91DD8" w:rsidRPr="006D631C">
        <w:rPr>
          <w:rFonts w:asciiTheme="majorBidi" w:hAnsiTheme="majorBidi" w:cstheme="majorBidi"/>
        </w:rPr>
        <w:fldChar w:fldCharType="end"/>
      </w:r>
      <w:r w:rsidR="00A91DD8" w:rsidRPr="006D631C">
        <w:rPr>
          <w:rFonts w:asciiTheme="majorBidi" w:hAnsiTheme="majorBidi" w:cstheme="majorBidi"/>
        </w:rPr>
        <w:t xml:space="preserve"> </w:t>
      </w:r>
      <w:r w:rsidR="008A4D3F" w:rsidRPr="006D631C">
        <w:rPr>
          <w:rFonts w:asciiTheme="majorBidi" w:hAnsiTheme="majorBidi" w:cstheme="majorBidi"/>
        </w:rPr>
        <w:t xml:space="preserve">In the </w:t>
      </w:r>
      <w:r w:rsidR="0087468C" w:rsidRPr="006D631C">
        <w:rPr>
          <w:rFonts w:asciiTheme="majorBidi" w:hAnsiTheme="majorBidi" w:cstheme="majorBidi"/>
        </w:rPr>
        <w:t>current study</w:t>
      </w:r>
      <w:r w:rsidR="008A4D3F" w:rsidRPr="006D631C">
        <w:rPr>
          <w:rFonts w:asciiTheme="majorBidi" w:hAnsiTheme="majorBidi" w:cstheme="majorBidi"/>
        </w:rPr>
        <w:t>, conducting this experiment seems unfeasible due to the crosslinking of the polymer phase, which is implemented to mitigate phase separation during the reaction.</w:t>
      </w:r>
      <w:r w:rsidR="00A91DD8" w:rsidRPr="006D631C">
        <w:rPr>
          <w:rFonts w:asciiTheme="majorBidi" w:hAnsiTheme="majorBidi" w:cstheme="majorBidi"/>
        </w:rPr>
        <w:t xml:space="preserve">  </w:t>
      </w:r>
    </w:p>
    <w:p w14:paraId="0A8932F0" w14:textId="063F21B1" w:rsidR="00157BF8" w:rsidRPr="006D631C" w:rsidRDefault="006C7C0E" w:rsidP="00157BF8">
      <w:pPr>
        <w:pStyle w:val="Caption"/>
        <w:rPr>
          <w:rFonts w:asciiTheme="majorBidi" w:hAnsiTheme="majorBidi" w:cstheme="majorBidi"/>
        </w:rPr>
      </w:pPr>
      <w:r w:rsidRPr="006D631C">
        <w:rPr>
          <w:rFonts w:asciiTheme="majorBidi" w:hAnsiTheme="majorBidi" w:cstheme="majorBidi"/>
          <w:position w:val="-32"/>
          <w:szCs w:val="24"/>
        </w:rPr>
        <w:object w:dxaOrig="2659" w:dyaOrig="900" w14:anchorId="2217EA6E">
          <v:shape id="_x0000_i1052" type="#_x0000_t75" style="width:132pt;height:46.2pt" o:ole="">
            <v:imagedata r:id="rId86" o:title=""/>
          </v:shape>
          <o:OLEObject Type="Embed" ProgID="Equation.DSMT4" ShapeID="_x0000_i1052" DrawAspect="Content" ObjectID="_1760013320" r:id="rId87"/>
        </w:object>
      </w:r>
      <w:r w:rsidR="00157BF8" w:rsidRPr="006D631C">
        <w:rPr>
          <w:rFonts w:asciiTheme="majorBidi" w:hAnsiTheme="majorBidi" w:cstheme="majorBidi"/>
        </w:rPr>
        <w:tab/>
      </w:r>
      <w:r w:rsidR="00157BF8" w:rsidRPr="006D631C">
        <w:rPr>
          <w:rFonts w:asciiTheme="majorBidi" w:hAnsiTheme="majorBidi" w:cstheme="majorBidi"/>
        </w:rPr>
        <w:tab/>
      </w:r>
      <w:r w:rsidR="00157BF8" w:rsidRPr="006D631C">
        <w:rPr>
          <w:rFonts w:asciiTheme="majorBidi" w:hAnsiTheme="majorBidi" w:cstheme="majorBidi"/>
        </w:rPr>
        <w:tab/>
        <w:t xml:space="preserve">  </w:t>
      </w:r>
      <w:r w:rsidRPr="006D631C">
        <w:rPr>
          <w:rFonts w:asciiTheme="majorBidi" w:hAnsiTheme="majorBidi" w:cstheme="majorBidi"/>
        </w:rPr>
        <w:t xml:space="preserve">                                    </w:t>
      </w:r>
      <w:r w:rsidR="00157BF8" w:rsidRPr="006D631C">
        <w:rPr>
          <w:rFonts w:asciiTheme="majorBidi" w:hAnsiTheme="majorBidi" w:cstheme="majorBidi"/>
        </w:rPr>
        <w:t xml:space="preserve">                                 </w:t>
      </w:r>
      <w:r w:rsidR="00157BF8"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2</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5</w:t>
      </w:r>
      <w:r w:rsidR="006A54D9" w:rsidRPr="006D631C">
        <w:rPr>
          <w:rFonts w:asciiTheme="majorBidi" w:hAnsiTheme="majorBidi" w:cstheme="majorBidi"/>
        </w:rPr>
        <w:fldChar w:fldCharType="end"/>
      </w:r>
      <w:r w:rsidR="00157BF8" w:rsidRPr="006D631C">
        <w:rPr>
          <w:rFonts w:asciiTheme="majorBidi" w:hAnsiTheme="majorBidi" w:cstheme="majorBidi"/>
        </w:rPr>
        <w:t>)</w:t>
      </w:r>
    </w:p>
    <w:p w14:paraId="6BDDF159" w14:textId="345D8702" w:rsidR="005F23CB" w:rsidRPr="006D631C" w:rsidRDefault="001E3A5F" w:rsidP="0072669A">
      <w:pPr>
        <w:ind w:firstLine="357"/>
      </w:pPr>
      <w:r w:rsidRPr="006D631C">
        <w:rPr>
          <w:rFonts w:asciiTheme="majorBidi" w:hAnsiTheme="majorBidi" w:cstheme="majorBidi"/>
        </w:rPr>
        <w:t xml:space="preserve">Similar to the results of </w:t>
      </w:r>
      <w:proofErr w:type="spellStart"/>
      <w:r w:rsidRPr="006D631C">
        <w:rPr>
          <w:rFonts w:asciiTheme="majorBidi" w:hAnsiTheme="majorBidi" w:cstheme="majorBidi"/>
        </w:rPr>
        <w:t>Qavi</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00AF7AD4" w:rsidRPr="006D631C">
        <w:rPr>
          <w:rFonts w:asciiTheme="majorBidi" w:hAnsiTheme="majorBidi" w:cstheme="majorBidi"/>
        </w:rPr>
        <w:t>,</w:t>
      </w:r>
      <w:r w:rsidRPr="006D631C">
        <w:rPr>
          <w:rFonts w:asciiTheme="majorBidi" w:hAnsiTheme="majorBidi" w:cstheme="majorBidi"/>
        </w:rPr>
        <w:fldChar w:fldCharType="begin" w:fldLock="1"/>
      </w:r>
      <w:r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56</w:t>
      </w:r>
      <w:r w:rsidRPr="006D631C">
        <w:rPr>
          <w:rFonts w:asciiTheme="majorBidi" w:hAnsiTheme="majorBidi" w:cstheme="majorBidi"/>
        </w:rPr>
        <w:fldChar w:fldCharType="end"/>
      </w:r>
      <w:r w:rsidR="00AF7AD4" w:rsidRPr="006D631C">
        <w:rPr>
          <w:rFonts w:asciiTheme="majorBidi" w:hAnsiTheme="majorBidi" w:cstheme="majorBidi"/>
        </w:rPr>
        <w:t xml:space="preserve"> lower reaction rate and monomer conversion is observed for lamellar structure for BPO- and AIBN-initiated reactions. In APS-initiated systems, however, the polymerization rate and overall monomer conversion is slightly higher for lamellar structure compared to hexagonal counterpart. We hypothesize that since the free radicals of APS are generated in the non-reactive phase and then migrate into the monomer phase, the local concentration of radicals/</w:t>
      </w:r>
      <w:proofErr w:type="spellStart"/>
      <w:r w:rsidR="00AF7AD4" w:rsidRPr="006D631C">
        <w:rPr>
          <w:rFonts w:asciiTheme="majorBidi" w:hAnsiTheme="majorBidi" w:cstheme="majorBidi"/>
        </w:rPr>
        <w:t>macroradicals</w:t>
      </w:r>
      <w:proofErr w:type="spellEnd"/>
      <w:r w:rsidR="00AF7AD4" w:rsidRPr="006D631C">
        <w:rPr>
          <w:rFonts w:asciiTheme="majorBidi" w:hAnsiTheme="majorBidi" w:cstheme="majorBidi"/>
        </w:rPr>
        <w:t xml:space="preserve"> gradually rises in the monomer phase. This phenomenon lowers the chance of </w:t>
      </w:r>
      <w:r w:rsidR="00954947" w:rsidRPr="006D631C">
        <w:rPr>
          <w:rFonts w:asciiTheme="majorBidi" w:hAnsiTheme="majorBidi" w:cstheme="majorBidi"/>
        </w:rPr>
        <w:t xml:space="preserve">the </w:t>
      </w:r>
      <w:r w:rsidR="00AF7AD4" w:rsidRPr="006D631C">
        <w:rPr>
          <w:rFonts w:asciiTheme="majorBidi" w:hAnsiTheme="majorBidi" w:cstheme="majorBidi"/>
        </w:rPr>
        <w:t>termination reactions. In addition, the higher contents of active species near the walls in IFW system can have a similar effect on the polymerization rate as reported for the polymerization in hard templates,</w:t>
      </w:r>
      <w:r w:rsidR="00AF7AD4"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{"citationItems":[{"id":"ITEM-1","itemData":{"DOI":"10.1021/acs.macromol.6b02282","ISSN":"0024-9297","abstract":"The hierarchical surface structure of polymer materials leads to unique properties which are of both academic and commercial interest. In this work we explore the ability to replicate the well-defined surface structure of anodic aluminum oxide (AAO) templates by in situ polymerization of methyl methacrylate. When the reaction is conducted inside the templates, the rate of polymerization was significantly higher and molecular weight was reduced, as compared to the reaction in bulk. These observations were explained using a mathematical model to describe the polymerization based on free-volume theory and confinement effects. As the dimensions of the template are reduced, a catalytic effect on the rate of initiator decomposition leads to a faster polymerization rate in the early stages of polymerization. In addition, due to the confined reaction volume, the rate of termination is increased in the latter stages of the reaction. The two confinement effects combine to lead to lower molecular weight polymers of reduced dispersity in comparison to the reaction conducted in bulk.","author":[{"dropping-particle":"","family":"Sanz","given":"Belén","non-dropping-particle":"","parse-names":false,"suffix":""},{"dropping-particle":"","family":"Ballard","given":"Nicholas","non-dropping-particle":"","parse-names":false,"suffix":""},{"dropping-particle":"","family":"Asua","given":"José M.","non-dropping-particle":"","parse-names":false,"suffix":""},{"dropping-particle":"","family":"Mijangos","given":"Carmen","non-dropping-particle":"","parse-names":false,"suffix":""}],"container-title":"Macromolecules","id":"ITEM-1","issue":"3","issued":{"date-parts":[["2017","2","14"]]},"page":"811-821","title":"Effect of Confinement on the Synthesis of PMMA in AAO Templates and Modeling of Free Radical Polymerization","type":"article-journal","volume":"50"},"uris":["http://www.mendeley.com/documents/?uuid=f42b8760-7105-4bcf-97e7-1d53ed1afe76"]}],"mendeley":{"formattedCitation":"&lt;sup&gt;220&lt;/sup&gt;","plainTextFormattedCitation":"220","previouslyFormattedCitation":"&lt;sup&gt;220&lt;/sup&gt;"},"properties":{"noteIndex":0},"schema":"https://github.com/citation-style-language/schema/raw/master/csl-citation.json"}</w:instrText>
      </w:r>
      <w:r w:rsidR="00AF7AD4"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220</w:t>
      </w:r>
      <w:r w:rsidR="00AF7AD4" w:rsidRPr="006D631C">
        <w:rPr>
          <w:rFonts w:asciiTheme="majorBidi" w:hAnsiTheme="majorBidi" w:cstheme="majorBidi"/>
        </w:rPr>
        <w:fldChar w:fldCharType="end"/>
      </w:r>
      <w:r w:rsidR="00AF7AD4" w:rsidRPr="006D631C">
        <w:rPr>
          <w:rFonts w:asciiTheme="majorBidi" w:hAnsiTheme="majorBidi" w:cstheme="majorBidi"/>
        </w:rPr>
        <w:t xml:space="preserve"> in which the template surface acts as a catalyst for initiation, resulting in higher polymerization rate at early stages.</w:t>
      </w:r>
      <w:r w:rsidR="00AF7AD4" w:rsidRPr="006D631C" w:rsidDel="00C3021B">
        <w:rPr>
          <w:rFonts w:asciiTheme="majorBidi" w:hAnsiTheme="majorBidi" w:cstheme="majorBidi"/>
        </w:rPr>
        <w:t xml:space="preserve"> </w:t>
      </w:r>
      <w:r w:rsidR="00AF7AD4" w:rsidRPr="006D631C">
        <w:rPr>
          <w:rFonts w:asciiTheme="majorBidi" w:hAnsiTheme="majorBidi" w:cstheme="majorBidi"/>
        </w:rPr>
        <w:t>When comparing lamellar and hexagonal structures, we note that the different trend in APS initiated system is caused by the competition between (</w:t>
      </w:r>
      <w:proofErr w:type="spellStart"/>
      <w:r w:rsidR="00AF7AD4" w:rsidRPr="006D631C">
        <w:rPr>
          <w:rFonts w:asciiTheme="majorBidi" w:hAnsiTheme="majorBidi" w:cstheme="majorBidi"/>
        </w:rPr>
        <w:t>i</w:t>
      </w:r>
      <w:proofErr w:type="spellEnd"/>
      <w:r w:rsidR="00AF7AD4" w:rsidRPr="006D631C">
        <w:rPr>
          <w:rFonts w:asciiTheme="majorBidi" w:hAnsiTheme="majorBidi" w:cstheme="majorBidi"/>
        </w:rPr>
        <w:t xml:space="preserve">) gradual </w:t>
      </w:r>
      <w:proofErr w:type="gramStart"/>
      <w:r w:rsidR="00AF7AD4" w:rsidRPr="006D631C">
        <w:rPr>
          <w:rFonts w:asciiTheme="majorBidi" w:hAnsiTheme="majorBidi" w:cstheme="majorBidi"/>
        </w:rPr>
        <w:t>increase</w:t>
      </w:r>
      <w:proofErr w:type="gramEnd"/>
      <w:r w:rsidR="00AF7AD4" w:rsidRPr="006D631C">
        <w:rPr>
          <w:rFonts w:asciiTheme="majorBidi" w:hAnsiTheme="majorBidi" w:cstheme="majorBidi"/>
        </w:rPr>
        <w:t xml:space="preserve"> in radicals/</w:t>
      </w:r>
      <w:proofErr w:type="spellStart"/>
      <w:r w:rsidR="00AF7AD4" w:rsidRPr="006D631C">
        <w:rPr>
          <w:rFonts w:asciiTheme="majorBidi" w:hAnsiTheme="majorBidi" w:cstheme="majorBidi"/>
        </w:rPr>
        <w:t>macroradicals</w:t>
      </w:r>
      <w:proofErr w:type="spellEnd"/>
      <w:r w:rsidR="00AF7AD4" w:rsidRPr="006D631C">
        <w:rPr>
          <w:rFonts w:asciiTheme="majorBidi" w:hAnsiTheme="majorBidi" w:cstheme="majorBidi"/>
        </w:rPr>
        <w:t xml:space="preserve"> initiated from interface and (ii) enhancement of </w:t>
      </w:r>
      <w:r w:rsidR="007B3AA4" w:rsidRPr="006D631C">
        <w:rPr>
          <w:rFonts w:asciiTheme="majorBidi" w:hAnsiTheme="majorBidi" w:cstheme="majorBidi"/>
        </w:rPr>
        <w:t xml:space="preserve">the </w:t>
      </w:r>
      <w:r w:rsidR="00AF7AD4" w:rsidRPr="006D631C">
        <w:rPr>
          <w:rFonts w:asciiTheme="majorBidi" w:hAnsiTheme="majorBidi" w:cstheme="majorBidi"/>
        </w:rPr>
        <w:t>termination reactions due to confinement. In AIBN and BPO initiated systems, only the latter phenomenon is dominant.</w:t>
      </w:r>
    </w:p>
    <w:p w14:paraId="530F9078" w14:textId="79959A2F" w:rsidR="005F23CB" w:rsidRPr="006D631C" w:rsidRDefault="008146E5" w:rsidP="002E14E4">
      <w:pPr>
        <w:ind w:firstLine="357"/>
        <w:rPr>
          <w:rFonts w:asciiTheme="majorBidi" w:hAnsiTheme="majorBidi" w:cstheme="majorBidi"/>
        </w:rPr>
      </w:pPr>
      <w:r w:rsidRPr="006D631C">
        <w:rPr>
          <w:rFonts w:asciiTheme="majorBidi" w:hAnsiTheme="majorBidi" w:cstheme="majorBidi"/>
        </w:rPr>
        <w:t xml:space="preserve">Combined APS and AIBN initiators show an improvement in the polymerization rate and monomer conversion in hexagonal structure similar to lamellar phase. The reason for such improvement is that the concentration of free radicals generated by AIBN decreased in half and the other half is gradually provided by APS, resulting in lower termination rate in oil phase. Thus, the chain propagation rate increases in AIBN+APS system. The same improvement is also noticeable for the combination of APS and BPO over IFO polymerization with BPO. Nevertheless, for both BPO and APS+BPO cases, hexagonal structure still exhibits faster polymerization rate as </w:t>
      </w:r>
      <w:r w:rsidRPr="006D631C">
        <w:rPr>
          <w:rFonts w:asciiTheme="majorBidi" w:hAnsiTheme="majorBidi" w:cstheme="majorBidi"/>
        </w:rPr>
        <w:lastRenderedPageBreak/>
        <w:t>well as higher monomer conversion than the lamellar one. Given the fact that BPO generates less free radicals compared to APS and AIBN (see Fig</w:t>
      </w:r>
      <w:r w:rsidR="009377EF" w:rsidRPr="006D631C">
        <w:rPr>
          <w:rFonts w:asciiTheme="majorBidi" w:hAnsiTheme="majorBidi" w:cstheme="majorBidi"/>
        </w:rPr>
        <w:t>ure C</w:t>
      </w:r>
      <w:r w:rsidR="00FA5BB8" w:rsidRPr="006D631C">
        <w:rPr>
          <w:rFonts w:asciiTheme="majorBidi" w:hAnsiTheme="majorBidi" w:cstheme="majorBidi"/>
        </w:rPr>
        <w:t>3</w:t>
      </w:r>
      <w:r w:rsidRPr="006D631C">
        <w:rPr>
          <w:rFonts w:asciiTheme="majorBidi" w:hAnsiTheme="majorBidi" w:cstheme="majorBidi"/>
        </w:rPr>
        <w:t xml:space="preserve">), enhanced termination reaction is not the only factor affecting the polymerization kinetics initiated by BPO. One phenomenon that might predominate in BPO-initiated system is the recombination of free radicals due to the cage effect in the </w:t>
      </w:r>
      <w:proofErr w:type="spellStart"/>
      <w:r w:rsidRPr="006D631C">
        <w:rPr>
          <w:rFonts w:asciiTheme="majorBidi" w:hAnsiTheme="majorBidi" w:cstheme="majorBidi"/>
        </w:rPr>
        <w:t>nanoconfinements</w:t>
      </w:r>
      <w:proofErr w:type="spellEnd"/>
      <w:r w:rsidRPr="006D631C">
        <w:rPr>
          <w:rFonts w:asciiTheme="majorBidi" w:hAnsiTheme="majorBidi" w:cstheme="majorBidi"/>
        </w:rPr>
        <w:t xml:space="preserve"> of lamellar structure. In other words, under </w:t>
      </w:r>
      <w:proofErr w:type="spellStart"/>
      <w:r w:rsidRPr="006D631C">
        <w:rPr>
          <w:rFonts w:asciiTheme="majorBidi" w:hAnsiTheme="majorBidi" w:cstheme="majorBidi"/>
        </w:rPr>
        <w:t>nanoconfinement</w:t>
      </w:r>
      <w:proofErr w:type="spellEnd"/>
      <w:r w:rsidRPr="006D631C">
        <w:rPr>
          <w:rFonts w:asciiTheme="majorBidi" w:hAnsiTheme="majorBidi" w:cstheme="majorBidi"/>
        </w:rPr>
        <w:t>, the initiator efficiency (</w:t>
      </w:r>
      <w:r w:rsidRPr="006D631C">
        <w:rPr>
          <w:rFonts w:asciiTheme="majorBidi" w:hAnsiTheme="majorBidi" w:cstheme="majorBidi"/>
          <w:i/>
          <w:iCs/>
        </w:rPr>
        <w:t>f</w:t>
      </w:r>
      <w:r w:rsidRPr="006D631C">
        <w:rPr>
          <w:rFonts w:asciiTheme="majorBidi" w:hAnsiTheme="majorBidi" w:cstheme="majorBidi"/>
        </w:rPr>
        <w:t xml:space="preserve"> in </w:t>
      </w:r>
      <w:r w:rsidR="00F42A94" w:rsidRPr="006D631C">
        <w:rPr>
          <w:rFonts w:asciiTheme="majorBidi" w:hAnsiTheme="majorBidi" w:cstheme="majorBidi"/>
        </w:rPr>
        <w:t>Eq.</w:t>
      </w:r>
      <w:r w:rsidRPr="006D631C">
        <w:rPr>
          <w:rFonts w:asciiTheme="majorBidi" w:hAnsiTheme="majorBidi" w:cstheme="majorBidi"/>
        </w:rPr>
        <w:t xml:space="preserve"> </w:t>
      </w:r>
      <w:r w:rsidR="00F42A94" w:rsidRPr="006D631C">
        <w:rPr>
          <w:rFonts w:asciiTheme="majorBidi" w:hAnsiTheme="majorBidi" w:cstheme="majorBidi"/>
        </w:rPr>
        <w:t>2-</w:t>
      </w:r>
      <w:r w:rsidR="00DD199B" w:rsidRPr="006D631C">
        <w:rPr>
          <w:rFonts w:asciiTheme="majorBidi" w:hAnsiTheme="majorBidi" w:cstheme="majorBidi"/>
        </w:rPr>
        <w:t>5)</w:t>
      </w:r>
      <w:r w:rsidRPr="006D631C">
        <w:rPr>
          <w:rFonts w:asciiTheme="majorBidi" w:hAnsiTheme="majorBidi" w:cstheme="majorBidi"/>
        </w:rPr>
        <w:t xml:space="preserve"> is much lower for BPO in comparison to other initiators. Bigger size of radicals generated by BPO compared to those by APS and AIBN can be the reason of such difference. Relative immobility of radicals under </w:t>
      </w:r>
      <w:proofErr w:type="spellStart"/>
      <w:r w:rsidRPr="006D631C">
        <w:rPr>
          <w:rFonts w:asciiTheme="majorBidi" w:hAnsiTheme="majorBidi" w:cstheme="majorBidi"/>
        </w:rPr>
        <w:t>nanoconfinement</w:t>
      </w:r>
      <w:proofErr w:type="spellEnd"/>
      <w:r w:rsidRPr="006D631C">
        <w:rPr>
          <w:rFonts w:asciiTheme="majorBidi" w:hAnsiTheme="majorBidi" w:cstheme="majorBidi"/>
        </w:rPr>
        <w:t xml:space="preserve"> increases the chance of their recombination. Similar observation has been reported by Guymon and coworkers for polymerization of LLCs using different photoinitiators.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{"citationItems":[{"id":"ITEM-1","itemData":{"DOI":"10.1016/j.polymer.2004.11.007","ISSN":"00323861","abstract":"Through photopolymerization lyotropic liquid crystalline (LLC) phases may be templated onto organic polymers to yield highly complex nanostructures. In order to understand the unique polymerization behavior controlling structural development in LLC media, the polymerization kinetics in these systems have been studied using several commercially available photoinitiators. Although monomer segregation and diffusional restrictions largely govern the kinetics in these systems, the initiation may also be influenced by changing LLC order and composition. Nonpolar monomers, which partition to the oil soluble domains of the LLC phase typically display the fastest rate of polymerization in micellar aggregates. The rate decreases in phases with larger nonpolar domains due to decreasing localized double bond concentration. Polar monomers exhibit the opposite behavior. However, the segregation of photoinitiator may contribute to significantly different trends in polymerization behavior. Relatively mobile initiators, displaying favorable interaction with water, yield a trend in polymerization that is governed primarily by monomer and diffusional effects. When bulkier, hydrophobic initiators are used, the polymerization appears much less dependent on these effects. Rather than the decreasing rate usually observed at higher surfactant concentrations, polymerization of oil soluble monomers with the less mobile initiators shows the opposite trend of increasing rate at higher surfactant concentration. This behavior likely results from increasing initiator efficiency of the bulky, hydrophobic initiator in the surfactant rich environment. © 2004 Elsevier Ltd. All rights reserved.","author":[{"dropping-particle":"","family":"DePierro","given":"Michael A.","non-dropping-particle":"","parse-names":false,"suffix":""},{"dropping-particle":"","family":"Olson","given":"Alexandra J.","non-dropping-particle":"","parse-names":false,"suffix":""},{"dropping-particle":"","family":"Guymon","given":"C. Allan","non-dropping-particle":"","parse-names":false,"suffix":""}],"container-title":"Polymer","id":"ITEM-1","issue":"2","issued":{"date-parts":[["2005"]]},"page":"335-345","title":"Effect of photoinitiator segregation on polymerization kinetics in lyotropic liquid crystals","type":"article-journal","volume":"46"},"uris":["http://www.mendeley.com/documents/?uuid=9305a569-bf29-4306-91ea-3a1da5446f5a"]}],"mendeley":{"formattedCitation":"&lt;sup&gt;39&lt;/sup&gt;","plainTextFormattedCitation":"39","previouslyFormattedCitation":"&lt;sup&gt;39&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39</w:t>
      </w:r>
      <w:r w:rsidRPr="006D631C">
        <w:rPr>
          <w:rFonts w:asciiTheme="majorBidi" w:hAnsiTheme="majorBidi" w:cstheme="majorBidi"/>
        </w:rPr>
        <w:fldChar w:fldCharType="end"/>
      </w:r>
      <w:r w:rsidRPr="006D631C">
        <w:rPr>
          <w:rFonts w:asciiTheme="majorBidi" w:hAnsiTheme="majorBidi" w:cstheme="majorBidi"/>
        </w:rPr>
        <w:t xml:space="preserve"> To prove this hypothesis, further tests were required to shed lights on this point.</w:t>
      </w:r>
    </w:p>
    <w:p w14:paraId="09C66DE1" w14:textId="78DBD700" w:rsidR="005F23CB" w:rsidRPr="006D631C" w:rsidRDefault="0010787D" w:rsidP="0010787D">
      <w:pPr>
        <w:ind w:firstLine="357"/>
        <w:rPr>
          <w:rFonts w:asciiTheme="majorBidi" w:hAnsiTheme="majorBidi" w:cstheme="majorBidi"/>
        </w:rPr>
      </w:pPr>
      <w:r w:rsidRPr="006D631C">
        <w:rPr>
          <w:rFonts w:asciiTheme="majorBidi" w:hAnsiTheme="majorBidi" w:cstheme="majorBidi"/>
        </w:rPr>
        <w:t xml:space="preserve">We evaluate if combining IFO and IFW systems has a synergistic effect on the polymerization rate in LLCs. Table </w:t>
      </w:r>
      <w:r w:rsidR="00DC69FD" w:rsidRPr="006D631C">
        <w:rPr>
          <w:rFonts w:asciiTheme="majorBidi" w:hAnsiTheme="majorBidi" w:cstheme="majorBidi"/>
        </w:rPr>
        <w:t>2-</w:t>
      </w:r>
      <w:r w:rsidRPr="006D631C">
        <w:rPr>
          <w:rFonts w:asciiTheme="majorBidi" w:hAnsiTheme="majorBidi" w:cstheme="majorBidi"/>
        </w:rPr>
        <w:t>2 lists the average values of maximum polymerization rate and overall monomer conversion for different initiation system. It also contains the theoretical average values of IFO and IFW systems and compare them with the experimental results for IFW+IFO system. Synergistic effect is evident for the monomer conversion for both lamellar and hexagonal structures as the IFW+IFO systems show higher conversion than the average value of their corresponding single initiation systems. Having a good balance between propagation rate and terminate rate may be the reason why the synergistic effect is observed. In the case of maximum polymerization rate, the synergistic effect is detected only for the combination of APS and AIBN in the lamellar structure.</w:t>
      </w:r>
    </w:p>
    <w:p w14:paraId="24D425D8" w14:textId="0575D2DB" w:rsidR="00E170F5" w:rsidRPr="006D631C" w:rsidRDefault="00525B31" w:rsidP="0072669A">
      <w:pPr>
        <w:ind w:firstLine="357"/>
        <w:rPr>
          <w:rFonts w:asciiTheme="majorBidi" w:hAnsiTheme="majorBidi" w:cstheme="majorBidi"/>
        </w:rPr>
      </w:pPr>
      <w:r w:rsidRPr="006D631C">
        <w:rPr>
          <w:rFonts w:asciiTheme="majorBidi" w:hAnsiTheme="majorBidi" w:cstheme="majorBidi"/>
        </w:rPr>
        <w:t xml:space="preserve">    Based on the obtained results, the gradual increase of propagating chains in monomer phase and thus suppressed termination rate is the main reason why the polymerization rate is faster for </w:t>
      </w:r>
      <w:r w:rsidRPr="006D631C">
        <w:rPr>
          <w:rFonts w:asciiTheme="majorBidi" w:hAnsiTheme="majorBidi" w:cstheme="majorBidi"/>
        </w:rPr>
        <w:lastRenderedPageBreak/>
        <w:t xml:space="preserve">IFW than IFO system. To further confirm this hypothesis, we run the same experiments in both LLC structures using initiator concentration of 2.5 </w:t>
      </w:r>
      <w:proofErr w:type="spellStart"/>
      <w:r w:rsidRPr="006D631C">
        <w:rPr>
          <w:rFonts w:asciiTheme="majorBidi" w:hAnsiTheme="majorBidi" w:cstheme="majorBidi"/>
        </w:rPr>
        <w:t>mol</w:t>
      </w:r>
      <w:proofErr w:type="spellEnd"/>
      <w:r w:rsidRPr="006D631C">
        <w:rPr>
          <w:rFonts w:asciiTheme="majorBidi" w:hAnsiTheme="majorBidi" w:cstheme="majorBidi"/>
        </w:rPr>
        <w:t>% with respect to the total monomer content. The results for lamellar phase are presented in Fig</w:t>
      </w:r>
      <w:r w:rsidR="00251D6D" w:rsidRPr="006D631C">
        <w:rPr>
          <w:rFonts w:asciiTheme="majorBidi" w:hAnsiTheme="majorBidi" w:cstheme="majorBidi"/>
        </w:rPr>
        <w:t>ure</w:t>
      </w:r>
      <w:r w:rsidRPr="006D631C">
        <w:rPr>
          <w:rFonts w:asciiTheme="majorBidi" w:hAnsiTheme="majorBidi" w:cstheme="majorBidi"/>
        </w:rPr>
        <w:t xml:space="preserve"> </w:t>
      </w:r>
      <w:r w:rsidR="00251D6D" w:rsidRPr="006D631C">
        <w:rPr>
          <w:rFonts w:asciiTheme="majorBidi" w:hAnsiTheme="majorBidi" w:cstheme="majorBidi"/>
        </w:rPr>
        <w:t>2-5</w:t>
      </w:r>
      <w:r w:rsidRPr="006D631C">
        <w:rPr>
          <w:rFonts w:asciiTheme="majorBidi" w:hAnsiTheme="majorBidi" w:cstheme="majorBidi"/>
        </w:rPr>
        <w:t>a-c. In the unconfined free radical polymerization (e.g., bulk polymerization), the rate of polymerization is proportional to the square root of initiator concentration</w:t>
      </w:r>
      <w:r w:rsidR="009D2E6A" w:rsidRPr="006D631C">
        <w:rPr>
          <w:rFonts w:asciiTheme="majorBidi" w:hAnsiTheme="majorBidi" w:cstheme="majorBidi"/>
        </w:rPr>
        <w:t xml:space="preserve"> (see Eq. 2-</w:t>
      </w:r>
      <w:r w:rsidR="00731BAE" w:rsidRPr="006D631C">
        <w:rPr>
          <w:rFonts w:asciiTheme="majorBidi" w:hAnsiTheme="majorBidi" w:cstheme="majorBidi"/>
        </w:rPr>
        <w:t>5</w:t>
      </w:r>
      <w:r w:rsidR="009D2E6A" w:rsidRPr="006D631C">
        <w:rPr>
          <w:rFonts w:asciiTheme="majorBidi" w:hAnsiTheme="majorBidi" w:cstheme="majorBidi"/>
        </w:rPr>
        <w:t>)</w:t>
      </w:r>
      <w:r w:rsidRPr="006D631C">
        <w:rPr>
          <w:rFonts w:asciiTheme="majorBidi" w:hAnsiTheme="majorBidi" w:cstheme="majorBidi"/>
        </w:rPr>
        <w:t>, meaning that the extent of polymerization (e.g., overall monomer conversion) decreases with a decrease in initiator content.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{"citationItems":[{"id":"ITEM-1","itemData":{"DOI":"10.1002/047147875X.ch6","ISBN":"0471274003","abstract":"Chain copolymerization allows the modification of polymer structure and properties by the incorporation of two or more different monomers into the polymer chain. Copolymer composition depends on the relative amounts of monomers present in the reaction system as well as the monomer reactivities. Pairs of monomers follow either an alternating or ideal behavior depending on their structures and whether copolymerization proceeds by radical, anionic, or cationic propagation. The different behaviors are discussed in terms of the terminal, penultimate, depropagation and complex participation models for copolymerization behavior. The Q-e and patterns of reactivity schemes place monomer reactivities on a theoretical basis in radical copolymerization. Cyclopolymerization occurs in some polymerizations of diene monomers. Copolymerization is important for many commercial products, including polystyrene, polyethylene, unsaturated polyesters, allyl resins, and other commercial polymers.","author":[{"dropping-particle":"","family":"Odian","given":"George","non-dropping-particle":"","parse-names":false,"suffix":""}],"container-title":"Principles of Polymerization","id":"ITEM-1","issued":{"date-parts":[["2004"]]},"publisher":"John Wiley &amp; Sons, Inc.","publisher-place":"Hoboken, NJ, USA","title":"Chain Copolymerization","type":"chapter"},"uris":["http://www.mendeley.com/documents/?uuid=decefd3a-c596-4623-acf3-7cf2bb6b9257"]}],"mendeley":{"formattedCitation":"&lt;sup&gt;216&lt;/sup&gt;","plainTextFormattedCitation":"216","previouslyFormattedCitation":"&lt;sup&gt;216&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216</w:t>
      </w:r>
      <w:r w:rsidRPr="006D631C">
        <w:rPr>
          <w:rFonts w:asciiTheme="majorBidi" w:hAnsiTheme="majorBidi" w:cstheme="majorBidi"/>
        </w:rPr>
        <w:fldChar w:fldCharType="end"/>
      </w:r>
      <w:r w:rsidRPr="006D631C">
        <w:rPr>
          <w:rFonts w:asciiTheme="majorBidi" w:hAnsiTheme="majorBidi" w:cstheme="majorBidi"/>
        </w:rPr>
        <w:t xml:space="preserve"> In contrary, we observe an increase in the monomer conversion for all of the initiation systems when the initiator content is reduced to half. This outcome shows that the lower local concentration of </w:t>
      </w:r>
      <w:proofErr w:type="spellStart"/>
      <w:r w:rsidRPr="006D631C">
        <w:rPr>
          <w:rFonts w:asciiTheme="majorBidi" w:hAnsiTheme="majorBidi" w:cstheme="majorBidi"/>
        </w:rPr>
        <w:t>macroradicals</w:t>
      </w:r>
      <w:proofErr w:type="spellEnd"/>
      <w:r w:rsidRPr="006D631C">
        <w:rPr>
          <w:rFonts w:asciiTheme="majorBidi" w:hAnsiTheme="majorBidi" w:cstheme="majorBidi"/>
        </w:rPr>
        <w:t xml:space="preserve"> due to the reduced initiator content is the key factor which determines the rate of termination and thus the extent of the polymerization in LLC </w:t>
      </w:r>
      <w:proofErr w:type="spellStart"/>
      <w:r w:rsidRPr="006D631C">
        <w:rPr>
          <w:rFonts w:asciiTheme="majorBidi" w:hAnsiTheme="majorBidi" w:cstheme="majorBidi"/>
        </w:rPr>
        <w:t>nanoconfinements</w:t>
      </w:r>
      <w:proofErr w:type="spellEnd"/>
      <w:r w:rsidRPr="006D631C">
        <w:rPr>
          <w:rFonts w:asciiTheme="majorBidi" w:hAnsiTheme="majorBidi" w:cstheme="majorBidi"/>
        </w:rPr>
        <w:t>.</w:t>
      </w:r>
    </w:p>
    <w:p w14:paraId="05EE600A" w14:textId="463906DF" w:rsidR="00525B31" w:rsidRPr="006D631C" w:rsidRDefault="00525B31" w:rsidP="00525B31">
      <w:pPr>
        <w:widowControl w:val="0"/>
        <w:tabs>
          <w:tab w:val="left" w:pos="142"/>
          <w:tab w:val="left" w:pos="360"/>
          <w:tab w:val="left" w:pos="992"/>
        </w:tabs>
        <w:spacing w:line="276" w:lineRule="auto"/>
        <w:jc w:val="center"/>
        <w:rPr>
          <w:rFonts w:eastAsia="Calibri"/>
          <w:sz w:val="22"/>
          <w:szCs w:val="22"/>
        </w:rPr>
      </w:pPr>
      <w:bookmarkStart w:id="114" w:name="_Toc148175970"/>
      <w:r w:rsidRPr="006D631C">
        <w:rPr>
          <w:sz w:val="22"/>
          <w:szCs w:val="22"/>
        </w:rPr>
        <w:t xml:space="preserve">Table </w:t>
      </w:r>
      <w:r w:rsidR="0093296F" w:rsidRPr="006D631C">
        <w:rPr>
          <w:sz w:val="22"/>
          <w:szCs w:val="22"/>
        </w:rPr>
        <w:fldChar w:fldCharType="begin"/>
      </w:r>
      <w:r w:rsidR="0093296F" w:rsidRPr="006D631C">
        <w:rPr>
          <w:sz w:val="22"/>
          <w:szCs w:val="22"/>
        </w:rPr>
        <w:instrText xml:space="preserve"> STYLEREF 1 \s </w:instrText>
      </w:r>
      <w:r w:rsidR="0093296F" w:rsidRPr="006D631C">
        <w:rPr>
          <w:sz w:val="22"/>
          <w:szCs w:val="22"/>
        </w:rPr>
        <w:fldChar w:fldCharType="separate"/>
      </w:r>
      <w:r w:rsidR="0093296F" w:rsidRPr="006D631C">
        <w:rPr>
          <w:sz w:val="22"/>
          <w:szCs w:val="22"/>
          <w:cs/>
        </w:rPr>
        <w:t>‎</w:t>
      </w:r>
      <w:r w:rsidR="0093296F" w:rsidRPr="006D631C">
        <w:rPr>
          <w:sz w:val="22"/>
          <w:szCs w:val="22"/>
        </w:rPr>
        <w:t>2</w:t>
      </w:r>
      <w:r w:rsidR="0093296F" w:rsidRPr="006D631C">
        <w:rPr>
          <w:sz w:val="22"/>
          <w:szCs w:val="22"/>
        </w:rPr>
        <w:fldChar w:fldCharType="end"/>
      </w:r>
      <w:r w:rsidR="0093296F" w:rsidRPr="006D631C">
        <w:rPr>
          <w:sz w:val="22"/>
          <w:szCs w:val="22"/>
        </w:rPr>
        <w:noBreakHyphen/>
      </w:r>
      <w:r w:rsidR="0093296F" w:rsidRPr="006D631C">
        <w:rPr>
          <w:sz w:val="22"/>
          <w:szCs w:val="22"/>
        </w:rPr>
        <w:fldChar w:fldCharType="begin"/>
      </w:r>
      <w:r w:rsidR="0093296F" w:rsidRPr="006D631C">
        <w:rPr>
          <w:sz w:val="22"/>
          <w:szCs w:val="22"/>
        </w:rPr>
        <w:instrText xml:space="preserve"> SEQ Table \* ARABIC \s 1 </w:instrText>
      </w:r>
      <w:r w:rsidR="0093296F" w:rsidRPr="006D631C">
        <w:rPr>
          <w:sz w:val="22"/>
          <w:szCs w:val="22"/>
        </w:rPr>
        <w:fldChar w:fldCharType="separate"/>
      </w:r>
      <w:r w:rsidR="0093296F" w:rsidRPr="006D631C">
        <w:rPr>
          <w:sz w:val="22"/>
          <w:szCs w:val="22"/>
        </w:rPr>
        <w:t>2</w:t>
      </w:r>
      <w:r w:rsidR="0093296F" w:rsidRPr="006D631C">
        <w:rPr>
          <w:sz w:val="22"/>
          <w:szCs w:val="22"/>
        </w:rPr>
        <w:fldChar w:fldCharType="end"/>
      </w:r>
      <w:r w:rsidRPr="006D631C">
        <w:rPr>
          <w:sz w:val="22"/>
          <w:szCs w:val="22"/>
        </w:rPr>
        <w:t>.</w:t>
      </w:r>
      <w:r w:rsidRPr="006D631C">
        <w:rPr>
          <w:rFonts w:eastAsia="Calibri"/>
          <w:sz w:val="22"/>
          <w:szCs w:val="22"/>
        </w:rPr>
        <w:t xml:space="preserve"> </w:t>
      </w:r>
      <w:r w:rsidRPr="006D631C">
        <w:rPr>
          <w:rFonts w:eastAsiaTheme="minorHAnsi" w:cstheme="minorBidi"/>
          <w:iCs/>
          <w:color w:val="000000" w:themeColor="text1"/>
          <w:sz w:val="22"/>
          <w:szCs w:val="22"/>
        </w:rPr>
        <w:t>Overall monomer conversion and maximum polymerization rate for different initiation systems and theoretical average values for APS+AIBN and APS+BPO mixtures</w:t>
      </w:r>
      <w:r w:rsidRPr="006D631C">
        <w:rPr>
          <w:rFonts w:eastAsia="Calibri"/>
          <w:sz w:val="22"/>
          <w:szCs w:val="22"/>
        </w:rPr>
        <w:t>.</w:t>
      </w:r>
      <w:bookmarkEnd w:id="114"/>
    </w:p>
    <w:tbl>
      <w:tblPr>
        <w:tblStyle w:val="TableGrid5"/>
        <w:tblW w:w="0" w:type="auto"/>
        <w:tblLook w:val="04A0" w:firstRow="1" w:lastRow="0" w:firstColumn="1" w:lastColumn="0" w:noHBand="0" w:noVBand="1"/>
      </w:tblPr>
      <w:tblGrid>
        <w:gridCol w:w="2830"/>
        <w:gridCol w:w="1630"/>
        <w:gridCol w:w="1630"/>
        <w:gridCol w:w="1630"/>
        <w:gridCol w:w="1630"/>
      </w:tblGrid>
      <w:tr w:rsidR="00525B31" w:rsidRPr="006D631C" w14:paraId="230662DB" w14:textId="77777777" w:rsidTr="00B013D9">
        <w:trPr>
          <w:trHeight w:val="340"/>
        </w:trPr>
        <w:tc>
          <w:tcPr>
            <w:tcW w:w="2830" w:type="dxa"/>
            <w:vMerge w:val="restart"/>
            <w:tcBorders>
              <w:top w:val="single" w:sz="4" w:space="0" w:color="auto"/>
              <w:left w:val="nil"/>
              <w:bottom w:val="nil"/>
              <w:right w:val="nil"/>
            </w:tcBorders>
            <w:vAlign w:val="center"/>
          </w:tcPr>
          <w:p w14:paraId="24E715F5" w14:textId="77777777" w:rsidR="00525B31" w:rsidRPr="006D631C" w:rsidRDefault="00525B31" w:rsidP="00525B31">
            <w:pPr>
              <w:widowControl w:val="0"/>
              <w:spacing w:line="240" w:lineRule="auto"/>
              <w:jc w:val="left"/>
              <w:rPr>
                <w:rFonts w:eastAsia="Calibri"/>
              </w:rPr>
            </w:pPr>
            <w:r w:rsidRPr="006D631C">
              <w:rPr>
                <w:rFonts w:eastAsia="Calibri"/>
              </w:rPr>
              <w:t>Initiation system</w:t>
            </w:r>
          </w:p>
        </w:tc>
        <w:tc>
          <w:tcPr>
            <w:tcW w:w="3260" w:type="dxa"/>
            <w:gridSpan w:val="2"/>
            <w:tcBorders>
              <w:top w:val="single" w:sz="4" w:space="0" w:color="auto"/>
              <w:left w:val="nil"/>
              <w:bottom w:val="single" w:sz="4" w:space="0" w:color="auto"/>
              <w:right w:val="nil"/>
            </w:tcBorders>
            <w:vAlign w:val="center"/>
          </w:tcPr>
          <w:p w14:paraId="504225EE" w14:textId="77777777" w:rsidR="00525B31" w:rsidRPr="006D631C" w:rsidRDefault="00525B31" w:rsidP="00525B31">
            <w:pPr>
              <w:widowControl w:val="0"/>
              <w:spacing w:line="240" w:lineRule="auto"/>
              <w:jc w:val="center"/>
              <w:rPr>
                <w:rFonts w:eastAsia="Calibri"/>
              </w:rPr>
            </w:pPr>
            <w:r w:rsidRPr="006D631C">
              <w:rPr>
                <w:rFonts w:eastAsia="Calibri"/>
              </w:rPr>
              <w:t xml:space="preserve">Hexagonal </w:t>
            </w:r>
          </w:p>
        </w:tc>
        <w:tc>
          <w:tcPr>
            <w:tcW w:w="3260" w:type="dxa"/>
            <w:gridSpan w:val="2"/>
            <w:tcBorders>
              <w:top w:val="single" w:sz="4" w:space="0" w:color="auto"/>
              <w:left w:val="nil"/>
              <w:bottom w:val="single" w:sz="4" w:space="0" w:color="auto"/>
              <w:right w:val="nil"/>
            </w:tcBorders>
            <w:vAlign w:val="center"/>
          </w:tcPr>
          <w:p w14:paraId="14B5F1B5" w14:textId="77777777" w:rsidR="00525B31" w:rsidRPr="006D631C" w:rsidRDefault="00525B31" w:rsidP="00525B31">
            <w:pPr>
              <w:widowControl w:val="0"/>
              <w:spacing w:line="240" w:lineRule="auto"/>
              <w:jc w:val="center"/>
              <w:rPr>
                <w:rFonts w:eastAsia="Calibri"/>
              </w:rPr>
            </w:pPr>
            <w:r w:rsidRPr="006D631C">
              <w:rPr>
                <w:rFonts w:eastAsia="Calibri"/>
              </w:rPr>
              <w:t xml:space="preserve">Lamellar </w:t>
            </w:r>
          </w:p>
        </w:tc>
      </w:tr>
      <w:tr w:rsidR="00525B31" w:rsidRPr="006D631C" w14:paraId="44757C74" w14:textId="77777777" w:rsidTr="00B013D9">
        <w:trPr>
          <w:trHeight w:val="340"/>
        </w:trPr>
        <w:tc>
          <w:tcPr>
            <w:tcW w:w="2830" w:type="dxa"/>
            <w:vMerge/>
            <w:tcBorders>
              <w:top w:val="nil"/>
              <w:left w:val="nil"/>
              <w:bottom w:val="single" w:sz="4" w:space="0" w:color="auto"/>
              <w:right w:val="nil"/>
            </w:tcBorders>
          </w:tcPr>
          <w:p w14:paraId="470B2494" w14:textId="77777777" w:rsidR="00525B31" w:rsidRPr="006D631C" w:rsidRDefault="00525B31" w:rsidP="00525B31">
            <w:pPr>
              <w:widowControl w:val="0"/>
              <w:spacing w:line="240" w:lineRule="auto"/>
              <w:rPr>
                <w:rFonts w:eastAsia="Calibri"/>
              </w:rPr>
            </w:pPr>
          </w:p>
        </w:tc>
        <w:tc>
          <w:tcPr>
            <w:tcW w:w="1630" w:type="dxa"/>
            <w:tcBorders>
              <w:top w:val="single" w:sz="4" w:space="0" w:color="auto"/>
              <w:left w:val="nil"/>
              <w:bottom w:val="single" w:sz="4" w:space="0" w:color="auto"/>
              <w:right w:val="nil"/>
            </w:tcBorders>
            <w:vAlign w:val="center"/>
          </w:tcPr>
          <w:p w14:paraId="11872460" w14:textId="77777777" w:rsidR="00525B31" w:rsidRPr="006D631C" w:rsidRDefault="00525B31" w:rsidP="00525B31">
            <w:pPr>
              <w:widowControl w:val="0"/>
              <w:spacing w:line="240" w:lineRule="auto"/>
              <w:jc w:val="center"/>
              <w:rPr>
                <w:rFonts w:eastAsia="Calibri"/>
              </w:rPr>
            </w:pPr>
            <w:r w:rsidRPr="006D631C">
              <w:rPr>
                <w:rFonts w:eastAsia="Calibri"/>
              </w:rPr>
              <w:t>Conversion</w:t>
            </w:r>
          </w:p>
          <w:p w14:paraId="088B2BDA" w14:textId="77777777" w:rsidR="00525B31" w:rsidRPr="006D631C" w:rsidRDefault="00525B31" w:rsidP="00525B31">
            <w:pPr>
              <w:widowControl w:val="0"/>
              <w:spacing w:line="240" w:lineRule="auto"/>
              <w:jc w:val="center"/>
              <w:rPr>
                <w:rFonts w:eastAsia="Calibri"/>
              </w:rPr>
            </w:pPr>
            <w:r w:rsidRPr="006D631C">
              <w:rPr>
                <w:rFonts w:eastAsia="Calibri"/>
              </w:rPr>
              <w:t>(%)</w:t>
            </w:r>
          </w:p>
        </w:tc>
        <w:tc>
          <w:tcPr>
            <w:tcW w:w="1630" w:type="dxa"/>
            <w:tcBorders>
              <w:top w:val="single" w:sz="4" w:space="0" w:color="auto"/>
              <w:left w:val="nil"/>
              <w:bottom w:val="single" w:sz="4" w:space="0" w:color="auto"/>
              <w:right w:val="nil"/>
            </w:tcBorders>
            <w:vAlign w:val="center"/>
          </w:tcPr>
          <w:p w14:paraId="5E1E0DC7" w14:textId="77777777" w:rsidR="00525B31" w:rsidRPr="006D631C" w:rsidRDefault="00525B31" w:rsidP="00525B31">
            <w:pPr>
              <w:widowControl w:val="0"/>
              <w:spacing w:line="240" w:lineRule="auto"/>
              <w:jc w:val="center"/>
              <w:rPr>
                <w:rFonts w:eastAsia="Calibri"/>
              </w:rPr>
            </w:pPr>
            <w:r w:rsidRPr="006D631C">
              <w:rPr>
                <w:rFonts w:eastAsia="Calibri"/>
              </w:rPr>
              <w:t>{</w:t>
            </w:r>
            <w:proofErr w:type="spellStart"/>
            <w:r w:rsidRPr="006D631C">
              <w:rPr>
                <w:rFonts w:eastAsia="Calibri"/>
                <w:i/>
                <w:iCs/>
              </w:rPr>
              <w:t>R</w:t>
            </w:r>
            <w:r w:rsidRPr="006D631C">
              <w:rPr>
                <w:rFonts w:eastAsia="Calibri"/>
                <w:i/>
                <w:iCs/>
                <w:vertAlign w:val="subscript"/>
              </w:rPr>
              <w:t>p</w:t>
            </w:r>
            <w:proofErr w:type="spellEnd"/>
            <w:r w:rsidRPr="006D631C">
              <w:rPr>
                <w:rFonts w:eastAsia="Calibri"/>
              </w:rPr>
              <w:t xml:space="preserve"> / </w:t>
            </w:r>
            <w:r w:rsidRPr="006D631C">
              <w:rPr>
                <w:rFonts w:eastAsia="Calibri"/>
                <w:iCs/>
              </w:rPr>
              <w:t>[</w:t>
            </w:r>
            <w:r w:rsidRPr="006D631C">
              <w:rPr>
                <w:rFonts w:eastAsia="Calibri"/>
                <w:i/>
                <w:iCs/>
              </w:rPr>
              <w:t>M</w:t>
            </w:r>
            <w:r w:rsidRPr="006D631C">
              <w:rPr>
                <w:rFonts w:eastAsia="Calibri"/>
                <w:iCs/>
              </w:rPr>
              <w:t>]</w:t>
            </w:r>
            <w:r w:rsidRPr="006D631C">
              <w:rPr>
                <w:rFonts w:eastAsia="Calibri"/>
                <w:iCs/>
                <w:vertAlign w:val="subscript"/>
              </w:rPr>
              <w:t>0</w:t>
            </w:r>
            <w:r w:rsidRPr="006D631C">
              <w:rPr>
                <w:rFonts w:eastAsia="Calibri"/>
              </w:rPr>
              <w:t>}</w:t>
            </w:r>
            <w:r w:rsidRPr="006D631C">
              <w:rPr>
                <w:rFonts w:eastAsia="Calibri"/>
                <w:vertAlign w:val="subscript"/>
              </w:rPr>
              <w:t>max</w:t>
            </w:r>
            <w:r w:rsidRPr="006D631C">
              <w:rPr>
                <w:rFonts w:eastAsia="Calibri"/>
              </w:rPr>
              <w:t xml:space="preserve"> (min</w:t>
            </w:r>
            <w:r w:rsidRPr="006D631C">
              <w:rPr>
                <w:rFonts w:eastAsia="Calibri"/>
                <w:vertAlign w:val="superscript"/>
              </w:rPr>
              <w:t>−1</w:t>
            </w:r>
            <w:r w:rsidRPr="006D631C">
              <w:rPr>
                <w:rFonts w:eastAsia="Calibri"/>
              </w:rPr>
              <w:t>)</w:t>
            </w:r>
          </w:p>
        </w:tc>
        <w:tc>
          <w:tcPr>
            <w:tcW w:w="1630" w:type="dxa"/>
            <w:tcBorders>
              <w:top w:val="single" w:sz="4" w:space="0" w:color="auto"/>
              <w:left w:val="nil"/>
              <w:bottom w:val="single" w:sz="4" w:space="0" w:color="auto"/>
              <w:right w:val="nil"/>
            </w:tcBorders>
            <w:vAlign w:val="center"/>
          </w:tcPr>
          <w:p w14:paraId="4203855A" w14:textId="77777777" w:rsidR="00525B31" w:rsidRPr="006D631C" w:rsidRDefault="00525B31" w:rsidP="00525B31">
            <w:pPr>
              <w:widowControl w:val="0"/>
              <w:spacing w:line="240" w:lineRule="auto"/>
              <w:jc w:val="center"/>
              <w:rPr>
                <w:rFonts w:eastAsia="Calibri"/>
              </w:rPr>
            </w:pPr>
            <w:r w:rsidRPr="006D631C">
              <w:rPr>
                <w:rFonts w:eastAsia="Calibri"/>
              </w:rPr>
              <w:t>Conversion</w:t>
            </w:r>
          </w:p>
          <w:p w14:paraId="1C1FA36A" w14:textId="77777777" w:rsidR="00525B31" w:rsidRPr="006D631C" w:rsidRDefault="00525B31" w:rsidP="00525B31">
            <w:pPr>
              <w:widowControl w:val="0"/>
              <w:spacing w:line="240" w:lineRule="auto"/>
              <w:jc w:val="center"/>
              <w:rPr>
                <w:rFonts w:eastAsia="Calibri"/>
              </w:rPr>
            </w:pPr>
            <w:r w:rsidRPr="006D631C">
              <w:rPr>
                <w:rFonts w:eastAsia="Calibri"/>
              </w:rPr>
              <w:t>(%)</w:t>
            </w:r>
          </w:p>
        </w:tc>
        <w:tc>
          <w:tcPr>
            <w:tcW w:w="1630" w:type="dxa"/>
            <w:tcBorders>
              <w:top w:val="single" w:sz="4" w:space="0" w:color="auto"/>
              <w:left w:val="nil"/>
              <w:bottom w:val="single" w:sz="4" w:space="0" w:color="auto"/>
              <w:right w:val="nil"/>
            </w:tcBorders>
            <w:vAlign w:val="center"/>
          </w:tcPr>
          <w:p w14:paraId="04CCEB8F" w14:textId="77777777" w:rsidR="00525B31" w:rsidRPr="006D631C" w:rsidRDefault="00525B31" w:rsidP="00525B31">
            <w:pPr>
              <w:widowControl w:val="0"/>
              <w:spacing w:line="240" w:lineRule="auto"/>
              <w:jc w:val="center"/>
              <w:rPr>
                <w:rFonts w:eastAsia="Calibri"/>
              </w:rPr>
            </w:pPr>
            <w:r w:rsidRPr="006D631C">
              <w:rPr>
                <w:rFonts w:eastAsia="Calibri"/>
              </w:rPr>
              <w:t>{</w:t>
            </w:r>
            <w:proofErr w:type="spellStart"/>
            <w:r w:rsidRPr="006D631C">
              <w:rPr>
                <w:rFonts w:eastAsia="Calibri"/>
                <w:i/>
                <w:iCs/>
              </w:rPr>
              <w:t>R</w:t>
            </w:r>
            <w:r w:rsidRPr="006D631C">
              <w:rPr>
                <w:rFonts w:eastAsia="Calibri"/>
                <w:i/>
                <w:iCs/>
                <w:vertAlign w:val="subscript"/>
              </w:rPr>
              <w:t>p</w:t>
            </w:r>
            <w:proofErr w:type="spellEnd"/>
            <w:r w:rsidRPr="006D631C">
              <w:rPr>
                <w:rFonts w:eastAsia="Calibri"/>
              </w:rPr>
              <w:t xml:space="preserve"> / </w:t>
            </w:r>
            <w:r w:rsidRPr="006D631C">
              <w:rPr>
                <w:rFonts w:eastAsia="Calibri"/>
                <w:iCs/>
              </w:rPr>
              <w:t>[</w:t>
            </w:r>
            <w:r w:rsidRPr="006D631C">
              <w:rPr>
                <w:rFonts w:eastAsia="Calibri"/>
                <w:i/>
                <w:iCs/>
              </w:rPr>
              <w:t>M</w:t>
            </w:r>
            <w:r w:rsidRPr="006D631C">
              <w:rPr>
                <w:rFonts w:eastAsia="Calibri"/>
                <w:iCs/>
              </w:rPr>
              <w:t>]</w:t>
            </w:r>
            <w:r w:rsidRPr="006D631C">
              <w:rPr>
                <w:rFonts w:eastAsia="Calibri"/>
                <w:iCs/>
                <w:vertAlign w:val="subscript"/>
              </w:rPr>
              <w:t>0</w:t>
            </w:r>
            <w:r w:rsidRPr="006D631C">
              <w:rPr>
                <w:rFonts w:eastAsia="Calibri"/>
              </w:rPr>
              <w:t>}</w:t>
            </w:r>
            <w:r w:rsidRPr="006D631C">
              <w:rPr>
                <w:rFonts w:eastAsia="Calibri"/>
                <w:vertAlign w:val="subscript"/>
              </w:rPr>
              <w:t>max</w:t>
            </w:r>
            <w:r w:rsidRPr="006D631C">
              <w:rPr>
                <w:rFonts w:eastAsia="Calibri"/>
              </w:rPr>
              <w:t xml:space="preserve"> (min</w:t>
            </w:r>
            <w:r w:rsidRPr="006D631C">
              <w:rPr>
                <w:rFonts w:eastAsia="Calibri"/>
                <w:vertAlign w:val="superscript"/>
              </w:rPr>
              <w:t>−1</w:t>
            </w:r>
            <w:r w:rsidRPr="006D631C">
              <w:rPr>
                <w:rFonts w:eastAsia="Calibri"/>
              </w:rPr>
              <w:t>)</w:t>
            </w:r>
          </w:p>
        </w:tc>
      </w:tr>
      <w:tr w:rsidR="00B71165" w:rsidRPr="006D631C" w14:paraId="5B40C498" w14:textId="77777777" w:rsidTr="00B71165">
        <w:trPr>
          <w:trHeight w:val="340"/>
        </w:trPr>
        <w:tc>
          <w:tcPr>
            <w:tcW w:w="2830" w:type="dxa"/>
            <w:tcBorders>
              <w:top w:val="single" w:sz="4" w:space="0" w:color="auto"/>
              <w:left w:val="nil"/>
              <w:bottom w:val="nil"/>
              <w:right w:val="nil"/>
            </w:tcBorders>
            <w:vAlign w:val="center"/>
          </w:tcPr>
          <w:p w14:paraId="6A344E1F" w14:textId="77777777" w:rsidR="00B71165" w:rsidRPr="006D631C" w:rsidRDefault="00B71165" w:rsidP="00B71165">
            <w:pPr>
              <w:widowControl w:val="0"/>
              <w:spacing w:line="240" w:lineRule="auto"/>
              <w:jc w:val="left"/>
              <w:rPr>
                <w:rFonts w:eastAsia="Calibri"/>
              </w:rPr>
            </w:pPr>
            <w:r w:rsidRPr="006D631C">
              <w:rPr>
                <w:rFonts w:eastAsia="Calibri"/>
              </w:rPr>
              <w:t>APS</w:t>
            </w:r>
          </w:p>
        </w:tc>
        <w:tc>
          <w:tcPr>
            <w:tcW w:w="1630" w:type="dxa"/>
            <w:tcBorders>
              <w:top w:val="single" w:sz="4" w:space="0" w:color="auto"/>
              <w:left w:val="nil"/>
              <w:bottom w:val="nil"/>
              <w:right w:val="nil"/>
            </w:tcBorders>
            <w:shd w:val="clear" w:color="auto" w:fill="auto"/>
          </w:tcPr>
          <w:p w14:paraId="73A5EF3F" w14:textId="083FC426" w:rsidR="00B71165" w:rsidRPr="006D631C" w:rsidRDefault="00B71165" w:rsidP="00B71165">
            <w:pPr>
              <w:widowControl w:val="0"/>
              <w:spacing w:line="240" w:lineRule="auto"/>
              <w:jc w:val="center"/>
              <w:rPr>
                <w:rFonts w:eastAsia="Calibri"/>
              </w:rPr>
            </w:pPr>
            <w:r w:rsidRPr="006D631C">
              <w:t>91.4</w:t>
            </w:r>
          </w:p>
        </w:tc>
        <w:tc>
          <w:tcPr>
            <w:tcW w:w="1630" w:type="dxa"/>
            <w:tcBorders>
              <w:top w:val="single" w:sz="4" w:space="0" w:color="auto"/>
              <w:left w:val="nil"/>
              <w:bottom w:val="nil"/>
              <w:right w:val="nil"/>
            </w:tcBorders>
            <w:shd w:val="clear" w:color="auto" w:fill="auto"/>
          </w:tcPr>
          <w:p w14:paraId="3FD84AFC" w14:textId="5F758128" w:rsidR="00B71165" w:rsidRPr="006D631C" w:rsidRDefault="00B71165" w:rsidP="00B71165">
            <w:pPr>
              <w:widowControl w:val="0"/>
              <w:spacing w:line="240" w:lineRule="auto"/>
              <w:jc w:val="center"/>
              <w:rPr>
                <w:rFonts w:eastAsia="Calibri"/>
              </w:rPr>
            </w:pPr>
            <w:r w:rsidRPr="006D631C">
              <w:t>0.160</w:t>
            </w:r>
          </w:p>
        </w:tc>
        <w:tc>
          <w:tcPr>
            <w:tcW w:w="1630" w:type="dxa"/>
            <w:tcBorders>
              <w:top w:val="single" w:sz="4" w:space="0" w:color="auto"/>
              <w:left w:val="nil"/>
              <w:bottom w:val="nil"/>
              <w:right w:val="nil"/>
            </w:tcBorders>
            <w:shd w:val="clear" w:color="auto" w:fill="auto"/>
          </w:tcPr>
          <w:p w14:paraId="67C16C34" w14:textId="5FAB6F6E" w:rsidR="00B71165" w:rsidRPr="006D631C" w:rsidRDefault="00B71165" w:rsidP="00B71165">
            <w:pPr>
              <w:widowControl w:val="0"/>
              <w:spacing w:line="240" w:lineRule="auto"/>
              <w:jc w:val="center"/>
              <w:rPr>
                <w:rFonts w:eastAsia="Calibri"/>
              </w:rPr>
            </w:pPr>
            <w:r w:rsidRPr="006D631C">
              <w:t>95.4</w:t>
            </w:r>
          </w:p>
        </w:tc>
        <w:tc>
          <w:tcPr>
            <w:tcW w:w="1630" w:type="dxa"/>
            <w:tcBorders>
              <w:top w:val="single" w:sz="4" w:space="0" w:color="auto"/>
              <w:left w:val="nil"/>
              <w:bottom w:val="nil"/>
              <w:right w:val="nil"/>
            </w:tcBorders>
            <w:shd w:val="clear" w:color="auto" w:fill="auto"/>
          </w:tcPr>
          <w:p w14:paraId="0260EBC0" w14:textId="0495BF11" w:rsidR="00B71165" w:rsidRPr="006D631C" w:rsidRDefault="00B71165" w:rsidP="00B71165">
            <w:pPr>
              <w:widowControl w:val="0"/>
              <w:spacing w:line="240" w:lineRule="auto"/>
              <w:jc w:val="center"/>
              <w:rPr>
                <w:rFonts w:eastAsia="Calibri"/>
              </w:rPr>
            </w:pPr>
            <w:r w:rsidRPr="006D631C">
              <w:t>0.170</w:t>
            </w:r>
          </w:p>
        </w:tc>
      </w:tr>
      <w:tr w:rsidR="00B71165" w:rsidRPr="006D631C" w14:paraId="3CE54D9D" w14:textId="77777777" w:rsidTr="00B71165">
        <w:trPr>
          <w:trHeight w:val="340"/>
        </w:trPr>
        <w:tc>
          <w:tcPr>
            <w:tcW w:w="2830" w:type="dxa"/>
            <w:tcBorders>
              <w:top w:val="nil"/>
              <w:left w:val="nil"/>
              <w:bottom w:val="nil"/>
              <w:right w:val="nil"/>
            </w:tcBorders>
            <w:vAlign w:val="center"/>
          </w:tcPr>
          <w:p w14:paraId="5EC2DCA0" w14:textId="77777777" w:rsidR="00B71165" w:rsidRPr="006D631C" w:rsidRDefault="00B71165" w:rsidP="00B71165">
            <w:pPr>
              <w:widowControl w:val="0"/>
              <w:spacing w:line="240" w:lineRule="auto"/>
              <w:jc w:val="left"/>
              <w:rPr>
                <w:rFonts w:eastAsia="Calibri"/>
              </w:rPr>
            </w:pPr>
            <w:r w:rsidRPr="006D631C">
              <w:rPr>
                <w:rFonts w:eastAsia="Calibri"/>
              </w:rPr>
              <w:t>AIBN</w:t>
            </w:r>
          </w:p>
        </w:tc>
        <w:tc>
          <w:tcPr>
            <w:tcW w:w="1630" w:type="dxa"/>
            <w:tcBorders>
              <w:top w:val="nil"/>
              <w:left w:val="nil"/>
              <w:bottom w:val="nil"/>
              <w:right w:val="nil"/>
            </w:tcBorders>
            <w:shd w:val="clear" w:color="auto" w:fill="auto"/>
          </w:tcPr>
          <w:p w14:paraId="7496DC0F" w14:textId="2E77948E" w:rsidR="00B71165" w:rsidRPr="006D631C" w:rsidRDefault="00B71165" w:rsidP="00B71165">
            <w:pPr>
              <w:widowControl w:val="0"/>
              <w:spacing w:line="240" w:lineRule="auto"/>
              <w:jc w:val="center"/>
              <w:rPr>
                <w:rFonts w:eastAsia="Calibri"/>
              </w:rPr>
            </w:pPr>
            <w:r w:rsidRPr="006D631C">
              <w:t>88.1</w:t>
            </w:r>
          </w:p>
        </w:tc>
        <w:tc>
          <w:tcPr>
            <w:tcW w:w="1630" w:type="dxa"/>
            <w:tcBorders>
              <w:top w:val="nil"/>
              <w:left w:val="nil"/>
              <w:bottom w:val="nil"/>
              <w:right w:val="nil"/>
            </w:tcBorders>
            <w:shd w:val="clear" w:color="auto" w:fill="auto"/>
          </w:tcPr>
          <w:p w14:paraId="5A8527E7" w14:textId="257E34C1" w:rsidR="00B71165" w:rsidRPr="006D631C" w:rsidRDefault="00B71165" w:rsidP="00B71165">
            <w:pPr>
              <w:widowControl w:val="0"/>
              <w:spacing w:line="240" w:lineRule="auto"/>
              <w:jc w:val="center"/>
              <w:rPr>
                <w:rFonts w:eastAsia="Calibri"/>
              </w:rPr>
            </w:pPr>
            <w:r w:rsidRPr="006D631C">
              <w:t>0.100</w:t>
            </w:r>
          </w:p>
        </w:tc>
        <w:tc>
          <w:tcPr>
            <w:tcW w:w="1630" w:type="dxa"/>
            <w:tcBorders>
              <w:top w:val="nil"/>
              <w:left w:val="nil"/>
              <w:bottom w:val="nil"/>
              <w:right w:val="nil"/>
            </w:tcBorders>
            <w:shd w:val="clear" w:color="auto" w:fill="auto"/>
          </w:tcPr>
          <w:p w14:paraId="4158BDE2" w14:textId="25B18049" w:rsidR="00B71165" w:rsidRPr="006D631C" w:rsidRDefault="00B71165" w:rsidP="00B71165">
            <w:pPr>
              <w:widowControl w:val="0"/>
              <w:spacing w:line="240" w:lineRule="auto"/>
              <w:jc w:val="center"/>
              <w:rPr>
                <w:rFonts w:eastAsia="Calibri"/>
              </w:rPr>
            </w:pPr>
            <w:r w:rsidRPr="006D631C">
              <w:t>74.8</w:t>
            </w:r>
          </w:p>
        </w:tc>
        <w:tc>
          <w:tcPr>
            <w:tcW w:w="1630" w:type="dxa"/>
            <w:tcBorders>
              <w:top w:val="nil"/>
              <w:left w:val="nil"/>
              <w:bottom w:val="nil"/>
              <w:right w:val="nil"/>
            </w:tcBorders>
            <w:shd w:val="clear" w:color="auto" w:fill="auto"/>
          </w:tcPr>
          <w:p w14:paraId="04794F56" w14:textId="7AFC0809" w:rsidR="00B71165" w:rsidRPr="006D631C" w:rsidRDefault="00B71165" w:rsidP="00B71165">
            <w:pPr>
              <w:widowControl w:val="0"/>
              <w:spacing w:line="240" w:lineRule="auto"/>
              <w:jc w:val="center"/>
              <w:rPr>
                <w:rFonts w:eastAsia="Calibri"/>
              </w:rPr>
            </w:pPr>
            <w:r w:rsidRPr="006D631C">
              <w:t>0.062</w:t>
            </w:r>
          </w:p>
        </w:tc>
      </w:tr>
      <w:tr w:rsidR="00B71165" w:rsidRPr="006D631C" w14:paraId="56EBC33F" w14:textId="77777777" w:rsidTr="00B71165">
        <w:trPr>
          <w:trHeight w:val="340"/>
        </w:trPr>
        <w:tc>
          <w:tcPr>
            <w:tcW w:w="2830" w:type="dxa"/>
            <w:tcBorders>
              <w:top w:val="nil"/>
              <w:left w:val="nil"/>
              <w:bottom w:val="nil"/>
              <w:right w:val="nil"/>
            </w:tcBorders>
            <w:vAlign w:val="center"/>
          </w:tcPr>
          <w:p w14:paraId="43DF62CA" w14:textId="77777777" w:rsidR="00B71165" w:rsidRPr="006D631C" w:rsidRDefault="00B71165" w:rsidP="00B71165">
            <w:pPr>
              <w:widowControl w:val="0"/>
              <w:spacing w:line="240" w:lineRule="auto"/>
              <w:jc w:val="left"/>
              <w:rPr>
                <w:rFonts w:eastAsia="Calibri"/>
              </w:rPr>
            </w:pPr>
            <w:r w:rsidRPr="006D631C">
              <w:rPr>
                <w:rFonts w:eastAsia="Calibri"/>
              </w:rPr>
              <w:t>BPO</w:t>
            </w:r>
          </w:p>
        </w:tc>
        <w:tc>
          <w:tcPr>
            <w:tcW w:w="1630" w:type="dxa"/>
            <w:tcBorders>
              <w:top w:val="nil"/>
              <w:left w:val="nil"/>
              <w:bottom w:val="nil"/>
              <w:right w:val="nil"/>
            </w:tcBorders>
            <w:shd w:val="clear" w:color="auto" w:fill="auto"/>
          </w:tcPr>
          <w:p w14:paraId="6BDDC8A8" w14:textId="4131DD8C" w:rsidR="00B71165" w:rsidRPr="006D631C" w:rsidRDefault="00B71165" w:rsidP="00B71165">
            <w:pPr>
              <w:widowControl w:val="0"/>
              <w:spacing w:line="240" w:lineRule="auto"/>
              <w:jc w:val="center"/>
              <w:rPr>
                <w:rFonts w:eastAsia="Calibri"/>
              </w:rPr>
            </w:pPr>
            <w:r w:rsidRPr="006D631C">
              <w:t>65.1</w:t>
            </w:r>
          </w:p>
        </w:tc>
        <w:tc>
          <w:tcPr>
            <w:tcW w:w="1630" w:type="dxa"/>
            <w:tcBorders>
              <w:top w:val="nil"/>
              <w:left w:val="nil"/>
              <w:bottom w:val="nil"/>
              <w:right w:val="nil"/>
            </w:tcBorders>
            <w:shd w:val="clear" w:color="auto" w:fill="auto"/>
          </w:tcPr>
          <w:p w14:paraId="3667B6BD" w14:textId="62C8B7D2" w:rsidR="00B71165" w:rsidRPr="006D631C" w:rsidRDefault="00B71165" w:rsidP="00B71165">
            <w:pPr>
              <w:widowControl w:val="0"/>
              <w:spacing w:line="240" w:lineRule="auto"/>
              <w:jc w:val="center"/>
              <w:rPr>
                <w:rFonts w:eastAsia="Calibri"/>
              </w:rPr>
            </w:pPr>
            <w:r w:rsidRPr="006D631C">
              <w:t>0.056</w:t>
            </w:r>
          </w:p>
        </w:tc>
        <w:tc>
          <w:tcPr>
            <w:tcW w:w="1630" w:type="dxa"/>
            <w:tcBorders>
              <w:top w:val="nil"/>
              <w:left w:val="nil"/>
              <w:bottom w:val="nil"/>
              <w:right w:val="nil"/>
            </w:tcBorders>
            <w:shd w:val="clear" w:color="auto" w:fill="auto"/>
          </w:tcPr>
          <w:p w14:paraId="43DA451B" w14:textId="5AD23ECF" w:rsidR="00B71165" w:rsidRPr="006D631C" w:rsidRDefault="00B71165" w:rsidP="00B71165">
            <w:pPr>
              <w:widowControl w:val="0"/>
              <w:spacing w:line="240" w:lineRule="auto"/>
              <w:jc w:val="center"/>
              <w:rPr>
                <w:rFonts w:eastAsia="Calibri"/>
              </w:rPr>
            </w:pPr>
            <w:r w:rsidRPr="006D631C">
              <w:t>48.9</w:t>
            </w:r>
          </w:p>
        </w:tc>
        <w:tc>
          <w:tcPr>
            <w:tcW w:w="1630" w:type="dxa"/>
            <w:tcBorders>
              <w:top w:val="nil"/>
              <w:left w:val="nil"/>
              <w:bottom w:val="nil"/>
              <w:right w:val="nil"/>
            </w:tcBorders>
            <w:shd w:val="clear" w:color="auto" w:fill="auto"/>
          </w:tcPr>
          <w:p w14:paraId="2799EB7C" w14:textId="0BD9127D" w:rsidR="00B71165" w:rsidRPr="006D631C" w:rsidRDefault="00B71165" w:rsidP="00B71165">
            <w:pPr>
              <w:widowControl w:val="0"/>
              <w:spacing w:line="240" w:lineRule="auto"/>
              <w:jc w:val="center"/>
              <w:rPr>
                <w:rFonts w:eastAsia="Calibri"/>
              </w:rPr>
            </w:pPr>
            <w:r w:rsidRPr="006D631C">
              <w:t>0.047</w:t>
            </w:r>
          </w:p>
        </w:tc>
      </w:tr>
      <w:tr w:rsidR="00B71165" w:rsidRPr="006D631C" w14:paraId="558EFD7B" w14:textId="77777777" w:rsidTr="00B71165">
        <w:trPr>
          <w:trHeight w:val="340"/>
        </w:trPr>
        <w:tc>
          <w:tcPr>
            <w:tcW w:w="2830" w:type="dxa"/>
            <w:tcBorders>
              <w:top w:val="nil"/>
              <w:left w:val="nil"/>
              <w:bottom w:val="nil"/>
              <w:right w:val="nil"/>
            </w:tcBorders>
            <w:vAlign w:val="center"/>
          </w:tcPr>
          <w:p w14:paraId="2DAE2181" w14:textId="77777777" w:rsidR="00B71165" w:rsidRPr="006D631C" w:rsidRDefault="00B71165" w:rsidP="00B71165">
            <w:pPr>
              <w:widowControl w:val="0"/>
              <w:spacing w:line="240" w:lineRule="auto"/>
              <w:jc w:val="left"/>
              <w:rPr>
                <w:rFonts w:eastAsia="Calibri"/>
              </w:rPr>
            </w:pPr>
            <w:r w:rsidRPr="006D631C">
              <w:rPr>
                <w:rFonts w:eastAsia="Calibri"/>
              </w:rPr>
              <w:t>APS+AIBN</w:t>
            </w:r>
          </w:p>
        </w:tc>
        <w:tc>
          <w:tcPr>
            <w:tcW w:w="1630" w:type="dxa"/>
            <w:tcBorders>
              <w:top w:val="nil"/>
              <w:left w:val="nil"/>
              <w:bottom w:val="nil"/>
              <w:right w:val="nil"/>
            </w:tcBorders>
            <w:shd w:val="clear" w:color="auto" w:fill="auto"/>
          </w:tcPr>
          <w:p w14:paraId="0C480EA2" w14:textId="050D808D" w:rsidR="00B71165" w:rsidRPr="006D631C" w:rsidRDefault="00B71165" w:rsidP="00B71165">
            <w:pPr>
              <w:widowControl w:val="0"/>
              <w:spacing w:line="240" w:lineRule="auto"/>
              <w:jc w:val="center"/>
              <w:rPr>
                <w:rFonts w:eastAsia="Calibri"/>
              </w:rPr>
            </w:pPr>
            <w:r w:rsidRPr="006D631C">
              <w:t>93.6</w:t>
            </w:r>
          </w:p>
        </w:tc>
        <w:tc>
          <w:tcPr>
            <w:tcW w:w="1630" w:type="dxa"/>
            <w:tcBorders>
              <w:top w:val="nil"/>
              <w:left w:val="nil"/>
              <w:bottom w:val="nil"/>
              <w:right w:val="nil"/>
            </w:tcBorders>
            <w:shd w:val="clear" w:color="auto" w:fill="auto"/>
          </w:tcPr>
          <w:p w14:paraId="43661C3E" w14:textId="55554611" w:rsidR="00B71165" w:rsidRPr="006D631C" w:rsidRDefault="00B71165" w:rsidP="00B71165">
            <w:pPr>
              <w:widowControl w:val="0"/>
              <w:spacing w:line="240" w:lineRule="auto"/>
              <w:jc w:val="center"/>
              <w:rPr>
                <w:rFonts w:eastAsia="Calibri"/>
              </w:rPr>
            </w:pPr>
            <w:r w:rsidRPr="006D631C">
              <w:t>0.122</w:t>
            </w:r>
          </w:p>
        </w:tc>
        <w:tc>
          <w:tcPr>
            <w:tcW w:w="1630" w:type="dxa"/>
            <w:tcBorders>
              <w:top w:val="nil"/>
              <w:left w:val="nil"/>
              <w:bottom w:val="nil"/>
              <w:right w:val="nil"/>
            </w:tcBorders>
            <w:shd w:val="clear" w:color="auto" w:fill="auto"/>
          </w:tcPr>
          <w:p w14:paraId="3F5643A0" w14:textId="2378BDB6" w:rsidR="00B71165" w:rsidRPr="006D631C" w:rsidRDefault="00B71165" w:rsidP="00B71165">
            <w:pPr>
              <w:widowControl w:val="0"/>
              <w:spacing w:line="240" w:lineRule="auto"/>
              <w:jc w:val="center"/>
              <w:rPr>
                <w:rFonts w:eastAsia="Calibri"/>
              </w:rPr>
            </w:pPr>
            <w:r w:rsidRPr="006D631C">
              <w:t>97.1</w:t>
            </w:r>
          </w:p>
        </w:tc>
        <w:tc>
          <w:tcPr>
            <w:tcW w:w="1630" w:type="dxa"/>
            <w:tcBorders>
              <w:top w:val="nil"/>
              <w:left w:val="nil"/>
              <w:bottom w:val="nil"/>
              <w:right w:val="nil"/>
            </w:tcBorders>
            <w:shd w:val="clear" w:color="auto" w:fill="auto"/>
          </w:tcPr>
          <w:p w14:paraId="6B6D2771" w14:textId="5B5B4419" w:rsidR="00B71165" w:rsidRPr="006D631C" w:rsidRDefault="00B71165" w:rsidP="00B71165">
            <w:pPr>
              <w:widowControl w:val="0"/>
              <w:spacing w:line="240" w:lineRule="auto"/>
              <w:jc w:val="center"/>
              <w:rPr>
                <w:rFonts w:eastAsia="Calibri"/>
              </w:rPr>
            </w:pPr>
            <w:r w:rsidRPr="006D631C">
              <w:t>0.127</w:t>
            </w:r>
          </w:p>
        </w:tc>
      </w:tr>
      <w:tr w:rsidR="00B71165" w:rsidRPr="006D631C" w14:paraId="652C7030" w14:textId="77777777" w:rsidTr="00B71165">
        <w:trPr>
          <w:trHeight w:val="340"/>
        </w:trPr>
        <w:tc>
          <w:tcPr>
            <w:tcW w:w="2830" w:type="dxa"/>
            <w:tcBorders>
              <w:top w:val="nil"/>
              <w:left w:val="nil"/>
              <w:bottom w:val="nil"/>
              <w:right w:val="nil"/>
            </w:tcBorders>
            <w:vAlign w:val="center"/>
          </w:tcPr>
          <w:p w14:paraId="699F3305" w14:textId="77777777" w:rsidR="00B71165" w:rsidRPr="006D631C" w:rsidRDefault="00B71165" w:rsidP="00B71165">
            <w:pPr>
              <w:widowControl w:val="0"/>
              <w:spacing w:line="240" w:lineRule="auto"/>
              <w:jc w:val="left"/>
              <w:rPr>
                <w:rFonts w:eastAsia="Calibri"/>
              </w:rPr>
            </w:pPr>
            <w:r w:rsidRPr="006D631C">
              <w:rPr>
                <w:rFonts w:eastAsia="Calibri"/>
              </w:rPr>
              <w:t>Average of APS and AIBN</w:t>
            </w:r>
          </w:p>
        </w:tc>
        <w:tc>
          <w:tcPr>
            <w:tcW w:w="1630" w:type="dxa"/>
            <w:tcBorders>
              <w:top w:val="nil"/>
              <w:left w:val="nil"/>
              <w:bottom w:val="nil"/>
              <w:right w:val="nil"/>
            </w:tcBorders>
            <w:shd w:val="clear" w:color="auto" w:fill="auto"/>
          </w:tcPr>
          <w:p w14:paraId="1B7530C4" w14:textId="0D92EA96" w:rsidR="00B71165" w:rsidRPr="006D631C" w:rsidRDefault="00B71165" w:rsidP="00B71165">
            <w:pPr>
              <w:widowControl w:val="0"/>
              <w:spacing w:line="240" w:lineRule="auto"/>
              <w:jc w:val="center"/>
              <w:rPr>
                <w:rFonts w:eastAsia="Calibri"/>
              </w:rPr>
            </w:pPr>
            <w:r w:rsidRPr="006D631C">
              <w:t>89.7</w:t>
            </w:r>
          </w:p>
        </w:tc>
        <w:tc>
          <w:tcPr>
            <w:tcW w:w="1630" w:type="dxa"/>
            <w:tcBorders>
              <w:top w:val="nil"/>
              <w:left w:val="nil"/>
              <w:bottom w:val="nil"/>
              <w:right w:val="nil"/>
            </w:tcBorders>
            <w:shd w:val="clear" w:color="auto" w:fill="auto"/>
          </w:tcPr>
          <w:p w14:paraId="79DCA2E5" w14:textId="49609496" w:rsidR="00B71165" w:rsidRPr="006D631C" w:rsidRDefault="00B71165" w:rsidP="00B71165">
            <w:pPr>
              <w:widowControl w:val="0"/>
              <w:spacing w:line="240" w:lineRule="auto"/>
              <w:jc w:val="center"/>
              <w:rPr>
                <w:rFonts w:eastAsia="Calibri"/>
              </w:rPr>
            </w:pPr>
            <w:r w:rsidRPr="006D631C">
              <w:t>0.130</w:t>
            </w:r>
          </w:p>
        </w:tc>
        <w:tc>
          <w:tcPr>
            <w:tcW w:w="1630" w:type="dxa"/>
            <w:tcBorders>
              <w:top w:val="nil"/>
              <w:left w:val="nil"/>
              <w:bottom w:val="nil"/>
              <w:right w:val="nil"/>
            </w:tcBorders>
            <w:shd w:val="clear" w:color="auto" w:fill="auto"/>
          </w:tcPr>
          <w:p w14:paraId="20622746" w14:textId="0BF73F14" w:rsidR="00B71165" w:rsidRPr="006D631C" w:rsidRDefault="00B71165" w:rsidP="00B71165">
            <w:pPr>
              <w:widowControl w:val="0"/>
              <w:spacing w:line="240" w:lineRule="auto"/>
              <w:jc w:val="center"/>
              <w:rPr>
                <w:rFonts w:eastAsia="Calibri"/>
              </w:rPr>
            </w:pPr>
            <w:r w:rsidRPr="006D631C">
              <w:t>85.1</w:t>
            </w:r>
          </w:p>
        </w:tc>
        <w:tc>
          <w:tcPr>
            <w:tcW w:w="1630" w:type="dxa"/>
            <w:tcBorders>
              <w:top w:val="nil"/>
              <w:left w:val="nil"/>
              <w:bottom w:val="nil"/>
              <w:right w:val="nil"/>
            </w:tcBorders>
            <w:shd w:val="clear" w:color="auto" w:fill="auto"/>
          </w:tcPr>
          <w:p w14:paraId="70897A79" w14:textId="0F38208E" w:rsidR="00B71165" w:rsidRPr="006D631C" w:rsidRDefault="00B71165" w:rsidP="00B71165">
            <w:pPr>
              <w:widowControl w:val="0"/>
              <w:spacing w:line="240" w:lineRule="auto"/>
              <w:jc w:val="center"/>
              <w:rPr>
                <w:rFonts w:eastAsia="Calibri"/>
              </w:rPr>
            </w:pPr>
            <w:r w:rsidRPr="006D631C">
              <w:t>0.116</w:t>
            </w:r>
          </w:p>
        </w:tc>
      </w:tr>
      <w:tr w:rsidR="00B71165" w:rsidRPr="006D631C" w14:paraId="4CF20E48" w14:textId="77777777" w:rsidTr="00B71165">
        <w:trPr>
          <w:trHeight w:val="340"/>
        </w:trPr>
        <w:tc>
          <w:tcPr>
            <w:tcW w:w="2830" w:type="dxa"/>
            <w:tcBorders>
              <w:top w:val="nil"/>
              <w:left w:val="nil"/>
              <w:bottom w:val="nil"/>
              <w:right w:val="nil"/>
            </w:tcBorders>
            <w:vAlign w:val="center"/>
          </w:tcPr>
          <w:p w14:paraId="74D8C191" w14:textId="77777777" w:rsidR="00B71165" w:rsidRPr="006D631C" w:rsidRDefault="00B71165" w:rsidP="00B71165">
            <w:pPr>
              <w:widowControl w:val="0"/>
              <w:spacing w:line="240" w:lineRule="auto"/>
              <w:jc w:val="left"/>
              <w:rPr>
                <w:rFonts w:eastAsia="Calibri"/>
              </w:rPr>
            </w:pPr>
            <w:r w:rsidRPr="006D631C">
              <w:rPr>
                <w:rFonts w:eastAsia="Calibri"/>
              </w:rPr>
              <w:t>APS+BPO</w:t>
            </w:r>
          </w:p>
        </w:tc>
        <w:tc>
          <w:tcPr>
            <w:tcW w:w="1630" w:type="dxa"/>
            <w:tcBorders>
              <w:top w:val="nil"/>
              <w:left w:val="nil"/>
              <w:bottom w:val="nil"/>
              <w:right w:val="nil"/>
            </w:tcBorders>
            <w:shd w:val="clear" w:color="auto" w:fill="auto"/>
          </w:tcPr>
          <w:p w14:paraId="3A86D99A" w14:textId="174986D8" w:rsidR="00B71165" w:rsidRPr="006D631C" w:rsidRDefault="00B71165" w:rsidP="00B71165">
            <w:pPr>
              <w:widowControl w:val="0"/>
              <w:spacing w:line="240" w:lineRule="auto"/>
              <w:jc w:val="center"/>
              <w:rPr>
                <w:rFonts w:eastAsia="Calibri"/>
              </w:rPr>
            </w:pPr>
            <w:r w:rsidRPr="006D631C">
              <w:t>90.7</w:t>
            </w:r>
          </w:p>
        </w:tc>
        <w:tc>
          <w:tcPr>
            <w:tcW w:w="1630" w:type="dxa"/>
            <w:tcBorders>
              <w:top w:val="nil"/>
              <w:left w:val="nil"/>
              <w:bottom w:val="nil"/>
              <w:right w:val="nil"/>
            </w:tcBorders>
            <w:shd w:val="clear" w:color="auto" w:fill="auto"/>
          </w:tcPr>
          <w:p w14:paraId="6256C195" w14:textId="0C8FB6E9" w:rsidR="00B71165" w:rsidRPr="006D631C" w:rsidRDefault="00B71165" w:rsidP="00B71165">
            <w:pPr>
              <w:widowControl w:val="0"/>
              <w:spacing w:line="240" w:lineRule="auto"/>
              <w:jc w:val="center"/>
              <w:rPr>
                <w:rFonts w:eastAsia="Calibri"/>
              </w:rPr>
            </w:pPr>
            <w:r w:rsidRPr="006D631C">
              <w:t>0.110</w:t>
            </w:r>
          </w:p>
        </w:tc>
        <w:tc>
          <w:tcPr>
            <w:tcW w:w="1630" w:type="dxa"/>
            <w:tcBorders>
              <w:top w:val="nil"/>
              <w:left w:val="nil"/>
              <w:bottom w:val="nil"/>
              <w:right w:val="nil"/>
            </w:tcBorders>
            <w:shd w:val="clear" w:color="auto" w:fill="auto"/>
          </w:tcPr>
          <w:p w14:paraId="354D6CC3" w14:textId="7CBFDD73" w:rsidR="00B71165" w:rsidRPr="006D631C" w:rsidRDefault="00B71165" w:rsidP="00B71165">
            <w:pPr>
              <w:widowControl w:val="0"/>
              <w:spacing w:line="240" w:lineRule="auto"/>
              <w:jc w:val="center"/>
              <w:rPr>
                <w:rFonts w:eastAsia="Calibri"/>
              </w:rPr>
            </w:pPr>
            <w:r w:rsidRPr="006D631C">
              <w:t>79.2</w:t>
            </w:r>
          </w:p>
        </w:tc>
        <w:tc>
          <w:tcPr>
            <w:tcW w:w="1630" w:type="dxa"/>
            <w:tcBorders>
              <w:top w:val="nil"/>
              <w:left w:val="nil"/>
              <w:bottom w:val="nil"/>
              <w:right w:val="nil"/>
            </w:tcBorders>
            <w:shd w:val="clear" w:color="auto" w:fill="auto"/>
          </w:tcPr>
          <w:p w14:paraId="76524370" w14:textId="366649EA" w:rsidR="00B71165" w:rsidRPr="006D631C" w:rsidRDefault="00B71165" w:rsidP="00B71165">
            <w:pPr>
              <w:widowControl w:val="0"/>
              <w:spacing w:line="240" w:lineRule="auto"/>
              <w:jc w:val="center"/>
              <w:rPr>
                <w:rFonts w:eastAsia="Calibri"/>
              </w:rPr>
            </w:pPr>
            <w:r w:rsidRPr="006D631C">
              <w:t>0.090</w:t>
            </w:r>
          </w:p>
        </w:tc>
      </w:tr>
      <w:tr w:rsidR="00B71165" w:rsidRPr="006D631C" w14:paraId="3567615D" w14:textId="77777777" w:rsidTr="00B71165">
        <w:trPr>
          <w:trHeight w:val="340"/>
        </w:trPr>
        <w:tc>
          <w:tcPr>
            <w:tcW w:w="2830" w:type="dxa"/>
            <w:tcBorders>
              <w:top w:val="nil"/>
              <w:left w:val="nil"/>
              <w:bottom w:val="single" w:sz="4" w:space="0" w:color="auto"/>
              <w:right w:val="nil"/>
            </w:tcBorders>
            <w:vAlign w:val="center"/>
          </w:tcPr>
          <w:p w14:paraId="7D1ABDE3" w14:textId="77777777" w:rsidR="00B71165" w:rsidRPr="006D631C" w:rsidRDefault="00B71165" w:rsidP="00B71165">
            <w:pPr>
              <w:widowControl w:val="0"/>
              <w:spacing w:line="240" w:lineRule="auto"/>
              <w:jc w:val="left"/>
              <w:rPr>
                <w:rFonts w:eastAsia="Calibri"/>
              </w:rPr>
            </w:pPr>
            <w:r w:rsidRPr="006D631C">
              <w:rPr>
                <w:rFonts w:eastAsia="Calibri"/>
              </w:rPr>
              <w:t>Average of APS and BPO</w:t>
            </w:r>
          </w:p>
        </w:tc>
        <w:tc>
          <w:tcPr>
            <w:tcW w:w="1630" w:type="dxa"/>
            <w:tcBorders>
              <w:top w:val="nil"/>
              <w:left w:val="nil"/>
              <w:bottom w:val="single" w:sz="4" w:space="0" w:color="auto"/>
              <w:right w:val="nil"/>
            </w:tcBorders>
            <w:shd w:val="clear" w:color="auto" w:fill="auto"/>
          </w:tcPr>
          <w:p w14:paraId="05F3B696" w14:textId="020B1311" w:rsidR="00B71165" w:rsidRPr="006D631C" w:rsidRDefault="00B71165" w:rsidP="00B71165">
            <w:pPr>
              <w:widowControl w:val="0"/>
              <w:spacing w:line="240" w:lineRule="auto"/>
              <w:jc w:val="center"/>
              <w:rPr>
                <w:rFonts w:eastAsia="Calibri"/>
              </w:rPr>
            </w:pPr>
            <w:r w:rsidRPr="006D631C">
              <w:t>78.2</w:t>
            </w:r>
          </w:p>
        </w:tc>
        <w:tc>
          <w:tcPr>
            <w:tcW w:w="1630" w:type="dxa"/>
            <w:tcBorders>
              <w:top w:val="nil"/>
              <w:left w:val="nil"/>
              <w:bottom w:val="single" w:sz="4" w:space="0" w:color="auto"/>
              <w:right w:val="nil"/>
            </w:tcBorders>
            <w:shd w:val="clear" w:color="auto" w:fill="auto"/>
          </w:tcPr>
          <w:p w14:paraId="71B05B8D" w14:textId="0A9C1FCF" w:rsidR="00B71165" w:rsidRPr="006D631C" w:rsidRDefault="00B71165" w:rsidP="00B71165">
            <w:pPr>
              <w:widowControl w:val="0"/>
              <w:spacing w:line="240" w:lineRule="auto"/>
              <w:jc w:val="center"/>
              <w:rPr>
                <w:rFonts w:eastAsia="Calibri"/>
              </w:rPr>
            </w:pPr>
            <w:r w:rsidRPr="006D631C">
              <w:t>0.108</w:t>
            </w:r>
          </w:p>
        </w:tc>
        <w:tc>
          <w:tcPr>
            <w:tcW w:w="1630" w:type="dxa"/>
            <w:tcBorders>
              <w:top w:val="nil"/>
              <w:left w:val="nil"/>
              <w:bottom w:val="single" w:sz="4" w:space="0" w:color="auto"/>
              <w:right w:val="nil"/>
            </w:tcBorders>
            <w:shd w:val="clear" w:color="auto" w:fill="auto"/>
          </w:tcPr>
          <w:p w14:paraId="15B51FDE" w14:textId="70851E50" w:rsidR="00B71165" w:rsidRPr="006D631C" w:rsidRDefault="00B71165" w:rsidP="00B71165">
            <w:pPr>
              <w:widowControl w:val="0"/>
              <w:spacing w:line="240" w:lineRule="auto"/>
              <w:jc w:val="center"/>
              <w:rPr>
                <w:rFonts w:eastAsia="Calibri"/>
              </w:rPr>
            </w:pPr>
            <w:r w:rsidRPr="006D631C">
              <w:t>72.1</w:t>
            </w:r>
          </w:p>
        </w:tc>
        <w:tc>
          <w:tcPr>
            <w:tcW w:w="1630" w:type="dxa"/>
            <w:tcBorders>
              <w:top w:val="nil"/>
              <w:left w:val="nil"/>
              <w:bottom w:val="single" w:sz="4" w:space="0" w:color="auto"/>
              <w:right w:val="nil"/>
            </w:tcBorders>
            <w:shd w:val="clear" w:color="auto" w:fill="auto"/>
          </w:tcPr>
          <w:p w14:paraId="60945400" w14:textId="5764E210" w:rsidR="00B71165" w:rsidRPr="006D631C" w:rsidRDefault="00B71165" w:rsidP="00B71165">
            <w:pPr>
              <w:widowControl w:val="0"/>
              <w:spacing w:line="240" w:lineRule="auto"/>
              <w:jc w:val="center"/>
              <w:rPr>
                <w:rFonts w:eastAsia="Calibri"/>
              </w:rPr>
            </w:pPr>
            <w:r w:rsidRPr="006D631C">
              <w:t>0.108</w:t>
            </w:r>
          </w:p>
        </w:tc>
      </w:tr>
    </w:tbl>
    <w:p w14:paraId="67A7AE59" w14:textId="2A8856FC" w:rsidR="00D00264" w:rsidRPr="006D631C" w:rsidRDefault="00D00264" w:rsidP="002D2566">
      <w:pPr>
        <w:widowControl w:val="0"/>
        <w:spacing w:before="240"/>
        <w:rPr>
          <w:rFonts w:asciiTheme="majorBidi" w:hAnsiTheme="majorBidi" w:cstheme="majorBidi"/>
        </w:rPr>
      </w:pPr>
      <w:r w:rsidRPr="006D631C">
        <w:rPr>
          <w:rFonts w:asciiTheme="majorBidi" w:hAnsiTheme="majorBidi" w:cstheme="majorBidi"/>
        </w:rPr>
        <w:t xml:space="preserve">    </w:t>
      </w:r>
      <w:r w:rsidR="009C2B15" w:rsidRPr="006D631C">
        <w:rPr>
          <w:rFonts w:asciiTheme="majorBidi" w:hAnsiTheme="majorBidi" w:cstheme="majorBidi"/>
        </w:rPr>
        <w:t xml:space="preserve">Another important result here is that the maximum reaction rate slightly decreases with a decrease in the initiator content for APS and AIBN, whereas it increases for BPO. At a fixed initiator concentration, the higher the efficiency, the higher the maximum reaction rate will be. Recombination reaction of the free radicals that usually produces nonreactive components is one of the main phenomena that lowers the initiator efficiency. It seems that a portion of free radicals generated by BPO are deactivated through this reaction at high initiator contents due to the relative </w:t>
      </w:r>
      <w:r w:rsidR="009C2B15" w:rsidRPr="006D631C">
        <w:rPr>
          <w:rFonts w:asciiTheme="majorBidi" w:hAnsiTheme="majorBidi" w:cstheme="majorBidi"/>
        </w:rPr>
        <w:lastRenderedPageBreak/>
        <w:t>immobility of radicals. With a decrease in BPO concentration, the proximity of generated free radicals decreases, resulting in lower chance of recombination reactions and therefore higher initiator efficiency. The enhanced initiator efficiency can improve the maximum reaction rate if the number of total initiation sites is increased. This phenomenon is evident only for BPO possibly since it generates fewer free radicals at a given time compared to AIBN (see Fig</w:t>
      </w:r>
      <w:r w:rsidR="00277BA6" w:rsidRPr="006D631C">
        <w:rPr>
          <w:rFonts w:asciiTheme="majorBidi" w:hAnsiTheme="majorBidi" w:cstheme="majorBidi"/>
        </w:rPr>
        <w:t>ure</w:t>
      </w:r>
      <w:r w:rsidR="009C2B15" w:rsidRPr="006D631C">
        <w:rPr>
          <w:rFonts w:asciiTheme="majorBidi" w:hAnsiTheme="majorBidi" w:cstheme="majorBidi"/>
        </w:rPr>
        <w:t xml:space="preserve"> </w:t>
      </w:r>
      <w:r w:rsidR="00277BA6" w:rsidRPr="006D631C">
        <w:rPr>
          <w:rFonts w:asciiTheme="majorBidi" w:hAnsiTheme="majorBidi" w:cstheme="majorBidi"/>
        </w:rPr>
        <w:t>C</w:t>
      </w:r>
      <w:r w:rsidR="002D2566" w:rsidRPr="006D631C">
        <w:rPr>
          <w:rFonts w:asciiTheme="majorBidi" w:hAnsiTheme="majorBidi" w:cstheme="majorBidi"/>
        </w:rPr>
        <w:t>3</w:t>
      </w:r>
      <w:r w:rsidR="009C2B15" w:rsidRPr="006D631C">
        <w:rPr>
          <w:rFonts w:asciiTheme="majorBidi" w:hAnsiTheme="majorBidi" w:cstheme="majorBidi"/>
        </w:rPr>
        <w:t>). Even if we assume that both AIBN and BPO can undergo the recombination of free radicals under confinement in a same fashion, the polymerization rate with BPO will be affected more intensely since it is already vulnerable due to the relative immobility of its radicals. This observation approves our speculation concerning different polymerization kinetics with BPO initiator in LLC structures compared to APS and AIBN.</w:t>
      </w:r>
    </w:p>
    <w:p w14:paraId="51B5B42E" w14:textId="55C1C7D3" w:rsidR="00D00264" w:rsidRPr="006D631C" w:rsidRDefault="00120B24" w:rsidP="0090028E">
      <w:pPr>
        <w:ind w:firstLine="357"/>
        <w:rPr>
          <w:rFonts w:asciiTheme="majorBidi" w:hAnsiTheme="majorBidi" w:cstheme="majorBidi"/>
        </w:rPr>
      </w:pPr>
      <w:r w:rsidRPr="006D631C">
        <w:rPr>
          <w:rFonts w:asciiTheme="majorBidi" w:hAnsiTheme="majorBidi" w:cstheme="majorBidi"/>
        </w:rPr>
        <w:t xml:space="preserve">Similar trend in polymerization rate and monomer conversion is observed in hexagonal structure when the initiator content is decreased to half (Figure 2-5d-f). The monomer conversion increases for all of the initiators and the maximum polymerization rate increases for BPO-initiated system, whereas it decreases for AIBN and APS. As discussed for lamellar structure, lower active site concentration due to the decreased initiator content reduces the termination reaction, resulting in higher monomer conversion. The reduced termination rate is evident in the reaction kinetics curves either in the form of an extended time of reaction and/or gradual decrease of the polymerization rate after the peak of the reaction rate as indicated by the arrows in </w:t>
      </w:r>
      <w:r w:rsidR="00094A70" w:rsidRPr="006D631C">
        <w:rPr>
          <w:rFonts w:asciiTheme="majorBidi" w:hAnsiTheme="majorBidi" w:cstheme="majorBidi"/>
        </w:rPr>
        <w:t>Figure</w:t>
      </w:r>
      <w:r w:rsidRPr="006D631C">
        <w:rPr>
          <w:rFonts w:asciiTheme="majorBidi" w:hAnsiTheme="majorBidi" w:cstheme="majorBidi"/>
        </w:rPr>
        <w:t xml:space="preserve"> </w:t>
      </w:r>
      <w:r w:rsidR="00094A70" w:rsidRPr="006D631C">
        <w:rPr>
          <w:rFonts w:asciiTheme="majorBidi" w:hAnsiTheme="majorBidi" w:cstheme="majorBidi"/>
        </w:rPr>
        <w:t>2-5</w:t>
      </w:r>
      <w:r w:rsidRPr="006D631C">
        <w:rPr>
          <w:rFonts w:asciiTheme="majorBidi" w:hAnsiTheme="majorBidi" w:cstheme="majorBidi"/>
        </w:rPr>
        <w:t xml:space="preserve">. As mentioned earlier, in the theory of free radical polymerization, the reaction rate scales with the square root of initial initiator concentration, i.e., </w:t>
      </w:r>
      <w:proofErr w:type="spellStart"/>
      <w:r w:rsidRPr="006D631C">
        <w:rPr>
          <w:rFonts w:asciiTheme="majorBidi" w:hAnsiTheme="majorBidi" w:cstheme="majorBidi"/>
          <w:i/>
          <w:iCs/>
        </w:rPr>
        <w:t>R</w:t>
      </w:r>
      <w:r w:rsidRPr="006D631C">
        <w:rPr>
          <w:rFonts w:asciiTheme="majorBidi" w:hAnsiTheme="majorBidi" w:cstheme="majorBidi"/>
          <w:i/>
          <w:iCs/>
          <w:vertAlign w:val="subscript"/>
        </w:rPr>
        <w:t>p</w:t>
      </w:r>
      <w:proofErr w:type="spellEnd"/>
      <w:r w:rsidRPr="006D631C">
        <w:rPr>
          <w:rFonts w:asciiTheme="majorBidi" w:hAnsiTheme="majorBidi" w:cstheme="majorBidi"/>
          <w:i/>
          <w:iCs/>
        </w:rPr>
        <w:t xml:space="preserve"> </w:t>
      </w:r>
      <m:oMath>
        <m:r>
          <w:rPr>
            <w:rFonts w:ascii="Cambria Math" w:hAnsi="Cambria Math" w:cstheme="majorBidi"/>
          </w:rPr>
          <m:t>∝</m:t>
        </m:r>
      </m:oMath>
      <w:r w:rsidRPr="006D631C">
        <w:rPr>
          <w:rFonts w:asciiTheme="majorBidi" w:hAnsiTheme="majorBidi" w:cstheme="majorBidi"/>
          <w:i/>
          <w:iCs/>
        </w:rPr>
        <w:t xml:space="preserve"> (</w:t>
      </w:r>
      <w:r w:rsidRPr="006D631C">
        <w:rPr>
          <w:rFonts w:asciiTheme="majorBidi" w:hAnsiTheme="majorBidi" w:cstheme="majorBidi"/>
          <w:iCs/>
        </w:rPr>
        <w:t>[</w:t>
      </w:r>
      <w:r w:rsidRPr="006D631C">
        <w:rPr>
          <w:rFonts w:asciiTheme="majorBidi" w:hAnsiTheme="majorBidi" w:cstheme="majorBidi"/>
          <w:i/>
          <w:iCs/>
        </w:rPr>
        <w:t>I</w:t>
      </w:r>
      <w:r w:rsidRPr="006D631C">
        <w:rPr>
          <w:rFonts w:asciiTheme="majorBidi" w:hAnsiTheme="majorBidi" w:cstheme="majorBidi"/>
          <w:iCs/>
        </w:rPr>
        <w:t>]</w:t>
      </w:r>
      <w:r w:rsidRPr="006D631C">
        <w:rPr>
          <w:rFonts w:asciiTheme="majorBidi" w:hAnsiTheme="majorBidi" w:cstheme="majorBidi"/>
          <w:iCs/>
          <w:vertAlign w:val="subscript"/>
        </w:rPr>
        <w:t>0</w:t>
      </w:r>
      <w:r w:rsidRPr="006D631C">
        <w:rPr>
          <w:rFonts w:asciiTheme="majorBidi" w:hAnsiTheme="majorBidi" w:cstheme="majorBidi"/>
          <w:iCs/>
        </w:rPr>
        <w:t>)</w:t>
      </w:r>
      <w:r w:rsidRPr="006D631C">
        <w:rPr>
          <w:rFonts w:asciiTheme="majorBidi" w:hAnsiTheme="majorBidi" w:cstheme="majorBidi"/>
          <w:iCs/>
          <w:vertAlign w:val="superscript"/>
        </w:rPr>
        <w:t>0.5</w:t>
      </w:r>
      <w:r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{"citationItems":[{"id":"ITEM-1","itemData":{"DOI":"10.1002/047147875X.ch6","ISBN":"0471274003","abstract":"Chain copolymerization allows the modification of polymer structure and properties by the incorporation of two or more different monomers into the polymer chain. Copolymer composition depends on the relative amounts of monomers present in the reaction system as well as the monomer reactivities. Pairs of monomers follow either an alternating or ideal behavior depending on their structures and whether copolymerization proceeds by radical, anionic, or cationic propagation. The different behaviors are discussed in terms of the terminal, penultimate, depropagation and complex participation models for copolymerization behavior. The Q-e and patterns of reactivity schemes place monomer reactivities on a theoretical basis in radical copolymerization. Cyclopolymerization occurs in some polymerizations of diene monomers. Copolymerization is important for many commercial products, including polystyrene, polyethylene, unsaturated polyesters, allyl resins, and other commercial polymers.","author":[{"dropping-particle":"","family":"Odian","given":"George","non-dropping-particle":"","parse-names":false,"suffix":""}],"container-title":"Principles of Polymerization","id":"ITEM-1","issued":{"date-parts":[["2004"]]},"publisher":"John Wiley &amp; Sons, Inc.","publisher-place":"Hoboken, NJ, USA","title":"Chain Copolymerization","type":"chapter"},"uris":["http://www.mendeley.com/documents/?uuid=decefd3a-c596-4623-acf3-7cf2bb6b9257"]}],"mendeley":{"formattedCitation":"&lt;sup&gt;216&lt;/sup&gt;","plainTextFormattedCitation":"216","previouslyFormattedCitation":"&lt;sup&gt;216&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216</w:t>
      </w:r>
      <w:r w:rsidRPr="006D631C">
        <w:rPr>
          <w:rFonts w:asciiTheme="majorBidi" w:hAnsiTheme="majorBidi" w:cstheme="majorBidi"/>
        </w:rPr>
        <w:fldChar w:fldCharType="end"/>
      </w:r>
      <w:r w:rsidRPr="006D631C">
        <w:rPr>
          <w:rFonts w:asciiTheme="majorBidi" w:hAnsiTheme="majorBidi" w:cstheme="majorBidi"/>
        </w:rPr>
        <w:t xml:space="preserve"> The maximum polymerization rate of APS-initiated system in hexagonal stru</w:t>
      </w:r>
      <w:r w:rsidR="00CD3E5F" w:rsidRPr="006D631C">
        <w:rPr>
          <w:rFonts w:asciiTheme="majorBidi" w:hAnsiTheme="majorBidi" w:cstheme="majorBidi"/>
        </w:rPr>
        <w:t>cture follows this scaling (Figure</w:t>
      </w:r>
      <w:r w:rsidRPr="006D631C">
        <w:rPr>
          <w:rFonts w:asciiTheme="majorBidi" w:hAnsiTheme="majorBidi" w:cstheme="majorBidi"/>
        </w:rPr>
        <w:t xml:space="preserve"> </w:t>
      </w:r>
      <w:r w:rsidR="00CD3E5F" w:rsidRPr="006D631C">
        <w:rPr>
          <w:rFonts w:asciiTheme="majorBidi" w:hAnsiTheme="majorBidi" w:cstheme="majorBidi"/>
        </w:rPr>
        <w:t>C</w:t>
      </w:r>
      <w:r w:rsidR="00860B92" w:rsidRPr="006D631C">
        <w:rPr>
          <w:rFonts w:asciiTheme="majorBidi" w:hAnsiTheme="majorBidi" w:cstheme="majorBidi"/>
        </w:rPr>
        <w:t>4</w:t>
      </w:r>
      <w:r w:rsidR="004666D3" w:rsidRPr="006D631C">
        <w:rPr>
          <w:rFonts w:asciiTheme="majorBidi" w:hAnsiTheme="majorBidi" w:cstheme="majorBidi"/>
        </w:rPr>
        <w:t xml:space="preserve"> in </w:t>
      </w:r>
      <w:r w:rsidR="0090028E" w:rsidRPr="006D631C">
        <w:rPr>
          <w:rFonts w:asciiTheme="majorBidi" w:hAnsiTheme="majorBidi" w:cstheme="majorBidi"/>
        </w:rPr>
        <w:t xml:space="preserve">Appendix </w:t>
      </w:r>
      <w:r w:rsidR="004666D3" w:rsidRPr="006D631C">
        <w:rPr>
          <w:rFonts w:asciiTheme="majorBidi" w:hAnsiTheme="majorBidi" w:cstheme="majorBidi"/>
        </w:rPr>
        <w:t>C</w:t>
      </w:r>
      <w:r w:rsidRPr="006D631C">
        <w:rPr>
          <w:rFonts w:asciiTheme="majorBidi" w:hAnsiTheme="majorBidi" w:cstheme="majorBidi"/>
        </w:rPr>
        <w:t xml:space="preserve">), suggesting that other factor(s) (e.g., enhanced recombination of free radicals due to confinement) has negligible effect on the polymerization reaction. Nevertheless, for other cases </w:t>
      </w:r>
      <w:r w:rsidRPr="006D631C">
        <w:rPr>
          <w:rFonts w:asciiTheme="majorBidi" w:hAnsiTheme="majorBidi" w:cstheme="majorBidi"/>
        </w:rPr>
        <w:lastRenderedPageBreak/>
        <w:t xml:space="preserve">(e.g., polymerization in lamellar structure with different initiators and reaction in hexagonal phase using AIBN and BPO), this relation is not valid probably due to the occurrence of </w:t>
      </w:r>
      <w:proofErr w:type="spellStart"/>
      <w:r w:rsidRPr="006D631C">
        <w:rPr>
          <w:rFonts w:asciiTheme="majorBidi" w:hAnsiTheme="majorBidi" w:cstheme="majorBidi"/>
        </w:rPr>
        <w:t>nanoconfinement</w:t>
      </w:r>
      <w:proofErr w:type="spellEnd"/>
      <w:r w:rsidRPr="006D631C">
        <w:rPr>
          <w:rFonts w:asciiTheme="majorBidi" w:hAnsiTheme="majorBidi" w:cstheme="majorBidi"/>
        </w:rPr>
        <w:t>-related phenomena such as the recombination of free radicals, diffusion limitations of free radicals, and free radicals concentration gradient in the confinements.</w:t>
      </w:r>
    </w:p>
    <w:p w14:paraId="061BBA47" w14:textId="610C6728" w:rsidR="003A120E" w:rsidRPr="006D631C" w:rsidRDefault="003A120E" w:rsidP="003A120E">
      <w:pPr>
        <w:pStyle w:val="TOC1"/>
      </w:pPr>
    </w:p>
    <w:p w14:paraId="33DE429F" w14:textId="77777777" w:rsidR="003A120E" w:rsidRPr="006D631C" w:rsidRDefault="003A120E" w:rsidP="003A120E"/>
    <w:p w14:paraId="0DF2FF74" w14:textId="3189D302" w:rsidR="004E3584" w:rsidRPr="006D631C" w:rsidRDefault="00B013D9" w:rsidP="00B013D9">
      <w:pPr>
        <w:rPr>
          <w:rFonts w:asciiTheme="majorBidi" w:hAnsiTheme="majorBidi" w:cstheme="majorBidi"/>
        </w:rPr>
      </w:pPr>
      <w:r w:rsidRPr="006D631C">
        <w:rPr>
          <w:rFonts w:asciiTheme="majorBidi" w:hAnsiTheme="majorBidi" w:cstheme="majorBidi"/>
          <w:noProof/>
        </w:rPr>
        <w:lastRenderedPageBreak/>
        <w:drawing>
          <wp:inline distT="0" distB="0" distL="0" distR="0" wp14:anchorId="4E653152" wp14:editId="4F6EE0B3">
            <wp:extent cx="5544000" cy="686026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44000" cy="6860261"/>
                    </a:xfrm>
                    <a:prstGeom prst="rect">
                      <a:avLst/>
                    </a:prstGeom>
                    <a:noFill/>
                  </pic:spPr>
                </pic:pic>
              </a:graphicData>
            </a:graphic>
          </wp:inline>
        </w:drawing>
      </w:r>
    </w:p>
    <w:p w14:paraId="0A3CB913" w14:textId="51A9C406" w:rsidR="00B013D9" w:rsidRPr="006D631C" w:rsidRDefault="00B013D9" w:rsidP="00B013D9">
      <w:pPr>
        <w:pStyle w:val="Caption"/>
        <w:jc w:val="center"/>
        <w:rPr>
          <w:rFonts w:cs="Times New Roman"/>
          <w:sz w:val="22"/>
          <w:szCs w:val="22"/>
        </w:rPr>
      </w:pPr>
      <w:bookmarkStart w:id="115" w:name="_Toc148175930"/>
      <w:r w:rsidRPr="006D631C">
        <w:rPr>
          <w:rFonts w:cs="Times New Roman"/>
          <w:sz w:val="22"/>
          <w:szCs w:val="22"/>
        </w:rPr>
        <w:t xml:space="preserve">Figure </w:t>
      </w:r>
      <w:r w:rsidR="00B55F32" w:rsidRPr="006D631C">
        <w:rPr>
          <w:rFonts w:cs="Times New Roman"/>
          <w:sz w:val="22"/>
          <w:szCs w:val="22"/>
        </w:rPr>
        <w:fldChar w:fldCharType="begin"/>
      </w:r>
      <w:r w:rsidR="00B55F32" w:rsidRPr="006D631C">
        <w:rPr>
          <w:rFonts w:cs="Times New Roman"/>
          <w:sz w:val="22"/>
          <w:szCs w:val="22"/>
        </w:rPr>
        <w:instrText xml:space="preserve"> STYLEREF 1 \s </w:instrText>
      </w:r>
      <w:r w:rsidR="00B55F32" w:rsidRPr="006D631C">
        <w:rPr>
          <w:rFonts w:cs="Times New Roman"/>
          <w:sz w:val="22"/>
          <w:szCs w:val="22"/>
        </w:rPr>
        <w:fldChar w:fldCharType="separate"/>
      </w:r>
      <w:r w:rsidR="00B55F32" w:rsidRPr="006D631C">
        <w:rPr>
          <w:rFonts w:cs="Times New Roman"/>
          <w:sz w:val="22"/>
          <w:szCs w:val="22"/>
          <w:cs/>
        </w:rPr>
        <w:t>‎</w:t>
      </w:r>
      <w:r w:rsidR="00B55F32" w:rsidRPr="006D631C">
        <w:rPr>
          <w:rFonts w:cs="Times New Roman"/>
          <w:sz w:val="22"/>
          <w:szCs w:val="22"/>
        </w:rPr>
        <w:t>2</w:t>
      </w:r>
      <w:r w:rsidR="00B55F32" w:rsidRPr="006D631C">
        <w:rPr>
          <w:rFonts w:cs="Times New Roman"/>
          <w:sz w:val="22"/>
          <w:szCs w:val="22"/>
        </w:rPr>
        <w:fldChar w:fldCharType="end"/>
      </w:r>
      <w:r w:rsidR="00B55F32" w:rsidRPr="006D631C">
        <w:rPr>
          <w:rFonts w:cs="Times New Roman"/>
          <w:sz w:val="22"/>
          <w:szCs w:val="22"/>
        </w:rPr>
        <w:noBreakHyphen/>
      </w:r>
      <w:r w:rsidR="00B55F32" w:rsidRPr="006D631C">
        <w:rPr>
          <w:rFonts w:cs="Times New Roman"/>
          <w:sz w:val="22"/>
          <w:szCs w:val="22"/>
        </w:rPr>
        <w:fldChar w:fldCharType="begin"/>
      </w:r>
      <w:r w:rsidR="00B55F32" w:rsidRPr="006D631C">
        <w:rPr>
          <w:rFonts w:cs="Times New Roman"/>
          <w:sz w:val="22"/>
          <w:szCs w:val="22"/>
        </w:rPr>
        <w:instrText xml:space="preserve"> SEQ Figure \* ARABIC \s 1 </w:instrText>
      </w:r>
      <w:r w:rsidR="00B55F32" w:rsidRPr="006D631C">
        <w:rPr>
          <w:rFonts w:cs="Times New Roman"/>
          <w:sz w:val="22"/>
          <w:szCs w:val="22"/>
        </w:rPr>
        <w:fldChar w:fldCharType="separate"/>
      </w:r>
      <w:r w:rsidR="00B55F32" w:rsidRPr="006D631C">
        <w:rPr>
          <w:rFonts w:cs="Times New Roman"/>
          <w:sz w:val="22"/>
          <w:szCs w:val="22"/>
        </w:rPr>
        <w:t>5</w:t>
      </w:r>
      <w:r w:rsidR="00B55F32" w:rsidRPr="006D631C">
        <w:rPr>
          <w:rFonts w:cs="Times New Roman"/>
          <w:sz w:val="22"/>
          <w:szCs w:val="22"/>
        </w:rPr>
        <w:fldChar w:fldCharType="end"/>
      </w:r>
      <w:r w:rsidRPr="006D631C">
        <w:rPr>
          <w:rFonts w:cs="Times New Roman"/>
          <w:sz w:val="22"/>
          <w:szCs w:val="22"/>
        </w:rPr>
        <w:t xml:space="preserve">. </w:t>
      </w:r>
      <w:r w:rsidRPr="006D631C">
        <w:rPr>
          <w:rFonts w:eastAsia="Calibri" w:cs="Times New Roman"/>
          <w:iCs w:val="0"/>
          <w:color w:val="auto"/>
          <w:sz w:val="22"/>
          <w:szCs w:val="22"/>
        </w:rPr>
        <w:t>Normalized polymerization rate versus time and overall monomer conversion obtained from thermal polymerization in (a-c) lamellar and (d-f) hexagonal structures using different initiation systems having varied initiator contents. Arrows denote the time points that show the evidence of reduced termination rate (see main text).</w:t>
      </w:r>
      <w:bookmarkEnd w:id="115"/>
    </w:p>
    <w:p w14:paraId="15EE0FAE" w14:textId="5FD6D793" w:rsidR="005F23CB" w:rsidRPr="006D631C" w:rsidRDefault="00C27F12" w:rsidP="004666D3">
      <w:pPr>
        <w:ind w:firstLine="357"/>
        <w:rPr>
          <w:rFonts w:asciiTheme="majorBidi" w:hAnsiTheme="majorBidi" w:cstheme="majorBidi"/>
        </w:rPr>
      </w:pPr>
      <w:r w:rsidRPr="006D631C">
        <w:rPr>
          <w:rFonts w:asciiTheme="majorBidi" w:hAnsiTheme="majorBidi" w:cstheme="majorBidi"/>
        </w:rPr>
        <w:lastRenderedPageBreak/>
        <w:t>The polymerization temperature is an important factor controlling the reaction kinetics. The kinetics for different initiators were studied using lamellar and hexagonal structures at 55, 65, and 75 °C (Fig</w:t>
      </w:r>
      <w:r w:rsidR="00A6094F" w:rsidRPr="006D631C">
        <w:rPr>
          <w:rFonts w:asciiTheme="majorBidi" w:hAnsiTheme="majorBidi" w:cstheme="majorBidi"/>
        </w:rPr>
        <w:t>ure</w:t>
      </w:r>
      <w:r w:rsidRPr="006D631C">
        <w:rPr>
          <w:rFonts w:asciiTheme="majorBidi" w:hAnsiTheme="majorBidi" w:cstheme="majorBidi"/>
        </w:rPr>
        <w:t xml:space="preserve"> </w:t>
      </w:r>
      <w:r w:rsidR="00A6094F" w:rsidRPr="006D631C">
        <w:rPr>
          <w:rFonts w:asciiTheme="majorBidi" w:hAnsiTheme="majorBidi" w:cstheme="majorBidi"/>
        </w:rPr>
        <w:t>2-6</w:t>
      </w:r>
      <w:r w:rsidRPr="006D631C">
        <w:rPr>
          <w:rFonts w:asciiTheme="majorBidi" w:hAnsiTheme="majorBidi" w:cstheme="majorBidi"/>
        </w:rPr>
        <w:t>). As expected, the maximum polymerization rate increased for all of the initiators</w:t>
      </w:r>
      <w:r w:rsidRPr="006D631C" w:rsidDel="003F6F97">
        <w:rPr>
          <w:rFonts w:asciiTheme="majorBidi" w:hAnsiTheme="majorBidi" w:cstheme="majorBidi"/>
        </w:rPr>
        <w:t xml:space="preserve"> </w:t>
      </w:r>
      <w:r w:rsidRPr="006D631C">
        <w:rPr>
          <w:rFonts w:asciiTheme="majorBidi" w:hAnsiTheme="majorBidi" w:cstheme="majorBidi"/>
        </w:rPr>
        <w:t xml:space="preserve">when temperature increased. However, the trend of monomer conversion with temperature change was not anticipated. The overall monomer conversion decreases for APS and AIBN-initiated systems when the temperature increases from 65 to 75 °C, which can be due to two main factors. First, the faster kinetics of cross-linking chains at higher temperatures can expedite the formation of polymer network and thus suppress the mobility of </w:t>
      </w:r>
      <w:proofErr w:type="spellStart"/>
      <w:r w:rsidRPr="006D631C">
        <w:rPr>
          <w:rFonts w:asciiTheme="majorBidi" w:hAnsiTheme="majorBidi" w:cstheme="majorBidi"/>
        </w:rPr>
        <w:t>macroradicals</w:t>
      </w:r>
      <w:proofErr w:type="spellEnd"/>
      <w:r w:rsidRPr="006D631C">
        <w:rPr>
          <w:rFonts w:asciiTheme="majorBidi" w:hAnsiTheme="majorBidi" w:cstheme="majorBidi"/>
        </w:rPr>
        <w:t>. Such effect has already been reported in the literature for the polymerization in LLC structures.</w:t>
      </w:r>
      <w:r w:rsidRPr="006D631C">
        <w:rPr>
          <w:color w:val="000000"/>
        </w:rPr>
        <w:fldChar w:fldCharType="begin" w:fldLock="1"/>
      </w:r>
      <w:r w:rsidR="00AC1548" w:rsidRPr="006D631C">
        <w:rPr>
          <w:color w:val="000000"/>
        </w:rPr>
        <w:instrText>ADDIN CSL_CITATION {"citationItems":[{"id":"ITEM-1","itemData":{"DOI":"10.1002/pola.21573","ISSN":"0887624X","abstract":"A group of polymerizable amphiphiles, with their critical packing parameters systematically varied, were studied with respect to the phase behavior and immobilization of their lyotropic liquid-crystalline phase structures. Small-angle X-ray scattering and polarized light microscopy were used to study their liquid-crystalline phases before and after photopolymerization. The liquid crystallinity of the amphiphiles depended on the contents of both oil and water in the ternary systems. Through photopolymerization, hexagonal phases could generally be immobilized, with the structural order reduced to various degrees. However, the cubic phases evolved with polymerization into another structural pattern, which was possibly related to the lamellar struc ture. © 2006 Wiley Periodicals, Inc.","author":[{"dropping-particle":"","family":"Li","given":"Minghe","non-dropping-particle":"","parse-names":false,"suffix":""},{"dropping-particle":"","family":"Yang","given":"Wuli","non-dropping-particle":"","parse-names":false,"suffix":""},{"dropping-particle":"","family":"Chen","given":"Zhenxia","non-dropping-particle":"","parse-names":false,"suffix":""},{"dropping-particle":"","family":"Qian","given":"J.","non-dropping-particle":"","parse-names":false,"suffix":""},{"dropping-particle":"","family":"Wang","given":"Changchun","non-dropping-particle":"","parse-names":false,"suffix":""},{"dropping-particle":"","family":"Fu","given":"Shoukuan","non-dropping-particle":"","parse-names":false,"suffix":""}],"container-title":"Journal of Polymer Science, Part A: Polymer Chemistry","id":"ITEM-1","issue":"20","issued":{"date-parts":[["2006"]]},"page":"5887-5897","title":"Phase behavior and polymerization of lyotropic phases. II. A series of polymerizable amphiphiles with systematically varied critical packing parameters","type":"article-journal","volume":"44"},"uris":["http://www.mendeley.com/documents/?uuid=d8bc8fea-d2e2-41f4-bfa9-cd862f16ff03"]}],"mendeley":{"formattedCitation":"&lt;sup&gt;77&lt;/sup&gt;","plainTextFormattedCitation":"77","previouslyFormattedCitation":"&lt;sup&gt;77&lt;/sup&gt;"},"properties":{"noteIndex":0},"schema":"https://github.com/citation-style-language/schema/raw/master/csl-citation.json"}</w:instrText>
      </w:r>
      <w:r w:rsidRPr="006D631C">
        <w:rPr>
          <w:color w:val="000000"/>
        </w:rPr>
        <w:fldChar w:fldCharType="separate"/>
      </w:r>
      <w:r w:rsidR="002D282D" w:rsidRPr="006D631C">
        <w:rPr>
          <w:noProof/>
          <w:color w:val="000000"/>
          <w:vertAlign w:val="superscript"/>
        </w:rPr>
        <w:t>77</w:t>
      </w:r>
      <w:r w:rsidRPr="006D631C">
        <w:rPr>
          <w:color w:val="000000"/>
        </w:rPr>
        <w:fldChar w:fldCharType="end"/>
      </w:r>
      <w:r w:rsidRPr="006D631C">
        <w:rPr>
          <w:rFonts w:asciiTheme="majorBidi" w:hAnsiTheme="majorBidi" w:cstheme="majorBidi"/>
        </w:rPr>
        <w:t xml:space="preserve"> Second, the concentration of propagating chains increases sharply in a short period of time with an increase in the temperature, which results in higher local concentration of </w:t>
      </w:r>
      <w:proofErr w:type="spellStart"/>
      <w:r w:rsidRPr="006D631C">
        <w:rPr>
          <w:rFonts w:asciiTheme="majorBidi" w:hAnsiTheme="majorBidi" w:cstheme="majorBidi"/>
        </w:rPr>
        <w:t>macroradicals</w:t>
      </w:r>
      <w:proofErr w:type="spellEnd"/>
      <w:r w:rsidRPr="006D631C">
        <w:rPr>
          <w:rFonts w:asciiTheme="majorBidi" w:hAnsiTheme="majorBidi" w:cstheme="majorBidi"/>
        </w:rPr>
        <w:t xml:space="preserve"> and therefore enhanced termination rate. The simultaneous presence of these two factors reduces the monomer conversion. Nevertheless, the conversion for BPO-initiated polymerization slightly increases with temperature from 65 to 75 °C. The limited local concentration of </w:t>
      </w:r>
      <w:proofErr w:type="spellStart"/>
      <w:r w:rsidRPr="006D631C">
        <w:rPr>
          <w:rFonts w:asciiTheme="majorBidi" w:hAnsiTheme="majorBidi" w:cstheme="majorBidi"/>
        </w:rPr>
        <w:t>macroradicals</w:t>
      </w:r>
      <w:proofErr w:type="spellEnd"/>
      <w:r w:rsidRPr="006D631C">
        <w:rPr>
          <w:rFonts w:asciiTheme="majorBidi" w:hAnsiTheme="majorBidi" w:cstheme="majorBidi"/>
        </w:rPr>
        <w:t xml:space="preserve"> due to the lower free radical concentration generated by BPO (Fig</w:t>
      </w:r>
      <w:r w:rsidR="002D282D" w:rsidRPr="006D631C">
        <w:rPr>
          <w:rFonts w:asciiTheme="majorBidi" w:hAnsiTheme="majorBidi" w:cstheme="majorBidi"/>
        </w:rPr>
        <w:t>ure</w:t>
      </w:r>
      <w:r w:rsidRPr="006D631C">
        <w:rPr>
          <w:rFonts w:asciiTheme="majorBidi" w:hAnsiTheme="majorBidi" w:cstheme="majorBidi"/>
        </w:rPr>
        <w:t xml:space="preserve"> </w:t>
      </w:r>
      <w:r w:rsidR="002D282D" w:rsidRPr="006D631C">
        <w:rPr>
          <w:rFonts w:asciiTheme="majorBidi" w:hAnsiTheme="majorBidi" w:cstheme="majorBidi"/>
        </w:rPr>
        <w:t>C</w:t>
      </w:r>
      <w:r w:rsidR="004666D3" w:rsidRPr="006D631C">
        <w:rPr>
          <w:rFonts w:asciiTheme="majorBidi" w:hAnsiTheme="majorBidi" w:cstheme="majorBidi"/>
        </w:rPr>
        <w:t>3</w:t>
      </w:r>
      <w:r w:rsidRPr="006D631C">
        <w:rPr>
          <w:rFonts w:asciiTheme="majorBidi" w:hAnsiTheme="majorBidi" w:cstheme="majorBidi"/>
        </w:rPr>
        <w:t xml:space="preserve">) compared to the other initiators is likely the reason why its monomer conversion does not change in similar fashion to AIBN and APS initiated polymerizations when the temperature increases to 75 °C. In other words, </w:t>
      </w:r>
      <w:proofErr w:type="spellStart"/>
      <w:r w:rsidRPr="006D631C">
        <w:rPr>
          <w:rFonts w:asciiTheme="majorBidi" w:hAnsiTheme="majorBidi" w:cstheme="majorBidi"/>
        </w:rPr>
        <w:t>nanoconfinement</w:t>
      </w:r>
      <w:proofErr w:type="spellEnd"/>
      <w:r w:rsidRPr="006D631C">
        <w:rPr>
          <w:rFonts w:asciiTheme="majorBidi" w:hAnsiTheme="majorBidi" w:cstheme="majorBidi"/>
        </w:rPr>
        <w:t xml:space="preserve"> has less effect on the termination rate at high temperatures in the case of BPO compared to AIBN and APS due to the limited number of free radicals and </w:t>
      </w:r>
      <w:proofErr w:type="spellStart"/>
      <w:r w:rsidRPr="006D631C">
        <w:rPr>
          <w:rFonts w:asciiTheme="majorBidi" w:hAnsiTheme="majorBidi" w:cstheme="majorBidi"/>
        </w:rPr>
        <w:t>macroradicals</w:t>
      </w:r>
      <w:proofErr w:type="spellEnd"/>
      <w:r w:rsidRPr="006D631C">
        <w:rPr>
          <w:rFonts w:asciiTheme="majorBidi" w:hAnsiTheme="majorBidi" w:cstheme="majorBidi"/>
        </w:rPr>
        <w:t xml:space="preserve"> generated by BPO. In addition, BPO is subjected to the cage effect at low polymerization temperatures. Thus, the diminishing cage effect at higher temperatures can be another reason for the difference between BPO and the other initiators. Overall, the results show that the rate of </w:t>
      </w:r>
      <w:r w:rsidRPr="006D631C">
        <w:rPr>
          <w:rFonts w:asciiTheme="majorBidi" w:hAnsiTheme="majorBidi" w:cstheme="majorBidi"/>
        </w:rPr>
        <w:lastRenderedPageBreak/>
        <w:t xml:space="preserve">termination reaction and free radical recombination in LLC </w:t>
      </w:r>
      <w:proofErr w:type="spellStart"/>
      <w:r w:rsidRPr="006D631C">
        <w:rPr>
          <w:rFonts w:asciiTheme="majorBidi" w:hAnsiTheme="majorBidi" w:cstheme="majorBidi"/>
        </w:rPr>
        <w:t>nanoconfinement</w:t>
      </w:r>
      <w:proofErr w:type="spellEnd"/>
      <w:r w:rsidRPr="006D631C">
        <w:rPr>
          <w:rFonts w:asciiTheme="majorBidi" w:hAnsiTheme="majorBidi" w:cstheme="majorBidi"/>
        </w:rPr>
        <w:t xml:space="preserve"> control the polymerization rate and monomer conversion.</w:t>
      </w:r>
    </w:p>
    <w:p w14:paraId="50191B90" w14:textId="721D4E6B" w:rsidR="003A120E" w:rsidRPr="006D631C" w:rsidRDefault="003A120E" w:rsidP="003A120E">
      <w:pPr>
        <w:pStyle w:val="TOC1"/>
      </w:pPr>
    </w:p>
    <w:p w14:paraId="69564EA9" w14:textId="77777777" w:rsidR="003A120E" w:rsidRPr="006D631C" w:rsidRDefault="003A120E" w:rsidP="003A120E"/>
    <w:p w14:paraId="5FE174BC" w14:textId="0BBEABF0" w:rsidR="005F23CB" w:rsidRPr="006D631C" w:rsidRDefault="00142AD8" w:rsidP="005F23CB">
      <w:r w:rsidRPr="006D631C">
        <w:rPr>
          <w:noProof/>
        </w:rPr>
        <w:lastRenderedPageBreak/>
        <w:drawing>
          <wp:inline distT="0" distB="0" distL="0" distR="0" wp14:anchorId="0AA9FA65" wp14:editId="2969BF72">
            <wp:extent cx="5544000" cy="68259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44000" cy="6825944"/>
                    </a:xfrm>
                    <a:prstGeom prst="rect">
                      <a:avLst/>
                    </a:prstGeom>
                    <a:noFill/>
                  </pic:spPr>
                </pic:pic>
              </a:graphicData>
            </a:graphic>
          </wp:inline>
        </w:drawing>
      </w:r>
    </w:p>
    <w:p w14:paraId="22A63566" w14:textId="6148C692" w:rsidR="005F23CB" w:rsidRPr="006D631C" w:rsidRDefault="00142AD8" w:rsidP="00F43A57">
      <w:pPr>
        <w:pStyle w:val="Caption"/>
        <w:jc w:val="center"/>
        <w:rPr>
          <w:rFonts w:cs="Times New Roman"/>
          <w:sz w:val="22"/>
          <w:szCs w:val="22"/>
        </w:rPr>
      </w:pPr>
      <w:bookmarkStart w:id="116" w:name="_Toc148175931"/>
      <w:r w:rsidRPr="006D631C">
        <w:rPr>
          <w:rFonts w:cs="Times New Roman"/>
          <w:sz w:val="22"/>
          <w:szCs w:val="22"/>
        </w:rPr>
        <w:t xml:space="preserve">Figure </w:t>
      </w:r>
      <w:r w:rsidR="00B55F32" w:rsidRPr="006D631C">
        <w:rPr>
          <w:rFonts w:cs="Times New Roman"/>
          <w:sz w:val="22"/>
          <w:szCs w:val="22"/>
        </w:rPr>
        <w:fldChar w:fldCharType="begin"/>
      </w:r>
      <w:r w:rsidR="00B55F32" w:rsidRPr="006D631C">
        <w:rPr>
          <w:rFonts w:cs="Times New Roman"/>
          <w:sz w:val="22"/>
          <w:szCs w:val="22"/>
        </w:rPr>
        <w:instrText xml:space="preserve"> STYLEREF 1 \s </w:instrText>
      </w:r>
      <w:r w:rsidR="00B55F32" w:rsidRPr="006D631C">
        <w:rPr>
          <w:rFonts w:cs="Times New Roman"/>
          <w:sz w:val="22"/>
          <w:szCs w:val="22"/>
        </w:rPr>
        <w:fldChar w:fldCharType="separate"/>
      </w:r>
      <w:r w:rsidR="00B55F32" w:rsidRPr="006D631C">
        <w:rPr>
          <w:rFonts w:cs="Times New Roman"/>
          <w:sz w:val="22"/>
          <w:szCs w:val="22"/>
          <w:cs/>
        </w:rPr>
        <w:t>‎</w:t>
      </w:r>
      <w:r w:rsidR="00B55F32" w:rsidRPr="006D631C">
        <w:rPr>
          <w:rFonts w:cs="Times New Roman"/>
          <w:sz w:val="22"/>
          <w:szCs w:val="22"/>
        </w:rPr>
        <w:t>2</w:t>
      </w:r>
      <w:r w:rsidR="00B55F32" w:rsidRPr="006D631C">
        <w:rPr>
          <w:rFonts w:cs="Times New Roman"/>
          <w:sz w:val="22"/>
          <w:szCs w:val="22"/>
        </w:rPr>
        <w:fldChar w:fldCharType="end"/>
      </w:r>
      <w:r w:rsidR="00B55F32" w:rsidRPr="006D631C">
        <w:rPr>
          <w:rFonts w:cs="Times New Roman"/>
          <w:sz w:val="22"/>
          <w:szCs w:val="22"/>
        </w:rPr>
        <w:noBreakHyphen/>
      </w:r>
      <w:r w:rsidR="00B55F32" w:rsidRPr="006D631C">
        <w:rPr>
          <w:rFonts w:cs="Times New Roman"/>
          <w:sz w:val="22"/>
          <w:szCs w:val="22"/>
        </w:rPr>
        <w:fldChar w:fldCharType="begin"/>
      </w:r>
      <w:r w:rsidR="00B55F32" w:rsidRPr="006D631C">
        <w:rPr>
          <w:rFonts w:cs="Times New Roman"/>
          <w:sz w:val="22"/>
          <w:szCs w:val="22"/>
        </w:rPr>
        <w:instrText xml:space="preserve"> SEQ Figure \* ARABIC \s 1 </w:instrText>
      </w:r>
      <w:r w:rsidR="00B55F32" w:rsidRPr="006D631C">
        <w:rPr>
          <w:rFonts w:cs="Times New Roman"/>
          <w:sz w:val="22"/>
          <w:szCs w:val="22"/>
        </w:rPr>
        <w:fldChar w:fldCharType="separate"/>
      </w:r>
      <w:r w:rsidR="00B55F32" w:rsidRPr="006D631C">
        <w:rPr>
          <w:rFonts w:cs="Times New Roman"/>
          <w:sz w:val="22"/>
          <w:szCs w:val="22"/>
        </w:rPr>
        <w:t>6</w:t>
      </w:r>
      <w:r w:rsidR="00B55F32" w:rsidRPr="006D631C">
        <w:rPr>
          <w:rFonts w:cs="Times New Roman"/>
          <w:sz w:val="22"/>
          <w:szCs w:val="22"/>
        </w:rPr>
        <w:fldChar w:fldCharType="end"/>
      </w:r>
      <w:r w:rsidRPr="006D631C">
        <w:rPr>
          <w:rFonts w:cs="Times New Roman"/>
          <w:sz w:val="22"/>
          <w:szCs w:val="22"/>
        </w:rPr>
        <w:t xml:space="preserve">. Normalized polymerization rate versus time and overall monomer conversion obtained from thermal polymerization in (a-c) lamellar and (d-f) hexagonal structures using different initiation systems at varied reaction temperatures. For all samples, the total initiator concentration of 5 </w:t>
      </w:r>
      <w:proofErr w:type="spellStart"/>
      <w:r w:rsidRPr="006D631C">
        <w:rPr>
          <w:rFonts w:cs="Times New Roman"/>
          <w:sz w:val="22"/>
          <w:szCs w:val="22"/>
        </w:rPr>
        <w:t>mol</w:t>
      </w:r>
      <w:proofErr w:type="spellEnd"/>
      <w:r w:rsidRPr="006D631C">
        <w:rPr>
          <w:rFonts w:cs="Times New Roman"/>
          <w:sz w:val="22"/>
          <w:szCs w:val="22"/>
        </w:rPr>
        <w:t>% was used with respect to the total monomer content.</w:t>
      </w:r>
      <w:bookmarkEnd w:id="116"/>
    </w:p>
    <w:p w14:paraId="0597D4D3" w14:textId="77777777" w:rsidR="008C02FB" w:rsidRPr="006D631C" w:rsidRDefault="008C02FB" w:rsidP="00035B1B">
      <w:pPr>
        <w:widowControl w:val="0"/>
        <w:spacing w:before="240"/>
        <w:ind w:firstLine="357"/>
        <w:rPr>
          <w:rFonts w:asciiTheme="majorBidi" w:hAnsiTheme="majorBidi" w:cstheme="majorBidi"/>
        </w:rPr>
      </w:pPr>
      <w:r w:rsidRPr="006D631C">
        <w:rPr>
          <w:rFonts w:asciiTheme="majorBidi" w:hAnsiTheme="majorBidi" w:cstheme="majorBidi"/>
        </w:rPr>
        <w:lastRenderedPageBreak/>
        <w:t xml:space="preserve">For IFW system, the polymerization is faster in lamellar structure than hexagonal one (although it has smaller confinement) and opposite behavior is observed for IFO systems at three different temperatures. Similar trend is also seen when different contents of initiators are employed. As a conclusion, for IFW system, polymerization rate is always faster for studied lamellar structure, whereas the reaction rate has higher pace in hexagonal phase for IFO systems. Therefore, the reaction rate in soft </w:t>
      </w:r>
      <w:proofErr w:type="spellStart"/>
      <w:r w:rsidRPr="006D631C">
        <w:rPr>
          <w:rFonts w:asciiTheme="majorBidi" w:hAnsiTheme="majorBidi" w:cstheme="majorBidi"/>
        </w:rPr>
        <w:t>nanoconfinement</w:t>
      </w:r>
      <w:proofErr w:type="spellEnd"/>
      <w:r w:rsidRPr="006D631C">
        <w:rPr>
          <w:rFonts w:asciiTheme="majorBidi" w:hAnsiTheme="majorBidi" w:cstheme="majorBidi"/>
        </w:rPr>
        <w:t xml:space="preserve"> not only depends on the confinement size, but also the loci of polymerization reaction.  </w:t>
      </w:r>
    </w:p>
    <w:p w14:paraId="7E1AD16D" w14:textId="3F2A8CC6" w:rsidR="005F23CB" w:rsidRPr="006D631C" w:rsidRDefault="008C02FB" w:rsidP="0072669A">
      <w:pPr>
        <w:ind w:firstLine="357"/>
      </w:pPr>
      <w:r w:rsidRPr="006D631C">
        <w:rPr>
          <w:rFonts w:asciiTheme="majorBidi" w:hAnsiTheme="majorBidi" w:cstheme="majorBidi"/>
        </w:rPr>
        <w:t xml:space="preserve">To quantify the </w:t>
      </w:r>
      <w:r w:rsidR="00E47965" w:rsidRPr="006D631C">
        <w:rPr>
          <w:rFonts w:asciiTheme="majorBidi" w:hAnsiTheme="majorBidi" w:cstheme="majorBidi"/>
        </w:rPr>
        <w:t xml:space="preserve">drawn </w:t>
      </w:r>
      <w:r w:rsidRPr="006D631C">
        <w:rPr>
          <w:rFonts w:asciiTheme="majorBidi" w:hAnsiTheme="majorBidi" w:cstheme="majorBidi"/>
        </w:rPr>
        <w:t xml:space="preserve">conclusion, we calculated the overall kinetics rate coefficient, </w:t>
      </w:r>
      <w:r w:rsidRPr="006D631C">
        <w:rPr>
          <w:rFonts w:asciiTheme="majorBidi" w:hAnsiTheme="majorBidi" w:cstheme="majorBidi"/>
          <w:i/>
          <w:iCs/>
        </w:rPr>
        <w:t>K′</w:t>
      </w:r>
      <w:r w:rsidRPr="006D631C">
        <w:rPr>
          <w:rFonts w:asciiTheme="majorBidi" w:hAnsiTheme="majorBidi" w:cstheme="majorBidi"/>
        </w:rPr>
        <w:t xml:space="preserve">, and the overall activation energy of the polymerization, </w:t>
      </w:r>
      <w:r w:rsidRPr="006D631C">
        <w:rPr>
          <w:rFonts w:asciiTheme="majorBidi" w:hAnsiTheme="majorBidi" w:cstheme="majorBidi"/>
          <w:i/>
          <w:iCs/>
        </w:rPr>
        <w:t>E</w:t>
      </w:r>
      <w:r w:rsidRPr="006D631C">
        <w:rPr>
          <w:rFonts w:asciiTheme="majorBidi" w:hAnsiTheme="majorBidi" w:cstheme="majorBidi"/>
        </w:rPr>
        <w:t xml:space="preserve">. By considering the steady-state hypothesis for the free radical polymerization, normalized polymerization rate can be written as a function of the monomer conversion, </w:t>
      </w:r>
      <w:r w:rsidRPr="006D631C">
        <w:rPr>
          <w:rFonts w:asciiTheme="majorBidi" w:hAnsiTheme="majorBidi" w:cstheme="majorBidi"/>
          <w:i/>
          <w:iCs/>
        </w:rPr>
        <w:t>X</w:t>
      </w:r>
      <w:r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{"citationItems":[{"id":"ITEM-1","itemData":{"DOI":"10.1007/s10973-013-3633-y","ISSN":"1388-6150","abstract":"In this research, an effort was undertaken to investigate radical polymerization kinetics using experimental data from DSC measurements and mechanistic or isoconversional models. Polymerization of a polar monomer, namely 2-hydroxyethyl methacrylate in the presence of benzoyl peroxide initiator was studied. The variation of the effective activation energy with conversion was directly interpreted in terms of the physical phenomena taking place during the reaction in a microscale. Both isothermal and nonisothermal DSC data were employed and the effect of diffusion- controlled phenomena on the reaction kinetics at different conversion regimes was assessed. Finally, the effect of the presence of nanofiller on polymerization kinetics and the activation energy values were estimated and correlated to physical phenomena taking place during polymerization. © Akadémiai Kiadó, Budapest, Hungary 2014.","author":[{"dropping-particle":"","family":"Achilias","given":"Dimitris S.","non-dropping-particle":"","parse-names":false,"suffix":""}],"container-title":"Journal of Thermal Analysis and Calorimetry","id":"ITEM-1","issue":"3","issued":{"date-parts":[["2014","6","2"]]},"page":"1379-1386","title":"Investigation of the radical polymerization kinetics using DSC and mechanistic or isoconversional methods","type":"article-journal","volume":"116"},"uris":["http://www.mendeley.com/documents/?uuid=79ff5f2c-c56c-4de4-88e1-c81f3e0603c4"]}],"mendeley":{"formattedCitation":"&lt;sup&gt;221&lt;/sup&gt;","plainTextFormattedCitation":"221","previouslyFormattedCitation":"&lt;sup&gt;221&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221</w:t>
      </w:r>
      <w:r w:rsidRPr="006D631C">
        <w:rPr>
          <w:rFonts w:asciiTheme="majorBidi" w:hAnsiTheme="majorBidi" w:cstheme="majorBidi"/>
        </w:rPr>
        <w:fldChar w:fldCharType="end"/>
      </w:r>
    </w:p>
    <w:p w14:paraId="6543BDC4" w14:textId="704233B1" w:rsidR="00AC1548" w:rsidRPr="006D631C" w:rsidRDefault="00FB18E2" w:rsidP="00FB18E2">
      <w:pPr>
        <w:pStyle w:val="Caption"/>
        <w:rPr>
          <w:rFonts w:asciiTheme="majorBidi" w:hAnsiTheme="majorBidi" w:cstheme="majorBidi"/>
        </w:rPr>
      </w:pPr>
      <w:r w:rsidRPr="006D631C">
        <w:rPr>
          <w:rFonts w:asciiTheme="majorBidi" w:hAnsiTheme="majorBidi" w:cstheme="majorBidi"/>
          <w:position w:val="-32"/>
          <w:szCs w:val="24"/>
        </w:rPr>
        <w:object w:dxaOrig="4700" w:dyaOrig="900" w14:anchorId="33D959B8">
          <v:shape id="_x0000_i1053" type="#_x0000_t75" style="width:234.6pt;height:45pt" o:ole="">
            <v:imagedata r:id="rId90" o:title=""/>
          </v:shape>
          <o:OLEObject Type="Embed" ProgID="Equation.DSMT4" ShapeID="_x0000_i1053" DrawAspect="Content" ObjectID="_1760013321" r:id="rId91"/>
        </w:object>
      </w:r>
      <w:r w:rsidRPr="006D631C">
        <w:rPr>
          <w:rFonts w:asciiTheme="majorBidi" w:hAnsiTheme="majorBidi" w:cstheme="majorBidi"/>
        </w:rPr>
        <w:tab/>
      </w:r>
      <w:r w:rsidR="00AC1548" w:rsidRPr="006D631C">
        <w:rPr>
          <w:rFonts w:asciiTheme="majorBidi" w:hAnsiTheme="majorBidi" w:cstheme="majorBidi"/>
        </w:rPr>
        <w:t xml:space="preserve">                                                   </w:t>
      </w:r>
      <w:r w:rsidR="00AC1548"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2</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6</w:t>
      </w:r>
      <w:r w:rsidR="006A54D9" w:rsidRPr="006D631C">
        <w:rPr>
          <w:rFonts w:asciiTheme="majorBidi" w:hAnsiTheme="majorBidi" w:cstheme="majorBidi"/>
        </w:rPr>
        <w:fldChar w:fldCharType="end"/>
      </w:r>
      <w:r w:rsidR="00AC1548" w:rsidRPr="006D631C">
        <w:rPr>
          <w:rFonts w:asciiTheme="majorBidi" w:hAnsiTheme="majorBidi" w:cstheme="majorBidi"/>
        </w:rPr>
        <w:t>)</w:t>
      </w:r>
    </w:p>
    <w:p w14:paraId="2572D6BE" w14:textId="7B5CB483" w:rsidR="00084776" w:rsidRPr="006D631C" w:rsidRDefault="00084776" w:rsidP="00084776">
      <w:pPr>
        <w:pStyle w:val="Caption"/>
        <w:rPr>
          <w:rFonts w:asciiTheme="majorBidi" w:hAnsiTheme="majorBidi" w:cstheme="majorBidi"/>
        </w:rPr>
      </w:pPr>
      <w:r w:rsidRPr="006D631C">
        <w:rPr>
          <w:rFonts w:asciiTheme="majorBidi" w:hAnsiTheme="majorBidi" w:cstheme="majorBidi"/>
          <w:position w:val="-32"/>
          <w:szCs w:val="24"/>
        </w:rPr>
        <w:object w:dxaOrig="1960" w:dyaOrig="900" w14:anchorId="04A614AC">
          <v:shape id="_x0000_i1054" type="#_x0000_t75" style="width:98.4pt;height:45pt" o:ole="">
            <v:imagedata r:id="rId92" o:title=""/>
          </v:shape>
          <o:OLEObject Type="Embed" ProgID="Equation.DSMT4" ShapeID="_x0000_i1054" DrawAspect="Content" ObjectID="_1760013322" r:id="rId93"/>
        </w:object>
      </w:r>
      <w:r w:rsidRPr="006D631C">
        <w:rPr>
          <w:rFonts w:asciiTheme="majorBidi" w:hAnsiTheme="majorBidi" w:cstheme="majorBidi"/>
        </w:rPr>
        <w:tab/>
        <w:t xml:space="preserve">                                                                                                       </w:t>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2</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7</w:t>
      </w:r>
      <w:r w:rsidR="006A54D9" w:rsidRPr="006D631C">
        <w:rPr>
          <w:rFonts w:asciiTheme="majorBidi" w:hAnsiTheme="majorBidi" w:cstheme="majorBidi"/>
        </w:rPr>
        <w:fldChar w:fldCharType="end"/>
      </w:r>
      <w:r w:rsidRPr="006D631C">
        <w:rPr>
          <w:rFonts w:asciiTheme="majorBidi" w:hAnsiTheme="majorBidi" w:cstheme="majorBidi"/>
        </w:rPr>
        <w:t>)</w:t>
      </w:r>
    </w:p>
    <w:p w14:paraId="42F268A8" w14:textId="0A43EFE3" w:rsidR="00A9517A" w:rsidRPr="006D631C" w:rsidRDefault="006A5681" w:rsidP="0072669A">
      <w:pPr>
        <w:ind w:firstLine="360"/>
      </w:pPr>
      <w:r w:rsidRPr="006D631C">
        <w:rPr>
          <w:rFonts w:asciiTheme="majorBidi" w:hAnsiTheme="majorBidi" w:cstheme="majorBidi"/>
        </w:rPr>
        <w:t xml:space="preserve">For low degrees of monomer conversion (1% to 10% in the current systems), it is possible to have an expression which directly correlates double bound conversion to the overall polymerization rate coefficient, </w:t>
      </w:r>
      <w:r w:rsidRPr="006D631C">
        <w:rPr>
          <w:rFonts w:asciiTheme="majorBidi" w:hAnsiTheme="majorBidi" w:cstheme="majorBidi"/>
          <w:i/>
          <w:iCs/>
        </w:rPr>
        <w:t>K′</w:t>
      </w:r>
      <w:r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{"citationItems":[{"id":"ITEM-1","itemData":{"DOI":"10.1007/s10973-013-3633-y","ISSN":"1388-6150","abstract":"In this research, an effort was undertaken to investigate radical polymerization kinetics using experimental data from DSC measurements and mechanistic or isoconversional models. Polymerization of a polar monomer, namely 2-hydroxyethyl methacrylate in the presence of benzoyl peroxide initiator was studied. The variation of the effective activation energy with conversion was directly interpreted in terms of the physical phenomena taking place during the reaction in a microscale. Both isothermal and nonisothermal DSC data were employed and the effect of diffusion- controlled phenomena on the reaction kinetics at different conversion regimes was assessed. Finally, the effect of the presence of nanofiller on polymerization kinetics and the activation energy values were estimated and correlated to physical phenomena taking place during polymerization. © Akadémiai Kiadó, Budapest, Hungary 2014.","author":[{"dropping-particle":"","family":"Achilias","given":"Dimitris S.","non-dropping-particle":"","parse-names":false,"suffix":""}],"container-title":"Journal of Thermal Analysis and Calorimetry","id":"ITEM-1","issue":"3","issued":{"date-parts":[["2014","6","2"]]},"page":"1379-1386","title":"Investigation of the radical polymerization kinetics using DSC and mechanistic or isoconversional methods","type":"article-journal","volume":"116"},"uris":["http://www.mendeley.com/documents/?uuid=79ff5f2c-c56c-4de4-88e1-c81f3e0603c4"]}],"mendeley":{"formattedCitation":"&lt;sup&gt;221&lt;/sup&gt;","plainTextFormattedCitation":"221","previouslyFormattedCitation":"&lt;sup&gt;221&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221</w:t>
      </w:r>
      <w:r w:rsidRPr="006D631C">
        <w:rPr>
          <w:rFonts w:asciiTheme="majorBidi" w:hAnsiTheme="majorBidi" w:cstheme="majorBidi"/>
        </w:rPr>
        <w:fldChar w:fldCharType="end"/>
      </w:r>
    </w:p>
    <w:p w14:paraId="5EBF4820" w14:textId="6BACA3F7" w:rsidR="00166AC1" w:rsidRPr="006D631C" w:rsidRDefault="00166AC1" w:rsidP="00166AC1">
      <w:pPr>
        <w:pStyle w:val="Caption"/>
        <w:rPr>
          <w:rFonts w:asciiTheme="majorBidi" w:hAnsiTheme="majorBidi" w:cstheme="majorBidi"/>
        </w:rPr>
      </w:pPr>
      <w:r w:rsidRPr="006D631C">
        <w:rPr>
          <w:rFonts w:asciiTheme="majorBidi" w:hAnsiTheme="majorBidi" w:cstheme="majorBidi"/>
          <w:position w:val="-10"/>
          <w:szCs w:val="24"/>
        </w:rPr>
        <w:object w:dxaOrig="1620" w:dyaOrig="320" w14:anchorId="23B2D9A6">
          <v:shape id="_x0000_i1055" type="#_x0000_t75" style="width:81pt;height:16.2pt" o:ole="">
            <v:imagedata r:id="rId94" o:title=""/>
          </v:shape>
          <o:OLEObject Type="Embed" ProgID="Equation.DSMT4" ShapeID="_x0000_i1055" DrawAspect="Content" ObjectID="_1760013323" r:id="rId95"/>
        </w:object>
      </w:r>
      <w:r w:rsidRPr="006D631C">
        <w:rPr>
          <w:rFonts w:asciiTheme="majorBidi" w:hAnsiTheme="majorBidi" w:cstheme="majorBidi"/>
        </w:rPr>
        <w:tab/>
        <w:t xml:space="preserve">                                                                                                       </w:t>
      </w:r>
      <w:r w:rsidRPr="006D631C">
        <w:rPr>
          <w:rFonts w:asciiTheme="majorBidi" w:hAnsiTheme="majorBidi" w:cstheme="majorBidi"/>
        </w:rPr>
        <w:tab/>
        <w:t>(</w:t>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STYLEREF 1 \s </w:instrText>
      </w:r>
      <w:r w:rsidR="006A54D9" w:rsidRPr="006D631C">
        <w:rPr>
          <w:rFonts w:asciiTheme="majorBidi" w:hAnsiTheme="majorBidi" w:cstheme="majorBidi"/>
        </w:rPr>
        <w:fldChar w:fldCharType="separate"/>
      </w:r>
      <w:r w:rsidR="005014F7" w:rsidRPr="006D631C">
        <w:rPr>
          <w:rFonts w:asciiTheme="majorBidi" w:hAnsiTheme="majorBidi" w:cstheme="majorBidi"/>
          <w:cs/>
        </w:rPr>
        <w:t>‎</w:t>
      </w:r>
      <w:r w:rsidR="005014F7" w:rsidRPr="006D631C">
        <w:rPr>
          <w:rFonts w:asciiTheme="majorBidi" w:hAnsiTheme="majorBidi" w:cstheme="majorBidi"/>
        </w:rPr>
        <w:t>2</w:t>
      </w:r>
      <w:r w:rsidR="006A54D9" w:rsidRPr="006D631C">
        <w:rPr>
          <w:rFonts w:asciiTheme="majorBidi" w:hAnsiTheme="majorBidi" w:cstheme="majorBidi"/>
        </w:rPr>
        <w:fldChar w:fldCharType="end"/>
      </w:r>
      <w:r w:rsidR="006A54D9" w:rsidRPr="006D631C">
        <w:rPr>
          <w:rFonts w:asciiTheme="majorBidi" w:hAnsiTheme="majorBidi" w:cstheme="majorBidi"/>
        </w:rPr>
        <w:noBreakHyphen/>
      </w:r>
      <w:r w:rsidR="006A54D9" w:rsidRPr="006D631C">
        <w:rPr>
          <w:rFonts w:asciiTheme="majorBidi" w:hAnsiTheme="majorBidi" w:cstheme="majorBidi"/>
        </w:rPr>
        <w:fldChar w:fldCharType="begin"/>
      </w:r>
      <w:r w:rsidR="006A54D9" w:rsidRPr="006D631C">
        <w:rPr>
          <w:rFonts w:asciiTheme="majorBidi" w:hAnsiTheme="majorBidi" w:cstheme="majorBidi"/>
        </w:rPr>
        <w:instrText xml:space="preserve"> SEQ Equation \* ARABIC \s 1 </w:instrText>
      </w:r>
      <w:r w:rsidR="006A54D9" w:rsidRPr="006D631C">
        <w:rPr>
          <w:rFonts w:asciiTheme="majorBidi" w:hAnsiTheme="majorBidi" w:cstheme="majorBidi"/>
        </w:rPr>
        <w:fldChar w:fldCharType="separate"/>
      </w:r>
      <w:r w:rsidR="005014F7" w:rsidRPr="006D631C">
        <w:rPr>
          <w:rFonts w:asciiTheme="majorBidi" w:hAnsiTheme="majorBidi" w:cstheme="majorBidi"/>
        </w:rPr>
        <w:t>8</w:t>
      </w:r>
      <w:r w:rsidR="006A54D9" w:rsidRPr="006D631C">
        <w:rPr>
          <w:rFonts w:asciiTheme="majorBidi" w:hAnsiTheme="majorBidi" w:cstheme="majorBidi"/>
        </w:rPr>
        <w:fldChar w:fldCharType="end"/>
      </w:r>
      <w:r w:rsidRPr="006D631C">
        <w:rPr>
          <w:rFonts w:asciiTheme="majorBidi" w:hAnsiTheme="majorBidi" w:cstheme="majorBidi"/>
        </w:rPr>
        <w:t>)</w:t>
      </w:r>
    </w:p>
    <w:p w14:paraId="48A338F7" w14:textId="013D772E" w:rsidR="00A9517A" w:rsidRPr="006D631C" w:rsidRDefault="003D5EF7" w:rsidP="0072669A">
      <w:pPr>
        <w:ind w:firstLine="360"/>
      </w:pPr>
      <w:r w:rsidRPr="006D631C">
        <w:rPr>
          <w:rFonts w:asciiTheme="majorBidi" w:hAnsiTheme="majorBidi" w:cstheme="majorBidi"/>
        </w:rPr>
        <w:t xml:space="preserve">The slope of –ln(1 – </w:t>
      </w:r>
      <w:r w:rsidRPr="006D631C">
        <w:rPr>
          <w:rFonts w:asciiTheme="majorBidi" w:hAnsiTheme="majorBidi" w:cstheme="majorBidi"/>
          <w:i/>
          <w:iCs/>
        </w:rPr>
        <w:t>X</w:t>
      </w:r>
      <w:r w:rsidRPr="006D631C">
        <w:rPr>
          <w:rFonts w:asciiTheme="majorBidi" w:hAnsiTheme="majorBidi" w:cstheme="majorBidi"/>
        </w:rPr>
        <w:t xml:space="preserve">) versus </w:t>
      </w:r>
      <w:r w:rsidRPr="006D631C">
        <w:rPr>
          <w:rFonts w:asciiTheme="majorBidi" w:hAnsiTheme="majorBidi" w:cstheme="majorBidi"/>
          <w:i/>
          <w:iCs/>
        </w:rPr>
        <w:t>t</w:t>
      </w:r>
      <w:r w:rsidRPr="006D631C">
        <w:rPr>
          <w:rFonts w:asciiTheme="majorBidi" w:hAnsiTheme="majorBidi" w:cstheme="majorBidi"/>
        </w:rPr>
        <w:t xml:space="preserve"> in conversion range of 1 to 10% gives </w:t>
      </w:r>
      <w:r w:rsidRPr="006D631C">
        <w:rPr>
          <w:rFonts w:asciiTheme="majorBidi" w:hAnsiTheme="majorBidi" w:cstheme="majorBidi"/>
          <w:i/>
          <w:iCs/>
        </w:rPr>
        <w:t>K′</w:t>
      </w:r>
      <w:r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{"citationItems":[{"id":"ITEM-1","itemData":{"DOI":"10.1007/s10973-013-3633-y","ISSN":"1388-6150","abstract":"In this research, an effort was undertaken to investigate radical polymerization kinetics using experimental data from DSC measurements and mechanistic or isoconversional models. Polymerization of a polar monomer, namely 2-hydroxyethyl methacrylate in the presence of benzoyl peroxide initiator was studied. The variation of the effective activation energy with conversion was directly interpreted in terms of the physical phenomena taking place during the reaction in a microscale. Both isothermal and nonisothermal DSC data were employed and the effect of diffusion- controlled phenomena on the reaction kinetics at different conversion regimes was assessed. Finally, the effect of the presence of nanofiller on polymerization kinetics and the activation energy values were estimated and correlated to physical phenomena taking place during polymerization. © Akadémiai Kiadó, Budapest, Hungary 2014.","author":[{"dropping-particle":"","family":"Achilias","given":"Dimitris S.","non-dropping-particle":"","parse-names":false,"suffix":""}],"container-title":"Journal of Thermal Analysis and Calorimetry","id":"ITEM-1","issue":"3","issued":{"date-parts":[["2014","6","2"]]},"page":"1379-1386","title":"Investigation of the radical polymerization kinetics using DSC and mechanistic or isoconversional methods","type":"article-journal","volume":"116"},"uris":["http://www.mendeley.com/documents/?uuid=79ff5f2c-c56c-4de4-88e1-c81f3e0603c4"]},{"id":"ITEM-2","itemData":{"DOI":"10.1016/j.polymer.2011.06.048","ISSN":"00323861","abstract":"The effect of nanoconfinement on the rate of isothermal polymerization of methyl methacrylate (MMA) polymerization is investigated using differential scanning calorimetry. Controlled pore glass (CPG) with pore diameters of 13, 50, and 111 nm are used for the confinement of the reaction. Both hydrophilic and hydrophobic pore surfaces are studied. The effective reaction rate and the apparent activation energy at low conversions, prior to autoacceleration, are unchanged in hydrophobic pores. On the other hand, in hydrophilic pores, the reaction rate increases by as much as a factor of 8 in the smallest 13 nm hydrophilic pores, and the effective activation energy decreases. For both pore surfaces, the time required to reach autoacceleration decreases with decreasing pore size, with the effect much more pronounced in the hydrophilic pores. The results are consistent with a model of nanoconfined free radical polymerization which accounts for suppressed termination due to a decrease in the diffusivity of nanoconfined chains. © 2011 Elsevier Ltd. All rights reserved.","author":[{"dropping-particle":"","family":"Zhao","given":"Haoyu","non-dropping-particle":"","parse-names":false,"suffix":""},{"dropping-particle":"","family":"Simon","given":"Sindee L.","non-dropping-particle":"","parse-names":false,"suffix":""}],"container-title":"Polymer","id":"ITEM-2","issue":"18","issued":{"date-parts":[["2011","8"]]},"page":"4093-4098","title":"Methyl methacrylate polymerization in nanoporous confinement","type":"article-journal","volume":"52"},"uris":["http://www.mendeley.com/documents/?uuid=7fe394c0-285b-4033-b8a2-880686142d21"]}],"mendeley":{"formattedCitation":"&lt;sup&gt;221,222&lt;/sup&gt;","plainTextFormattedCitation":"221,222","previouslyFormattedCitation":"&lt;sup&gt;221,222&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221,222</w:t>
      </w:r>
      <w:r w:rsidRPr="006D631C">
        <w:rPr>
          <w:rFonts w:asciiTheme="majorBidi" w:hAnsiTheme="majorBidi" w:cstheme="majorBidi"/>
        </w:rPr>
        <w:fldChar w:fldCharType="end"/>
      </w:r>
      <w:r w:rsidRPr="006D631C">
        <w:rPr>
          <w:rFonts w:asciiTheme="majorBidi" w:hAnsiTheme="majorBidi" w:cstheme="majorBidi"/>
        </w:rPr>
        <w:t xml:space="preserve"> Having the reaction kinetics data at different polymerization temperatures for APS, AIBN and BPO, we calculated the overall activation energy of the polymerization (in both lamellar and hexagonal </w:t>
      </w:r>
      <w:r w:rsidRPr="006D631C">
        <w:rPr>
          <w:rFonts w:asciiTheme="majorBidi" w:hAnsiTheme="majorBidi" w:cstheme="majorBidi"/>
        </w:rPr>
        <w:lastRenderedPageBreak/>
        <w:t xml:space="preserve">structures) by considering Arrhenius type dependency of reaction rate to temperature (Table 2-3). For APS initiator, higher values of </w:t>
      </w:r>
      <w:r w:rsidRPr="006D631C">
        <w:rPr>
          <w:rFonts w:asciiTheme="majorBidi" w:hAnsiTheme="majorBidi" w:cstheme="majorBidi"/>
          <w:i/>
        </w:rPr>
        <w:t>K</w:t>
      </w:r>
      <w:r w:rsidRPr="006D631C">
        <w:rPr>
          <w:rFonts w:asciiTheme="majorBidi" w:hAnsiTheme="majorBidi" w:cstheme="majorBidi"/>
        </w:rPr>
        <w:t>′ at different temperatures (Figure C</w:t>
      </w:r>
      <w:r w:rsidR="0083430B" w:rsidRPr="006D631C">
        <w:rPr>
          <w:rFonts w:asciiTheme="majorBidi" w:hAnsiTheme="majorBidi" w:cstheme="majorBidi"/>
        </w:rPr>
        <w:t>5</w:t>
      </w:r>
      <w:r w:rsidRPr="006D631C">
        <w:rPr>
          <w:rFonts w:asciiTheme="majorBidi" w:hAnsiTheme="majorBidi" w:cstheme="majorBidi"/>
        </w:rPr>
        <w:t xml:space="preserve">) and lower activation energy in lamellar structure compared to hexagonal one confirm the higher reaction rate in lamellar phase. An opposite trend is observed for AIBN and BPO-initiated systems, implying that the reaction rate is higher in hexagonal structure for IFO systems. Additionally, APS shows the lowest activation energy as well as the highest </w:t>
      </w:r>
      <w:r w:rsidRPr="006D631C">
        <w:rPr>
          <w:rFonts w:asciiTheme="majorBidi" w:hAnsiTheme="majorBidi" w:cstheme="majorBidi"/>
          <w:i/>
        </w:rPr>
        <w:t>K</w:t>
      </w:r>
      <w:r w:rsidRPr="006D631C">
        <w:rPr>
          <w:rFonts w:asciiTheme="majorBidi" w:hAnsiTheme="majorBidi" w:cstheme="majorBidi"/>
        </w:rPr>
        <w:t xml:space="preserve">′ values at different temperatures. These results reveal that, under </w:t>
      </w:r>
      <w:proofErr w:type="spellStart"/>
      <w:r w:rsidRPr="006D631C">
        <w:rPr>
          <w:rFonts w:asciiTheme="majorBidi" w:hAnsiTheme="majorBidi" w:cstheme="majorBidi"/>
        </w:rPr>
        <w:t>nanoconfinement</w:t>
      </w:r>
      <w:proofErr w:type="spellEnd"/>
      <w:r w:rsidRPr="006D631C">
        <w:rPr>
          <w:rFonts w:asciiTheme="majorBidi" w:hAnsiTheme="majorBidi" w:cstheme="majorBidi"/>
        </w:rPr>
        <w:t>, APS is the most efficient initiator among the studied initiation systems in terms of polymerization kinetics.</w:t>
      </w:r>
    </w:p>
    <w:p w14:paraId="4D451396" w14:textId="42D69434" w:rsidR="0093254C" w:rsidRPr="006D631C" w:rsidRDefault="0093254C" w:rsidP="00CF5891">
      <w:pPr>
        <w:pStyle w:val="Caption"/>
        <w:spacing w:after="0"/>
        <w:jc w:val="center"/>
        <w:rPr>
          <w:rFonts w:cs="Times New Roman"/>
          <w:sz w:val="22"/>
          <w:szCs w:val="22"/>
        </w:rPr>
      </w:pPr>
      <w:bookmarkStart w:id="117" w:name="_Toc148175971"/>
      <w:r w:rsidRPr="006D631C">
        <w:rPr>
          <w:rFonts w:cs="Times New Roman"/>
          <w:sz w:val="22"/>
          <w:szCs w:val="22"/>
        </w:rPr>
        <w:t xml:space="preserve">Table </w:t>
      </w:r>
      <w:r w:rsidR="0093296F" w:rsidRPr="006D631C">
        <w:rPr>
          <w:rFonts w:cs="Times New Roman"/>
          <w:sz w:val="22"/>
          <w:szCs w:val="22"/>
        </w:rPr>
        <w:fldChar w:fldCharType="begin"/>
      </w:r>
      <w:r w:rsidR="0093296F" w:rsidRPr="006D631C">
        <w:rPr>
          <w:rFonts w:cs="Times New Roman"/>
          <w:sz w:val="22"/>
          <w:szCs w:val="22"/>
        </w:rPr>
        <w:instrText xml:space="preserve"> STYLEREF 1 \s </w:instrText>
      </w:r>
      <w:r w:rsidR="0093296F" w:rsidRPr="006D631C">
        <w:rPr>
          <w:rFonts w:cs="Times New Roman"/>
          <w:sz w:val="22"/>
          <w:szCs w:val="22"/>
        </w:rPr>
        <w:fldChar w:fldCharType="separate"/>
      </w:r>
      <w:r w:rsidR="0093296F" w:rsidRPr="006D631C">
        <w:rPr>
          <w:rFonts w:cs="Times New Roman"/>
          <w:sz w:val="22"/>
          <w:szCs w:val="22"/>
          <w:cs/>
        </w:rPr>
        <w:t>‎</w:t>
      </w:r>
      <w:r w:rsidR="0093296F" w:rsidRPr="006D631C">
        <w:rPr>
          <w:rFonts w:cs="Times New Roman"/>
          <w:sz w:val="22"/>
          <w:szCs w:val="22"/>
        </w:rPr>
        <w:t>2</w:t>
      </w:r>
      <w:r w:rsidR="0093296F" w:rsidRPr="006D631C">
        <w:rPr>
          <w:rFonts w:cs="Times New Roman"/>
          <w:sz w:val="22"/>
          <w:szCs w:val="22"/>
        </w:rPr>
        <w:fldChar w:fldCharType="end"/>
      </w:r>
      <w:r w:rsidR="0093296F" w:rsidRPr="006D631C">
        <w:rPr>
          <w:rFonts w:cs="Times New Roman"/>
          <w:sz w:val="22"/>
          <w:szCs w:val="22"/>
        </w:rPr>
        <w:noBreakHyphen/>
      </w:r>
      <w:r w:rsidR="0093296F" w:rsidRPr="006D631C">
        <w:rPr>
          <w:rFonts w:cs="Times New Roman"/>
          <w:sz w:val="22"/>
          <w:szCs w:val="22"/>
        </w:rPr>
        <w:fldChar w:fldCharType="begin"/>
      </w:r>
      <w:r w:rsidR="0093296F" w:rsidRPr="006D631C">
        <w:rPr>
          <w:rFonts w:cs="Times New Roman"/>
          <w:sz w:val="22"/>
          <w:szCs w:val="22"/>
        </w:rPr>
        <w:instrText xml:space="preserve"> SEQ Table \* ARABIC \s 1 </w:instrText>
      </w:r>
      <w:r w:rsidR="0093296F" w:rsidRPr="006D631C">
        <w:rPr>
          <w:rFonts w:cs="Times New Roman"/>
          <w:sz w:val="22"/>
          <w:szCs w:val="22"/>
        </w:rPr>
        <w:fldChar w:fldCharType="separate"/>
      </w:r>
      <w:r w:rsidR="0093296F" w:rsidRPr="006D631C">
        <w:rPr>
          <w:rFonts w:cs="Times New Roman"/>
          <w:sz w:val="22"/>
          <w:szCs w:val="22"/>
        </w:rPr>
        <w:t>3</w:t>
      </w:r>
      <w:r w:rsidR="0093296F" w:rsidRPr="006D631C">
        <w:rPr>
          <w:rFonts w:cs="Times New Roman"/>
          <w:sz w:val="22"/>
          <w:szCs w:val="22"/>
        </w:rPr>
        <w:fldChar w:fldCharType="end"/>
      </w:r>
      <w:r w:rsidRPr="006D631C">
        <w:rPr>
          <w:rFonts w:cs="Times New Roman"/>
          <w:sz w:val="22"/>
          <w:szCs w:val="22"/>
        </w:rPr>
        <w:t>. Calculated overall kinetics rate coefficient at different temperatures and overall activation energy of the polymerization in lamellar and hexagonal structures using different initiators.</w:t>
      </w:r>
      <w:bookmarkEnd w:id="117"/>
    </w:p>
    <w:tbl>
      <w:tblPr>
        <w:tblW w:w="8364" w:type="dxa"/>
        <w:jc w:val="center"/>
        <w:tblLook w:val="04A0" w:firstRow="1" w:lastRow="0" w:firstColumn="1" w:lastColumn="0" w:noHBand="0" w:noVBand="1"/>
      </w:tblPr>
      <w:tblGrid>
        <w:gridCol w:w="925"/>
        <w:gridCol w:w="1343"/>
        <w:gridCol w:w="1134"/>
        <w:gridCol w:w="1134"/>
        <w:gridCol w:w="1134"/>
        <w:gridCol w:w="1701"/>
        <w:gridCol w:w="993"/>
      </w:tblGrid>
      <w:tr w:rsidR="0093254C" w:rsidRPr="006D631C" w14:paraId="47061B5D" w14:textId="77777777" w:rsidTr="00CF5891">
        <w:trPr>
          <w:trHeight w:val="504"/>
          <w:jc w:val="center"/>
        </w:trPr>
        <w:tc>
          <w:tcPr>
            <w:tcW w:w="925" w:type="dxa"/>
            <w:tcBorders>
              <w:top w:val="single" w:sz="4" w:space="0" w:color="auto"/>
              <w:left w:val="nil"/>
              <w:bottom w:val="single" w:sz="8" w:space="0" w:color="auto"/>
              <w:right w:val="nil"/>
            </w:tcBorders>
            <w:shd w:val="clear" w:color="auto" w:fill="auto"/>
            <w:noWrap/>
            <w:vAlign w:val="center"/>
            <w:hideMark/>
          </w:tcPr>
          <w:p w14:paraId="6E0D38A2"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Initiator</w:t>
            </w:r>
          </w:p>
        </w:tc>
        <w:tc>
          <w:tcPr>
            <w:tcW w:w="1343" w:type="dxa"/>
            <w:tcBorders>
              <w:top w:val="single" w:sz="4" w:space="0" w:color="auto"/>
              <w:left w:val="nil"/>
              <w:bottom w:val="single" w:sz="8" w:space="0" w:color="auto"/>
              <w:right w:val="nil"/>
            </w:tcBorders>
            <w:shd w:val="clear" w:color="auto" w:fill="auto"/>
            <w:noWrap/>
            <w:vAlign w:val="center"/>
            <w:hideMark/>
          </w:tcPr>
          <w:p w14:paraId="0C428236"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Structure</w:t>
            </w:r>
          </w:p>
        </w:tc>
        <w:tc>
          <w:tcPr>
            <w:tcW w:w="1134" w:type="dxa"/>
            <w:tcBorders>
              <w:top w:val="single" w:sz="4" w:space="0" w:color="auto"/>
              <w:left w:val="nil"/>
              <w:bottom w:val="single" w:sz="8" w:space="0" w:color="auto"/>
              <w:right w:val="nil"/>
            </w:tcBorders>
            <w:shd w:val="clear" w:color="auto" w:fill="auto"/>
            <w:noWrap/>
            <w:vAlign w:val="center"/>
            <w:hideMark/>
          </w:tcPr>
          <w:p w14:paraId="6E89FFB2" w14:textId="77777777" w:rsidR="0093254C" w:rsidRPr="006D631C" w:rsidRDefault="0093254C" w:rsidP="00CF5891">
            <w:pPr>
              <w:widowControl w:val="0"/>
              <w:spacing w:line="240" w:lineRule="auto"/>
              <w:jc w:val="center"/>
              <w:rPr>
                <w:color w:val="000000"/>
                <w:sz w:val="22"/>
                <w:szCs w:val="22"/>
              </w:rPr>
            </w:pPr>
            <w:r w:rsidRPr="006D631C">
              <w:rPr>
                <w:i/>
                <w:iCs/>
                <w:color w:val="000000"/>
                <w:sz w:val="22"/>
                <w:szCs w:val="22"/>
              </w:rPr>
              <w:t>K'</w:t>
            </w:r>
            <w:r w:rsidRPr="006D631C">
              <w:rPr>
                <w:color w:val="000000"/>
                <w:sz w:val="22"/>
                <w:szCs w:val="22"/>
              </w:rPr>
              <w:t xml:space="preserve"> (10</w:t>
            </w:r>
            <w:r w:rsidRPr="006D631C">
              <w:rPr>
                <w:rFonts w:asciiTheme="majorBidi" w:hAnsiTheme="majorBidi" w:cstheme="majorBidi"/>
                <w:sz w:val="22"/>
                <w:szCs w:val="22"/>
                <w:vertAlign w:val="superscript"/>
              </w:rPr>
              <w:t>−</w:t>
            </w:r>
            <w:r w:rsidRPr="006D631C">
              <w:rPr>
                <w:color w:val="000000"/>
                <w:sz w:val="22"/>
                <w:szCs w:val="22"/>
                <w:vertAlign w:val="superscript"/>
              </w:rPr>
              <w:t>3</w:t>
            </w:r>
            <w:r w:rsidRPr="006D631C">
              <w:rPr>
                <w:color w:val="000000"/>
                <w:sz w:val="22"/>
                <w:szCs w:val="22"/>
              </w:rPr>
              <w:t xml:space="preserve">/s) at 55 °C </w:t>
            </w:r>
          </w:p>
        </w:tc>
        <w:tc>
          <w:tcPr>
            <w:tcW w:w="1134" w:type="dxa"/>
            <w:tcBorders>
              <w:top w:val="single" w:sz="4" w:space="0" w:color="auto"/>
              <w:left w:val="nil"/>
              <w:bottom w:val="single" w:sz="8" w:space="0" w:color="auto"/>
              <w:right w:val="nil"/>
            </w:tcBorders>
            <w:shd w:val="clear" w:color="auto" w:fill="auto"/>
            <w:noWrap/>
            <w:vAlign w:val="center"/>
            <w:hideMark/>
          </w:tcPr>
          <w:p w14:paraId="3F2344B4" w14:textId="77777777" w:rsidR="0093254C" w:rsidRPr="006D631C" w:rsidRDefault="0093254C" w:rsidP="00CF5891">
            <w:pPr>
              <w:widowControl w:val="0"/>
              <w:spacing w:line="240" w:lineRule="auto"/>
              <w:jc w:val="center"/>
              <w:rPr>
                <w:color w:val="000000"/>
                <w:sz w:val="22"/>
                <w:szCs w:val="22"/>
              </w:rPr>
            </w:pPr>
            <w:r w:rsidRPr="006D631C">
              <w:rPr>
                <w:i/>
                <w:iCs/>
                <w:color w:val="000000"/>
                <w:sz w:val="22"/>
                <w:szCs w:val="22"/>
              </w:rPr>
              <w:t>K'</w:t>
            </w:r>
            <w:r w:rsidRPr="006D631C">
              <w:rPr>
                <w:color w:val="000000"/>
                <w:sz w:val="22"/>
                <w:szCs w:val="22"/>
              </w:rPr>
              <w:t xml:space="preserve"> (10</w:t>
            </w:r>
            <w:r w:rsidRPr="006D631C">
              <w:rPr>
                <w:rFonts w:asciiTheme="majorBidi" w:hAnsiTheme="majorBidi" w:cstheme="majorBidi"/>
                <w:sz w:val="22"/>
                <w:szCs w:val="22"/>
                <w:vertAlign w:val="superscript"/>
              </w:rPr>
              <w:t>−</w:t>
            </w:r>
            <w:r w:rsidRPr="006D631C">
              <w:rPr>
                <w:color w:val="000000"/>
                <w:sz w:val="22"/>
                <w:szCs w:val="22"/>
                <w:vertAlign w:val="superscript"/>
              </w:rPr>
              <w:t>3</w:t>
            </w:r>
            <w:r w:rsidRPr="006D631C">
              <w:rPr>
                <w:color w:val="000000"/>
                <w:sz w:val="22"/>
                <w:szCs w:val="22"/>
              </w:rPr>
              <w:t xml:space="preserve">/s) at 65 °C </w:t>
            </w:r>
          </w:p>
        </w:tc>
        <w:tc>
          <w:tcPr>
            <w:tcW w:w="1134" w:type="dxa"/>
            <w:tcBorders>
              <w:top w:val="single" w:sz="4" w:space="0" w:color="auto"/>
              <w:left w:val="nil"/>
              <w:bottom w:val="single" w:sz="8" w:space="0" w:color="auto"/>
              <w:right w:val="nil"/>
            </w:tcBorders>
            <w:shd w:val="clear" w:color="auto" w:fill="auto"/>
            <w:noWrap/>
            <w:vAlign w:val="center"/>
            <w:hideMark/>
          </w:tcPr>
          <w:p w14:paraId="470F7CBD" w14:textId="77777777" w:rsidR="0093254C" w:rsidRPr="006D631C" w:rsidRDefault="0093254C" w:rsidP="00CF5891">
            <w:pPr>
              <w:widowControl w:val="0"/>
              <w:spacing w:line="240" w:lineRule="auto"/>
              <w:jc w:val="center"/>
              <w:rPr>
                <w:color w:val="000000"/>
                <w:sz w:val="22"/>
                <w:szCs w:val="22"/>
              </w:rPr>
            </w:pPr>
            <w:r w:rsidRPr="006D631C">
              <w:rPr>
                <w:i/>
                <w:iCs/>
                <w:color w:val="000000"/>
                <w:sz w:val="22"/>
                <w:szCs w:val="22"/>
              </w:rPr>
              <w:t>K'</w:t>
            </w:r>
            <w:r w:rsidRPr="006D631C">
              <w:rPr>
                <w:color w:val="000000"/>
                <w:sz w:val="22"/>
                <w:szCs w:val="22"/>
              </w:rPr>
              <w:t xml:space="preserve"> (10</w:t>
            </w:r>
            <w:r w:rsidRPr="006D631C">
              <w:rPr>
                <w:rFonts w:asciiTheme="majorBidi" w:hAnsiTheme="majorBidi" w:cstheme="majorBidi"/>
                <w:sz w:val="22"/>
                <w:szCs w:val="22"/>
                <w:vertAlign w:val="superscript"/>
              </w:rPr>
              <w:t>−</w:t>
            </w:r>
            <w:r w:rsidRPr="006D631C">
              <w:rPr>
                <w:color w:val="000000"/>
                <w:sz w:val="22"/>
                <w:szCs w:val="22"/>
                <w:vertAlign w:val="superscript"/>
              </w:rPr>
              <w:t>3</w:t>
            </w:r>
            <w:r w:rsidRPr="006D631C">
              <w:rPr>
                <w:color w:val="000000"/>
                <w:sz w:val="22"/>
                <w:szCs w:val="22"/>
              </w:rPr>
              <w:t xml:space="preserve">/s) at 75 °C </w:t>
            </w:r>
          </w:p>
        </w:tc>
        <w:tc>
          <w:tcPr>
            <w:tcW w:w="1701" w:type="dxa"/>
            <w:tcBorders>
              <w:top w:val="single" w:sz="4" w:space="0" w:color="auto"/>
              <w:left w:val="nil"/>
              <w:bottom w:val="single" w:sz="8" w:space="0" w:color="auto"/>
              <w:right w:val="nil"/>
            </w:tcBorders>
          </w:tcPr>
          <w:p w14:paraId="38314636"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 xml:space="preserve">Pre-exponential factor </w:t>
            </w:r>
          </w:p>
        </w:tc>
        <w:tc>
          <w:tcPr>
            <w:tcW w:w="993" w:type="dxa"/>
            <w:tcBorders>
              <w:top w:val="single" w:sz="4" w:space="0" w:color="auto"/>
              <w:left w:val="nil"/>
              <w:bottom w:val="single" w:sz="8" w:space="0" w:color="auto"/>
              <w:right w:val="nil"/>
            </w:tcBorders>
            <w:shd w:val="clear" w:color="auto" w:fill="auto"/>
            <w:noWrap/>
            <w:vAlign w:val="center"/>
            <w:hideMark/>
          </w:tcPr>
          <w:p w14:paraId="555F6081" w14:textId="77777777" w:rsidR="0093254C" w:rsidRPr="006D631C" w:rsidRDefault="0093254C" w:rsidP="00CF5891">
            <w:pPr>
              <w:widowControl w:val="0"/>
              <w:spacing w:line="240" w:lineRule="auto"/>
              <w:jc w:val="center"/>
              <w:rPr>
                <w:color w:val="000000"/>
                <w:sz w:val="22"/>
                <w:szCs w:val="22"/>
              </w:rPr>
            </w:pPr>
            <w:r w:rsidRPr="006D631C">
              <w:rPr>
                <w:i/>
                <w:color w:val="000000"/>
                <w:sz w:val="22"/>
                <w:szCs w:val="22"/>
              </w:rPr>
              <w:t>E</w:t>
            </w:r>
            <w:r w:rsidRPr="006D631C">
              <w:rPr>
                <w:color w:val="000000"/>
                <w:sz w:val="22"/>
                <w:szCs w:val="22"/>
              </w:rPr>
              <w:t xml:space="preserve"> (kJ/</w:t>
            </w:r>
            <w:proofErr w:type="spellStart"/>
            <w:r w:rsidRPr="006D631C">
              <w:rPr>
                <w:color w:val="000000"/>
                <w:sz w:val="22"/>
                <w:szCs w:val="22"/>
              </w:rPr>
              <w:t>mol</w:t>
            </w:r>
            <w:proofErr w:type="spellEnd"/>
            <w:r w:rsidRPr="006D631C">
              <w:rPr>
                <w:color w:val="000000"/>
                <w:sz w:val="22"/>
                <w:szCs w:val="22"/>
              </w:rPr>
              <w:t>)</w:t>
            </w:r>
          </w:p>
        </w:tc>
      </w:tr>
      <w:tr w:rsidR="0093254C" w:rsidRPr="006D631C" w14:paraId="60F0AF1D" w14:textId="77777777" w:rsidTr="00CF5891">
        <w:trPr>
          <w:trHeight w:val="399"/>
          <w:jc w:val="center"/>
        </w:trPr>
        <w:tc>
          <w:tcPr>
            <w:tcW w:w="925" w:type="dxa"/>
            <w:vMerge w:val="restart"/>
            <w:tcBorders>
              <w:top w:val="nil"/>
              <w:left w:val="nil"/>
              <w:right w:val="nil"/>
            </w:tcBorders>
            <w:shd w:val="clear" w:color="auto" w:fill="auto"/>
            <w:noWrap/>
            <w:vAlign w:val="center"/>
            <w:hideMark/>
          </w:tcPr>
          <w:p w14:paraId="5054AB35"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APS</w:t>
            </w:r>
          </w:p>
          <w:p w14:paraId="5B38E3B9" w14:textId="77777777" w:rsidR="0093254C" w:rsidRPr="006D631C" w:rsidRDefault="0093254C" w:rsidP="00CF5891">
            <w:pPr>
              <w:widowControl w:val="0"/>
              <w:spacing w:line="240" w:lineRule="auto"/>
              <w:jc w:val="center"/>
              <w:rPr>
                <w:color w:val="000000"/>
                <w:sz w:val="22"/>
                <w:szCs w:val="22"/>
              </w:rPr>
            </w:pPr>
          </w:p>
        </w:tc>
        <w:tc>
          <w:tcPr>
            <w:tcW w:w="1343" w:type="dxa"/>
            <w:tcBorders>
              <w:top w:val="nil"/>
              <w:left w:val="nil"/>
              <w:bottom w:val="nil"/>
              <w:right w:val="nil"/>
            </w:tcBorders>
            <w:shd w:val="clear" w:color="auto" w:fill="auto"/>
            <w:noWrap/>
            <w:vAlign w:val="center"/>
            <w:hideMark/>
          </w:tcPr>
          <w:p w14:paraId="30851762"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L</w:t>
            </w:r>
            <w:r w:rsidRPr="006D631C">
              <w:rPr>
                <w:color w:val="000000"/>
                <w:sz w:val="22"/>
                <w:szCs w:val="22"/>
                <w:vertAlign w:val="subscript"/>
              </w:rPr>
              <w:t>α</w:t>
            </w:r>
          </w:p>
        </w:tc>
        <w:tc>
          <w:tcPr>
            <w:tcW w:w="1134" w:type="dxa"/>
            <w:tcBorders>
              <w:top w:val="nil"/>
              <w:left w:val="nil"/>
              <w:bottom w:val="nil"/>
              <w:right w:val="nil"/>
            </w:tcBorders>
            <w:shd w:val="clear" w:color="auto" w:fill="auto"/>
            <w:noWrap/>
            <w:vAlign w:val="center"/>
            <w:hideMark/>
          </w:tcPr>
          <w:p w14:paraId="7CDEE902"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0.75</w:t>
            </w:r>
          </w:p>
        </w:tc>
        <w:tc>
          <w:tcPr>
            <w:tcW w:w="1134" w:type="dxa"/>
            <w:tcBorders>
              <w:top w:val="nil"/>
              <w:left w:val="nil"/>
              <w:bottom w:val="nil"/>
              <w:right w:val="nil"/>
            </w:tcBorders>
            <w:shd w:val="clear" w:color="auto" w:fill="auto"/>
            <w:noWrap/>
            <w:vAlign w:val="center"/>
            <w:hideMark/>
          </w:tcPr>
          <w:p w14:paraId="0E9DECD6"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1.71</w:t>
            </w:r>
          </w:p>
        </w:tc>
        <w:tc>
          <w:tcPr>
            <w:tcW w:w="1134" w:type="dxa"/>
            <w:tcBorders>
              <w:top w:val="nil"/>
              <w:left w:val="nil"/>
              <w:bottom w:val="nil"/>
              <w:right w:val="nil"/>
            </w:tcBorders>
            <w:shd w:val="clear" w:color="auto" w:fill="auto"/>
            <w:noWrap/>
            <w:vAlign w:val="center"/>
            <w:hideMark/>
          </w:tcPr>
          <w:p w14:paraId="5B939200"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3.21</w:t>
            </w:r>
          </w:p>
        </w:tc>
        <w:tc>
          <w:tcPr>
            <w:tcW w:w="1701" w:type="dxa"/>
            <w:tcBorders>
              <w:top w:val="nil"/>
              <w:left w:val="nil"/>
              <w:bottom w:val="nil"/>
              <w:right w:val="nil"/>
            </w:tcBorders>
            <w:vAlign w:val="center"/>
          </w:tcPr>
          <w:p w14:paraId="4754F60C"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3.56</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11</w:t>
            </w:r>
          </w:p>
        </w:tc>
        <w:tc>
          <w:tcPr>
            <w:tcW w:w="993" w:type="dxa"/>
            <w:tcBorders>
              <w:top w:val="nil"/>
              <w:left w:val="nil"/>
              <w:bottom w:val="nil"/>
              <w:right w:val="nil"/>
            </w:tcBorders>
            <w:shd w:val="clear" w:color="auto" w:fill="auto"/>
            <w:noWrap/>
            <w:vAlign w:val="center"/>
            <w:hideMark/>
          </w:tcPr>
          <w:p w14:paraId="2170015A"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69.3</w:t>
            </w:r>
          </w:p>
        </w:tc>
      </w:tr>
      <w:tr w:rsidR="0093254C" w:rsidRPr="006D631C" w14:paraId="611F5AFA" w14:textId="77777777" w:rsidTr="00CF5891">
        <w:trPr>
          <w:trHeight w:val="399"/>
          <w:jc w:val="center"/>
        </w:trPr>
        <w:tc>
          <w:tcPr>
            <w:tcW w:w="925" w:type="dxa"/>
            <w:vMerge/>
            <w:tcBorders>
              <w:left w:val="nil"/>
              <w:bottom w:val="single" w:sz="4" w:space="0" w:color="auto"/>
              <w:right w:val="nil"/>
            </w:tcBorders>
            <w:shd w:val="clear" w:color="auto" w:fill="auto"/>
            <w:noWrap/>
            <w:vAlign w:val="center"/>
            <w:hideMark/>
          </w:tcPr>
          <w:p w14:paraId="0C7AC813" w14:textId="77777777" w:rsidR="0093254C" w:rsidRPr="006D631C" w:rsidRDefault="0093254C" w:rsidP="00CF5891">
            <w:pPr>
              <w:widowControl w:val="0"/>
              <w:spacing w:line="240" w:lineRule="auto"/>
              <w:jc w:val="center"/>
              <w:rPr>
                <w:color w:val="000000"/>
                <w:sz w:val="22"/>
                <w:szCs w:val="22"/>
              </w:rPr>
            </w:pPr>
          </w:p>
        </w:tc>
        <w:tc>
          <w:tcPr>
            <w:tcW w:w="1343" w:type="dxa"/>
            <w:tcBorders>
              <w:top w:val="nil"/>
              <w:left w:val="nil"/>
              <w:bottom w:val="single" w:sz="4" w:space="0" w:color="auto"/>
              <w:right w:val="nil"/>
            </w:tcBorders>
            <w:shd w:val="clear" w:color="auto" w:fill="auto"/>
            <w:noWrap/>
            <w:vAlign w:val="center"/>
            <w:hideMark/>
          </w:tcPr>
          <w:p w14:paraId="5D5A40E4"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H</w:t>
            </w:r>
            <w:r w:rsidRPr="006D631C">
              <w:rPr>
                <w:color w:val="000000"/>
                <w:sz w:val="22"/>
                <w:szCs w:val="22"/>
                <w:vertAlign w:val="subscript"/>
              </w:rPr>
              <w:t>2</w:t>
            </w:r>
          </w:p>
        </w:tc>
        <w:tc>
          <w:tcPr>
            <w:tcW w:w="1134" w:type="dxa"/>
            <w:tcBorders>
              <w:top w:val="nil"/>
              <w:left w:val="nil"/>
              <w:bottom w:val="single" w:sz="4" w:space="0" w:color="auto"/>
              <w:right w:val="nil"/>
            </w:tcBorders>
            <w:shd w:val="clear" w:color="auto" w:fill="auto"/>
            <w:noWrap/>
            <w:vAlign w:val="center"/>
            <w:hideMark/>
          </w:tcPr>
          <w:p w14:paraId="6A78494F"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0.64</w:t>
            </w:r>
          </w:p>
        </w:tc>
        <w:tc>
          <w:tcPr>
            <w:tcW w:w="1134" w:type="dxa"/>
            <w:tcBorders>
              <w:top w:val="nil"/>
              <w:left w:val="nil"/>
              <w:bottom w:val="single" w:sz="4" w:space="0" w:color="auto"/>
              <w:right w:val="nil"/>
            </w:tcBorders>
            <w:shd w:val="clear" w:color="auto" w:fill="auto"/>
            <w:noWrap/>
            <w:vAlign w:val="center"/>
            <w:hideMark/>
          </w:tcPr>
          <w:p w14:paraId="23A15DC7"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1.54</w:t>
            </w:r>
          </w:p>
        </w:tc>
        <w:tc>
          <w:tcPr>
            <w:tcW w:w="1134" w:type="dxa"/>
            <w:tcBorders>
              <w:top w:val="nil"/>
              <w:left w:val="nil"/>
              <w:bottom w:val="single" w:sz="4" w:space="0" w:color="auto"/>
              <w:right w:val="nil"/>
            </w:tcBorders>
            <w:shd w:val="clear" w:color="auto" w:fill="auto"/>
            <w:noWrap/>
            <w:vAlign w:val="center"/>
            <w:hideMark/>
          </w:tcPr>
          <w:p w14:paraId="00975B5C"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2.82</w:t>
            </w:r>
          </w:p>
        </w:tc>
        <w:tc>
          <w:tcPr>
            <w:tcW w:w="1701" w:type="dxa"/>
            <w:tcBorders>
              <w:top w:val="nil"/>
              <w:left w:val="nil"/>
              <w:bottom w:val="single" w:sz="4" w:space="0" w:color="auto"/>
              <w:right w:val="nil"/>
            </w:tcBorders>
            <w:vAlign w:val="center"/>
          </w:tcPr>
          <w:p w14:paraId="49989783"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2.</w:t>
            </w:r>
            <w:r w:rsidRPr="006D631C">
              <w:rPr>
                <w:rFonts w:asciiTheme="majorBidi" w:hAnsiTheme="majorBidi" w:cstheme="majorBidi"/>
                <w:sz w:val="22"/>
                <w:szCs w:val="22"/>
              </w:rPr>
              <w:t>02×</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11</w:t>
            </w:r>
          </w:p>
        </w:tc>
        <w:tc>
          <w:tcPr>
            <w:tcW w:w="993" w:type="dxa"/>
            <w:tcBorders>
              <w:top w:val="nil"/>
              <w:left w:val="nil"/>
              <w:bottom w:val="single" w:sz="4" w:space="0" w:color="auto"/>
              <w:right w:val="nil"/>
            </w:tcBorders>
            <w:shd w:val="clear" w:color="auto" w:fill="auto"/>
            <w:noWrap/>
            <w:vAlign w:val="center"/>
            <w:hideMark/>
          </w:tcPr>
          <w:p w14:paraId="7DF9542E"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70.2</w:t>
            </w:r>
          </w:p>
        </w:tc>
      </w:tr>
      <w:tr w:rsidR="0093254C" w:rsidRPr="006D631C" w14:paraId="7B5EF5A6" w14:textId="77777777" w:rsidTr="00CF5891">
        <w:trPr>
          <w:trHeight w:val="399"/>
          <w:jc w:val="center"/>
        </w:trPr>
        <w:tc>
          <w:tcPr>
            <w:tcW w:w="925" w:type="dxa"/>
            <w:vMerge w:val="restart"/>
            <w:tcBorders>
              <w:top w:val="nil"/>
              <w:left w:val="nil"/>
              <w:right w:val="nil"/>
            </w:tcBorders>
            <w:shd w:val="clear" w:color="auto" w:fill="auto"/>
            <w:noWrap/>
            <w:vAlign w:val="center"/>
            <w:hideMark/>
          </w:tcPr>
          <w:p w14:paraId="0AF202D0"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AIBN</w:t>
            </w:r>
          </w:p>
          <w:p w14:paraId="01629ED0" w14:textId="77777777" w:rsidR="0093254C" w:rsidRPr="006D631C" w:rsidRDefault="0093254C" w:rsidP="00CF5891">
            <w:pPr>
              <w:widowControl w:val="0"/>
              <w:spacing w:line="240" w:lineRule="auto"/>
              <w:jc w:val="center"/>
              <w:rPr>
                <w:color w:val="000000"/>
                <w:sz w:val="22"/>
                <w:szCs w:val="22"/>
              </w:rPr>
            </w:pPr>
          </w:p>
        </w:tc>
        <w:tc>
          <w:tcPr>
            <w:tcW w:w="1343" w:type="dxa"/>
            <w:tcBorders>
              <w:top w:val="nil"/>
              <w:left w:val="nil"/>
              <w:bottom w:val="nil"/>
              <w:right w:val="nil"/>
            </w:tcBorders>
            <w:shd w:val="clear" w:color="auto" w:fill="auto"/>
            <w:noWrap/>
            <w:vAlign w:val="center"/>
            <w:hideMark/>
          </w:tcPr>
          <w:p w14:paraId="3F733C59"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L</w:t>
            </w:r>
            <w:r w:rsidRPr="006D631C">
              <w:rPr>
                <w:color w:val="000000"/>
                <w:sz w:val="22"/>
                <w:szCs w:val="22"/>
                <w:vertAlign w:val="subscript"/>
              </w:rPr>
              <w:t>α</w:t>
            </w:r>
          </w:p>
        </w:tc>
        <w:tc>
          <w:tcPr>
            <w:tcW w:w="1134" w:type="dxa"/>
            <w:tcBorders>
              <w:top w:val="nil"/>
              <w:left w:val="nil"/>
              <w:bottom w:val="nil"/>
              <w:right w:val="nil"/>
            </w:tcBorders>
            <w:shd w:val="clear" w:color="auto" w:fill="auto"/>
            <w:noWrap/>
            <w:vAlign w:val="center"/>
            <w:hideMark/>
          </w:tcPr>
          <w:p w14:paraId="42DEF14F"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0.45</w:t>
            </w:r>
          </w:p>
        </w:tc>
        <w:tc>
          <w:tcPr>
            <w:tcW w:w="1134" w:type="dxa"/>
            <w:tcBorders>
              <w:top w:val="nil"/>
              <w:left w:val="nil"/>
              <w:bottom w:val="nil"/>
              <w:right w:val="nil"/>
            </w:tcBorders>
            <w:shd w:val="clear" w:color="auto" w:fill="auto"/>
            <w:noWrap/>
            <w:vAlign w:val="center"/>
            <w:hideMark/>
          </w:tcPr>
          <w:p w14:paraId="7DDC33DE"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0.97</w:t>
            </w:r>
          </w:p>
        </w:tc>
        <w:tc>
          <w:tcPr>
            <w:tcW w:w="1134" w:type="dxa"/>
            <w:tcBorders>
              <w:top w:val="nil"/>
              <w:left w:val="nil"/>
              <w:bottom w:val="nil"/>
              <w:right w:val="nil"/>
            </w:tcBorders>
            <w:shd w:val="clear" w:color="auto" w:fill="auto"/>
            <w:noWrap/>
            <w:vAlign w:val="center"/>
            <w:hideMark/>
          </w:tcPr>
          <w:p w14:paraId="03BED97E"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2.15</w:t>
            </w:r>
          </w:p>
        </w:tc>
        <w:tc>
          <w:tcPr>
            <w:tcW w:w="1701" w:type="dxa"/>
            <w:tcBorders>
              <w:top w:val="nil"/>
              <w:left w:val="nil"/>
              <w:bottom w:val="nil"/>
              <w:right w:val="nil"/>
            </w:tcBorders>
            <w:vAlign w:val="center"/>
          </w:tcPr>
          <w:p w14:paraId="4BAA6468"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3.21</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12</w:t>
            </w:r>
          </w:p>
        </w:tc>
        <w:tc>
          <w:tcPr>
            <w:tcW w:w="993" w:type="dxa"/>
            <w:tcBorders>
              <w:top w:val="nil"/>
              <w:left w:val="nil"/>
              <w:bottom w:val="nil"/>
              <w:right w:val="nil"/>
            </w:tcBorders>
            <w:shd w:val="clear" w:color="auto" w:fill="auto"/>
            <w:noWrap/>
            <w:vAlign w:val="center"/>
            <w:hideMark/>
          </w:tcPr>
          <w:p w14:paraId="62DAB502"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74.3</w:t>
            </w:r>
          </w:p>
        </w:tc>
      </w:tr>
      <w:tr w:rsidR="0093254C" w:rsidRPr="006D631C" w14:paraId="0634511F" w14:textId="77777777" w:rsidTr="00CF5891">
        <w:trPr>
          <w:trHeight w:val="399"/>
          <w:jc w:val="center"/>
        </w:trPr>
        <w:tc>
          <w:tcPr>
            <w:tcW w:w="925" w:type="dxa"/>
            <w:vMerge/>
            <w:tcBorders>
              <w:left w:val="nil"/>
              <w:bottom w:val="single" w:sz="4" w:space="0" w:color="auto"/>
              <w:right w:val="nil"/>
            </w:tcBorders>
            <w:shd w:val="clear" w:color="auto" w:fill="auto"/>
            <w:noWrap/>
            <w:vAlign w:val="center"/>
            <w:hideMark/>
          </w:tcPr>
          <w:p w14:paraId="0502DF0A" w14:textId="77777777" w:rsidR="0093254C" w:rsidRPr="006D631C" w:rsidRDefault="0093254C" w:rsidP="00CF5891">
            <w:pPr>
              <w:widowControl w:val="0"/>
              <w:spacing w:line="240" w:lineRule="auto"/>
              <w:jc w:val="center"/>
              <w:rPr>
                <w:color w:val="000000"/>
                <w:sz w:val="22"/>
                <w:szCs w:val="22"/>
              </w:rPr>
            </w:pPr>
          </w:p>
        </w:tc>
        <w:tc>
          <w:tcPr>
            <w:tcW w:w="1343" w:type="dxa"/>
            <w:tcBorders>
              <w:top w:val="nil"/>
              <w:left w:val="nil"/>
              <w:bottom w:val="single" w:sz="4" w:space="0" w:color="auto"/>
              <w:right w:val="nil"/>
            </w:tcBorders>
            <w:shd w:val="clear" w:color="auto" w:fill="auto"/>
            <w:noWrap/>
            <w:vAlign w:val="center"/>
            <w:hideMark/>
          </w:tcPr>
          <w:p w14:paraId="5A332E51"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H</w:t>
            </w:r>
            <w:r w:rsidRPr="006D631C">
              <w:rPr>
                <w:color w:val="000000"/>
                <w:sz w:val="22"/>
                <w:szCs w:val="22"/>
                <w:vertAlign w:val="subscript"/>
              </w:rPr>
              <w:t>2</w:t>
            </w:r>
          </w:p>
        </w:tc>
        <w:tc>
          <w:tcPr>
            <w:tcW w:w="1134" w:type="dxa"/>
            <w:tcBorders>
              <w:top w:val="nil"/>
              <w:left w:val="nil"/>
              <w:bottom w:val="single" w:sz="4" w:space="0" w:color="auto"/>
              <w:right w:val="nil"/>
            </w:tcBorders>
            <w:shd w:val="clear" w:color="auto" w:fill="auto"/>
            <w:noWrap/>
            <w:vAlign w:val="center"/>
            <w:hideMark/>
          </w:tcPr>
          <w:p w14:paraId="7884AF4A"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0.51</w:t>
            </w:r>
          </w:p>
        </w:tc>
        <w:tc>
          <w:tcPr>
            <w:tcW w:w="1134" w:type="dxa"/>
            <w:tcBorders>
              <w:top w:val="nil"/>
              <w:left w:val="nil"/>
              <w:bottom w:val="single" w:sz="4" w:space="0" w:color="auto"/>
              <w:right w:val="nil"/>
            </w:tcBorders>
            <w:shd w:val="clear" w:color="auto" w:fill="auto"/>
            <w:noWrap/>
            <w:vAlign w:val="center"/>
            <w:hideMark/>
          </w:tcPr>
          <w:p w14:paraId="1545B03B"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1.24</w:t>
            </w:r>
          </w:p>
        </w:tc>
        <w:tc>
          <w:tcPr>
            <w:tcW w:w="1134" w:type="dxa"/>
            <w:tcBorders>
              <w:top w:val="nil"/>
              <w:left w:val="nil"/>
              <w:bottom w:val="single" w:sz="4" w:space="0" w:color="auto"/>
              <w:right w:val="nil"/>
            </w:tcBorders>
            <w:shd w:val="clear" w:color="auto" w:fill="auto"/>
            <w:noWrap/>
            <w:vAlign w:val="center"/>
            <w:hideMark/>
          </w:tcPr>
          <w:p w14:paraId="2D869523"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2.37</w:t>
            </w:r>
          </w:p>
        </w:tc>
        <w:tc>
          <w:tcPr>
            <w:tcW w:w="1701" w:type="dxa"/>
            <w:tcBorders>
              <w:top w:val="nil"/>
              <w:left w:val="nil"/>
              <w:bottom w:val="single" w:sz="4" w:space="0" w:color="auto"/>
              <w:right w:val="nil"/>
            </w:tcBorders>
            <w:vAlign w:val="center"/>
          </w:tcPr>
          <w:p w14:paraId="1F14210E"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4.28</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12</w:t>
            </w:r>
          </w:p>
        </w:tc>
        <w:tc>
          <w:tcPr>
            <w:tcW w:w="993" w:type="dxa"/>
            <w:tcBorders>
              <w:top w:val="nil"/>
              <w:left w:val="nil"/>
              <w:bottom w:val="single" w:sz="4" w:space="0" w:color="auto"/>
              <w:right w:val="nil"/>
            </w:tcBorders>
            <w:shd w:val="clear" w:color="auto" w:fill="auto"/>
            <w:noWrap/>
            <w:vAlign w:val="center"/>
            <w:hideMark/>
          </w:tcPr>
          <w:p w14:paraId="6244D88C"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73.8</w:t>
            </w:r>
          </w:p>
        </w:tc>
      </w:tr>
      <w:tr w:rsidR="0093254C" w:rsidRPr="006D631C" w14:paraId="02CA1372" w14:textId="77777777" w:rsidTr="00CF5891">
        <w:trPr>
          <w:trHeight w:val="399"/>
          <w:jc w:val="center"/>
        </w:trPr>
        <w:tc>
          <w:tcPr>
            <w:tcW w:w="925" w:type="dxa"/>
            <w:vMerge w:val="restart"/>
            <w:tcBorders>
              <w:top w:val="nil"/>
              <w:left w:val="nil"/>
              <w:right w:val="nil"/>
            </w:tcBorders>
            <w:shd w:val="clear" w:color="auto" w:fill="auto"/>
            <w:noWrap/>
            <w:vAlign w:val="center"/>
            <w:hideMark/>
          </w:tcPr>
          <w:p w14:paraId="2018D912"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BPO</w:t>
            </w:r>
          </w:p>
          <w:p w14:paraId="744C53F7" w14:textId="77777777" w:rsidR="0093254C" w:rsidRPr="006D631C" w:rsidRDefault="0093254C" w:rsidP="00CF5891">
            <w:pPr>
              <w:widowControl w:val="0"/>
              <w:spacing w:line="240" w:lineRule="auto"/>
              <w:jc w:val="center"/>
              <w:rPr>
                <w:color w:val="000000"/>
                <w:sz w:val="22"/>
                <w:szCs w:val="22"/>
              </w:rPr>
            </w:pPr>
          </w:p>
        </w:tc>
        <w:tc>
          <w:tcPr>
            <w:tcW w:w="1343" w:type="dxa"/>
            <w:tcBorders>
              <w:top w:val="nil"/>
              <w:left w:val="nil"/>
              <w:bottom w:val="nil"/>
              <w:right w:val="nil"/>
            </w:tcBorders>
            <w:shd w:val="clear" w:color="auto" w:fill="auto"/>
            <w:noWrap/>
            <w:vAlign w:val="center"/>
            <w:hideMark/>
          </w:tcPr>
          <w:p w14:paraId="2F3E0F10"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L</w:t>
            </w:r>
            <w:r w:rsidRPr="006D631C">
              <w:rPr>
                <w:color w:val="000000"/>
                <w:sz w:val="22"/>
                <w:szCs w:val="22"/>
                <w:vertAlign w:val="subscript"/>
              </w:rPr>
              <w:t>α</w:t>
            </w:r>
          </w:p>
        </w:tc>
        <w:tc>
          <w:tcPr>
            <w:tcW w:w="1134" w:type="dxa"/>
            <w:tcBorders>
              <w:top w:val="nil"/>
              <w:left w:val="nil"/>
              <w:bottom w:val="nil"/>
              <w:right w:val="nil"/>
            </w:tcBorders>
            <w:shd w:val="clear" w:color="auto" w:fill="auto"/>
            <w:noWrap/>
            <w:vAlign w:val="center"/>
            <w:hideMark/>
          </w:tcPr>
          <w:p w14:paraId="7AD494AD"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0.29</w:t>
            </w:r>
          </w:p>
        </w:tc>
        <w:tc>
          <w:tcPr>
            <w:tcW w:w="1134" w:type="dxa"/>
            <w:tcBorders>
              <w:top w:val="nil"/>
              <w:left w:val="nil"/>
              <w:bottom w:val="nil"/>
              <w:right w:val="nil"/>
            </w:tcBorders>
            <w:shd w:val="clear" w:color="auto" w:fill="auto"/>
            <w:noWrap/>
            <w:vAlign w:val="center"/>
            <w:hideMark/>
          </w:tcPr>
          <w:p w14:paraId="4858B612"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0.76</w:t>
            </w:r>
          </w:p>
        </w:tc>
        <w:tc>
          <w:tcPr>
            <w:tcW w:w="1134" w:type="dxa"/>
            <w:tcBorders>
              <w:top w:val="nil"/>
              <w:left w:val="nil"/>
              <w:bottom w:val="nil"/>
              <w:right w:val="nil"/>
            </w:tcBorders>
            <w:shd w:val="clear" w:color="auto" w:fill="auto"/>
            <w:noWrap/>
            <w:vAlign w:val="center"/>
            <w:hideMark/>
          </w:tcPr>
          <w:p w14:paraId="0E4DA8E2"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1.67</w:t>
            </w:r>
          </w:p>
        </w:tc>
        <w:tc>
          <w:tcPr>
            <w:tcW w:w="1701" w:type="dxa"/>
            <w:tcBorders>
              <w:top w:val="nil"/>
              <w:left w:val="nil"/>
              <w:bottom w:val="nil"/>
              <w:right w:val="nil"/>
            </w:tcBorders>
            <w:vAlign w:val="center"/>
          </w:tcPr>
          <w:p w14:paraId="54549F7F"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2.12</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13</w:t>
            </w:r>
          </w:p>
        </w:tc>
        <w:tc>
          <w:tcPr>
            <w:tcW w:w="993" w:type="dxa"/>
            <w:tcBorders>
              <w:top w:val="nil"/>
              <w:left w:val="nil"/>
              <w:bottom w:val="nil"/>
              <w:right w:val="nil"/>
            </w:tcBorders>
            <w:shd w:val="clear" w:color="auto" w:fill="auto"/>
            <w:noWrap/>
            <w:vAlign w:val="center"/>
            <w:hideMark/>
          </w:tcPr>
          <w:p w14:paraId="4D77AA38"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81.6</w:t>
            </w:r>
          </w:p>
        </w:tc>
      </w:tr>
      <w:tr w:rsidR="0093254C" w:rsidRPr="006D631C" w14:paraId="2878784E" w14:textId="77777777" w:rsidTr="00CF5891">
        <w:trPr>
          <w:trHeight w:val="399"/>
          <w:jc w:val="center"/>
        </w:trPr>
        <w:tc>
          <w:tcPr>
            <w:tcW w:w="925" w:type="dxa"/>
            <w:vMerge/>
            <w:tcBorders>
              <w:left w:val="nil"/>
              <w:bottom w:val="single" w:sz="8" w:space="0" w:color="auto"/>
              <w:right w:val="nil"/>
            </w:tcBorders>
            <w:shd w:val="clear" w:color="auto" w:fill="auto"/>
            <w:noWrap/>
            <w:vAlign w:val="center"/>
            <w:hideMark/>
          </w:tcPr>
          <w:p w14:paraId="1D589B83" w14:textId="77777777" w:rsidR="0093254C" w:rsidRPr="006D631C" w:rsidRDefault="0093254C" w:rsidP="00CF5891">
            <w:pPr>
              <w:widowControl w:val="0"/>
              <w:spacing w:line="240" w:lineRule="auto"/>
              <w:jc w:val="center"/>
              <w:rPr>
                <w:color w:val="000000"/>
                <w:sz w:val="22"/>
                <w:szCs w:val="22"/>
              </w:rPr>
            </w:pPr>
          </w:p>
        </w:tc>
        <w:tc>
          <w:tcPr>
            <w:tcW w:w="1343" w:type="dxa"/>
            <w:tcBorders>
              <w:top w:val="nil"/>
              <w:left w:val="nil"/>
              <w:bottom w:val="single" w:sz="8" w:space="0" w:color="auto"/>
              <w:right w:val="nil"/>
            </w:tcBorders>
            <w:shd w:val="clear" w:color="auto" w:fill="auto"/>
            <w:noWrap/>
            <w:vAlign w:val="center"/>
            <w:hideMark/>
          </w:tcPr>
          <w:p w14:paraId="6B52B2AD"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H</w:t>
            </w:r>
            <w:r w:rsidRPr="006D631C">
              <w:rPr>
                <w:color w:val="000000"/>
                <w:sz w:val="22"/>
                <w:szCs w:val="22"/>
                <w:vertAlign w:val="subscript"/>
              </w:rPr>
              <w:t>2</w:t>
            </w:r>
          </w:p>
        </w:tc>
        <w:tc>
          <w:tcPr>
            <w:tcW w:w="1134" w:type="dxa"/>
            <w:tcBorders>
              <w:top w:val="nil"/>
              <w:left w:val="nil"/>
              <w:bottom w:val="single" w:sz="8" w:space="0" w:color="auto"/>
              <w:right w:val="nil"/>
            </w:tcBorders>
            <w:shd w:val="clear" w:color="auto" w:fill="auto"/>
            <w:noWrap/>
            <w:vAlign w:val="center"/>
            <w:hideMark/>
          </w:tcPr>
          <w:p w14:paraId="5E9D8FA1"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0.38</w:t>
            </w:r>
          </w:p>
        </w:tc>
        <w:tc>
          <w:tcPr>
            <w:tcW w:w="1134" w:type="dxa"/>
            <w:tcBorders>
              <w:top w:val="nil"/>
              <w:left w:val="nil"/>
              <w:bottom w:val="single" w:sz="8" w:space="0" w:color="auto"/>
              <w:right w:val="nil"/>
            </w:tcBorders>
            <w:shd w:val="clear" w:color="auto" w:fill="auto"/>
            <w:noWrap/>
            <w:vAlign w:val="center"/>
            <w:hideMark/>
          </w:tcPr>
          <w:p w14:paraId="5D9C0C32"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0.83</w:t>
            </w:r>
          </w:p>
        </w:tc>
        <w:tc>
          <w:tcPr>
            <w:tcW w:w="1134" w:type="dxa"/>
            <w:tcBorders>
              <w:top w:val="nil"/>
              <w:left w:val="nil"/>
              <w:bottom w:val="single" w:sz="8" w:space="0" w:color="auto"/>
              <w:right w:val="nil"/>
            </w:tcBorders>
            <w:shd w:val="clear" w:color="auto" w:fill="auto"/>
            <w:noWrap/>
            <w:vAlign w:val="center"/>
            <w:hideMark/>
          </w:tcPr>
          <w:p w14:paraId="468CCBE8"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1.73</w:t>
            </w:r>
          </w:p>
        </w:tc>
        <w:tc>
          <w:tcPr>
            <w:tcW w:w="1701" w:type="dxa"/>
            <w:tcBorders>
              <w:top w:val="nil"/>
              <w:left w:val="nil"/>
              <w:bottom w:val="single" w:sz="8" w:space="0" w:color="auto"/>
              <w:right w:val="nil"/>
            </w:tcBorders>
            <w:vAlign w:val="center"/>
          </w:tcPr>
          <w:p w14:paraId="227752C8"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7.95</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13</w:t>
            </w:r>
          </w:p>
        </w:tc>
        <w:tc>
          <w:tcPr>
            <w:tcW w:w="993" w:type="dxa"/>
            <w:tcBorders>
              <w:top w:val="nil"/>
              <w:left w:val="nil"/>
              <w:bottom w:val="single" w:sz="8" w:space="0" w:color="auto"/>
              <w:right w:val="nil"/>
            </w:tcBorders>
            <w:shd w:val="clear" w:color="auto" w:fill="auto"/>
            <w:noWrap/>
            <w:vAlign w:val="center"/>
            <w:hideMark/>
          </w:tcPr>
          <w:p w14:paraId="56AF91C8" w14:textId="77777777" w:rsidR="0093254C" w:rsidRPr="006D631C" w:rsidRDefault="0093254C" w:rsidP="00CF5891">
            <w:pPr>
              <w:widowControl w:val="0"/>
              <w:spacing w:line="240" w:lineRule="auto"/>
              <w:jc w:val="center"/>
              <w:rPr>
                <w:color w:val="000000"/>
                <w:sz w:val="22"/>
                <w:szCs w:val="22"/>
              </w:rPr>
            </w:pPr>
            <w:r w:rsidRPr="006D631C">
              <w:rPr>
                <w:color w:val="000000"/>
                <w:sz w:val="22"/>
                <w:szCs w:val="22"/>
              </w:rPr>
              <w:t>71.1</w:t>
            </w:r>
          </w:p>
        </w:tc>
      </w:tr>
    </w:tbl>
    <w:p w14:paraId="30AC093A" w14:textId="77777777" w:rsidR="0093254C" w:rsidRPr="006D631C" w:rsidRDefault="0093254C" w:rsidP="004D078A">
      <w:pPr>
        <w:spacing w:line="240" w:lineRule="auto"/>
        <w:ind w:firstLine="360"/>
        <w:rPr>
          <w:rFonts w:asciiTheme="majorBidi" w:hAnsiTheme="majorBidi" w:cstheme="majorBidi"/>
        </w:rPr>
      </w:pPr>
    </w:p>
    <w:p w14:paraId="2F74DCE8" w14:textId="7A850248" w:rsidR="004D078A" w:rsidRPr="006D631C" w:rsidRDefault="004D078A" w:rsidP="006754E5">
      <w:pPr>
        <w:pStyle w:val="Heading3"/>
      </w:pPr>
      <w:bookmarkStart w:id="118" w:name="_Toc148175812"/>
      <w:r w:rsidRPr="006D631C">
        <w:t>2.3.</w:t>
      </w:r>
      <w:r w:rsidR="006754E5" w:rsidRPr="006D631C">
        <w:t>4</w:t>
      </w:r>
      <w:r w:rsidRPr="006D631C">
        <w:t xml:space="preserve"> </w:t>
      </w:r>
      <w:proofErr w:type="spellStart"/>
      <w:r w:rsidR="006754E5" w:rsidRPr="006D631C">
        <w:t>Chemorheology</w:t>
      </w:r>
      <w:proofErr w:type="spellEnd"/>
      <w:r w:rsidR="006754E5" w:rsidRPr="006D631C">
        <w:t xml:space="preserve"> and mechanical properties</w:t>
      </w:r>
      <w:bookmarkEnd w:id="118"/>
      <w:r w:rsidRPr="006D631C">
        <w:t xml:space="preserve"> </w:t>
      </w:r>
    </w:p>
    <w:p w14:paraId="09546C40" w14:textId="44D07D20" w:rsidR="00A9517A" w:rsidRPr="006D631C" w:rsidRDefault="00052836" w:rsidP="002E14E4">
      <w:pPr>
        <w:ind w:firstLine="360"/>
      </w:pPr>
      <w:r w:rsidRPr="006D631C">
        <w:rPr>
          <w:rFonts w:asciiTheme="majorBidi" w:hAnsiTheme="majorBidi" w:cstheme="majorBidi"/>
        </w:rPr>
        <w:t xml:space="preserve">Although </w:t>
      </w:r>
      <w:proofErr w:type="spellStart"/>
      <w:r w:rsidRPr="006D631C">
        <w:rPr>
          <w:rFonts w:asciiTheme="majorBidi" w:hAnsiTheme="majorBidi" w:cstheme="majorBidi"/>
        </w:rPr>
        <w:t>chemorheology</w:t>
      </w:r>
      <w:proofErr w:type="spellEnd"/>
      <w:r w:rsidRPr="006D631C">
        <w:rPr>
          <w:rFonts w:asciiTheme="majorBidi" w:hAnsiTheme="majorBidi" w:cstheme="majorBidi"/>
        </w:rPr>
        <w:t xml:space="preserve"> has been used to study polymerization kinetics for many years,</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10.1021/ma401157b","ISSN":"0024-9297","author":[{"dropping-particle":"","family":"Foudazi","given":"Reza","non-dropping-particle":"","parse-names":false,"suffix":""},{"dropping-particle":"","family":"Gokun","given":"Polina","non-dropping-particle":"","parse-names":false,"suffix":""},{"dropping-particle":"","family":"Feke","given":"Donald L.","non-dropping-particle":"","parse-names":false,"suffix":""},{"dropping-particle":"","family":"Rowan","given":"Stuart J.","non-dropping-particle":"","parse-names":false,"suffix":""},{"dropping-particle":"","family":"Manas-Zloczower","given":"Ica","non-dropping-particle":"","parse-names":false,"suffix":""}],"container-title":"Macromolecules","id":"ITEM-1","issue":"13","issued":{"date-parts":[["2013","7","9"]]},"page":"5393-5396","title":"Chemorheology of Poly(high internal phase emulsions)","type":"article-journal","volume":"46"},"uris":["http://www.mendeley.com/documents/?uuid=d4f9c2a3-e106-4abf-a204-279a9e3a4eb4"]},{"id":"ITEM-2","itemData":{"DOI":"10.1039/C6SM02278B","ISSN":"1744-683X","abstract":"The cryopolymerization and formation of a macroporous poly(N-isopropylacrylamide) (PNIPA)/clay cryogel were investigated. The mechanism of the cryopolymerization and cryogel formation was elucidated. Two processes, cryostructuration and cryopolymerization, proceed simultaneously and their relative rates determine the structure evolution and the cryogel morphology-porosity. The cryostructuration in the PNIPA/clay system during freezing, controlled by the freezing temperature and the rate of cooling, includes both water and NIPA crystallization, formation of a highly concentrated non-frozen liquid phase (NFLP) and clay aggregation. The rate of cryopolymerization and gelation is governed by the following effects: by a low polymerization temperature and after freezing, by the high cryoconcentration and a steric confinement, manifested by a reduced reagent mobility. Moreover, it depends on the cooling rate and the evolution of cryostructuration. The progress of cryostructuration and cryopolymerization during freezing was described and experimentally proved step by step. Both the phase development during freezing and the progress of cryopolymerization including gelation were monitored in situ by NMR, DSC, chemorheology and SAXS. The morphology and porosity of the cryogels were characterized by SEM and TEM.","author":[{"dropping-particle":"","family":"Strachota","given":"Beata","non-dropping-particle":"","parse-names":false,"suffix":""},{"dropping-particle":"","family":"Matějka","given":"Libor","non-dropping-particle":"","parse-names":false,"suffix":""},{"dropping-particle":"","family":"Sikora","given":"Antonín","non-dropping-particle":"","parse-names":false,"suffix":""},{"dropping-particle":"","family":"Spěváček","given":"Jiří","non-dropping-particle":"","parse-names":false,"suffix":""},{"dropping-particle":"","family":"Konefał","given":"Rafał","non-dropping-particle":"","parse-names":false,"suffix":""},{"dropping-particle":"","family":"Zhigunov","given":"Alexander","non-dropping-particle":"","parse-names":false,"suffix":""},{"dropping-particle":"","family":"Šlouf","given":"Miroslav","non-dropping-particle":"","parse-names":false,"suffix":""}],"container-title":"Soft Matter","id":"ITEM-2","issue":"6","issued":{"date-parts":[["2017"]]},"page":"1244-1256","title":"Insight into the cryopolymerization to form a poly(N-isopropylacrylamide)/clay macroporous gel: structure and phase evolution","type":"article-journal","volume":"13"},"uris":["http://www.mendeley.com/documents/?uuid=6908aed2-ce10-44ab-b265-64913ad67abb"]},{"id":"ITEM-3","itemData":{"DOI":"10.1039/C6RA18931H","ISSN":"2046-2069","abstract":"This study presents the first detailed investigation on the DES-non ionic surfactant HIPE systems.","author":[{"dropping-particle":"","family":"A.","given":"Carranza","non-dropping-particle":"","parse-names":false,"suffix":""},{"dropping-particle":"","family":"K.","given":"Song","non-dropping-particle":"","parse-names":false,"suffix":""},{"dropping-particle":"","family":"A.","given":"Soltero-Martínez J. F.","non-dropping-particle":"","parse-names":false,"suffix":""},{"dropping-particle":"","family":"Q.","given":"Wu","non-dropping-particle":"","parse-names":false,"suffix":""},{"dropping-particle":"","family":"D.","given":"Pojman J. A.","non-dropping-particle":"","parse-names":false,"suffix":""},{"dropping-particle":"","family":"J.","given":"Mota-Morales","non-dropping-particle":"","parse-names":false,"suffix":""}],"container-title":"RSC Advances","id":"ITEM-3","issue":"85","issued":{"date-parts":[["2016"]]},"page":"81694-81702","title":"On the stability and chemorheology of a urea choline chloride deep-eutectic solvent as an internal phase in acrylic high internal phase emulsions","type":"article-journal","volume":"6"},"uris":["http://www.mendeley.com/documents/?uuid=47ab6894-e372-4f80-807b-0b0e47c47edf"]},{"id":"ITEM-4","itemData":{"DOI":"10.1039/c1sm05095h","ISSN":"1744-683X","abstract":"Pluronic F127 diacrylate (F127DA) is a bifunctional acrylate and as such it should in principle produce macroscopically cross-linked materials; however, its photopolymerization in water does not lead to 3D-extended hydrogels. The main species present after photopolymerization appear to be cross-linked micelles, which indicates that the micellar morphology of F127DA has a template effect on the polymerization. The structural analogy causes the physical state of precursor and polymerized materials to be very similar for a wide range of concentrations (5-25% wt) and temperatures (10-37 °C). Also the long-range morphology of F127DA appears to have a template effect: samples photopolymerized in a micellar gel state and redispersed at high concentration (25% wt) show a long-range organization that depended on the concentration and therefore on the order of the precursor. © 2011 The Royal Society of Chemistry.","author":[{"dropping-particle":"","family":"Biase","given":"Manuela","non-dropping-particle":"Di","parse-names":false,"suffix":""},{"dropping-particle":"","family":"Leonardis","given":"Piero","non-dropping-particle":"de","parse-names":false,"suffix":""},{"dropping-particle":"","family":"Castelletto","given":"Valeria","non-dropping-particle":"","parse-names":false,"suffix":""},{"dropping-particle":"","family":"Hamley","given":"Ian W.","non-dropping-particle":"","parse-names":false,"suffix":""},{"dropping-particle":"","family":"Derby","given":"Brian","non-dropping-particle":"","parse-names":false,"suffix":""},{"dropping-particle":"","family":"Tirelli","given":"Nicola","non-dropping-particle":"","parse-names":false,"suffix":""}],"container-title":"Soft Matter","id":"ITEM-4","issue":"10","issued":{"date-parts":[["2011"]]},"page":"4928","title":"Photopolymerization of Pluronic F127 diacrylate: a colloid-templated polymerization","type":"article-journal","volume":"7"},"uris":["http://www.mendeley.com/documents/?uuid=96805916-d481-4bdd-8f6a-05a059740623"]}],"mendeley":{"formattedCitation":"&lt;sup&gt;217,223–225&lt;/sup&gt;","plainTextFormattedCitation":"217,223–225","previouslyFormattedCitation":"&lt;sup&gt;217,223–225&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217,223–225</w:t>
      </w:r>
      <w:r w:rsidRPr="006D631C">
        <w:rPr>
          <w:rFonts w:asciiTheme="majorBidi" w:hAnsiTheme="majorBidi" w:cstheme="majorBidi"/>
        </w:rPr>
        <w:fldChar w:fldCharType="end"/>
      </w:r>
      <w:r w:rsidR="001A1D61" w:rsidRPr="006D631C">
        <w:rPr>
          <w:rFonts w:asciiTheme="majorBidi" w:hAnsiTheme="majorBidi" w:cstheme="majorBidi"/>
        </w:rPr>
        <w:t xml:space="preserve"> </w:t>
      </w:r>
      <w:r w:rsidRPr="006D631C">
        <w:rPr>
          <w:rFonts w:asciiTheme="majorBidi" w:hAnsiTheme="majorBidi" w:cstheme="majorBidi"/>
        </w:rPr>
        <w:t>there have been few reports applying this technique for the reaction in nanoconfinements.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{"citationItems":[{"id":"ITEM-1","itemData":{"DOI":"10.1039/c5sm01646k","ISSN":"17446848","abstract":"We present a facile method to prepare thermally stable and mechanically robust crosslinked lyotropic liquid crystals (LLCs) through incorporation of a polymerizable amphiphile into a binary LLC system comprising commercially available surfactant Brij 97 and water. Thermal stability and mechanical properties of the polymerized LLCs were significantly enhanced after polymerization of the incorporated polymerizable surfactant. The effect of incorporating a polymerizable amphiphile on the phase behavior of the LLC system was studied in detail. In situ photo-rheology was used to monitor the change in the mechanical properties of the LLCs, namely the storage modulus, loss modulus, and viscosity, upon polymerization. The retention of the LLC nanostructures was evaluated by small angle X-ray scattering (SAXS). The ability to control the thermal stability and mechanical strength of LLCs simply by adding a polymerizable amphiphile, without tedious organic synthesis or harsh polymerization conditions, could prove highly advantageous in the preparation of robust nanomaterials with well-defined periodic structures.","author":[{"dropping-particle":"","family":"Peng","given":"Shuhua","non-dropping-particle":"","parse-names":false,"suffix":""},{"dropping-particle":"","family":"Hartley","given":"Patrick G.","non-dropping-particle":"","parse-names":false,"suffix":""},{"dropping-particle":"","family":"Hughes","given":"Timothy C.","non-dropping-particle":"","parse-names":false,"suffix":""},{"dropping-particle":"","family":"Guo","given":"Qipeng","non-dropping-particle":"","parse-names":false,"suffix":""}],"container-title":"Soft Matter","id":"ITEM-1","issue":"31","issued":{"date-parts":[["2015"]]},"page":"6318-6326","title":"Enhancing thermal stability and mechanical properties of lyotropic liquid crystals through incorporation of a polymerizable surfactant","type":"article-journal","volume":"11"},"uris":["http://www.mendeley.com/documents/?uuid=e592e5f5-580a-420c-aef7-38efdb7c8860"]},{"id":"ITEM-2","itemData":{"DOI":"10.1016/0032-3861(88)90061-4","ISSN":"00323861","abstract":"The phenomenon of mesophase-enhanced polymerization of the rodlike polymer poly(p-phenylenebenzobisthiazole) at 15% by weight in polyphosphoric acid has been investigated. The reacting mixture becomes anisotropic at an early stage of the polymerization. The reaction rate increases significantly at the isotropic-nematic phase transition as the rods are aligned in positions more favourable for the condensation reaction to occur. The chemo-rheological properties at high shear rates (≥ 10 s-1), but not at low shear rates (≤ 5 s-1), also indicate the occurrence of the phase change. A systematic study of the effects of shear rate and temperature suggests that initial mixing of the monomer mixture below the polymerization temperature greatly influences the final achievable molecular weight of the polycondensation reaction. © 1988.","author":[{"dropping-particle":"","family":"Chow","given":"Andrea W.","non-dropping-particle":"","parse-names":false,"suffix":""},{"dropping-particle":"","family":"Sandell","given":"Janet F.","non-dropping-particle":"","parse-names":false,"suffix":""},{"dropping-particle":"","family":"Wolfe","given":"James F.","non-dropping-particle":"","parse-names":false,"suffix":""}],"container-title":"Polymer","id":"ITEM-2","issue":"7","issued":{"date-parts":[["1988","7"]]},"page":"1307-1312","title":"Reaction kinetics and chemo-rheology of poly(p-phenylenebenzobisthiazole) polymerization in the ordered phase","type":"article-journal","volume":"29"},"uris":["http://www.mendeley.com/documents/?uuid=c215291a-191b-4408-94f5-94bc64aa1e71"]},{"id":"ITEM-3","itemData":{"DOI":"10.1557/PROC-134-95","ISSN":"0272-9172","abstract":"The phenomenon of mesophase-enhanced polymerization of the rodlike polymer poly(pphenylenebenzobisthiazole) in polyphosphoric acid was investigated. When the polymer concentration was greater than 5 wt%, the reacting mixture became anisotropic at an early stage of the polymerization. The reaction rate increased significantly at the isotropic-nematic phase transition as the rods were aligned in positions more favorable for the condensation reaction to occur. At 4.5 wt% of polymer, the reacting mixture remained isotropic for up to 1500 min of reaction time. The chemo-rheological properties of the 15 wt% reaction mixture indicate the occurrence of the phase change in either the shear viscosity or the first normal stress difference measurements.","author":[{"dropping-particle":"","family":"Chow","given":"Andrea W.","non-dropping-particle":"","parse-names":false,"suffix":""},{"dropping-particle":"","family":"Hamlin","given":"Richard D.","non-dropping-particle":"","parse-names":false,"suffix":""},{"dropping-particle":"","family":"Sandell","given":"Janet F.","non-dropping-particle":"","parse-names":false,"suffix":""},{"dropping-particle":"","family":"Wolfe","given":"James F.","non-dropping-particle":"","parse-names":false,"suffix":""}],"container-title":"MRS Proceedings","id":"ITEM-3","issued":{"date-parts":[["1988","2","26"]]},"page":"95","title":"Mesophase-Enhanced Polymerization and Chemo-Rheology of Poly(p-Phenylenebenzobisthiazole)","type":"article-journal","volume":"134"},"uris":["http://www.mendeley.com/documents/?uuid=ba28b836-63d2-4ac7-b2af-b8e47dc3716c"]}],"mendeley":{"formattedCitation":"&lt;sup&gt;81,226,227&lt;/sup&gt;","plainTextFormattedCitation":"81,226,227","previouslyFormattedCitation":"&lt;sup&gt;81,226,227&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81,226,227</w:t>
      </w:r>
      <w:r w:rsidRPr="006D631C">
        <w:rPr>
          <w:rFonts w:asciiTheme="majorBidi" w:hAnsiTheme="majorBidi" w:cstheme="majorBidi"/>
        </w:rPr>
        <w:fldChar w:fldCharType="end"/>
      </w:r>
      <w:r w:rsidRPr="006D631C">
        <w:rPr>
          <w:rFonts w:asciiTheme="majorBidi" w:hAnsiTheme="majorBidi" w:cstheme="majorBidi"/>
        </w:rPr>
        <w:t xml:space="preserve"> Recently, </w:t>
      </w:r>
      <w:proofErr w:type="spellStart"/>
      <w:r w:rsidRPr="006D631C">
        <w:rPr>
          <w:rFonts w:asciiTheme="majorBidi" w:hAnsiTheme="majorBidi" w:cstheme="majorBidi"/>
        </w:rPr>
        <w:t>Qavi</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Pr="006D631C">
        <w:rPr>
          <w:rFonts w:asciiTheme="majorBidi" w:hAnsiTheme="majorBidi" w:cstheme="majorBidi"/>
        </w:rPr>
        <w:t xml:space="preserve"> have employed this approach to thoroughly investigate the thermal polymerization kinetics during LLC templating.</w:t>
      </w:r>
      <w:r w:rsidRPr="006D631C">
        <w:rPr>
          <w:rFonts w:asciiTheme="majorBidi" w:hAnsiTheme="majorBidi" w:cstheme="majorBidi"/>
        </w:rPr>
        <w:fldChar w:fldCharType="begin" w:fldLock="1"/>
      </w:r>
      <w:r w:rsidR="00C21165"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mendeley":{"formattedCitation":"&lt;sup&gt;56&lt;/sup&gt;","plainTextFormattedCitation":"56","previouslyFormattedCitation":"&lt;sup&gt;56&lt;/sup&gt;"},"properties":{"noteIndex":0},"schema":"https://github.com/citation-style-language/schema/raw/master/csl-citation.json"}</w:instrText>
      </w:r>
      <w:r w:rsidRPr="006D631C">
        <w:rPr>
          <w:rFonts w:asciiTheme="majorBidi" w:hAnsiTheme="majorBidi" w:cstheme="majorBidi"/>
        </w:rPr>
        <w:fldChar w:fldCharType="separate"/>
      </w:r>
      <w:r w:rsidR="00C337D4" w:rsidRPr="006D631C">
        <w:rPr>
          <w:rFonts w:asciiTheme="majorBidi" w:hAnsiTheme="majorBidi" w:cstheme="majorBidi"/>
          <w:noProof/>
          <w:vertAlign w:val="superscript"/>
        </w:rPr>
        <w:t>56</w:t>
      </w:r>
      <w:r w:rsidRPr="006D631C">
        <w:rPr>
          <w:rFonts w:asciiTheme="majorBidi" w:hAnsiTheme="majorBidi" w:cstheme="majorBidi"/>
        </w:rPr>
        <w:fldChar w:fldCharType="end"/>
      </w:r>
      <w:r w:rsidRPr="006D631C">
        <w:rPr>
          <w:rFonts w:asciiTheme="majorBidi" w:hAnsiTheme="majorBidi" w:cstheme="majorBidi"/>
        </w:rPr>
        <w:t xml:space="preserve"> They observed that the rheological properties of samples show three stages at elevated temperatures: induction, polymerization, and final curing. The polymerization rate obtained by DSC correlated well with </w:t>
      </w:r>
      <w:r w:rsidRPr="006D631C">
        <w:rPr>
          <w:rFonts w:asciiTheme="majorBidi" w:hAnsiTheme="majorBidi" w:cstheme="majorBidi"/>
        </w:rPr>
        <w:lastRenderedPageBreak/>
        <w:t>the rate of increase of dynamic moduli. Also, the mechanical properties of polymerized LLCs can be obtained from viscoelastic measurements after curing.</w:t>
      </w:r>
      <w:r w:rsidRPr="006D631C">
        <w:rPr>
          <w:rFonts w:asciiTheme="majorBidi" w:hAnsiTheme="majorBidi" w:cstheme="majorBidi"/>
        </w:rPr>
        <w:fldChar w:fldCharType="begin" w:fldLock="1"/>
      </w:r>
      <w:r w:rsidR="00C21165" w:rsidRPr="006D631C">
        <w:rPr>
          <w:rFonts w:asciiTheme="majorBidi" w:hAnsiTheme="majorBidi" w:cstheme="majorBidi"/>
        </w:rPr>
        <w:instrText>ADDIN CSL_CITATION {"citationItems":[{"id":"ITEM-1","itemData":{"DOI":"10.1039/D0SM00850H","ISSN":"1744-683X","abstract":"Ion gels can be produced through polymerization of lyotropic liquid crystal templates of a monomer, cross-linker, ionic liquid, and amphiphilic block copolymer. The mechanical strength of ion gels can be increased one order of magnitude without compromising the ionic conductivity.","author":[{"dropping-particle":"","family":"Bandegi","given":"Alireza","non-dropping-particle":"","parse-names":false,"suffix":""},{"dropping-particle":"","family":"Bañuelos","given":"Jose L.","non-dropping-particle":"","parse-names":false,"suffix":""},{"dropping-particle":"","family":"Foudazi","given":"Reza","non-dropping-particle":"","parse-names":false,"suffix":""}],"container-title":"Soft Matter","id":"ITEM-1","issue":"26","issued":{"date-parts":[["2020"]]},"page":"6102-6114","title":"Formation of ion gels by polymerization of block copolymer/ionic liquid/oil mesophases","type":"article-journal","volume":"16"},"uris":["http://www.mendeley.com/documents/?uuid=3c9b1002-6da8-4045-95db-af61dff5546a"]}],"mendeley":{"formattedCitation":"&lt;sup&gt;147&lt;/sup&gt;","plainTextFormattedCitation":"147","previouslyFormattedCitation":"&lt;sup&gt;147&lt;/sup&gt;"},"properties":{"noteIndex":0},"schema":"https://github.com/citation-style-language/schema/raw/master/csl-citation.json"}</w:instrText>
      </w:r>
      <w:r w:rsidRPr="006D631C">
        <w:rPr>
          <w:rFonts w:asciiTheme="majorBidi" w:hAnsiTheme="majorBidi" w:cstheme="majorBidi"/>
        </w:rPr>
        <w:fldChar w:fldCharType="separate"/>
      </w:r>
      <w:r w:rsidR="00C337D4" w:rsidRPr="006D631C">
        <w:rPr>
          <w:rFonts w:asciiTheme="majorBidi" w:hAnsiTheme="majorBidi" w:cstheme="majorBidi"/>
          <w:noProof/>
          <w:vertAlign w:val="superscript"/>
        </w:rPr>
        <w:t>147</w:t>
      </w:r>
      <w:r w:rsidRPr="006D631C">
        <w:rPr>
          <w:rFonts w:asciiTheme="majorBidi" w:hAnsiTheme="majorBidi" w:cstheme="majorBidi"/>
        </w:rPr>
        <w:fldChar w:fldCharType="end"/>
      </w:r>
    </w:p>
    <w:p w14:paraId="249B561C" w14:textId="6FD24EBA" w:rsidR="00A9517A" w:rsidRPr="006D631C" w:rsidRDefault="00B848B2" w:rsidP="0073667D">
      <w:pPr>
        <w:ind w:firstLine="360"/>
      </w:pPr>
      <w:r w:rsidRPr="006D631C">
        <w:rPr>
          <w:rFonts w:asciiTheme="majorBidi" w:hAnsiTheme="majorBidi" w:cstheme="majorBidi"/>
        </w:rPr>
        <w:t xml:space="preserve">Figure 2-7 shows the </w:t>
      </w:r>
      <w:proofErr w:type="spellStart"/>
      <w:r w:rsidRPr="006D631C">
        <w:rPr>
          <w:rFonts w:asciiTheme="majorBidi" w:hAnsiTheme="majorBidi" w:cstheme="majorBidi"/>
        </w:rPr>
        <w:t>chemorheological</w:t>
      </w:r>
      <w:proofErr w:type="spellEnd"/>
      <w:r w:rsidRPr="006D631C">
        <w:rPr>
          <w:rFonts w:asciiTheme="majorBidi" w:hAnsiTheme="majorBidi" w:cstheme="majorBidi"/>
        </w:rPr>
        <w:t xml:space="preserve"> behavior during polymerization of lamellar and hexagonal LLC structures by using different initiation systems. In the case of lamellar phase (Fig</w:t>
      </w:r>
      <w:r w:rsidR="007A3FF8" w:rsidRPr="006D631C">
        <w:rPr>
          <w:rFonts w:asciiTheme="majorBidi" w:hAnsiTheme="majorBidi" w:cstheme="majorBidi"/>
        </w:rPr>
        <w:t>ure</w:t>
      </w:r>
      <w:r w:rsidRPr="006D631C">
        <w:rPr>
          <w:rFonts w:asciiTheme="majorBidi" w:hAnsiTheme="majorBidi" w:cstheme="majorBidi"/>
        </w:rPr>
        <w:t xml:space="preserve"> </w:t>
      </w:r>
      <w:r w:rsidR="007A3FF8" w:rsidRPr="006D631C">
        <w:rPr>
          <w:rFonts w:asciiTheme="majorBidi" w:hAnsiTheme="majorBidi" w:cstheme="majorBidi"/>
        </w:rPr>
        <w:t>2-7</w:t>
      </w:r>
      <w:r w:rsidRPr="006D631C">
        <w:rPr>
          <w:rFonts w:asciiTheme="majorBidi" w:hAnsiTheme="majorBidi" w:cstheme="majorBidi"/>
        </w:rPr>
        <w:t>a-c), the dynamic moduli of the sample increase faster for APS compared to the other initiators, meaning that APS-initiated system has the fastest polymerization rate. Additionally, AIBN induces a higher polymerization rate over BPO. The reaction rate for IFW</w:t>
      </w:r>
      <w:r w:rsidR="00BE13A3" w:rsidRPr="006D631C">
        <w:rPr>
          <w:rFonts w:asciiTheme="majorBidi" w:hAnsiTheme="majorBidi" w:cstheme="majorBidi"/>
        </w:rPr>
        <w:t>+</w:t>
      </w:r>
      <w:r w:rsidRPr="006D631C">
        <w:rPr>
          <w:rFonts w:asciiTheme="majorBidi" w:hAnsiTheme="majorBidi" w:cstheme="majorBidi"/>
        </w:rPr>
        <w:t xml:space="preserve">IFO systems also lies in between the rates for IFW and IFO systems. The interesting result here is that the final values of the moduli for APS-cured sample is higher than other cases. To further examine such difference in mechanical properties, we run frequency sweep experiments on the polymerized samples in less than 2 min after reaching the final curing stage during </w:t>
      </w:r>
      <w:proofErr w:type="spellStart"/>
      <w:r w:rsidRPr="006D631C">
        <w:rPr>
          <w:rFonts w:asciiTheme="majorBidi" w:hAnsiTheme="majorBidi" w:cstheme="majorBidi"/>
        </w:rPr>
        <w:t>chemorheological</w:t>
      </w:r>
      <w:proofErr w:type="spellEnd"/>
      <w:r w:rsidRPr="006D631C">
        <w:rPr>
          <w:rFonts w:asciiTheme="majorBidi" w:hAnsiTheme="majorBidi" w:cstheme="majorBidi"/>
        </w:rPr>
        <w:t xml:space="preserve"> measurements (Fig</w:t>
      </w:r>
      <w:r w:rsidR="00405B9C" w:rsidRPr="006D631C">
        <w:rPr>
          <w:rFonts w:asciiTheme="majorBidi" w:hAnsiTheme="majorBidi" w:cstheme="majorBidi"/>
        </w:rPr>
        <w:t>ure</w:t>
      </w:r>
      <w:r w:rsidRPr="006D631C">
        <w:rPr>
          <w:rFonts w:asciiTheme="majorBidi" w:hAnsiTheme="majorBidi" w:cstheme="majorBidi"/>
        </w:rPr>
        <w:t xml:space="preserve"> </w:t>
      </w:r>
      <w:r w:rsidR="00405B9C" w:rsidRPr="006D631C">
        <w:rPr>
          <w:rFonts w:asciiTheme="majorBidi" w:hAnsiTheme="majorBidi" w:cstheme="majorBidi"/>
        </w:rPr>
        <w:t>2-</w:t>
      </w:r>
      <w:r w:rsidR="0073667D" w:rsidRPr="006D631C">
        <w:rPr>
          <w:rFonts w:asciiTheme="majorBidi" w:hAnsiTheme="majorBidi" w:cstheme="majorBidi"/>
        </w:rPr>
        <w:t>8</w:t>
      </w:r>
      <w:r w:rsidRPr="006D631C">
        <w:rPr>
          <w:rFonts w:asciiTheme="majorBidi" w:hAnsiTheme="majorBidi" w:cstheme="majorBidi"/>
        </w:rPr>
        <w:t>a). The results indicate higher dynamic moduli for APS-cured sample. One may argue that this is due to the higher monomer conversion of APS initiated sample compared to IFO systems. Based on the DSC results, however, the monomer conversion for APS</w:t>
      </w:r>
      <w:r w:rsidR="00F50F5D" w:rsidRPr="006D631C">
        <w:rPr>
          <w:rFonts w:asciiTheme="majorBidi" w:hAnsiTheme="majorBidi" w:cstheme="majorBidi"/>
        </w:rPr>
        <w:t>+</w:t>
      </w:r>
      <w:r w:rsidRPr="006D631C">
        <w:rPr>
          <w:rFonts w:asciiTheme="majorBidi" w:hAnsiTheme="majorBidi" w:cstheme="majorBidi"/>
        </w:rPr>
        <w:t>AIBN system is almost equal to that for APS alone, but it has lower dynamic moduli than that of APS system. Therefore, there should be an additional parameter affecting the mechanical properties of the samples. Investigating the results gained for hexagonal structure can shed lights on this point.</w:t>
      </w:r>
    </w:p>
    <w:p w14:paraId="008F13C5" w14:textId="49E6958B" w:rsidR="00A9517A" w:rsidRPr="006D631C" w:rsidRDefault="0073667D" w:rsidP="0072669A">
      <w:pPr>
        <w:ind w:firstLine="360"/>
      </w:pPr>
      <w:proofErr w:type="spellStart"/>
      <w:r w:rsidRPr="006D631C">
        <w:rPr>
          <w:rFonts w:asciiTheme="majorBidi" w:hAnsiTheme="majorBidi" w:cstheme="majorBidi"/>
        </w:rPr>
        <w:t>Chemorheology</w:t>
      </w:r>
      <w:proofErr w:type="spellEnd"/>
      <w:r w:rsidRPr="006D631C">
        <w:rPr>
          <w:rFonts w:asciiTheme="majorBidi" w:hAnsiTheme="majorBidi" w:cstheme="majorBidi"/>
        </w:rPr>
        <w:t xml:space="preserve"> study on hexagonal structure not only shows that the polymerization rate is faster for APS compared to other initiators, but also reveals an unexpected phenomenon in the development of dynamic moduli during reaction with APS (Figure 2-7d-f). When APS is used (in the pure form or in combination with other initiators), the storage (G') and loss moduli (G") increase sharply and then decrease to some extent followed by a partial recovery. Such change in </w:t>
      </w:r>
      <w:r w:rsidRPr="006D631C">
        <w:rPr>
          <w:rFonts w:asciiTheme="majorBidi" w:hAnsiTheme="majorBidi" w:cstheme="majorBidi"/>
        </w:rPr>
        <w:lastRenderedPageBreak/>
        <w:t xml:space="preserve">mechanical properties during polymerization, which is seen only for APS-initiated reactions, is probably due to the way that free radicals migrate from water to the monomer phase. In emulsion polymerization, as a generally accepted mechanism, the free radicals located in aqueous phase first react with monomer molecules dissolved (even in very low concentrations) in the aqueous phase to form surface active species (called </w:t>
      </w:r>
      <w:r w:rsidRPr="006D631C">
        <w:rPr>
          <w:rFonts w:asciiTheme="majorBidi" w:hAnsiTheme="majorBidi" w:cstheme="majorBidi"/>
          <w:i/>
          <w:iCs/>
        </w:rPr>
        <w:t>z</w:t>
      </w:r>
      <w:r w:rsidRPr="006D631C">
        <w:rPr>
          <w:rFonts w:asciiTheme="majorBidi" w:hAnsiTheme="majorBidi" w:cstheme="majorBidi"/>
        </w:rPr>
        <w:t>-</w:t>
      </w:r>
      <w:proofErr w:type="spellStart"/>
      <w:r w:rsidRPr="006D631C">
        <w:rPr>
          <w:rFonts w:asciiTheme="majorBidi" w:hAnsiTheme="majorBidi" w:cstheme="majorBidi"/>
        </w:rPr>
        <w:t>mers</w:t>
      </w:r>
      <w:proofErr w:type="spellEnd"/>
      <w:r w:rsidRPr="006D631C">
        <w:rPr>
          <w:rFonts w:asciiTheme="majorBidi" w:hAnsiTheme="majorBidi" w:cstheme="majorBidi"/>
        </w:rPr>
        <w:t>) that subsequently enter the monomer droplets.</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{"citationItems":[{"id":"ITEM-1","itemData":{"DOI":"10.1016/j.polymer.2007.09.031","ISSN":"00323861","author":[{"dropping-particle":"","family":"Thickett","given":"Stuart C.","non-dropping-particle":"","parse-names":false,"suffix":""},{"dropping-particle":"","family":"Gilbert","given":"Robert G.","non-dropping-particle":"","parse-names":false,"suffix":""}],"container-title":"Polymer","id":"ITEM-1","issue":"24","issued":{"date-parts":[["2007","11"]]},"page":"6965-6991","title":"Emulsion polymerization: State of the art in kinetics and mechanisms","type":"article-journal","volume":"48"},"uris":["http://www.mendeley.com/documents/?uuid=11ef3892-7209-4214-9781-4c1b4b705889"]},{"id":"ITEM-2","itemData":{"DOI":"10.1021/ma00007a028","ISSN":"0024-9297","abstract":"A model, together with a comparison with previously published experimental data, is presented for initiator efficiency in seeded styrene emulsion polymerization systems in the absence of secondary particle formation. The data had shown that a number of previous models are inapplicable, viz., those assuming that the rate-determining step for free-radical entry into a particle is either diffusional capture, surfactant displacement, or colloidal entry. The data support the supposition that the rate-determining step for free-radical capture by latex particles is aqueous-phase propagation to a critical degree of polymerization, whereupon capture (irreversible adsorption) of the resulting oligomeric free radical by a particle is essentially instantaneous. Mutual aqueous-phase termination of smaller species also occurs. When account is taken of the fact that the rate coefficients for (a) the first aqueous-phase propagation step and (b) aqueous-phase termination are both in the diffusion limit, this model is in qualitative and quantitative accord with the experimental dependences of the entry rate coefficient on the concentrations of initiator, of surfactant, of aqueous-phase monomer, and of latex particles as well as on particle size and on ionic strength. For styrene emulsion polymerization initiated by persulfate, the critical oligomer size for entry was found to be dimeric. © 1991, American Chemical Society. All rights reserved.","author":[{"dropping-particle":"","family":"Maxwell","given":"Ian A.","non-dropping-particle":"","parse-names":false,"suffix":""},{"dropping-particle":"","family":"Morrison","given":"Bradley R.","non-dropping-particle":"","parse-names":false,"suffix":""},{"dropping-particle":"","family":"Napper","given":"Donald H.","non-dropping-particle":"","parse-names":false,"suffix":""},{"dropping-particle":"","family":"Gilbert","given":"Robert G.","non-dropping-particle":"","parse-names":false,"suffix":""}],"container-title":"Macromolecules","id":"ITEM-2","issue":"7","issued":{"date-parts":[["1991","4"]]},"page":"1629-1640","title":"Entry of free radicals into latex particles in emulsion polymerization","type":"article-journal","volume":"24"},"uris":["http://www.mendeley.com/documents/?uuid=eaaa324f-46c0-426e-8b43-9db0cd01b3e0"]}],"mendeley":{"formattedCitation":"&lt;sup&gt;228,229&lt;/sup&gt;","plainTextFormattedCitation":"228,229","previouslyFormattedCitation":"&lt;sup&gt;228,229&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228,229</w:t>
      </w:r>
      <w:r w:rsidRPr="006D631C">
        <w:rPr>
          <w:rFonts w:asciiTheme="majorBidi" w:hAnsiTheme="majorBidi" w:cstheme="majorBidi"/>
        </w:rPr>
        <w:fldChar w:fldCharType="end"/>
      </w:r>
      <w:r w:rsidRPr="006D631C">
        <w:rPr>
          <w:rFonts w:asciiTheme="majorBidi" w:hAnsiTheme="majorBidi" w:cstheme="majorBidi"/>
        </w:rPr>
        <w:t xml:space="preserve"> When APS is used in polymerization of LLCs, the </w:t>
      </w:r>
      <w:r w:rsidRPr="006D631C">
        <w:rPr>
          <w:rFonts w:asciiTheme="majorBidi" w:hAnsiTheme="majorBidi" w:cstheme="majorBidi"/>
          <w:i/>
          <w:iCs/>
        </w:rPr>
        <w:t>z</w:t>
      </w:r>
      <w:r w:rsidRPr="006D631C">
        <w:rPr>
          <w:rFonts w:asciiTheme="majorBidi" w:hAnsiTheme="majorBidi" w:cstheme="majorBidi"/>
        </w:rPr>
        <w:t>-</w:t>
      </w:r>
      <w:proofErr w:type="spellStart"/>
      <w:r w:rsidRPr="006D631C">
        <w:rPr>
          <w:rFonts w:asciiTheme="majorBidi" w:hAnsiTheme="majorBidi" w:cstheme="majorBidi"/>
        </w:rPr>
        <w:t>mers</w:t>
      </w:r>
      <w:proofErr w:type="spellEnd"/>
      <w:r w:rsidRPr="006D631C">
        <w:rPr>
          <w:rFonts w:asciiTheme="majorBidi" w:hAnsiTheme="majorBidi" w:cstheme="majorBidi"/>
        </w:rPr>
        <w:t xml:space="preserve"> probably form and either remain at the interface or enter the oil phase to react with the large reservoir of monomers. Since the oil/water interface is mechanically the weakest component in multiphase systems, the propagation of polymer chains at the interface results in a sharp increase in the moduli. However, detachment of growing </w:t>
      </w:r>
      <w:r w:rsidRPr="006D631C">
        <w:rPr>
          <w:rFonts w:asciiTheme="majorBidi" w:hAnsiTheme="majorBidi" w:cstheme="majorBidi"/>
          <w:i/>
          <w:iCs/>
        </w:rPr>
        <w:t>z</w:t>
      </w:r>
      <w:r w:rsidRPr="006D631C">
        <w:rPr>
          <w:rFonts w:asciiTheme="majorBidi" w:hAnsiTheme="majorBidi" w:cstheme="majorBidi"/>
        </w:rPr>
        <w:t>-</w:t>
      </w:r>
      <w:proofErr w:type="spellStart"/>
      <w:r w:rsidRPr="006D631C">
        <w:rPr>
          <w:rFonts w:asciiTheme="majorBidi" w:hAnsiTheme="majorBidi" w:cstheme="majorBidi"/>
        </w:rPr>
        <w:t>mers</w:t>
      </w:r>
      <w:proofErr w:type="spellEnd"/>
      <w:r w:rsidRPr="006D631C">
        <w:rPr>
          <w:rFonts w:asciiTheme="majorBidi" w:hAnsiTheme="majorBidi" w:cstheme="majorBidi"/>
        </w:rPr>
        <w:t xml:space="preserve"> from the interface and their entrance into the monomer phase may induce a decline in moduli. Further propagation and formation of polymer network results in a recovery of the mechanical properties to some extent. We speculate that the formation of a robust polar/apolar interface in IFW system is one of the reasons of higher mechanical strengths of the cured samples compared to IFO ones in different LLC structures, as shown in Fig</w:t>
      </w:r>
      <w:r w:rsidR="009469E0" w:rsidRPr="006D631C">
        <w:rPr>
          <w:rFonts w:asciiTheme="majorBidi" w:hAnsiTheme="majorBidi" w:cstheme="majorBidi"/>
        </w:rPr>
        <w:t>ure</w:t>
      </w:r>
      <w:r w:rsidRPr="006D631C">
        <w:rPr>
          <w:rFonts w:asciiTheme="majorBidi" w:hAnsiTheme="majorBidi" w:cstheme="majorBidi"/>
        </w:rPr>
        <w:t xml:space="preserve"> </w:t>
      </w:r>
      <w:r w:rsidR="006C1051" w:rsidRPr="006D631C">
        <w:rPr>
          <w:rFonts w:asciiTheme="majorBidi" w:hAnsiTheme="majorBidi" w:cstheme="majorBidi"/>
        </w:rPr>
        <w:t>2-</w:t>
      </w:r>
      <w:r w:rsidR="009469E0" w:rsidRPr="006D631C">
        <w:rPr>
          <w:rFonts w:asciiTheme="majorBidi" w:hAnsiTheme="majorBidi" w:cstheme="majorBidi"/>
        </w:rPr>
        <w:t>8</w:t>
      </w:r>
      <w:r w:rsidRPr="006D631C">
        <w:rPr>
          <w:rFonts w:asciiTheme="majorBidi" w:hAnsiTheme="majorBidi" w:cstheme="majorBidi"/>
        </w:rPr>
        <w:t>. It is worth noting that we do not see the peak in dynamic moduli during the reaction in lamellar phase (see Fig</w:t>
      </w:r>
      <w:r w:rsidR="00D05C8D" w:rsidRPr="006D631C">
        <w:rPr>
          <w:rFonts w:asciiTheme="majorBidi" w:hAnsiTheme="majorBidi" w:cstheme="majorBidi"/>
        </w:rPr>
        <w:t>ure</w:t>
      </w:r>
      <w:r w:rsidRPr="006D631C">
        <w:rPr>
          <w:rFonts w:asciiTheme="majorBidi" w:hAnsiTheme="majorBidi" w:cstheme="majorBidi"/>
        </w:rPr>
        <w:t xml:space="preserve"> </w:t>
      </w:r>
      <w:r w:rsidR="00D05C8D" w:rsidRPr="006D631C">
        <w:rPr>
          <w:rFonts w:asciiTheme="majorBidi" w:hAnsiTheme="majorBidi" w:cstheme="majorBidi"/>
        </w:rPr>
        <w:t>7</w:t>
      </w:r>
      <w:r w:rsidRPr="006D631C">
        <w:rPr>
          <w:rFonts w:asciiTheme="majorBidi" w:hAnsiTheme="majorBidi" w:cstheme="majorBidi"/>
        </w:rPr>
        <w:t>a-c) in contrast to hexagonal structure. This can be due to the structure itself and/or lower monomer content in lamellar phase.</w:t>
      </w:r>
    </w:p>
    <w:p w14:paraId="22F6E545" w14:textId="53F1C039" w:rsidR="00A9517A" w:rsidRPr="006D631C" w:rsidRDefault="003A2C64" w:rsidP="00233A9A">
      <w:r w:rsidRPr="006D631C">
        <w:rPr>
          <w:noProof/>
        </w:rPr>
        <w:lastRenderedPageBreak/>
        <w:drawing>
          <wp:inline distT="0" distB="0" distL="0" distR="0" wp14:anchorId="004F8DBC" wp14:editId="132FAB35">
            <wp:extent cx="5904000" cy="3443188"/>
            <wp:effectExtent l="0" t="0" r="190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04000" cy="3443188"/>
                    </a:xfrm>
                    <a:prstGeom prst="rect">
                      <a:avLst/>
                    </a:prstGeom>
                    <a:noFill/>
                  </pic:spPr>
                </pic:pic>
              </a:graphicData>
            </a:graphic>
          </wp:inline>
        </w:drawing>
      </w:r>
    </w:p>
    <w:p w14:paraId="41A9B7D0" w14:textId="1FB205A3" w:rsidR="00233A9A" w:rsidRPr="006D631C" w:rsidRDefault="00D93C60" w:rsidP="00D93C60">
      <w:pPr>
        <w:pStyle w:val="Caption"/>
        <w:jc w:val="center"/>
        <w:rPr>
          <w:sz w:val="22"/>
          <w:szCs w:val="22"/>
        </w:rPr>
      </w:pPr>
      <w:bookmarkStart w:id="119" w:name="_Toc148175932"/>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2</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7</w:t>
      </w:r>
      <w:r w:rsidR="00B55F32" w:rsidRPr="006D631C">
        <w:rPr>
          <w:sz w:val="22"/>
          <w:szCs w:val="22"/>
        </w:rPr>
        <w:fldChar w:fldCharType="end"/>
      </w:r>
      <w:r w:rsidRPr="006D631C">
        <w:rPr>
          <w:rFonts w:cs="Times New Roman"/>
          <w:sz w:val="22"/>
          <w:szCs w:val="22"/>
        </w:rPr>
        <w:t>. Evolution of dynamic moduli during LLC templating with (a-c) lamellar and (d-f) hexagonal structures using different initiation systems.</w:t>
      </w:r>
      <w:bookmarkEnd w:id="119"/>
    </w:p>
    <w:p w14:paraId="22064F58" w14:textId="4F72AB8A" w:rsidR="00A9517A" w:rsidRPr="006D631C" w:rsidRDefault="007F6A93" w:rsidP="00FD15D1">
      <w:r w:rsidRPr="006D631C">
        <w:rPr>
          <w:noProof/>
        </w:rPr>
        <w:drawing>
          <wp:inline distT="0" distB="0" distL="0" distR="0" wp14:anchorId="5BB06C94" wp14:editId="76AC5CA6">
            <wp:extent cx="5904000" cy="238895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04000" cy="2388959"/>
                    </a:xfrm>
                    <a:prstGeom prst="rect">
                      <a:avLst/>
                    </a:prstGeom>
                    <a:noFill/>
                  </pic:spPr>
                </pic:pic>
              </a:graphicData>
            </a:graphic>
          </wp:inline>
        </w:drawing>
      </w:r>
    </w:p>
    <w:p w14:paraId="206886BC" w14:textId="26018D47" w:rsidR="00FD15D1" w:rsidRPr="006D631C" w:rsidRDefault="00FD15D1" w:rsidP="00FD15D1">
      <w:pPr>
        <w:pStyle w:val="Caption"/>
        <w:jc w:val="center"/>
        <w:rPr>
          <w:sz w:val="22"/>
          <w:szCs w:val="22"/>
        </w:rPr>
      </w:pPr>
      <w:bookmarkStart w:id="120" w:name="_Toc148175933"/>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2</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8</w:t>
      </w:r>
      <w:r w:rsidR="00B55F32" w:rsidRPr="006D631C">
        <w:rPr>
          <w:sz w:val="22"/>
          <w:szCs w:val="22"/>
        </w:rPr>
        <w:fldChar w:fldCharType="end"/>
      </w:r>
      <w:r w:rsidRPr="006D631C">
        <w:rPr>
          <w:rFonts w:cs="Times New Roman"/>
          <w:sz w:val="22"/>
          <w:szCs w:val="22"/>
        </w:rPr>
        <w:t xml:space="preserve">. </w:t>
      </w:r>
      <w:r w:rsidRPr="006D631C">
        <w:rPr>
          <w:rFonts w:asciiTheme="majorBidi" w:hAnsiTheme="majorBidi" w:cstheme="majorBidi"/>
          <w:sz w:val="22"/>
          <w:szCs w:val="22"/>
        </w:rPr>
        <w:t>Frequency sweep curves of the samples obtained from polymerization in (a) lamellar and (b) hexagonal LLC structures using different initiation systems.</w:t>
      </w:r>
      <w:bookmarkEnd w:id="120"/>
    </w:p>
    <w:p w14:paraId="772D04D2" w14:textId="06D3751B" w:rsidR="00A9517A" w:rsidRPr="006D631C" w:rsidRDefault="002B1B1B" w:rsidP="00EA5918">
      <w:pPr>
        <w:ind w:firstLine="360"/>
      </w:pPr>
      <w:r w:rsidRPr="006D631C">
        <w:rPr>
          <w:rFonts w:asciiTheme="majorBidi" w:hAnsiTheme="majorBidi" w:cstheme="majorBidi"/>
        </w:rPr>
        <w:t xml:space="preserve">To further examine the effect of initiation system on the mechanical properties of the polymerized samples, we conduct rheological measurements on the LLCs containing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w:t>
      </w:r>
      <w:r w:rsidRPr="006D631C">
        <w:rPr>
          <w:rFonts w:asciiTheme="majorBidi" w:hAnsiTheme="majorBidi" w:cstheme="majorBidi"/>
        </w:rPr>
        <w:lastRenderedPageBreak/>
        <w:t xml:space="preserve">initiator content, which have less termination reaction than 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samples as discussed earlier. The samples containing 2.5 </w:t>
      </w:r>
      <w:proofErr w:type="spellStart"/>
      <w:r w:rsidRPr="006D631C">
        <w:rPr>
          <w:rFonts w:asciiTheme="majorBidi" w:hAnsiTheme="majorBidi" w:cstheme="majorBidi"/>
        </w:rPr>
        <w:t>mol</w:t>
      </w:r>
      <w:proofErr w:type="spellEnd"/>
      <w:r w:rsidRPr="006D631C">
        <w:rPr>
          <w:rFonts w:asciiTheme="majorBidi" w:hAnsiTheme="majorBidi" w:cstheme="majorBidi"/>
        </w:rPr>
        <w:t>% APS and AIBN are used in this part as they show almost similar monomer conversion according to DSC analysis. The results are presented in Fig</w:t>
      </w:r>
      <w:r w:rsidR="006952C2" w:rsidRPr="006D631C">
        <w:rPr>
          <w:rFonts w:asciiTheme="majorBidi" w:hAnsiTheme="majorBidi" w:cstheme="majorBidi"/>
        </w:rPr>
        <w:t>ure</w:t>
      </w:r>
      <w:r w:rsidRPr="006D631C">
        <w:rPr>
          <w:rFonts w:asciiTheme="majorBidi" w:hAnsiTheme="majorBidi" w:cstheme="majorBidi"/>
        </w:rPr>
        <w:t xml:space="preserve"> </w:t>
      </w:r>
      <w:r w:rsidR="006952C2" w:rsidRPr="006D631C">
        <w:rPr>
          <w:rFonts w:asciiTheme="majorBidi" w:hAnsiTheme="majorBidi" w:cstheme="majorBidi"/>
        </w:rPr>
        <w:t>2-9</w:t>
      </w:r>
      <w:r w:rsidRPr="006D631C">
        <w:rPr>
          <w:rFonts w:asciiTheme="majorBidi" w:hAnsiTheme="majorBidi" w:cstheme="majorBidi"/>
        </w:rPr>
        <w:t>. For both initiation systems, the dynamic moduli of the polymerized samples having different nanostructures are enhanced with a decrease in the initiator content. Furthermore, APS-cured samples exhibit higher moduli over the samples cured with AIBN even under almost same monomer conversions. These observations confirm the considerable effect of the chains forming at the interface on the mechanical properties of polymerized LLCs.  To further elaborate the effect of the chains formed at the water/oil interface, we have schematically presented the probable mechanism (as discussed above) in Fig</w:t>
      </w:r>
      <w:r w:rsidR="00EA5918" w:rsidRPr="006D631C">
        <w:rPr>
          <w:rFonts w:asciiTheme="majorBidi" w:hAnsiTheme="majorBidi" w:cstheme="majorBidi"/>
        </w:rPr>
        <w:t>ure</w:t>
      </w:r>
      <w:r w:rsidRPr="006D631C">
        <w:rPr>
          <w:rFonts w:asciiTheme="majorBidi" w:hAnsiTheme="majorBidi" w:cstheme="majorBidi"/>
        </w:rPr>
        <w:t xml:space="preserve"> </w:t>
      </w:r>
      <w:r w:rsidR="00EA5918" w:rsidRPr="006D631C">
        <w:rPr>
          <w:rFonts w:asciiTheme="majorBidi" w:hAnsiTheme="majorBidi" w:cstheme="majorBidi"/>
        </w:rPr>
        <w:t>2-10</w:t>
      </w:r>
      <w:r w:rsidRPr="006D631C">
        <w:rPr>
          <w:rFonts w:asciiTheme="majorBidi" w:hAnsiTheme="majorBidi" w:cstheme="majorBidi"/>
        </w:rPr>
        <w:t xml:space="preserve">. In summary, free radicals generated by the water-soluble initiator migrate to the polar/apolar interface and start the polymerization, resulting in the formation of </w:t>
      </w:r>
      <w:r w:rsidRPr="006D631C">
        <w:rPr>
          <w:rFonts w:asciiTheme="majorBidi" w:hAnsiTheme="majorBidi" w:cstheme="majorBidi"/>
          <w:i/>
          <w:iCs/>
        </w:rPr>
        <w:t>z</w:t>
      </w:r>
      <w:r w:rsidRPr="006D631C">
        <w:rPr>
          <w:rFonts w:asciiTheme="majorBidi" w:hAnsiTheme="majorBidi" w:cstheme="majorBidi"/>
        </w:rPr>
        <w:t>-</w:t>
      </w:r>
      <w:proofErr w:type="spellStart"/>
      <w:r w:rsidRPr="006D631C">
        <w:rPr>
          <w:rFonts w:asciiTheme="majorBidi" w:hAnsiTheme="majorBidi" w:cstheme="majorBidi"/>
        </w:rPr>
        <w:t>mers</w:t>
      </w:r>
      <w:proofErr w:type="spellEnd"/>
      <w:r w:rsidRPr="006D631C">
        <w:rPr>
          <w:rFonts w:asciiTheme="majorBidi" w:hAnsiTheme="majorBidi" w:cstheme="majorBidi"/>
        </w:rPr>
        <w:t xml:space="preserve">. The growing </w:t>
      </w:r>
      <w:r w:rsidRPr="006D631C">
        <w:rPr>
          <w:rFonts w:asciiTheme="majorBidi" w:hAnsiTheme="majorBidi" w:cstheme="majorBidi"/>
          <w:i/>
          <w:iCs/>
        </w:rPr>
        <w:t>z</w:t>
      </w:r>
      <w:r w:rsidRPr="006D631C">
        <w:rPr>
          <w:rFonts w:asciiTheme="majorBidi" w:hAnsiTheme="majorBidi" w:cstheme="majorBidi"/>
        </w:rPr>
        <w:t>-</w:t>
      </w:r>
      <w:proofErr w:type="spellStart"/>
      <w:r w:rsidRPr="006D631C">
        <w:rPr>
          <w:rFonts w:asciiTheme="majorBidi" w:hAnsiTheme="majorBidi" w:cstheme="majorBidi"/>
        </w:rPr>
        <w:t>mers</w:t>
      </w:r>
      <w:proofErr w:type="spellEnd"/>
      <w:r w:rsidRPr="006D631C">
        <w:rPr>
          <w:rFonts w:asciiTheme="majorBidi" w:hAnsiTheme="majorBidi" w:cstheme="majorBidi"/>
        </w:rPr>
        <w:t xml:space="preserve"> can either continue the reaction at the interface or detach from the interface to continue the polymerization in the apolar domain. A robust polar/apolar interface is obtained at the end of the reaction due to the formation of polymer chains at the interface resulting in an enhanced mechanical properties. In the case of IFO system, however, the polymerization mainly takes place in monomer phase. Such polymerization behavior limits the reaction at the interface, resulting in the formation of less polymer chains in this location and thus acquiring weaker mechanical properties compared to IFW system.</w:t>
      </w:r>
    </w:p>
    <w:p w14:paraId="4A5BFCA5" w14:textId="3B0E5B5F" w:rsidR="00A9517A" w:rsidRPr="006D631C" w:rsidRDefault="00833CE6" w:rsidP="00C85B35">
      <w:pPr>
        <w:jc w:val="center"/>
      </w:pPr>
      <w:r w:rsidRPr="006D631C">
        <w:rPr>
          <w:noProof/>
        </w:rPr>
        <w:lastRenderedPageBreak/>
        <w:drawing>
          <wp:inline distT="0" distB="0" distL="0" distR="0" wp14:anchorId="26B1655D" wp14:editId="280D24AF">
            <wp:extent cx="5580000" cy="461891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580000" cy="4618915"/>
                    </a:xfrm>
                    <a:prstGeom prst="rect">
                      <a:avLst/>
                    </a:prstGeom>
                    <a:noFill/>
                  </pic:spPr>
                </pic:pic>
              </a:graphicData>
            </a:graphic>
          </wp:inline>
        </w:drawing>
      </w:r>
    </w:p>
    <w:p w14:paraId="12F9CF4C" w14:textId="4F32CD53" w:rsidR="00761E02" w:rsidRPr="006D631C" w:rsidRDefault="00761E02" w:rsidP="00761E02">
      <w:pPr>
        <w:pStyle w:val="Caption"/>
        <w:jc w:val="center"/>
        <w:rPr>
          <w:sz w:val="22"/>
          <w:szCs w:val="22"/>
        </w:rPr>
      </w:pPr>
      <w:bookmarkStart w:id="121" w:name="_Toc148175934"/>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2</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9</w:t>
      </w:r>
      <w:r w:rsidR="00B55F32" w:rsidRPr="006D631C">
        <w:rPr>
          <w:sz w:val="22"/>
          <w:szCs w:val="22"/>
        </w:rPr>
        <w:fldChar w:fldCharType="end"/>
      </w:r>
      <w:r w:rsidRPr="006D631C">
        <w:rPr>
          <w:rFonts w:cs="Times New Roman"/>
          <w:sz w:val="22"/>
          <w:szCs w:val="22"/>
        </w:rPr>
        <w:t>.</w:t>
      </w:r>
      <w:r w:rsidRPr="006D631C">
        <w:rPr>
          <w:sz w:val="22"/>
          <w:szCs w:val="22"/>
        </w:rPr>
        <w:t xml:space="preserve"> (</w:t>
      </w:r>
      <w:proofErr w:type="gramStart"/>
      <w:r w:rsidRPr="006D631C">
        <w:rPr>
          <w:sz w:val="22"/>
          <w:szCs w:val="22"/>
        </w:rPr>
        <w:t>a</w:t>
      </w:r>
      <w:proofErr w:type="gramEnd"/>
      <w:r w:rsidRPr="006D631C">
        <w:rPr>
          <w:sz w:val="22"/>
          <w:szCs w:val="22"/>
        </w:rPr>
        <w:t>, b) Evolution of dynamic moduli during LLC templating and (c, d) frequency sweep curves of polymerized LLCs using different initiator contents.</w:t>
      </w:r>
      <w:bookmarkEnd w:id="121"/>
    </w:p>
    <w:p w14:paraId="4D6EC0E0" w14:textId="4C7D505C" w:rsidR="00A9517A" w:rsidRPr="006D631C" w:rsidRDefault="00090357" w:rsidP="00C85B35">
      <w:pPr>
        <w:ind w:firstLine="360"/>
        <w:jc w:val="center"/>
      </w:pPr>
      <w:r w:rsidRPr="006D631C">
        <w:rPr>
          <w:noProof/>
        </w:rPr>
        <w:drawing>
          <wp:inline distT="0" distB="0" distL="0" distR="0" wp14:anchorId="7E80B4AE" wp14:editId="6D9D034C">
            <wp:extent cx="5943600" cy="205549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3600" cy="2055495"/>
                    </a:xfrm>
                    <a:prstGeom prst="rect">
                      <a:avLst/>
                    </a:prstGeom>
                  </pic:spPr>
                </pic:pic>
              </a:graphicData>
            </a:graphic>
          </wp:inline>
        </w:drawing>
      </w:r>
    </w:p>
    <w:p w14:paraId="5F2BC8F9" w14:textId="6299D1AF" w:rsidR="00304F09" w:rsidRPr="006D631C" w:rsidRDefault="00304F09" w:rsidP="00304F09">
      <w:pPr>
        <w:pStyle w:val="Caption"/>
        <w:jc w:val="center"/>
        <w:rPr>
          <w:sz w:val="22"/>
          <w:szCs w:val="22"/>
        </w:rPr>
      </w:pPr>
      <w:bookmarkStart w:id="122" w:name="_Toc148175935"/>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2</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10</w:t>
      </w:r>
      <w:r w:rsidR="00B55F32" w:rsidRPr="006D631C">
        <w:rPr>
          <w:sz w:val="22"/>
          <w:szCs w:val="22"/>
        </w:rPr>
        <w:fldChar w:fldCharType="end"/>
      </w:r>
      <w:r w:rsidRPr="006D631C">
        <w:rPr>
          <w:rFonts w:cs="Times New Roman"/>
          <w:sz w:val="22"/>
          <w:szCs w:val="22"/>
        </w:rPr>
        <w:t>.</w:t>
      </w:r>
      <w:r w:rsidRPr="006D631C">
        <w:rPr>
          <w:sz w:val="22"/>
          <w:szCs w:val="22"/>
        </w:rPr>
        <w:t xml:space="preserve"> Schematic diagram of the polymerization mechanism in IFW and IFO systems and the consequent difference in the robustness of the polymerized LLCs.</w:t>
      </w:r>
      <w:bookmarkEnd w:id="122"/>
    </w:p>
    <w:p w14:paraId="4364A868" w14:textId="27FC77CD" w:rsidR="006B37FB" w:rsidRPr="006D631C" w:rsidRDefault="006B37FB" w:rsidP="006B37FB">
      <w:pPr>
        <w:pStyle w:val="Heading2"/>
      </w:pPr>
      <w:bookmarkStart w:id="123" w:name="_Toc148175813"/>
      <w:r w:rsidRPr="006D631C">
        <w:lastRenderedPageBreak/>
        <w:t>2.</w:t>
      </w:r>
      <w:r w:rsidR="00574466" w:rsidRPr="006D631C">
        <w:t>4</w:t>
      </w:r>
      <w:r w:rsidRPr="006D631C">
        <w:t xml:space="preserve"> Conclusion</w:t>
      </w:r>
      <w:bookmarkEnd w:id="123"/>
    </w:p>
    <w:p w14:paraId="4C28DD79" w14:textId="4ACB33C7" w:rsidR="00A9517A" w:rsidRPr="006D631C" w:rsidRDefault="00FE0A16" w:rsidP="00224628">
      <w:pPr>
        <w:ind w:firstLine="360"/>
      </w:pPr>
      <w:r w:rsidRPr="006D631C">
        <w:rPr>
          <w:rFonts w:asciiTheme="majorBidi" w:hAnsiTheme="majorBidi" w:cstheme="majorBidi"/>
        </w:rPr>
        <w:t>Different thermal initiators were used to study the polymerization kinetics in lamellar and reverse hexagonal LLC structures through DSC analysis. The IFW system showed faster polymerization rates over IFO ones under any circumstances (e.g., different temperature, initiator concentration, and LLC structure). We attributed this behavior to the gradual increase of the propagating chains in the monomer phase which results in lower termination rate and thus higher overall polymerization rate.</w:t>
      </w:r>
      <w:r w:rsidR="00224628" w:rsidRPr="006D631C">
        <w:rPr>
          <w:rFonts w:asciiTheme="majorBidi" w:hAnsiTheme="majorBidi" w:cstheme="majorBidi"/>
        </w:rPr>
        <w:t xml:space="preserve"> Higher initiator efficiency can be counted as another reason of higher polymerization rate for IFW system. </w:t>
      </w:r>
      <w:r w:rsidRPr="006D631C">
        <w:rPr>
          <w:rFonts w:asciiTheme="majorBidi" w:hAnsiTheme="majorBidi" w:cstheme="majorBidi"/>
        </w:rPr>
        <w:t>Moreover, the experimental results showed that the polymerization rate in lamellar phase is faster than in hexagonal phase when IFW system is used, whereas an opposite trend is observed for IFO systems. Additionally, rheological measurements not only confirmed the DSC results concerning the faster reaction rates by IFW system, but also revealed that the samples cured by IFW system exhibit enhanced mechanical strength over other initiation systems even at similar monomer conversions. We attributed this observation to the polymerization at polar/apolar interface in IFW system.</w:t>
      </w:r>
    </w:p>
    <w:p w14:paraId="75D0B386" w14:textId="77777777" w:rsidR="00A9517A" w:rsidRPr="006D631C" w:rsidRDefault="00A9517A" w:rsidP="002A3219">
      <w:pPr>
        <w:ind w:firstLine="360"/>
      </w:pPr>
    </w:p>
    <w:p w14:paraId="4F0907E5" w14:textId="77777777" w:rsidR="00A9517A" w:rsidRPr="006D631C" w:rsidRDefault="00A9517A" w:rsidP="002A3219">
      <w:pPr>
        <w:ind w:firstLine="360"/>
      </w:pPr>
    </w:p>
    <w:p w14:paraId="1255E89E" w14:textId="77777777" w:rsidR="00A9517A" w:rsidRPr="006D631C" w:rsidRDefault="00A9517A" w:rsidP="002A3219">
      <w:pPr>
        <w:ind w:firstLine="360"/>
      </w:pPr>
    </w:p>
    <w:p w14:paraId="4CEF9342" w14:textId="6A3450A9" w:rsidR="00A9517A" w:rsidRPr="006D631C" w:rsidRDefault="00A9517A" w:rsidP="002A3219">
      <w:pPr>
        <w:ind w:firstLine="360"/>
      </w:pPr>
    </w:p>
    <w:p w14:paraId="74074267" w14:textId="77353544" w:rsidR="006A390D" w:rsidRPr="006D631C" w:rsidRDefault="006A390D" w:rsidP="00861405">
      <w:pPr>
        <w:pStyle w:val="TOC1"/>
      </w:pPr>
    </w:p>
    <w:p w14:paraId="4F495D3A" w14:textId="49173E8B" w:rsidR="006A390D" w:rsidRPr="006D631C" w:rsidRDefault="006A390D" w:rsidP="006A390D"/>
    <w:p w14:paraId="1BC72E32" w14:textId="00689EC5" w:rsidR="006A390D" w:rsidRPr="006D631C" w:rsidRDefault="006A390D" w:rsidP="00861405">
      <w:pPr>
        <w:pStyle w:val="TOC1"/>
      </w:pPr>
    </w:p>
    <w:p w14:paraId="489FA317" w14:textId="3ABC4EBF" w:rsidR="006A390D" w:rsidRPr="006D631C" w:rsidRDefault="006A390D" w:rsidP="006A390D"/>
    <w:p w14:paraId="6525D452" w14:textId="20ACA687" w:rsidR="006A390D" w:rsidRPr="006D631C" w:rsidRDefault="006A390D" w:rsidP="00861405">
      <w:pPr>
        <w:pStyle w:val="TOC1"/>
      </w:pPr>
    </w:p>
    <w:p w14:paraId="1A7D5D91" w14:textId="00FF69DC" w:rsidR="006A390D" w:rsidRPr="006D631C" w:rsidRDefault="006A390D" w:rsidP="006A390D"/>
    <w:p w14:paraId="11F295A4" w14:textId="7CA8DCDA" w:rsidR="006A390D" w:rsidRPr="006D631C" w:rsidRDefault="006A390D" w:rsidP="006A390D">
      <w:pPr>
        <w:pStyle w:val="Heading1"/>
        <w:jc w:val="center"/>
        <w:rPr>
          <w:rFonts w:ascii="Times New Roman" w:eastAsia="Calibri" w:hAnsi="Times New Roman" w:cs="Times New Roman"/>
          <w:bCs/>
          <w:color w:val="auto"/>
          <w:sz w:val="28"/>
          <w:szCs w:val="28"/>
        </w:rPr>
      </w:pPr>
      <w:bookmarkStart w:id="124" w:name="_Toc148175814"/>
      <w:r w:rsidRPr="006D631C">
        <w:rPr>
          <w:rFonts w:ascii="Times New Roman" w:eastAsia="Calibri" w:hAnsi="Times New Roman" w:cs="Times New Roman"/>
          <w:bCs/>
          <w:color w:val="auto"/>
          <w:sz w:val="28"/>
          <w:szCs w:val="28"/>
        </w:rPr>
        <w:lastRenderedPageBreak/>
        <w:t>TWO-STEP THERMORESPONSIVE ULTRAFILTRATION MEMBRANE FROM POLYMERIZATION OF LYOTROPIC LIQUID CRYSTALS</w:t>
      </w:r>
      <w:r w:rsidR="00B3763B" w:rsidRPr="006D631C">
        <w:rPr>
          <w:rStyle w:val="FootnoteReference"/>
          <w:rFonts w:ascii="Times New Roman" w:eastAsia="Calibri" w:hAnsi="Times New Roman" w:cs="Times New Roman"/>
          <w:bCs/>
          <w:color w:val="auto"/>
          <w:sz w:val="28"/>
          <w:szCs w:val="28"/>
        </w:rPr>
        <w:footnoteReference w:id="4"/>
      </w:r>
      <w:bookmarkEnd w:id="124"/>
    </w:p>
    <w:p w14:paraId="0A1AEED3" w14:textId="77777777" w:rsidR="0030507A" w:rsidRPr="006D631C" w:rsidRDefault="0030507A" w:rsidP="0030507A"/>
    <w:p w14:paraId="25D5C771" w14:textId="62B95DE6" w:rsidR="0030507A" w:rsidRPr="006D631C" w:rsidRDefault="002A65B0" w:rsidP="00BE46C1">
      <w:pPr>
        <w:pStyle w:val="Heading2"/>
      </w:pPr>
      <w:bookmarkStart w:id="125" w:name="_Toc148175815"/>
      <w:r w:rsidRPr="006D631C">
        <w:t>3</w:t>
      </w:r>
      <w:r w:rsidR="0030507A" w:rsidRPr="006D631C">
        <w:t>.1 Introduction</w:t>
      </w:r>
      <w:bookmarkEnd w:id="125"/>
    </w:p>
    <w:p w14:paraId="5702E62A" w14:textId="54D500D0" w:rsidR="006A390D" w:rsidRPr="006D631C" w:rsidRDefault="003F405F" w:rsidP="00B55BC0">
      <w:pPr>
        <w:ind w:firstLine="360"/>
      </w:pPr>
      <w:r w:rsidRPr="006D631C">
        <w:rPr>
          <w:color w:val="020202"/>
        </w:rPr>
        <w:t xml:space="preserve">Demand for clean water is continuously increasing with the growth of human population. Membrane technology is </w:t>
      </w:r>
      <w:r w:rsidR="00B55BC0" w:rsidRPr="006D631C">
        <w:rPr>
          <w:color w:val="020202"/>
        </w:rPr>
        <w:t>a highly</w:t>
      </w:r>
      <w:r w:rsidRPr="006D631C">
        <w:rPr>
          <w:color w:val="020202"/>
        </w:rPr>
        <w:t xml:space="preserve"> efficient and versatile approach to purify different water resources (e.g., brackish water, seawater, and wastewater) for fulfilling this demand.</w:t>
      </w:r>
      <w:r w:rsidRPr="006D631C">
        <w:rPr>
          <w:color w:val="020202"/>
        </w:rPr>
        <w:fldChar w:fldCharType="begin" w:fldLock="1"/>
      </w:r>
      <w:r w:rsidR="00E95125" w:rsidRPr="006D631C">
        <w:rPr>
          <w:color w:val="020202"/>
        </w:rPr>
        <w:instrText>ADDIN CSL_CITATION {"citationItems":[{"id":"ITEM-1","itemData":{"DOI":"10.1038/natrevmats.2016.18","ISSN":"2058-8437","abstract":"Membrane-based separations for water purification and desalination have been increasingly applied to address the global challenges of water scarcity and the pollution of aquatic environments. However, progress in water purification membranes has been constrained by the inherent limitations of conventional membrane materials. Recent advances in methods for controlling the structure and chemical functionality in polymer films can potentially lead to new classes of membranes for water purification. In this Review, we first discuss the state of the art of existing membrane technologies for water purification and desalination, highlight their inherent limitations and establish the urgent requirements for next-generation membranes. We then describe molecular-level design approaches towards fabricating highly selective membranes, focusing on novel materials such as aquaporin, synthetic nanochannels, graphene and self-assembled block copolymers and small molecules. Finally, we highlight promising membrane surface modification approaches that minimize interfacial interactions and enhance fouling resistance.","author":[{"dropping-particle":"","family":"Werber","given":"Jay R.","non-dropping-particle":"","parse-names":false,"suffix":""},{"dropping-particle":"","family":"Osuji","given":"Chinedum O.","non-dropping-particle":"","parse-names":false,"suffix":""},{"dropping-particle":"","family":"Elimelech","given":"Menachem","non-dropping-particle":"","parse-names":false,"suffix":""}],"container-title":"Nature Reviews Materials","id":"ITEM-1","issue":"5","issued":{"date-parts":[["2016","5","5"]]},"page":"16018","title":"Materials for next-generation desalination and water purification membranes","type":"article-journal","volume":"1"},"uris":["http://www.mendeley.com/documents/?uuid=b49e3af6-02cf-439a-9ef2-9d16fc16993b"]},{"id":"ITEM-2","itemData":{"DOI":"10.1039/D1SC05361B","ISSN":"2041-6520","abstract":"Macroporous polymer frameworks with a tunable pore size were readily prepared using 4-arm rod-like polymers as building blocks. They showed excellent iodine capture performance with very high efficiency (1 minute) and high capacity (574%).","author":[{"dropping-particle":"","family":"Xu","given":"Xun-Hui","non-dropping-particle":"","parse-names":false,"suffix":""},{"dropping-particle":"","family":"Li","given":"Yan-Xiang","non-dropping-particle":"","parse-names":false,"suffix":""},{"dropping-particle":"","family":"Zhou","given":"Li","non-dropping-particle":"","parse-names":false,"suffix":""},{"dropping-particle":"","family":"Liu","given":"Na","non-dropping-particle":"","parse-names":false,"suffix":""},{"dropping-particle":"","family":"Wu","given":"Zong-Quan","non-dropping-particle":"","parse-names":false,"suffix":""}],"container-title":"Chemical Science","id":"ITEM-2","issue":"4","issued":{"date-parts":[["2022"]]},"page":"1111-1118","title":"Precise fabrication of porous polymer frameworks using rigid polyisocyanides as building blocks: from structural regulation to efficient iodine capture","type":"article-journal","volume":"13"},"uris":["http://www.mendeley.com/documents/?uuid=59dda7bb-cdc7-4b8b-b9ea-d2cb97b228f9"]}],"mendeley":{"formattedCitation":"&lt;sup&gt;4,230&lt;/sup&gt;","plainTextFormattedCitation":"4,230","previouslyFormattedCitation":"&lt;sup&gt;4,230&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4,230</w:t>
      </w:r>
      <w:r w:rsidRPr="006D631C">
        <w:rPr>
          <w:color w:val="020202"/>
        </w:rPr>
        <w:fldChar w:fldCharType="end"/>
      </w:r>
      <w:r w:rsidRPr="006D631C">
        <w:rPr>
          <w:color w:val="020202"/>
        </w:rPr>
        <w:t xml:space="preserve"> Microfiltration, </w:t>
      </w:r>
      <w:r w:rsidR="00C30ADE" w:rsidRPr="006D631C">
        <w:rPr>
          <w:color w:val="020202"/>
        </w:rPr>
        <w:t>UF, NF</w:t>
      </w:r>
      <w:r w:rsidRPr="006D631C">
        <w:rPr>
          <w:color w:val="020202"/>
        </w:rPr>
        <w:t>, and reverse osmosis are the main steps to purify water from different contaminants</w:t>
      </w:r>
      <w:r w:rsidR="00C30ADE" w:rsidRPr="006D631C">
        <w:rPr>
          <w:color w:val="020202"/>
        </w:rPr>
        <w:t>.</w:t>
      </w:r>
      <w:r w:rsidRPr="006D631C">
        <w:rPr>
          <w:color w:val="020202"/>
        </w:rPr>
        <w:fldChar w:fldCharType="begin" w:fldLock="1"/>
      </w:r>
      <w:r w:rsidR="00E95125" w:rsidRPr="006D631C">
        <w:rPr>
          <w:color w:val="020202"/>
        </w:rPr>
        <w:instrText>ADDIN CSL_CITATION {"citationItems":[{"id":"ITEM-1","itemData":{"DOI":"10.1002/9781118359686","ISBN":"9780470743720","abstract":"\"... the best handbook on membrane technology, which is currently on the market... \" -Membrane News (on the previous edition). Building on the success of the previous edition, Membrane Technology and Applications Third Edition provides a comprehensive overview of separation membranes, their manufacture and their applications. Beginning with a series of general chapters on membrane preparation, transport theory and concentration polarization, the book then surveys several major areas of membrane application in separate chapters. Written in a readily accessible style, each chapter covers its membrane subject thoroughly, from historical and theoretical backgrounds through to current and potential applications. Topics include reverse osmosis, ultrafiltration, pervaporation, microfiltration, gas separation and coupled and facilitated transport; chapters on electrodialysis and medical applications round out the coverage. © 2012 John Wiley &amp; Sons, Ltd.","author":[{"dropping-particle":"","family":"Baker","given":"Richard W.","non-dropping-particle":"","parse-names":false,"suffix":""}],"container-title":"Membrane Technology and Applications","id":"ITEM-1","issued":{"date-parts":[["2012","9","21"]]},"publisher":"John Wiley &amp; Sons, Ltd","publisher-place":"Chichester, UK","title":"Membrane Technology and Applications","type":"book"},"uris":["http://www.mendeley.com/documents/?uuid=4d88c391-1cc5-4b6f-b4a0-920462f17c53"]}],"mendeley":{"formattedCitation":"&lt;sup&gt;231&lt;/sup&gt;","plainTextFormattedCitation":"231","previouslyFormattedCitation":"&lt;sup&gt;231&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231</w:t>
      </w:r>
      <w:r w:rsidRPr="006D631C">
        <w:rPr>
          <w:color w:val="020202"/>
        </w:rPr>
        <w:fldChar w:fldCharType="end"/>
      </w:r>
      <w:r w:rsidRPr="006D631C">
        <w:rPr>
          <w:color w:val="020202"/>
        </w:rPr>
        <w:t xml:space="preserve"> UF membranes have a key role in this process as they are used for the removal of suspended particles, viruses, bacteria, etc.</w:t>
      </w:r>
      <w:r w:rsidRPr="006D631C">
        <w:rPr>
          <w:color w:val="020202"/>
        </w:rPr>
        <w:fldChar w:fldCharType="begin" w:fldLock="1"/>
      </w:r>
      <w:r w:rsidR="004D70E7" w:rsidRPr="006D631C">
        <w:rPr>
          <w:color w:val="020202"/>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color w:val="020202"/>
        </w:rPr>
        <w:fldChar w:fldCharType="separate"/>
      </w:r>
      <w:r w:rsidR="00E176BE" w:rsidRPr="006D631C">
        <w:rPr>
          <w:noProof/>
          <w:color w:val="020202"/>
          <w:vertAlign w:val="superscript"/>
        </w:rPr>
        <w:t>32</w:t>
      </w:r>
      <w:r w:rsidRPr="006D631C">
        <w:rPr>
          <w:color w:val="020202"/>
        </w:rPr>
        <w:fldChar w:fldCharType="end"/>
      </w:r>
      <w:r w:rsidRPr="006D631C">
        <w:rPr>
          <w:color w:val="020202"/>
        </w:rPr>
        <w:t xml:space="preserve"> In addition to water filtration, UF membranes are vastly used in protein purification, pharmaceutical industries, and food processing</w:t>
      </w:r>
      <w:r w:rsidR="00E176BE" w:rsidRPr="006D631C">
        <w:rPr>
          <w:color w:val="020202"/>
        </w:rPr>
        <w:t>.</w:t>
      </w:r>
      <w:r w:rsidRPr="006D631C">
        <w:rPr>
          <w:color w:val="020202"/>
        </w:rPr>
        <w:fldChar w:fldCharType="begin" w:fldLock="1"/>
      </w:r>
      <w:r w:rsidR="00E95125" w:rsidRPr="006D631C">
        <w:rPr>
          <w:color w:val="020202"/>
        </w:rPr>
        <w:instrText>ADDIN CSL_CITATION {"citationItems":[{"id":"ITEM-1","itemData":{"DOI":"10.1016/S0011-9164(04)00052-9","ISSN":"00119164","abstract":"Whey is a by-product of cheese production which is used mainly as animal feed or released into the wastewater treatment process, although it is rich in valuable components. Recent developments in membrane filtration have provided exciting new opportunities for large-scale protein and lactose fractionation. The aim of this research was to develop a complex membrane filtration technology for whey processing. The microfiltration and ultrafiltration processes were carried out with pilot-scale equipment. For these filtration procedures three modules - hollow-fibre, ceramic and spiral wound - were used. The permeates from micro- and ultrafiltration (MF and UF), and the original whey sample were filtered on nanofiltration (NF) and reverse osmosis (RO) equipment. After the measurements new methods for using whey were proposed. With this complex method cheese production can be redesigned to a more environmentally friendly and efficient process. All membrane filtration methods were used to find the potential applications of membrane systems for whey recycling and utilization. © 2004 Elsevier B.V. All rights reserved.","author":[{"dropping-particle":"","family":"Rektor","given":"Attila","non-dropping-particle":"","parse-names":false,"suffix":""},{"dropping-particle":"","family":"Vatai","given":"Gyula","non-dropping-particle":"","parse-names":false,"suffix":""}],"container-title":"Desalination","id":"ITEM-1","issued":{"date-parts":[["2004","3"]]},"page":"279-286","title":"Membrane filtration of Mozzarella whey","type":"article-journal","volume":"162"},"uris":["http://www.mendeley.com/documents/?uuid=21fcedef-5daf-4497-95d4-3cc58ab35006"]},{"id":"ITEM-2","itemData":{"DOI":"10.1016/j.desal.2006.08.013","ISSN":"00119164","abstract":"Blood orange juice was clarified by cross-flow ultrafiltration (UF) using tubular polyvinylidenefluoride (PVDF) membranes. In experimental tests performed according to the total recycle mode the effect of transmembrane pressure (TMP), axial feed flow-rate and temperature on permeate fluxes was studied. The clarified juice was produced in experimental tests carried out according to the batch concentration mode working in optimal operating and fluid dynamic conditions. A theoretical evaluation of the fouling effects on flux performance was performed by using a modified form of the differential equation used to describe classical dead-end filtration. The fouling mechanism during cross-flow UF was identified by estimation of the model parameters according to a nonlinear regression optimization procedure. The theoretical predictions, in terms of permeate flux as a function of time, resulted in a good agreement with the experimental data. Analysis of the results revealed that, in the fixed operating conditions of TMP and temperature, the fouling mechanism evolves from a partial to a complete pore blocking condition in dependence of the axial velocity. The quality of the samples coming from the UF process was evaluated in terms of: total soluble solids (TSS), suspended solids (SS), total antioxidant activity (TAA), ascorbic acid, flavonones and anthocyanins content. The resulting clarified orange juice was highly similar to the initial juice except for insoluble solids which were concentrated in the retentate stream. In the permeate of the process a low reduction of the TAA (1.5%) was observed with respect to the fresh juice. © 2007.","author":[{"dropping-particle":"","family":"Cassano","given":"A.","non-dropping-particle":"","parse-names":false,"suffix":""},{"dropping-particle":"","family":"Marchio","given":"M.","non-dropping-particle":"","parse-names":false,"suffix":""},{"dropping-particle":"","family":"Drioli","given":"E.","non-dropping-particle":"","parse-names":false,"suffix":""}],"container-title":"Desalination","id":"ITEM-2","issue":"1-3","issued":{"date-parts":[["2007","6"]]},"page":"15-27","title":"Clarification of blood orange juice by ultrafiltration: analyses of operating parameters, membrane fouling and juice quality","type":"article-journal","volume":"212"},"uris":["http://www.mendeley.com/documents/?uuid=265d6071-9919-4789-b803-ec680ea93b29"]}],"mendeley":{"formattedCitation":"&lt;sup&gt;232,233&lt;/sup&gt;","plainTextFormattedCitation":"232,233","previouslyFormattedCitation":"&lt;sup&gt;232,233&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232,233</w:t>
      </w:r>
      <w:r w:rsidRPr="006D631C">
        <w:rPr>
          <w:color w:val="020202"/>
        </w:rPr>
        <w:fldChar w:fldCharType="end"/>
      </w:r>
      <w:r w:rsidR="00E176BE" w:rsidRPr="006D631C">
        <w:rPr>
          <w:color w:val="020202"/>
        </w:rPr>
        <w:t xml:space="preserve"> </w:t>
      </w:r>
      <w:r w:rsidRPr="006D631C">
        <w:rPr>
          <w:color w:val="020202"/>
        </w:rPr>
        <w:t>However, there is a need for improving the membranes selectivity and permeability simultaneously. For instance, the feed of UF membranes usually contains solutes/particles with different sizes. Therefore, the separation of different components with one UF membrane will be limited. Having a UF membrane with a tunable pore size will address this challenge to a large extent</w:t>
      </w:r>
      <w:r w:rsidR="00060ADB" w:rsidRPr="006D631C">
        <w:rPr>
          <w:color w:val="020202"/>
        </w:rPr>
        <w:t>.</w:t>
      </w:r>
      <w:r w:rsidRPr="006D631C">
        <w:rPr>
          <w:color w:val="020202"/>
        </w:rPr>
        <w:fldChar w:fldCharType="begin" w:fldLock="1"/>
      </w:r>
      <w:r w:rsidR="00E95125" w:rsidRPr="006D631C">
        <w:rPr>
          <w:color w:val="020202"/>
        </w:rPr>
        <w:instrText>ADDIN CSL_CITATION {"citationItems":[{"id":"ITEM-1","itemData":{"DOI":"10.1016/j.memsci.2012.09.010","ISSN":"03767388","abstract":"A novel ultrafiltration (UF) membrane with controllable selectivity for protein separation was obtained by altering the structure of the thick sieving layer on the membrane surface and subsurface. Poly(vinyl pyrrolidone) (PVP) was first cross-linked on/in the poly(vinylidene fluoride) (PVDF) hollow fiber microfiltration (MF) membrane to attract more sulfobetaine (SB) monomer adjacent to membrane for subsequent grafting polymerization and the formed thick sulfobetaine polymer (PSB) layer on the membrane surface and subsurface acted as the sieving layer with environment sensitivity. After immersed in 20mmol/L NaCl solution at 60°C, the novel UF membrane with the sieving layer of 4.8μm showed high permeate capacity with a water flux of 590L/m2h and a good selective behavior with MWCO of 95-110kDa. The protein mixture (BSA and Lys) could be separated through the novel UF membrane efficiently by isoelectric focusing of one component with a larger size (BSA). By means of the simple immersion in pure water, the membrane permeated most of proteins and the degree of flux decline reduced obviously. After swelled in NaCl solution again, the membrane restored the selectivity and the protein separation efficiency. Such novel smart UF membrane is an attractive candidate for the batch separation of protein mixtures, expanding the membrane application in the fields of agro-food, biomedicine and other bio-filtration. © 2012 Elsevier B.V.","author":[{"dropping-particle":"","family":"Li","given":"Qian","non-dropping-particle":"","parse-names":false,"suffix":""},{"dropping-particle":"","family":"Bi","given":"Qiu-yan","non-dropping-particle":"","parse-names":false,"suffix":""},{"dropping-particle":"","family":"Lin","given":"Han-Han","non-dropping-particle":"","parse-names":false,"suffix":""},{"dropping-particle":"","family":"Bian","given":"Li-Xia","non-dropping-particle":"","parse-names":false,"suffix":""},{"dropping-particle":"","family":"Wang","given":"Xiao-Lin","non-dropping-particle":"","parse-names":false,"suffix":""}],"container-title":"Journal of Membrane Science","id":"ITEM-1","issued":{"date-parts":[["2013","1"]]},"page":"155-167","title":"A novel ultrafiltration (UF) membrane with controllable selectivity for protein separation","type":"article-journal","volume":"427"},"uris":["http://www.mendeley.com/documents/?uuid=0b1247b2-3d2b-4cef-839c-41eaf8a1af8b"]}],"mendeley":{"formattedCitation":"&lt;sup&gt;234&lt;/sup&gt;","plainTextFormattedCitation":"234","previouslyFormattedCitation":"&lt;sup&gt;234&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234</w:t>
      </w:r>
      <w:r w:rsidRPr="006D631C">
        <w:rPr>
          <w:color w:val="020202"/>
        </w:rPr>
        <w:fldChar w:fldCharType="end"/>
      </w:r>
      <w:r w:rsidR="00060ADB" w:rsidRPr="006D631C">
        <w:rPr>
          <w:color w:val="020202"/>
        </w:rPr>
        <w:t xml:space="preserve"> </w:t>
      </w:r>
      <w:r w:rsidRPr="006D631C">
        <w:rPr>
          <w:color w:val="020202"/>
        </w:rPr>
        <w:t>Moreover, another crucial issue that must be tackled is the fouling of UF membranes, which can decrease the membrane efficiency over time</w:t>
      </w:r>
      <w:r w:rsidR="008A3B85" w:rsidRPr="006D631C">
        <w:rPr>
          <w:color w:val="020202"/>
        </w:rPr>
        <w:t>.</w:t>
      </w:r>
      <w:r w:rsidRPr="006D631C">
        <w:rPr>
          <w:color w:val="020202"/>
        </w:rPr>
        <w:fldChar w:fldCharType="begin" w:fldLock="1"/>
      </w:r>
      <w:r w:rsidR="00E95125" w:rsidRPr="006D631C">
        <w:rPr>
          <w:color w:val="020202"/>
        </w:rPr>
        <w:instrText>ADDIN CSL_CITATION {"citationItems":[{"id":"ITEM-1","itemData":{"DOI":"10.1016/j.memsci.2011.08.014","ISSN":"03767388","abstract":"A novel kind of block-like copolymer poly(butyl methacrylate)-b-poly(methacrylic acid)-b-poly(hexafluorobutyl methacrylate) (PBMA-b-PMAA-b-PHFBM) with hydrophobic segments, hydrophilic segments and fluorine-containing segments was prepared by free radical polymerization method. The copolymers were incorporated into PES ultrafiltration membranes through a wet phase inversion method. The surface enrichment of hydrophilic segments and fluorine-containing segments of the copolymer due to the spontaneous and forced surface segregation during non-solvent induced phase separation process was confirmed by X-ray photoelectron spectroscopy (XPS). The modified membranes displayed distinct pH-responsive permeability. The water flux of PES/PBMA5-b-PMAA4.6-b-PHFBM1.1 membrane could significantly decrease from 150L/(m2h) to 75L/(m2h) in the pH region of 4.8-6.2. Meanwhile, the modified membranes exhibited desirable fouling release property mainly derived from fluorine-containing segments. The highest cleaning efficiency of the modified membranes could reach 57.4% compared with that less than 5% of the blank membranes. © 2011 Elsevier B.V.","author":[{"dropping-particle":"","family":"Zhao","given":"Xueting","non-dropping-particle":"","parse-names":false,"suffix":""},{"dropping-particle":"","family":"Su","given":"Yanlei","non-dropping-particle":"","parse-names":false,"suffix":""},{"dropping-particle":"","family":"Chen","given":"Wenjuan","non-dropping-particle":"","parse-names":false,"suffix":""},{"dropping-particle":"","family":"Peng","given":"Jinming","non-dropping-particle":"","parse-names":false,"suffix":""},{"dropping-particle":"","family":"Jiang","given":"Zhongyi","non-dropping-particle":"","parse-names":false,"suffix":""}],"container-title":"Journal of Membrane Science","id":"ITEM-1","issue":"1-2","issued":{"date-parts":[["2011","10"]]},"page":"222-230","title":"pH-responsive and fouling-release properties of PES ultrafiltration membranes modified by multi-functional block-like copolymers","type":"article-journal","volume":"382"},"uris":["http://www.mendeley.com/documents/?uuid=9a456bee-277d-4fc7-a3cf-a89f18ba4f59"]},{"id":"ITEM-2","itemData":{"DOI":"10.1016/j.memsci.2010.03.046","ISSN":"03767388","abstract":"Stimuli-responsive membranes change their physicochemical properties in response to changes in their environment. Stimuli-responsive membranes have been designed to respond to changes in pH, temperature, ionic strength, light, electric and magnetic fields, and chemical cues. This review covers the design of stimuli-responsive membranes and their ever-expanding range of use. It considers stimuli-responsive changes in membrane structure and surface characteristics that enable novel applications. © 2010 Elsevier B.V.","author":[{"dropping-particle":"","family":"Wandera","given":"Daniel","non-dropping-particle":"","parse-names":false,"suffix":""},{"dropping-particle":"","family":"Wickramasinghe","given":"S. Ranil","non-dropping-particle":"","parse-names":false,"suffix":""},{"dropping-particle":"","family":"Husson","given":"Scott M.","non-dropping-particle":"","parse-names":false,"suffix":""}],"container-title":"Journal of Membrane Science","id":"ITEM-2","issue":"1-2","issued":{"date-parts":[["2010","7","15"]]},"page":"6-35","title":"Stimuli-responsive membranes","type":"article-journal","volume":"357"},"uris":["http://www.mendeley.com/documents/?uuid=f4b1bf86-85c5-4e71-a28b-6d4273599fd3"]}],"mendeley":{"formattedCitation":"&lt;sup&gt;5,235&lt;/sup&gt;","plainTextFormattedCitation":"5,235","previouslyFormattedCitation":"&lt;sup&gt;5,235&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5,235</w:t>
      </w:r>
      <w:r w:rsidRPr="006D631C">
        <w:rPr>
          <w:color w:val="020202"/>
        </w:rPr>
        <w:fldChar w:fldCharType="end"/>
      </w:r>
    </w:p>
    <w:p w14:paraId="4E56F256" w14:textId="003575BD" w:rsidR="002D64DD" w:rsidRPr="006D631C" w:rsidRDefault="002D64DD" w:rsidP="0072669A">
      <w:pPr>
        <w:pStyle w:val="TAMainText"/>
        <w:ind w:firstLine="0"/>
        <w:rPr>
          <w:color w:val="020202"/>
          <w:szCs w:val="24"/>
        </w:rPr>
      </w:pPr>
      <w:r w:rsidRPr="006D631C">
        <w:rPr>
          <w:color w:val="020202"/>
          <w:szCs w:val="24"/>
        </w:rPr>
        <w:t>Stimuli-responsive membranes can address the aforementioned challenges and improve the performance of UF membranes.</w:t>
      </w:r>
      <w:r w:rsidRPr="006D631C">
        <w:rPr>
          <w:color w:val="020202"/>
          <w:szCs w:val="24"/>
        </w:rPr>
        <w:fldChar w:fldCharType="begin" w:fldLock="1"/>
      </w:r>
      <w:r w:rsidR="00FD1E5B" w:rsidRPr="006D631C">
        <w:rPr>
          <w:color w:val="020202"/>
          <w:szCs w:val="24"/>
        </w:rPr>
        <w:instrText>ADDIN CSL_CITATION {"citationItems":[{"id":"ITEM-1","itemData":{"DOI":"10.1016/j.memsci.2010.03.046","ISSN":"03767388","abstract":"Stimuli-responsive membranes change their physicochemical properties in response to changes in their environment. Stimuli-responsive membranes have been designed to respond to changes in pH, temperature, ionic strength, light, electric and magnetic fields, and chemical cues. This review covers the design of stimuli-responsive membranes and their ever-expanding range of use. It considers stimuli-responsive changes in membrane structure and surface characteristics that enable novel applications. © 2010 Elsevier B.V.","author":[{"dropping-particle":"","family":"Wandera","given":"Daniel","non-dropping-particle":"","parse-names":false,"suffix":""},{"dropping-particle":"","family":"Wickramasinghe","given":"S. Ranil","non-dropping-particle":"","parse-names":false,"suffix":""},{"dropping-particle":"","family":"Husson","given":"Scott M.","non-dropping-particle":"","parse-names":false,"suffix":""}],"container-title":"Journal of Membrane Science","id":"ITEM-1","issue":"1-2","issued":{"date-parts":[["2010","7","15"]]},"page":"6-35","title":"Stimuli-responsive membranes","type":"article-journal","volume":"357"},"uris":["http://www.mendeley.com/documents/?uuid=f4b1bf86-85c5-4e71-a28b-6d4273599fd3"]}],"mendeley":{"formattedCitation":"&lt;sup&gt;5&lt;/sup&gt;","plainTextFormattedCitation":"5","previouslyFormattedCitation":"&lt;sup&gt;5&lt;/sup&gt;"},"properties":{"noteIndex":0},"schema":"https://github.com/citation-style-language/schema/raw/master/csl-citation.json"}</w:instrText>
      </w:r>
      <w:r w:rsidRPr="006D631C">
        <w:rPr>
          <w:color w:val="020202"/>
          <w:szCs w:val="24"/>
        </w:rPr>
        <w:fldChar w:fldCharType="separate"/>
      </w:r>
      <w:r w:rsidR="004D70E7" w:rsidRPr="006D631C">
        <w:rPr>
          <w:noProof/>
          <w:color w:val="020202"/>
          <w:szCs w:val="24"/>
          <w:vertAlign w:val="superscript"/>
        </w:rPr>
        <w:t>5</w:t>
      </w:r>
      <w:r w:rsidRPr="006D631C">
        <w:rPr>
          <w:color w:val="020202"/>
          <w:szCs w:val="24"/>
        </w:rPr>
        <w:fldChar w:fldCharType="end"/>
      </w:r>
      <w:r w:rsidRPr="006D631C">
        <w:rPr>
          <w:color w:val="020202"/>
          <w:szCs w:val="24"/>
        </w:rPr>
        <w:t xml:space="preserve"> The surface properties and pore structure of these membranes </w:t>
      </w:r>
      <w:r w:rsidRPr="006D631C">
        <w:rPr>
          <w:color w:val="020202"/>
          <w:szCs w:val="24"/>
        </w:rPr>
        <w:lastRenderedPageBreak/>
        <w:t>can be altered via an external stimulus, such as temperature</w:t>
      </w:r>
      <w:r w:rsidR="000051D3"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{"citationItems":[{"id":"ITEM-1","itemData":{"DOI":"10.1039/C4RA13863E","ISSN":"2046-2069","abstract":"An amphiphilic thermo responsive PVCL- co -PSF copolymer was synthesized with enhanced pore density and hydrophilicity. It was found to have high hydration capacity and low BSA adsorption, with 92.5% and 95% flux recovery ratios achieved for BSA and HA, respectively.","author":[{"dropping-particle":"","family":"Sinha","given":"M. K.","non-dropping-particle":"","parse-names":false,"suffix":""},{"dropping-particle":"","family":"Purkait","given":"M. K.","non-dropping-particle":"","parse-names":false,"suffix":""}],"container-title":"RSC Advances","id":"ITEM-1","issue":"29","issued":{"date-parts":[["2015"]]},"page":"22609-22619","title":"Preparation of a novel thermo responsive PSF membrane, with cross linked PVCL-co-PSF copolymer for protein separation and easy cleaning","type":"article-journal","volume":"5"},"uris":["http://www.mendeley.com/documents/?uuid=50d56474-3a02-4a51-bd1e-7af486bad71c"]}],"mendeley":{"formattedCitation":"&lt;sup&gt;236&lt;/sup&gt;","plainTextFormattedCitation":"236","previouslyFormattedCitation":"&lt;sup&gt;236&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236</w:t>
      </w:r>
      <w:r w:rsidRPr="006D631C">
        <w:rPr>
          <w:color w:val="020202"/>
          <w:szCs w:val="24"/>
        </w:rPr>
        <w:fldChar w:fldCharType="end"/>
      </w:r>
      <w:r w:rsidR="000051D3" w:rsidRPr="006D631C">
        <w:rPr>
          <w:color w:val="020202"/>
          <w:szCs w:val="24"/>
        </w:rPr>
        <w:t xml:space="preserve"> </w:t>
      </w:r>
      <w:r w:rsidRPr="006D631C">
        <w:rPr>
          <w:color w:val="020202"/>
          <w:szCs w:val="24"/>
        </w:rPr>
        <w:t>pH</w:t>
      </w:r>
      <w:r w:rsidR="000051D3"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{"citationItems":[{"id":"ITEM-1","itemData":{"DOI":"10.1016/j.memsci.2014.03.067","ISSN":"18733123","abstract":"In this work, novel cross linked pegylated functional copolymer poly (acrylic acid-co-polyethylene glycol methyl ether methacrylate) was prepared from AA and PEGMA, via precipitation polymerization using toluene as solvent. The copolymer was directly blended with polysulfone (PSF) using N-methylpyrrolidone (NMP) as solvent to prepare flat sheet polymeric membrane by the phase inversion method. Presence of copolymer in blended membrane was confirmed by Fourier transform infrared-attenuated total reflectance (FTIR-ATR) spectroscopy. Blended membranes showed enhanced pore density, pure water flux and hydrophilicity. Cross sectional morphology of the membranes was changed significantly with higher wt% of the copolymer. Contact angle and hydraulic permeability of modified membrane with 7wt% of copolymer were 48.7° and 0.794L/m2hkPa compared to 63.2° and 0.353L/m2hkPa respectively, for unmodified membrane. The blended membranes also showed evidence of pH sensitivity compared to unmodified membrane. For membrane modified with 7wt% of the copolymer, hydraulic permeability was increased from 0.355 to 0.794L/m2hkPa when pH was changed from 11 to 2. Finally, fouling resistance behavior of modified membrane was studied by bovine serum albumin protein separation study. Modified membrane achieved a maximum of around 90% flux recovery ratio after bovine serum albumin (BSA) separation, which is remarkably higher compared to 37% flux recovery ratio of unmodified membrane. Effect of pH for BSA rejection on different membranes was also studied at pH 2, pH 7 and pH 11. It was found that modified membranes had almost same rejection at pH 7 and pH 11, but rejection was much lower at pH 2. © 2014 Elsevier B.V.","author":[{"dropping-particle":"","family":"Sinha","given":"M. K.","non-dropping-particle":"","parse-names":false,"suffix":""},{"dropping-particle":"","family":"Purkait","given":"M. K.","non-dropping-particle":"","parse-names":false,"suffix":""}],"container-title":"Journal of Membrane Science","id":"ITEM-1","issued":{"date-parts":[["2014"]]},"title":"Preparation and characterization of novel pegylated hydrophilic pH responsive polysulfone ultrafiltration membrane","type":"article-journal"},"uris":["http://www.mendeley.com/documents/?uuid=2869dac3-1896-4a28-92c9-54286e75c777"]}],"mendeley":{"formattedCitation":"&lt;sup&gt;213&lt;/sup&gt;","plainTextFormattedCitation":"213","previouslyFormattedCitation":"&lt;sup&gt;213&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213</w:t>
      </w:r>
      <w:r w:rsidRPr="006D631C">
        <w:rPr>
          <w:color w:val="020202"/>
          <w:szCs w:val="24"/>
        </w:rPr>
        <w:fldChar w:fldCharType="end"/>
      </w:r>
      <w:r w:rsidRPr="006D631C">
        <w:rPr>
          <w:color w:val="020202"/>
          <w:szCs w:val="24"/>
        </w:rPr>
        <w:t xml:space="preserve"> light</w:t>
      </w:r>
      <w:r w:rsidR="000051D3"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{"citationItems":[{"id":"ITEM-1","itemData":{"DOI":"10.5004/dwt.2019.24403","ISSN":"19443986","abstract":"Photocatalytic ultrafiltration membranes have great potential advantages in future-water treatment systems. The preparation of photocatalytic ultrafiltration membranes and the selection of catalysts are the key to the development of photocatalytic ultrafiltration membranes. This paper reviews the research status, removal mechanism of pollutants, module design and applications of photocatalytic ultrafiltration membranes. The metal-doped TiO2 photocatalytic ultrafiltration membranes, non-metal-doped TiO2 photocatalytic ultrafiltration membranes, semiconductor-doped TiO2 photocatalytic ultrafiltration membranes, co-doped TiO2 photocatalytic ultrafiltration membrans, and non-TiO2 system photocatalytic ultrafiltration membranes are introduced in detail. At the same time, it summarizes the removal of micro-pollutants in water, treatment of dyes in water, and applications in other aspects, demonstrating its potential for application in various areas of water treatment systems. Finally, the direction of future research is proposed.","author":[{"dropping-particle":"","family":"Fu","given":"Jingli","non-dropping-particle":"","parse-names":false,"suffix":""},{"dropping-particle":"","family":"Wang","given":"Xiuju","non-dropping-particle":"","parse-names":false,"suffix":""},{"dropping-particle":"","family":"Ma","given":"Zhun","non-dropping-particle":"","parse-names":false,"suffix":""},{"dropping-particle":"","family":"Wenming","given":"Hao","non-dropping-particle":"","parse-names":false,"suffix":""},{"dropping-particle":"","family":"Li","given":"Jianye","non-dropping-particle":"","parse-names":false,"suffix":""},{"dropping-particle":"","family":"Wang","given":"Zhongpeng","non-dropping-particle":"","parse-names":false,"suffix":""},{"dropping-particle":"","family":"Wang","given":"Liguo","non-dropping-particle":"","parse-names":false,"suffix":""}],"container-title":"DESALINATION AND WATER TREATMENT","id":"ITEM-1","issued":{"date-parts":[["2019"]]},"page":"42-55","title":"Photocatalytic ultrafiltration membranes based on visible light responsive photocatalyst: a review","type":"article-journal","volume":"168"},"uris":["http://www.mendeley.com/documents/?uuid=f39dac84-0272-4869-a95b-c6b1d010bcbd"]}],"mendeley":{"formattedCitation":"&lt;sup&gt;237&lt;/sup&gt;","plainTextFormattedCitation":"237","previouslyFormattedCitation":"&lt;sup&gt;237&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237</w:t>
      </w:r>
      <w:r w:rsidRPr="006D631C">
        <w:rPr>
          <w:color w:val="020202"/>
          <w:szCs w:val="24"/>
        </w:rPr>
        <w:fldChar w:fldCharType="end"/>
      </w:r>
      <w:r w:rsidRPr="006D631C">
        <w:rPr>
          <w:color w:val="020202"/>
          <w:szCs w:val="24"/>
        </w:rPr>
        <w:t xml:space="preserve"> electrolyte</w:t>
      </w:r>
      <w:r w:rsidR="000051D3"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{"citationItems":[{"id":"ITEM-1","itemData":{"DOI":"10.1039/C8NJ00039E","ISSN":"1144-0546","abstract":"Zwitterionic polymer modified membranes were prepared, which showed ionic strength- and thermo-responsive properties.","author":[{"dropping-particle":"","family":"Xiang","given":"Tao","non-dropping-particle":"","parse-names":false,"suffix":""},{"dropping-particle":"","family":"Lu","given":"Ting","non-dropping-particle":"","parse-names":false,"suffix":""},{"dropping-particle":"","family":"Zhao","given":"Wei-Feng","non-dropping-particle":"","parse-names":false,"suffix":""},{"dropping-particle":"","family":"Zhao","given":"Chang-Sheng","non-dropping-particle":"","parse-names":false,"suffix":""}],"container-title":"New Journal of Chemistry","id":"ITEM-1","issue":"7","issued":{"date-parts":[["2018"]]},"page":"5323-5333","title":"Ionic strength- and thermo-responsive polyethersulfone composite membranes with enhanced antifouling properties","type":"article-journal","volume":"42"},"uris":["http://www.mendeley.com/documents/?uuid=bfc632e4-97c2-4276-b501-0d6e355aab9d"]}],"mendeley":{"formattedCitation":"&lt;sup&gt;238&lt;/sup&gt;","plainTextFormattedCitation":"238","previouslyFormattedCitation":"&lt;sup&gt;238&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238</w:t>
      </w:r>
      <w:r w:rsidRPr="006D631C">
        <w:rPr>
          <w:color w:val="020202"/>
          <w:szCs w:val="24"/>
        </w:rPr>
        <w:fldChar w:fldCharType="end"/>
      </w:r>
      <w:r w:rsidRPr="006D631C">
        <w:rPr>
          <w:color w:val="020202"/>
          <w:szCs w:val="24"/>
        </w:rPr>
        <w:t xml:space="preserve"> and magnetic field</w:t>
      </w:r>
      <w:r w:rsidR="005F3539"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{"citationItems":[{"id":"ITEM-1","itemData":{"DOI":"10.1016/j.coche.2015.04.002","ISSN":"22113398","abstract":"External physico-chemical switches may modulate the performances of stimuli-responsive membranes. The switches can be turned on and off in three different ways. Sites on a membrane can interact and respond to incoming chemical agents directly. Alternatively a membrane can respond to global environmental changes such as temperature or pressure. These two mechanisms involve mass transport or mass and heat transport. The switches for field-responsive membranes, on the other hand, are external fields, where mass transport or mass and heat transport between the environment and membrane are not required. Guided by advances in modern computational methods, stimuli-responsive membranes represent a new class of advanced membranes that are finding numerous niche applications.","author":[{"dropping-particle":"","family":"Darvishmanesh","given":"Siavash","non-dropping-particle":"","parse-names":false,"suffix":""},{"dropping-particle":"","family":"Qian","given":"Xianghong","non-dropping-particle":"","parse-names":false,"suffix":""},{"dropping-particle":"","family":"Wickramasinghe","given":"S. Ranil","non-dropping-particle":"","parse-names":false,"suffix":""}],"container-title":"Current Opinion in Chemical Engineering","id":"ITEM-1","issued":{"date-parts":[["2015","5"]]},"page":"98-104","title":"Responsive membranes for advanced separations","type":"article-journal","volume":"8"},"uris":["http://www.mendeley.com/documents/?uuid=9f3b52fd-2e37-4045-a525-b302cc4362e1"]}],"mendeley":{"formattedCitation":"&lt;sup&gt;239&lt;/sup&gt;","plainTextFormattedCitation":"239","previouslyFormattedCitation":"&lt;sup&gt;239&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239</w:t>
      </w:r>
      <w:r w:rsidRPr="006D631C">
        <w:rPr>
          <w:color w:val="020202"/>
          <w:szCs w:val="24"/>
        </w:rPr>
        <w:fldChar w:fldCharType="end"/>
      </w:r>
      <w:r w:rsidRPr="006D631C">
        <w:rPr>
          <w:color w:val="020202"/>
          <w:szCs w:val="24"/>
        </w:rPr>
        <w:t xml:space="preserve"> This behavior not only results in a tunable pore size and thus dynamic selectivity, but also improves the cleaning efficiency of the membrane after contamination with foulants</w:t>
      </w:r>
      <w:r w:rsidR="008A6217" w:rsidRPr="006D631C">
        <w:rPr>
          <w:color w:val="020202"/>
          <w:szCs w:val="24"/>
        </w:rPr>
        <w:t>.</w:t>
      </w:r>
      <w:r w:rsidRPr="006D631C">
        <w:rPr>
          <w:color w:val="020202"/>
          <w:szCs w:val="24"/>
        </w:rPr>
        <w:fldChar w:fldCharType="begin" w:fldLock="1"/>
      </w:r>
      <w:r w:rsidR="00FD1E5B" w:rsidRPr="006D631C">
        <w:rPr>
          <w:color w:val="020202"/>
          <w:szCs w:val="24"/>
        </w:rPr>
        <w:instrText>ADDIN CSL_CITATION {"citationItems":[{"id":"ITEM-1","itemData":{"DOI":"10.1016/j.memsci.2018.02.060","ISSN":"03767388","abstract":"We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Science","id":"ITEM-1","issued":{"date-parts":[["2018","5"]]},"page":"117-124","title":"Two-step thermoresponsive membrane with tunable separation properties and improved cleaning efficiency","type":"article-journal","volume":"554"},"uris":["http://www.mendeley.com/documents/?uuid=6b7db567-d73b-49b7-8074-a48dddee7720"]}],"mendeley":{"formattedCitation":"&lt;sup&gt;192&lt;/sup&gt;","plainTextFormattedCitation":"192","previouslyFormattedCitation":"&lt;sup&gt;192&lt;/sup&gt;"},"properties":{"noteIndex":0},"schema":"https://github.com/citation-style-language/schema/raw/master/csl-citation.json"}</w:instrText>
      </w:r>
      <w:r w:rsidRPr="006D631C">
        <w:rPr>
          <w:color w:val="020202"/>
          <w:szCs w:val="24"/>
        </w:rPr>
        <w:fldChar w:fldCharType="separate"/>
      </w:r>
      <w:r w:rsidR="004D70E7" w:rsidRPr="006D631C">
        <w:rPr>
          <w:noProof/>
          <w:color w:val="020202"/>
          <w:szCs w:val="24"/>
          <w:vertAlign w:val="superscript"/>
        </w:rPr>
        <w:t>192</w:t>
      </w:r>
      <w:r w:rsidRPr="006D631C">
        <w:rPr>
          <w:color w:val="020202"/>
          <w:szCs w:val="24"/>
        </w:rPr>
        <w:fldChar w:fldCharType="end"/>
      </w:r>
      <w:r w:rsidRPr="006D631C">
        <w:rPr>
          <w:color w:val="020202"/>
          <w:szCs w:val="24"/>
        </w:rPr>
        <w:t xml:space="preserve"> </w:t>
      </w:r>
    </w:p>
    <w:p w14:paraId="2E92E6EA" w14:textId="295C12AD" w:rsidR="00A9517A" w:rsidRPr="006D631C" w:rsidRDefault="002D64DD" w:rsidP="0072669A">
      <w:pPr>
        <w:ind w:firstLine="360"/>
      </w:pPr>
      <w:r w:rsidRPr="006D631C">
        <w:rPr>
          <w:color w:val="020202"/>
        </w:rPr>
        <w:t>Thermoresponsive membranes are of interest because not only implementation of thermal response has less complications in the synthesis, but also temperature changes has usually negligible effect on the chemistry of the feed stream</w:t>
      </w:r>
      <w:r w:rsidR="00AF6D90" w:rsidRPr="006D631C">
        <w:rPr>
          <w:color w:val="020202"/>
        </w:rPr>
        <w:t>.</w:t>
      </w:r>
      <w:r w:rsidRPr="006D631C">
        <w:rPr>
          <w:color w:val="020202"/>
        </w:rPr>
        <w:fldChar w:fldCharType="begin" w:fldLock="1"/>
      </w:r>
      <w:r w:rsidR="00FD1E5B" w:rsidRPr="006D631C">
        <w:rPr>
          <w:color w:val="020202"/>
        </w:rPr>
        <w:instrText>ADDIN CSL_CITATION {"citationItems":[{"id":"ITEM-1","itemData":{"DOI":"10.1016/j.memsci.2010.03.046","ISSN":"03767388","abstract":"Stimuli-responsive membranes change their physicochemical properties in response to changes in their environment. Stimuli-responsive membranes have been designed to respond to changes in pH, temperature, ionic strength, light, electric and magnetic fields, and chemical cues. This review covers the design of stimuli-responsive membranes and their ever-expanding range of use. It considers stimuli-responsive changes in membrane structure and surface characteristics that enable novel applications. © 2010 Elsevier B.V.","author":[{"dropping-particle":"","family":"Wandera","given":"Daniel","non-dropping-particle":"","parse-names":false,"suffix":""},{"dropping-particle":"","family":"Wickramasinghe","given":"S. Ranil","non-dropping-particle":"","parse-names":false,"suffix":""},{"dropping-particle":"","family":"Husson","given":"Scott M.","non-dropping-particle":"","parse-names":false,"suffix":""}],"container-title":"Journal of Membrane Science","id":"ITEM-1","issue":"1-2","issued":{"date-parts":[["2010","7","15"]]},"page":"6-35","title":"Stimuli-responsive membranes","type":"article-journal","volume":"357"},"uris":["http://www.mendeley.com/documents/?uuid=f4b1bf86-85c5-4e71-a28b-6d4273599fd3"]}],"mendeley":{"formattedCitation":"&lt;sup&gt;5&lt;/sup&gt;","plainTextFormattedCitation":"5","previouslyFormattedCitation":"&lt;sup&gt;5&lt;/sup&gt;"},"properties":{"noteIndex":0},"schema":"https://github.com/citation-style-language/schema/raw/master/csl-citation.json"}</w:instrText>
      </w:r>
      <w:r w:rsidRPr="006D631C">
        <w:rPr>
          <w:color w:val="020202"/>
        </w:rPr>
        <w:fldChar w:fldCharType="separate"/>
      </w:r>
      <w:r w:rsidR="004D70E7" w:rsidRPr="006D631C">
        <w:rPr>
          <w:noProof/>
          <w:color w:val="020202"/>
          <w:vertAlign w:val="superscript"/>
        </w:rPr>
        <w:t>5</w:t>
      </w:r>
      <w:r w:rsidRPr="006D631C">
        <w:rPr>
          <w:color w:val="020202"/>
        </w:rPr>
        <w:fldChar w:fldCharType="end"/>
      </w:r>
      <w:r w:rsidRPr="006D631C">
        <w:rPr>
          <w:color w:val="020202"/>
        </w:rPr>
        <w:t xml:space="preserve"> Additionally, there are a variety of thermoresponsive polymers that can be used for the fabrication of membranes</w:t>
      </w:r>
      <w:r w:rsidR="00AF6D90" w:rsidRPr="006D631C">
        <w:rPr>
          <w:color w:val="020202"/>
        </w:rPr>
        <w:t>.</w:t>
      </w:r>
      <w:r w:rsidRPr="006D631C">
        <w:rPr>
          <w:color w:val="020202"/>
        </w:rPr>
        <w:fldChar w:fldCharType="begin" w:fldLock="1"/>
      </w:r>
      <w:r w:rsidR="00E95125" w:rsidRPr="006D631C">
        <w:rPr>
          <w:color w:val="020202"/>
        </w:rPr>
        <w:instrText>ADDIN CSL_CITATION {"citationItems":[{"id":"ITEM-1","itemData":{"DOI":"10.1039/c3cs35499g","ISSN":"0306-0012","PMID":"23450220","abstract":"Interest in thermoresponsive polymers has steadily grown over many decades, and a great deal of work has been dedicated to developing temperature sensitive macromolecules that can be crafted into new smart materials. However, the overwhelming majority of previously reported temperature-responsive polymers are based on poly(N-isopropylacrylamide) (PNIPAM), despite the fact that a wide range of other thermoresponsive polymers have demonstrated similar promise for the preparation of adaptive materials. Herein, we aim to highlight recent results that involve thermoresponsive systems that have not yet been as fully considered. Many of these (co)polymers represent clear opportunities for advancements in emerging biomedical and materials fields due to their increased biocompatibility and tuneable response. By highlighting recent examples of newly developed thermoresponsive polymer systems, we hope to promote the development of new generations of smart materials. © 2013 The Royal Society of Chemistry.","author":[{"dropping-particle":"","family":"Roy","given":"Debashish","non-dropping-particle":"","parse-names":false,"suffix":""},{"dropping-particle":"","family":"Brooks","given":"William L. A.","non-dropping-particle":"","parse-names":false,"suffix":""},{"dropping-particle":"","family":"Sumerlin","given":"Brent S.","non-dropping-particle":"","parse-names":false,"suffix":""}],"container-title":"Chemical Society Reviews","id":"ITEM-1","issue":"17","issued":{"date-parts":[["2013"]]},"page":"7214","title":"New directions in thermoresponsive polymers","type":"article-journal","volume":"42"},"uris":["http://www.mendeley.com/documents/?uuid=fcee8b1c-8e7f-4505-85f9-a0e6226023e7"]}],"mendeley":{"formattedCitation":"&lt;sup&gt;240&lt;/sup&gt;","plainTextFormattedCitation":"240","previouslyFormattedCitation":"&lt;sup&gt;240&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240</w:t>
      </w:r>
      <w:r w:rsidRPr="006D631C">
        <w:rPr>
          <w:color w:val="020202"/>
        </w:rPr>
        <w:fldChar w:fldCharType="end"/>
      </w:r>
      <w:r w:rsidRPr="006D631C">
        <w:rPr>
          <w:color w:val="020202"/>
        </w:rPr>
        <w:t xml:space="preserve"> </w:t>
      </w:r>
      <w:r w:rsidR="00EC5020" w:rsidRPr="006D631C">
        <w:rPr>
          <w:color w:val="020202"/>
        </w:rPr>
        <w:t>NIPS</w:t>
      </w:r>
      <w:r w:rsidRPr="006D631C">
        <w:rPr>
          <w:color w:val="020202"/>
        </w:rPr>
        <w:t xml:space="preserve"> has been the main technique to produce thermoresponsive membranes. For example, Yu </w:t>
      </w:r>
      <w:r w:rsidRPr="006D631C">
        <w:rPr>
          <w:i/>
          <w:iCs/>
          <w:color w:val="020202"/>
        </w:rPr>
        <w:t>et al.</w:t>
      </w:r>
      <w:r w:rsidRPr="006D631C">
        <w:rPr>
          <w:color w:val="020202"/>
        </w:rPr>
        <w:t xml:space="preserve"> used PNIPAM-grafted </w:t>
      </w:r>
      <w:proofErr w:type="spellStart"/>
      <w:r w:rsidRPr="006D631C">
        <w:rPr>
          <w:color w:val="020202"/>
        </w:rPr>
        <w:t>polyvinylidenefluoride</w:t>
      </w:r>
      <w:proofErr w:type="spellEnd"/>
      <w:r w:rsidRPr="006D631C">
        <w:rPr>
          <w:color w:val="020202"/>
        </w:rPr>
        <w:t xml:space="preserve"> (PVDF) copolymers and reported a dynamic permeability and selectivity of the membrane in response to the temperature changes</w:t>
      </w:r>
      <w:r w:rsidR="00EC5020" w:rsidRPr="006D631C">
        <w:rPr>
          <w:color w:val="020202"/>
        </w:rPr>
        <w:t>.</w:t>
      </w:r>
      <w:r w:rsidRPr="006D631C">
        <w:rPr>
          <w:color w:val="020202"/>
        </w:rPr>
        <w:fldChar w:fldCharType="begin" w:fldLock="1"/>
      </w:r>
      <w:r w:rsidR="00E95125" w:rsidRPr="006D631C">
        <w:rPr>
          <w:color w:val="020202"/>
        </w:rPr>
        <w:instrText>ADDIN CSL_CITATION {"citationItems":[{"id":"ITEM-1","itemData":{"DOI":"10.1016/j.memsci.2010.09.055","ISSN":"03767388","author":[{"dropping-particle":"","family":"Yu","given":"Jing-Zhen","non-dropping-particle":"","parse-names":false,"suffix":""},{"dropping-particle":"","family":"Zhu","given":"Li-Ping","non-dropping-particle":"","parse-names":false,"suffix":""},{"dropping-particle":"","family":"Zhu","given":"Bao-Ku","non-dropping-particle":"","parse-names":false,"suffix":""},{"dropping-particle":"","family":"Xu","given":"You-Yi","non-dropping-particle":"","parse-names":false,"suffix":""}],"container-title":"Journal of Membrane Science","id":"ITEM-1","issue":"1-2","issued":{"date-parts":[["2011","1"]]},"page":"176-183","title":"Poly(N-isopropylacrylamide) grafted poly(vinylidene fluoride) copolymers for temperature-sensitive membranes","type":"article-journal","volume":"366"},"uris":["http://www.mendeley.com/documents/?uuid=8fd91e4a-125f-430a-b60c-30b7d9b660aa"]}],"mendeley":{"formattedCitation":"&lt;sup&gt;241&lt;/sup&gt;","plainTextFormattedCitation":"241","previouslyFormattedCitation":"&lt;sup&gt;241&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241</w:t>
      </w:r>
      <w:r w:rsidRPr="006D631C">
        <w:rPr>
          <w:color w:val="020202"/>
        </w:rPr>
        <w:fldChar w:fldCharType="end"/>
      </w:r>
      <w:r w:rsidR="00EC5020" w:rsidRPr="006D631C">
        <w:rPr>
          <w:color w:val="020202"/>
        </w:rPr>
        <w:t xml:space="preserve"> </w:t>
      </w:r>
      <w:r w:rsidRPr="006D631C">
        <w:rPr>
          <w:color w:val="020202"/>
        </w:rPr>
        <w:t xml:space="preserve">By using NIPS process, Chen </w:t>
      </w:r>
      <w:r w:rsidRPr="006D631C">
        <w:rPr>
          <w:i/>
          <w:iCs/>
          <w:color w:val="020202"/>
        </w:rPr>
        <w:t>et al.</w:t>
      </w:r>
      <w:r w:rsidRPr="006D631C">
        <w:rPr>
          <w:color w:val="020202"/>
        </w:rPr>
        <w:t xml:space="preserve"> fabricated membranes of PNIPAM </w:t>
      </w:r>
      <w:proofErr w:type="spellStart"/>
      <w:r w:rsidRPr="006D631C">
        <w:rPr>
          <w:color w:val="020202"/>
        </w:rPr>
        <w:t>microgels</w:t>
      </w:r>
      <w:proofErr w:type="spellEnd"/>
      <w:r w:rsidRPr="006D631C">
        <w:rPr>
          <w:color w:val="020202"/>
        </w:rPr>
        <w:t>/PVDF blend, which show a similar dynamic behavior with temperature change</w:t>
      </w:r>
      <w:r w:rsidR="009A6650" w:rsidRPr="006D631C">
        <w:rPr>
          <w:color w:val="020202"/>
        </w:rPr>
        <w:t>.</w:t>
      </w:r>
      <w:r w:rsidRPr="006D631C">
        <w:rPr>
          <w:color w:val="020202"/>
        </w:rPr>
        <w:fldChar w:fldCharType="begin" w:fldLock="1"/>
      </w:r>
      <w:r w:rsidR="00E95125" w:rsidRPr="006D631C">
        <w:rPr>
          <w:color w:val="020202"/>
        </w:rPr>
        <w:instrText>ADDIN CSL_CITATION {"citationItems":[{"id":"ITEM-1","itemData":{"DOI":"10.1007/s00396-013-2985-y","ISSN":"0303-402X","author":[{"dropping-particle":"","family":"Chen","given":"Xi","non-dropping-particle":"","parse-names":false,"suffix":""},{"dropping-particle":"","family":"Bi","given":"Shiyin","non-dropping-particle":"","parse-names":false,"suffix":""},{"dropping-particle":"","family":"Shi","given":"Congcong","non-dropping-particle":"","parse-names":false,"suffix":""},{"dropping-particle":"","family":"He","given":"Yang","non-dropping-particle":"","parse-names":false,"suffix":""},{"dropping-particle":"","family":"Zhao","given":"Lizhi","non-dropping-particle":"","parse-names":false,"suffix":""},{"dropping-particle":"","family":"Chen","given":"Li","non-dropping-particle":"","parse-names":false,"suffix":""}],"container-title":"Colloid and Polymer Science","id":"ITEM-1","issue":"10","issued":{"date-parts":[["2013","10","29"]]},"page":"2419-2428","title":"Temperature-sensitive membranes prepared from blends of poly(vinylidene fluoride) and poly(N-isopropylacrylamides) microgels","type":"article-journal","volume":"291"},"uris":["http://www.mendeley.com/documents/?uuid=9d914a77-2c10-46a8-a2e1-98b4fdab1890"]}],"mendeley":{"formattedCitation":"&lt;sup&gt;242&lt;/sup&gt;","plainTextFormattedCitation":"242","previouslyFormattedCitation":"&lt;sup&gt;242&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242</w:t>
      </w:r>
      <w:r w:rsidRPr="006D631C">
        <w:rPr>
          <w:color w:val="020202"/>
        </w:rPr>
        <w:fldChar w:fldCharType="end"/>
      </w:r>
      <w:r w:rsidRPr="006D631C">
        <w:rPr>
          <w:color w:val="020202"/>
        </w:rPr>
        <w:t xml:space="preserve"> Recently, Choi and coworkers used a mixture of </w:t>
      </w:r>
      <w:proofErr w:type="spellStart"/>
      <w:r w:rsidRPr="006D631C">
        <w:rPr>
          <w:color w:val="020202"/>
        </w:rPr>
        <w:t>polyethersulfone</w:t>
      </w:r>
      <w:proofErr w:type="spellEnd"/>
      <w:r w:rsidRPr="006D631C">
        <w:rPr>
          <w:color w:val="020202"/>
        </w:rPr>
        <w:t xml:space="preserve"> (PES)</w:t>
      </w:r>
      <w:r w:rsidRPr="006D631C">
        <w:t xml:space="preserve"> and in-lab synthesized </w:t>
      </w:r>
      <w:r w:rsidRPr="006D631C">
        <w:rPr>
          <w:color w:val="020202"/>
        </w:rPr>
        <w:t>poly(2-dimethylaminoethyl methacrylate)-block-poly(N-</w:t>
      </w:r>
      <w:proofErr w:type="spellStart"/>
      <w:r w:rsidRPr="006D631C">
        <w:rPr>
          <w:color w:val="020202"/>
        </w:rPr>
        <w:t>isopropylacrylamide</w:t>
      </w:r>
      <w:proofErr w:type="spellEnd"/>
      <w:r w:rsidRPr="006D631C">
        <w:rPr>
          <w:color w:val="020202"/>
        </w:rPr>
        <w:t>) to form two-step thermoresponsive membranes capable of separating different proteins with temperature</w:t>
      </w:r>
      <w:r w:rsidR="00937026" w:rsidRPr="006D631C">
        <w:rPr>
          <w:color w:val="020202"/>
        </w:rPr>
        <w:t>.</w:t>
      </w:r>
      <w:r w:rsidRPr="006D631C">
        <w:rPr>
          <w:color w:val="020202"/>
        </w:rPr>
        <w:fldChar w:fldCharType="begin" w:fldLock="1"/>
      </w:r>
      <w:r w:rsidR="00FD1E5B" w:rsidRPr="006D631C">
        <w:rPr>
          <w:color w:val="020202"/>
        </w:rPr>
        <w:instrText>ADDIN CSL_CITATION {"citationItems":[{"id":"ITEM-1","itemData":{"DOI":"10.1016/j.memsci.2018.02.060","ISSN":"03767388","abstract":"We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Science","id":"ITEM-1","issued":{"date-parts":[["2018","5"]]},"page":"117-124","title":"Two-step thermoresponsive membrane with tunable separation properties and improved cleaning efficiency","type":"article-journal","volume":"554"},"uris":["http://www.mendeley.com/documents/?uuid=6b7db567-d73b-49b7-8074-a48dddee7720"]}],"mendeley":{"formattedCitation":"&lt;sup&gt;192&lt;/sup&gt;","plainTextFormattedCitation":"192","previouslyFormattedCitation":"&lt;sup&gt;192&lt;/sup&gt;"},"properties":{"noteIndex":0},"schema":"https://github.com/citation-style-language/schema/raw/master/csl-citation.json"}</w:instrText>
      </w:r>
      <w:r w:rsidRPr="006D631C">
        <w:rPr>
          <w:color w:val="020202"/>
        </w:rPr>
        <w:fldChar w:fldCharType="separate"/>
      </w:r>
      <w:r w:rsidR="004D70E7" w:rsidRPr="006D631C">
        <w:rPr>
          <w:noProof/>
          <w:color w:val="020202"/>
          <w:vertAlign w:val="superscript"/>
        </w:rPr>
        <w:t>192</w:t>
      </w:r>
      <w:r w:rsidRPr="006D631C">
        <w:rPr>
          <w:color w:val="020202"/>
        </w:rPr>
        <w:fldChar w:fldCharType="end"/>
      </w:r>
      <w:r w:rsidRPr="006D631C">
        <w:rPr>
          <w:color w:val="020202"/>
        </w:rPr>
        <w:t xml:space="preserve"> However, the NIPS method used for preparation of these membranes is environmentally questionable as large quantities of organic solvent, as high as 70% (in volume) is required</w:t>
      </w:r>
      <w:r w:rsidR="005D5BCD" w:rsidRPr="006D631C">
        <w:rPr>
          <w:color w:val="020202"/>
        </w:rPr>
        <w:t>.</w:t>
      </w:r>
      <w:r w:rsidRPr="006D631C">
        <w:rPr>
          <w:color w:val="020202"/>
        </w:rPr>
        <w:fldChar w:fldCharType="begin" w:fldLock="1"/>
      </w:r>
      <w:r w:rsidR="00E95125" w:rsidRPr="006D631C">
        <w:rPr>
          <w:color w:val="020202"/>
        </w:rPr>
        <w:instrText>ADDIN CSL_CITATION {"citationItems":[{"id":"ITEM-1","itemData":{"DOI":"10.1016/j.polymer.2019.122071","ISSN":"00323861","author":[{"dropping-particle":"","family":"Kahrs","given":"Catharina","non-dropping-particle":"","parse-names":false,"suffix":""},{"dropping-particle":"","family":"Schwellenbach","given":"Jan","non-dropping-particle":"","parse-names":false,"suffix":""}],"container-title":"Polymer","id":"ITEM-1","issued":{"date-parts":[["2020","1"]]},"page":"122071","title":"Membrane formation via non-solvent induced phase separation using sustainable solvents: A comparative study","type":"article-journal","volume":"186"},"uris":["http://www.mendeley.com/documents/?uuid=a4fbf5c1-b8e1-49b7-97d7-1f6a1e07c5c3"]}],"mendeley":{"formattedCitation":"&lt;sup&gt;243&lt;/sup&gt;","plainTextFormattedCitation":"243","previouslyFormattedCitation":"&lt;sup&gt;243&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243</w:t>
      </w:r>
      <w:r w:rsidRPr="006D631C">
        <w:rPr>
          <w:color w:val="020202"/>
        </w:rPr>
        <w:fldChar w:fldCharType="end"/>
      </w:r>
      <w:r w:rsidRPr="006D631C">
        <w:rPr>
          <w:color w:val="020202"/>
        </w:rPr>
        <w:t xml:space="preserve"> Additionally, incorporation of in-lab synthesized thermoresponsive polymers in the final membrane makes the final product expensive and impractical for scaleup</w:t>
      </w:r>
      <w:r w:rsidR="00A52720" w:rsidRPr="006D631C">
        <w:rPr>
          <w:color w:val="020202"/>
        </w:rPr>
        <w:t>.</w:t>
      </w:r>
      <w:r w:rsidRPr="006D631C">
        <w:rPr>
          <w:color w:val="020202"/>
        </w:rPr>
        <w:fldChar w:fldCharType="begin" w:fldLock="1"/>
      </w:r>
      <w:r w:rsidR="00FD1E5B" w:rsidRPr="006D631C">
        <w:rPr>
          <w:color w:val="020202"/>
        </w:rPr>
        <w:instrText>ADDIN CSL_CITATION {"citationItems":[{"id":"ITEM-1","itemData":{"DOI":"10.1016/j.memsci.2018.02.060","ISSN":"03767388","abstract":"We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Science","id":"ITEM-1","issued":{"date-parts":[["2018","5"]]},"page":"117-124","title":"Two-step thermoresponsive membrane with tunable separation properties and improved cleaning efficiency","type":"article-journal","volume":"554"},"uris":["http://www.mendeley.com/documents/?uuid=6b7db567-d73b-49b7-8074-a48dddee7720"]}],"mendeley":{"formattedCitation":"&lt;sup&gt;192&lt;/sup&gt;","plainTextFormattedCitation":"192","previouslyFormattedCitation":"&lt;sup&gt;192&lt;/sup&gt;"},"properties":{"noteIndex":0},"schema":"https://github.com/citation-style-language/schema/raw/master/csl-citation.json"}</w:instrText>
      </w:r>
      <w:r w:rsidRPr="006D631C">
        <w:rPr>
          <w:color w:val="020202"/>
        </w:rPr>
        <w:fldChar w:fldCharType="separate"/>
      </w:r>
      <w:r w:rsidR="004D70E7" w:rsidRPr="006D631C">
        <w:rPr>
          <w:noProof/>
          <w:color w:val="020202"/>
          <w:vertAlign w:val="superscript"/>
        </w:rPr>
        <w:t>192</w:t>
      </w:r>
      <w:r w:rsidRPr="006D631C">
        <w:rPr>
          <w:color w:val="020202"/>
        </w:rPr>
        <w:fldChar w:fldCharType="end"/>
      </w:r>
    </w:p>
    <w:p w14:paraId="0F8C0669" w14:textId="0989C6B8" w:rsidR="00A9517A" w:rsidRPr="006D631C" w:rsidRDefault="00AF7A08" w:rsidP="002E14E4">
      <w:pPr>
        <w:ind w:firstLine="360"/>
      </w:pPr>
      <w:r w:rsidRPr="006D631C">
        <w:rPr>
          <w:color w:val="020202"/>
        </w:rPr>
        <w:t xml:space="preserve">LLC templating is an alternative approach to produce </w:t>
      </w:r>
      <w:proofErr w:type="spellStart"/>
      <w:r w:rsidRPr="006D631C">
        <w:rPr>
          <w:color w:val="020202"/>
        </w:rPr>
        <w:t>nanoporous</w:t>
      </w:r>
      <w:proofErr w:type="spellEnd"/>
      <w:r w:rsidRPr="006D631C">
        <w:rPr>
          <w:color w:val="020202"/>
        </w:rPr>
        <w:t xml:space="preserve"> membranes without using huge volumes of organic solvents.</w:t>
      </w:r>
      <w:r w:rsidRPr="006D631C">
        <w:rPr>
          <w:color w:val="020202"/>
        </w:rPr>
        <w:fldChar w:fldCharType="begin" w:fldLock="1"/>
      </w:r>
      <w:r w:rsidR="005C60C1" w:rsidRPr="006D631C">
        <w:rPr>
          <w:color w:val="020202"/>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id":"ITEM-2","itemData":{"DOI":"10.1002/adma.200500444","ISSN":"09359648","author":[{"dropping-particle":"","family":"Zhou","given":"Meijuan","non-dropping-particle":"","parse-names":false,"suffix":""},{"dropping-particle":"","family":"Kidd","given":"Timothy J.","non-dropping-particle":"","parse-names":false,"suffix":""},{"dropping-particle":"","family":"Noble","given":"Richard D.","non-dropping-particle":"","parse-names":false,"suffix":""},{"dropping-particle":"","family":"Gin","given":"Douglas L.","non-dropping-particle":"","parse-names":false,"suffix":""}],"container-title":"Advanced Materials","id":"ITEM-2","issue":"15","issued":{"date-parts":[["2005"]]},"page":"1850-1853","title":"Supported lyotropic liquid-crystal polymer membranes: Promising materials for molecular-size-selective aqueous nanofiltration","type":"article-journal","volume":"17"},"uris":["http://www.mendeley.com/documents/?uuid=4cf52e9a-3ab4-4b73-be33-440fbf61c3fa"]},{"id":"ITEM-3","itemData":{"DOI":"10.1021/cm302027s","ISSN":"15205002","author":[{"dropping-particle":"","family":"Carter","given":"Blaine M.","non-dropping-particle":"","parse-names":false,"suffix":""},{"dropping-particle":"","family":"Wiesenauer","given":"Brian R.","non-dropping-particle":"","parse-names":false,"suffix":""},{"dropping-particle":"","family":"Hatakeyama","given":"Evan S.","non-dropping-particle":"","parse-names":false,"suffix":""},{"dropping-particle":"","family":"Barton","given":"John L.","non-dropping-particle":"","parse-names":false,"suffix":""},{"dropping-particle":"","family":"Noble","given":"Richard D.","non-dropping-particle":"","parse-names":false,"suffix":""},{"dropping-particle":"","family":"Gin","given":"Douglas L.","non-dropping-particle":"","parse-names":false,"suffix":""}],"container-title":"Chemistry of Materials","id":"ITEM-3","issue":"21","issued":{"date-parts":[["2012"]]},"page":"4005-4007","title":"Glycerol-based bicontinuous cubic lyotropic liquid crystal monomer system for the fabrication of thin-film membranes with uniform nanopores","type":"article-journal","volume":"24"},"uris":["http://www.mendeley.com/documents/?uuid=ecdbb3ff-7519-4a65-abca-056edd3369f2"]},{"id":"ITEM-4","itemData":{"DOI":"10.1038/natrevmats.2016.18","ISSN":"2058-8437","abstract":"Membrane-based separations for water purification and desalination have been increasingly applied to address the global challenges of water scarcity and the pollution of aquatic environments. However, progress in water purification membranes has been constrained by the inherent limitations of conventional membrane materials. Recent advances in methods for controlling the structure and chemical functionality in polymer films can potentially lead to new classes of membranes for water purification. In this Review, we first discuss the state of the art of existing membrane technologies for water purification and desalination, highlight their inherent limitations and establish the urgent requirements for next-generation membranes. We then describe molecular-level design approaches towards fabricating highly selective membranes, focusing on novel materials such as aquaporin, synthetic nanochannels, graphene and self-assembled block copolymers and small molecules. Finally, we highlight promising membrane surface modification approaches that minimize interfacial interactions and enhance fouling resistance.","author":[{"dropping-particle":"","family":"Werber","given":"Jay R.","non-dropping-particle":"","parse-names":false,"suffix":""},{"dropping-particle":"","family":"Osuji","given":"Chinedum O.","non-dropping-particle":"","parse-names":false,"suffix":""},{"dropping-particle":"","family":"Elimelech","given":"Menachem","non-dropping-particle":"","parse-names":false,"suffix":""}],"container-title":"Nature Reviews Materials","id":"ITEM-4","issue":"5","issued":{"date-parts":[["2016","5","5"]]},"page":"16018","title":"Materials for next-generation desalination and water purification membranes","type":"article-journal","volume":"1"},"uris":["http://www.mendeley.com/documents/?uuid=b49e3af6-02cf-439a-9ef2-9d16fc16993b"]},{"id":"ITEM-5","itemData":{"DOI":"10.1039/D1TA02748D","ISSN":"2050-7488","abstract":"Bottom-up engineered LLC templated products with a variety of nanostructures offer infinite potential applications in many technical fields.","author":[{"dropping-particle":"","family":"Saadat","given":"Younes","non-dropping-particle":"","parse-names":false,"suffix":""},{"dropping-particle":"","family":"Imran","given":"Omar Q.","non-dropping-particle":"","parse-names":false,"suffix":""},{"dropping-particle":"","family":"Osuji","given":"Chinedum O.","non-dropping-particle":"","parse-names":false,"suffix":""},{"dropping-particle":"","family":"Foudazi","given":"Reza","non-dropping-particle":"","parse-names":false,"suffix":""}],"container-title":"Journal of Materials Chemistry A","id":"ITEM-5","issue":"38","issued":{"date-parts":[["2021"]]},"page":"21607-21658","title":"Lyotropic liquid crystals as templates for advanced materials","type":"article-journal","volume":"9"},"uris":["http://www.mendeley.com/documents/?uuid=2f3f4bd0-d863-4cd6-872b-19cf0a5a8869"]},{"id":"ITEM-6","itemData":{"DOI":"10.1039/D1PY00127B","ISSN":"1759-9954","abstract":"In this study, we show that how the locus of initiation can change kinetics and mechanical properties of polymerized lyotropic liquid crystals.","author":[{"dropping-particle":"","family":"Saadat","given":"Younes","non-dropping-particle":"","parse-names":false,"suffix":""},{"dropping-particle":"","family":"Kim","given":"Kyungtae","non-dropping-particle":"","parse-names":false,"suffix":""},{"dropping-particle":"","family":"Foudazi","given":"Reza","non-dropping-particle":"","parse-names":false,"suffix":""}],"container-title":"Polymer Chemistry","id":"ITEM-6","issue":"15","issued":{"date-parts":[["2021"]]},"page":"2236-2252","title":"Initiator-dependent kinetics of lyotropic liquid crystal-templated thermal polymerization","type":"article-journal","volume":"12"},"uris":["http://www.mendeley.com/documents/?uuid=4aeb67f9-4f0f-437d-baf1-7f29c5689d29"]}],"mendeley":{"formattedCitation":"&lt;sup&gt;4,31,93,120,244,245&lt;/sup&gt;","plainTextFormattedCitation":"4,31,93,120,244,245","previouslyFormattedCitation":"&lt;sup&gt;4,31,93,120,244,245&lt;/sup&gt;"},"properties":{"noteIndex":0},"schema":"https://github.com/citation-style-language/schema/raw/master/csl-citation.json"}</w:instrText>
      </w:r>
      <w:r w:rsidRPr="006D631C">
        <w:rPr>
          <w:color w:val="020202"/>
        </w:rPr>
        <w:fldChar w:fldCharType="separate"/>
      </w:r>
      <w:r w:rsidR="002E14E4" w:rsidRPr="006D631C">
        <w:rPr>
          <w:noProof/>
          <w:color w:val="020202"/>
          <w:vertAlign w:val="superscript"/>
        </w:rPr>
        <w:t>4,31,93,120,244,245</w:t>
      </w:r>
      <w:r w:rsidRPr="006D631C">
        <w:rPr>
          <w:color w:val="020202"/>
        </w:rPr>
        <w:fldChar w:fldCharType="end"/>
      </w:r>
      <w:r w:rsidRPr="006D631C">
        <w:rPr>
          <w:color w:val="020202"/>
        </w:rPr>
        <w:t xml:space="preserve"> There are some reports in the literature, in which surfactant or oil phase of LLCs is polymerized to fabricate porous membranes (mainly UF and NF)</w:t>
      </w:r>
      <w:r w:rsidR="00863F9D" w:rsidRPr="006D631C">
        <w:rPr>
          <w:color w:val="020202"/>
        </w:rPr>
        <w:t>.</w:t>
      </w:r>
      <w:r w:rsidRPr="006D631C">
        <w:rPr>
          <w:color w:val="020202"/>
        </w:rPr>
        <w:fldChar w:fldCharType="begin" w:fldLock="1"/>
      </w:r>
      <w:r w:rsidR="005C60C1" w:rsidRPr="006D631C">
        <w:rPr>
          <w:color w:val="020202"/>
        </w:rPr>
        <w:instrText>ADDIN CSL_CITATION {"citationItems":[{"id":"ITEM-1","itemData":{"DOI":"10.1021/cm1013027","ISSN":"08974756","abstract":"New polymerizable gemini ammonium surfactants can be cross-linked in a type I bicontinuous cubic lyotropic liquid crystal phase with water to afford nanoporous polymer membranes with sub-1 nm 3D pores for water nanofiltration applications. © 2010 American Chemical Society.","author":[{"dropping-particle":"","family":"Hatakeyama","given":"Evan S.","non-dropping-particle":"","parse-names":false,"suffix":""},{"dropping-particle":"","family":"Wiesenauer","given":"Brian R.","non-dropping-particle":"","parse-names":false,"suffix":""},{"dropping-particle":"","family":"Gabriel","given":"Christopher J.","non-dropping-particle":"","parse-names":false,"suffix":""},{"dropping-particle":"","family":"Noble","given":"Richard D.","non-dropping-particle":"","parse-names":false,"suffix":""},{"dropping-particle":"","family":"Gin","given":"Douglas L.","non-dropping-particle":"","parse-names":false,"suffix":""}],"container-title":"Chemistry of Materials","id":"ITEM-1","issue":"16","issued":{"date-parts":[["2010"]]},"page":"4525-4527","title":"Nanoporous, bicontinuous cubic lyotropic liquid crystal networks via polymerizable gemini ammonium surfactants","type":"article-journal","volume":"22"},"uris":["http://www.mendeley.com/documents/?uuid=ee60048f-096b-4632-81a8-8b2118bda996"]},{"id":"ITEM-2","itemData":{"DOI":"10.1021/acsnano.5b06130","ISSN":"1936086X","abstract":"Membrane separations are critically important in areas ranging from health care and analytical chemistry to bioprocessing and water purification. An ideal nanoporous membrane would consist of a thin film with physically continuous and vertically aligned nanopores and would display a narrow distribution of pore sizes. However, the current state of the art departs considerably from this ideal and is beset by intrinsic trade-offs between permeability and selectivity. We demonstrate an effective and scalable method to fabricate polymer films with ideal membrane morphologies consisting of submicron thickness films with physically continuous and vertically aligned 1 nm pores. The approach is based on soft confinement to control the orientation of a cross-linkable mesophase in which the pores are produced by self-assembly. The scalability, exceptional ease of fabrication, and potential to create a new class of nanofiltration membranes stand out as compelling aspects.","author":[{"dropping-particle":"","family":"Feng","given":"Xunda","non-dropping-particle":"","parse-names":false,"suffix":""},{"dropping-particle":"","family":"Nejati","given":"Siamak","non-dropping-particle":"","parse-names":false,"suffix":""},{"dropping-particle":"","family":"Cowan","given":"Matthew G.","non-dropping-particle":"","parse-names":false,"suffix":""},{"dropping-particle":"","family":"Tousley","given":"Marissa E.","non-dropping-particle":"","parse-names":false,"suffix":""},{"dropping-particle":"","family":"Wiesenauer","given":"Brian R.","non-dropping-particle":"","parse-names":false,"suffix":""},{"dropping-particle":"","family":"Noble","given":"Richard D.","non-dropping-particle":"","parse-names":false,"suffix":""},{"dropping-particle":"","family":"Elimelech","given":"Menachem","non-dropping-particle":"","parse-names":false,"suffix":""},{"dropping-particle":"","family":"Gin","given":"Douglas L.","non-dropping-particle":"","parse-names":false,"suffix":""},{"dropping-particle":"","family":"Osuji","given":"Chinedum O.","non-dropping-particle":"","parse-names":false,"suffix":""}],"container-title":"ACS Nano","id":"ITEM-2","issue":"1","issued":{"date-parts":[["2016"]]},"page":"150-158","title":"Thin polymer films with continuous vertically aligned 1 nm pores fabricated by soft confinement","type":"article-journal","volume":"10"},"uris":["http://www.mendeley.com/documents/?uuid=86ca82d7-35f9-4c10-8a5c-efb657639752"]},{"id":"ITEM-3","itemData":{"DOI":"10.1126/sciadv.aav9308","ISSN":"23752548","PMID":"31448326","abstract":"Self-assembled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Advances","id":"ITEM-3","issue":"8","issued":{"date-parts":[["2019","8","9"]]},"page":"eaav9308","title":"Precise nanofiltration in a fouling-resistant self-assembled membrane with water-continuous transport pathways","type":"article-journal","volume":"5"},"uris":["http://www.mendeley.com/documents/?uuid=d507d8b2-fc83-4bd7-9e6d-10370c7b5e6e"]},{"id":"ITEM-4","itemData":{"DOI":"10.1016/j.memsci.2017.08.028","ISSN":"18733123","abstract":"A thin-film composite, bicontinuous cubic lyotropic liquid crystal polymer (TFC QI) membrane with uniform-size, ionic nanopores was studied for the treatment of hydraulic fracturing flowback water. The TFC QI membrane performance was compared to those of a commercial nanofiltration (NF) membrane (NF270) and a commercial reverse osmosis (RO) membrane (SW30HR) for the filtration of flowback water from the Denver-Julesburg Basin. The permeability, salt rejection, and organic solute rejection for each membrane was evaluated. The results illustrate that the TFC QI membrane maintained its performance to a similar degree as the commercial NF and RO membranes while demonstrating a unique selectivity not observed in the commercial membranes. Specifically, the TFC QI membrane rejected 75% of the salt while recovering 9.6% of the dissolved organic carbon (DOC) and 50% of the water. Of particular interest was the recovery of labile DOC, which was assessed through biodegradation experiments. Analysis following biodegradation of the TFC QI membrane permeate demonstrates the membrane's ability to recover labile DOC in a reduced-saline permeate. Improved recovery of labile DOC (increased to 22%) was demonstrated by reducing the pH of the flowback water. Therefore, the selectivity of the TFC QI membrane provides an opportunity to recover resources from hydraulic fracturing flowback.","author":[{"dropping-particle":"","family":"Dischinger","given":"Sarah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L.","non-dropping-particle":"","parse-names":false,"suffix":""},{"dropping-particle":"","family":"Linden","given":"Karl G.","non-dropping-particle":"","parse-names":false,"suffix":""}],"container-title":"Journal of Membrane Science","id":"ITEM-4","issued":{"date-parts":[["2017"]]},"page":"319-327","title":"Application of a lyotropic liquid crystal nanofiltration membrane for hydraulic fracturing flowback water: Selectivity and implications for treatment","type":"article-journal","volume":"543"},"uris":["http://www.mendeley.com/documents/?uuid=5a46df75-f496-4fbd-8165-bd32a6b934a9"]},{"id":"ITEM-5","itemData":{"DOI":"10.1016/j.memsci.2019.02.060","ISSN":"18733123","abstract":"Industrially,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Science","id":"ITEM-5","issued":{"date-parts":[["2019"]]},"page":"125-133","title":"Ultrafiltration membranes from polymerization of self-assembled Pluronic block copolymer mesophases","type":"article-journal","volume":"580"},"uris":["http://www.mendeley.com/documents/?uuid=bed9b600-bdbf-4c48-a9d1-d3c7ba3f3449"]}],"mendeley":{"formattedCitation":"&lt;sup&gt;31–33,118,176&lt;/sup&gt;","plainTextFormattedCitation":"31–33,118,176","previouslyFormattedCitation":"&lt;sup&gt;31–33,118,176&lt;/sup&gt;"},"properties":{"noteIndex":0},"schema":"https://github.com/citation-style-language/schema/raw/master/csl-citation.json"}</w:instrText>
      </w:r>
      <w:r w:rsidRPr="006D631C">
        <w:rPr>
          <w:color w:val="020202"/>
        </w:rPr>
        <w:fldChar w:fldCharType="separate"/>
      </w:r>
      <w:r w:rsidR="002E14E4" w:rsidRPr="006D631C">
        <w:rPr>
          <w:noProof/>
          <w:color w:val="020202"/>
          <w:vertAlign w:val="superscript"/>
        </w:rPr>
        <w:t>31–33,118,176</w:t>
      </w:r>
      <w:r w:rsidRPr="006D631C">
        <w:rPr>
          <w:color w:val="020202"/>
        </w:rPr>
        <w:fldChar w:fldCharType="end"/>
      </w:r>
      <w:r w:rsidRPr="006D631C">
        <w:rPr>
          <w:color w:val="020202"/>
        </w:rPr>
        <w:t xml:space="preserve"> Polymerization of aqueous phase of LLCs is also used to produce thermoresponsive </w:t>
      </w:r>
      <w:r w:rsidRPr="006D631C">
        <w:rPr>
          <w:color w:val="020202"/>
        </w:rPr>
        <w:lastRenderedPageBreak/>
        <w:t>hydrogels</w:t>
      </w:r>
      <w:r w:rsidR="00D70B26" w:rsidRPr="006D631C">
        <w:rPr>
          <w:color w:val="020202"/>
        </w:rPr>
        <w:t>.</w:t>
      </w:r>
      <w:r w:rsidRPr="006D631C">
        <w:rPr>
          <w:color w:val="020202"/>
        </w:rPr>
        <w:fldChar w:fldCharType="begin" w:fldLock="1"/>
      </w:r>
      <w:r w:rsidR="005C60C1" w:rsidRPr="006D631C">
        <w:rPr>
          <w:color w:val="020202"/>
        </w:rPr>
        <w:instrText>ADDIN CSL_CITATION {"citationItems":[{"id":"ITEM-1","itemData":{"DOI":"10.1039/c3sm50556a","ISSN":"1744683X","abstract":"Temperature-sensitive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Matter","id":"ITEM-1","issue":"31","issued":{"date-parts":[["2013"]]},"page":"7458-7467","title":"Improved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templates","type":"article-journal","volume":"9"},"uris":["http://www.mendeley.com/documents/?uuid=1744ca1d-c40e-4c6d-aa09-30d94aee5e9f"]},{"id":"ITEM-2","itemData":{"DOI":"10.1016/j.polymer.2018.03.016","ISSN":"00323861","abstract":"In this work, stimuli-responsive, superabsorbent materials are created by copolymerization of stimuli-responsive poly(n-isopropyl acrylamide) (PNIPAM) in combination with superabsorbent sodium acrylate (SA) via photopolymerization in lyotropic liquid crystal (LLC) templates. Templating PNIPAM in LLC mesophases imparts nanostructure to the polymer that significantly increases transport and swelling when compared to isotropic hydrogels. These materials exhibit twice the equilibrium swelling of analogous non-templated materials and show a dynamic range between the swollen and deswollen state that is 5 times greater. To further augment this stimuli-responsive range, LLC-templated PNIPAM was combined with the superabsorbent monomer sodium acrylate (SA). As SA concentration is increased, significant structure changes are observed during polymerization that leads to less-defined nanostructure and lower stimuli response. Maximum swelling and temperature response are observed at low concentrations of SA (</w:instrText>
      </w:r>
      <w:r w:rsidR="005C60C1" w:rsidRPr="006D631C">
        <w:rPr>
          <w:rFonts w:ascii="Cambria Math" w:hAnsi="Cambria Math" w:cs="Cambria Math"/>
          <w:color w:val="020202"/>
        </w:rPr>
        <w:instrText>∼</w:instrText>
      </w:r>
      <w:r w:rsidR="005C60C1" w:rsidRPr="006D631C">
        <w:rPr>
          <w:color w:val="020202"/>
        </w:rPr>
        <w:instrText>2 wt%). These LLC-templated copolymers exhibit stimuli-responsive volume transitions up to 40 times and equilibrium swelling ratios of 60 times their dry mass. This 600% increase in thermal response is due to the combined high swelling capabilities of SA with the enhanced thermal-response behavior induced by the LLC-templated nanostructure. Additionally, the nanostructure induces fast deswelling rates at temperatures above the lowest critical solution temperature of PNIPAM. The high dynamic range and quick response of this composition could allow for the development of superabsorbent, stimuli-responsive hydrogels in a variety of biomaterial, microfluidic, and water remediation applications.","author":[{"dropping-particle":"","family":"McLaughlin","given":"Jacob R.","non-dropping-particle":"","parse-names":false,"suffix":""},{"dropping-particle":"","family":"Abbott","given":"Nicholas L.","non-dropping-particle":"","parse-names":false,"suffix":""},{"dropping-particle":"","family":"Guymon","given":"C. Allan","non-dropping-particle":"","parse-names":false,"suffix":""}],"container-title":"Polymer","id":"ITEM-2","issued":{"date-parts":[["2018","4"]]},"page":"119-126","title":"Responsive superabsorbent hydrogels via photopolymerization in lyotropic liquid crystal templates","type":"article-journal","volume":"142"},"uris":["http://www.mendeley.com/documents/?uuid=8899ff0c-5b1e-46dd-a332-a7faed8dd226"]}],"mendeley":{"formattedCitation":"&lt;sup&gt;38,42&lt;/sup&gt;","plainTextFormattedCitation":"38,42","previouslyFormattedCitation":"&lt;sup&gt;38,42&lt;/sup&gt;"},"properties":{"noteIndex":0},"schema":"https://github.com/citation-style-language/schema/raw/master/csl-citation.json"}</w:instrText>
      </w:r>
      <w:r w:rsidRPr="006D631C">
        <w:rPr>
          <w:color w:val="020202"/>
        </w:rPr>
        <w:fldChar w:fldCharType="separate"/>
      </w:r>
      <w:r w:rsidR="002E14E4" w:rsidRPr="006D631C">
        <w:rPr>
          <w:noProof/>
          <w:color w:val="020202"/>
          <w:vertAlign w:val="superscript"/>
        </w:rPr>
        <w:t>38,42</w:t>
      </w:r>
      <w:r w:rsidRPr="006D631C">
        <w:rPr>
          <w:color w:val="020202"/>
        </w:rPr>
        <w:fldChar w:fldCharType="end"/>
      </w:r>
      <w:r w:rsidRPr="006D631C">
        <w:rPr>
          <w:color w:val="020202"/>
        </w:rPr>
        <w:t xml:space="preserve"> However, there is no report in the literature on LLC templating process for fabrication of thermoresponsive membranes.</w:t>
      </w:r>
    </w:p>
    <w:p w14:paraId="4BA90210" w14:textId="3C26906B" w:rsidR="00A9517A" w:rsidRPr="006D631C" w:rsidRDefault="00FD1E5B" w:rsidP="0072669A">
      <w:pPr>
        <w:ind w:firstLine="360"/>
        <w:rPr>
          <w:rFonts w:asciiTheme="majorBidi" w:hAnsiTheme="majorBidi" w:cstheme="majorBidi"/>
        </w:rPr>
      </w:pPr>
      <w:r w:rsidRPr="006D631C">
        <w:rPr>
          <w:color w:val="020202"/>
        </w:rPr>
        <w:t xml:space="preserve">In this work, we present the first successful approach to create two-step thermoresponsive UF membranes from the polymerization of LLCs directed by commercially available F127 block copolymer surfactant, i.e., </w:t>
      </w:r>
      <w:proofErr w:type="gramStart"/>
      <w:r w:rsidRPr="006D631C">
        <w:rPr>
          <w:color w:val="020202"/>
        </w:rPr>
        <w:t>poly[</w:t>
      </w:r>
      <w:proofErr w:type="gramEnd"/>
      <w:r w:rsidRPr="006D631C">
        <w:rPr>
          <w:color w:val="020202"/>
        </w:rPr>
        <w:t xml:space="preserve">(ethylene oxide)-block-(propylene oxide)-block-(ethylene oxide)] or PEO-PPO-PEO. </w:t>
      </w:r>
      <w:r w:rsidRPr="006D631C">
        <w:rPr>
          <w:rFonts w:asciiTheme="majorBidi" w:hAnsiTheme="majorBidi" w:cstheme="majorBidi"/>
        </w:rPr>
        <w:t>F127 is commonly used in drug delivery systems thanks to its thermoresponsive behavior.</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10.1016/j.carbpol.2020.116074","ISSN":"01448617","author":[{"dropping-particle":"","family":"Chatterjee","given":"Sudipta","non-dropping-particle":"","parse-names":false,"suffix":""},{"dropping-particle":"","family":"Hui","given":"Patrick Chi-leung","non-dropping-particle":"","parse-names":false,"suffix":""},{"dropping-particle":"","family":"Wat","given":"Elaine","non-dropping-particle":"","parse-names":false,"suffix":""},{"dropping-particle":"","family":"Kan","given":"Chi-wai","non-dropping-particle":"","parse-names":false,"suffix":""},{"dropping-particle":"","family":"Leung","given":"Ping-Chung","non-dropping-particle":"","parse-names":false,"suffix":""},{"dropping-particle":"","family":"Wang","given":"Wenyi","non-dropping-particle":"","parse-names":false,"suffix":""}],"container-title":"Carbohydrate Polymers","id":"ITEM-1","issued":{"date-parts":[["2020","5"]]},"page":"116074","title":"Drug delivery system of dual-responsive PF127 hydrogel with polysaccharide-based nano-conjugate for textile-based transdermal therapy","type":"article-journal","volume":"236"},"uris":["http://www.mendeley.com/documents/?uuid=3e54ba11-029d-4668-8fe5-b0a4c2b5184e"]}],"mendeley":{"formattedCitation":"&lt;sup&gt;246&lt;/sup&gt;","plainTextFormattedCitation":"246","previouslyFormattedCitation":"&lt;sup&gt;246&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246</w:t>
      </w:r>
      <w:r w:rsidRPr="006D631C">
        <w:rPr>
          <w:rFonts w:asciiTheme="majorBidi" w:hAnsiTheme="majorBidi" w:cstheme="majorBidi"/>
        </w:rPr>
        <w:fldChar w:fldCharType="end"/>
      </w:r>
      <w:r w:rsidRPr="006D631C">
        <w:rPr>
          <w:rFonts w:asciiTheme="majorBidi" w:hAnsiTheme="majorBidi" w:cstheme="majorBidi"/>
        </w:rPr>
        <w:t xml:space="preserve"> In combination with water and other components (e.g., acids), this commercially available copolymer, which possess FDA approval</w:t>
      </w:r>
      <w:r w:rsidR="00F568C3"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{"citationItems":[{"id":"ITEM-1","itemData":{"DOI":"10.3390/molecules24142547","ISSN":"1420-3049","PMID":"31336916","abstract":"This review describes some commercially available stimuli-responsive polymers of natural and synthetic origin, and their applications in drug delivery and textiles. The polymers of natural origin such as chitosan, cellulose, albumin, and gelatin are found to show both thermo-responsive and pH-responsive properties and these features of the biopolymers impart sensitivity to act differently under different temperatures and pH conditions. The stimuli-responsive characters of these natural polymers have been discussed in the review, and their respective applications in drug delivery and textile especially for textile-based transdermal therapy have been emphasized. Some practically important thermo-responsive polymers such as pluronic F127 (PF127) and poly(N-isopropylacrylamide) (pNIPAAm) of synthetic origin have been discussed in the review and they are of great importance commercially because of their in situ gel formation capacity. Some pH-responsive synthetic polymers have been discussed depending on their surface charge, and their drug delivery and textile applications have been discussed in this review. The selected stimuli-responsive polymers of synthetic origin are commercially available. Above all, the applications of bio-based or synthetic stimuli-responsive polymers in textile-based transdermal therapy are given special regard apart from their general drug delivery applications. A special insight has been given for stimuli-responsive hydrogel drug delivery systems for textile-based transdermal therapy, which is critical for the treatment of skin disease atopic dermatitis.","author":[{"dropping-particle":"","family":"CHATTERJEE","given":"Sudipta","non-dropping-particle":"","parse-names":false,"suffix":""},{"dropping-particle":"","family":"Chi-leung HUI","given":"Patrick","non-dropping-particle":"","parse-names":false,"suffix":""}],"container-title":"Molecules","id":"ITEM-1","issue":"14","issued":{"date-parts":[["2019","7","12"]]},"page":"2547","title":"Review of Stimuli-Responsive Polymers in Drug Delivery and Textile Application","type":"article-journal","volume":"24"},"uris":["http://www.mendeley.com/documents/?uuid=27ad4a13-8abb-4b27-94c8-7d7e0b4c9aff"]}],"mendeley":{"formattedCitation":"&lt;sup&gt;247&lt;/sup&gt;","plainTextFormattedCitation":"247","previouslyFormattedCitation":"&lt;sup&gt;247&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247</w:t>
      </w:r>
      <w:r w:rsidRPr="006D631C">
        <w:rPr>
          <w:rFonts w:asciiTheme="majorBidi" w:hAnsiTheme="majorBidi" w:cstheme="majorBidi"/>
        </w:rPr>
        <w:fldChar w:fldCharType="end"/>
      </w:r>
      <w:r w:rsidRPr="006D631C">
        <w:rPr>
          <w:rFonts w:asciiTheme="majorBidi" w:hAnsiTheme="majorBidi" w:cstheme="majorBidi"/>
        </w:rPr>
        <w:t xml:space="preserve"> can form gels having LCST at about 25-37 °C</w:t>
      </w:r>
      <w:r w:rsidR="00F568C3"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10.1038/s41598-019-48254-6","ISSN":"2045-2322","author":[{"dropping-particle":"","family":"Chatterjee","given":"Sudipta","non-dropping-particle":"","parse-names":false,"suffix":""},{"dropping-particle":"","family":"Hui","given":"Patrick Chi-leung","non-dropping-particle":"","parse-names":false,"suffix":""},{"dropping-particle":"","family":"Kan","given":"Chi-wai","non-dropping-particle":"","parse-names":false,"suffix":""},{"dropping-particle":"","family":"Wang","given":"Wenyi","non-dropping-particle":"","parse-names":false,"suffix":""}],"container-title":"Scientific Reports","id":"ITEM-1","issue":"1","issued":{"date-parts":[["2019","12","12"]]},"page":"11658","title":"Dual-responsive (pH/temperature) Pluronic F-127 hydrogel drug delivery system for textile-based transdermal therapy","type":"article-journal","volume":"9"},"uris":["http://www.mendeley.com/documents/?uuid=9e3098be-5070-47f2-bb47-66c167318628"]}],"mendeley":{"formattedCitation":"&lt;sup&gt;248&lt;/sup&gt;","plainTextFormattedCitation":"248","previouslyFormattedCitation":"&lt;sup&gt;248&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248</w:t>
      </w:r>
      <w:r w:rsidRPr="006D631C">
        <w:rPr>
          <w:rFonts w:asciiTheme="majorBidi" w:hAnsiTheme="majorBidi" w:cstheme="majorBidi"/>
        </w:rPr>
        <w:fldChar w:fldCharType="end"/>
      </w:r>
      <w:r w:rsidRPr="006D631C">
        <w:rPr>
          <w:rFonts w:asciiTheme="majorBidi" w:hAnsiTheme="majorBidi" w:cstheme="majorBidi"/>
        </w:rPr>
        <w:t xml:space="preserve"> Moreover, </w:t>
      </w:r>
      <w:proofErr w:type="spellStart"/>
      <w:r w:rsidRPr="006D631C">
        <w:rPr>
          <w:rFonts w:asciiTheme="majorBidi" w:hAnsiTheme="majorBidi" w:cstheme="majorBidi"/>
        </w:rPr>
        <w:t>Holmqvist</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Pr="006D631C">
        <w:rPr>
          <w:rFonts w:asciiTheme="majorBidi" w:hAnsiTheme="majorBidi" w:cstheme="majorBidi"/>
        </w:rPr>
        <w:t xml:space="preserve"> showed that a mixture of F127, water, and </w:t>
      </w:r>
      <w:r w:rsidRPr="006D631C">
        <w:rPr>
          <w:rFonts w:asciiTheme="majorBidi" w:hAnsiTheme="majorBidi" w:cstheme="majorBidi"/>
          <w:i/>
          <w:iCs/>
        </w:rPr>
        <w:t>p</w:t>
      </w:r>
      <w:r w:rsidRPr="006D631C">
        <w:rPr>
          <w:rFonts w:asciiTheme="majorBidi" w:hAnsiTheme="majorBidi" w:cstheme="majorBidi"/>
        </w:rPr>
        <w:t>-xylene can create different LLC structures (e.g., lamellar and hexagonal)</w:t>
      </w:r>
      <w:r w:rsidR="007C69EC" w:rsidRPr="006D631C">
        <w:rPr>
          <w:rFonts w:asciiTheme="majorBidi" w:hAnsiTheme="majorBidi" w:cstheme="majorBidi"/>
        </w:rPr>
        <w:t>.</w:t>
      </w:r>
      <w:r w:rsidRPr="006D631C">
        <w:rPr>
          <w:rFonts w:asciiTheme="majorBidi" w:hAnsiTheme="majorBidi" w:cstheme="majorBidi"/>
        </w:rPr>
        <w:fldChar w:fldCharType="begin" w:fldLock="1"/>
      </w:r>
      <w:r w:rsidR="008C44EC" w:rsidRPr="006D631C">
        <w:rPr>
          <w:rFonts w:asciiTheme="majorBidi" w:hAnsiTheme="majorBidi" w:cstheme="majorBidi"/>
        </w:rPr>
        <w:instrText>ADDIN CSL_CITATION {"citationItems":[{"id":"ITEM-1","itemData":{"DOI":"10.1021/ma970625q","ISSN":"0024-9297","abstract":"Amphiphilic block copolymers can self-assemble in the presence of selective solvents (\"water\" and \"oil\") into a variety of different microstructures. The role that \"oil\" plays in the phase behavior and structure of copolymer-oil-water systems is the focus of the present investigation. We examined a poloxamer-type poly(ethylene oxide)-poly(propylene oxide)-poly(ethylene oxide) triblock copolymer (Pluronic F127: E100P70E100) in ternary isothermal systems with water and each of three \"oils\" (of varying polarity), p-xylene, re-butyl acetate and butan-1-ol. A total of six phases with different microstructures have been identified in the ternary systems studied here: normal (oil-in-water) micellar cubic (I1), normal hexagonal (H1), lamellar (Lα), and reverse (water-in-oil) hexagonal (H2) lyotropic liquid crystals, and normal micellar (L1) and reverse micellar (L2) solutions. The number and types of phases, as well as the composition range of their stability, are different for each ternary system, reflecting the effects of oil. Systematic small-angle X-ray scattering (SAXS) measurements have been performed in order to establish the structure of the phases and determine their characteristic length-scales. The location of the \"oils\" in the different self-assembled microstructures has been deduced from the structural dimensions obtained from SAXS and the constraints imposed by the copolymer total volume fraction and interfacial area: all xylene is present in the interior (apolar core) of the oil-in-water microdomains and butanol is located at the interfacial region between poly(propylene oxide) and poly(ethylene oxide), while butyl acetate contributes to both the core and the interfacial domains.","author":[{"dropping-particle":"","family":"Holmqvist","given":"Peter","non-dropping-particle":"","parse-names":false,"suffix":""},{"dropping-particle":"","family":"Alexandridis","given":"Paschalis","non-dropping-particle":"","parse-names":false,"suffix":""},{"dropping-particle":"","family":"Lindman","given":"Björn","non-dropping-particle":"","parse-names":false,"suffix":""}],"container-title":"Macromolecules","id":"ITEM-1","issue":"22","issued":{"date-parts":[["1997","11"]]},"page":"6788-6797","title":"Modification of the Microstructure in Poloxamer Block Copolymer−Water−“Oil” Systems by Varying the “Oil” Type","type":"article-journal","volume":"30"},"uris":["http://www.mendeley.com/documents/?uuid=3cf97da7-0a93-4402-9252-d67e07fda8ca"]}],"mendeley":{"formattedCitation":"&lt;sup&gt;209&lt;/sup&gt;","plainTextFormattedCitation":"209","previouslyFormattedCitation":"&lt;sup&gt;209&lt;/sup&gt;"},"properties":{"noteIndex":0},"schema":"https://github.com/citation-style-language/schema/raw/master/csl-citation.json"}</w:instrText>
      </w:r>
      <w:r w:rsidRPr="006D631C">
        <w:rPr>
          <w:rFonts w:asciiTheme="majorBidi" w:hAnsiTheme="majorBidi" w:cstheme="majorBidi"/>
        </w:rPr>
        <w:fldChar w:fldCharType="separate"/>
      </w:r>
      <w:r w:rsidR="00905D9A" w:rsidRPr="006D631C">
        <w:rPr>
          <w:rFonts w:asciiTheme="majorBidi" w:hAnsiTheme="majorBidi" w:cstheme="majorBidi"/>
          <w:noProof/>
          <w:vertAlign w:val="superscript"/>
        </w:rPr>
        <w:t>209</w:t>
      </w:r>
      <w:r w:rsidRPr="006D631C">
        <w:rPr>
          <w:rFonts w:asciiTheme="majorBidi" w:hAnsiTheme="majorBidi" w:cstheme="majorBidi"/>
        </w:rPr>
        <w:fldChar w:fldCharType="end"/>
      </w:r>
      <w:r w:rsidRPr="006D631C">
        <w:rPr>
          <w:rFonts w:asciiTheme="majorBidi" w:hAnsiTheme="majorBidi" w:cstheme="majorBidi"/>
        </w:rPr>
        <w:t xml:space="preserve"> Furthermore, </w:t>
      </w:r>
      <w:proofErr w:type="spellStart"/>
      <w:r w:rsidRPr="006D631C">
        <w:rPr>
          <w:rFonts w:asciiTheme="majorBidi" w:hAnsiTheme="majorBidi" w:cstheme="majorBidi"/>
        </w:rPr>
        <w:t>Qavi</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Pr="006D631C">
        <w:rPr>
          <w:rFonts w:asciiTheme="majorBidi" w:hAnsiTheme="majorBidi" w:cstheme="majorBidi"/>
        </w:rPr>
        <w:t xml:space="preserve"> have recently shown the possibility of fabricating UF membranes though the polymerization of LLCs created by Pluronic copolymers. Their work has proved that the chains of Pluronic copolymer remain in the structure of the obtained polyLLC</w:t>
      </w:r>
      <w:r w:rsidR="00C41EF6" w:rsidRPr="006D631C">
        <w:rPr>
          <w:rFonts w:asciiTheme="majorBidi" w:hAnsiTheme="majorBidi" w:cstheme="majorBidi"/>
        </w:rPr>
        <w:t>.</w:t>
      </w:r>
      <w:r w:rsidRPr="006D631C">
        <w:rPr>
          <w:rFonts w:asciiTheme="majorBidi" w:hAnsiTheme="majorBidi" w:cstheme="majorBidi"/>
        </w:rPr>
        <w:fldChar w:fldCharType="begin" w:fldLock="1"/>
      </w:r>
      <w:r w:rsidR="00151959"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32</w:t>
      </w:r>
      <w:r w:rsidRPr="006D631C">
        <w:rPr>
          <w:rFonts w:asciiTheme="majorBidi" w:hAnsiTheme="majorBidi" w:cstheme="majorBidi"/>
        </w:rPr>
        <w:fldChar w:fldCharType="end"/>
      </w:r>
      <w:r w:rsidRPr="006D631C">
        <w:rPr>
          <w:rFonts w:asciiTheme="majorBidi" w:hAnsiTheme="majorBidi" w:cstheme="majorBidi"/>
        </w:rPr>
        <w:t xml:space="preserve"> Inspired by the aforementioned studies, we prepared a polyLLC with lamellar structure from F127 for producing UF membranes with thermoresponsive behavior. The obtained polyLLC exhibited thermoresponsiveness at ~35 and ~50 °C thanks to the </w:t>
      </w:r>
      <w:r w:rsidR="003D03D1" w:rsidRPr="006D631C">
        <w:rPr>
          <w:rFonts w:asciiTheme="majorBidi" w:hAnsiTheme="majorBidi" w:cstheme="majorBidi"/>
        </w:rPr>
        <w:t>LCST</w:t>
      </w:r>
      <w:r w:rsidRPr="006D631C">
        <w:rPr>
          <w:rFonts w:asciiTheme="majorBidi" w:hAnsiTheme="majorBidi" w:cstheme="majorBidi"/>
        </w:rPr>
        <w:t xml:space="preserve"> of F127 and melting of the crystalline structure of</w:t>
      </w:r>
      <w:r w:rsidR="0030092E" w:rsidRPr="006D631C">
        <w:rPr>
          <w:rFonts w:asciiTheme="majorBidi" w:hAnsiTheme="majorBidi" w:cstheme="majorBidi"/>
        </w:rPr>
        <w:t xml:space="preserve"> PEO</w:t>
      </w:r>
      <w:r w:rsidRPr="006D631C">
        <w:rPr>
          <w:rFonts w:asciiTheme="majorBidi" w:hAnsiTheme="majorBidi" w:cstheme="majorBidi"/>
        </w:rPr>
        <w:t xml:space="preserve"> chains of the surfactant, respectively. The membrane obtained from the polyLLC showed dynamic permeability in response to the temperature with an excellent reversibility. Furthermore, taking the advantage of this thermal response, it was possible to increase the cleaning efficiency of the fouled membrane. The most important strengths of this work are the use of commercially available raw materials and employing a straightforward processing technique to create </w:t>
      </w:r>
      <w:r w:rsidRPr="006D631C">
        <w:rPr>
          <w:color w:val="020202"/>
        </w:rPr>
        <w:t>two-step thermoresponsive UF membranes</w:t>
      </w:r>
      <w:r w:rsidRPr="006D631C">
        <w:rPr>
          <w:rFonts w:asciiTheme="majorBidi" w:hAnsiTheme="majorBidi" w:cstheme="majorBidi"/>
        </w:rPr>
        <w:t>.</w:t>
      </w:r>
    </w:p>
    <w:p w14:paraId="26A8C1BE" w14:textId="4F315493" w:rsidR="00D96B8C" w:rsidRPr="006D631C" w:rsidRDefault="00D96B8C" w:rsidP="00BE46C1">
      <w:pPr>
        <w:pStyle w:val="Heading2"/>
      </w:pPr>
      <w:bookmarkStart w:id="126" w:name="_Toc148175816"/>
      <w:r w:rsidRPr="006D631C">
        <w:lastRenderedPageBreak/>
        <w:t>3.2 Experimental</w:t>
      </w:r>
      <w:bookmarkEnd w:id="126"/>
    </w:p>
    <w:p w14:paraId="331D4E25" w14:textId="42E7253A" w:rsidR="00D96B8C" w:rsidRPr="006D631C" w:rsidRDefault="00D96B8C" w:rsidP="00BE46C1">
      <w:pPr>
        <w:pStyle w:val="Heading3"/>
      </w:pPr>
      <w:bookmarkStart w:id="127" w:name="_Toc148175817"/>
      <w:r w:rsidRPr="006D631C">
        <w:t>3.2.1 Materials</w:t>
      </w:r>
      <w:bookmarkEnd w:id="127"/>
      <w:r w:rsidRPr="006D631C">
        <w:t xml:space="preserve"> </w:t>
      </w:r>
    </w:p>
    <w:p w14:paraId="064BBD28" w14:textId="5A1EE873" w:rsidR="00D96B8C" w:rsidRPr="006D631C" w:rsidRDefault="00C8556E" w:rsidP="00206332">
      <w:pPr>
        <w:ind w:firstLine="357"/>
        <w:rPr>
          <w:rFonts w:asciiTheme="majorBidi" w:hAnsiTheme="majorBidi" w:cstheme="majorBidi"/>
        </w:rPr>
      </w:pPr>
      <w:r w:rsidRPr="006D631C">
        <w:rPr>
          <w:rFonts w:asciiTheme="majorBidi" w:hAnsiTheme="majorBidi" w:cstheme="majorBidi"/>
        </w:rPr>
        <w:t>Pluronic F127 copolymer, PEO</w:t>
      </w:r>
      <w:r w:rsidRPr="006D631C">
        <w:rPr>
          <w:rFonts w:asciiTheme="majorBidi" w:hAnsiTheme="majorBidi" w:cstheme="majorBidi"/>
          <w:vertAlign w:val="subscript"/>
        </w:rPr>
        <w:t>106</w:t>
      </w:r>
      <w:r w:rsidRPr="006D631C">
        <w:rPr>
          <w:rFonts w:asciiTheme="majorBidi" w:hAnsiTheme="majorBidi" w:cstheme="majorBidi"/>
        </w:rPr>
        <w:t>−PPO</w:t>
      </w:r>
      <w:r w:rsidRPr="006D631C">
        <w:rPr>
          <w:rFonts w:asciiTheme="majorBidi" w:hAnsiTheme="majorBidi" w:cstheme="majorBidi"/>
          <w:vertAlign w:val="subscript"/>
        </w:rPr>
        <w:t>70</w:t>
      </w:r>
      <w:r w:rsidRPr="006D631C">
        <w:rPr>
          <w:rFonts w:asciiTheme="majorBidi" w:hAnsiTheme="majorBidi" w:cstheme="majorBidi"/>
        </w:rPr>
        <w:t>−PEO</w:t>
      </w:r>
      <w:r w:rsidRPr="006D631C">
        <w:rPr>
          <w:rFonts w:asciiTheme="majorBidi" w:hAnsiTheme="majorBidi" w:cstheme="majorBidi"/>
          <w:vertAlign w:val="subscript"/>
        </w:rPr>
        <w:t>106</w:t>
      </w:r>
      <w:r w:rsidRPr="006D631C">
        <w:rPr>
          <w:rFonts w:asciiTheme="majorBidi" w:hAnsiTheme="majorBidi" w:cstheme="majorBidi"/>
        </w:rPr>
        <w:t>, with M</w:t>
      </w:r>
      <w:r w:rsidRPr="006D631C">
        <w:rPr>
          <w:rFonts w:asciiTheme="majorBidi" w:hAnsiTheme="majorBidi" w:cstheme="majorBidi"/>
          <w:vertAlign w:val="subscript"/>
        </w:rPr>
        <w:t>w</w:t>
      </w:r>
      <w:r w:rsidRPr="006D631C">
        <w:rPr>
          <w:rFonts w:asciiTheme="majorBidi" w:hAnsiTheme="majorBidi" w:cstheme="majorBidi"/>
        </w:rPr>
        <w:t xml:space="preserve"> of ~12,500 g/</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was kindly provided by BASF. </w:t>
      </w:r>
      <w:proofErr w:type="spellStart"/>
      <w:proofErr w:type="gramStart"/>
      <w:r w:rsidRPr="006D631C">
        <w:rPr>
          <w:rFonts w:asciiTheme="majorBidi" w:hAnsiTheme="majorBidi" w:cstheme="majorBidi"/>
          <w:i/>
          <w:iCs/>
        </w:rPr>
        <w:t>n</w:t>
      </w:r>
      <w:r w:rsidRPr="006D631C">
        <w:rPr>
          <w:rFonts w:asciiTheme="majorBidi" w:hAnsiTheme="majorBidi" w:cstheme="majorBidi"/>
        </w:rPr>
        <w:t>BA</w:t>
      </w:r>
      <w:proofErr w:type="spellEnd"/>
      <w:proofErr w:type="gramEnd"/>
      <w:r w:rsidRPr="006D631C">
        <w:rPr>
          <w:rFonts w:asciiTheme="majorBidi" w:hAnsiTheme="majorBidi" w:cstheme="majorBidi"/>
        </w:rPr>
        <w:t xml:space="preserve">, EGDMA, APS, and </w:t>
      </w:r>
      <w:r w:rsidR="00206332" w:rsidRPr="006D631C">
        <w:rPr>
          <w:rFonts w:asciiTheme="majorBidi" w:hAnsiTheme="majorBidi" w:cstheme="majorBidi"/>
        </w:rPr>
        <w:t>AIBN</w:t>
      </w:r>
      <w:r w:rsidRPr="006D631C">
        <w:rPr>
          <w:rFonts w:asciiTheme="majorBidi" w:hAnsiTheme="majorBidi" w:cstheme="majorBidi"/>
        </w:rPr>
        <w:t xml:space="preserve"> were purchased from Sigma-Aldrich and used as received. </w:t>
      </w:r>
      <w:r w:rsidR="00206332" w:rsidRPr="006D631C">
        <w:rPr>
          <w:rFonts w:asciiTheme="majorBidi" w:hAnsiTheme="majorBidi" w:cstheme="majorBidi"/>
        </w:rPr>
        <w:t>DI</w:t>
      </w:r>
      <w:r w:rsidRPr="006D631C">
        <w:rPr>
          <w:rFonts w:asciiTheme="majorBidi" w:hAnsiTheme="majorBidi" w:cstheme="majorBidi"/>
        </w:rPr>
        <w:t xml:space="preserve"> water with a conductivity of 0.055 </w:t>
      </w:r>
      <w:proofErr w:type="spellStart"/>
      <w:r w:rsidRPr="006D631C">
        <w:rPr>
          <w:rFonts w:asciiTheme="majorBidi" w:hAnsiTheme="majorBidi" w:cstheme="majorBidi"/>
        </w:rPr>
        <w:t>μs</w:t>
      </w:r>
      <w:proofErr w:type="spellEnd"/>
      <w:r w:rsidRPr="006D631C">
        <w:rPr>
          <w:rFonts w:asciiTheme="majorBidi" w:hAnsiTheme="majorBidi" w:cstheme="majorBidi"/>
        </w:rPr>
        <w:t>/cm (obtained from EMD Millipore Direct-Q3) was used in all experiments. Bovine serum albumin (BSA) was purchased from</w:t>
      </w:r>
      <w:r w:rsidRPr="006D631C">
        <w:t xml:space="preserve"> </w:t>
      </w:r>
      <w:r w:rsidRPr="006D631C">
        <w:rPr>
          <w:rFonts w:asciiTheme="majorBidi" w:hAnsiTheme="majorBidi" w:cstheme="majorBidi"/>
        </w:rPr>
        <w:t xml:space="preserve">Sigma-Aldrich and used as a membrane </w:t>
      </w:r>
      <w:proofErr w:type="spellStart"/>
      <w:r w:rsidRPr="006D631C">
        <w:rPr>
          <w:rFonts w:asciiTheme="majorBidi" w:hAnsiTheme="majorBidi" w:cstheme="majorBidi"/>
        </w:rPr>
        <w:t>foulant</w:t>
      </w:r>
      <w:proofErr w:type="spellEnd"/>
      <w:r w:rsidRPr="006D631C">
        <w:rPr>
          <w:rFonts w:asciiTheme="majorBidi" w:hAnsiTheme="majorBidi" w:cstheme="majorBidi"/>
        </w:rPr>
        <w:t xml:space="preserve">.  For molecular weight cut-off (MWCO) measurements, we used PEO with different molecular weights (100, 200, 300, 400, 600 and 900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from Sigma-Aldrich. Nonwoven polyester sheets with 2 </w:t>
      </w:r>
      <w:proofErr w:type="spellStart"/>
      <w:r w:rsidRPr="006D631C">
        <w:rPr>
          <w:rFonts w:asciiTheme="majorBidi" w:hAnsiTheme="majorBidi" w:cstheme="majorBidi"/>
        </w:rPr>
        <w:t>μm</w:t>
      </w:r>
      <w:proofErr w:type="spellEnd"/>
      <w:r w:rsidRPr="006D631C">
        <w:rPr>
          <w:rFonts w:asciiTheme="majorBidi" w:hAnsiTheme="majorBidi" w:cstheme="majorBidi"/>
        </w:rPr>
        <w:t xml:space="preserve"> porosity (</w:t>
      </w:r>
      <w:proofErr w:type="spellStart"/>
      <w:r w:rsidRPr="006D631C">
        <w:rPr>
          <w:rFonts w:asciiTheme="majorBidi" w:hAnsiTheme="majorBidi" w:cstheme="majorBidi"/>
        </w:rPr>
        <w:t>CraneMat</w:t>
      </w:r>
      <w:proofErr w:type="spellEnd"/>
      <w:r w:rsidRPr="006D631C">
        <w:rPr>
          <w:rFonts w:asciiTheme="majorBidi" w:hAnsiTheme="majorBidi" w:cstheme="majorBidi"/>
          <w:vertAlign w:val="superscript"/>
        </w:rPr>
        <w:t>®</w:t>
      </w:r>
      <w:r w:rsidRPr="006D631C">
        <w:rPr>
          <w:rFonts w:asciiTheme="majorBidi" w:hAnsiTheme="majorBidi" w:cstheme="majorBidi"/>
        </w:rPr>
        <w:t xml:space="preserve"> CU463) were kindly provided by Neenah Filtration and employed as a support layer for membrane fabrication. Moreover, a commercially available </w:t>
      </w:r>
      <w:proofErr w:type="spellStart"/>
      <w:r w:rsidRPr="006D631C">
        <w:rPr>
          <w:rFonts w:asciiTheme="majorBidi" w:hAnsiTheme="majorBidi" w:cstheme="majorBidi"/>
        </w:rPr>
        <w:t>polyacrylonitrile</w:t>
      </w:r>
      <w:proofErr w:type="spellEnd"/>
      <w:r w:rsidRPr="006D631C">
        <w:rPr>
          <w:rFonts w:asciiTheme="majorBidi" w:hAnsiTheme="majorBidi" w:cstheme="majorBidi"/>
        </w:rPr>
        <w:t xml:space="preserve"> (PAN) UF membrane with a rejection size of 400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was purchased from </w:t>
      </w:r>
      <w:proofErr w:type="spellStart"/>
      <w:r w:rsidRPr="006D631C">
        <w:rPr>
          <w:rFonts w:asciiTheme="majorBidi" w:hAnsiTheme="majorBidi" w:cstheme="majorBidi"/>
        </w:rPr>
        <w:t>Sterlitech</w:t>
      </w:r>
      <w:proofErr w:type="spellEnd"/>
      <w:r w:rsidRPr="006D631C">
        <w:rPr>
          <w:rFonts w:asciiTheme="majorBidi" w:hAnsiTheme="majorBidi" w:cstheme="majorBidi"/>
        </w:rPr>
        <w:t xml:space="preserve"> Corporation (YMPX3001, </w:t>
      </w:r>
      <w:proofErr w:type="spellStart"/>
      <w:r w:rsidRPr="006D631C">
        <w:rPr>
          <w:rFonts w:asciiTheme="majorBidi" w:hAnsiTheme="majorBidi" w:cstheme="majorBidi"/>
        </w:rPr>
        <w:t>Synder</w:t>
      </w:r>
      <w:proofErr w:type="spellEnd"/>
      <w:r w:rsidRPr="006D631C">
        <w:rPr>
          <w:rFonts w:asciiTheme="majorBidi" w:hAnsiTheme="majorBidi" w:cstheme="majorBidi"/>
        </w:rPr>
        <w:t xml:space="preserve"> Flat Sheet Membrane) and used for comparison in this study.</w:t>
      </w:r>
    </w:p>
    <w:p w14:paraId="36444958" w14:textId="41165C72" w:rsidR="00851A7A" w:rsidRPr="006D631C" w:rsidRDefault="00851A7A" w:rsidP="00BE46C1">
      <w:pPr>
        <w:pStyle w:val="Heading3"/>
      </w:pPr>
      <w:bookmarkStart w:id="128" w:name="_Toc148175818"/>
      <w:r w:rsidRPr="006D631C">
        <w:t xml:space="preserve">3.2.2 </w:t>
      </w:r>
      <w:r w:rsidR="00535B48" w:rsidRPr="006D631C">
        <w:t>Preparation of LLC</w:t>
      </w:r>
      <w:bookmarkEnd w:id="128"/>
      <w:r w:rsidRPr="006D631C">
        <w:t xml:space="preserve"> </w:t>
      </w:r>
    </w:p>
    <w:p w14:paraId="74BE7EFF" w14:textId="29E0405B" w:rsidR="00851A7A" w:rsidRPr="006D631C" w:rsidRDefault="00535B48" w:rsidP="00851A7A">
      <w:pPr>
        <w:ind w:firstLine="357"/>
        <w:rPr>
          <w:rFonts w:asciiTheme="majorBidi" w:hAnsiTheme="majorBidi" w:cstheme="majorBidi"/>
        </w:rPr>
      </w:pPr>
      <w:r w:rsidRPr="006D631C">
        <w:rPr>
          <w:color w:val="020202"/>
        </w:rPr>
        <w:t>To prepare the lamellar mesophase, F127, water (containing APS) and oil (</w:t>
      </w:r>
      <w:proofErr w:type="spellStart"/>
      <w:proofErr w:type="gramStart"/>
      <w:r w:rsidRPr="006D631C">
        <w:rPr>
          <w:i/>
          <w:iCs/>
          <w:color w:val="020202"/>
        </w:rPr>
        <w:t>n</w:t>
      </w:r>
      <w:r w:rsidRPr="006D631C">
        <w:rPr>
          <w:color w:val="020202"/>
        </w:rPr>
        <w:t>BA</w:t>
      </w:r>
      <w:proofErr w:type="spellEnd"/>
      <w:proofErr w:type="gramEnd"/>
      <w:r w:rsidRPr="006D631C">
        <w:rPr>
          <w:color w:val="020202"/>
        </w:rPr>
        <w:t xml:space="preserve"> and EGDMA) were mixed with weight ratio of F127/water/oil 50/20/30. EGDMA and APS concentration was 20 and 7 </w:t>
      </w:r>
      <w:proofErr w:type="spellStart"/>
      <w:r w:rsidRPr="006D631C">
        <w:rPr>
          <w:color w:val="020202"/>
        </w:rPr>
        <w:t>wt</w:t>
      </w:r>
      <w:proofErr w:type="spellEnd"/>
      <w:r w:rsidRPr="006D631C">
        <w:rPr>
          <w:color w:val="020202"/>
        </w:rPr>
        <w:t xml:space="preserve">% with respect to </w:t>
      </w:r>
      <w:proofErr w:type="spellStart"/>
      <w:proofErr w:type="gramStart"/>
      <w:r w:rsidRPr="006D631C">
        <w:rPr>
          <w:i/>
          <w:iCs/>
          <w:color w:val="020202"/>
        </w:rPr>
        <w:t>n</w:t>
      </w:r>
      <w:r w:rsidRPr="006D631C">
        <w:rPr>
          <w:color w:val="020202"/>
        </w:rPr>
        <w:t>BA</w:t>
      </w:r>
      <w:proofErr w:type="spellEnd"/>
      <w:proofErr w:type="gramEnd"/>
      <w:r w:rsidRPr="006D631C">
        <w:rPr>
          <w:color w:val="020202"/>
        </w:rPr>
        <w:t xml:space="preserve"> content, respectively. Briefly, all the components were mixed in a 50 ml centrifugal tube by hand mixing and centrifugation at 10,000 rpm for 30 min. Until obtaining a transparent gel, the hand mixing and centrifugation were repeated.</w:t>
      </w:r>
    </w:p>
    <w:p w14:paraId="3ECDF64D" w14:textId="03A6B53E" w:rsidR="00817242" w:rsidRPr="006D631C" w:rsidRDefault="00817242" w:rsidP="00BE46C1">
      <w:pPr>
        <w:pStyle w:val="Heading3"/>
      </w:pPr>
      <w:bookmarkStart w:id="129" w:name="_Toc148175819"/>
      <w:r w:rsidRPr="006D631C">
        <w:t>3.2.3 Characterization of LLC and polyLLC</w:t>
      </w:r>
      <w:bookmarkEnd w:id="129"/>
      <w:r w:rsidRPr="006D631C">
        <w:t xml:space="preserve"> </w:t>
      </w:r>
    </w:p>
    <w:p w14:paraId="356096E8" w14:textId="0C89CE12" w:rsidR="00754961" w:rsidRPr="006D631C" w:rsidRDefault="00754961" w:rsidP="00F73AEA">
      <w:pPr>
        <w:pStyle w:val="Heading4"/>
      </w:pPr>
      <w:bookmarkStart w:id="130" w:name="_Toc148175820"/>
      <w:r w:rsidRPr="006D631C">
        <w:t>3.2.3.1 Cross-polarized light microscopy (CPLM)</w:t>
      </w:r>
      <w:bookmarkEnd w:id="130"/>
      <w:r w:rsidRPr="006D631C">
        <w:t xml:space="preserve"> </w:t>
      </w:r>
    </w:p>
    <w:p w14:paraId="05F855CE" w14:textId="77777777" w:rsidR="00754961" w:rsidRPr="006D631C" w:rsidRDefault="00754961" w:rsidP="00754961">
      <w:pPr>
        <w:rPr>
          <w:rFonts w:eastAsiaTheme="majorEastAsia"/>
        </w:rPr>
      </w:pPr>
    </w:p>
    <w:p w14:paraId="7E6EAF4D" w14:textId="7C6FEEA3" w:rsidR="00817242" w:rsidRPr="006D631C" w:rsidRDefault="00B57C68" w:rsidP="00817242">
      <w:pPr>
        <w:ind w:firstLine="357"/>
        <w:rPr>
          <w:rFonts w:asciiTheme="majorBidi" w:hAnsiTheme="majorBidi" w:cstheme="majorBidi"/>
        </w:rPr>
      </w:pPr>
      <w:r w:rsidRPr="006D631C">
        <w:rPr>
          <w:rFonts w:asciiTheme="majorBidi" w:hAnsiTheme="majorBidi" w:cstheme="majorBidi"/>
        </w:rPr>
        <w:lastRenderedPageBreak/>
        <w:t>The birefringence of lamellar LLC structure was examined by a cross-polarized Nikon microscope (model LABOPHOT2-POL) equipped with a digital camera before and after polymerization. For sample preparation, about 0.2 gr of uncured LLC sample was sandwiched between a glass slide and a glass cover slip. In the case of polyLLC, the test was carried out after curing the LLC at 65 ̊C for 24 h.</w:t>
      </w:r>
    </w:p>
    <w:p w14:paraId="3068BF14" w14:textId="4DF9F99A" w:rsidR="003A69BB" w:rsidRPr="006D631C" w:rsidRDefault="003A69BB" w:rsidP="003A69BB">
      <w:pPr>
        <w:pStyle w:val="Heading4"/>
      </w:pPr>
      <w:bookmarkStart w:id="131" w:name="_Toc148175821"/>
      <w:r w:rsidRPr="006D631C">
        <w:t>3.2.3.2 Small angle X-ray scattering (SAXS)</w:t>
      </w:r>
      <w:bookmarkEnd w:id="131"/>
      <w:r w:rsidRPr="006D631C">
        <w:t xml:space="preserve"> </w:t>
      </w:r>
    </w:p>
    <w:p w14:paraId="21835268" w14:textId="13E8003B" w:rsidR="003A69BB" w:rsidRPr="006D631C" w:rsidRDefault="000A3A77" w:rsidP="0072669A">
      <w:pPr>
        <w:ind w:firstLine="357"/>
        <w:rPr>
          <w:rFonts w:asciiTheme="majorBidi" w:hAnsiTheme="majorBidi" w:cstheme="majorBidi"/>
        </w:rPr>
      </w:pPr>
      <w:r w:rsidRPr="006D631C">
        <w:rPr>
          <w:rFonts w:asciiTheme="majorBidi" w:hAnsiTheme="majorBidi" w:cstheme="majorBidi"/>
        </w:rPr>
        <w:t>SAXS</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10.1016/j.trac.2020.116144","ISSN":"01659936","author":[{"dropping-particle":"","family":"Thakral","given":"Seema","non-dropping-particle":"","parse-names":false,"suffix":""},{"dropping-particle":"","family":"Kim","given":"Kyungtae","non-dropping-particle":"","parse-names":false,"suffix":""}],"container-title":"TrAC Trends in Analytical Chemistry","id":"ITEM-1","issued":{"date-parts":[["2021","1"]]},"page":"116144","title":"Small-angle scattering for characterization of pharmaceutical materials","type":"article-journal","volume":"134"},"uris":["http://www.mendeley.com/documents/?uuid=25207dc6-6d92-4972-ad84-584262d9c963"]}],"mendeley":{"formattedCitation":"&lt;sup&gt;249&lt;/sup&gt;","plainTextFormattedCitation":"249","previouslyFormattedCitation":"&lt;sup&gt;249&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249</w:t>
      </w:r>
      <w:r w:rsidRPr="006D631C">
        <w:rPr>
          <w:rFonts w:asciiTheme="majorBidi" w:hAnsiTheme="majorBidi" w:cstheme="majorBidi"/>
        </w:rPr>
        <w:fldChar w:fldCharType="end"/>
      </w:r>
      <w:r w:rsidRPr="006D631C">
        <w:rPr>
          <w:rFonts w:asciiTheme="majorBidi" w:hAnsiTheme="majorBidi" w:cstheme="majorBidi"/>
        </w:rPr>
        <w:t xml:space="preserve"> was used to confirm the structure of the LLC before and after polymerization. Centrifugation was used to load the LLC gel into quartz capillary with a nominal diameter of 1.5 mm (Charles Supper Company, Natick, MA) followed by sealing the capillary with epoxy glue. For SAXS analysis of polyLLC sample, the loaded LLC in the capillary tube was cured at 65 °C for 24 h. </w:t>
      </w:r>
      <w:r w:rsidR="003771D7" w:rsidRPr="006D631C">
        <w:rPr>
          <w:rFonts w:asciiTheme="majorBidi" w:hAnsiTheme="majorBidi" w:cstheme="majorBidi"/>
        </w:rPr>
        <w:t>2D</w:t>
      </w:r>
      <w:r w:rsidRPr="006D631C">
        <w:rPr>
          <w:rFonts w:asciiTheme="majorBidi" w:hAnsiTheme="majorBidi" w:cstheme="majorBidi"/>
        </w:rPr>
        <w:t xml:space="preserve"> scattering patterns were acquired from a Bruker </w:t>
      </w:r>
      <w:proofErr w:type="spellStart"/>
      <w:r w:rsidRPr="006D631C">
        <w:rPr>
          <w:rFonts w:asciiTheme="majorBidi" w:hAnsiTheme="majorBidi" w:cstheme="majorBidi"/>
        </w:rPr>
        <w:t>Nanostar</w:t>
      </w:r>
      <w:proofErr w:type="spellEnd"/>
      <w:r w:rsidRPr="006D631C">
        <w:rPr>
          <w:rFonts w:asciiTheme="majorBidi" w:hAnsiTheme="majorBidi" w:cstheme="majorBidi"/>
        </w:rPr>
        <w:t xml:space="preserve"> X-ray scattering system equipped with a monochromatic Cu Kα radiation source. Azimuthal integration of the 2D scattering patterns resulted in </w:t>
      </w:r>
      <w:r w:rsidR="004C6981" w:rsidRPr="006D631C">
        <w:rPr>
          <w:rFonts w:asciiTheme="majorBidi" w:hAnsiTheme="majorBidi" w:cstheme="majorBidi"/>
        </w:rPr>
        <w:t>1D</w:t>
      </w:r>
      <w:r w:rsidRPr="006D631C">
        <w:rPr>
          <w:rFonts w:asciiTheme="majorBidi" w:hAnsiTheme="majorBidi" w:cstheme="majorBidi"/>
        </w:rPr>
        <w:t xml:space="preserve"> scattering profiles.</w:t>
      </w:r>
    </w:p>
    <w:p w14:paraId="765D10B5" w14:textId="33961717" w:rsidR="00BE3798" w:rsidRPr="006D631C" w:rsidRDefault="00BE3798" w:rsidP="00BE3798">
      <w:pPr>
        <w:pStyle w:val="Heading4"/>
      </w:pPr>
      <w:bookmarkStart w:id="132" w:name="_Toc148175822"/>
      <w:r w:rsidRPr="006D631C">
        <w:t>3.2.3.3 Atomic force microscopy (AFM)</w:t>
      </w:r>
      <w:bookmarkEnd w:id="132"/>
      <w:r w:rsidRPr="006D631C">
        <w:t xml:space="preserve"> </w:t>
      </w:r>
    </w:p>
    <w:p w14:paraId="6B56D80D" w14:textId="3CF18D37" w:rsidR="00BE3798" w:rsidRPr="006D631C" w:rsidRDefault="00BE3798" w:rsidP="00BE3798">
      <w:pPr>
        <w:ind w:firstLine="357"/>
        <w:rPr>
          <w:rFonts w:asciiTheme="majorBidi" w:hAnsiTheme="majorBidi" w:cstheme="majorBidi"/>
        </w:rPr>
      </w:pPr>
      <w:r w:rsidRPr="006D631C">
        <w:rPr>
          <w:rFonts w:asciiTheme="majorBidi" w:hAnsiTheme="majorBidi" w:cstheme="majorBidi"/>
        </w:rPr>
        <w:t xml:space="preserve">Morphological analysis of polyLLC was performed using AFM. To do so, a piece of polyLLC was placed in liquid nitrogen for 20 min. The frozen sample was broken into small flat pieces for the cross-section observation. AFM studies were carried out on the broken surfaces using the tapping mode of a Bruker Dimension </w:t>
      </w:r>
      <w:proofErr w:type="spellStart"/>
      <w:r w:rsidRPr="006D631C">
        <w:rPr>
          <w:rFonts w:asciiTheme="majorBidi" w:hAnsiTheme="majorBidi" w:cstheme="majorBidi"/>
        </w:rPr>
        <w:t>FastScan</w:t>
      </w:r>
      <w:proofErr w:type="spellEnd"/>
      <w:r w:rsidRPr="006D631C">
        <w:rPr>
          <w:rFonts w:asciiTheme="majorBidi" w:hAnsiTheme="majorBidi" w:cstheme="majorBidi"/>
        </w:rPr>
        <w:t xml:space="preserve"> AFM instrument.</w:t>
      </w:r>
    </w:p>
    <w:p w14:paraId="4CA3DC94" w14:textId="7756ACDE" w:rsidR="003C1344" w:rsidRPr="006D631C" w:rsidRDefault="003C1344" w:rsidP="003C1344">
      <w:pPr>
        <w:pStyle w:val="Heading4"/>
      </w:pPr>
      <w:bookmarkStart w:id="133" w:name="_Toc148175823"/>
      <w:r w:rsidRPr="006D631C">
        <w:t>3.2.3.4 Differential scanning calorimetry (DSC)</w:t>
      </w:r>
      <w:bookmarkEnd w:id="133"/>
      <w:r w:rsidRPr="006D631C">
        <w:t xml:space="preserve"> </w:t>
      </w:r>
    </w:p>
    <w:p w14:paraId="4551F03C" w14:textId="283FC637" w:rsidR="003C1344" w:rsidRPr="006D631C" w:rsidRDefault="00611762" w:rsidP="003C1344">
      <w:pPr>
        <w:ind w:firstLine="357"/>
        <w:rPr>
          <w:rFonts w:asciiTheme="majorBidi" w:hAnsiTheme="majorBidi" w:cstheme="majorBidi"/>
        </w:rPr>
      </w:pPr>
      <w:r w:rsidRPr="006D631C">
        <w:rPr>
          <w:rFonts w:asciiTheme="majorBidi" w:hAnsiTheme="majorBidi" w:cstheme="majorBidi"/>
        </w:rPr>
        <w:t xml:space="preserve">DSC was used to study the thermal behavior of pure F127, </w:t>
      </w:r>
      <w:proofErr w:type="gramStart"/>
      <w:r w:rsidRPr="006D631C">
        <w:rPr>
          <w:rFonts w:asciiTheme="majorBidi" w:hAnsiTheme="majorBidi" w:cstheme="majorBidi"/>
        </w:rPr>
        <w:t>poly(</w:t>
      </w:r>
      <w:proofErr w:type="spellStart"/>
      <w:proofErr w:type="gramEnd"/>
      <w:r w:rsidRPr="006D631C">
        <w:rPr>
          <w:rFonts w:asciiTheme="majorBidi" w:hAnsiTheme="majorBidi" w:cstheme="majorBidi"/>
          <w:i/>
          <w:iCs/>
        </w:rPr>
        <w:t>n</w:t>
      </w:r>
      <w:r w:rsidRPr="006D631C">
        <w:rPr>
          <w:rFonts w:asciiTheme="majorBidi" w:hAnsiTheme="majorBidi" w:cstheme="majorBidi"/>
        </w:rPr>
        <w:t>BA</w:t>
      </w:r>
      <w:proofErr w:type="spellEnd"/>
      <w:r w:rsidRPr="006D631C">
        <w:rPr>
          <w:rFonts w:asciiTheme="majorBidi" w:hAnsiTheme="majorBidi" w:cstheme="majorBidi"/>
        </w:rPr>
        <w:t xml:space="preserve">-co-EGDMA), and polyLLC. The </w:t>
      </w:r>
      <w:proofErr w:type="gramStart"/>
      <w:r w:rsidRPr="006D631C">
        <w:rPr>
          <w:rFonts w:asciiTheme="majorBidi" w:hAnsiTheme="majorBidi" w:cstheme="majorBidi"/>
        </w:rPr>
        <w:t>poly(</w:t>
      </w:r>
      <w:proofErr w:type="spellStart"/>
      <w:proofErr w:type="gramEnd"/>
      <w:r w:rsidRPr="006D631C">
        <w:rPr>
          <w:rFonts w:asciiTheme="majorBidi" w:hAnsiTheme="majorBidi" w:cstheme="majorBidi"/>
          <w:i/>
          <w:iCs/>
        </w:rPr>
        <w:t>n</w:t>
      </w:r>
      <w:r w:rsidRPr="006D631C">
        <w:rPr>
          <w:rFonts w:asciiTheme="majorBidi" w:hAnsiTheme="majorBidi" w:cstheme="majorBidi"/>
        </w:rPr>
        <w:t>BA</w:t>
      </w:r>
      <w:proofErr w:type="spellEnd"/>
      <w:r w:rsidRPr="006D631C">
        <w:rPr>
          <w:rFonts w:asciiTheme="majorBidi" w:hAnsiTheme="majorBidi" w:cstheme="majorBidi"/>
        </w:rPr>
        <w:t xml:space="preserve">-co-EGDMA) copolymer was synthesized through the bulk polymerization of the corresponding monomers at 65 °C using AIBN as the initiator and the composition used as the oil phase of LLC. DSC Q2000 (TA Instruments, New Castle, DE) was </w:t>
      </w:r>
      <w:r w:rsidRPr="006D631C">
        <w:rPr>
          <w:rFonts w:asciiTheme="majorBidi" w:hAnsiTheme="majorBidi" w:cstheme="majorBidi"/>
        </w:rPr>
        <w:lastRenderedPageBreak/>
        <w:t>employed for this study. Around 30 mg of the desired sample was loaded into</w:t>
      </w:r>
      <w:r w:rsidRPr="006D631C" w:rsidDel="008C5706">
        <w:rPr>
          <w:rFonts w:asciiTheme="majorBidi" w:hAnsiTheme="majorBidi" w:cstheme="majorBidi"/>
        </w:rPr>
        <w:t xml:space="preserve"> </w:t>
      </w:r>
      <w:r w:rsidRPr="006D631C">
        <w:rPr>
          <w:rFonts w:asciiTheme="majorBidi" w:hAnsiTheme="majorBidi" w:cstheme="majorBidi"/>
        </w:rPr>
        <w:t xml:space="preserve">a </w:t>
      </w:r>
      <w:proofErr w:type="spellStart"/>
      <w:r w:rsidRPr="006D631C">
        <w:rPr>
          <w:rFonts w:asciiTheme="majorBidi" w:hAnsiTheme="majorBidi" w:cstheme="majorBidi"/>
        </w:rPr>
        <w:t>Tzero</w:t>
      </w:r>
      <w:proofErr w:type="spellEnd"/>
      <w:r w:rsidRPr="006D631C">
        <w:rPr>
          <w:rFonts w:asciiTheme="majorBidi" w:hAnsiTheme="majorBidi" w:cstheme="majorBidi"/>
        </w:rPr>
        <w:t xml:space="preserve"> aluminum pan followed by sealing with a </w:t>
      </w:r>
      <w:proofErr w:type="spellStart"/>
      <w:r w:rsidRPr="006D631C">
        <w:rPr>
          <w:rFonts w:asciiTheme="majorBidi" w:hAnsiTheme="majorBidi" w:cstheme="majorBidi"/>
        </w:rPr>
        <w:t>Tzero</w:t>
      </w:r>
      <w:proofErr w:type="spellEnd"/>
      <w:r w:rsidRPr="006D631C">
        <w:rPr>
          <w:rFonts w:asciiTheme="majorBidi" w:hAnsiTheme="majorBidi" w:cstheme="majorBidi"/>
        </w:rPr>
        <w:t xml:space="preserve"> hermetic lid. The temperature sweep was performed from 0 to 60 °C (and vice versa for F127 and polyLLC) with 1 °C/min ramp. The cycle was repeated twice to erase the thermal history of samples. The results of the second cycle are presented in the paper.</w:t>
      </w:r>
    </w:p>
    <w:p w14:paraId="32DD427C" w14:textId="05734E0B" w:rsidR="000C4121" w:rsidRPr="006D631C" w:rsidRDefault="00827776" w:rsidP="00827776">
      <w:pPr>
        <w:pStyle w:val="Heading3"/>
      </w:pPr>
      <w:bookmarkStart w:id="134" w:name="_Toc148175824"/>
      <w:r w:rsidRPr="006D631C">
        <w:t xml:space="preserve">3.2.4 </w:t>
      </w:r>
      <w:r w:rsidR="000C4121" w:rsidRPr="006D631C">
        <w:t>Preparation of the polyLLC membrane</w:t>
      </w:r>
      <w:bookmarkEnd w:id="134"/>
    </w:p>
    <w:p w14:paraId="561883F3" w14:textId="4A71EA4A" w:rsidR="003B32C2" w:rsidRPr="006D631C" w:rsidRDefault="00827776" w:rsidP="0090028E">
      <w:pPr>
        <w:ind w:firstLine="357"/>
        <w:rPr>
          <w:rFonts w:asciiTheme="majorBidi" w:hAnsiTheme="majorBidi" w:cstheme="majorBidi"/>
        </w:rPr>
      </w:pPr>
      <w:r w:rsidRPr="006D631C">
        <w:rPr>
          <w:rFonts w:asciiTheme="majorBidi" w:hAnsiTheme="majorBidi" w:cstheme="majorBidi"/>
        </w:rPr>
        <w:t>To polymerize LLC on the support layer (having ~5×5 cm2 surface area), about 0.8 g of the LLC was sandwiched between pre-cut Mylar films and smooth glass plates, which was subsequently cast under 5 ton pressure for more than 10 min. In the next step, the cast gel on the support was polymerized by heating in the oven at 65 °C for 24 h (see Fig</w:t>
      </w:r>
      <w:r w:rsidR="003D2454" w:rsidRPr="006D631C">
        <w:rPr>
          <w:rFonts w:asciiTheme="majorBidi" w:hAnsiTheme="majorBidi" w:cstheme="majorBidi"/>
        </w:rPr>
        <w:t>ure</w:t>
      </w:r>
      <w:r w:rsidRPr="006D631C">
        <w:rPr>
          <w:rFonts w:asciiTheme="majorBidi" w:hAnsiTheme="majorBidi" w:cstheme="majorBidi"/>
        </w:rPr>
        <w:t xml:space="preserve"> </w:t>
      </w:r>
      <w:r w:rsidR="004B0909" w:rsidRPr="006D631C">
        <w:rPr>
          <w:rFonts w:asciiTheme="majorBidi" w:hAnsiTheme="majorBidi" w:cstheme="majorBidi"/>
        </w:rPr>
        <w:t xml:space="preserve">D1 in </w:t>
      </w:r>
      <w:r w:rsidR="0090028E" w:rsidRPr="006D631C">
        <w:rPr>
          <w:rFonts w:asciiTheme="majorBidi" w:hAnsiTheme="majorBidi" w:cstheme="majorBidi"/>
        </w:rPr>
        <w:t xml:space="preserve">Appendix </w:t>
      </w:r>
      <w:r w:rsidR="004B0909" w:rsidRPr="006D631C">
        <w:rPr>
          <w:rFonts w:asciiTheme="majorBidi" w:hAnsiTheme="majorBidi" w:cstheme="majorBidi"/>
        </w:rPr>
        <w:t>D</w:t>
      </w:r>
      <w:r w:rsidRPr="006D631C">
        <w:rPr>
          <w:rFonts w:asciiTheme="majorBidi" w:hAnsiTheme="majorBidi" w:cstheme="majorBidi"/>
        </w:rPr>
        <w:t xml:space="preserve"> for schematic representation of the membrane fabrication process).</w:t>
      </w:r>
    </w:p>
    <w:p w14:paraId="65434014" w14:textId="43E5AADA" w:rsidR="00BD6BCD" w:rsidRPr="006D631C" w:rsidRDefault="00BD6BCD" w:rsidP="00BD6BCD">
      <w:pPr>
        <w:pStyle w:val="Heading3"/>
      </w:pPr>
      <w:bookmarkStart w:id="135" w:name="_Toc148175825"/>
      <w:r w:rsidRPr="006D631C">
        <w:t>3.2.5 Characterization of the polyLLC membrane</w:t>
      </w:r>
      <w:bookmarkEnd w:id="135"/>
    </w:p>
    <w:p w14:paraId="5DCA03FD" w14:textId="40CC1A24" w:rsidR="00BD6BCD" w:rsidRPr="006D631C" w:rsidRDefault="00BD6BCD" w:rsidP="00F74A51">
      <w:pPr>
        <w:pStyle w:val="Heading4"/>
      </w:pPr>
      <w:bookmarkStart w:id="136" w:name="_Toc148175826"/>
      <w:r w:rsidRPr="006D631C">
        <w:t xml:space="preserve">3.2.5.1 </w:t>
      </w:r>
      <w:r w:rsidR="00F74A51" w:rsidRPr="006D631C">
        <w:t>Hydration capacity</w:t>
      </w:r>
      <w:bookmarkEnd w:id="136"/>
      <w:r w:rsidRPr="006D631C">
        <w:t xml:space="preserve"> </w:t>
      </w:r>
    </w:p>
    <w:p w14:paraId="0DC1715D" w14:textId="7E55CC33" w:rsidR="00A9517A" w:rsidRPr="006D631C" w:rsidRDefault="005B5F5F" w:rsidP="0090028E">
      <w:pPr>
        <w:ind w:firstLine="360"/>
      </w:pPr>
      <w:r w:rsidRPr="006D631C">
        <w:rPr>
          <w:rFonts w:asciiTheme="majorBidi" w:hAnsiTheme="majorBidi" w:cstheme="majorBidi"/>
        </w:rPr>
        <w:t>The hydration capacity, which is the maximum water uptake per unit volume (mg/cm</w:t>
      </w:r>
      <w:r w:rsidRPr="006D631C">
        <w:rPr>
          <w:rFonts w:asciiTheme="majorBidi" w:hAnsiTheme="majorBidi" w:cstheme="majorBidi"/>
          <w:vertAlign w:val="superscript"/>
        </w:rPr>
        <w:t>3</w:t>
      </w:r>
      <w:r w:rsidRPr="006D631C">
        <w:rPr>
          <w:rFonts w:asciiTheme="majorBidi" w:hAnsiTheme="majorBidi" w:cstheme="majorBidi"/>
        </w:rPr>
        <w:t>) of the membrane, was measured according to the available procedure in the literature</w:t>
      </w:r>
      <w:r w:rsidR="00C7310C"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{"citationItems":[{"id":"ITEM-1","itemData":{"DOI":"10.1039/C4RA13863E","ISSN":"2046-2069","abstract":"An amphiphilic thermo responsive PVCL- co -PSF copolymer was synthesized with enhanced pore density and hydrophilicity. It was found to have high hydration capacity and low BSA adsorption, with 92.5% and 95% flux recovery ratios achieved for BSA and HA, respectively.","author":[{"dropping-particle":"","family":"Sinha","given":"M. K.","non-dropping-particle":"","parse-names":false,"suffix":""},{"dropping-particle":"","family":"Purkait","given":"M. K.","non-dropping-particle":"","parse-names":false,"suffix":""}],"container-title":"RSC Advances","id":"ITEM-1","issue":"29","issued":{"date-parts":[["2015"]]},"page":"22609-22619","title":"Preparation of a novel thermo responsive PSF membrane, with cross linked PVCL-co-PSF copolymer for protein separation and easy cleaning","type":"article-journal","volume":"5"},"uris":["http://www.mendeley.com/documents/?uuid=50d56474-3a02-4a51-bd1e-7af486bad71c"]},{"id":"ITEM-2","itemData":{"DOI":"10.1016/j.memsci.2018.02.060","ISSN":"03767388","abstract":"We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Science","id":"ITEM-2","issued":{"date-parts":[["2018","5"]]},"page":"117-124","title":"Two-step thermoresponsive membrane with tunable separation properties and improved cleaning efficiency","type":"article-journal","volume":"554"},"uris":["http://www.mendeley.com/documents/?uuid=1885d88b-7787-47d6-9f9d-8f905461bbd0"]}],"mendeley":{"formattedCitation":"&lt;sup&gt;192,236&lt;/sup&gt;","plainTextFormattedCitation":"192,236","previouslyFormattedCitation":"&lt;sup&gt;192,236&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192,236</w:t>
      </w:r>
      <w:r w:rsidRPr="006D631C">
        <w:rPr>
          <w:rFonts w:asciiTheme="majorBidi" w:hAnsiTheme="majorBidi" w:cstheme="majorBidi"/>
        </w:rPr>
        <w:fldChar w:fldCharType="end"/>
      </w:r>
      <w:r w:rsidR="00C7310C" w:rsidRPr="006D631C">
        <w:rPr>
          <w:rFonts w:asciiTheme="majorBidi" w:hAnsiTheme="majorBidi" w:cstheme="majorBidi"/>
        </w:rPr>
        <w:t xml:space="preserve"> </w:t>
      </w:r>
      <w:r w:rsidRPr="006D631C">
        <w:rPr>
          <w:rFonts w:asciiTheme="majorBidi" w:hAnsiTheme="majorBidi" w:cstheme="majorBidi"/>
        </w:rPr>
        <w:t xml:space="preserve">Briefly, the weight of </w:t>
      </w:r>
      <w:r w:rsidR="00F06D06" w:rsidRPr="006D631C">
        <w:rPr>
          <w:rFonts w:asciiTheme="majorBidi" w:hAnsiTheme="majorBidi" w:cstheme="majorBidi"/>
        </w:rPr>
        <w:t xml:space="preserve">5 </w:t>
      </w:r>
      <w:r w:rsidRPr="006D631C">
        <w:rPr>
          <w:rFonts w:asciiTheme="majorBidi" w:hAnsiTheme="majorBidi" w:cstheme="majorBidi"/>
        </w:rPr>
        <w:t>membrane samples of size 2 cm ×2 cm was determined in dry state as well as in wet state at different temperatures. Then, the dry weight was subtracted from the wet weight, and the obtained number was divided by the volume of the membrane, resulting in the hydration capacity.</w:t>
      </w:r>
      <w:r w:rsidR="00F06D06" w:rsidRPr="006D631C">
        <w:rPr>
          <w:rFonts w:asciiTheme="majorBidi" w:hAnsiTheme="majorBidi" w:cstheme="majorBidi"/>
        </w:rPr>
        <w:t xml:space="preserve"> Measurements were taken at various temperatures, and the mean value along with the corresponding standard deviation was reported (see </w:t>
      </w:r>
      <w:r w:rsidR="0090028E" w:rsidRPr="006D631C">
        <w:rPr>
          <w:rFonts w:asciiTheme="majorBidi" w:hAnsiTheme="majorBidi" w:cstheme="majorBidi"/>
        </w:rPr>
        <w:t xml:space="preserve">Appendix </w:t>
      </w:r>
      <w:r w:rsidR="00F06D06" w:rsidRPr="006D631C">
        <w:rPr>
          <w:rFonts w:asciiTheme="majorBidi" w:hAnsiTheme="majorBidi" w:cstheme="majorBidi"/>
        </w:rPr>
        <w:t>G for the</w:t>
      </w:r>
      <w:r w:rsidR="00B95A33" w:rsidRPr="006D631C">
        <w:rPr>
          <w:rFonts w:asciiTheme="majorBidi" w:hAnsiTheme="majorBidi" w:cstheme="majorBidi"/>
        </w:rPr>
        <w:t xml:space="preserve"> measurement</w:t>
      </w:r>
      <w:r w:rsidR="00F06D06" w:rsidRPr="006D631C">
        <w:rPr>
          <w:rFonts w:asciiTheme="majorBidi" w:hAnsiTheme="majorBidi" w:cstheme="majorBidi"/>
        </w:rPr>
        <w:t xml:space="preserve"> uncertainty evaluations).</w:t>
      </w:r>
    </w:p>
    <w:p w14:paraId="604FD80E" w14:textId="0BC1DB63" w:rsidR="007F32F9" w:rsidRPr="006D631C" w:rsidRDefault="007F32F9" w:rsidP="007F32F9">
      <w:pPr>
        <w:pStyle w:val="Heading4"/>
      </w:pPr>
      <w:bookmarkStart w:id="137" w:name="_Toc148175827"/>
      <w:r w:rsidRPr="006D631C">
        <w:t>3.2.5.2 Water flux and permeability</w:t>
      </w:r>
      <w:bookmarkEnd w:id="137"/>
      <w:r w:rsidRPr="006D631C">
        <w:t xml:space="preserve"> </w:t>
      </w:r>
    </w:p>
    <w:p w14:paraId="72207137" w14:textId="02B09F36" w:rsidR="007F32F9" w:rsidRPr="006D631C" w:rsidRDefault="007F32F9" w:rsidP="0099406E">
      <w:pPr>
        <w:ind w:firstLine="360"/>
      </w:pPr>
      <w:r w:rsidRPr="006D631C">
        <w:rPr>
          <w:rFonts w:asciiTheme="majorBidi" w:hAnsiTheme="majorBidi" w:cstheme="majorBidi"/>
        </w:rPr>
        <w:t xml:space="preserve">We used </w:t>
      </w:r>
      <w:proofErr w:type="spellStart"/>
      <w:r w:rsidRPr="006D631C">
        <w:rPr>
          <w:rFonts w:asciiTheme="majorBidi" w:hAnsiTheme="majorBidi" w:cstheme="majorBidi"/>
        </w:rPr>
        <w:t>Sterlitech</w:t>
      </w:r>
      <w:proofErr w:type="spellEnd"/>
      <w:r w:rsidRPr="006D631C">
        <w:rPr>
          <w:rFonts w:asciiTheme="majorBidi" w:hAnsiTheme="majorBidi" w:cstheme="majorBidi"/>
        </w:rPr>
        <w:t xml:space="preserve"> HP4750 high pressure stirred cell with the effective area of ~</w:t>
      </w:r>
      <w:r w:rsidRPr="006D631C">
        <w:t xml:space="preserve"> </w:t>
      </w:r>
      <w:r w:rsidRPr="006D631C">
        <w:rPr>
          <w:rFonts w:asciiTheme="majorBidi" w:hAnsiTheme="majorBidi" w:cstheme="majorBidi"/>
        </w:rPr>
        <w:t>14.6 cm</w:t>
      </w:r>
      <w:r w:rsidRPr="006D631C">
        <w:rPr>
          <w:rFonts w:asciiTheme="majorBidi" w:hAnsiTheme="majorBidi" w:cstheme="majorBidi"/>
          <w:vertAlign w:val="superscript"/>
        </w:rPr>
        <w:t>2</w:t>
      </w:r>
      <w:r w:rsidRPr="006D631C">
        <w:rPr>
          <w:rFonts w:asciiTheme="majorBidi" w:hAnsiTheme="majorBidi" w:cstheme="majorBidi"/>
        </w:rPr>
        <w:t xml:space="preserve"> operating</w:t>
      </w:r>
      <w:r w:rsidRPr="006D631C">
        <w:t xml:space="preserve"> </w:t>
      </w:r>
      <w:r w:rsidRPr="006D631C">
        <w:rPr>
          <w:rFonts w:asciiTheme="majorBidi" w:hAnsiTheme="majorBidi" w:cstheme="majorBidi"/>
        </w:rPr>
        <w:t>in dead-end filtration mode to measure the membrane flux (reported as liter/m</w:t>
      </w:r>
      <w:r w:rsidRPr="006D631C">
        <w:rPr>
          <w:rFonts w:asciiTheme="majorBidi" w:hAnsiTheme="majorBidi" w:cstheme="majorBidi"/>
          <w:vertAlign w:val="superscript"/>
        </w:rPr>
        <w:t>2</w:t>
      </w:r>
      <w:r w:rsidRPr="006D631C">
        <w:rPr>
          <w:rFonts w:asciiTheme="majorBidi" w:hAnsiTheme="majorBidi" w:cstheme="majorBidi"/>
        </w:rPr>
        <w:t>/h) under</w:t>
      </w:r>
      <w:r w:rsidRPr="006D631C">
        <w:t xml:space="preserve"> </w:t>
      </w:r>
      <w:r w:rsidRPr="006D631C">
        <w:rPr>
          <w:rFonts w:asciiTheme="majorBidi" w:hAnsiTheme="majorBidi" w:cstheme="majorBidi"/>
        </w:rPr>
        <w:lastRenderedPageBreak/>
        <w:t>stirring at 750 rpm with a magnet stirrer. A nitrogen pressure of 30 psi (~ 2.07×10</w:t>
      </w:r>
      <w:r w:rsidRPr="006D631C">
        <w:rPr>
          <w:rFonts w:asciiTheme="majorBidi" w:hAnsiTheme="majorBidi" w:cstheme="majorBidi"/>
          <w:vertAlign w:val="superscript"/>
        </w:rPr>
        <w:t>5</w:t>
      </w:r>
      <w:r w:rsidRPr="006D631C">
        <w:rPr>
          <w:rFonts w:asciiTheme="majorBidi" w:hAnsiTheme="majorBidi" w:cstheme="majorBidi"/>
        </w:rPr>
        <w:t xml:space="preserve"> Pa) was used for the flux measurements. To evaluate the thermoresponsiveness of the membrane, the flux test was carried out at different temperatures from 25 to 60 °C. To do so, the filtration setup containing the membrane was placed in a water bath maintained at the desired temperature with an accuracy of ±0.1 °C. Precise control of the temperature is necessary to have a constant temperature in the membrane level and thus avoid any reduction in the boundary layer due to the heat caused by shear, which can affect membrane performance (e.g., permeability, selectivity, and fouling resistance). The flux at elevated temperatures was measured after ensuring the isothermal condition and having a stable flux. </w:t>
      </w:r>
      <w:r w:rsidRPr="006D631C">
        <w:rPr>
          <w:color w:val="020202"/>
        </w:rPr>
        <w:t xml:space="preserve">It should be noted that all the measurements were repeated three times. </w:t>
      </w:r>
      <w:r w:rsidRPr="006D631C">
        <w:rPr>
          <w:rFonts w:asciiTheme="majorBidi" w:hAnsiTheme="majorBidi" w:cstheme="majorBidi"/>
        </w:rPr>
        <w:t xml:space="preserve">The membrane permeability was calculated based on the obtained experimental results using Darcy's law </w:t>
      </w:r>
      <w:r w:rsidRPr="006D631C">
        <w:rPr>
          <w:rFonts w:asciiTheme="majorBidi" w:hAnsiTheme="majorBidi" w:cstheme="majorBidi"/>
        </w:rPr>
        <w:fldChar w:fldCharType="begin" w:fldLock="1"/>
      </w:r>
      <w:r w:rsidR="007E1081"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rFonts w:asciiTheme="majorBidi" w:hAnsiTheme="majorBidi" w:cstheme="majorBidi"/>
        </w:rPr>
        <w:fldChar w:fldCharType="separate"/>
      </w:r>
      <w:r w:rsidR="0099406E" w:rsidRPr="006D631C">
        <w:rPr>
          <w:rFonts w:asciiTheme="majorBidi" w:hAnsiTheme="majorBidi" w:cstheme="majorBidi"/>
          <w:noProof/>
          <w:vertAlign w:val="superscript"/>
        </w:rPr>
        <w:t>32</w:t>
      </w:r>
      <w:r w:rsidRPr="006D631C">
        <w:rPr>
          <w:rFonts w:asciiTheme="majorBidi" w:hAnsiTheme="majorBidi" w:cstheme="majorBidi"/>
        </w:rPr>
        <w:fldChar w:fldCharType="end"/>
      </w:r>
      <w:r w:rsidRPr="006D631C">
        <w:rPr>
          <w:rFonts w:asciiTheme="majorBidi" w:hAnsiTheme="majorBidi" w:cstheme="majorBidi"/>
        </w:rPr>
        <w:t>:</w:t>
      </w:r>
    </w:p>
    <w:p w14:paraId="39B3658F" w14:textId="7C809154" w:rsidR="007F1A98" w:rsidRPr="006D631C" w:rsidRDefault="007F1A98" w:rsidP="007F1A98">
      <w:pPr>
        <w:pStyle w:val="Caption"/>
        <w:rPr>
          <w:rFonts w:asciiTheme="majorBidi" w:hAnsiTheme="majorBidi" w:cstheme="majorBidi"/>
          <w:szCs w:val="24"/>
        </w:rPr>
      </w:pPr>
      <w:r w:rsidRPr="006D631C">
        <w:rPr>
          <w:rFonts w:asciiTheme="majorBidi" w:hAnsiTheme="majorBidi" w:cstheme="majorBidi"/>
          <w:position w:val="-24"/>
          <w:szCs w:val="24"/>
        </w:rPr>
        <w:object w:dxaOrig="999" w:dyaOrig="620" w14:anchorId="71CF5316">
          <v:shape id="_x0000_i1056" type="#_x0000_t75" style="width:48pt;height:30pt" o:ole="">
            <v:imagedata r:id="rId100" o:title=""/>
          </v:shape>
          <o:OLEObject Type="Embed" ProgID="Equation.DSMT4" ShapeID="_x0000_i1056" DrawAspect="Content" ObjectID="_1760013324" r:id="rId101"/>
        </w:object>
      </w:r>
      <w:r w:rsidRPr="006D631C">
        <w:rPr>
          <w:rFonts w:asciiTheme="majorBidi" w:hAnsiTheme="majorBidi" w:cstheme="majorBidi"/>
          <w:szCs w:val="24"/>
        </w:rPr>
        <w:t xml:space="preserve"> </w:t>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t xml:space="preserve">    (</w:t>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STYLEREF 1 \s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cs/>
        </w:rPr>
        <w:t>‎</w:t>
      </w:r>
      <w:r w:rsidR="005014F7" w:rsidRPr="006D631C">
        <w:rPr>
          <w:rFonts w:asciiTheme="majorBidi" w:hAnsiTheme="majorBidi" w:cstheme="majorBidi"/>
          <w:szCs w:val="24"/>
        </w:rPr>
        <w:t>3</w:t>
      </w:r>
      <w:r w:rsidR="006A54D9" w:rsidRPr="006D631C">
        <w:rPr>
          <w:rFonts w:asciiTheme="majorBidi" w:hAnsiTheme="majorBidi" w:cstheme="majorBidi"/>
          <w:szCs w:val="24"/>
        </w:rPr>
        <w:fldChar w:fldCharType="end"/>
      </w:r>
      <w:r w:rsidR="006A54D9" w:rsidRPr="006D631C">
        <w:rPr>
          <w:rFonts w:asciiTheme="majorBidi" w:hAnsiTheme="majorBidi" w:cstheme="majorBidi"/>
          <w:szCs w:val="24"/>
        </w:rPr>
        <w:noBreakHyphen/>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SEQ Equation \* ARABIC \s 1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rPr>
        <w:t>1</w:t>
      </w:r>
      <w:r w:rsidR="006A54D9" w:rsidRPr="006D631C">
        <w:rPr>
          <w:rFonts w:asciiTheme="majorBidi" w:hAnsiTheme="majorBidi" w:cstheme="majorBidi"/>
          <w:szCs w:val="24"/>
        </w:rPr>
        <w:fldChar w:fldCharType="end"/>
      </w:r>
      <w:r w:rsidRPr="006D631C">
        <w:rPr>
          <w:rFonts w:asciiTheme="majorBidi" w:hAnsiTheme="majorBidi" w:cstheme="majorBidi"/>
          <w:szCs w:val="24"/>
        </w:rPr>
        <w:t>)</w:t>
      </w:r>
    </w:p>
    <w:p w14:paraId="2DD9C955" w14:textId="19E03832" w:rsidR="00A9517A" w:rsidRPr="006D631C" w:rsidRDefault="007D582A" w:rsidP="0072669A">
      <w:pPr>
        <w:ind w:firstLine="360"/>
      </w:pPr>
      <w:r w:rsidRPr="006D631C">
        <w:rPr>
          <w:color w:val="020202"/>
        </w:rPr>
        <w:t xml:space="preserve">In this equation, </w:t>
      </w:r>
      <w:r w:rsidRPr="006D631C">
        <w:rPr>
          <w:i/>
          <w:iCs/>
          <w:color w:val="020202"/>
        </w:rPr>
        <w:t>Q</w:t>
      </w:r>
      <w:r w:rsidRPr="006D631C">
        <w:rPr>
          <w:color w:val="020202"/>
        </w:rPr>
        <w:t xml:space="preserve">, </w:t>
      </w:r>
      <w:r w:rsidRPr="006D631C">
        <w:rPr>
          <w:rFonts w:cs="Times"/>
          <w:i/>
          <w:iCs/>
          <w:color w:val="020202"/>
        </w:rPr>
        <w:t>µ</w:t>
      </w:r>
      <w:r w:rsidRPr="006D631C">
        <w:rPr>
          <w:color w:val="020202"/>
        </w:rPr>
        <w:t xml:space="preserve">, </w:t>
      </w:r>
      <w:r w:rsidRPr="006D631C">
        <w:rPr>
          <w:i/>
          <w:iCs/>
          <w:color w:val="020202"/>
        </w:rPr>
        <w:t>A</w:t>
      </w:r>
      <w:r w:rsidRPr="006D631C">
        <w:rPr>
          <w:color w:val="020202"/>
        </w:rPr>
        <w:t xml:space="preserve">, </w:t>
      </w:r>
      <w:r w:rsidRPr="006D631C">
        <w:rPr>
          <w:rFonts w:cs="Times"/>
          <w:i/>
          <w:iCs/>
          <w:color w:val="020202"/>
        </w:rPr>
        <w:t>Δ</w:t>
      </w:r>
      <w:r w:rsidRPr="006D631C">
        <w:rPr>
          <w:i/>
          <w:iCs/>
          <w:color w:val="020202"/>
        </w:rPr>
        <w:t>P</w:t>
      </w:r>
      <w:r w:rsidRPr="006D631C">
        <w:rPr>
          <w:color w:val="020202"/>
        </w:rPr>
        <w:t xml:space="preserve">, </w:t>
      </w:r>
      <w:r w:rsidRPr="006D631C">
        <w:rPr>
          <w:i/>
          <w:iCs/>
          <w:color w:val="020202"/>
        </w:rPr>
        <w:t>l</w:t>
      </w:r>
      <w:r w:rsidRPr="006D631C">
        <w:rPr>
          <w:color w:val="020202"/>
        </w:rPr>
        <w:t>,</w:t>
      </w:r>
      <w:r w:rsidRPr="006D631C">
        <w:rPr>
          <w:i/>
          <w:iCs/>
          <w:color w:val="020202"/>
        </w:rPr>
        <w:t xml:space="preserve"> </w:t>
      </w:r>
      <w:r w:rsidRPr="006D631C">
        <w:rPr>
          <w:color w:val="020202"/>
        </w:rPr>
        <w:t xml:space="preserve">and </w:t>
      </w:r>
      <w:r w:rsidRPr="006D631C">
        <w:rPr>
          <w:rFonts w:cs="Times"/>
          <w:i/>
          <w:iCs/>
          <w:color w:val="020202"/>
        </w:rPr>
        <w:t>κ</w:t>
      </w:r>
      <w:r w:rsidRPr="006D631C">
        <w:rPr>
          <w:color w:val="020202"/>
        </w:rPr>
        <w:t xml:space="preserve"> are the flow rate, viscosity, membrane area, pressure difference across the membrane, membrane thickness, and Darcy's constant (intrinsic permeability), respectively. The intrinsic permeability was normalized to the membrane thickness to cancel out the effect of thickness variation in our comparisons. It is worth to point out that the following equation</w:t>
      </w:r>
      <w:r w:rsidRPr="006D631C">
        <w:rPr>
          <w:color w:val="020202"/>
        </w:rPr>
        <w:fldChar w:fldCharType="begin" w:fldLock="1"/>
      </w:r>
      <w:r w:rsidR="00E95125" w:rsidRPr="006D631C">
        <w:rPr>
          <w:color w:val="020202"/>
        </w:rPr>
        <w:instrText>ADDIN CSL_CITATION {"citationItems":[{"id":"ITEM-1","itemData":{"author":[{"dropping-particle":"","family":"R. C. Weast","given":"","non-dropping-particle":"","parse-names":false,"suffix":""}],"edition":"64","id":"ITEM-1","issued":{"date-parts":[["1983"]]},"publisher":"CRC Press","publisher-place":"Boca Raton, FL","title":"CRC Handbook of Chemistry and Physics","type":"book"},"uris":["http://www.mendeley.com/documents/?uuid=15c455d9-6316-4b43-91f5-0f711b262bbc"]}],"mendeley":{"formattedCitation":"&lt;sup&gt;250&lt;/sup&gt;","plainTextFormattedCitation":"250","previouslyFormattedCitation":"&lt;sup&gt;250&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250</w:t>
      </w:r>
      <w:r w:rsidRPr="006D631C">
        <w:rPr>
          <w:color w:val="020202"/>
        </w:rPr>
        <w:fldChar w:fldCharType="end"/>
      </w:r>
      <w:r w:rsidRPr="006D631C">
        <w:rPr>
          <w:color w:val="020202"/>
        </w:rPr>
        <w:t xml:space="preserve"> was used to calculate the viscosity of water at different temperatures:</w:t>
      </w:r>
    </w:p>
    <w:p w14:paraId="3242A92F" w14:textId="3A3542E8" w:rsidR="0099406E" w:rsidRPr="006D631C" w:rsidRDefault="0099406E" w:rsidP="0099406E">
      <w:pPr>
        <w:pStyle w:val="Caption"/>
        <w:rPr>
          <w:rFonts w:ascii="Times" w:hAnsi="Times"/>
          <w:color w:val="020202"/>
        </w:rPr>
      </w:pPr>
      <w:r w:rsidRPr="006D631C">
        <w:rPr>
          <w:rFonts w:ascii="Times" w:hAnsi="Times"/>
          <w:color w:val="020202"/>
          <w:position w:val="-24"/>
        </w:rPr>
        <w:object w:dxaOrig="6940" w:dyaOrig="660" w14:anchorId="2882855A">
          <v:shape id="_x0000_i1057" type="#_x0000_t75" style="width:348pt;height:36pt" o:ole="">
            <v:imagedata r:id="rId102" o:title=""/>
          </v:shape>
          <o:OLEObject Type="Embed" ProgID="Equation.DSMT4" ShapeID="_x0000_i1057" DrawAspect="Content" ObjectID="_1760013325" r:id="rId103"/>
        </w:object>
      </w:r>
      <w:r w:rsidRPr="006D631C">
        <w:rPr>
          <w:rFonts w:ascii="Times" w:hAnsi="Times"/>
          <w:color w:val="020202"/>
        </w:rPr>
        <w:t xml:space="preserve"> </w:t>
      </w:r>
      <w:r w:rsidRPr="006D631C">
        <w:rPr>
          <w:rFonts w:ascii="Times" w:hAnsi="Times"/>
          <w:color w:val="020202"/>
        </w:rPr>
        <w:tab/>
      </w:r>
      <w:r w:rsidRPr="006D631C">
        <w:rPr>
          <w:rFonts w:ascii="Times" w:hAnsi="Times"/>
          <w:color w:val="020202"/>
        </w:rPr>
        <w:tab/>
      </w:r>
      <w:r w:rsidRPr="006D631C">
        <w:rPr>
          <w:rFonts w:ascii="Times" w:hAnsi="Times"/>
          <w:color w:val="020202"/>
        </w:rPr>
        <w:tab/>
        <w:t xml:space="preserve">    (</w:t>
      </w:r>
      <w:r w:rsidR="006A54D9" w:rsidRPr="006D631C">
        <w:rPr>
          <w:rFonts w:ascii="Times" w:hAnsi="Times"/>
          <w:color w:val="020202"/>
        </w:rPr>
        <w:fldChar w:fldCharType="begin"/>
      </w:r>
      <w:r w:rsidR="006A54D9" w:rsidRPr="006D631C">
        <w:rPr>
          <w:rFonts w:ascii="Times" w:hAnsi="Times"/>
          <w:color w:val="020202"/>
        </w:rPr>
        <w:instrText xml:space="preserve"> STYLEREF 1 \s </w:instrText>
      </w:r>
      <w:r w:rsidR="006A54D9" w:rsidRPr="006D631C">
        <w:rPr>
          <w:rFonts w:ascii="Times" w:hAnsi="Times"/>
          <w:color w:val="020202"/>
        </w:rPr>
        <w:fldChar w:fldCharType="separate"/>
      </w:r>
      <w:r w:rsidR="005014F7" w:rsidRPr="006D631C">
        <w:rPr>
          <w:rFonts w:ascii="Times" w:hAnsi="Times"/>
          <w:color w:val="020202"/>
          <w:cs/>
        </w:rPr>
        <w:t>‎</w:t>
      </w:r>
      <w:r w:rsidR="005014F7" w:rsidRPr="006D631C">
        <w:rPr>
          <w:rFonts w:ascii="Times" w:hAnsi="Times"/>
          <w:color w:val="020202"/>
        </w:rPr>
        <w:t>3</w:t>
      </w:r>
      <w:r w:rsidR="006A54D9" w:rsidRPr="006D631C">
        <w:rPr>
          <w:rFonts w:ascii="Times" w:hAnsi="Times"/>
          <w:color w:val="020202"/>
        </w:rPr>
        <w:fldChar w:fldCharType="end"/>
      </w:r>
      <w:r w:rsidR="006A54D9" w:rsidRPr="006D631C">
        <w:rPr>
          <w:rFonts w:ascii="Times" w:hAnsi="Times"/>
          <w:color w:val="020202"/>
        </w:rPr>
        <w:noBreakHyphen/>
      </w:r>
      <w:r w:rsidR="006A54D9" w:rsidRPr="006D631C">
        <w:rPr>
          <w:rFonts w:ascii="Times" w:hAnsi="Times"/>
          <w:color w:val="020202"/>
        </w:rPr>
        <w:fldChar w:fldCharType="begin"/>
      </w:r>
      <w:r w:rsidR="006A54D9" w:rsidRPr="006D631C">
        <w:rPr>
          <w:rFonts w:ascii="Times" w:hAnsi="Times"/>
          <w:color w:val="020202"/>
        </w:rPr>
        <w:instrText xml:space="preserve"> SEQ Equation \* ARABIC \s 1 </w:instrText>
      </w:r>
      <w:r w:rsidR="006A54D9" w:rsidRPr="006D631C">
        <w:rPr>
          <w:rFonts w:ascii="Times" w:hAnsi="Times"/>
          <w:color w:val="020202"/>
        </w:rPr>
        <w:fldChar w:fldCharType="separate"/>
      </w:r>
      <w:r w:rsidR="005014F7" w:rsidRPr="006D631C">
        <w:rPr>
          <w:rFonts w:ascii="Times" w:hAnsi="Times"/>
          <w:color w:val="020202"/>
        </w:rPr>
        <w:t>2</w:t>
      </w:r>
      <w:r w:rsidR="006A54D9" w:rsidRPr="006D631C">
        <w:rPr>
          <w:rFonts w:ascii="Times" w:hAnsi="Times"/>
          <w:color w:val="020202"/>
        </w:rPr>
        <w:fldChar w:fldCharType="end"/>
      </w:r>
      <w:r w:rsidRPr="006D631C">
        <w:rPr>
          <w:rFonts w:ascii="Times" w:hAnsi="Times"/>
          <w:color w:val="020202"/>
        </w:rPr>
        <w:t xml:space="preserve">) </w:t>
      </w:r>
    </w:p>
    <w:p w14:paraId="13CB4CC9" w14:textId="014F955E" w:rsidR="00CF4A86" w:rsidRPr="006D631C" w:rsidRDefault="00FF03EC" w:rsidP="00CF4A86">
      <w:pPr>
        <w:ind w:firstLine="360"/>
        <w:rPr>
          <w:color w:val="020202"/>
        </w:rPr>
      </w:pPr>
      <w:proofErr w:type="gramStart"/>
      <w:r w:rsidRPr="006D631C">
        <w:rPr>
          <w:color w:val="020202"/>
        </w:rPr>
        <w:t>w</w:t>
      </w:r>
      <w:r w:rsidR="00CF4A86" w:rsidRPr="006D631C">
        <w:rPr>
          <w:color w:val="020202"/>
        </w:rPr>
        <w:t>here</w:t>
      </w:r>
      <w:proofErr w:type="gramEnd"/>
      <w:r w:rsidR="00CF4A86" w:rsidRPr="006D631C">
        <w:rPr>
          <w:color w:val="020202"/>
        </w:rPr>
        <w:t xml:space="preserve"> </w:t>
      </w:r>
      <w:r w:rsidR="00CF4A86" w:rsidRPr="006D631C">
        <w:rPr>
          <w:rFonts w:cs="Times"/>
          <w:i/>
          <w:color w:val="020202"/>
        </w:rPr>
        <w:t>µ</w:t>
      </w:r>
      <w:r w:rsidR="00CF4A86" w:rsidRPr="006D631C">
        <w:rPr>
          <w:color w:val="020202"/>
          <w:vertAlign w:val="subscript"/>
        </w:rPr>
        <w:t>w</w:t>
      </w:r>
      <w:r w:rsidR="00CF4A86" w:rsidRPr="006D631C">
        <w:rPr>
          <w:color w:val="020202"/>
        </w:rPr>
        <w:t xml:space="preserve"> is the kinetic viscosity of water and </w:t>
      </w:r>
      <w:r w:rsidR="00CF4A86" w:rsidRPr="006D631C">
        <w:rPr>
          <w:i/>
          <w:color w:val="020202"/>
        </w:rPr>
        <w:t>T</w:t>
      </w:r>
      <w:r w:rsidR="00CF4A86" w:rsidRPr="006D631C">
        <w:rPr>
          <w:color w:val="020202"/>
        </w:rPr>
        <w:t xml:space="preserve"> is temperature in K. </w:t>
      </w:r>
    </w:p>
    <w:p w14:paraId="112FB5AC" w14:textId="3DF346D0" w:rsidR="00266A4A" w:rsidRPr="006D631C" w:rsidRDefault="00266A4A" w:rsidP="00266A4A">
      <w:pPr>
        <w:pStyle w:val="Heading4"/>
      </w:pPr>
      <w:bookmarkStart w:id="138" w:name="_Toc148175828"/>
      <w:r w:rsidRPr="006D631C">
        <w:lastRenderedPageBreak/>
        <w:t>3.2.5.3 Evaluation of fouling resistance and cleaning efficiency</w:t>
      </w:r>
      <w:bookmarkEnd w:id="138"/>
      <w:r w:rsidRPr="006D631C">
        <w:t xml:space="preserve"> </w:t>
      </w:r>
    </w:p>
    <w:p w14:paraId="003B47A6" w14:textId="77777777" w:rsidR="00026544" w:rsidRPr="006D631C" w:rsidRDefault="00026544" w:rsidP="00026544">
      <w:pPr>
        <w:ind w:firstLine="360"/>
        <w:rPr>
          <w:color w:val="020202"/>
        </w:rPr>
      </w:pPr>
      <w:r w:rsidRPr="006D631C">
        <w:rPr>
          <w:color w:val="020202"/>
        </w:rPr>
        <w:t xml:space="preserve">The following experimental procedure was followed to determine the fouling resistance of and cleaning efficiency for the membrane: </w:t>
      </w:r>
    </w:p>
    <w:p w14:paraId="7D386AC4" w14:textId="77777777" w:rsidR="00026544" w:rsidRPr="006D631C" w:rsidRDefault="00026544" w:rsidP="00026544">
      <w:pPr>
        <w:pStyle w:val="TAMainText"/>
        <w:numPr>
          <w:ilvl w:val="0"/>
          <w:numId w:val="25"/>
        </w:numPr>
        <w:rPr>
          <w:color w:val="020202"/>
          <w:szCs w:val="24"/>
        </w:rPr>
      </w:pPr>
      <w:r w:rsidRPr="006D631C">
        <w:rPr>
          <w:color w:val="020202"/>
          <w:szCs w:val="24"/>
        </w:rPr>
        <w:t xml:space="preserve">The flux of the membrane was measured by passing DI water through the membrane for 30 min at </w:t>
      </w:r>
      <w:r w:rsidRPr="006D631C">
        <w:rPr>
          <w:rFonts w:asciiTheme="majorBidi" w:hAnsiTheme="majorBidi" w:cstheme="majorBidi"/>
          <w:szCs w:val="24"/>
        </w:rPr>
        <w:t>25 °C</w:t>
      </w:r>
      <w:r w:rsidRPr="006D631C">
        <w:rPr>
          <w:color w:val="020202"/>
          <w:szCs w:val="24"/>
        </w:rPr>
        <w:t xml:space="preserve">. </w:t>
      </w:r>
    </w:p>
    <w:p w14:paraId="7864DBA2" w14:textId="77777777" w:rsidR="00026544" w:rsidRPr="006D631C" w:rsidRDefault="00026544" w:rsidP="00026544">
      <w:pPr>
        <w:pStyle w:val="TAMainText"/>
        <w:numPr>
          <w:ilvl w:val="0"/>
          <w:numId w:val="25"/>
        </w:numPr>
        <w:rPr>
          <w:color w:val="020202"/>
          <w:szCs w:val="24"/>
        </w:rPr>
      </w:pPr>
      <w:r w:rsidRPr="006D631C">
        <w:rPr>
          <w:color w:val="020202"/>
          <w:szCs w:val="24"/>
        </w:rPr>
        <w:t xml:space="preserve">1000 ppm aqueous solution of BSA (as the model </w:t>
      </w:r>
      <w:proofErr w:type="spellStart"/>
      <w:r w:rsidRPr="006D631C">
        <w:rPr>
          <w:color w:val="020202"/>
          <w:szCs w:val="24"/>
        </w:rPr>
        <w:t>foulant</w:t>
      </w:r>
      <w:proofErr w:type="spellEnd"/>
      <w:r w:rsidRPr="006D631C">
        <w:rPr>
          <w:color w:val="020202"/>
          <w:szCs w:val="24"/>
        </w:rPr>
        <w:t xml:space="preserve">) was used as the feed stream and the flux was recorded at </w:t>
      </w:r>
      <w:r w:rsidRPr="006D631C">
        <w:rPr>
          <w:rFonts w:asciiTheme="majorBidi" w:hAnsiTheme="majorBidi" w:cstheme="majorBidi"/>
          <w:szCs w:val="24"/>
        </w:rPr>
        <w:t>25 °C</w:t>
      </w:r>
      <w:r w:rsidRPr="006D631C">
        <w:rPr>
          <w:color w:val="020202"/>
          <w:szCs w:val="24"/>
        </w:rPr>
        <w:t xml:space="preserve"> until reaching steady state conditions. </w:t>
      </w:r>
    </w:p>
    <w:p w14:paraId="504ADCCC" w14:textId="77777777" w:rsidR="00026544" w:rsidRPr="006D631C" w:rsidRDefault="00026544" w:rsidP="00026544">
      <w:pPr>
        <w:pStyle w:val="TAMainText"/>
        <w:numPr>
          <w:ilvl w:val="0"/>
          <w:numId w:val="25"/>
        </w:numPr>
        <w:rPr>
          <w:color w:val="020202"/>
          <w:szCs w:val="24"/>
        </w:rPr>
      </w:pPr>
      <w:r w:rsidRPr="006D631C">
        <w:rPr>
          <w:color w:val="020202"/>
          <w:szCs w:val="24"/>
        </w:rPr>
        <w:t xml:space="preserve">The membrane was backwashed with DI water for 30 min at different temperatures: </w:t>
      </w:r>
      <w:r w:rsidRPr="006D631C">
        <w:rPr>
          <w:rFonts w:asciiTheme="majorBidi" w:hAnsiTheme="majorBidi" w:cstheme="majorBidi"/>
          <w:szCs w:val="24"/>
        </w:rPr>
        <w:t>25, 35, or 50 °C</w:t>
      </w:r>
      <w:r w:rsidRPr="006D631C">
        <w:rPr>
          <w:color w:val="020202"/>
          <w:szCs w:val="24"/>
        </w:rPr>
        <w:t xml:space="preserve">. </w:t>
      </w:r>
    </w:p>
    <w:p w14:paraId="63055D31" w14:textId="77777777" w:rsidR="00026544" w:rsidRPr="006D631C" w:rsidRDefault="00026544" w:rsidP="00026544">
      <w:pPr>
        <w:pStyle w:val="TAMainText"/>
        <w:numPr>
          <w:ilvl w:val="0"/>
          <w:numId w:val="25"/>
        </w:numPr>
        <w:rPr>
          <w:color w:val="020202"/>
          <w:szCs w:val="24"/>
        </w:rPr>
      </w:pPr>
      <w:r w:rsidRPr="006D631C">
        <w:rPr>
          <w:color w:val="020202"/>
          <w:szCs w:val="24"/>
        </w:rPr>
        <w:t xml:space="preserve">The fouling-cleaning cycle (i.e., steps 1-3) was repeated three times. </w:t>
      </w:r>
    </w:p>
    <w:p w14:paraId="5FD50DE5" w14:textId="77777777" w:rsidR="00026544" w:rsidRPr="006D631C" w:rsidRDefault="00026544" w:rsidP="00187F24">
      <w:pPr>
        <w:ind w:firstLine="360"/>
        <w:rPr>
          <w:color w:val="020202"/>
        </w:rPr>
      </w:pPr>
      <w:r w:rsidRPr="006D631C">
        <w:rPr>
          <w:color w:val="020202"/>
        </w:rPr>
        <w:t xml:space="preserve">It should be mentioned that the backwashing steps were carried at different temperatures to examine the effect of membrane thermoresponsiveness on the cleaning efficiency. </w:t>
      </w:r>
    </w:p>
    <w:p w14:paraId="7E818910" w14:textId="0B82F604" w:rsidR="00A9517A" w:rsidRPr="006D631C" w:rsidRDefault="00026544" w:rsidP="00026544">
      <w:pPr>
        <w:ind w:firstLine="360"/>
      </w:pPr>
      <w:r w:rsidRPr="006D631C">
        <w:rPr>
          <w:color w:val="020202"/>
        </w:rPr>
        <w:t>The reversible (also called cleaning efficiency) and irreversible fouling of the membrane were calculated using the following equations, respectively:</w:t>
      </w:r>
    </w:p>
    <w:p w14:paraId="14324100" w14:textId="3AB2BC71" w:rsidR="009900D0" w:rsidRPr="006D631C" w:rsidRDefault="009900D0" w:rsidP="009900D0">
      <w:pPr>
        <w:pStyle w:val="Caption"/>
        <w:rPr>
          <w:color w:val="020202"/>
          <w:szCs w:val="24"/>
        </w:rPr>
      </w:pPr>
      <w:r w:rsidRPr="006D631C">
        <w:rPr>
          <w:color w:val="020202"/>
          <w:position w:val="-28"/>
          <w:szCs w:val="24"/>
        </w:rPr>
        <w:object w:dxaOrig="8440" w:dyaOrig="660" w14:anchorId="0797A321">
          <v:shape id="_x0000_i1058" type="#_x0000_t75" style="width:414pt;height:30pt" o:ole="">
            <v:imagedata r:id="rId104" o:title=""/>
          </v:shape>
          <o:OLEObject Type="Embed" ProgID="Equation.DSMT4" ShapeID="_x0000_i1058" DrawAspect="Content" ObjectID="_1760013326" r:id="rId105"/>
        </w:object>
      </w:r>
      <w:r w:rsidRPr="006D631C">
        <w:rPr>
          <w:color w:val="020202"/>
          <w:szCs w:val="24"/>
        </w:rPr>
        <w:t xml:space="preserve"> </w:t>
      </w:r>
      <w:r w:rsidRPr="006D631C">
        <w:rPr>
          <w:color w:val="020202"/>
          <w:szCs w:val="24"/>
        </w:rPr>
        <w:tab/>
        <w:t xml:space="preserve">    (</w:t>
      </w:r>
      <w:r w:rsidR="006A54D9" w:rsidRPr="006D631C">
        <w:rPr>
          <w:color w:val="020202"/>
          <w:szCs w:val="24"/>
        </w:rPr>
        <w:fldChar w:fldCharType="begin"/>
      </w:r>
      <w:r w:rsidR="006A54D9" w:rsidRPr="006D631C">
        <w:rPr>
          <w:color w:val="020202"/>
          <w:szCs w:val="24"/>
        </w:rPr>
        <w:instrText xml:space="preserve"> STYLEREF 1 \s </w:instrText>
      </w:r>
      <w:r w:rsidR="006A54D9" w:rsidRPr="006D631C">
        <w:rPr>
          <w:color w:val="020202"/>
          <w:szCs w:val="24"/>
        </w:rPr>
        <w:fldChar w:fldCharType="separate"/>
      </w:r>
      <w:r w:rsidR="005014F7" w:rsidRPr="006D631C">
        <w:rPr>
          <w:color w:val="020202"/>
          <w:szCs w:val="24"/>
          <w:cs/>
        </w:rPr>
        <w:t>‎</w:t>
      </w:r>
      <w:r w:rsidR="005014F7" w:rsidRPr="006D631C">
        <w:rPr>
          <w:color w:val="020202"/>
          <w:szCs w:val="24"/>
        </w:rPr>
        <w:t>3</w:t>
      </w:r>
      <w:r w:rsidR="006A54D9" w:rsidRPr="006D631C">
        <w:rPr>
          <w:color w:val="020202"/>
          <w:szCs w:val="24"/>
        </w:rPr>
        <w:fldChar w:fldCharType="end"/>
      </w:r>
      <w:r w:rsidR="006A54D9" w:rsidRPr="006D631C">
        <w:rPr>
          <w:color w:val="020202"/>
          <w:szCs w:val="24"/>
        </w:rPr>
        <w:noBreakHyphen/>
      </w:r>
      <w:r w:rsidR="006A54D9" w:rsidRPr="006D631C">
        <w:rPr>
          <w:color w:val="020202"/>
          <w:szCs w:val="24"/>
        </w:rPr>
        <w:fldChar w:fldCharType="begin"/>
      </w:r>
      <w:r w:rsidR="006A54D9" w:rsidRPr="006D631C">
        <w:rPr>
          <w:color w:val="020202"/>
          <w:szCs w:val="24"/>
        </w:rPr>
        <w:instrText xml:space="preserve"> SEQ Equation \* ARABIC \s 1 </w:instrText>
      </w:r>
      <w:r w:rsidR="006A54D9" w:rsidRPr="006D631C">
        <w:rPr>
          <w:color w:val="020202"/>
          <w:szCs w:val="24"/>
        </w:rPr>
        <w:fldChar w:fldCharType="separate"/>
      </w:r>
      <w:r w:rsidR="005014F7" w:rsidRPr="006D631C">
        <w:rPr>
          <w:color w:val="020202"/>
          <w:szCs w:val="24"/>
        </w:rPr>
        <w:t>3</w:t>
      </w:r>
      <w:r w:rsidR="006A54D9" w:rsidRPr="006D631C">
        <w:rPr>
          <w:color w:val="020202"/>
          <w:szCs w:val="24"/>
        </w:rPr>
        <w:fldChar w:fldCharType="end"/>
      </w:r>
      <w:r w:rsidRPr="006D631C">
        <w:rPr>
          <w:color w:val="020202"/>
          <w:szCs w:val="24"/>
        </w:rPr>
        <w:t>)</w:t>
      </w:r>
    </w:p>
    <w:p w14:paraId="66F46B39" w14:textId="52C00DBA" w:rsidR="009900D0" w:rsidRPr="006D631C" w:rsidRDefault="009900D0" w:rsidP="009900D0">
      <w:pPr>
        <w:pStyle w:val="Caption"/>
        <w:rPr>
          <w:color w:val="020202"/>
          <w:szCs w:val="24"/>
        </w:rPr>
      </w:pPr>
      <w:r w:rsidRPr="006D631C">
        <w:rPr>
          <w:color w:val="020202"/>
          <w:position w:val="-28"/>
          <w:szCs w:val="24"/>
        </w:rPr>
        <w:object w:dxaOrig="8340" w:dyaOrig="660" w14:anchorId="5F59D44C">
          <v:shape id="_x0000_i1059" type="#_x0000_t75" style="width:366.6pt;height:31.8pt" o:ole="">
            <v:imagedata r:id="rId106" o:title=""/>
          </v:shape>
          <o:OLEObject Type="Embed" ProgID="Equation.DSMT4" ShapeID="_x0000_i1059" DrawAspect="Content" ObjectID="_1760013327" r:id="rId107"/>
        </w:object>
      </w:r>
      <w:r w:rsidRPr="006D631C">
        <w:rPr>
          <w:color w:val="020202"/>
          <w:szCs w:val="24"/>
        </w:rPr>
        <w:t xml:space="preserve"> </w:t>
      </w:r>
      <w:r w:rsidRPr="006D631C">
        <w:rPr>
          <w:color w:val="020202"/>
          <w:szCs w:val="24"/>
        </w:rPr>
        <w:tab/>
        <w:t xml:space="preserve">  </w:t>
      </w:r>
      <w:r w:rsidR="002655AD" w:rsidRPr="006D631C">
        <w:rPr>
          <w:color w:val="020202"/>
          <w:szCs w:val="24"/>
        </w:rPr>
        <w:t xml:space="preserve">            </w:t>
      </w:r>
      <w:r w:rsidRPr="006D631C">
        <w:rPr>
          <w:color w:val="020202"/>
          <w:szCs w:val="24"/>
        </w:rPr>
        <w:t xml:space="preserve">  (</w:t>
      </w:r>
      <w:r w:rsidR="006A54D9" w:rsidRPr="006D631C">
        <w:rPr>
          <w:color w:val="020202"/>
          <w:szCs w:val="24"/>
        </w:rPr>
        <w:fldChar w:fldCharType="begin"/>
      </w:r>
      <w:r w:rsidR="006A54D9" w:rsidRPr="006D631C">
        <w:rPr>
          <w:color w:val="020202"/>
          <w:szCs w:val="24"/>
        </w:rPr>
        <w:instrText xml:space="preserve"> STYLEREF 1 \s </w:instrText>
      </w:r>
      <w:r w:rsidR="006A54D9" w:rsidRPr="006D631C">
        <w:rPr>
          <w:color w:val="020202"/>
          <w:szCs w:val="24"/>
        </w:rPr>
        <w:fldChar w:fldCharType="separate"/>
      </w:r>
      <w:r w:rsidR="005014F7" w:rsidRPr="006D631C">
        <w:rPr>
          <w:color w:val="020202"/>
          <w:szCs w:val="24"/>
          <w:cs/>
        </w:rPr>
        <w:t>‎</w:t>
      </w:r>
      <w:r w:rsidR="005014F7" w:rsidRPr="006D631C">
        <w:rPr>
          <w:color w:val="020202"/>
          <w:szCs w:val="24"/>
        </w:rPr>
        <w:t>3</w:t>
      </w:r>
      <w:r w:rsidR="006A54D9" w:rsidRPr="006D631C">
        <w:rPr>
          <w:color w:val="020202"/>
          <w:szCs w:val="24"/>
        </w:rPr>
        <w:fldChar w:fldCharType="end"/>
      </w:r>
      <w:r w:rsidR="006A54D9" w:rsidRPr="006D631C">
        <w:rPr>
          <w:color w:val="020202"/>
          <w:szCs w:val="24"/>
        </w:rPr>
        <w:noBreakHyphen/>
      </w:r>
      <w:r w:rsidR="006A54D9" w:rsidRPr="006D631C">
        <w:rPr>
          <w:color w:val="020202"/>
          <w:szCs w:val="24"/>
        </w:rPr>
        <w:fldChar w:fldCharType="begin"/>
      </w:r>
      <w:r w:rsidR="006A54D9" w:rsidRPr="006D631C">
        <w:rPr>
          <w:color w:val="020202"/>
          <w:szCs w:val="24"/>
        </w:rPr>
        <w:instrText xml:space="preserve"> SEQ Equation \* ARABIC \s 1 </w:instrText>
      </w:r>
      <w:r w:rsidR="006A54D9" w:rsidRPr="006D631C">
        <w:rPr>
          <w:color w:val="020202"/>
          <w:szCs w:val="24"/>
        </w:rPr>
        <w:fldChar w:fldCharType="separate"/>
      </w:r>
      <w:r w:rsidR="005014F7" w:rsidRPr="006D631C">
        <w:rPr>
          <w:color w:val="020202"/>
          <w:szCs w:val="24"/>
        </w:rPr>
        <w:t>4</w:t>
      </w:r>
      <w:r w:rsidR="006A54D9" w:rsidRPr="006D631C">
        <w:rPr>
          <w:color w:val="020202"/>
          <w:szCs w:val="24"/>
        </w:rPr>
        <w:fldChar w:fldCharType="end"/>
      </w:r>
      <w:r w:rsidRPr="006D631C">
        <w:rPr>
          <w:color w:val="020202"/>
          <w:szCs w:val="24"/>
        </w:rPr>
        <w:t xml:space="preserve">) </w:t>
      </w:r>
    </w:p>
    <w:p w14:paraId="6AB2EDCE" w14:textId="7B2905A9" w:rsidR="00FF0313" w:rsidRPr="006D631C" w:rsidRDefault="00FF0313" w:rsidP="00FF0313">
      <w:pPr>
        <w:pStyle w:val="Heading4"/>
      </w:pPr>
      <w:bookmarkStart w:id="139" w:name="_Toc148175829"/>
      <w:r w:rsidRPr="006D631C">
        <w:t>3.2.5.4 Molecular weight cut-off measurements</w:t>
      </w:r>
      <w:bookmarkEnd w:id="139"/>
      <w:r w:rsidRPr="006D631C">
        <w:t xml:space="preserve"> </w:t>
      </w:r>
    </w:p>
    <w:p w14:paraId="4C80DBCF" w14:textId="195C20AD" w:rsidR="00A9517A" w:rsidRPr="006D631C" w:rsidRDefault="0046792E" w:rsidP="002A3219">
      <w:pPr>
        <w:ind w:firstLine="360"/>
        <w:rPr>
          <w:color w:val="020202"/>
        </w:rPr>
      </w:pPr>
      <w:r w:rsidRPr="006D631C">
        <w:rPr>
          <w:color w:val="020202"/>
        </w:rPr>
        <w:t xml:space="preserve">The permeation of 1 mg/mL aqueous solutions of PEO with different molecular weights (100-900 </w:t>
      </w:r>
      <w:proofErr w:type="spellStart"/>
      <w:r w:rsidRPr="006D631C">
        <w:rPr>
          <w:color w:val="020202"/>
        </w:rPr>
        <w:t>kDa</w:t>
      </w:r>
      <w:proofErr w:type="spellEnd"/>
      <w:r w:rsidRPr="006D631C">
        <w:rPr>
          <w:color w:val="020202"/>
        </w:rPr>
        <w:t>) was studied to determine the MWCO of the membrane. The concentration of PEO in the permeate stream was determined by the total organic carbon analyzer (TOC), Shimadzu (TOC-L series).  The PEO rejection was determined by using following equation:</w:t>
      </w:r>
    </w:p>
    <w:p w14:paraId="3A4F4FC5" w14:textId="1FCBC81B" w:rsidR="0046792E" w:rsidRPr="006D631C" w:rsidRDefault="0046792E" w:rsidP="0046792E">
      <w:pPr>
        <w:pStyle w:val="Caption"/>
        <w:rPr>
          <w:color w:val="020202"/>
          <w:szCs w:val="24"/>
        </w:rPr>
      </w:pPr>
      <w:r w:rsidRPr="006D631C">
        <w:rPr>
          <w:color w:val="020202"/>
          <w:position w:val="-32"/>
          <w:szCs w:val="24"/>
        </w:rPr>
        <w:object w:dxaOrig="1719" w:dyaOrig="740" w14:anchorId="51A4CCBD">
          <v:shape id="_x0000_i1060" type="#_x0000_t75" style="width:84pt;height:36pt" o:ole="">
            <v:imagedata r:id="rId108" o:title=""/>
          </v:shape>
          <o:OLEObject Type="Embed" ProgID="Equation.DSMT4" ShapeID="_x0000_i1060" DrawAspect="Content" ObjectID="_1760013328" r:id="rId109"/>
        </w:object>
      </w:r>
      <w:r w:rsidRPr="006D631C">
        <w:rPr>
          <w:color w:val="020202"/>
          <w:szCs w:val="24"/>
        </w:rPr>
        <w:t xml:space="preserve"> </w:t>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t xml:space="preserve">           </w:t>
      </w:r>
      <w:r w:rsidRPr="006D631C">
        <w:rPr>
          <w:color w:val="020202"/>
          <w:szCs w:val="24"/>
        </w:rPr>
        <w:tab/>
      </w:r>
      <w:r w:rsidRPr="006D631C">
        <w:rPr>
          <w:color w:val="020202"/>
          <w:szCs w:val="24"/>
        </w:rPr>
        <w:tab/>
        <w:t xml:space="preserve"> </w:t>
      </w:r>
      <w:r w:rsidRPr="006D631C">
        <w:rPr>
          <w:color w:val="020202"/>
          <w:szCs w:val="24"/>
        </w:rPr>
        <w:tab/>
        <w:t>(</w:t>
      </w:r>
      <w:r w:rsidR="006A54D9" w:rsidRPr="006D631C">
        <w:rPr>
          <w:color w:val="020202"/>
          <w:szCs w:val="24"/>
        </w:rPr>
        <w:fldChar w:fldCharType="begin"/>
      </w:r>
      <w:r w:rsidR="006A54D9" w:rsidRPr="006D631C">
        <w:rPr>
          <w:color w:val="020202"/>
          <w:szCs w:val="24"/>
        </w:rPr>
        <w:instrText xml:space="preserve"> STYLEREF 1 \s </w:instrText>
      </w:r>
      <w:r w:rsidR="006A54D9" w:rsidRPr="006D631C">
        <w:rPr>
          <w:color w:val="020202"/>
          <w:szCs w:val="24"/>
        </w:rPr>
        <w:fldChar w:fldCharType="separate"/>
      </w:r>
      <w:r w:rsidR="005014F7" w:rsidRPr="006D631C">
        <w:rPr>
          <w:color w:val="020202"/>
          <w:szCs w:val="24"/>
          <w:cs/>
        </w:rPr>
        <w:t>‎</w:t>
      </w:r>
      <w:r w:rsidR="005014F7" w:rsidRPr="006D631C">
        <w:rPr>
          <w:color w:val="020202"/>
          <w:szCs w:val="24"/>
        </w:rPr>
        <w:t>3</w:t>
      </w:r>
      <w:r w:rsidR="006A54D9" w:rsidRPr="006D631C">
        <w:rPr>
          <w:color w:val="020202"/>
          <w:szCs w:val="24"/>
        </w:rPr>
        <w:fldChar w:fldCharType="end"/>
      </w:r>
      <w:r w:rsidR="006A54D9" w:rsidRPr="006D631C">
        <w:rPr>
          <w:color w:val="020202"/>
          <w:szCs w:val="24"/>
        </w:rPr>
        <w:noBreakHyphen/>
      </w:r>
      <w:r w:rsidR="006A54D9" w:rsidRPr="006D631C">
        <w:rPr>
          <w:color w:val="020202"/>
          <w:szCs w:val="24"/>
        </w:rPr>
        <w:fldChar w:fldCharType="begin"/>
      </w:r>
      <w:r w:rsidR="006A54D9" w:rsidRPr="006D631C">
        <w:rPr>
          <w:color w:val="020202"/>
          <w:szCs w:val="24"/>
        </w:rPr>
        <w:instrText xml:space="preserve"> SEQ Equation \* ARABIC \s 1 </w:instrText>
      </w:r>
      <w:r w:rsidR="006A54D9" w:rsidRPr="006D631C">
        <w:rPr>
          <w:color w:val="020202"/>
          <w:szCs w:val="24"/>
        </w:rPr>
        <w:fldChar w:fldCharType="separate"/>
      </w:r>
      <w:r w:rsidR="005014F7" w:rsidRPr="006D631C">
        <w:rPr>
          <w:color w:val="020202"/>
          <w:szCs w:val="24"/>
        </w:rPr>
        <w:t>5</w:t>
      </w:r>
      <w:r w:rsidR="006A54D9" w:rsidRPr="006D631C">
        <w:rPr>
          <w:color w:val="020202"/>
          <w:szCs w:val="24"/>
        </w:rPr>
        <w:fldChar w:fldCharType="end"/>
      </w:r>
      <w:r w:rsidRPr="006D631C">
        <w:rPr>
          <w:color w:val="020202"/>
          <w:szCs w:val="24"/>
        </w:rPr>
        <w:t>)</w:t>
      </w:r>
    </w:p>
    <w:p w14:paraId="49BE2113" w14:textId="73CDE860" w:rsidR="00FF03EC" w:rsidRPr="006D631C" w:rsidRDefault="00FF03EC" w:rsidP="0072669A">
      <w:pPr>
        <w:ind w:firstLine="360"/>
        <w:rPr>
          <w:color w:val="020202"/>
        </w:rPr>
      </w:pPr>
      <w:proofErr w:type="gramStart"/>
      <w:r w:rsidRPr="006D631C">
        <w:rPr>
          <w:color w:val="020202"/>
        </w:rPr>
        <w:t>where</w:t>
      </w:r>
      <w:proofErr w:type="gramEnd"/>
      <w:r w:rsidRPr="006D631C">
        <w:rPr>
          <w:color w:val="020202"/>
        </w:rPr>
        <w:t xml:space="preserve"> </w:t>
      </w:r>
      <w:r w:rsidRPr="006D631C">
        <w:rPr>
          <w:i/>
          <w:iCs/>
          <w:color w:val="020202"/>
        </w:rPr>
        <w:t>r</w:t>
      </w:r>
      <w:r w:rsidRPr="006D631C">
        <w:rPr>
          <w:color w:val="020202"/>
        </w:rPr>
        <w:t xml:space="preserve">, </w:t>
      </w:r>
      <w:proofErr w:type="spellStart"/>
      <w:r w:rsidRPr="006D631C">
        <w:rPr>
          <w:i/>
          <w:iCs/>
          <w:color w:val="020202"/>
        </w:rPr>
        <w:t>C</w:t>
      </w:r>
      <w:r w:rsidRPr="006D631C">
        <w:rPr>
          <w:i/>
          <w:iCs/>
          <w:color w:val="020202"/>
          <w:vertAlign w:val="subscript"/>
        </w:rPr>
        <w:t>p</w:t>
      </w:r>
      <w:proofErr w:type="spellEnd"/>
      <w:r w:rsidRPr="006D631C">
        <w:rPr>
          <w:color w:val="020202"/>
        </w:rPr>
        <w:t xml:space="preserve">, and </w:t>
      </w:r>
      <w:proofErr w:type="spellStart"/>
      <w:r w:rsidRPr="006D631C">
        <w:rPr>
          <w:i/>
          <w:iCs/>
          <w:color w:val="020202"/>
        </w:rPr>
        <w:t>C</w:t>
      </w:r>
      <w:r w:rsidRPr="006D631C">
        <w:rPr>
          <w:i/>
          <w:iCs/>
          <w:color w:val="020202"/>
          <w:vertAlign w:val="subscript"/>
        </w:rPr>
        <w:t>f</w:t>
      </w:r>
      <w:proofErr w:type="spellEnd"/>
      <w:r w:rsidRPr="006D631C">
        <w:rPr>
          <w:color w:val="020202"/>
        </w:rPr>
        <w:t xml:space="preserve"> are rejection, PEO concentrations in permeate, and PEO concentrations in feed, respectively. MWCO is defined as the molecular weight of the PEO that shows at least 90% rejection </w:t>
      </w:r>
      <w:r w:rsidRPr="006D631C">
        <w:rPr>
          <w:color w:val="020202"/>
        </w:rPr>
        <w:fldChar w:fldCharType="begin" w:fldLock="1"/>
      </w:r>
      <w:r w:rsidR="00E95125" w:rsidRPr="006D631C">
        <w:rPr>
          <w:color w:val="020202"/>
        </w:rPr>
        <w:instrText>ADDIN CSL_CITATION {"citationItems":[{"id":"ITEM-1","itemData":{"DOI":"10.1016/j.memsci.2016.12.038","ISSN":"03767388","abstract":"A new method for determining the molecular weight cut-off (MWCO) of an organic solvent nanofiltration (OSN) membrane has been developed utilising poly(propylene glycol) (PPG) oligomers. This new MWCO method overcomes the limitations of the currently popular methods: namely the high molecule cost in the popular polystyrene method, the Donnan Exclusion effects when using dye molecules and the solvent compatibility and HPLC separation resolution limitations of the lesser used poly(ethylene glycol) (PEG) method. A new reverse phase high-performance liquid chromatography separation with evaporative light scattering detection (ELSD) allows the concentration of each oligomer of PPG to be accurately determined and from this the MWCO curves are constructed. The method has a high resolution (size increment of 58 g mol−1corresponding to the OCH(CH3)CH2structural unit) and can be used in polar, polar aprotic, and non-polar solvents. The accuracy of the method has been demonstrated in three different solvents (methanol, acetone, and toluene) and 5 different OSN membranes (DuraMem® 150, 200, 500, PuraMem® 280 and StarMemTM240). Other advantages include; oligomers of PPG are cheap and widely available, can probe a wide range of MWCO and provide high resolution MWCO curves. Consequently, it is proposed that this method be adopted as a new standard MWCO test for OSN membranes.","author":[{"dropping-particle":"","family":"Davey","given":"Christopher John","non-dropping-particle":"","parse-names":false,"suffix":""},{"dropping-particle":"","family":"Low","given":"Ze-Xian","non-dropping-particle":"","parse-names":false,"suffix":""},{"dropping-particle":"","family":"Wirawan","given":"Remigius H.","non-dropping-particle":"","parse-names":false,"suffix":""},{"dropping-particle":"","family":"Patterson","given":"Darrell Alec","non-dropping-particle":"","parse-names":false,"suffix":""}],"container-title":"Journal of Membrane Science","id":"ITEM-1","issued":{"date-parts":[["2017","3"]]},"page":"221-228","title":"Molecular weight cut-off determination of organic solvent nanofiltration membranes using poly(propylene glycol)","type":"article-journal","volume":"526"},"uris":["http://www.mendeley.com/documents/?uuid=7527cc84-afca-4219-9933-f58f9fb2b3a4"]}],"mendeley":{"formattedCitation":"&lt;sup&gt;251&lt;/sup&gt;","plainTextFormattedCitation":"251","previouslyFormattedCitation":"&lt;sup&gt;251&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251</w:t>
      </w:r>
      <w:r w:rsidRPr="006D631C">
        <w:rPr>
          <w:color w:val="020202"/>
        </w:rPr>
        <w:fldChar w:fldCharType="end"/>
      </w:r>
      <w:r w:rsidRPr="006D631C">
        <w:rPr>
          <w:color w:val="020202"/>
        </w:rPr>
        <w:t>. The TOC test was repeated 5 times and the average value is reported in the paper.</w:t>
      </w:r>
    </w:p>
    <w:p w14:paraId="7E5E573F" w14:textId="35EA09C9" w:rsidR="0046792E" w:rsidRPr="006D631C" w:rsidRDefault="00FF03EC" w:rsidP="0072669A">
      <w:pPr>
        <w:ind w:firstLine="360"/>
      </w:pPr>
      <w:r w:rsidRPr="006D631C">
        <w:rPr>
          <w:color w:val="020202"/>
        </w:rPr>
        <w:t xml:space="preserve">To examine the effect of thermoresponsiveness of the polyLLC membrane on the MWCO, the PEO solutions were passed through the membranes at different temperatures and the TOC measurements were performed on the permeates. To cancel out the effect of temperature on the hydrodynamic radius of PEO chains and thus have a precise MWCO results, dynamic light scattering (DLS) measurements on PEO solutions were done at different temperatures. To do so, a Malvern </w:t>
      </w:r>
      <w:proofErr w:type="spellStart"/>
      <w:r w:rsidRPr="006D631C">
        <w:rPr>
          <w:color w:val="020202"/>
        </w:rPr>
        <w:t>Zetasizer</w:t>
      </w:r>
      <w:proofErr w:type="spellEnd"/>
      <w:r w:rsidRPr="006D631C">
        <w:rPr>
          <w:color w:val="020202"/>
        </w:rPr>
        <w:t xml:space="preserve"> Nano ZS was used with a laser wavelength of 8324 Å and at a scattering angle of 90°. Solutions of PEO with different molecular weights at a concentration of about 0.1 </w:t>
      </w:r>
      <w:proofErr w:type="spellStart"/>
      <w:r w:rsidRPr="006D631C">
        <w:rPr>
          <w:color w:val="020202"/>
        </w:rPr>
        <w:t>wt</w:t>
      </w:r>
      <w:proofErr w:type="spellEnd"/>
      <w:r w:rsidRPr="006D631C">
        <w:rPr>
          <w:color w:val="020202"/>
        </w:rPr>
        <w:t xml:space="preserve">% were used for DLS measurements using the procedure described in the literature </w:t>
      </w:r>
      <w:r w:rsidRPr="006D631C">
        <w:rPr>
          <w:color w:val="020202"/>
        </w:rPr>
        <w:fldChar w:fldCharType="begin" w:fldLock="1"/>
      </w:r>
      <w:r w:rsidR="00E95125" w:rsidRPr="006D631C">
        <w:rPr>
          <w:color w:val="020202"/>
        </w:rPr>
        <w:instrText>ADDIN CSL_CITATION {"citationItems":[{"id":"ITEM-1","itemData":{"DOI":"10.1002/polb.10340","ISSN":"0887-6266","abstract":"The dynamic light scattering results presented in this letter demonstrate that the clustering of poly(ethylene oxide) (PEO) can be observed even in ultrapure, freshly double-distilled and filtered deionized water. It is confirmed that the filtration of solutions removes the clustering structure and that a steady?state amount of PEO in clusters is reformed in filtered solutions within 24 h. Adding a drop of chloroform to unfiltered aqueous solutions of PEO temporarily alters the clustering structure, but it prevents the clustering of PEO in filtered solutions.","author":[{"dropping-particle":"","family":"Ho","given":"Derek L.","non-dropping-particle":"","parse-names":false,"suffix":""},{"dropping-particle":"","family":"Hammouda","given":"Boualem","non-dropping-particle":"","parse-names":false,"suffix":""},{"dropping-particle":"","family":"Kline","given":"Steven R.","non-dropping-particle":"","parse-names":false,"suffix":""}],"container-title":"Journal of Polymer Science Part B: Polymer Physics","id":"ITEM-1","issue":"1","issued":{"date-parts":[["2003","1","1"]]},"page":"135-138","title":"Clustering of poly(ethylene oxide) in water revisited","type":"article-journal","volume":"41"},"uris":["http://www.mendeley.com/documents/?uuid=ee1eb375-9cef-4b14-be29-86084b744957"]}],"mendeley":{"formattedCitation":"&lt;sup&gt;252&lt;/sup&gt;","plainTextFormattedCitation":"252","previouslyFormattedCitation":"&lt;sup&gt;252&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252</w:t>
      </w:r>
      <w:r w:rsidRPr="006D631C">
        <w:rPr>
          <w:color w:val="020202"/>
        </w:rPr>
        <w:fldChar w:fldCharType="end"/>
      </w:r>
      <w:r w:rsidRPr="006D631C">
        <w:rPr>
          <w:color w:val="020202"/>
        </w:rPr>
        <w:t>.</w:t>
      </w:r>
    </w:p>
    <w:p w14:paraId="367722C1" w14:textId="04AA6C3F" w:rsidR="00E25CFE" w:rsidRPr="006D631C" w:rsidRDefault="00E25CFE" w:rsidP="00BC620F">
      <w:pPr>
        <w:pStyle w:val="Heading2"/>
      </w:pPr>
      <w:bookmarkStart w:id="140" w:name="_Toc148175830"/>
      <w:r w:rsidRPr="006D631C">
        <w:t>3.</w:t>
      </w:r>
      <w:r w:rsidR="00BC620F" w:rsidRPr="006D631C">
        <w:t>3</w:t>
      </w:r>
      <w:r w:rsidRPr="006D631C">
        <w:t xml:space="preserve"> Results and discussions</w:t>
      </w:r>
      <w:bookmarkEnd w:id="140"/>
    </w:p>
    <w:p w14:paraId="6C26DC78" w14:textId="0A6034A5" w:rsidR="00BC620F" w:rsidRPr="006D631C" w:rsidRDefault="00BC620F" w:rsidP="00BC620F">
      <w:pPr>
        <w:pStyle w:val="Heading3"/>
      </w:pPr>
      <w:bookmarkStart w:id="141" w:name="_Toc148175831"/>
      <w:r w:rsidRPr="006D631C">
        <w:t>3.3.1 Characterization of LLC and polyLLC</w:t>
      </w:r>
      <w:bookmarkEnd w:id="141"/>
      <w:r w:rsidRPr="006D631C">
        <w:t xml:space="preserve"> </w:t>
      </w:r>
    </w:p>
    <w:p w14:paraId="29E4DF42" w14:textId="5A3DCEBF" w:rsidR="00BC620F" w:rsidRPr="006D631C" w:rsidRDefault="00BC620F" w:rsidP="00CD2488">
      <w:pPr>
        <w:ind w:firstLine="357"/>
        <w:rPr>
          <w:rFonts w:asciiTheme="majorBidi" w:hAnsiTheme="majorBidi" w:cstheme="majorBidi"/>
        </w:rPr>
      </w:pPr>
      <w:r w:rsidRPr="006D631C">
        <w:rPr>
          <w:rFonts w:asciiTheme="majorBidi" w:hAnsiTheme="majorBidi" w:cstheme="majorBidi"/>
        </w:rPr>
        <w:t>As the first step, we needed to characterize the Pluronic/water/oil mixture to confirm the LLC and polyLLC structures created by F127. Structural analysis of the obtained LLC before and after polymerization via CPLM is shown in Fig</w:t>
      </w:r>
      <w:r w:rsidR="00491F0D" w:rsidRPr="006D631C">
        <w:rPr>
          <w:rFonts w:asciiTheme="majorBidi" w:hAnsiTheme="majorBidi" w:cstheme="majorBidi"/>
        </w:rPr>
        <w:t>ure</w:t>
      </w:r>
      <w:r w:rsidRPr="006D631C">
        <w:rPr>
          <w:rFonts w:asciiTheme="majorBidi" w:hAnsiTheme="majorBidi" w:cstheme="majorBidi"/>
        </w:rPr>
        <w:t xml:space="preserve"> </w:t>
      </w:r>
      <w:r w:rsidR="00491F0D" w:rsidRPr="006D631C">
        <w:rPr>
          <w:rFonts w:asciiTheme="majorBidi" w:hAnsiTheme="majorBidi" w:cstheme="majorBidi"/>
        </w:rPr>
        <w:t>3-</w:t>
      </w:r>
      <w:r w:rsidRPr="006D631C">
        <w:rPr>
          <w:rFonts w:asciiTheme="majorBidi" w:hAnsiTheme="majorBidi" w:cstheme="majorBidi"/>
        </w:rPr>
        <w:t>1a, b. The oily-streak texture reveals that the mesophase has the lamellar structure</w:t>
      </w:r>
      <w:r w:rsidR="00491F0D" w:rsidRPr="006D631C">
        <w:rPr>
          <w:rFonts w:asciiTheme="majorBidi" w:hAnsiTheme="majorBidi" w:cstheme="majorBidi"/>
        </w:rPr>
        <w:t>.</w:t>
      </w:r>
      <w:r w:rsidRPr="006D631C">
        <w:rPr>
          <w:rFonts w:asciiTheme="majorBidi" w:hAnsiTheme="majorBidi" w:cstheme="majorBidi"/>
        </w:rPr>
        <w:fldChar w:fldCharType="begin" w:fldLock="1"/>
      </w:r>
      <w:r w:rsidR="00AD62E8" w:rsidRPr="006D631C">
        <w:rPr>
          <w:rFonts w:asciiTheme="majorBidi" w:hAnsiTheme="majorBidi" w:cstheme="majorBidi"/>
        </w:rPr>
        <w:instrText>ADDIN CSL_CITATION {"citationItems":[{"id":"ITEM-1","itemData":{"DOI":"10.1039/c7ra12008g","ISSN":"20462069","abstract":"Lyotropic liquid crystals (LLCs) formed by the self-assembly of amphiphilic molecules in a solvent (usually water) have attracted increasingly greater attention in the last few decades, especially the lamellar phase (Lα), the reversed bicontinuous cubic phase (Q2) and the reversed hexagonal phase (H2). Such phases offer promising prospects for encapsulation of a wide range of target molecules with various sizes and polarities owing to the unique internal structures. Also, different structures of mesophases can give rise to different diffusion coefficients. The bicontinuous cubic phase and the hexagonal phase have been demonstrated to control and sustain the release of active molecules. Furthermore, the structures are susceptible to many factors such as water content, temperature, pH, the presence of additives etc. Many researchers have been studying these influencing factors in order to accurately fabricate the desired phase. In this paper, we give a review of the characteristics of different structures of liquid crystalline phases, the influencing factors on the phase transition of liquid crystals and the relationship between structures of LLC and drug diffusion. We hope our review will provide some insights into how to manipulate in a controlled manner the rate of incorporating and transferring molecules by altering the structure of lyotropic mesophases.","author":[{"dropping-particle":"","family":"Huang","given":"Yiming","non-dropping-particle":"","parse-names":false,"suffix":""},{"dropping-particle":"","family":"Gui","given":"Shuangying","non-dropping-particle":"","parse-names":false,"suffix":""}],"container-title":"RSC Advances","id":"ITEM-1","issue":"13","issued":{"date-parts":[["2018"]]},"page":"6978-6987","title":"Factors affecting the structure of lyotropic liquid crystals and the correlation between structure and drug diffusion","type":"article-journal","volume":"8"},"uris":["http://www.mendeley.com/documents/?uuid=b7851437-718b-4625-8b35-1207b0977622"]}],"mendeley":{"formattedCitation":"&lt;sup&gt;17&lt;/sup&gt;","plainTextFormattedCitation":"17","previouslyFormattedCitation":"&lt;sup&gt;17&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17</w:t>
      </w:r>
      <w:r w:rsidRPr="006D631C">
        <w:rPr>
          <w:rFonts w:asciiTheme="majorBidi" w:hAnsiTheme="majorBidi" w:cstheme="majorBidi"/>
        </w:rPr>
        <w:fldChar w:fldCharType="end"/>
      </w:r>
      <w:r w:rsidRPr="006D631C">
        <w:rPr>
          <w:rFonts w:asciiTheme="majorBidi" w:hAnsiTheme="majorBidi" w:cstheme="majorBidi"/>
        </w:rPr>
        <w:t xml:space="preserve"> The absence of extinction (a dark image) in the CPLM photograph of polyLLC indicates that the structure remains birefringent, meaning that we have structure after polymerization. Then we characterized LLC and polyLLC with SAXS. According to the SAXS results (see Fig</w:t>
      </w:r>
      <w:r w:rsidR="00BA1554" w:rsidRPr="006D631C">
        <w:rPr>
          <w:rFonts w:asciiTheme="majorBidi" w:hAnsiTheme="majorBidi" w:cstheme="majorBidi"/>
        </w:rPr>
        <w:t>ure</w:t>
      </w:r>
      <w:r w:rsidRPr="006D631C">
        <w:rPr>
          <w:rFonts w:asciiTheme="majorBidi" w:hAnsiTheme="majorBidi" w:cstheme="majorBidi"/>
        </w:rPr>
        <w:t xml:space="preserve"> </w:t>
      </w:r>
      <w:r w:rsidR="00BA1554" w:rsidRPr="006D631C">
        <w:rPr>
          <w:rFonts w:asciiTheme="majorBidi" w:hAnsiTheme="majorBidi" w:cstheme="majorBidi"/>
        </w:rPr>
        <w:t>3-</w:t>
      </w:r>
      <w:r w:rsidRPr="006D631C">
        <w:rPr>
          <w:rFonts w:asciiTheme="majorBidi" w:hAnsiTheme="majorBidi" w:cstheme="majorBidi"/>
        </w:rPr>
        <w:t xml:space="preserve">1c), Bragg peaks with ratios of 1:2 is observed for LLC before reaction while only one peak is seen for polyLLC. Additionally, </w:t>
      </w:r>
      <w:r w:rsidRPr="006D631C">
        <w:rPr>
          <w:rFonts w:asciiTheme="majorBidi" w:hAnsiTheme="majorBidi" w:cstheme="majorBidi"/>
          <w:i/>
          <w:iCs/>
        </w:rPr>
        <w:t>d</w:t>
      </w:r>
      <w:r w:rsidRPr="006D631C">
        <w:rPr>
          <w:rFonts w:asciiTheme="majorBidi" w:hAnsiTheme="majorBidi" w:cstheme="majorBidi"/>
        </w:rPr>
        <w:t>-spacing of the structure (</w:t>
      </w:r>
      <m:oMath>
        <m:r>
          <w:rPr>
            <w:rFonts w:ascii="Cambria Math" w:hAnsi="Cambria Math" w:cstheme="majorBidi"/>
          </w:rPr>
          <m:t>d=</m:t>
        </m:r>
        <m:f>
          <m:fPr>
            <m:ctrlPr>
              <w:rPr>
                <w:rFonts w:ascii="Cambria Math" w:hAnsi="Cambria Math" w:cstheme="majorBidi"/>
                <w:i/>
              </w:rPr>
            </m:ctrlPr>
          </m:fPr>
          <m:num>
            <m:r>
              <w:rPr>
                <w:rFonts w:ascii="Cambria Math" w:hAnsi="Cambria Math" w:cstheme="majorBidi"/>
              </w:rPr>
              <m:t>2π</m:t>
            </m:r>
          </m:num>
          <m:den>
            <m:r>
              <w:rPr>
                <w:rFonts w:ascii="Cambria Math" w:hAnsi="Cambria Math" w:cstheme="majorBidi"/>
              </w:rPr>
              <m:t>q*</m:t>
            </m:r>
          </m:den>
        </m:f>
      </m:oMath>
      <w:r w:rsidRPr="006D631C">
        <w:rPr>
          <w:rFonts w:asciiTheme="majorBidi" w:eastAsiaTheme="minorEastAsia" w:hAnsiTheme="majorBidi" w:cstheme="majorBidi"/>
        </w:rPr>
        <w:t>) increases from 11.6 to 20.18 nm after polymerization.</w:t>
      </w:r>
      <w:r w:rsidRPr="006D631C">
        <w:rPr>
          <w:rFonts w:asciiTheme="majorBidi" w:hAnsiTheme="majorBidi" w:cstheme="majorBidi"/>
        </w:rPr>
        <w:t xml:space="preserve"> The CPLM and SAXS observations reveal that even though we have a nanostructure with bigger domain sizes after polymerization, the parent lamellar structure has partially been retained. To further evaluate the polyLLC structure, AFM studies were carried out. The acquired results are shown in Fig</w:t>
      </w:r>
      <w:r w:rsidR="00CD2488" w:rsidRPr="006D631C">
        <w:rPr>
          <w:rFonts w:asciiTheme="majorBidi" w:hAnsiTheme="majorBidi" w:cstheme="majorBidi"/>
        </w:rPr>
        <w:t>ure</w:t>
      </w:r>
      <w:r w:rsidRPr="006D631C">
        <w:rPr>
          <w:rFonts w:asciiTheme="majorBidi" w:hAnsiTheme="majorBidi" w:cstheme="majorBidi"/>
        </w:rPr>
        <w:t xml:space="preserve"> </w:t>
      </w:r>
      <w:r w:rsidR="00CD2488" w:rsidRPr="006D631C">
        <w:rPr>
          <w:rFonts w:asciiTheme="majorBidi" w:hAnsiTheme="majorBidi" w:cstheme="majorBidi"/>
        </w:rPr>
        <w:t>3-</w:t>
      </w:r>
      <w:r w:rsidRPr="006D631C">
        <w:rPr>
          <w:rFonts w:asciiTheme="majorBidi" w:hAnsiTheme="majorBidi" w:cstheme="majorBidi"/>
        </w:rPr>
        <w:t xml:space="preserve">1d, e, </w:t>
      </w:r>
      <w:proofErr w:type="gramStart"/>
      <w:r w:rsidRPr="006D631C">
        <w:rPr>
          <w:rFonts w:asciiTheme="majorBidi" w:hAnsiTheme="majorBidi" w:cstheme="majorBidi"/>
        </w:rPr>
        <w:t>f</w:t>
      </w:r>
      <w:proofErr w:type="gramEnd"/>
      <w:r w:rsidRPr="006D631C">
        <w:rPr>
          <w:rFonts w:asciiTheme="majorBidi" w:hAnsiTheme="majorBidi" w:cstheme="majorBidi"/>
        </w:rPr>
        <w:t xml:space="preserve">. As can be seen in the AFM images, the dried polyLLC sample (analysis of a dried sample seemed necessary to acquire proper image resolution) has a structure in the form of arranged stacks which confirms the presence of lamellar structure. However, the image analysis shows that we have a distribution of layers thicknesses with an average thickness of about 30 nm and standard deviation of 5.9 nm (the thickness of at least 50 lamellae was measured through image analysis followed by calculation of average and standard deviation of the measured thicknesses). Such variation in thickness of the layers confirms our observation in SAXS analysis (i.e., partially retaining the parent LLC structure). </w:t>
      </w:r>
      <w:bookmarkStart w:id="142" w:name="_Hlk113562408"/>
      <w:r w:rsidRPr="006D631C">
        <w:rPr>
          <w:rFonts w:asciiTheme="majorBidi" w:hAnsiTheme="majorBidi" w:cstheme="majorBidi"/>
        </w:rPr>
        <w:t>It should also be noted that the anisotropic shape of the two-dimensional lamellar structure can be another reason why the structural dimensions obtained from AFM is different than the d-spacing calculated from the SAXS measurement.</w:t>
      </w:r>
      <w:bookmarkEnd w:id="142"/>
    </w:p>
    <w:p w14:paraId="0A0322EB" w14:textId="1A2B9A79" w:rsidR="003522E0" w:rsidRPr="006D631C" w:rsidRDefault="003D002A" w:rsidP="0072669A">
      <w:pPr>
        <w:ind w:firstLine="357"/>
        <w:rPr>
          <w:rFonts w:asciiTheme="majorBidi" w:hAnsiTheme="majorBidi" w:cstheme="majorBidi"/>
        </w:rPr>
      </w:pPr>
      <w:r w:rsidRPr="006D631C">
        <w:rPr>
          <w:rFonts w:asciiTheme="majorBidi" w:hAnsiTheme="majorBidi" w:cstheme="majorBidi"/>
        </w:rPr>
        <w:t xml:space="preserve">After making sure that the polyLLC has the desired nanostructure, we evaluated its thermoresponsiveness via DSC. We not only analyzed polyLLC, but also tested </w:t>
      </w:r>
      <w:proofErr w:type="gramStart"/>
      <w:r w:rsidRPr="006D631C">
        <w:rPr>
          <w:rFonts w:asciiTheme="majorBidi" w:hAnsiTheme="majorBidi" w:cstheme="majorBidi"/>
        </w:rPr>
        <w:t>poly(</w:t>
      </w:r>
      <w:proofErr w:type="spellStart"/>
      <w:proofErr w:type="gramEnd"/>
      <w:r w:rsidRPr="006D631C">
        <w:rPr>
          <w:rFonts w:asciiTheme="majorBidi" w:hAnsiTheme="majorBidi" w:cstheme="majorBidi"/>
          <w:i/>
          <w:iCs/>
        </w:rPr>
        <w:t>n</w:t>
      </w:r>
      <w:r w:rsidRPr="006D631C">
        <w:rPr>
          <w:rFonts w:asciiTheme="majorBidi" w:hAnsiTheme="majorBidi" w:cstheme="majorBidi"/>
        </w:rPr>
        <w:t>BA</w:t>
      </w:r>
      <w:proofErr w:type="spellEnd"/>
      <w:r w:rsidRPr="006D631C">
        <w:rPr>
          <w:rFonts w:asciiTheme="majorBidi" w:hAnsiTheme="majorBidi" w:cstheme="majorBidi"/>
        </w:rPr>
        <w:t>-co-EGDMA) and pure F127 to distinguish which component is responsible for probable thermal transitions in the temperature range of 25 to 60 °C. The obtained results are presented in Fig</w:t>
      </w:r>
      <w:r w:rsidR="00963F3D" w:rsidRPr="006D631C">
        <w:rPr>
          <w:rFonts w:asciiTheme="majorBidi" w:hAnsiTheme="majorBidi" w:cstheme="majorBidi"/>
        </w:rPr>
        <w:t>ure</w:t>
      </w:r>
      <w:r w:rsidRPr="006D631C">
        <w:rPr>
          <w:rFonts w:asciiTheme="majorBidi" w:hAnsiTheme="majorBidi" w:cstheme="majorBidi"/>
        </w:rPr>
        <w:t xml:space="preserve"> </w:t>
      </w:r>
      <w:r w:rsidR="00963F3D" w:rsidRPr="006D631C">
        <w:rPr>
          <w:rFonts w:asciiTheme="majorBidi" w:hAnsiTheme="majorBidi" w:cstheme="majorBidi"/>
        </w:rPr>
        <w:t>3-</w:t>
      </w:r>
      <w:r w:rsidRPr="006D631C">
        <w:rPr>
          <w:rFonts w:asciiTheme="majorBidi" w:hAnsiTheme="majorBidi" w:cstheme="majorBidi"/>
        </w:rPr>
        <w:t xml:space="preserve">2. As can be seen, there is not any thermal transition for </w:t>
      </w:r>
      <w:proofErr w:type="gramStart"/>
      <w:r w:rsidRPr="006D631C">
        <w:rPr>
          <w:rFonts w:asciiTheme="majorBidi" w:hAnsiTheme="majorBidi" w:cstheme="majorBidi"/>
        </w:rPr>
        <w:t>poly(</w:t>
      </w:r>
      <w:proofErr w:type="spellStart"/>
      <w:proofErr w:type="gramEnd"/>
      <w:r w:rsidRPr="006D631C">
        <w:rPr>
          <w:rFonts w:asciiTheme="majorBidi" w:hAnsiTheme="majorBidi" w:cstheme="majorBidi"/>
          <w:i/>
          <w:iCs/>
        </w:rPr>
        <w:t>n</w:t>
      </w:r>
      <w:r w:rsidRPr="006D631C">
        <w:rPr>
          <w:rFonts w:asciiTheme="majorBidi" w:hAnsiTheme="majorBidi" w:cstheme="majorBidi"/>
        </w:rPr>
        <w:t>BA</w:t>
      </w:r>
      <w:proofErr w:type="spellEnd"/>
      <w:r w:rsidRPr="006D631C">
        <w:rPr>
          <w:rFonts w:asciiTheme="majorBidi" w:hAnsiTheme="majorBidi" w:cstheme="majorBidi"/>
        </w:rPr>
        <w:t>-co-EGDMA) in this temperature range. However, F127 shows an endothermic peak at around 50-58 °C in the heating cycle, attributed to the melting of PEO crystalline regions. In addition, an exothermic peak is observed starting from 48 °C and ending at about 43 °C in the cooling cycle of F127. This peak can be attributed to the crystallization of PEO chains. In the case of as</w:t>
      </w:r>
      <w:r w:rsidR="00FB52AC" w:rsidRPr="006D631C">
        <w:rPr>
          <w:rFonts w:asciiTheme="majorBidi" w:hAnsiTheme="majorBidi" w:cstheme="majorBidi"/>
        </w:rPr>
        <w:t xml:space="preserve"> </w:t>
      </w:r>
      <w:r w:rsidRPr="006D631C">
        <w:rPr>
          <w:rFonts w:asciiTheme="majorBidi" w:hAnsiTheme="majorBidi" w:cstheme="majorBidi"/>
        </w:rPr>
        <w:t xml:space="preserve">synthesized polyLLC (i.e., </w:t>
      </w:r>
      <w:r w:rsidRPr="006D631C">
        <w:rPr>
          <w:rFonts w:asciiTheme="majorBidi" w:hAnsiTheme="majorBidi" w:cstheme="majorBidi"/>
        </w:rPr>
        <w:lastRenderedPageBreak/>
        <w:t>containing water), two endothermic peaks are observed in the heating cycle. The first peak at about 26-33 °C can be attributed to the LCST of F127, which is consistent with the reported LCST range of F127/water mixtures in the literature</w:t>
      </w:r>
      <w:r w:rsidR="00AD62E8"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10.1038/s41598-019-48254-6","ISSN":"2045-2322","author":[{"dropping-particle":"","family":"Chatterjee","given":"Sudipta","non-dropping-particle":"","parse-names":false,"suffix":""},{"dropping-particle":"","family":"Hui","given":"Patrick Chi-leung","non-dropping-particle":"","parse-names":false,"suffix":""},{"dropping-particle":"","family":"Kan","given":"Chi-wai","non-dropping-particle":"","parse-names":false,"suffix":""},{"dropping-particle":"","family":"Wang","given":"Wenyi","non-dropping-particle":"","parse-names":false,"suffix":""}],"container-title":"Scientific Reports","id":"ITEM-1","issue":"1","issued":{"date-parts":[["2019","12","12"]]},"page":"11658","title":"Dual-responsive (pH/temperature) Pluronic F-127 hydrogel drug delivery system for textile-based transdermal therapy","type":"article-journal","volume":"9"},"uris":["http://www.mendeley.com/documents/?uuid=9e3098be-5070-47f2-bb47-66c167318628"]}],"mendeley":{"formattedCitation":"&lt;sup&gt;248&lt;/sup&gt;","plainTextFormattedCitation":"248","previouslyFormattedCitation":"&lt;sup&gt;248&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248</w:t>
      </w:r>
      <w:r w:rsidRPr="006D631C">
        <w:rPr>
          <w:rFonts w:asciiTheme="majorBidi" w:hAnsiTheme="majorBidi" w:cstheme="majorBidi"/>
        </w:rPr>
        <w:fldChar w:fldCharType="end"/>
      </w:r>
      <w:r w:rsidRPr="006D631C">
        <w:rPr>
          <w:rFonts w:asciiTheme="majorBidi" w:hAnsiTheme="majorBidi" w:cstheme="majorBidi"/>
        </w:rPr>
        <w:t xml:space="preserve"> The second peak, observed at about 50 °C, belongs to the melting of PEO crystalline regions in accordance with the DSC of pristine F127. Having an exothermic peak in the cooling cycle also proves the presence of crystallinity in the obtained polyLLC, which can be melted down at 50 °C. The two thermal transitions provide the possibility to induce two-step thermo-responsiveness in the membrane.</w:t>
      </w:r>
    </w:p>
    <w:p w14:paraId="1F644043" w14:textId="7B41F8EC" w:rsidR="00A9517A" w:rsidRPr="006D631C" w:rsidRDefault="001937D3" w:rsidP="00203976">
      <w:pPr>
        <w:jc w:val="center"/>
      </w:pPr>
      <w:r w:rsidRPr="006D631C">
        <w:rPr>
          <w:rFonts w:asciiTheme="majorBidi" w:hAnsiTheme="majorBidi" w:cstheme="majorBidi"/>
          <w:noProof/>
        </w:rPr>
        <w:lastRenderedPageBreak/>
        <w:drawing>
          <wp:inline distT="0" distB="0" distL="0" distR="0" wp14:anchorId="184D687F" wp14:editId="6CAE8914">
            <wp:extent cx="4860000" cy="689005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860000" cy="6890052"/>
                    </a:xfrm>
                    <a:prstGeom prst="rect">
                      <a:avLst/>
                    </a:prstGeom>
                    <a:noFill/>
                  </pic:spPr>
                </pic:pic>
              </a:graphicData>
            </a:graphic>
          </wp:inline>
        </w:drawing>
      </w:r>
    </w:p>
    <w:p w14:paraId="2CF77B55" w14:textId="35648C6D" w:rsidR="001937D3" w:rsidRPr="006D631C" w:rsidRDefault="001937D3" w:rsidP="001937D3">
      <w:pPr>
        <w:pStyle w:val="Caption"/>
        <w:jc w:val="center"/>
        <w:rPr>
          <w:sz w:val="22"/>
          <w:szCs w:val="22"/>
        </w:rPr>
      </w:pPr>
      <w:bookmarkStart w:id="143" w:name="_Toc148175936"/>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w:t>
      </w:r>
      <w:r w:rsidR="00B55F32" w:rsidRPr="006D631C">
        <w:rPr>
          <w:sz w:val="22"/>
          <w:szCs w:val="22"/>
        </w:rPr>
        <w:fldChar w:fldCharType="end"/>
      </w:r>
      <w:r w:rsidRPr="006D631C">
        <w:rPr>
          <w:sz w:val="22"/>
          <w:szCs w:val="22"/>
        </w:rPr>
        <w:t xml:space="preserve">. CPLM images of LLCs with lamellar structure: (a) before and (b) after thermal polymerization (scale bar: 50 </w:t>
      </w:r>
      <w:proofErr w:type="spellStart"/>
      <w:r w:rsidRPr="006D631C">
        <w:rPr>
          <w:sz w:val="22"/>
          <w:szCs w:val="22"/>
        </w:rPr>
        <w:t>μm</w:t>
      </w:r>
      <w:proofErr w:type="spellEnd"/>
      <w:r w:rsidRPr="006D631C">
        <w:rPr>
          <w:sz w:val="22"/>
          <w:szCs w:val="22"/>
        </w:rPr>
        <w:t>). (c) 1D SAXS data for LLCs before and after reaction (the plots are vertically shifted for clarity). (</w:t>
      </w:r>
      <w:proofErr w:type="gramStart"/>
      <w:r w:rsidRPr="006D631C">
        <w:rPr>
          <w:sz w:val="22"/>
          <w:szCs w:val="22"/>
        </w:rPr>
        <w:t>d</w:t>
      </w:r>
      <w:proofErr w:type="gramEnd"/>
      <w:r w:rsidRPr="006D631C">
        <w:rPr>
          <w:sz w:val="22"/>
          <w:szCs w:val="22"/>
        </w:rPr>
        <w:t xml:space="preserve"> and e) AFM micrograph of the cross section of dried polyLLC in </w:t>
      </w:r>
      <w:proofErr w:type="gramStart"/>
      <w:r w:rsidRPr="006D631C">
        <w:rPr>
          <w:sz w:val="22"/>
          <w:szCs w:val="22"/>
        </w:rPr>
        <w:t>a</w:t>
      </w:r>
      <w:proofErr w:type="gramEnd"/>
      <w:r w:rsidRPr="006D631C">
        <w:rPr>
          <w:sz w:val="22"/>
          <w:szCs w:val="22"/>
        </w:rPr>
        <w:t xml:space="preserve"> </w:t>
      </w:r>
      <m:oMath>
        <m:r>
          <m:rPr>
            <m:sty m:val="p"/>
          </m:rPr>
          <w:rPr>
            <w:rFonts w:ascii="Cambria Math" w:hAnsi="Cambria Math"/>
            <w:sz w:val="22"/>
            <w:szCs w:val="22"/>
          </w:rPr>
          <m:t xml:space="preserve">5 </m:t>
        </m:r>
        <m:r>
          <w:rPr>
            <w:rFonts w:ascii="Cambria Math" w:hAnsi="Cambria Math"/>
            <w:sz w:val="22"/>
            <w:szCs w:val="22"/>
          </w:rPr>
          <m:t>μm</m:t>
        </m:r>
        <m:r>
          <m:rPr>
            <m:sty m:val="p"/>
          </m:rPr>
          <w:rPr>
            <w:rFonts w:ascii="Cambria Math" w:hAnsi="Cambria Math"/>
            <w:sz w:val="22"/>
            <w:szCs w:val="22"/>
          </w:rPr>
          <m:t>×5</m:t>
        </m:r>
        <m:r>
          <w:rPr>
            <w:rFonts w:ascii="Cambria Math" w:hAnsi="Cambria Math"/>
            <w:sz w:val="22"/>
            <w:szCs w:val="22"/>
          </w:rPr>
          <m:t>μm</m:t>
        </m:r>
      </m:oMath>
      <w:r w:rsidRPr="006D631C">
        <w:rPr>
          <w:sz w:val="22"/>
          <w:szCs w:val="22"/>
        </w:rPr>
        <w:t xml:space="preserve"> area; higher magnification is shown in (f).</w:t>
      </w:r>
      <w:bookmarkEnd w:id="143"/>
    </w:p>
    <w:p w14:paraId="33A5C515" w14:textId="0E0BB9E3" w:rsidR="001937D3" w:rsidRPr="006D631C" w:rsidRDefault="00016E55" w:rsidP="00203976">
      <w:pPr>
        <w:jc w:val="center"/>
      </w:pPr>
      <w:r w:rsidRPr="006D631C">
        <w:rPr>
          <w:rFonts w:asciiTheme="majorBidi" w:hAnsiTheme="majorBidi" w:cstheme="majorBidi"/>
          <w:noProof/>
        </w:rPr>
        <w:lastRenderedPageBreak/>
        <w:drawing>
          <wp:inline distT="0" distB="0" distL="0" distR="0" wp14:anchorId="72E6F8DA" wp14:editId="21E5B6A9">
            <wp:extent cx="5518800" cy="4186086"/>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11">
                      <a:extLst>
                        <a:ext uri="{28A0092B-C50C-407E-A947-70E740481C1C}">
                          <a14:useLocalDpi xmlns:a14="http://schemas.microsoft.com/office/drawing/2010/main" val="0"/>
                        </a:ext>
                      </a:extLst>
                    </a:blip>
                    <a:srcRect l="2219" t="2585" r="8183"/>
                    <a:stretch/>
                  </pic:blipFill>
                  <pic:spPr bwMode="auto">
                    <a:xfrm>
                      <a:off x="0" y="0"/>
                      <a:ext cx="5518800" cy="4186086"/>
                    </a:xfrm>
                    <a:prstGeom prst="rect">
                      <a:avLst/>
                    </a:prstGeom>
                    <a:noFill/>
                    <a:ln>
                      <a:noFill/>
                    </a:ln>
                    <a:extLst>
                      <a:ext uri="{53640926-AAD7-44D8-BBD7-CCE9431645EC}">
                        <a14:shadowObscured xmlns:a14="http://schemas.microsoft.com/office/drawing/2010/main"/>
                      </a:ext>
                    </a:extLst>
                  </pic:spPr>
                </pic:pic>
              </a:graphicData>
            </a:graphic>
          </wp:inline>
        </w:drawing>
      </w:r>
    </w:p>
    <w:p w14:paraId="1891604B" w14:textId="3F822CBB" w:rsidR="00016E55" w:rsidRPr="006D631C" w:rsidRDefault="00016E55" w:rsidP="00016E55">
      <w:pPr>
        <w:pStyle w:val="Caption"/>
        <w:jc w:val="center"/>
        <w:rPr>
          <w:sz w:val="22"/>
          <w:szCs w:val="22"/>
        </w:rPr>
      </w:pPr>
      <w:bookmarkStart w:id="144" w:name="_Toc148175937"/>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2</w:t>
      </w:r>
      <w:r w:rsidR="00B55F32" w:rsidRPr="006D631C">
        <w:rPr>
          <w:sz w:val="22"/>
          <w:szCs w:val="22"/>
        </w:rPr>
        <w:fldChar w:fldCharType="end"/>
      </w:r>
      <w:r w:rsidRPr="006D631C">
        <w:rPr>
          <w:sz w:val="22"/>
          <w:szCs w:val="22"/>
        </w:rPr>
        <w:t xml:space="preserve">. DSC measurement results for </w:t>
      </w:r>
      <w:proofErr w:type="gramStart"/>
      <w:r w:rsidRPr="006D631C">
        <w:rPr>
          <w:sz w:val="22"/>
          <w:szCs w:val="22"/>
        </w:rPr>
        <w:t>poly(</w:t>
      </w:r>
      <w:proofErr w:type="spellStart"/>
      <w:proofErr w:type="gramEnd"/>
      <w:r w:rsidRPr="006D631C">
        <w:rPr>
          <w:sz w:val="22"/>
          <w:szCs w:val="22"/>
        </w:rPr>
        <w:t>nBA</w:t>
      </w:r>
      <w:proofErr w:type="spellEnd"/>
      <w:r w:rsidRPr="006D631C">
        <w:rPr>
          <w:sz w:val="22"/>
          <w:szCs w:val="22"/>
        </w:rPr>
        <w:t>-co-EGDMA), F127, and polyLLC.</w:t>
      </w:r>
      <w:bookmarkEnd w:id="144"/>
    </w:p>
    <w:p w14:paraId="297921BB" w14:textId="21A421A8" w:rsidR="00EE5F32" w:rsidRPr="006D631C" w:rsidRDefault="00EE5F32" w:rsidP="00EE5F32">
      <w:pPr>
        <w:pStyle w:val="Heading3"/>
      </w:pPr>
      <w:bookmarkStart w:id="145" w:name="_Toc148175832"/>
      <w:r w:rsidRPr="006D631C">
        <w:t>3.3.2 Characterization of membranes</w:t>
      </w:r>
      <w:bookmarkEnd w:id="145"/>
      <w:r w:rsidRPr="006D631C">
        <w:t xml:space="preserve"> </w:t>
      </w:r>
    </w:p>
    <w:p w14:paraId="5CD0FA06" w14:textId="244463A8" w:rsidR="001937D3" w:rsidRPr="006D631C" w:rsidRDefault="00497D03" w:rsidP="0072669A">
      <w:pPr>
        <w:ind w:firstLine="357"/>
      </w:pPr>
      <w:r w:rsidRPr="006D631C">
        <w:rPr>
          <w:rFonts w:asciiTheme="majorBidi" w:hAnsiTheme="majorBidi" w:cstheme="majorBidi"/>
        </w:rPr>
        <w:t xml:space="preserve">As stated in the experimental section, a commercially available non-thermoresponsive PAN membrane was used to compare the results with the polyLLC membrane. The selected PAN membrane had a MWCO of 400 </w:t>
      </w:r>
      <w:proofErr w:type="spellStart"/>
      <w:r w:rsidRPr="006D631C">
        <w:rPr>
          <w:rFonts w:asciiTheme="majorBidi" w:hAnsiTheme="majorBidi" w:cstheme="majorBidi"/>
        </w:rPr>
        <w:t>kDa</w:t>
      </w:r>
      <w:proofErr w:type="spellEnd"/>
      <w:r w:rsidRPr="006D631C">
        <w:rPr>
          <w:rFonts w:asciiTheme="majorBidi" w:hAnsiTheme="majorBidi" w:cstheme="majorBidi"/>
        </w:rPr>
        <w:t>, which is equal to the pore size of about 40 nm based on equation (6).</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{"citationItems":[{"id":"ITEM-1","itemData":{"DOI":"10.1016/S0376-7388(97)00329-3","ISSN":"03767388","abstract":"Various ultrafiltration and nanofiltration membranes were characterized by solute transport and also by atomic force microscope (AFM). The molecular weight cut-off (MWCO) of the membranes studied were found to be between 3500 and 98,000 Daltons. The mean pore size (μ(p)) and the geometric standard deviation (σ(p)) around mean ranged from 0.7 to 11.12 nm and 1.68 to 3.31, respectively, when calculated from the solute transport data. Mean pore sizes measured by AFM were about 3.5 times larger than calculated from the solute transport. Pore sizes measured by AFM were remarkably fitted to the log-normal probability distribution curve. Pore sizes of the membranes with low MWCO (20,000 Daltons and lower) could not be measured by AFM because of indistinct pores. In most cases, the pore density ranged from 38 to 1291 pores/μm2. In general, the pore density was higher for the membrane having lower MWCO. Surface porosity was around 0.5-1.0% as measured from the solute transport and was 9.5-12.9% as obtained from AFM images. When membranes were coated with a thin layer of sulfonated polyphenylene oxide, mean pore sizes were reduced for all the membranes. Surface roughness was also reduced on coating.","author":[{"dropping-particle":"","family":"Singh","given":"S.","non-dropping-particle":"","parse-names":false,"suffix":""},{"dropping-particle":"","family":"Khulbe","given":"K.C","non-dropping-particle":"","parse-names":false,"suffix":""},{"dropping-particle":"","family":"Matsuura","given":"T.","non-dropping-particle":"","parse-names":false,"suffix":""},{"dropping-particle":"","family":"Ramamurthy","given":"P.","non-dropping-particle":"","parse-names":false,"suffix":""}],"container-title":"Journal of Membrane Science","id":"ITEM-1","issue":"1","issued":{"date-parts":[["1998","2"]]},"page":"111-127","title":"Membrane characterization by solute transport and atomic force microscopy","type":"article-journal","volume":"142"},"uris":["http://www.mendeley.com/documents/?uuid=b31e2ef3-dc3a-4429-a2ba-c1ba5d329502"]}],"mendeley":{"formattedCitation":"&lt;sup&gt;253&lt;/sup&gt;","plainTextFormattedCitation":"253","previouslyFormattedCitation":"&lt;sup&gt;253&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253</w:t>
      </w:r>
      <w:r w:rsidRPr="006D631C">
        <w:rPr>
          <w:rFonts w:asciiTheme="majorBidi" w:hAnsiTheme="majorBidi" w:cstheme="majorBidi"/>
        </w:rPr>
        <w:fldChar w:fldCharType="end"/>
      </w:r>
    </w:p>
    <w:p w14:paraId="3EBBCF5E" w14:textId="5DB00FF4" w:rsidR="00061C4D" w:rsidRPr="006D631C" w:rsidRDefault="00061C4D" w:rsidP="00061C4D">
      <w:pPr>
        <w:pStyle w:val="Caption"/>
        <w:rPr>
          <w:rFonts w:asciiTheme="majorBidi" w:hAnsiTheme="majorBidi" w:cstheme="majorBidi"/>
          <w:szCs w:val="24"/>
        </w:rPr>
      </w:pPr>
      <w:r w:rsidRPr="006D631C">
        <w:rPr>
          <w:rFonts w:asciiTheme="majorBidi" w:hAnsiTheme="majorBidi" w:cstheme="majorBidi"/>
          <w:position w:val="-12"/>
          <w:szCs w:val="24"/>
        </w:rPr>
        <w:object w:dxaOrig="2540" w:dyaOrig="380" w14:anchorId="7EB3471B">
          <v:shape id="_x0000_i1061" type="#_x0000_t75" style="width:126pt;height:18pt" o:ole="">
            <v:imagedata r:id="rId112" o:title=""/>
          </v:shape>
          <o:OLEObject Type="Embed" ProgID="Equation.DSMT4" ShapeID="_x0000_i1061" DrawAspect="Content" ObjectID="_1760013329" r:id="rId113"/>
        </w:object>
      </w:r>
      <w:r w:rsidRPr="006D631C">
        <w:rPr>
          <w:rFonts w:asciiTheme="majorBidi" w:hAnsiTheme="majorBidi" w:cstheme="majorBidi"/>
          <w:szCs w:val="24"/>
        </w:rPr>
        <w:t xml:space="preserve"> </w:t>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t xml:space="preserve">           </w:t>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t>(</w:t>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STYLEREF 1 \s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cs/>
        </w:rPr>
        <w:t>‎</w:t>
      </w:r>
      <w:r w:rsidR="005014F7" w:rsidRPr="006D631C">
        <w:rPr>
          <w:rFonts w:asciiTheme="majorBidi" w:hAnsiTheme="majorBidi" w:cstheme="majorBidi"/>
          <w:szCs w:val="24"/>
        </w:rPr>
        <w:t>3</w:t>
      </w:r>
      <w:r w:rsidR="006A54D9" w:rsidRPr="006D631C">
        <w:rPr>
          <w:rFonts w:asciiTheme="majorBidi" w:hAnsiTheme="majorBidi" w:cstheme="majorBidi"/>
          <w:szCs w:val="24"/>
        </w:rPr>
        <w:fldChar w:fldCharType="end"/>
      </w:r>
      <w:r w:rsidR="006A54D9" w:rsidRPr="006D631C">
        <w:rPr>
          <w:rFonts w:asciiTheme="majorBidi" w:hAnsiTheme="majorBidi" w:cstheme="majorBidi"/>
          <w:szCs w:val="24"/>
        </w:rPr>
        <w:noBreakHyphen/>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SEQ Equation \* ARABIC \s 1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rPr>
        <w:t>6</w:t>
      </w:r>
      <w:r w:rsidR="006A54D9" w:rsidRPr="006D631C">
        <w:rPr>
          <w:rFonts w:asciiTheme="majorBidi" w:hAnsiTheme="majorBidi" w:cstheme="majorBidi"/>
          <w:szCs w:val="24"/>
        </w:rPr>
        <w:fldChar w:fldCharType="end"/>
      </w:r>
      <w:r w:rsidRPr="006D631C">
        <w:rPr>
          <w:rFonts w:asciiTheme="majorBidi" w:hAnsiTheme="majorBidi" w:cstheme="majorBidi"/>
          <w:szCs w:val="24"/>
        </w:rPr>
        <w:t>)</w:t>
      </w:r>
    </w:p>
    <w:p w14:paraId="70442A70" w14:textId="78448B06" w:rsidR="00A9517A" w:rsidRPr="006D631C" w:rsidRDefault="00F71541" w:rsidP="002A3219">
      <w:pPr>
        <w:ind w:firstLine="360"/>
      </w:pPr>
      <w:proofErr w:type="gramStart"/>
      <w:r w:rsidRPr="006D631C">
        <w:rPr>
          <w:rFonts w:asciiTheme="majorBidi" w:hAnsiTheme="majorBidi" w:cstheme="majorBidi"/>
        </w:rPr>
        <w:t>where</w:t>
      </w:r>
      <w:proofErr w:type="gramEnd"/>
      <w:r w:rsidRPr="006D631C">
        <w:rPr>
          <w:rFonts w:asciiTheme="majorBidi" w:hAnsiTheme="majorBidi" w:cstheme="majorBidi"/>
        </w:rPr>
        <w:t xml:space="preserve"> </w:t>
      </w:r>
      <w:proofErr w:type="spellStart"/>
      <w:r w:rsidRPr="006D631C">
        <w:rPr>
          <w:rFonts w:asciiTheme="majorBidi" w:hAnsiTheme="majorBidi" w:cstheme="majorBidi"/>
          <w:i/>
          <w:iCs/>
        </w:rPr>
        <w:t>a</w:t>
      </w:r>
      <w:r w:rsidRPr="006D631C">
        <w:rPr>
          <w:rFonts w:asciiTheme="majorBidi" w:hAnsiTheme="majorBidi" w:cstheme="majorBidi"/>
          <w:i/>
          <w:iCs/>
          <w:vertAlign w:val="subscript"/>
        </w:rPr>
        <w:t>Stokes</w:t>
      </w:r>
      <w:proofErr w:type="spellEnd"/>
      <w:r w:rsidRPr="006D631C">
        <w:rPr>
          <w:rFonts w:asciiTheme="majorBidi" w:hAnsiTheme="majorBidi" w:cstheme="majorBidi"/>
        </w:rPr>
        <w:t xml:space="preserve"> and </w:t>
      </w:r>
      <w:r w:rsidRPr="006D631C">
        <w:rPr>
          <w:rFonts w:asciiTheme="majorBidi" w:hAnsiTheme="majorBidi" w:cstheme="majorBidi"/>
          <w:i/>
          <w:iCs/>
        </w:rPr>
        <w:t>M</w:t>
      </w:r>
      <w:r w:rsidRPr="006D631C">
        <w:rPr>
          <w:rFonts w:asciiTheme="majorBidi" w:hAnsiTheme="majorBidi" w:cstheme="majorBidi"/>
          <w:i/>
          <w:iCs/>
          <w:vertAlign w:val="subscript"/>
        </w:rPr>
        <w:t>w</w:t>
      </w:r>
      <w:r w:rsidRPr="006D631C">
        <w:rPr>
          <w:rFonts w:asciiTheme="majorBidi" w:hAnsiTheme="majorBidi" w:cstheme="majorBidi"/>
        </w:rPr>
        <w:t xml:space="preserve"> are Stokes radius in nm and MWCO, respectively. The results of membranes performance evaluation will be discussed in the following sections.</w:t>
      </w:r>
    </w:p>
    <w:p w14:paraId="60C0D5E4" w14:textId="55C03F09" w:rsidR="00B33D2B" w:rsidRPr="006D631C" w:rsidRDefault="00B33D2B" w:rsidP="0025226C">
      <w:pPr>
        <w:pStyle w:val="Heading4"/>
      </w:pPr>
      <w:bookmarkStart w:id="146" w:name="_Toc148175833"/>
      <w:r w:rsidRPr="006D631C">
        <w:lastRenderedPageBreak/>
        <w:t>3.</w:t>
      </w:r>
      <w:r w:rsidR="0025226C" w:rsidRPr="006D631C">
        <w:t>3</w:t>
      </w:r>
      <w:r w:rsidRPr="006D631C">
        <w:t>.</w:t>
      </w:r>
      <w:r w:rsidR="0025226C" w:rsidRPr="006D631C">
        <w:t>2</w:t>
      </w:r>
      <w:r w:rsidRPr="006D631C">
        <w:t>.1 Hydration capacity</w:t>
      </w:r>
      <w:bookmarkEnd w:id="146"/>
      <w:r w:rsidRPr="006D631C">
        <w:t xml:space="preserve"> </w:t>
      </w:r>
    </w:p>
    <w:p w14:paraId="0C0C2B7D" w14:textId="781CF4C8" w:rsidR="00A9517A" w:rsidRPr="006D631C" w:rsidRDefault="006478C2" w:rsidP="00C201A4">
      <w:pPr>
        <w:ind w:firstLine="360"/>
      </w:pPr>
      <w:r w:rsidRPr="006D631C">
        <w:rPr>
          <w:rFonts w:asciiTheme="majorBidi" w:hAnsiTheme="majorBidi" w:cstheme="majorBidi"/>
        </w:rPr>
        <w:t>Measuring the hydration capacity of a membrane at different temperatures is performed to confirm the thermoresponsiveness</w:t>
      </w:r>
      <w:r w:rsidR="00703133" w:rsidRPr="006D631C">
        <w:rPr>
          <w:rFonts w:asciiTheme="majorBidi" w:hAnsiTheme="majorBidi" w:cstheme="majorBidi"/>
        </w:rPr>
        <w:t>.</w:t>
      </w:r>
      <w:r w:rsidRPr="006D631C">
        <w:rPr>
          <w:rFonts w:asciiTheme="majorBidi" w:hAnsiTheme="majorBidi" w:cstheme="majorBidi"/>
        </w:rPr>
        <w:fldChar w:fldCharType="begin" w:fldLock="1"/>
      </w:r>
      <w:r w:rsidR="000C2DB3" w:rsidRPr="006D631C">
        <w:rPr>
          <w:rFonts w:asciiTheme="majorBidi" w:hAnsiTheme="majorBidi" w:cstheme="majorBidi"/>
        </w:rPr>
        <w:instrText>ADDIN CSL_CITATION {"citationItems":[{"id":"ITEM-1","itemData":{"DOI":"10.1016/j.memsci.2018.02.060","ISSN":"03767388","abstract":"We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Science","id":"ITEM-1","issued":{"date-parts":[["2018","5"]]},"page":"117-124","title":"Two-step thermoresponsive membrane with tunable separation properties and improved cleaning efficiency","type":"article-journal","volume":"554"},"uris":["http://www.mendeley.com/documents/?uuid=1885d88b-7787-47d6-9f9d-8f905461bbd0"]}],"mendeley":{"formattedCitation":"&lt;sup&gt;192&lt;/sup&gt;","plainTextFormattedCitation":"192","previouslyFormattedCitation":"&lt;sup&gt;192&lt;/sup&gt;"},"properties":{"noteIndex":0},"schema":"https://github.com/citation-style-language/schema/raw/master/csl-citation.json"}</w:instrText>
      </w:r>
      <w:r w:rsidRPr="006D631C">
        <w:rPr>
          <w:rFonts w:asciiTheme="majorBidi" w:hAnsiTheme="majorBidi" w:cstheme="majorBidi"/>
        </w:rPr>
        <w:fldChar w:fldCharType="separate"/>
      </w:r>
      <w:r w:rsidR="00C201A4" w:rsidRPr="006D631C">
        <w:rPr>
          <w:rFonts w:asciiTheme="majorBidi" w:hAnsiTheme="majorBidi" w:cstheme="majorBidi"/>
          <w:noProof/>
          <w:vertAlign w:val="superscript"/>
        </w:rPr>
        <w:t>192</w:t>
      </w:r>
      <w:r w:rsidRPr="006D631C">
        <w:rPr>
          <w:rFonts w:asciiTheme="majorBidi" w:hAnsiTheme="majorBidi" w:cstheme="majorBidi"/>
        </w:rPr>
        <w:fldChar w:fldCharType="end"/>
      </w:r>
      <w:r w:rsidRPr="006D631C">
        <w:rPr>
          <w:rFonts w:asciiTheme="majorBidi" w:hAnsiTheme="majorBidi" w:cstheme="majorBidi"/>
        </w:rPr>
        <w:t xml:space="preserve"> The membrane is called thermoresponsive if its hydration capacity changes by temperature. We measured the hydration capacity for PAN and polyLLC membranes at 25, 35, and 50 °C</w:t>
      </w:r>
      <w:r w:rsidR="00C201A4" w:rsidRPr="006D631C">
        <w:rPr>
          <w:rFonts w:asciiTheme="majorBidi" w:hAnsiTheme="majorBidi" w:cstheme="majorBidi"/>
        </w:rPr>
        <w:t xml:space="preserve"> as shown in Figure</w:t>
      </w:r>
      <w:r w:rsidRPr="006D631C">
        <w:rPr>
          <w:rFonts w:asciiTheme="majorBidi" w:hAnsiTheme="majorBidi" w:cstheme="majorBidi"/>
        </w:rPr>
        <w:t xml:space="preserve"> 3</w:t>
      </w:r>
      <w:r w:rsidR="00C201A4" w:rsidRPr="006D631C">
        <w:rPr>
          <w:rFonts w:asciiTheme="majorBidi" w:hAnsiTheme="majorBidi" w:cstheme="majorBidi"/>
        </w:rPr>
        <w:t>-3</w:t>
      </w:r>
      <w:r w:rsidRPr="006D631C">
        <w:rPr>
          <w:rFonts w:asciiTheme="majorBidi" w:hAnsiTheme="majorBidi" w:cstheme="majorBidi"/>
        </w:rPr>
        <w:t>. These temperatures were chosen based on the DSC results. While the hydration capacity remains constant for PAN membrane, it has an increasing trend for polyLLC sample. This means that the porosity of polyLLC membrane increases with an increase in temperature. This behavior happens in two steps, which is consistent with the thermal transitions observed in DSC analysis. It is worth noting that higher hydration capacity of PAN membrane compared to the polyLLC specie can be due to its higher porosity.</w:t>
      </w:r>
    </w:p>
    <w:p w14:paraId="154CAA0D" w14:textId="165A0E47" w:rsidR="00A9517A" w:rsidRPr="006D631C" w:rsidRDefault="00203976" w:rsidP="00203976">
      <w:pPr>
        <w:jc w:val="center"/>
      </w:pPr>
      <w:r w:rsidRPr="006D631C">
        <w:rPr>
          <w:noProof/>
        </w:rPr>
        <w:drawing>
          <wp:inline distT="0" distB="0" distL="0" distR="0" wp14:anchorId="79632BA3" wp14:editId="6C8E06CC">
            <wp:extent cx="4221480" cy="319278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4">
                      <a:extLst>
                        <a:ext uri="{28A0092B-C50C-407E-A947-70E740481C1C}">
                          <a14:useLocalDpi xmlns:a14="http://schemas.microsoft.com/office/drawing/2010/main" val="0"/>
                        </a:ext>
                      </a:extLst>
                    </a:blip>
                    <a:srcRect l="5170" t="8510" r="12998" b="10445"/>
                    <a:stretch/>
                  </pic:blipFill>
                  <pic:spPr bwMode="auto">
                    <a:xfrm>
                      <a:off x="0" y="0"/>
                      <a:ext cx="4221480" cy="3192780"/>
                    </a:xfrm>
                    <a:prstGeom prst="rect">
                      <a:avLst/>
                    </a:prstGeom>
                    <a:noFill/>
                    <a:ln>
                      <a:noFill/>
                    </a:ln>
                    <a:extLst>
                      <a:ext uri="{53640926-AAD7-44D8-BBD7-CCE9431645EC}">
                        <a14:shadowObscured xmlns:a14="http://schemas.microsoft.com/office/drawing/2010/main"/>
                      </a:ext>
                    </a:extLst>
                  </pic:spPr>
                </pic:pic>
              </a:graphicData>
            </a:graphic>
          </wp:inline>
        </w:drawing>
      </w:r>
    </w:p>
    <w:p w14:paraId="2496231A" w14:textId="78D56AED" w:rsidR="00203976" w:rsidRPr="006D631C" w:rsidRDefault="00203976" w:rsidP="00203976">
      <w:pPr>
        <w:pStyle w:val="Caption"/>
        <w:jc w:val="center"/>
        <w:rPr>
          <w:sz w:val="22"/>
          <w:szCs w:val="22"/>
        </w:rPr>
      </w:pPr>
      <w:bookmarkStart w:id="147" w:name="_Toc148175938"/>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3</w:t>
      </w:r>
      <w:r w:rsidR="00B55F32" w:rsidRPr="006D631C">
        <w:rPr>
          <w:sz w:val="22"/>
          <w:szCs w:val="22"/>
        </w:rPr>
        <w:fldChar w:fldCharType="end"/>
      </w:r>
      <w:r w:rsidRPr="006D631C">
        <w:rPr>
          <w:sz w:val="22"/>
          <w:szCs w:val="22"/>
        </w:rPr>
        <w:t>. Changes in hydration capacity for PAN and polyLLC membranes based on the temperature variation.</w:t>
      </w:r>
      <w:bookmarkEnd w:id="147"/>
    </w:p>
    <w:p w14:paraId="40EF10D6" w14:textId="582EFEA6" w:rsidR="00F63C68" w:rsidRPr="006D631C" w:rsidRDefault="00F63C68" w:rsidP="00F63C68">
      <w:pPr>
        <w:pStyle w:val="Heading4"/>
      </w:pPr>
      <w:bookmarkStart w:id="148" w:name="_Toc148175834"/>
      <w:r w:rsidRPr="006D631C">
        <w:lastRenderedPageBreak/>
        <w:t>3.3.2.2 Water flux and permeability</w:t>
      </w:r>
      <w:bookmarkEnd w:id="148"/>
      <w:r w:rsidRPr="006D631C">
        <w:t xml:space="preserve"> </w:t>
      </w:r>
    </w:p>
    <w:p w14:paraId="17E278F6" w14:textId="743CBBD5" w:rsidR="00203976" w:rsidRPr="006D631C" w:rsidRDefault="000B4CE6" w:rsidP="000B4CE6">
      <w:pPr>
        <w:ind w:firstLine="360"/>
        <w:rPr>
          <w:rFonts w:asciiTheme="majorBidi" w:hAnsiTheme="majorBidi" w:cstheme="majorBidi"/>
        </w:rPr>
      </w:pPr>
      <w:r w:rsidRPr="006D631C">
        <w:rPr>
          <w:rFonts w:asciiTheme="majorBidi" w:hAnsiTheme="majorBidi" w:cstheme="majorBidi"/>
        </w:rPr>
        <w:t xml:space="preserve">The water flux changes for PAN and polyLLC membranes versus temperature are shown in Figure 3-4a. Both of the membranes show an increasing trend in flux, but polyLLC one shows two steps of increase at 35 and 50 °C. To cancel out the effect of water viscosity decrease with temperature on the results, we also plotted permeability, </w:t>
      </w:r>
      <w:r w:rsidRPr="006D631C">
        <w:rPr>
          <w:rFonts w:asciiTheme="majorBidi" w:hAnsiTheme="majorBidi" w:cstheme="majorBidi"/>
          <w:i/>
          <w:iCs/>
        </w:rPr>
        <w:t>κ</w:t>
      </w:r>
      <w:r w:rsidRPr="006D631C">
        <w:rPr>
          <w:rFonts w:asciiTheme="majorBidi" w:hAnsiTheme="majorBidi" w:cstheme="majorBidi"/>
        </w:rPr>
        <w:t>/</w:t>
      </w:r>
      <w:r w:rsidRPr="006D631C">
        <w:rPr>
          <w:rFonts w:asciiTheme="majorBidi" w:hAnsiTheme="majorBidi" w:cstheme="majorBidi"/>
          <w:i/>
          <w:iCs/>
        </w:rPr>
        <w:t>l</w:t>
      </w:r>
      <w:r w:rsidRPr="006D631C">
        <w:rPr>
          <w:rFonts w:asciiTheme="majorBidi" w:hAnsiTheme="majorBidi" w:cstheme="majorBidi"/>
        </w:rPr>
        <w:t>,</w:t>
      </w:r>
      <w:r w:rsidR="004830B5" w:rsidRPr="006D631C">
        <w:rPr>
          <w:rFonts w:asciiTheme="majorBidi" w:hAnsiTheme="majorBidi" w:cstheme="majorBidi"/>
        </w:rPr>
        <w:t xml:space="preserve"> versus temperature (see Figure</w:t>
      </w:r>
      <w:r w:rsidRPr="006D631C">
        <w:rPr>
          <w:rFonts w:asciiTheme="majorBidi" w:hAnsiTheme="majorBidi" w:cstheme="majorBidi"/>
        </w:rPr>
        <w:t xml:space="preserve"> </w:t>
      </w:r>
      <w:r w:rsidR="004830B5" w:rsidRPr="006D631C">
        <w:rPr>
          <w:rFonts w:asciiTheme="majorBidi" w:hAnsiTheme="majorBidi" w:cstheme="majorBidi"/>
        </w:rPr>
        <w:t>3-</w:t>
      </w:r>
      <w:r w:rsidRPr="006D631C">
        <w:rPr>
          <w:rFonts w:asciiTheme="majorBidi" w:hAnsiTheme="majorBidi" w:cstheme="majorBidi"/>
        </w:rPr>
        <w:t>4b). As can be clearly seen, the permeability of PAN membrane is almost constant at different temperatures, meaning that the reason of ascending water flux trend for PAN was the decrease in the water viscosity. However, the polyLLC membrane still maintains the two-step increase in the permeability. These transitions are in well agreement with the results of DSC analysis as well as the hydration capacity measurements. One important observation which must be considered here is that the second transition has more effect on the permeability (~ 14% increase) compared to the first transition (~8.5% increase). Therefore, the pore size increase is higher when the polyLLC loses its crystallinity rather than when the LCST transition of F127 takes place. In the following sections, we will elaborate the mechanism of two-step thermoresponsive behavior, where we will suggest that the crystallinity of the PEO blocks and rearrangement of F127 chains are its root causes. This conclusion can be further confirmed via MWCO measurements.</w:t>
      </w:r>
    </w:p>
    <w:p w14:paraId="58FED975" w14:textId="77777777" w:rsidR="00BD0F0C" w:rsidRPr="006D631C" w:rsidRDefault="00BD0F0C" w:rsidP="00861405">
      <w:pPr>
        <w:pStyle w:val="TOC1"/>
      </w:pPr>
    </w:p>
    <w:p w14:paraId="230AC322" w14:textId="44102E46" w:rsidR="00B12023" w:rsidRPr="006D631C" w:rsidRDefault="00B12023" w:rsidP="00861405">
      <w:pPr>
        <w:pStyle w:val="TOC1"/>
      </w:pPr>
      <w:r w:rsidRPr="006D631C">
        <w:lastRenderedPageBreak/>
        <w:drawing>
          <wp:inline distT="0" distB="0" distL="0" distR="0" wp14:anchorId="4E6F529C" wp14:editId="1563AC14">
            <wp:extent cx="5939693" cy="22174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7619"/>
                    <a:stretch/>
                  </pic:blipFill>
                  <pic:spPr bwMode="auto">
                    <a:xfrm>
                      <a:off x="0" y="0"/>
                      <a:ext cx="5940000" cy="2217535"/>
                    </a:xfrm>
                    <a:prstGeom prst="rect">
                      <a:avLst/>
                    </a:prstGeom>
                    <a:noFill/>
                    <a:ln>
                      <a:noFill/>
                    </a:ln>
                    <a:extLst>
                      <a:ext uri="{53640926-AAD7-44D8-BBD7-CCE9431645EC}">
                        <a14:shadowObscured xmlns:a14="http://schemas.microsoft.com/office/drawing/2010/main"/>
                      </a:ext>
                    </a:extLst>
                  </pic:spPr>
                </pic:pic>
              </a:graphicData>
            </a:graphic>
          </wp:inline>
        </w:drawing>
      </w:r>
    </w:p>
    <w:p w14:paraId="482C0FD5" w14:textId="41DA22BC" w:rsidR="008748B6" w:rsidRPr="006D631C" w:rsidRDefault="008748B6" w:rsidP="00861405">
      <w:pPr>
        <w:pStyle w:val="TOC1"/>
      </w:pPr>
    </w:p>
    <w:p w14:paraId="7E49D883" w14:textId="5C08306B" w:rsidR="003637A5" w:rsidRPr="006D631C" w:rsidRDefault="003637A5" w:rsidP="003637A5">
      <w:pPr>
        <w:pStyle w:val="Caption"/>
        <w:jc w:val="center"/>
        <w:rPr>
          <w:sz w:val="22"/>
          <w:szCs w:val="22"/>
        </w:rPr>
      </w:pPr>
      <w:bookmarkStart w:id="149" w:name="_Toc148175939"/>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4</w:t>
      </w:r>
      <w:r w:rsidR="00B55F32" w:rsidRPr="006D631C">
        <w:rPr>
          <w:sz w:val="22"/>
          <w:szCs w:val="22"/>
        </w:rPr>
        <w:fldChar w:fldCharType="end"/>
      </w:r>
      <w:r w:rsidRPr="006D631C">
        <w:rPr>
          <w:sz w:val="22"/>
          <w:szCs w:val="22"/>
        </w:rPr>
        <w:t>. Changes in (a) water flux and (b) permeability for PAN and polyLLC membranes based on the temperature variation.</w:t>
      </w:r>
      <w:bookmarkEnd w:id="149"/>
    </w:p>
    <w:p w14:paraId="707CE6D5" w14:textId="56AD928F" w:rsidR="00DF561E" w:rsidRPr="006D631C" w:rsidRDefault="00DF561E" w:rsidP="00BD0F0C">
      <w:pPr>
        <w:jc w:val="center"/>
      </w:pPr>
      <w:r w:rsidRPr="006D631C">
        <w:rPr>
          <w:noProof/>
        </w:rPr>
        <w:drawing>
          <wp:inline distT="0" distB="0" distL="0" distR="0" wp14:anchorId="605E97EE" wp14:editId="73AB4443">
            <wp:extent cx="5508000" cy="386892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16">
                      <a:extLst>
                        <a:ext uri="{28A0092B-C50C-407E-A947-70E740481C1C}">
                          <a14:useLocalDpi xmlns:a14="http://schemas.microsoft.com/office/drawing/2010/main" val="0"/>
                        </a:ext>
                      </a:extLst>
                    </a:blip>
                    <a:srcRect t="8020"/>
                    <a:stretch/>
                  </pic:blipFill>
                  <pic:spPr bwMode="auto">
                    <a:xfrm>
                      <a:off x="0" y="0"/>
                      <a:ext cx="5508000" cy="3868927"/>
                    </a:xfrm>
                    <a:prstGeom prst="rect">
                      <a:avLst/>
                    </a:prstGeom>
                    <a:noFill/>
                    <a:ln>
                      <a:noFill/>
                    </a:ln>
                    <a:extLst>
                      <a:ext uri="{53640926-AAD7-44D8-BBD7-CCE9431645EC}">
                        <a14:shadowObscured xmlns:a14="http://schemas.microsoft.com/office/drawing/2010/main"/>
                      </a:ext>
                    </a:extLst>
                  </pic:spPr>
                </pic:pic>
              </a:graphicData>
            </a:graphic>
          </wp:inline>
        </w:drawing>
      </w:r>
    </w:p>
    <w:p w14:paraId="78B1B472" w14:textId="5C0CA07B" w:rsidR="00C94FA2" w:rsidRPr="006D631C" w:rsidRDefault="00C94FA2" w:rsidP="00BD0F0C">
      <w:pPr>
        <w:tabs>
          <w:tab w:val="left" w:pos="142"/>
          <w:tab w:val="left" w:pos="360"/>
          <w:tab w:val="left" w:pos="992"/>
        </w:tabs>
        <w:jc w:val="center"/>
        <w:rPr>
          <w:sz w:val="22"/>
          <w:szCs w:val="22"/>
        </w:rPr>
      </w:pPr>
      <w:r w:rsidRPr="006D631C">
        <w:rPr>
          <w:rFonts w:asciiTheme="majorBidi" w:hAnsiTheme="majorBidi" w:cstheme="majorBidi"/>
        </w:rPr>
        <w:t xml:space="preserve"> </w:t>
      </w:r>
      <w:bookmarkStart w:id="150" w:name="_Toc148175940"/>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5</w:t>
      </w:r>
      <w:r w:rsidR="00B55F32" w:rsidRPr="006D631C">
        <w:rPr>
          <w:sz w:val="22"/>
          <w:szCs w:val="22"/>
        </w:rPr>
        <w:fldChar w:fldCharType="end"/>
      </w:r>
      <w:r w:rsidRPr="006D631C">
        <w:rPr>
          <w:sz w:val="22"/>
          <w:szCs w:val="22"/>
        </w:rPr>
        <w:t>. Reversibility of the water permeability of the polyLLC membrane under several heating-cooling cycles.</w:t>
      </w:r>
      <w:bookmarkEnd w:id="150"/>
    </w:p>
    <w:p w14:paraId="63FFEEB6" w14:textId="3DB98D73" w:rsidR="00A9517A" w:rsidRPr="006D631C" w:rsidRDefault="00205CC6" w:rsidP="002A3219">
      <w:pPr>
        <w:ind w:firstLine="360"/>
      </w:pPr>
      <w:r w:rsidRPr="006D631C">
        <w:rPr>
          <w:rFonts w:asciiTheme="majorBidi" w:hAnsiTheme="majorBidi" w:cstheme="majorBidi"/>
        </w:rPr>
        <w:lastRenderedPageBreak/>
        <w:t xml:space="preserve">Reversibility of the response to an external stimulus is as important as stimuli-responsiveness since it determines the chemical and physical structural stability of the product after each response. In the next step, therefore, we evaluated the </w:t>
      </w:r>
      <w:proofErr w:type="spellStart"/>
      <w:r w:rsidRPr="006D631C">
        <w:rPr>
          <w:rFonts w:asciiTheme="majorBidi" w:hAnsiTheme="majorBidi" w:cstheme="majorBidi"/>
        </w:rPr>
        <w:t>thermoreversibility</w:t>
      </w:r>
      <w:proofErr w:type="spellEnd"/>
      <w:r w:rsidRPr="006D631C">
        <w:rPr>
          <w:rFonts w:asciiTheme="majorBidi" w:hAnsiTheme="majorBidi" w:cstheme="majorBidi"/>
        </w:rPr>
        <w:t xml:space="preserve"> behavior of polyLLC membrane. To do so, the water permeability of the membrane was measured at 25 and 50 °C repeatedly (under several heating-cooling cycles). The obtained results are</w:t>
      </w:r>
      <w:r w:rsidR="00FE2967" w:rsidRPr="006D631C">
        <w:rPr>
          <w:rFonts w:asciiTheme="majorBidi" w:hAnsiTheme="majorBidi" w:cstheme="majorBidi"/>
        </w:rPr>
        <w:t xml:space="preserve"> shown in Figure</w:t>
      </w:r>
      <w:r w:rsidRPr="006D631C">
        <w:rPr>
          <w:rFonts w:asciiTheme="majorBidi" w:hAnsiTheme="majorBidi" w:cstheme="majorBidi"/>
        </w:rPr>
        <w:t xml:space="preserve"> </w:t>
      </w:r>
      <w:r w:rsidR="00FE2967" w:rsidRPr="006D631C">
        <w:rPr>
          <w:rFonts w:asciiTheme="majorBidi" w:hAnsiTheme="majorBidi" w:cstheme="majorBidi"/>
        </w:rPr>
        <w:t>3-</w:t>
      </w:r>
      <w:r w:rsidRPr="006D631C">
        <w:rPr>
          <w:rFonts w:asciiTheme="majorBidi" w:hAnsiTheme="majorBidi" w:cstheme="majorBidi"/>
        </w:rPr>
        <w:t xml:space="preserve">5. The membrane exhibits excellent reversible behavior under 3 heating-cooling cycles. However, after the third cycle, the permeability becomes higher at both 25 and 50 °C, which remains unchanged with continuing the test for consecutive cycles. Irreversible change of molecular structure (e.g., washing out of F127 from the membrane) was the first speculation. However, </w:t>
      </w:r>
      <w:proofErr w:type="gramStart"/>
      <w:r w:rsidRPr="006D631C">
        <w:rPr>
          <w:rFonts w:asciiTheme="majorBidi" w:hAnsiTheme="majorBidi" w:cstheme="majorBidi"/>
        </w:rPr>
        <w:t>the permeate</w:t>
      </w:r>
      <w:proofErr w:type="gramEnd"/>
      <w:r w:rsidRPr="006D631C">
        <w:rPr>
          <w:rFonts w:asciiTheme="majorBidi" w:hAnsiTheme="majorBidi" w:cstheme="majorBidi"/>
        </w:rPr>
        <w:t xml:space="preserve"> was tested using TOC measurement method and no sign of F127 was observed. Also, the permeability returned to the original values after giving 2 h rest to the membrane at 25 °C. Based on this observation, it appears that the change in molecular structure (</w:t>
      </w:r>
      <w:bookmarkStart w:id="151" w:name="_Hlk112705907"/>
      <w:r w:rsidRPr="006D631C">
        <w:rPr>
          <w:rFonts w:asciiTheme="majorBidi" w:hAnsiTheme="majorBidi" w:cstheme="majorBidi"/>
        </w:rPr>
        <w:t>melting and recrystallization of the PEO block</w:t>
      </w:r>
      <w:bookmarkEnd w:id="151"/>
      <w:r w:rsidRPr="006D631C">
        <w:rPr>
          <w:rFonts w:asciiTheme="majorBidi" w:hAnsiTheme="majorBidi" w:cstheme="majorBidi"/>
        </w:rPr>
        <w:t xml:space="preserve">) after several heating-cooling cycles is reversible yet time-consuming. It is noteworthy that the permeability of the polyLLC membrane remained unchanged at 25 and 50 °C after keeping the membrane at 50 °C for over 72 </w:t>
      </w:r>
      <w:proofErr w:type="spellStart"/>
      <w:r w:rsidRPr="006D631C">
        <w:rPr>
          <w:rFonts w:asciiTheme="majorBidi" w:hAnsiTheme="majorBidi" w:cstheme="majorBidi"/>
        </w:rPr>
        <w:t>hrs</w:t>
      </w:r>
      <w:proofErr w:type="spellEnd"/>
      <w:r w:rsidRPr="006D631C">
        <w:rPr>
          <w:rFonts w:asciiTheme="majorBidi" w:hAnsiTheme="majorBidi" w:cstheme="majorBidi"/>
        </w:rPr>
        <w:t>, confirming the stability of the nanostructure at high temperatures.</w:t>
      </w:r>
    </w:p>
    <w:p w14:paraId="6D5AA063" w14:textId="3D53065C" w:rsidR="00133F7B" w:rsidRPr="006D631C" w:rsidRDefault="00133F7B" w:rsidP="00133F7B">
      <w:pPr>
        <w:pStyle w:val="Heading4"/>
      </w:pPr>
      <w:bookmarkStart w:id="152" w:name="_Toc148175835"/>
      <w:r w:rsidRPr="006D631C">
        <w:t>3.3.2.3 Fouling resistance and cleaning efficiency</w:t>
      </w:r>
      <w:bookmarkEnd w:id="152"/>
      <w:r w:rsidRPr="006D631C">
        <w:t xml:space="preserve"> </w:t>
      </w:r>
    </w:p>
    <w:p w14:paraId="4F73E339" w14:textId="1CC25678" w:rsidR="00A9517A" w:rsidRPr="006D631C" w:rsidRDefault="009C631E" w:rsidP="002A3219">
      <w:pPr>
        <w:ind w:firstLine="360"/>
        <w:rPr>
          <w:rFonts w:asciiTheme="majorBidi" w:hAnsiTheme="majorBidi" w:cstheme="majorBidi"/>
        </w:rPr>
      </w:pPr>
      <w:r w:rsidRPr="006D631C">
        <w:rPr>
          <w:rFonts w:asciiTheme="majorBidi" w:hAnsiTheme="majorBidi" w:cstheme="majorBidi"/>
        </w:rPr>
        <w:t xml:space="preserve">As stated in the introduction section, enhancing the reversible fouling over irreversible fouling (also called cleaning efficiency) is one of the important advantages of thermoresponsive membranes. Hence, we performed fouling-cleaning experiments (see the experimental section) on the polyLLC membrane and PAN membrane (as control sample). To evaluate the cleaning efficiency for the polyLLC membrane, the cleaning steps were carried out at 25, 35 and 50 °C (all the filtrations steps were performed on BSA feed solution at 25 °C). In the case of the PAN </w:t>
      </w:r>
      <w:r w:rsidRPr="006D631C">
        <w:rPr>
          <w:rFonts w:asciiTheme="majorBidi" w:hAnsiTheme="majorBidi" w:cstheme="majorBidi"/>
        </w:rPr>
        <w:lastRenderedPageBreak/>
        <w:t>membrane, we only did the cleaning a</w:t>
      </w:r>
      <w:r w:rsidR="00763AF9" w:rsidRPr="006D631C">
        <w:rPr>
          <w:rFonts w:asciiTheme="majorBidi" w:hAnsiTheme="majorBidi" w:cstheme="majorBidi"/>
        </w:rPr>
        <w:t>t 25 and 50 °C. As shown in Figure</w:t>
      </w:r>
      <w:r w:rsidRPr="006D631C">
        <w:rPr>
          <w:rFonts w:asciiTheme="majorBidi" w:hAnsiTheme="majorBidi" w:cstheme="majorBidi"/>
        </w:rPr>
        <w:t xml:space="preserve"> </w:t>
      </w:r>
      <w:r w:rsidR="00763AF9" w:rsidRPr="006D631C">
        <w:rPr>
          <w:rFonts w:asciiTheme="majorBidi" w:hAnsiTheme="majorBidi" w:cstheme="majorBidi"/>
        </w:rPr>
        <w:t>3-</w:t>
      </w:r>
      <w:r w:rsidRPr="006D631C">
        <w:rPr>
          <w:rFonts w:asciiTheme="majorBidi" w:hAnsiTheme="majorBidi" w:cstheme="majorBidi"/>
        </w:rPr>
        <w:t>6, the normalized water flux, which is obtained through dividing the measured flux at any time by the primary flux of the fresh membrane, has also been evaluated in addition to the water flux itself. Based on the obtained trends, polyLLC membrane exhibits a higher fouling resistance compared to PAN membrane as the irreversible fouling is much lower for the former.</w:t>
      </w:r>
    </w:p>
    <w:p w14:paraId="667BE846" w14:textId="664A4737" w:rsidR="00A7065E" w:rsidRPr="006D631C" w:rsidRDefault="00A7065E" w:rsidP="00861405">
      <w:pPr>
        <w:pStyle w:val="TOC1"/>
      </w:pPr>
      <w:r w:rsidRPr="006D631C">
        <w:drawing>
          <wp:inline distT="0" distB="0" distL="0" distR="0" wp14:anchorId="2712DBDE" wp14:editId="766ABD60">
            <wp:extent cx="5940000" cy="4847397"/>
            <wp:effectExtent l="0" t="0" r="381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40000" cy="4847397"/>
                    </a:xfrm>
                    <a:prstGeom prst="rect">
                      <a:avLst/>
                    </a:prstGeom>
                    <a:noFill/>
                  </pic:spPr>
                </pic:pic>
              </a:graphicData>
            </a:graphic>
          </wp:inline>
        </w:drawing>
      </w:r>
    </w:p>
    <w:p w14:paraId="51D74CE7" w14:textId="25401CF8" w:rsidR="009A2CBA" w:rsidRPr="006D631C" w:rsidRDefault="009A2CBA" w:rsidP="009A2CBA">
      <w:pPr>
        <w:pStyle w:val="Caption"/>
        <w:jc w:val="center"/>
        <w:rPr>
          <w:sz w:val="22"/>
          <w:szCs w:val="22"/>
        </w:rPr>
      </w:pPr>
      <w:bookmarkStart w:id="153" w:name="_Toc148175941"/>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6</w:t>
      </w:r>
      <w:r w:rsidR="00B55F32" w:rsidRPr="006D631C">
        <w:rPr>
          <w:sz w:val="22"/>
          <w:szCs w:val="22"/>
        </w:rPr>
        <w:fldChar w:fldCharType="end"/>
      </w:r>
      <w:r w:rsidRPr="006D631C">
        <w:rPr>
          <w:sz w:val="22"/>
          <w:szCs w:val="22"/>
        </w:rPr>
        <w:t>. Change of (a) water flux, (b) normalized water flux, (c) irreversible fouling, and (d) reversible fouling for polyLLC and PAN membranes throughout fouling-cleaning experiment using different cleaning temperatures. The presented temperatures are cleaning temperature and filtrations steps were carried out at 25 °C.</w:t>
      </w:r>
      <w:bookmarkEnd w:id="153"/>
    </w:p>
    <w:p w14:paraId="3375962C" w14:textId="79849BA6" w:rsidR="00A9517A" w:rsidRPr="006D631C" w:rsidRDefault="009F5377" w:rsidP="002A3219">
      <w:pPr>
        <w:ind w:firstLine="360"/>
      </w:pPr>
      <w:r w:rsidRPr="006D631C">
        <w:rPr>
          <w:rFonts w:asciiTheme="majorBidi" w:hAnsiTheme="majorBidi" w:cstheme="majorBidi"/>
        </w:rPr>
        <w:lastRenderedPageBreak/>
        <w:t xml:space="preserve">According to the results presented in Figure 3-6, the reversible fouling for polyLLC membrane increases with an increase in the cleaning temperature, whereas there is no improvement for the PAN membrane. Such improvement happens due to an increase in the porosity of polyLLC membrane with temperature, which can enhance the </w:t>
      </w:r>
      <w:proofErr w:type="spellStart"/>
      <w:r w:rsidRPr="006D631C">
        <w:rPr>
          <w:rFonts w:asciiTheme="majorBidi" w:hAnsiTheme="majorBidi" w:cstheme="majorBidi"/>
        </w:rPr>
        <w:t>foulant</w:t>
      </w:r>
      <w:proofErr w:type="spellEnd"/>
      <w:r w:rsidRPr="006D631C">
        <w:rPr>
          <w:rFonts w:asciiTheme="majorBidi" w:hAnsiTheme="majorBidi" w:cstheme="majorBidi"/>
        </w:rPr>
        <w:t xml:space="preserve"> removal. Another noticeable observation here is the significant difference in the reversible fouling of polyLLC membrane in the third cycle in the case of cleaning at 25 °C compared to 35 and 50 °C. This result implies that utilizing the thermoresponsiveness of polyLLC membrane can</w:t>
      </w:r>
      <w:r w:rsidRPr="006D631C">
        <w:t xml:space="preserve"> </w:t>
      </w:r>
      <w:r w:rsidRPr="006D631C">
        <w:rPr>
          <w:rFonts w:asciiTheme="majorBidi" w:hAnsiTheme="majorBidi" w:cstheme="majorBidi"/>
        </w:rPr>
        <w:t xml:space="preserve">increase the cleaning efficiency and decrease the irreversible attachment of </w:t>
      </w:r>
      <w:proofErr w:type="spellStart"/>
      <w:r w:rsidRPr="006D631C">
        <w:rPr>
          <w:rFonts w:asciiTheme="majorBidi" w:hAnsiTheme="majorBidi" w:cstheme="majorBidi"/>
        </w:rPr>
        <w:t>foulants</w:t>
      </w:r>
      <w:proofErr w:type="spellEnd"/>
      <w:r w:rsidRPr="006D631C">
        <w:rPr>
          <w:rFonts w:asciiTheme="majorBidi" w:hAnsiTheme="majorBidi" w:cstheme="majorBidi"/>
        </w:rPr>
        <w:t>, thus, increasing membrane lifetime.</w:t>
      </w:r>
    </w:p>
    <w:p w14:paraId="1BB49415" w14:textId="58A50556" w:rsidR="009E11C4" w:rsidRPr="006D631C" w:rsidRDefault="009E11C4" w:rsidP="009E11C4">
      <w:pPr>
        <w:pStyle w:val="Heading4"/>
      </w:pPr>
      <w:bookmarkStart w:id="154" w:name="_Toc148175836"/>
      <w:r w:rsidRPr="006D631C">
        <w:t>3.3.2.4 Molecular weight cut-off</w:t>
      </w:r>
      <w:bookmarkEnd w:id="154"/>
      <w:r w:rsidRPr="006D631C">
        <w:t xml:space="preserve"> </w:t>
      </w:r>
    </w:p>
    <w:p w14:paraId="70592FF5" w14:textId="34DE3865" w:rsidR="00A9517A" w:rsidRPr="006D631C" w:rsidRDefault="005B59B2" w:rsidP="00FC2E22">
      <w:pPr>
        <w:ind w:firstLine="360"/>
      </w:pPr>
      <w:r w:rsidRPr="006D631C">
        <w:rPr>
          <w:rFonts w:asciiTheme="majorBidi" w:hAnsiTheme="majorBidi" w:cstheme="majorBidi"/>
        </w:rPr>
        <w:t xml:space="preserve">Manipulation of the membrane selectivity through an external stimulus is one of the important advantages of stimuli-responsive membranes. Having this feature depends on changing the membrane pore size in response to a stimulus. MWCO measurement is the common method used for determining the pore size of membranes. Therefore, we used this approach to evaluate the extent of pore size change of the polyLLC membrane in response to temperature. PEO solutions having different molecular weights were employed to measure the MWCO at 25, 35 and 50 °C. The acquired results are shown in Figure 3-7. The MWCO of the membrane at room temperature is about 250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from a sigmoidal fit on the rejection vs molecular weight data points in this figure. As presented in </w:t>
      </w:r>
      <w:r w:rsidR="00FC2E22" w:rsidRPr="006D631C">
        <w:rPr>
          <w:rFonts w:asciiTheme="majorBidi" w:hAnsiTheme="majorBidi" w:cstheme="majorBidi"/>
        </w:rPr>
        <w:t>Eq.</w:t>
      </w:r>
      <w:r w:rsidRPr="006D631C">
        <w:rPr>
          <w:rFonts w:asciiTheme="majorBidi" w:hAnsiTheme="majorBidi" w:cstheme="majorBidi"/>
        </w:rPr>
        <w:t xml:space="preserve"> (</w:t>
      </w:r>
      <w:r w:rsidR="00FC2E22" w:rsidRPr="006D631C">
        <w:rPr>
          <w:rFonts w:asciiTheme="majorBidi" w:hAnsiTheme="majorBidi" w:cstheme="majorBidi"/>
        </w:rPr>
        <w:t>3-</w:t>
      </w:r>
      <w:r w:rsidRPr="006D631C">
        <w:rPr>
          <w:rFonts w:asciiTheme="majorBidi" w:hAnsiTheme="majorBidi" w:cstheme="majorBidi"/>
        </w:rPr>
        <w:t xml:space="preserve">7), Boltzmann sigmoidal equation has been used for the fitting MWCO behavior, where </w:t>
      </w:r>
      <w:r w:rsidRPr="006D631C">
        <w:rPr>
          <w:rFonts w:asciiTheme="majorBidi" w:hAnsiTheme="majorBidi" w:cstheme="majorBidi"/>
          <w:i/>
          <w:iCs/>
        </w:rPr>
        <w:t>A</w:t>
      </w:r>
      <w:r w:rsidRPr="006D631C">
        <w:rPr>
          <w:rFonts w:asciiTheme="majorBidi" w:hAnsiTheme="majorBidi" w:cstheme="majorBidi"/>
          <w:i/>
          <w:iCs/>
          <w:vertAlign w:val="subscript"/>
        </w:rPr>
        <w:t>1</w:t>
      </w:r>
      <w:r w:rsidRPr="006D631C">
        <w:rPr>
          <w:rFonts w:asciiTheme="majorBidi" w:hAnsiTheme="majorBidi" w:cstheme="majorBidi"/>
        </w:rPr>
        <w:t xml:space="preserve">, </w:t>
      </w:r>
      <w:r w:rsidRPr="006D631C">
        <w:rPr>
          <w:rFonts w:asciiTheme="majorBidi" w:hAnsiTheme="majorBidi" w:cstheme="majorBidi"/>
          <w:i/>
          <w:iCs/>
        </w:rPr>
        <w:t>A</w:t>
      </w:r>
      <w:r w:rsidRPr="006D631C">
        <w:rPr>
          <w:rFonts w:asciiTheme="majorBidi" w:hAnsiTheme="majorBidi" w:cstheme="majorBidi"/>
          <w:i/>
          <w:iCs/>
          <w:vertAlign w:val="subscript"/>
        </w:rPr>
        <w:t>2</w:t>
      </w:r>
      <w:r w:rsidRPr="006D631C">
        <w:rPr>
          <w:rFonts w:asciiTheme="majorBidi" w:hAnsiTheme="majorBidi" w:cstheme="majorBidi"/>
        </w:rPr>
        <w:t xml:space="preserve">, </w:t>
      </w:r>
      <w:r w:rsidRPr="006D631C">
        <w:rPr>
          <w:rFonts w:asciiTheme="majorBidi" w:hAnsiTheme="majorBidi" w:cstheme="majorBidi"/>
          <w:i/>
          <w:iCs/>
        </w:rPr>
        <w:t>x</w:t>
      </w:r>
      <w:r w:rsidRPr="006D631C">
        <w:rPr>
          <w:rFonts w:asciiTheme="majorBidi" w:hAnsiTheme="majorBidi" w:cstheme="majorBidi"/>
          <w:i/>
          <w:iCs/>
          <w:vertAlign w:val="subscript"/>
        </w:rPr>
        <w:t>0</w:t>
      </w:r>
      <w:r w:rsidRPr="006D631C">
        <w:rPr>
          <w:rFonts w:asciiTheme="majorBidi" w:hAnsiTheme="majorBidi" w:cstheme="majorBidi"/>
          <w:iCs/>
          <w:vertAlign w:val="subscript"/>
        </w:rPr>
        <w:t>,</w:t>
      </w:r>
      <w:r w:rsidRPr="006D631C">
        <w:rPr>
          <w:rFonts w:asciiTheme="majorBidi" w:hAnsiTheme="majorBidi" w:cstheme="majorBidi"/>
        </w:rPr>
        <w:t xml:space="preserve"> and </w:t>
      </w:r>
      <w:r w:rsidRPr="006D631C">
        <w:rPr>
          <w:rFonts w:asciiTheme="majorBidi" w:hAnsiTheme="majorBidi" w:cstheme="majorBidi"/>
          <w:i/>
          <w:iCs/>
        </w:rPr>
        <w:t>m</w:t>
      </w:r>
      <w:r w:rsidRPr="006D631C">
        <w:rPr>
          <w:rFonts w:asciiTheme="majorBidi" w:hAnsiTheme="majorBidi" w:cstheme="majorBidi"/>
        </w:rPr>
        <w:t xml:space="preserve"> are initial value, final value, center, and slope, respectively:</w:t>
      </w:r>
    </w:p>
    <w:p w14:paraId="1A06E21A" w14:textId="0CF5B3C8" w:rsidR="00D01089" w:rsidRPr="006D631C" w:rsidRDefault="00D01089" w:rsidP="00D01089">
      <w:pPr>
        <w:pStyle w:val="Caption"/>
        <w:rPr>
          <w:rFonts w:asciiTheme="majorBidi" w:hAnsiTheme="majorBidi" w:cstheme="majorBidi"/>
          <w:szCs w:val="24"/>
        </w:rPr>
      </w:pPr>
      <w:r w:rsidRPr="006D631C">
        <w:rPr>
          <w:rFonts w:asciiTheme="majorBidi" w:hAnsiTheme="majorBidi" w:cstheme="majorBidi"/>
          <w:position w:val="-40"/>
          <w:szCs w:val="24"/>
        </w:rPr>
        <w:object w:dxaOrig="1800" w:dyaOrig="780" w14:anchorId="3D1CEEEE">
          <v:shape id="_x0000_i1062" type="#_x0000_t75" style="width:102pt;height:48pt" o:ole="">
            <v:imagedata r:id="rId118" o:title=""/>
          </v:shape>
          <o:OLEObject Type="Embed" ProgID="Equation.DSMT4" ShapeID="_x0000_i1062" DrawAspect="Content" ObjectID="_1760013330" r:id="rId119"/>
        </w:object>
      </w:r>
      <w:r w:rsidRPr="006D631C">
        <w:rPr>
          <w:rFonts w:asciiTheme="majorBidi" w:hAnsiTheme="majorBidi" w:cstheme="majorBidi"/>
          <w:szCs w:val="24"/>
        </w:rPr>
        <w:t xml:space="preserve"> </w:t>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rPr>
        <w:t xml:space="preserve">                      </w:t>
      </w:r>
      <w:r w:rsidRPr="006D631C">
        <w:rPr>
          <w:rFonts w:asciiTheme="majorBidi" w:hAnsiTheme="majorBidi" w:cstheme="majorBidi"/>
          <w:szCs w:val="24"/>
        </w:rPr>
        <w:tab/>
      </w:r>
      <w:r w:rsidRPr="006D631C">
        <w:rPr>
          <w:rFonts w:asciiTheme="majorBidi" w:hAnsiTheme="majorBidi" w:cstheme="majorBidi"/>
          <w:szCs w:val="24"/>
        </w:rPr>
        <w:tab/>
        <w:t>(</w:t>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STYLEREF 1 \s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cs/>
        </w:rPr>
        <w:t>‎</w:t>
      </w:r>
      <w:r w:rsidR="005014F7" w:rsidRPr="006D631C">
        <w:rPr>
          <w:rFonts w:asciiTheme="majorBidi" w:hAnsiTheme="majorBidi" w:cstheme="majorBidi"/>
          <w:szCs w:val="24"/>
        </w:rPr>
        <w:t>3</w:t>
      </w:r>
      <w:r w:rsidR="006A54D9" w:rsidRPr="006D631C">
        <w:rPr>
          <w:rFonts w:asciiTheme="majorBidi" w:hAnsiTheme="majorBidi" w:cstheme="majorBidi"/>
          <w:szCs w:val="24"/>
        </w:rPr>
        <w:fldChar w:fldCharType="end"/>
      </w:r>
      <w:r w:rsidR="006A54D9" w:rsidRPr="006D631C">
        <w:rPr>
          <w:rFonts w:asciiTheme="majorBidi" w:hAnsiTheme="majorBidi" w:cstheme="majorBidi"/>
          <w:szCs w:val="24"/>
        </w:rPr>
        <w:noBreakHyphen/>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SEQ Equation \* ARABIC \s 1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rPr>
        <w:t>7</w:t>
      </w:r>
      <w:r w:rsidR="006A54D9" w:rsidRPr="006D631C">
        <w:rPr>
          <w:rFonts w:asciiTheme="majorBidi" w:hAnsiTheme="majorBidi" w:cstheme="majorBidi"/>
          <w:szCs w:val="24"/>
        </w:rPr>
        <w:fldChar w:fldCharType="end"/>
      </w:r>
      <w:r w:rsidRPr="006D631C">
        <w:rPr>
          <w:rFonts w:asciiTheme="majorBidi" w:hAnsiTheme="majorBidi" w:cstheme="majorBidi"/>
          <w:szCs w:val="24"/>
        </w:rPr>
        <w:t>)</w:t>
      </w:r>
    </w:p>
    <w:p w14:paraId="24113C83" w14:textId="2D6C4121" w:rsidR="00A9517A" w:rsidRPr="006D631C" w:rsidRDefault="00792ABF" w:rsidP="00792ABF">
      <w:pPr>
        <w:ind w:firstLine="360"/>
        <w:rPr>
          <w:rFonts w:asciiTheme="majorBidi" w:hAnsiTheme="majorBidi" w:cstheme="majorBidi"/>
        </w:rPr>
      </w:pPr>
      <w:r w:rsidRPr="006D631C">
        <w:rPr>
          <w:rFonts w:asciiTheme="majorBidi" w:hAnsiTheme="majorBidi" w:cstheme="majorBidi"/>
        </w:rPr>
        <w:lastRenderedPageBreak/>
        <w:t xml:space="preserve">By using Eq. (3-6), a pore size of ~30.8 nm can be calculated for the membrane at room temperature. The MWCO of the membrane increases to around 336 and 570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with an increase in the temperature to 35 and 50 °C, respectively. These MWCOs are equal to pore sizes of ~36.6 and ~50 nm, respectively. The results prove the possibility of the pore size manipulation for polyLLC membrane, and thus, its selectivity. It is also noteworthy to point out that melting of crystalline structure at 50 °C has stronger effect on the porosity compared to LCST transition at 35 °C, which is in good agreement with the results of hydration capacity, permeability, and fouling-cleaning experiments.</w:t>
      </w:r>
    </w:p>
    <w:p w14:paraId="2D0B5918" w14:textId="18F3E6EC" w:rsidR="00CE5F2B" w:rsidRPr="006D631C" w:rsidRDefault="00CE5F2B" w:rsidP="00861405">
      <w:pPr>
        <w:pStyle w:val="TOC1"/>
        <w:rPr>
          <w:noProof w:val="0"/>
        </w:rPr>
      </w:pPr>
      <w:r w:rsidRPr="006D631C">
        <w:drawing>
          <wp:inline distT="0" distB="0" distL="0" distR="0" wp14:anchorId="7AF7C28A" wp14:editId="0DEF2B1C">
            <wp:extent cx="4198620" cy="3619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0">
                      <a:extLst>
                        <a:ext uri="{28A0092B-C50C-407E-A947-70E740481C1C}">
                          <a14:useLocalDpi xmlns:a14="http://schemas.microsoft.com/office/drawing/2010/main" val="0"/>
                        </a:ext>
                      </a:extLst>
                    </a:blip>
                    <a:srcRect l="5466" t="8124" r="13146"/>
                    <a:stretch/>
                  </pic:blipFill>
                  <pic:spPr bwMode="auto">
                    <a:xfrm>
                      <a:off x="0" y="0"/>
                      <a:ext cx="4198620" cy="3619500"/>
                    </a:xfrm>
                    <a:prstGeom prst="rect">
                      <a:avLst/>
                    </a:prstGeom>
                    <a:noFill/>
                    <a:ln>
                      <a:noFill/>
                    </a:ln>
                    <a:extLst>
                      <a:ext uri="{53640926-AAD7-44D8-BBD7-CCE9431645EC}">
                        <a14:shadowObscured xmlns:a14="http://schemas.microsoft.com/office/drawing/2010/main"/>
                      </a:ext>
                    </a:extLst>
                  </pic:spPr>
                </pic:pic>
              </a:graphicData>
            </a:graphic>
          </wp:inline>
        </w:drawing>
      </w:r>
    </w:p>
    <w:p w14:paraId="64405CDC" w14:textId="25E010B5" w:rsidR="00CE5F2B" w:rsidRPr="006D631C" w:rsidRDefault="00CE5F2B" w:rsidP="00CE5F2B">
      <w:pPr>
        <w:pStyle w:val="Caption"/>
        <w:jc w:val="center"/>
        <w:rPr>
          <w:sz w:val="22"/>
          <w:szCs w:val="22"/>
        </w:rPr>
      </w:pPr>
      <w:bookmarkStart w:id="155" w:name="_Toc148175942"/>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7</w:t>
      </w:r>
      <w:r w:rsidR="00B55F32" w:rsidRPr="006D631C">
        <w:rPr>
          <w:sz w:val="22"/>
          <w:szCs w:val="22"/>
        </w:rPr>
        <w:fldChar w:fldCharType="end"/>
      </w:r>
      <w:r w:rsidRPr="006D631C">
        <w:rPr>
          <w:sz w:val="22"/>
          <w:szCs w:val="22"/>
        </w:rPr>
        <w:t>. Temperature-dependent MWCO of polyLLC membrane.</w:t>
      </w:r>
      <w:bookmarkEnd w:id="155"/>
    </w:p>
    <w:p w14:paraId="5FEEB23E" w14:textId="0AC6047A" w:rsidR="00CE5F2B" w:rsidRPr="006D631C" w:rsidRDefault="002A3F74" w:rsidP="0072669A">
      <w:pPr>
        <w:ind w:firstLine="360"/>
        <w:rPr>
          <w:rFonts w:asciiTheme="majorBidi" w:hAnsiTheme="majorBidi" w:cstheme="majorBidi"/>
        </w:rPr>
      </w:pPr>
      <w:r w:rsidRPr="006D631C">
        <w:rPr>
          <w:rFonts w:asciiTheme="majorBidi" w:hAnsiTheme="majorBidi" w:cstheme="majorBidi"/>
        </w:rPr>
        <w:t>The effect of temperature on the size of PEO chains has not been considered in the pore size calculations mentioned in the above paragraph. Therefore, we measured the hydrodynamic radius of PEO chains with different molecular weights at 25, 35 and 50 °C using DLS analysis. Figure 3-</w:t>
      </w:r>
      <w:r w:rsidRPr="006D631C">
        <w:rPr>
          <w:rFonts w:asciiTheme="majorBidi" w:hAnsiTheme="majorBidi" w:cstheme="majorBidi"/>
        </w:rPr>
        <w:lastRenderedPageBreak/>
        <w:t xml:space="preserve">8 represents the obtained results (PEO chains size distribution can be found in Figure </w:t>
      </w:r>
      <w:r w:rsidR="00685FB3" w:rsidRPr="006D631C">
        <w:rPr>
          <w:rFonts w:asciiTheme="majorBidi" w:hAnsiTheme="majorBidi" w:cstheme="majorBidi"/>
        </w:rPr>
        <w:t>D2</w:t>
      </w:r>
      <w:r w:rsidRPr="006D631C">
        <w:rPr>
          <w:rFonts w:asciiTheme="majorBidi" w:hAnsiTheme="majorBidi" w:cstheme="majorBidi"/>
        </w:rPr>
        <w:t xml:space="preserve">). As can be seen, the size of PEO chains with different molecular weights slightly increases with </w:t>
      </w:r>
      <w:r w:rsidR="000C2DB3" w:rsidRPr="006D631C">
        <w:rPr>
          <w:rFonts w:asciiTheme="majorBidi" w:hAnsiTheme="majorBidi" w:cstheme="majorBidi"/>
        </w:rPr>
        <w:t xml:space="preserve">an increase in the temperature. </w:t>
      </w:r>
      <w:r w:rsidRPr="006D631C">
        <w:rPr>
          <w:rFonts w:asciiTheme="majorBidi" w:hAnsiTheme="majorBidi" w:cstheme="majorBidi"/>
        </w:rPr>
        <w:t xml:space="preserve">The same results have been reported by </w:t>
      </w:r>
      <w:proofErr w:type="spellStart"/>
      <w:r w:rsidRPr="006D631C">
        <w:rPr>
          <w:rFonts w:asciiTheme="majorBidi" w:hAnsiTheme="majorBidi" w:cstheme="majorBidi"/>
        </w:rPr>
        <w:t>Hammouda</w:t>
      </w:r>
      <w:proofErr w:type="spellEnd"/>
      <w:r w:rsidRPr="006D631C">
        <w:rPr>
          <w:rFonts w:asciiTheme="majorBidi" w:hAnsiTheme="majorBidi" w:cstheme="majorBidi"/>
        </w:rPr>
        <w:t xml:space="preserve"> </w:t>
      </w:r>
      <w:r w:rsidRPr="006D631C">
        <w:rPr>
          <w:rFonts w:asciiTheme="majorBidi" w:hAnsiTheme="majorBidi" w:cstheme="majorBidi"/>
          <w:i/>
          <w:iCs/>
        </w:rPr>
        <w:t>et al.</w:t>
      </w:r>
      <w:r w:rsidRPr="006D631C">
        <w:rPr>
          <w:rFonts w:asciiTheme="majorBidi" w:hAnsiTheme="majorBidi" w:cstheme="majorBidi"/>
        </w:rPr>
        <w:t xml:space="preserve"> for PE</w:t>
      </w:r>
      <w:r w:rsidR="00356FDA" w:rsidRPr="006D631C">
        <w:rPr>
          <w:rFonts w:asciiTheme="majorBidi" w:hAnsiTheme="majorBidi" w:cstheme="majorBidi"/>
        </w:rPr>
        <w:t>G</w:t>
      </w:r>
      <w:r w:rsidRPr="006D631C">
        <w:rPr>
          <w:rFonts w:asciiTheme="majorBidi" w:hAnsiTheme="majorBidi" w:cstheme="majorBidi"/>
        </w:rPr>
        <w:t xml:space="preserve"> chains with molecular weight of 36</w:t>
      </w:r>
      <w:r w:rsidR="00D67F32" w:rsidRPr="006D631C">
        <w:rPr>
          <w:rFonts w:asciiTheme="majorBidi" w:hAnsiTheme="majorBidi" w:cstheme="majorBidi"/>
        </w:rPr>
        <w:t>.5</w:t>
      </w:r>
      <w:r w:rsidRPr="006D631C">
        <w:rPr>
          <w:rFonts w:asciiTheme="majorBidi" w:hAnsiTheme="majorBidi" w:cstheme="majorBidi"/>
        </w:rPr>
        <w:t xml:space="preserve"> </w:t>
      </w:r>
      <w:proofErr w:type="spellStart"/>
      <w:r w:rsidR="00D67F32" w:rsidRPr="006D631C">
        <w:rPr>
          <w:rFonts w:asciiTheme="majorBidi" w:hAnsiTheme="majorBidi" w:cstheme="majorBidi"/>
        </w:rPr>
        <w:t>kDa</w:t>
      </w:r>
      <w:proofErr w:type="spellEnd"/>
      <w:r w:rsidRPr="006D631C">
        <w:rPr>
          <w:rFonts w:asciiTheme="majorBidi" w:hAnsiTheme="majorBidi" w:cstheme="majorBidi"/>
        </w:rPr>
        <w:t xml:space="preserve"> using appropriate aqueous solution concentrations</w:t>
      </w:r>
      <w:r w:rsidR="000C2DB3"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{"citationItems":[{"id":"ITEM-1","itemData":{"DOI":"10.1002/polb.21221","ISSN":"08876266","author":[{"dropping-particle":"","family":"Hammouda","given":"Boualem","non-dropping-particle":"","parse-names":false,"suffix":""},{"dropping-particle":"","family":"Ho","given":"Derek L.","non-dropping-particle":"","parse-names":false,"suffix":""}],"container-title":"Journal of Polymer Science Part B: Polymer Physics","id":"ITEM-1","issue":"16","issued":{"date-parts":[["2007","8","15"]]},"page":"2196-2200","title":"Insight into chain dimensions in PEO/water solutions","type":"article-journal","volume":"45"},"uris":["http://www.mendeley.com/documents/?uuid=19b479ed-95c3-4600-9363-adc93f72ce96"]}],"mendeley":{"formattedCitation":"&lt;sup&gt;254&lt;/sup&gt;","plainTextFormattedCitation":"254","previouslyFormattedCitation":"&lt;sup&gt;254&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254</w:t>
      </w:r>
      <w:r w:rsidRPr="006D631C">
        <w:rPr>
          <w:rFonts w:asciiTheme="majorBidi" w:hAnsiTheme="majorBidi" w:cstheme="majorBidi"/>
        </w:rPr>
        <w:fldChar w:fldCharType="end"/>
      </w:r>
      <w:r w:rsidRPr="006D631C">
        <w:rPr>
          <w:rFonts w:asciiTheme="majorBidi" w:hAnsiTheme="majorBidi" w:cstheme="majorBidi"/>
        </w:rPr>
        <w:t xml:space="preserve"> </w:t>
      </w:r>
      <w:r w:rsidR="00356FDA" w:rsidRPr="006D631C">
        <w:rPr>
          <w:rFonts w:asciiTheme="majorBidi" w:hAnsiTheme="majorBidi" w:cstheme="majorBidi"/>
        </w:rPr>
        <w:t>Using small-angle neutron scattering (SANS) and photon correlation spectroscopy (PCS)</w:t>
      </w:r>
      <w:r w:rsidR="00D67F32" w:rsidRPr="006D631C">
        <w:rPr>
          <w:rFonts w:asciiTheme="majorBidi" w:hAnsiTheme="majorBidi" w:cstheme="majorBidi"/>
        </w:rPr>
        <w:t>,</w:t>
      </w:r>
      <w:r w:rsidR="00356FDA" w:rsidRPr="006D631C">
        <w:rPr>
          <w:rFonts w:asciiTheme="majorBidi" w:hAnsiTheme="majorBidi" w:cstheme="majorBidi"/>
        </w:rPr>
        <w:t xml:space="preserve"> </w:t>
      </w:r>
      <w:proofErr w:type="spellStart"/>
      <w:r w:rsidR="00356FDA" w:rsidRPr="006D631C">
        <w:rPr>
          <w:rFonts w:asciiTheme="majorBidi" w:hAnsiTheme="majorBidi" w:cstheme="majorBidi"/>
        </w:rPr>
        <w:t>Branca</w:t>
      </w:r>
      <w:proofErr w:type="spellEnd"/>
      <w:r w:rsidR="00356FDA" w:rsidRPr="006D631C">
        <w:rPr>
          <w:rFonts w:asciiTheme="majorBidi" w:hAnsiTheme="majorBidi" w:cstheme="majorBidi"/>
        </w:rPr>
        <w:t xml:space="preserve"> </w:t>
      </w:r>
      <w:r w:rsidR="00356FDA" w:rsidRPr="006D631C">
        <w:rPr>
          <w:rFonts w:asciiTheme="majorBidi" w:hAnsiTheme="majorBidi" w:cstheme="majorBidi"/>
          <w:i/>
          <w:iCs/>
        </w:rPr>
        <w:t>et al.</w:t>
      </w:r>
      <w:r w:rsidR="00356FDA" w:rsidRPr="006D631C">
        <w:rPr>
          <w:rFonts w:asciiTheme="majorBidi" w:hAnsiTheme="majorBidi" w:cstheme="majorBidi"/>
        </w:rPr>
        <w:t xml:space="preserve"> has </w:t>
      </w:r>
      <w:r w:rsidR="001C5480" w:rsidRPr="006D631C">
        <w:rPr>
          <w:rFonts w:asciiTheme="majorBidi" w:hAnsiTheme="majorBidi" w:cstheme="majorBidi"/>
        </w:rPr>
        <w:t>also reported</w:t>
      </w:r>
      <w:r w:rsidR="00356FDA" w:rsidRPr="006D631C">
        <w:rPr>
          <w:rFonts w:asciiTheme="majorBidi" w:hAnsiTheme="majorBidi" w:cstheme="majorBidi"/>
        </w:rPr>
        <w:t xml:space="preserve"> similar changes in hydrodynamic radius of PEO with molecular weight of </w:t>
      </w:r>
      <w:r w:rsidR="00D67F32" w:rsidRPr="006D631C">
        <w:rPr>
          <w:rFonts w:asciiTheme="majorBidi" w:hAnsiTheme="majorBidi" w:cstheme="majorBidi"/>
        </w:rPr>
        <w:t xml:space="preserve">600 </w:t>
      </w:r>
      <w:proofErr w:type="spellStart"/>
      <w:r w:rsidR="00D67F32" w:rsidRPr="006D631C">
        <w:rPr>
          <w:rFonts w:asciiTheme="majorBidi" w:hAnsiTheme="majorBidi" w:cstheme="majorBidi"/>
        </w:rPr>
        <w:t>kDa</w:t>
      </w:r>
      <w:proofErr w:type="spellEnd"/>
      <w:r w:rsidR="001C5480" w:rsidRPr="006D631C">
        <w:rPr>
          <w:rFonts w:asciiTheme="majorBidi" w:hAnsiTheme="majorBidi" w:cstheme="majorBidi"/>
        </w:rPr>
        <w:t xml:space="preserve"> with temperature</w:t>
      </w:r>
      <w:r w:rsidR="00D67F32" w:rsidRPr="006D631C">
        <w:rPr>
          <w:rFonts w:asciiTheme="majorBidi" w:hAnsiTheme="majorBidi" w:cstheme="majorBidi"/>
        </w:rPr>
        <w:t>.</w:t>
      </w:r>
      <w:r w:rsidR="00135E49"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10.1238/Physica.Regular.067a00551","ISSN":"0031-8949","author":[{"dropping-particle":"","family":"Branca","given":"C","non-dropping-particle":"","parse-names":false,"suffix":""},{"dropping-particle":"","family":"Magazù","given":"S","non-dropping-particle":"","parse-names":false,"suffix":""},{"dropping-particle":"","family":"Maisano","given":"G","non-dropping-particle":"","parse-names":false,"suffix":""},{"dropping-particle":"","family":"Migliardo","given":"F","non-dropping-particle":"","parse-names":false,"suffix":""},{"dropping-particle":"","family":"Migliardo","given":"P","non-dropping-particle":"","parse-names":false,"suffix":""},{"dropping-particle":"","family":"Romeo","given":"G","non-dropping-particle":"","parse-names":false,"suffix":""}],"container-title":"Physica Scripta","id":"ITEM-1","issue":"6","issued":{"date-parts":[["2003","1","1"]]},"page":"551-554","title":"Study of Conformational Properties of Poly(ethylene oxide) by SANS and PCS Techniques","type":"article-journal","volume":"67"},"uris":["http://www.mendeley.com/documents/?uuid=fafaf59e-98d8-43f7-a99c-a3b6f1ec9a52"]}],"mendeley":{"formattedCitation":"&lt;sup&gt;255&lt;/sup&gt;","plainTextFormattedCitation":"255","previouslyFormattedCitation":"&lt;sup&gt;255&lt;/sup&gt;"},"properties":{"noteIndex":0},"schema":"https://github.com/citation-style-language/schema/raw/master/csl-citation.json"}</w:instrText>
      </w:r>
      <w:r w:rsidR="00135E49"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255</w:t>
      </w:r>
      <w:r w:rsidR="00135E49" w:rsidRPr="006D631C">
        <w:rPr>
          <w:rFonts w:asciiTheme="majorBidi" w:hAnsiTheme="majorBidi" w:cstheme="majorBidi"/>
        </w:rPr>
        <w:fldChar w:fldCharType="end"/>
      </w:r>
      <w:r w:rsidR="00356FDA" w:rsidRPr="006D631C">
        <w:rPr>
          <w:rFonts w:asciiTheme="majorBidi" w:hAnsiTheme="majorBidi" w:cstheme="majorBidi"/>
        </w:rPr>
        <w:t xml:space="preserve"> </w:t>
      </w:r>
      <w:r w:rsidRPr="006D631C">
        <w:rPr>
          <w:rFonts w:asciiTheme="majorBidi" w:hAnsiTheme="majorBidi" w:cstheme="majorBidi"/>
        </w:rPr>
        <w:t>It should also be noted that PEO has an LCST in water in 100-180</w:t>
      </w:r>
      <w:r w:rsidR="00F725BA" w:rsidRPr="006D631C">
        <w:rPr>
          <w:rFonts w:asciiTheme="majorBidi" w:hAnsiTheme="majorBidi" w:cstheme="majorBidi"/>
        </w:rPr>
        <w:t xml:space="preserve"> </w:t>
      </w:r>
      <w:r w:rsidRPr="006D631C">
        <w:rPr>
          <w:rFonts w:asciiTheme="majorBidi" w:hAnsiTheme="majorBidi" w:cstheme="majorBidi"/>
        </w:rPr>
        <w:t>°C range (depending on molecular weight)</w:t>
      </w:r>
      <w:r w:rsidR="00E475D4"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{"citationItems":[{"id":"ITEM-1","itemData":{"DOI":"10.1016/j.polymer.2015.07.032","ISSN":"00323861","abstract":"Abstract Poly(ethylene oxide), PEO, is known to undergo a phase separation transition in aqueous solutions upon heating. This LCST transition is first investigated by high-sensitivity differential scanning calorimetry. Dependences of the transition temperature (Tt), enthalpy (Δth) and heat capacity increment (Δtcp) on the polymer concentration are determined. The transition temperature and enthalpy of PEO decreased with increasing the polymer concentration and followed the Kirchhoff law. A substantial positive value of the transition heat capacity increment of PEO is detected suggesting that the transition is accompanied by an exposure of the polymer hydrophobic groups to water. Comparison of Δtcp with the corresponding change in the accessible surface area of PEO reveals that the LCST transition of PEO may involve cooperative conformational changes of the type of helix-coil transition in PEO macromolecules.","author":[{"dropping-particle":"","family":"Grinberg","given":"Valerij Y.","non-dropping-particle":"","parse-names":false,"suffix":""},{"dropping-particle":"V.","family":"Burova","given":"Tatiana","non-dropping-particle":"","parse-names":false,"suffix":""},{"dropping-particle":"V.","family":"Grinberg","given":"Natalia","non-dropping-particle":"","parse-names":false,"suffix":""},{"dropping-particle":"","family":"Dubovik","given":"Alexander S.","non-dropping-particle":"","parse-names":false,"suffix":""},{"dropping-particle":"","family":"Papkov","given":"Vladimir S.","non-dropping-particle":"","parse-names":false,"suffix":""},{"dropping-particle":"","family":"Khokhlov","given":"Alexei R.","non-dropping-particle":"","parse-names":false,"suffix":""}],"container-title":"Polymer","id":"ITEM-1","issued":{"date-parts":[["2015","9"]]},"page":"86-90","title":"Energetics of LCST transition of poly(ethylene oxide) in aqueous solutions","type":"article-journal","volume":"73"},"uris":["http://www.mendeley.com/documents/?uuid=b12313b2-f524-4b15-8d5c-9791e70f3723"]}],"mendeley":{"formattedCitation":"&lt;sup&gt;256&lt;/sup&gt;","plainTextFormattedCitation":"256","previouslyFormattedCitation":"&lt;sup&gt;256&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256</w:t>
      </w:r>
      <w:r w:rsidRPr="006D631C">
        <w:rPr>
          <w:rFonts w:asciiTheme="majorBidi" w:hAnsiTheme="majorBidi" w:cstheme="majorBidi"/>
        </w:rPr>
        <w:fldChar w:fldCharType="end"/>
      </w:r>
      <w:r w:rsidRPr="006D631C">
        <w:rPr>
          <w:rFonts w:asciiTheme="majorBidi" w:hAnsiTheme="majorBidi" w:cstheme="majorBidi"/>
        </w:rPr>
        <w:t xml:space="preserve"> which is much higher than the temperature range used in our experiments. By interpolation of the obtained data, the pore size of the membrane can be calculated as 34.6 nm at room temperature which is in good agreement with the theoretical calculations. After correcting the pore size calculation with considering temperature effect, it appears that the pore size of polyLLC membrane increases to 45.7 and 59.6 nm at 35 and 50 °C, respectively.</w:t>
      </w:r>
    </w:p>
    <w:p w14:paraId="6BF45DFA" w14:textId="53D75465" w:rsidR="00594223" w:rsidRPr="006D631C" w:rsidRDefault="00594223" w:rsidP="00861405">
      <w:pPr>
        <w:pStyle w:val="TOC1"/>
        <w:rPr>
          <w:noProof w:val="0"/>
        </w:rPr>
      </w:pPr>
      <w:r w:rsidRPr="006D631C">
        <w:lastRenderedPageBreak/>
        <w:drawing>
          <wp:inline distT="0" distB="0" distL="0" distR="0" wp14:anchorId="7743C04D" wp14:editId="7D3532B8">
            <wp:extent cx="5158740" cy="39395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158740" cy="3939540"/>
                    </a:xfrm>
                    <a:prstGeom prst="rect">
                      <a:avLst/>
                    </a:prstGeom>
                    <a:noFill/>
                    <a:ln>
                      <a:noFill/>
                    </a:ln>
                  </pic:spPr>
                </pic:pic>
              </a:graphicData>
            </a:graphic>
          </wp:inline>
        </w:drawing>
      </w:r>
    </w:p>
    <w:p w14:paraId="71BF1678" w14:textId="0EA96635" w:rsidR="00594223" w:rsidRPr="006D631C" w:rsidRDefault="00594223" w:rsidP="00594223">
      <w:pPr>
        <w:pStyle w:val="Caption"/>
        <w:jc w:val="center"/>
        <w:rPr>
          <w:sz w:val="22"/>
          <w:szCs w:val="22"/>
        </w:rPr>
      </w:pPr>
      <w:bookmarkStart w:id="156" w:name="_Toc148175943"/>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8</w:t>
      </w:r>
      <w:r w:rsidR="00B55F32" w:rsidRPr="006D631C">
        <w:rPr>
          <w:sz w:val="22"/>
          <w:szCs w:val="22"/>
        </w:rPr>
        <w:fldChar w:fldCharType="end"/>
      </w:r>
      <w:r w:rsidRPr="006D631C">
        <w:rPr>
          <w:sz w:val="22"/>
          <w:szCs w:val="22"/>
        </w:rPr>
        <w:t>. Temperature-dependent chain size for PEO having different molecular weights.</w:t>
      </w:r>
      <w:bookmarkEnd w:id="156"/>
    </w:p>
    <w:p w14:paraId="651CAE16" w14:textId="65FA80ED" w:rsidR="00D009E6" w:rsidRPr="006D631C" w:rsidRDefault="00D009E6" w:rsidP="00D009E6">
      <w:pPr>
        <w:pStyle w:val="Heading3"/>
      </w:pPr>
      <w:bookmarkStart w:id="157" w:name="_Toc148175837"/>
      <w:r w:rsidRPr="006D631C">
        <w:t>3.3.3 Thermoresponsiveness mechanism of polyLLC membrane</w:t>
      </w:r>
      <w:bookmarkEnd w:id="157"/>
      <w:r w:rsidRPr="006D631C">
        <w:t xml:space="preserve"> </w:t>
      </w:r>
    </w:p>
    <w:p w14:paraId="06CD7A64" w14:textId="3ADA3E38" w:rsidR="00594223" w:rsidRPr="006D631C" w:rsidRDefault="00466579" w:rsidP="0072669A">
      <w:pPr>
        <w:ind w:firstLine="360"/>
        <w:rPr>
          <w:rFonts w:asciiTheme="majorBidi" w:hAnsiTheme="majorBidi" w:cstheme="majorBidi"/>
        </w:rPr>
      </w:pPr>
      <w:r w:rsidRPr="006D631C">
        <w:rPr>
          <w:rFonts w:asciiTheme="majorBidi" w:hAnsiTheme="majorBidi" w:cstheme="majorBidi"/>
        </w:rPr>
        <w:t>According to the presented results, the studied polyLLC exhibits a two-step response with temperature changes. While elaboration of the response at 50 °C is relatively simple, explanation of the response at about 35 °C, which happens due to the LCST behavior of F127, is rather complicated. This observation can be attributed to the fact that the mechanism of LCST for PEO-PPO-PEO block copolymers is not fully understood in the molecular level</w:t>
      </w:r>
      <w:r w:rsidR="00966F93"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10.1016/j.jcis.2011.04.041","ISSN":"00219797","author":[{"dropping-particle":"","family":"Cha","given":"Myoung-Hwa","non-dropping-particle":"","parse-names":false,"suffix":""},{"dropping-particle":"","family":"Choi","given":"Jiyeon","non-dropping-particle":"","parse-names":false,"suffix":""},{"dropping-particle":"","family":"Choi","given":"Bo Gyu","non-dropping-particle":"","parse-names":false,"suffix":""},{"dropping-particle":"","family":"Park","given":"Kwideok","non-dropping-particle":"","parse-names":false,"suffix":""},{"dropping-particle":"","family":"Kim","given":"Ik Hwan","non-dropping-particle":"","parse-names":false,"suffix":""},{"dropping-particle":"","family":"Jeong","given":"Byeongmoon","non-dropping-particle":"","parse-names":false,"suffix":""},{"dropping-particle":"","family":"Han","given":"Dong Keun","non-dropping-particle":"","parse-names":false,"suffix":""}],"container-title":"Journal of Colloid and Interface Science","id":"ITEM-1","issue":"1","issued":{"date-parts":[["2011","8"]]},"page":"78-85","title":"Synthesis and characterization of novel thermo-responsive F68 block copolymers with cell-adhesive RGD peptide","type":"article-journal","volume":"360"},"uris":["http://www.mendeley.com/documents/?uuid=4352306d-8724-4bad-8bfa-317829c69936"]}],"mendeley":{"formattedCitation":"&lt;sup&gt;257&lt;/sup&gt;","plainTextFormattedCitation":"257","previouslyFormattedCitation":"&lt;sup&gt;257&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257</w:t>
      </w:r>
      <w:r w:rsidRPr="006D631C">
        <w:rPr>
          <w:rFonts w:asciiTheme="majorBidi" w:hAnsiTheme="majorBidi" w:cstheme="majorBidi"/>
        </w:rPr>
        <w:fldChar w:fldCharType="end"/>
      </w:r>
      <w:r w:rsidRPr="006D631C">
        <w:rPr>
          <w:rFonts w:asciiTheme="majorBidi" w:hAnsiTheme="majorBidi" w:cstheme="majorBidi"/>
        </w:rPr>
        <w:t xml:space="preserve"> Before starting the discussion regarding this behavior in LLC nanostructure, it is required to have an understanding about the LCST behavior of F127, which is observed as sol-gel transition in aqueous media</w:t>
      </w:r>
      <w:r w:rsidR="000F58B1"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{"citationItems":[{"id":"ITEM-1","itemData":{"DOI":"10.1007/s10904-019-01346-2","ISSN":"1574-1443","author":[{"dropping-particle":"","family":"Deliormanlı","given":"Aylin M.","non-dropping-particle":"","parse-names":false,"suffix":""},{"dropping-particle":"","family":"Türk","given":"Mert","non-dropping-particle":"","parse-names":false,"suffix":""}],"container-title":"Journal of Inorganic and Organometallic Polymers and Materials","id":"ITEM-1","issue":"4","issued":{"date-parts":[["2020","4","24"]]},"page":"1184-1196","title":"Flow Behavior and Drug Release Study of Injectable Pluronic F-127 Hydrogels containing Bioactive Glass and Carbon-Based Nanopowders","type":"article-journal","volume":"30"},"uris":["http://www.mendeley.com/documents/?uuid=db8185aa-edb4-4979-9217-b0d297521189"]}],"mendeley":{"formattedCitation":"&lt;sup&gt;258&lt;/sup&gt;","plainTextFormattedCitation":"258","previouslyFormattedCitation":"&lt;sup&gt;258&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258</w:t>
      </w:r>
      <w:r w:rsidRPr="006D631C">
        <w:rPr>
          <w:rFonts w:asciiTheme="majorBidi" w:hAnsiTheme="majorBidi" w:cstheme="majorBidi"/>
        </w:rPr>
        <w:fldChar w:fldCharType="end"/>
      </w:r>
      <w:r w:rsidRPr="006D631C">
        <w:rPr>
          <w:rFonts w:asciiTheme="majorBidi" w:hAnsiTheme="majorBidi" w:cstheme="majorBidi"/>
        </w:rPr>
        <w:t xml:space="preserve"> When the temperature rises to 25-37 °C, hydrophobicity of PPO block increases, which results in aggregation of PPO chains and thus formation of the core of the micelles. In addition, PEO chains </w:t>
      </w:r>
      <w:r w:rsidRPr="006D631C">
        <w:rPr>
          <w:rFonts w:asciiTheme="majorBidi" w:hAnsiTheme="majorBidi" w:cstheme="majorBidi"/>
        </w:rPr>
        <w:lastRenderedPageBreak/>
        <w:t xml:space="preserve">form a packed interconnected micelles corona, resulting in the formation of a gel. This transition can be reversed by cooling down the formed gel </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{"citationItems":[{"id":"ITEM-1","itemData":{"DOI":"10.1007/s10904-019-01346-2","ISSN":"1574-1443","author":[{"dropping-particle":"","family":"Deliormanlı","given":"Aylin M.","non-dropping-particle":"","parse-names":false,"suffix":""},{"dropping-particle":"","family":"Türk","given":"Mert","non-dropping-particle":"","parse-names":false,"suffix":""}],"container-title":"Journal of Inorganic and Organometallic Polymers and Materials","id":"ITEM-1","issue":"4","issued":{"date-parts":[["2020","4","24"]]},"page":"1184-1196","title":"Flow Behavior and Drug Release Study of Injectable Pluronic F-127 Hydrogels containing Bioactive Glass and Carbon-Based Nanopowders","type":"article-journal","volume":"30"},"uris":["http://www.mendeley.com/documents/?uuid=db8185aa-edb4-4979-9217-b0d297521189"]}],"mendeley":{"formattedCitation":"&lt;sup&gt;258&lt;/sup&gt;","plainTextFormattedCitation":"258","previouslyFormattedCitation":"&lt;sup&gt;258&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258</w:t>
      </w:r>
      <w:r w:rsidRPr="006D631C">
        <w:rPr>
          <w:rFonts w:asciiTheme="majorBidi" w:hAnsiTheme="majorBidi" w:cstheme="majorBidi"/>
        </w:rPr>
        <w:fldChar w:fldCharType="end"/>
      </w:r>
      <w:r w:rsidRPr="006D631C">
        <w:rPr>
          <w:rFonts w:asciiTheme="majorBidi" w:hAnsiTheme="majorBidi" w:cstheme="majorBidi"/>
        </w:rPr>
        <w:t xml:space="preserve">. Therefore, PPO block is mainly responsible for the LCST behavior of F127 around 25-37 °C. In the reported works on LLCs and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created by Pluronic surfactants, PPO block is suggested to be oriented towards the apolar domain </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{"citationItems":[{"id":"ITEM-1","itemData":{"DOI":"10.1021/ma00127a016","ISSN":"0024-9297","abstract":"The self-assembly of a poly(ethy1ene oxidel-block-poly(propy1ene oxide)-block-poly(ethy1ene oxide) copolymer (Pluronic L64, (E O) I ~ (P O) ~ O (E O) ~ ~) in the presence of water andp-xylene was investigated. The phase boundaries were identified using 2H NMR of heavy water (2Hz0) and inspection under polarized light. Small-angle X-ray scattering was employed to ascertain the structure of the various liquid crystalline phases formed and to determine the structural lengths involved. A rich phase behavior with normal hexagonal, lamellar, bicontinuous cubic, and reverse hexagonal liquid crystalline regions, in addition to three separate liquid phases, was observed at 25 \"C. The cubic phase was identified as having a structure associated with the Gyroid minimal surface. A very small liquid region, found between the normal hexagonal and lamellar phases on the binary water-polymer axis, is identified as a melted analogue of a bicontinuous cubic phase often present in this part of the phase diagram. The pure polymer exists at 25 \"C as a disordered melt. Structure and segregation are induced by the addition of water. p-Xylene is soluble in the polymer melt but does not induce structure when added alone. For polymer concentrations above-50%, a sequence of liquid crystalline phases is observed when the water-to-oil ratio is varied. Here we can identify the volume fraction of apolar components, given by the sum of the PPO and oil volume fractions, as the major parameter governing the phase behavior.","author":[{"dropping-particle":"","family":"Alexandridis","given":"Paschalis","non-dropping-particle":"","parse-names":false,"suffix":""},{"dropping-particle":"","family":"Olsson","given":"Ulf","non-dropping-particle":"","parse-names":false,"suffix":""},{"dropping-particle":"","family":"Lindman","given":"Bjoern","non-dropping-particle":"","parse-names":false,"suffix":""}],"container-title":"Macromolecules","id":"ITEM-1","issue":"23","issued":{"date-parts":[["1995","11"]]},"page":"7700-7710","title":"Self-Assembly of Amphiphilic Block Copolymers: The (EO)13(PO)30(EO)13-Water-p-Xylene System","type":"article-journal","volume":"28"},"uris":["http://www.mendeley.com/documents/?uuid=53841adf-ace3-4998-9fe3-1cb531b34104"]},{"id":"ITEM-2","itemData":{"DOI":"10.1016/j.memsci.2019.02.060","ISSN":"18733123","abstract":"Industrially,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Science","id":"ITEM-2","issued":{"date-parts":[["2019"]]},"page":"125-133","title":"Ultrafiltration membranes from polymerization of self-assembled Pluronic block copolymer mesophases","type":"article-journal","volume":"580"},"uris":["http://www.mendeley.com/documents/?uuid=bed9b600-bdbf-4c48-a9d1-d3c7ba3f3449"]},{"id":"ITEM-3","itemData":{"DOI":"10.1039/c9sm01565e","ISSN":"17446848","abstract":"This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Matter","id":"ITEM-3","issue":"41","issued":{"date-parts":[["2019"]]},"page":"8238-8250","title":"Polymerization in soft nanoconfinement of lamellar and reverse hexagonal mesophases","type":"article-journal","volume":"15"},"uris":["http://www.mendeley.com/documents/?uuid=5a774487-acd6-4203-928f-13a0a6b06e6b"]},{"id":"ITEM-4","itemData":{"DOI":"10.1039/D0SM00850H","ISSN":"1744-683X","abstract":"Ion gels can be produced through polymerization of lyotropic liquid crystal templates of a monomer, cross-linker, ionic liquid, and amphiphilic block copolymer. The mechanical strength of ion gels can be increased one order of magnitude without compromising the ionic conductivity.","author":[{"dropping-particle":"","family":"Bandegi","given":"Alireza","non-dropping-particle":"","parse-names":false,"suffix":""},{"dropping-particle":"","family":"Bañuelos","given":"Jose L.","non-dropping-particle":"","parse-names":false,"suffix":""},{"dropping-particle":"","family":"Foudazi","given":"Reza","non-dropping-particle":"","parse-names":false,"suffix":""}],"container-title":"Soft Matter","id":"ITEM-4","issue":"26","issued":{"date-parts":[["2020"]]},"page":"6102-6114","title":"Formation of ion gels by polymerization of block copolymer/ionic liquid/oil mesophases","type":"article-journal","volume":"16"},"uris":["http://www.mendeley.com/documents/?uuid=3c9b1002-6da8-4045-95db-af61dff5546a"]}],"mendeley":{"formattedCitation":"&lt;sup&gt;32,56,147,215&lt;/sup&gt;","plainTextFormattedCitation":"32,56,147,215","previouslyFormattedCitation":"&lt;sup&gt;32,56,147,215&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32,56,147,215</w:t>
      </w:r>
      <w:r w:rsidRPr="006D631C">
        <w:rPr>
          <w:rFonts w:asciiTheme="majorBidi" w:hAnsiTheme="majorBidi" w:cstheme="majorBidi"/>
        </w:rPr>
        <w:fldChar w:fldCharType="end"/>
      </w:r>
      <w:r w:rsidRPr="006D631C">
        <w:rPr>
          <w:rFonts w:asciiTheme="majorBidi" w:hAnsiTheme="majorBidi" w:cstheme="majorBidi"/>
        </w:rPr>
        <w:t xml:space="preserve">. It means that when the polymerization happens, PPO chains can be trapped inside the cross-linked polymer network near the interface. If the PPO block is responsible for the LCST behavior of the polyLLC studied in our work, having a dense cross-linked network can eliminate the first thermal transition observed in DSC diagrams by limiting the mobility of PPO chains. Additionally, as the LCST behavior takes place in the presence of water, the first thermal transition should not be detected via DSC when a dried polyLLC is examined. Based on these speculations, we carried out DSC on polyLLC samples containing 20, 50, 100, and 150 </w:t>
      </w:r>
      <w:proofErr w:type="spellStart"/>
      <w:r w:rsidRPr="006D631C">
        <w:rPr>
          <w:rFonts w:asciiTheme="majorBidi" w:hAnsiTheme="majorBidi" w:cstheme="majorBidi"/>
        </w:rPr>
        <w:t>wt</w:t>
      </w:r>
      <w:proofErr w:type="spellEnd"/>
      <w:r w:rsidRPr="006D631C">
        <w:rPr>
          <w:rFonts w:asciiTheme="majorBidi" w:hAnsiTheme="majorBidi" w:cstheme="majorBidi"/>
        </w:rPr>
        <w:t xml:space="preserve">% EGDMA with respect to </w:t>
      </w:r>
      <w:proofErr w:type="spellStart"/>
      <w:proofErr w:type="gramStart"/>
      <w:r w:rsidRPr="006D631C">
        <w:rPr>
          <w:rFonts w:asciiTheme="majorBidi" w:hAnsiTheme="majorBidi" w:cstheme="majorBidi"/>
          <w:i/>
          <w:iCs/>
        </w:rPr>
        <w:t>n</w:t>
      </w:r>
      <w:r w:rsidRPr="006D631C">
        <w:rPr>
          <w:rFonts w:asciiTheme="majorBidi" w:hAnsiTheme="majorBidi" w:cstheme="majorBidi"/>
        </w:rPr>
        <w:t>BA</w:t>
      </w:r>
      <w:proofErr w:type="spellEnd"/>
      <w:proofErr w:type="gramEnd"/>
      <w:r w:rsidRPr="006D631C">
        <w:rPr>
          <w:rFonts w:asciiTheme="majorBidi" w:hAnsiTheme="majorBidi" w:cstheme="majorBidi"/>
        </w:rPr>
        <w:t xml:space="preserve"> content. Furthermore, we performed DSC on a dried polyLLC containing 20 </w:t>
      </w:r>
      <w:proofErr w:type="spellStart"/>
      <w:r w:rsidRPr="006D631C">
        <w:rPr>
          <w:rFonts w:asciiTheme="majorBidi" w:hAnsiTheme="majorBidi" w:cstheme="majorBidi"/>
        </w:rPr>
        <w:t>wt</w:t>
      </w:r>
      <w:proofErr w:type="spellEnd"/>
      <w:r w:rsidRPr="006D631C">
        <w:rPr>
          <w:rFonts w:asciiTheme="majorBidi" w:hAnsiTheme="majorBidi" w:cstheme="majorBidi"/>
        </w:rPr>
        <w:t xml:space="preserve">% EGDMA with respect to </w:t>
      </w:r>
      <w:proofErr w:type="spellStart"/>
      <w:proofErr w:type="gramStart"/>
      <w:r w:rsidRPr="006D631C">
        <w:rPr>
          <w:rFonts w:asciiTheme="majorBidi" w:hAnsiTheme="majorBidi" w:cstheme="majorBidi"/>
        </w:rPr>
        <w:t>nBA</w:t>
      </w:r>
      <w:proofErr w:type="spellEnd"/>
      <w:proofErr w:type="gramEnd"/>
      <w:r w:rsidRPr="006D631C">
        <w:rPr>
          <w:rFonts w:asciiTheme="majorBidi" w:hAnsiTheme="majorBidi" w:cstheme="majorBidi"/>
        </w:rPr>
        <w:t xml:space="preserve"> content. The obtained results are shown in Fig</w:t>
      </w:r>
      <w:r w:rsidR="002F3B13" w:rsidRPr="006D631C">
        <w:rPr>
          <w:rFonts w:asciiTheme="majorBidi" w:hAnsiTheme="majorBidi" w:cstheme="majorBidi"/>
        </w:rPr>
        <w:t>ure</w:t>
      </w:r>
      <w:r w:rsidRPr="006D631C">
        <w:rPr>
          <w:rFonts w:asciiTheme="majorBidi" w:hAnsiTheme="majorBidi" w:cstheme="majorBidi"/>
        </w:rPr>
        <w:t xml:space="preserve"> </w:t>
      </w:r>
      <w:r w:rsidR="002F3B13" w:rsidRPr="006D631C">
        <w:rPr>
          <w:rFonts w:asciiTheme="majorBidi" w:hAnsiTheme="majorBidi" w:cstheme="majorBidi"/>
        </w:rPr>
        <w:t>3-</w:t>
      </w:r>
      <w:r w:rsidRPr="006D631C">
        <w:rPr>
          <w:rFonts w:asciiTheme="majorBidi" w:hAnsiTheme="majorBidi" w:cstheme="majorBidi"/>
        </w:rPr>
        <w:t xml:space="preserve">9. As can be seen, the first thermal transition becomes weaker and then almost disappears as the cross-linker content is increased (area </w:t>
      </w:r>
      <w:r w:rsidR="00A174EC" w:rsidRPr="006D631C">
        <w:rPr>
          <w:rFonts w:asciiTheme="majorBidi" w:hAnsiTheme="majorBidi" w:cstheme="majorBidi"/>
        </w:rPr>
        <w:t>under the peak decreases from ~2.4 to ~</w:t>
      </w:r>
      <w:r w:rsidRPr="006D631C">
        <w:rPr>
          <w:rFonts w:asciiTheme="majorBidi" w:hAnsiTheme="majorBidi" w:cstheme="majorBidi"/>
        </w:rPr>
        <w:t>0.5 J/g), while the second transition (PEO melting) remains intact (with an ar</w:t>
      </w:r>
      <w:r w:rsidR="00A174EC" w:rsidRPr="006D631C">
        <w:rPr>
          <w:rFonts w:asciiTheme="majorBidi" w:hAnsiTheme="majorBidi" w:cstheme="majorBidi"/>
        </w:rPr>
        <w:t>ea under the peak of ~</w:t>
      </w:r>
      <w:r w:rsidRPr="006D631C">
        <w:rPr>
          <w:rFonts w:asciiTheme="majorBidi" w:hAnsiTheme="majorBidi" w:cstheme="majorBidi"/>
        </w:rPr>
        <w:t>2.9 J/g). Moreover, there is no thermal transition around 30 °C for the dried polyLLC, whereas the transition at about 50 °C is str</w:t>
      </w:r>
      <w:r w:rsidR="00A174EC" w:rsidRPr="006D631C">
        <w:rPr>
          <w:rFonts w:asciiTheme="majorBidi" w:hAnsiTheme="majorBidi" w:cstheme="majorBidi"/>
        </w:rPr>
        <w:t>onger (area under the peak of ~</w:t>
      </w:r>
      <w:r w:rsidRPr="006D631C">
        <w:rPr>
          <w:rFonts w:asciiTheme="majorBidi" w:hAnsiTheme="majorBidi" w:cstheme="majorBidi"/>
        </w:rPr>
        <w:t>42 J/g) for this sample compared to the wet one (area under the peak of ~2.9 J/g). This stronger peak can be attributed to the higher crystallinity of PEO blocks in the absence of water as the solvent. These results confirm our hypothesis that PPO block is responsible for the LCST behavior of F127 in polyLLC nanostructure, which is in agreement with the suggested mechanism of sol-gel transition at LCST for PEO-PPO-PEO block copolymers in the literature</w:t>
      </w:r>
      <w:r w:rsidR="00330B69"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10.1016/j.jcis.2011.04.041","ISSN":"00219797","author":[{"dropping-particle":"","family":"Cha","given":"Myoung-Hwa","non-dropping-particle":"","parse-names":false,"suffix":""},{"dropping-particle":"","family":"Choi","given":"Jiyeon","non-dropping-particle":"","parse-names":false,"suffix":""},{"dropping-particle":"","family":"Choi","given":"Bo Gyu","non-dropping-particle":"","parse-names":false,"suffix":""},{"dropping-particle":"","family":"Park","given":"Kwideok","non-dropping-particle":"","parse-names":false,"suffix":""},{"dropping-particle":"","family":"Kim","given":"Ik Hwan","non-dropping-particle":"","parse-names":false,"suffix":""},{"dropping-particle":"","family":"Jeong","given":"Byeongmoon","non-dropping-particle":"","parse-names":false,"suffix":""},{"dropping-particle":"","family":"Han","given":"Dong Keun","non-dropping-particle":"","parse-names":false,"suffix":""}],"container-title":"Journal of Colloid and Interface Science","id":"ITEM-1","issue":"1","issued":{"date-parts":[["2011","8"]]},"page":"78-85","title":"Synthesis and characterization of novel thermo-responsive F68 block copolymers with cell-adhesive RGD peptide","type":"article-journal","volume":"360"},"uris":["http://www.mendeley.com/documents/?uuid=4352306d-8724-4bad-8bfa-317829c69936"]}],"mendeley":{"formattedCitation":"&lt;sup&gt;257&lt;/sup&gt;","plainTextFormattedCitation":"257","previouslyFormattedCitation":"&lt;sup&gt;257&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257</w:t>
      </w:r>
      <w:r w:rsidRPr="006D631C">
        <w:rPr>
          <w:rFonts w:asciiTheme="majorBidi" w:hAnsiTheme="majorBidi" w:cstheme="majorBidi"/>
        </w:rPr>
        <w:fldChar w:fldCharType="end"/>
      </w:r>
    </w:p>
    <w:p w14:paraId="7E112878" w14:textId="4127D964" w:rsidR="00EF74AE" w:rsidRPr="006D631C" w:rsidRDefault="002279D4" w:rsidP="00861405">
      <w:pPr>
        <w:pStyle w:val="TOC1"/>
        <w:rPr>
          <w:noProof w:val="0"/>
        </w:rPr>
      </w:pPr>
      <w:r w:rsidRPr="006D631C">
        <w:lastRenderedPageBreak/>
        <w:drawing>
          <wp:inline distT="0" distB="0" distL="0" distR="0" wp14:anchorId="3D261DCD" wp14:editId="7A521BC2">
            <wp:extent cx="3780000" cy="441246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780000" cy="4412469"/>
                    </a:xfrm>
                    <a:prstGeom prst="rect">
                      <a:avLst/>
                    </a:prstGeom>
                    <a:noFill/>
                  </pic:spPr>
                </pic:pic>
              </a:graphicData>
            </a:graphic>
          </wp:inline>
        </w:drawing>
      </w:r>
    </w:p>
    <w:p w14:paraId="32FE89D7" w14:textId="4C628985" w:rsidR="002279D4" w:rsidRPr="006D631C" w:rsidRDefault="002279D4" w:rsidP="002279D4">
      <w:pPr>
        <w:pStyle w:val="Caption"/>
        <w:jc w:val="center"/>
        <w:rPr>
          <w:sz w:val="22"/>
          <w:szCs w:val="22"/>
        </w:rPr>
      </w:pPr>
      <w:bookmarkStart w:id="158" w:name="_Toc148175944"/>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9</w:t>
      </w:r>
      <w:r w:rsidR="00B55F32" w:rsidRPr="006D631C">
        <w:rPr>
          <w:sz w:val="22"/>
          <w:szCs w:val="22"/>
        </w:rPr>
        <w:fldChar w:fldCharType="end"/>
      </w:r>
      <w:r w:rsidRPr="006D631C">
        <w:rPr>
          <w:sz w:val="22"/>
          <w:szCs w:val="22"/>
        </w:rPr>
        <w:t xml:space="preserve">. Results of DSC measurement for (a) </w:t>
      </w:r>
      <w:proofErr w:type="spellStart"/>
      <w:r w:rsidRPr="006D631C">
        <w:rPr>
          <w:sz w:val="22"/>
          <w:szCs w:val="22"/>
        </w:rPr>
        <w:t>polyLLCs</w:t>
      </w:r>
      <w:proofErr w:type="spellEnd"/>
      <w:r w:rsidRPr="006D631C">
        <w:rPr>
          <w:sz w:val="22"/>
          <w:szCs w:val="22"/>
        </w:rPr>
        <w:t xml:space="preserve"> containing different cross-linker contents and (b) wet and dried polyLLC containing 20 </w:t>
      </w:r>
      <w:proofErr w:type="spellStart"/>
      <w:r w:rsidRPr="006D631C">
        <w:rPr>
          <w:sz w:val="22"/>
          <w:szCs w:val="22"/>
        </w:rPr>
        <w:t>wt</w:t>
      </w:r>
      <w:proofErr w:type="spellEnd"/>
      <w:r w:rsidRPr="006D631C">
        <w:rPr>
          <w:sz w:val="22"/>
          <w:szCs w:val="22"/>
        </w:rPr>
        <w:t xml:space="preserve">% cross-linker with respect to </w:t>
      </w:r>
      <w:proofErr w:type="spellStart"/>
      <w:proofErr w:type="gramStart"/>
      <w:r w:rsidRPr="006D631C">
        <w:rPr>
          <w:sz w:val="22"/>
          <w:szCs w:val="22"/>
        </w:rPr>
        <w:t>nBA</w:t>
      </w:r>
      <w:proofErr w:type="spellEnd"/>
      <w:proofErr w:type="gramEnd"/>
      <w:r w:rsidRPr="006D631C">
        <w:rPr>
          <w:sz w:val="22"/>
          <w:szCs w:val="22"/>
        </w:rPr>
        <w:t xml:space="preserve"> content.</w:t>
      </w:r>
      <w:bookmarkEnd w:id="158"/>
    </w:p>
    <w:p w14:paraId="4B759581" w14:textId="64726D75" w:rsidR="00863AE0" w:rsidRPr="006D631C" w:rsidRDefault="00863AE0" w:rsidP="007D1C07">
      <w:pPr>
        <w:ind w:firstLine="360"/>
        <w:rPr>
          <w:rFonts w:asciiTheme="majorBidi" w:hAnsiTheme="majorBidi" w:cstheme="majorBidi"/>
        </w:rPr>
      </w:pPr>
      <w:bookmarkStart w:id="159" w:name="_Hlk113562166"/>
      <w:r w:rsidRPr="006D631C">
        <w:rPr>
          <w:rFonts w:asciiTheme="majorBidi" w:hAnsiTheme="majorBidi" w:cstheme="majorBidi"/>
        </w:rPr>
        <w:t>Change in the overall structure of the polyLLC (e.g., order-disorder transitions) can be another reason of having thermoresponsiveness. To examine this hypothesis, CPLM and SAXS analysis were performed on the polyLLC at 25, 35 and 50 °C. The obta</w:t>
      </w:r>
      <w:r w:rsidR="00CD334E" w:rsidRPr="006D631C">
        <w:rPr>
          <w:rFonts w:asciiTheme="majorBidi" w:hAnsiTheme="majorBidi" w:cstheme="majorBidi"/>
        </w:rPr>
        <w:t xml:space="preserve">ined results (shown in Figure </w:t>
      </w:r>
      <w:r w:rsidR="007D1C07" w:rsidRPr="006D631C">
        <w:rPr>
          <w:rFonts w:asciiTheme="majorBidi" w:hAnsiTheme="majorBidi" w:cstheme="majorBidi"/>
        </w:rPr>
        <w:t>D3</w:t>
      </w:r>
      <w:r w:rsidRPr="006D631C">
        <w:rPr>
          <w:rFonts w:asciiTheme="majorBidi" w:hAnsiTheme="majorBidi" w:cstheme="majorBidi"/>
        </w:rPr>
        <w:t xml:space="preserve">) reveal that the overall lamellar structure of the polyLLC remains intact when the temperature is increased, suggesting that the stimuli-responsiveness is not due to the mesoscale structural transitions but is rather because of change in molecular conformations. In other words, while the periodicity of lamellar structure remains the same upon increase in temperature, F127 at the interface of hydrophobic and water domains undergoes conformational and crystallization </w:t>
      </w:r>
      <w:r w:rsidRPr="006D631C">
        <w:rPr>
          <w:rFonts w:asciiTheme="majorBidi" w:hAnsiTheme="majorBidi" w:cstheme="majorBidi"/>
        </w:rPr>
        <w:lastRenderedPageBreak/>
        <w:t xml:space="preserve">transitions. Similar observations have also been reported for the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swollen by water in which the SAXS and CPLM analysis show that the overall structure does not change while the molecular conformation does due to the swelling</w:t>
      </w:r>
      <w:r w:rsidR="001C1D95" w:rsidRPr="006D631C">
        <w:rPr>
          <w:rFonts w:asciiTheme="majorBidi" w:hAnsiTheme="majorBidi" w:cstheme="majorBidi"/>
        </w:rPr>
        <w:t>.</w:t>
      </w:r>
      <w:r w:rsidRPr="006D631C">
        <w:rPr>
          <w:rFonts w:asciiTheme="majorBidi" w:hAnsiTheme="majorBidi" w:cstheme="majorBidi"/>
        </w:rPr>
        <w:fldChar w:fldCharType="begin" w:fldLock="1"/>
      </w:r>
      <w:r w:rsidR="00984136"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rFonts w:asciiTheme="majorBidi" w:hAnsiTheme="majorBidi" w:cstheme="majorBidi"/>
        </w:rPr>
        <w:fldChar w:fldCharType="separate"/>
      </w:r>
      <w:r w:rsidR="001C1D95" w:rsidRPr="006D631C">
        <w:rPr>
          <w:rFonts w:asciiTheme="majorBidi" w:hAnsiTheme="majorBidi" w:cstheme="majorBidi"/>
          <w:noProof/>
          <w:vertAlign w:val="superscript"/>
        </w:rPr>
        <w:t>31</w:t>
      </w:r>
      <w:r w:rsidRPr="006D631C">
        <w:rPr>
          <w:rFonts w:asciiTheme="majorBidi" w:hAnsiTheme="majorBidi" w:cstheme="majorBidi"/>
        </w:rPr>
        <w:fldChar w:fldCharType="end"/>
      </w:r>
      <w:bookmarkEnd w:id="159"/>
      <w:r w:rsidRPr="006D631C">
        <w:rPr>
          <w:rFonts w:asciiTheme="majorBidi" w:hAnsiTheme="majorBidi" w:cstheme="majorBidi"/>
        </w:rPr>
        <w:t xml:space="preserve">               </w:t>
      </w:r>
    </w:p>
    <w:p w14:paraId="30CB99EF" w14:textId="3B35D5DC" w:rsidR="002279D4" w:rsidRPr="006D631C" w:rsidRDefault="00863AE0" w:rsidP="002B5DFD">
      <w:pPr>
        <w:ind w:firstLine="360"/>
        <w:rPr>
          <w:rFonts w:asciiTheme="majorBidi" w:hAnsiTheme="majorBidi" w:cstheme="majorBidi"/>
        </w:rPr>
      </w:pPr>
      <w:r w:rsidRPr="006D631C">
        <w:rPr>
          <w:rFonts w:asciiTheme="majorBidi" w:hAnsiTheme="majorBidi" w:cstheme="majorBidi"/>
        </w:rPr>
        <w:t>According to the obtained results, the following thermoresponsiveness mechanism of the polyLLC membrane can be suggested. A mesophase with lamellar structure is obtained via mixing F127, water, and polymerizable oil phase. The PPO blocks arrange themselves towards the apolar domain and at apolar/polar domains interface (due to the partial hydrophilicity), while PEO blocks have a semi-crystalline structure in the water channels. The polymerization results in a cross-linked poly(</w:t>
      </w:r>
      <w:proofErr w:type="spellStart"/>
      <w:r w:rsidRPr="006D631C">
        <w:rPr>
          <w:rFonts w:asciiTheme="majorBidi" w:hAnsiTheme="majorBidi" w:cstheme="majorBidi"/>
        </w:rPr>
        <w:t>nBA</w:t>
      </w:r>
      <w:proofErr w:type="spellEnd"/>
      <w:r w:rsidRPr="006D631C">
        <w:rPr>
          <w:rFonts w:asciiTheme="majorBidi" w:hAnsiTheme="majorBidi" w:cstheme="majorBidi"/>
        </w:rPr>
        <w:t>-co-EGDMA) network which holds PPO blocks at the interface of the polymer phase, thus, fixing F127 molecules in their position (negligible chance of their removal by water). With an increase in the temperature to 35 °C, PPO blocks start to rearrange themselves in a way to minimize their contact with water at the interface, resulting in dragging PEO blocks towards the water/polymer interface. Consequently, the membrane pore size increases. Further increasing the temperature to 50 °C melts down the crystalline structure of PEO block.</w:t>
      </w:r>
      <w:r w:rsidR="00A15CA5" w:rsidRPr="006D631C">
        <w:rPr>
          <w:rFonts w:asciiTheme="majorBidi" w:hAnsiTheme="majorBidi" w:cstheme="majorBidi"/>
        </w:rPr>
        <w:t xml:space="preserve"> Melting the crystalline region</w:t>
      </w:r>
      <w:r w:rsidR="009D1CC7" w:rsidRPr="006D631C">
        <w:rPr>
          <w:rFonts w:asciiTheme="majorBidi" w:hAnsiTheme="majorBidi" w:cstheme="majorBidi"/>
        </w:rPr>
        <w:t>s</w:t>
      </w:r>
      <w:r w:rsidR="00A15CA5" w:rsidRPr="006D631C">
        <w:rPr>
          <w:rFonts w:asciiTheme="majorBidi" w:hAnsiTheme="majorBidi" w:cstheme="majorBidi"/>
        </w:rPr>
        <w:t xml:space="preserve"> can result in an increase in the volume of the freed PEO chains and thus decline in the membrane pore size.</w:t>
      </w:r>
      <w:r w:rsidRPr="006D631C">
        <w:rPr>
          <w:rFonts w:asciiTheme="majorBidi" w:hAnsiTheme="majorBidi" w:cstheme="majorBidi"/>
        </w:rPr>
        <w:t xml:space="preserve"> </w:t>
      </w:r>
      <w:r w:rsidR="00A15CA5" w:rsidRPr="006D631C">
        <w:rPr>
          <w:rFonts w:asciiTheme="majorBidi" w:hAnsiTheme="majorBidi" w:cstheme="majorBidi"/>
        </w:rPr>
        <w:t xml:space="preserve">However, in the presence of water, </w:t>
      </w:r>
      <w:r w:rsidR="00041EB7" w:rsidRPr="006D631C">
        <w:rPr>
          <w:rFonts w:asciiTheme="majorBidi" w:hAnsiTheme="majorBidi" w:cstheme="majorBidi"/>
        </w:rPr>
        <w:t xml:space="preserve">the released PEO chains tend to </w:t>
      </w:r>
      <w:r w:rsidR="002B5DFD" w:rsidRPr="006D631C">
        <w:rPr>
          <w:rFonts w:asciiTheme="majorBidi" w:hAnsiTheme="majorBidi" w:cstheme="majorBidi"/>
        </w:rPr>
        <w:t>adsorb</w:t>
      </w:r>
      <w:r w:rsidR="00041EB7" w:rsidRPr="006D631C">
        <w:rPr>
          <w:rFonts w:asciiTheme="majorBidi" w:hAnsiTheme="majorBidi" w:cstheme="majorBidi"/>
        </w:rPr>
        <w:t xml:space="preserve"> to</w:t>
      </w:r>
      <w:r w:rsidR="002B5DFD" w:rsidRPr="006D631C">
        <w:rPr>
          <w:rFonts w:asciiTheme="majorBidi" w:hAnsiTheme="majorBidi" w:cstheme="majorBidi"/>
        </w:rPr>
        <w:t xml:space="preserve"> the water/polymer interface </w:t>
      </w:r>
      <w:r w:rsidR="00041EB7" w:rsidRPr="006D631C">
        <w:rPr>
          <w:rFonts w:asciiTheme="majorBidi" w:hAnsiTheme="majorBidi" w:cstheme="majorBidi"/>
        </w:rPr>
        <w:t>to minimize interfacial tension</w:t>
      </w:r>
      <w:r w:rsidR="00EF1E6B" w:rsidRPr="006D631C">
        <w:rPr>
          <w:rFonts w:asciiTheme="majorBidi" w:hAnsiTheme="majorBidi" w:cstheme="majorBidi"/>
        </w:rPr>
        <w:t xml:space="preserve"> and </w:t>
      </w:r>
      <w:r w:rsidRPr="006D631C">
        <w:rPr>
          <w:rFonts w:asciiTheme="majorBidi" w:hAnsiTheme="majorBidi" w:cstheme="majorBidi"/>
        </w:rPr>
        <w:t>get a conformation similar to the already free PEO chains, resulting in further increase in the pore size of the membrane. All of these transitions are reversible upon cooling the system to the room temperature. The explained mechanis</w:t>
      </w:r>
      <w:r w:rsidR="00F71E17" w:rsidRPr="006D631C">
        <w:rPr>
          <w:rFonts w:asciiTheme="majorBidi" w:hAnsiTheme="majorBidi" w:cstheme="majorBidi"/>
        </w:rPr>
        <w:t>m is schematically shown in Figure</w:t>
      </w:r>
      <w:r w:rsidRPr="006D631C">
        <w:rPr>
          <w:rFonts w:asciiTheme="majorBidi" w:hAnsiTheme="majorBidi" w:cstheme="majorBidi"/>
        </w:rPr>
        <w:t xml:space="preserve"> </w:t>
      </w:r>
      <w:r w:rsidR="00F71E17" w:rsidRPr="006D631C">
        <w:rPr>
          <w:rFonts w:asciiTheme="majorBidi" w:hAnsiTheme="majorBidi" w:cstheme="majorBidi"/>
        </w:rPr>
        <w:t>3-</w:t>
      </w:r>
      <w:r w:rsidRPr="006D631C">
        <w:rPr>
          <w:rFonts w:asciiTheme="majorBidi" w:hAnsiTheme="majorBidi" w:cstheme="majorBidi"/>
        </w:rPr>
        <w:t>10.</w:t>
      </w:r>
    </w:p>
    <w:p w14:paraId="479A8592" w14:textId="4820110C" w:rsidR="00A65510" w:rsidRPr="006D631C" w:rsidRDefault="00A65510" w:rsidP="00861405">
      <w:pPr>
        <w:pStyle w:val="TOC1"/>
        <w:rPr>
          <w:noProof w:val="0"/>
        </w:rPr>
      </w:pPr>
      <w:r w:rsidRPr="006D631C">
        <w:lastRenderedPageBreak/>
        <w:drawing>
          <wp:inline distT="0" distB="0" distL="0" distR="0" wp14:anchorId="0F2E54DC" wp14:editId="407CFAAC">
            <wp:extent cx="5943600" cy="3842404"/>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r="1179"/>
                    <a:stretch/>
                  </pic:blipFill>
                  <pic:spPr bwMode="auto">
                    <a:xfrm>
                      <a:off x="0" y="0"/>
                      <a:ext cx="5943600" cy="3842404"/>
                    </a:xfrm>
                    <a:prstGeom prst="rect">
                      <a:avLst/>
                    </a:prstGeom>
                    <a:noFill/>
                    <a:ln>
                      <a:noFill/>
                    </a:ln>
                    <a:extLst>
                      <a:ext uri="{53640926-AAD7-44D8-BBD7-CCE9431645EC}">
                        <a14:shadowObscured xmlns:a14="http://schemas.microsoft.com/office/drawing/2010/main"/>
                      </a:ext>
                    </a:extLst>
                  </pic:spPr>
                </pic:pic>
              </a:graphicData>
            </a:graphic>
          </wp:inline>
        </w:drawing>
      </w:r>
    </w:p>
    <w:p w14:paraId="22B70D6B" w14:textId="0509E0A0" w:rsidR="00A65510" w:rsidRPr="006D631C" w:rsidRDefault="00A65510" w:rsidP="00A65510">
      <w:pPr>
        <w:pStyle w:val="Caption"/>
        <w:jc w:val="center"/>
        <w:rPr>
          <w:sz w:val="22"/>
          <w:szCs w:val="22"/>
        </w:rPr>
      </w:pPr>
      <w:bookmarkStart w:id="160" w:name="_Toc148175945"/>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3</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10</w:t>
      </w:r>
      <w:r w:rsidR="00B55F32" w:rsidRPr="006D631C">
        <w:rPr>
          <w:sz w:val="22"/>
          <w:szCs w:val="22"/>
        </w:rPr>
        <w:fldChar w:fldCharType="end"/>
      </w:r>
      <w:r w:rsidRPr="006D631C">
        <w:rPr>
          <w:sz w:val="22"/>
          <w:szCs w:val="22"/>
        </w:rPr>
        <w:t>. Formation and thermoresponsiveness mechanism of polyLLC membrane.</w:t>
      </w:r>
      <w:bookmarkEnd w:id="160"/>
    </w:p>
    <w:p w14:paraId="420AB4C0" w14:textId="391AE30D" w:rsidR="00C80A70" w:rsidRPr="006D631C" w:rsidRDefault="00C80A70" w:rsidP="001665B5">
      <w:pPr>
        <w:pStyle w:val="Heading2"/>
      </w:pPr>
      <w:bookmarkStart w:id="161" w:name="_Toc148175838"/>
      <w:r w:rsidRPr="006D631C">
        <w:t>3.4 Conclusion</w:t>
      </w:r>
      <w:bookmarkEnd w:id="161"/>
    </w:p>
    <w:p w14:paraId="2FC4F7FA" w14:textId="6D8D7FE9" w:rsidR="00C80A70" w:rsidRPr="006D631C" w:rsidRDefault="00C80A70" w:rsidP="00C32135">
      <w:pPr>
        <w:ind w:firstLine="360"/>
      </w:pPr>
      <w:r w:rsidRPr="006D631C">
        <w:rPr>
          <w:rFonts w:asciiTheme="majorBidi" w:hAnsiTheme="majorBidi" w:cstheme="majorBidi"/>
        </w:rPr>
        <w:t xml:space="preserve">In this study, we reported a simple approach to fabricate two-step thermoresponsive UF membranes by polymerization of LLCs. Commercially available F127 with thermoresponsive property was used as an </w:t>
      </w:r>
      <w:proofErr w:type="spellStart"/>
      <w:r w:rsidRPr="006D631C">
        <w:rPr>
          <w:rFonts w:asciiTheme="majorBidi" w:hAnsiTheme="majorBidi" w:cstheme="majorBidi"/>
        </w:rPr>
        <w:t>amphiphile</w:t>
      </w:r>
      <w:proofErr w:type="spellEnd"/>
      <w:r w:rsidRPr="006D631C">
        <w:rPr>
          <w:rFonts w:asciiTheme="majorBidi" w:hAnsiTheme="majorBidi" w:cstheme="majorBidi"/>
        </w:rPr>
        <w:t xml:space="preserve"> to create lamellar structure in combination with water and hydrophobic monomers. After the polymerization, the formed cross-linked network fixed F127 molecules in their positions, preventing their removal by water. Hydration capacity, permeability, fouling resistance, cleaning efficiency, and MWCO of the fabricated membrane was evaluated. The experimental results revealed that the membrane exhibits two-step thermoresponsiveness at 35 °C due to the LCST of F127 and 50 °C thanks to the melting of PEO crystalline structure. Moreover, the MWCO measurements showed that the pore size of the membrane can be altered from 34.6 nm to 45.7 and 59.6 nm by increasing the temperature to 35 and 50 °C, respectively. </w:t>
      </w:r>
      <w:r w:rsidRPr="006D631C">
        <w:rPr>
          <w:rFonts w:asciiTheme="majorBidi" w:hAnsiTheme="majorBidi" w:cstheme="majorBidi"/>
        </w:rPr>
        <w:lastRenderedPageBreak/>
        <w:t xml:space="preserve">The cleaning efficiency and thus lifetime of the membrane can be enhanced by cleaning the contaminated membrane at high temperatures due to the porosity change in response to the temperature. </w:t>
      </w:r>
    </w:p>
    <w:p w14:paraId="113ADDD7" w14:textId="77777777" w:rsidR="00A65510" w:rsidRPr="006D631C" w:rsidRDefault="00A65510" w:rsidP="00A65510"/>
    <w:p w14:paraId="319BF5AE" w14:textId="2ACB4A69" w:rsidR="00A9517A" w:rsidRPr="006D631C" w:rsidRDefault="00A9517A" w:rsidP="002A3219">
      <w:pPr>
        <w:ind w:firstLine="360"/>
      </w:pPr>
    </w:p>
    <w:p w14:paraId="53F26CE5" w14:textId="0CAF3CA0" w:rsidR="00835FE2" w:rsidRPr="006D631C" w:rsidRDefault="00835FE2" w:rsidP="00861405">
      <w:pPr>
        <w:pStyle w:val="TOC1"/>
      </w:pPr>
    </w:p>
    <w:p w14:paraId="39B5710F" w14:textId="4099F773" w:rsidR="00835FE2" w:rsidRPr="006D631C" w:rsidRDefault="00835FE2" w:rsidP="00835FE2"/>
    <w:p w14:paraId="6DB6C05B" w14:textId="6D4072D0" w:rsidR="00835FE2" w:rsidRPr="006D631C" w:rsidRDefault="00835FE2" w:rsidP="00861405">
      <w:pPr>
        <w:pStyle w:val="TOC1"/>
      </w:pPr>
    </w:p>
    <w:p w14:paraId="5C8185E1" w14:textId="20FF874F" w:rsidR="00835FE2" w:rsidRPr="006D631C" w:rsidRDefault="00835FE2" w:rsidP="00835FE2"/>
    <w:p w14:paraId="05F6AD02" w14:textId="17E1CA00" w:rsidR="00835FE2" w:rsidRPr="006D631C" w:rsidRDefault="00835FE2" w:rsidP="00861405">
      <w:pPr>
        <w:pStyle w:val="TOC1"/>
      </w:pPr>
    </w:p>
    <w:p w14:paraId="4C0F0D62" w14:textId="326C826C" w:rsidR="00835FE2" w:rsidRPr="006D631C" w:rsidRDefault="00835FE2" w:rsidP="00835FE2"/>
    <w:p w14:paraId="07D446C0" w14:textId="0105A0CB" w:rsidR="00835FE2" w:rsidRPr="006D631C" w:rsidRDefault="00835FE2" w:rsidP="00861405">
      <w:pPr>
        <w:pStyle w:val="TOC1"/>
      </w:pPr>
    </w:p>
    <w:p w14:paraId="4FF6382E" w14:textId="736F1F74" w:rsidR="00835FE2" w:rsidRPr="006D631C" w:rsidRDefault="00835FE2" w:rsidP="00835FE2"/>
    <w:p w14:paraId="091697A2" w14:textId="79BC236A" w:rsidR="00835FE2" w:rsidRPr="006D631C" w:rsidRDefault="00835FE2" w:rsidP="00861405">
      <w:pPr>
        <w:pStyle w:val="TOC1"/>
      </w:pPr>
    </w:p>
    <w:p w14:paraId="41A78EC6" w14:textId="3202FD5F" w:rsidR="00835FE2" w:rsidRPr="006D631C" w:rsidRDefault="00835FE2" w:rsidP="00835FE2"/>
    <w:p w14:paraId="37BEF59C" w14:textId="3017BDFE" w:rsidR="00835FE2" w:rsidRPr="006D631C" w:rsidRDefault="00835FE2" w:rsidP="00861405">
      <w:pPr>
        <w:pStyle w:val="TOC1"/>
      </w:pPr>
    </w:p>
    <w:p w14:paraId="19E08A93" w14:textId="4616A15D" w:rsidR="00835FE2" w:rsidRPr="006D631C" w:rsidRDefault="00835FE2" w:rsidP="00835FE2"/>
    <w:p w14:paraId="6D395442" w14:textId="6AF87C6F" w:rsidR="00835FE2" w:rsidRPr="006D631C" w:rsidRDefault="00835FE2" w:rsidP="00861405">
      <w:pPr>
        <w:pStyle w:val="TOC1"/>
      </w:pPr>
    </w:p>
    <w:p w14:paraId="59CA96FF" w14:textId="3C9480D0" w:rsidR="00835FE2" w:rsidRPr="006D631C" w:rsidRDefault="00835FE2" w:rsidP="00835FE2"/>
    <w:p w14:paraId="281E8E78" w14:textId="04ACCFBB" w:rsidR="00835FE2" w:rsidRPr="006D631C" w:rsidRDefault="00835FE2" w:rsidP="00861405">
      <w:pPr>
        <w:pStyle w:val="TOC1"/>
      </w:pPr>
    </w:p>
    <w:p w14:paraId="74A9FD91" w14:textId="69E44D9E" w:rsidR="00835FE2" w:rsidRPr="006D631C" w:rsidRDefault="00835FE2" w:rsidP="00835FE2"/>
    <w:p w14:paraId="7682863B" w14:textId="6D37157F" w:rsidR="00835FE2" w:rsidRPr="006D631C" w:rsidRDefault="00835FE2" w:rsidP="00861405">
      <w:pPr>
        <w:pStyle w:val="TOC1"/>
      </w:pPr>
    </w:p>
    <w:p w14:paraId="7540A331" w14:textId="60B6478D" w:rsidR="00835FE2" w:rsidRPr="006D631C" w:rsidRDefault="00835FE2" w:rsidP="00835FE2"/>
    <w:p w14:paraId="4BE3CA2F" w14:textId="1F4A1042" w:rsidR="00835FE2" w:rsidRPr="006D631C" w:rsidRDefault="00835FE2" w:rsidP="00861405">
      <w:pPr>
        <w:pStyle w:val="TOC1"/>
      </w:pPr>
    </w:p>
    <w:p w14:paraId="775E6AD2" w14:textId="51813AEE" w:rsidR="00835FE2" w:rsidRPr="006D631C" w:rsidRDefault="00835FE2" w:rsidP="00835FE2"/>
    <w:p w14:paraId="476C0314" w14:textId="70441A9C" w:rsidR="00835FE2" w:rsidRPr="006D631C" w:rsidRDefault="00835FE2" w:rsidP="00200DD0">
      <w:pPr>
        <w:pStyle w:val="Heading1"/>
        <w:jc w:val="center"/>
      </w:pPr>
      <w:bookmarkStart w:id="162" w:name="_Toc148175839"/>
      <w:r w:rsidRPr="006D631C">
        <w:lastRenderedPageBreak/>
        <w:t xml:space="preserve">THERMORESPONSIVE </w:t>
      </w:r>
      <w:r w:rsidR="00200DD0" w:rsidRPr="006D631C">
        <w:t xml:space="preserve">ANTIFOULING </w:t>
      </w:r>
      <w:r w:rsidRPr="006D631C">
        <w:t>ULTRAFILTRATION MEMBRANE</w:t>
      </w:r>
      <w:r w:rsidR="00200DD0" w:rsidRPr="006D631C">
        <w:t>S</w:t>
      </w:r>
      <w:r w:rsidRPr="006D631C">
        <w:t xml:space="preserve"> FROM </w:t>
      </w:r>
      <w:r w:rsidR="00200DD0" w:rsidRPr="006D631C">
        <w:t>MESOPHASE TEMPLATING</w:t>
      </w:r>
      <w:r w:rsidR="00DA1F44" w:rsidRPr="006D631C">
        <w:rPr>
          <w:rStyle w:val="FootnoteReference"/>
        </w:rPr>
        <w:footnoteReference w:id="5"/>
      </w:r>
      <w:bookmarkEnd w:id="162"/>
    </w:p>
    <w:p w14:paraId="15BEFC19" w14:textId="77777777" w:rsidR="00835FE2" w:rsidRPr="006D631C" w:rsidRDefault="00835FE2" w:rsidP="00835FE2"/>
    <w:p w14:paraId="5AD9F8C9" w14:textId="1D57DF33" w:rsidR="00835FE2" w:rsidRPr="006D631C" w:rsidRDefault="001A772B" w:rsidP="00C50353">
      <w:pPr>
        <w:pStyle w:val="Heading2"/>
      </w:pPr>
      <w:bookmarkStart w:id="163" w:name="_Toc148175840"/>
      <w:r w:rsidRPr="006D631C">
        <w:t>4</w:t>
      </w:r>
      <w:r w:rsidR="00835FE2" w:rsidRPr="006D631C">
        <w:t>.1 Introduction</w:t>
      </w:r>
      <w:bookmarkEnd w:id="163"/>
    </w:p>
    <w:p w14:paraId="1A53A36C" w14:textId="0E855E52" w:rsidR="000F7D11" w:rsidRPr="006D631C" w:rsidRDefault="000F7D11" w:rsidP="00591535">
      <w:pPr>
        <w:pStyle w:val="TAMainText"/>
        <w:ind w:firstLine="357"/>
        <w:rPr>
          <w:color w:val="020202"/>
          <w:szCs w:val="24"/>
        </w:rPr>
      </w:pPr>
      <w:r w:rsidRPr="006D631C">
        <w:rPr>
          <w:color w:val="020202"/>
          <w:szCs w:val="24"/>
        </w:rPr>
        <w:t xml:space="preserve">Membrane separation, which can be considered as </w:t>
      </w:r>
      <w:r w:rsidR="00B36130" w:rsidRPr="006D631C">
        <w:rPr>
          <w:color w:val="020202"/>
          <w:szCs w:val="24"/>
        </w:rPr>
        <w:t>an</w:t>
      </w:r>
      <w:r w:rsidRPr="006D631C">
        <w:rPr>
          <w:color w:val="020202"/>
          <w:szCs w:val="24"/>
        </w:rPr>
        <w:t xml:space="preserve"> energy-efficient and adoptable technique, is currently employed in a variety applications; e.g., treatment of different water resources,</w:t>
      </w:r>
      <w:r w:rsidRPr="006D631C">
        <w:rPr>
          <w:color w:val="020202"/>
          <w:szCs w:val="24"/>
        </w:rPr>
        <w:fldChar w:fldCharType="begin" w:fldLock="1"/>
      </w:r>
      <w:r w:rsidR="002D48C8" w:rsidRPr="006D631C">
        <w:rPr>
          <w:color w:val="020202"/>
          <w:szCs w:val="24"/>
        </w:rPr>
        <w:instrText>ADDIN CSL_CITATION {"citationItems":[{"id":"ITEM-1","itemData":{"DOI":"10.1038/natrevmats.2016.18","ISSN":"2058-8437","abstract":"Membrane-based separations for water purification and desalination have been increasingly applied to address the global challenges of water scarcity and the pollution of aquatic environments. However, progress in water purification membranes has been constrained by the inherent limitations of conventional membrane materials. Recent advances in methods for controlling the structure and chemical functionality in polymer films can potentially lead to new classes of membranes for water purification. In this Review, we first discuss the state of the art of existing membrane technologies for water purification and desalination, highlight their inherent limitations and establish the urgent requirements for next-generation membranes. We then describe molecular-level design approaches towards fabricating highly selective membranes, focusing on novel materials such as aquaporin, synthetic nanochannels, graphene and self-assembled block copolymers and small molecules. Finally, we highlight promising membrane surface modification approaches that minimize interfacial interactions and enhance fouling resistance.","author":[{"dropping-particle":"","family":"Werber","given":"Jay R.","non-dropping-particle":"","parse-names":false,"suffix":""},{"dropping-particle":"","family":"Osuji","given":"Chinedum O.","non-dropping-particle":"","parse-names":false,"suffix":""},{"dropping-particle":"","family":"Elimelech","given":"Menachem","non-dropping-particle":"","parse-names":false,"suffix":""}],"container-title":"Nature Reviews Materials","id":"ITEM-1","issue":"5","issued":{"date-parts":[["2016","5","5"]]},"page":"16018","title":"Materials for next-generation desalination and water purification membranes","type":"article-journal","volume":"1"},"uris":["http://www.mendeley.com/documents/?uuid=b49e3af6-02cf-439a-9ef2-9d16fc16993b"]}],"mendeley":{"formattedCitation":"&lt;sup&gt;4&lt;/sup&gt;","plainTextFormattedCitation":"4","previouslyFormattedCitation":"&lt;sup&gt;4&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4</w:t>
      </w:r>
      <w:r w:rsidRPr="006D631C">
        <w:rPr>
          <w:color w:val="020202"/>
          <w:szCs w:val="24"/>
        </w:rPr>
        <w:fldChar w:fldCharType="end"/>
      </w:r>
      <w:r w:rsidRPr="006D631C">
        <w:rPr>
          <w:color w:val="020202"/>
          <w:szCs w:val="24"/>
        </w:rPr>
        <w:t xml:space="preserve"> protein purification,</w:t>
      </w:r>
      <w:r w:rsidRPr="006D631C">
        <w:rPr>
          <w:color w:val="020202"/>
          <w:szCs w:val="24"/>
        </w:rPr>
        <w:fldChar w:fldCharType="begin" w:fldLock="1"/>
      </w:r>
      <w:r w:rsidR="00E95125" w:rsidRPr="006D631C">
        <w:rPr>
          <w:color w:val="020202"/>
          <w:szCs w:val="24"/>
        </w:rPr>
        <w:instrText>ADDIN CSL_CITATION {"citationItems":[{"id":"ITEM-1","itemData":{"DOI":"10.1016/j.cis.2008.07.004","ISSN":"00018686","author":[{"dropping-particle":"","family":"Saxena","given":"Arunima","non-dropping-particle":"","parse-names":false,"suffix":""},{"dropping-particle":"","family":"Tripathi","given":"Bijay P.","non-dropping-particle":"","parse-names":false,"suffix":""},{"dropping-particle":"","family":"Kumar","given":"Mahendra","non-dropping-particle":"","parse-names":false,"suffix":""},{"dropping-particle":"","family":"Shahi","given":"Vinod K.","non-dropping-particle":"","parse-names":false,"suffix":""}],"container-title":"Advances in Colloid and Interface Science","id":"ITEM-1","issue":"1-2","issued":{"date-parts":[["2009","1"]]},"page":"1-22","title":"Membrane-based techniques for the separation and purification of proteins: An overview","type":"article-journal","volume":"145"},"uris":["http://www.mendeley.com/documents/?uuid=defe364e-4d9f-4828-bd55-389a3c241e12"]}],"mendeley":{"formattedCitation":"&lt;sup&gt;259&lt;/sup&gt;","plainTextFormattedCitation":"259","previouslyFormattedCitation":"&lt;sup&gt;259&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259</w:t>
      </w:r>
      <w:r w:rsidRPr="006D631C">
        <w:rPr>
          <w:color w:val="020202"/>
          <w:szCs w:val="24"/>
        </w:rPr>
        <w:fldChar w:fldCharType="end"/>
      </w:r>
      <w:r w:rsidRPr="006D631C">
        <w:rPr>
          <w:color w:val="020202"/>
          <w:szCs w:val="24"/>
        </w:rPr>
        <w:t xml:space="preserve"> vaccine filtration,</w:t>
      </w:r>
      <w:r w:rsidRPr="006D631C">
        <w:rPr>
          <w:color w:val="020202"/>
          <w:szCs w:val="24"/>
        </w:rPr>
        <w:fldChar w:fldCharType="begin" w:fldLock="1"/>
      </w:r>
      <w:r w:rsidR="00E95125" w:rsidRPr="006D631C">
        <w:rPr>
          <w:color w:val="020202"/>
          <w:szCs w:val="24"/>
        </w:rPr>
        <w:instrText>ADDIN CSL_CITATION {"citationItems":[{"id":"ITEM-1","itemData":{"DOI":"10.1016/j.memsci.2020.118797","ISSN":"03767388","author":[{"dropping-particle":"","family":"Fallahianbijan","given":"Fatemeh","non-dropping-particle":"","parse-names":false,"suffix":""},{"dropping-particle":"","family":"Emami","given":"Parinaz","non-dropping-particle":"","parse-names":false,"suffix":""},{"dropping-particle":"","family":"Hillsley","given":"Jordan M.","non-dropping-particle":"","parse-names":false,"suffix":""},{"dropping-particle":"","family":"Motevalian","given":"Seyed Pouria","non-dropping-particle":"","parse-names":false,"suffix":""},{"dropping-particle":"","family":"Conde","given":"Brenda Carrillo","non-dropping-particle":"","parse-names":false,"suffix":""},{"dropping-particle":"","family":"Reilly","given":"Kelvin","non-dropping-particle":"","parse-names":false,"suffix":""},{"dropping-particle":"","family":"Zydney","given":"Andrew L.","non-dropping-particle":"","parse-names":false,"suffix":""}],"container-title":"Journal of Membrane Science","id":"ITEM-1","issued":{"date-parts":[["2021","2"]]},"page":"118797","title":"Effect of membrane pore structure on fouling behavior of glycoconjugate vaccines","type":"article-journal","volume":"619"},"uris":["http://www.mendeley.com/documents/?uuid=8fbfd49e-5850-467e-b3cb-fe34a728c0e2"]}],"mendeley":{"formattedCitation":"&lt;sup&gt;260&lt;/sup&gt;","plainTextFormattedCitation":"260","previouslyFormattedCitation":"&lt;sup&gt;260&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260</w:t>
      </w:r>
      <w:r w:rsidRPr="006D631C">
        <w:rPr>
          <w:color w:val="020202"/>
          <w:szCs w:val="24"/>
        </w:rPr>
        <w:fldChar w:fldCharType="end"/>
      </w:r>
      <w:r w:rsidRPr="006D631C">
        <w:rPr>
          <w:color w:val="020202"/>
          <w:szCs w:val="24"/>
        </w:rPr>
        <w:t xml:space="preserve"> food processing,</w:t>
      </w:r>
      <w:r w:rsidRPr="006D631C">
        <w:rPr>
          <w:color w:val="020202"/>
          <w:szCs w:val="24"/>
        </w:rPr>
        <w:fldChar w:fldCharType="begin" w:fldLock="1"/>
      </w:r>
      <w:r w:rsidR="00E95125" w:rsidRPr="006D631C">
        <w:rPr>
          <w:color w:val="020202"/>
          <w:szCs w:val="24"/>
        </w:rPr>
        <w:instrText>ADDIN CSL_CITATION {"citationItems":[{"id":"ITEM-1","itemData":{"DOI":"10.1016/j.fbp.2013.09.005","ISSN":"09603085","author":[{"dropping-particle":"","family":"Salehi","given":"Fakhreddin","non-dropping-particle":"","parse-names":false,"suffix":""}],"container-title":"Food and Bioproducts Processing","id":"ITEM-1","issue":"2","issued":{"date-parts":[["2014","4"]]},"page":"161-177","title":"Current and future applications for nanofiltration technology in the food processing","type":"article-journal","volume":"92"},"uris":["http://www.mendeley.com/documents/?uuid=4b604842-e89b-4741-8a80-c355bdb26a4d"]}],"mendeley":{"formattedCitation":"&lt;sup&gt;261&lt;/sup&gt;","plainTextFormattedCitation":"261","previouslyFormattedCitation":"&lt;sup&gt;261&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261</w:t>
      </w:r>
      <w:r w:rsidRPr="006D631C">
        <w:rPr>
          <w:color w:val="020202"/>
          <w:szCs w:val="24"/>
        </w:rPr>
        <w:fldChar w:fldCharType="end"/>
      </w:r>
      <w:r w:rsidRPr="006D631C">
        <w:rPr>
          <w:color w:val="020202"/>
          <w:szCs w:val="24"/>
        </w:rPr>
        <w:t xml:space="preserve"> and organic solvent filtration.</w:t>
      </w:r>
      <w:r w:rsidRPr="006D631C">
        <w:rPr>
          <w:color w:val="020202"/>
          <w:szCs w:val="24"/>
        </w:rPr>
        <w:fldChar w:fldCharType="begin" w:fldLock="1"/>
      </w:r>
      <w:r w:rsidR="002D48C8" w:rsidRPr="006D631C">
        <w:rPr>
          <w:color w:val="020202"/>
          <w:szCs w:val="24"/>
        </w:rPr>
        <w:instrText>ADDIN CSL_CITATION {"citationItems":[{"id":"ITEM-1","itemData":{"DOI":"10.1126/sciadv.abm5899","ISSN":"2375-2548","abstract":"Organic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Advances","id":"ITEM-1","issue":"11","issued":{"date-parts":[["2022","3","18"]]},"title":"Tunable organic solvent nanofiltration in self-assembled membranes at the sub–1 nm scale","type":"article-journal","volume":"8"},"uris":["http://www.mendeley.com/documents/?uuid=f4e7114e-b599-410a-a180-ef737c4d9ca1"]}],"mendeley":{"formattedCitation":"&lt;sup&gt;125&lt;/sup&gt;","plainTextFormattedCitation":"125","previouslyFormattedCitation":"&lt;sup&gt;125&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125</w:t>
      </w:r>
      <w:r w:rsidRPr="006D631C">
        <w:rPr>
          <w:color w:val="020202"/>
          <w:szCs w:val="24"/>
        </w:rPr>
        <w:fldChar w:fldCharType="end"/>
      </w:r>
      <w:r w:rsidRPr="006D631C">
        <w:rPr>
          <w:color w:val="020202"/>
          <w:szCs w:val="24"/>
        </w:rPr>
        <w:t xml:space="preserve"> Despite all the offered advantages, there are still challenges involved in membrane technology. For instance, most of the membranes are only able to separate solutes with specific range of molecular sizes (i.e., fixed selectivity), resulting in their limited application</w:t>
      </w:r>
      <w:r w:rsidR="00C66A0B" w:rsidRPr="006D631C">
        <w:rPr>
          <w:color w:val="020202"/>
          <w:szCs w:val="24"/>
        </w:rPr>
        <w:t>.</w:t>
      </w:r>
      <w:r w:rsidRPr="006D631C">
        <w:rPr>
          <w:color w:val="020202"/>
          <w:szCs w:val="24"/>
        </w:rPr>
        <w:fldChar w:fldCharType="begin" w:fldLock="1"/>
      </w:r>
      <w:r w:rsidR="002D48C8" w:rsidRPr="006D631C">
        <w:rPr>
          <w:color w:val="020202"/>
          <w:szCs w:val="24"/>
        </w:rPr>
        <w:instrText>ADDIN CSL_CITATION {"citationItems":[{"id":"ITEM-1","itemData":{"DOI":"10.1016/j.memsci.2018.02.060","ISSN":"03767388","abstract":"We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Science","id":"ITEM-1","issued":{"date-parts":[["2018","5"]]},"page":"117-124","title":"Two-step thermoresponsive membrane with tunable separation properties and improved cleaning efficiency","type":"article-journal","volume":"554"},"uris":["http://www.mendeley.com/documents/?uuid=1885d88b-7787-47d6-9f9d-8f905461bbd0"]}],"mendeley":{"formattedCitation":"&lt;sup&gt;192&lt;/sup&gt;","plainTextFormattedCitation":"192","previouslyFormattedCitation":"&lt;sup&gt;192&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192</w:t>
      </w:r>
      <w:r w:rsidRPr="006D631C">
        <w:rPr>
          <w:color w:val="020202"/>
          <w:szCs w:val="24"/>
        </w:rPr>
        <w:fldChar w:fldCharType="end"/>
      </w:r>
      <w:r w:rsidRPr="006D631C">
        <w:rPr>
          <w:color w:val="020202"/>
          <w:szCs w:val="24"/>
        </w:rPr>
        <w:t xml:space="preserve"> </w:t>
      </w:r>
      <w:r w:rsidR="00591535" w:rsidRPr="006D631C">
        <w:rPr>
          <w:color w:val="020202"/>
          <w:szCs w:val="24"/>
        </w:rPr>
        <w:t>Another significant challenge in membrane technology is membrane fouling, which is particularly prevalent in UF membranes. These membranes are utilized for separating species such as bacteria and viruses, which are prone to causing fouling issues</w:t>
      </w:r>
      <w:r w:rsidR="003404B4"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10.1016/0376-7388(96)80001-J","ISSN":"03767388","author":[{"dropping-particle":"","family":"Güell","given":"Carme","non-dropping-particle":"","parse-names":false,"suffix":""},{"dropping-particle":"","family":"Davis","given":"Robert H.","non-dropping-particle":"","parse-names":false,"suffix":""}],"container-title":"Journal of Membrane Science","id":"ITEM-1","issue":"2","issued":{"date-parts":[["1996","10"]]},"page":"269-284","title":"Membrane fouling during microfiltration of protein mixtures","type":"article-journal","volume":"119"},"uris":["http://www.mendeley.com/documents/?uuid=df92a292-f2c4-4cb8-be1c-c179f646ac3d"]}],"mendeley":{"formattedCitation":"&lt;sup&gt;262&lt;/sup&gt;","plainTextFormattedCitation":"262","previouslyFormattedCitation":"&lt;sup&gt;262&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262</w:t>
      </w:r>
      <w:r w:rsidRPr="006D631C">
        <w:rPr>
          <w:color w:val="020202"/>
          <w:szCs w:val="24"/>
        </w:rPr>
        <w:fldChar w:fldCharType="end"/>
      </w:r>
      <w:r w:rsidRPr="006D631C">
        <w:rPr>
          <w:color w:val="020202"/>
          <w:szCs w:val="24"/>
        </w:rPr>
        <w:t xml:space="preserve"> Employing environmentally-questionable methods like </w:t>
      </w:r>
      <w:r w:rsidR="003404B4" w:rsidRPr="006D631C">
        <w:rPr>
          <w:color w:val="020202"/>
          <w:szCs w:val="24"/>
        </w:rPr>
        <w:t>NIPS</w:t>
      </w:r>
      <w:r w:rsidRPr="006D631C">
        <w:rPr>
          <w:color w:val="020202"/>
          <w:szCs w:val="24"/>
        </w:rPr>
        <w:t>, which</w:t>
      </w:r>
      <w:r w:rsidRPr="006D631C">
        <w:t xml:space="preserve"> consume </w:t>
      </w:r>
      <w:r w:rsidRPr="006D631C">
        <w:rPr>
          <w:color w:val="020202"/>
          <w:szCs w:val="24"/>
        </w:rPr>
        <w:t>large quantities of organic solvents to fabricate membranes in large scales, is the next notable problem in the field</w:t>
      </w:r>
      <w:r w:rsidR="003404B4"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10.1016/j.polymer.2019.122071","ISSN":"00323861","author":[{"dropping-particle":"","family":"Kahrs","given":"Catharina","non-dropping-particle":"","parse-names":false,"suffix":""},{"dropping-particle":"","family":"Schwellenbach","given":"Jan","non-dropping-particle":"","parse-names":false,"suffix":""}],"container-title":"Polymer","id":"ITEM-1","issued":{"date-parts":[["2020","1"]]},"page":"122071","title":"Membrane formation via non-solvent induced phase separation using sustainable solvents: A comparative study","type":"article-journal","volume":"186"},"uris":["http://www.mendeley.com/documents/?uuid=a4fbf5c1-b8e1-49b7-97d7-1f6a1e07c5c3"]}],"mendeley":{"formattedCitation":"&lt;sup&gt;243&lt;/sup&gt;","plainTextFormattedCitation":"243","previouslyFormattedCitation":"&lt;sup&gt;243&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243</w:t>
      </w:r>
      <w:r w:rsidRPr="006D631C">
        <w:rPr>
          <w:color w:val="020202"/>
          <w:szCs w:val="24"/>
        </w:rPr>
        <w:fldChar w:fldCharType="end"/>
      </w:r>
      <w:r w:rsidRPr="006D631C">
        <w:rPr>
          <w:color w:val="020202"/>
          <w:szCs w:val="24"/>
        </w:rPr>
        <w:t xml:space="preserve"> Creating stimuli-responsive membranes via an environmentally-friendly process can address these challenges. Such membranes can change their pore size in response to an external stimulus (e.g., temperature</w:t>
      </w:r>
      <w:r w:rsidRPr="006D631C">
        <w:rPr>
          <w:color w:val="020202"/>
          <w:szCs w:val="24"/>
        </w:rPr>
        <w:fldChar w:fldCharType="begin" w:fldLock="1"/>
      </w:r>
      <w:r w:rsidR="002D48C8" w:rsidRPr="006D631C">
        <w:rPr>
          <w:color w:val="020202"/>
          <w:szCs w:val="24"/>
        </w:rPr>
        <w:instrText>ADDIN CSL_CITATION {"citationItems":[{"id":"ITEM-1","itemData":{"DOI":"10.1016/j.memsci.2018.02.060","ISSN":"03767388","abstract":"We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Science","id":"ITEM-1","issued":{"date-parts":[["2018","5"]]},"page":"117-124","title":"Two-step thermoresponsive membrane with tunable separation properties and improved cleaning efficiency","type":"article-journal","volume":"554"},"uris":["http://www.mendeley.com/documents/?uuid=1885d88b-7787-47d6-9f9d-8f905461bbd0"]}],"mendeley":{"formattedCitation":"&lt;sup&gt;192&lt;/sup&gt;","plainTextFormattedCitation":"192","previouslyFormattedCitation":"&lt;sup&gt;192&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192</w:t>
      </w:r>
      <w:r w:rsidRPr="006D631C">
        <w:rPr>
          <w:color w:val="020202"/>
          <w:szCs w:val="24"/>
        </w:rPr>
        <w:fldChar w:fldCharType="end"/>
      </w:r>
      <w:r w:rsidRPr="006D631C">
        <w:rPr>
          <w:color w:val="020202"/>
          <w:szCs w:val="24"/>
        </w:rPr>
        <w:t xml:space="preserve"> and pH</w:t>
      </w:r>
      <w:r w:rsidRPr="006D631C">
        <w:rPr>
          <w:color w:val="020202"/>
          <w:szCs w:val="24"/>
        </w:rPr>
        <w:fldChar w:fldCharType="begin" w:fldLock="1"/>
      </w:r>
      <w:r w:rsidR="00E95125" w:rsidRPr="006D631C">
        <w:rPr>
          <w:color w:val="020202"/>
          <w:szCs w:val="24"/>
        </w:rPr>
        <w:instrText>ADDIN CSL_CITATION {"citationItems":[{"id":"ITEM-1","itemData":{"DOI":"10.1016/j.memsci.2011.08.014","ISSN":"03767388","abstract":"A novel kind of block-like copolymer poly(butyl methacrylate)-b-poly(methacrylic acid)-b-poly(hexafluorobutyl methacrylate) (PBMA-b-PMAA-b-PHFBM) with hydrophobic segments, hydrophilic segments and fluorine-containing segments was prepared by free radical polymerization method. The copolymers were incorporated into PES ultrafiltration membranes through a wet phase inversion method. The surface enrichment of hydrophilic segments and fluorine-containing segments of the copolymer due to the spontaneous and forced surface segregation during non-solvent induced phase separation process was confirmed by X-ray photoelectron spectroscopy (XPS). The modified membranes displayed distinct pH-responsive permeability. The water flux of PES/PBMA5-b-PMAA4.6-b-PHFBM1.1 membrane could significantly decrease from 150L/(m2h) to 75L/(m2h) in the pH region of 4.8-6.2. Meanwhile, the modified membranes exhibited desirable fouling release property mainly derived from fluorine-containing segments. The highest cleaning efficiency of the modified membranes could reach 57.4% compared with that less than 5% of the blank membranes. © 2011 Elsevier B.V.","author":[{"dropping-particle":"","family":"Zhao","given":"Xueting","non-dropping-particle":"","parse-names":false,"suffix":""},{"dropping-particle":"","family":"Su","given":"Yanlei","non-dropping-particle":"","parse-names":false,"suffix":""},{"dropping-particle":"","family":"Chen","given":"Wenjuan","non-dropping-particle":"","parse-names":false,"suffix":""},{"dropping-particle":"","family":"Peng","given":"Jinming","non-dropping-particle":"","parse-names":false,"suffix":""},{"dropping-particle":"","family":"Jiang","given":"Zhongyi","non-dropping-particle":"","parse-names":false,"suffix":""}],"container-title":"Journal of Membrane Science","id":"ITEM-1","issue":"1-2","issued":{"date-parts":[["2011","10"]]},"page":"222-230","title":"pH-responsive and fouling-release properties of PES ultrafiltration membranes modified by multi-functional block-like copolymers","type":"article-journal","volume":"382"},"uris":["http://www.mendeley.com/documents/?uuid=9a456bee-277d-4fc7-a3cf-a89f18ba4f59"]}],"mendeley":{"formattedCitation":"&lt;sup&gt;235&lt;/sup&gt;","plainTextFormattedCitation":"235","previouslyFormattedCitation":"&lt;sup&gt;235&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235</w:t>
      </w:r>
      <w:r w:rsidRPr="006D631C">
        <w:rPr>
          <w:color w:val="020202"/>
          <w:szCs w:val="24"/>
        </w:rPr>
        <w:fldChar w:fldCharType="end"/>
      </w:r>
      <w:r w:rsidRPr="006D631C">
        <w:rPr>
          <w:color w:val="020202"/>
          <w:szCs w:val="24"/>
        </w:rPr>
        <w:t xml:space="preserve">), meaning that they exhibit a </w:t>
      </w:r>
      <w:r w:rsidRPr="006D631C">
        <w:rPr>
          <w:color w:val="020202"/>
          <w:szCs w:val="24"/>
        </w:rPr>
        <w:lastRenderedPageBreak/>
        <w:t>dynamic permeability and selectivity</w:t>
      </w:r>
      <w:r w:rsidR="002D48C8"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{"citationItems":[{"id":"ITEM-1","itemData":{"DOI":"10.1016/j.memsci.2010.03.046","ISSN":"03767388","abstract":"Stimuli-responsive membranes change their physicochemical properties in response to changes in their environment. Stimuli-responsive membranes have been designed to respond to changes in pH, temperature, ionic strength, light, electric and magnetic fields, and chemical cues. This review covers the design of stimuli-responsive membranes and their ever-expanding range of use. It considers stimuli-responsive changes in membrane structure and surface characteristics that enable novel applications. © 2010 Elsevier B.V.","author":[{"dropping-particle":"","family":"Wandera","given":"Daniel","non-dropping-particle":"","parse-names":false,"suffix":""},{"dropping-particle":"","family":"Wickramasinghe","given":"S. Ranil","non-dropping-particle":"","parse-names":false,"suffix":""},{"dropping-particle":"","family":"Husson","given":"Scott M.","non-dropping-particle":"","parse-names":false,"suffix":""}],"container-title":"Journal of Membrane Science","id":"ITEM-1","issue":"1-2","issued":{"date-parts":[["2010","7","15"]]},"page":"6-35","title":"Stimuli-responsive membranes","type":"article-journal","volume":"357"},"uris":["http://www.mendeley.com/documents/?uuid=f4b1bf86-85c5-4e71-a28b-6d4273599fd3"]},{"id":"ITEM-2","itemData":{"DOI":"10.1039/C4RA13863E","ISSN":"2046-2069","abstract":"An amphiphilic thermo responsive PVCL- co -PSF copolymer was synthesized with enhanced pore density and hydrophilicity. It was found to have high hydration capacity and low BSA adsorption, with 92.5% and 95% flux recovery ratios achieved for BSA and HA, respectively.","author":[{"dropping-particle":"","family":"Sinha","given":"M. K.","non-dropping-particle":"","parse-names":false,"suffix":""},{"dropping-particle":"","family":"Purkait","given":"M. K.","non-dropping-particle":"","parse-names":false,"suffix":""}],"container-title":"RSC Advances","id":"ITEM-2","issue":"29","issued":{"date-parts":[["2015"]]},"page":"22609-22619","title":"Preparation of a novel thermo responsive PSF membrane, with cross linked PVCL-co-PSF copolymer for protein separation and easy cleaning","type":"article-journal","volume":"5"},"uris":["http://www.mendeley.com/documents/?uuid=50d56474-3a02-4a51-bd1e-7af486bad71c"]},{"id":"ITEM-3","itemData":{"DOI":"10.1016/j.memsci.2014.03.067","ISSN":"18733123","abstract":"In this work, novel cross linked pegylated functional copolymer poly (acrylic acid-co-polyethylene glycol methyl ether methacrylate) was prepared from AA and PEGMA, via precipitation polymerization using toluene as solvent. The copolymer was directly blended with polysulfone (PSF) using N-methylpyrrolidone (NMP) as solvent to prepare flat sheet polymeric membrane by the phase inversion method. Presence of copolymer in blended membrane was confirmed by Fourier transform infrared-attenuated total reflectance (FTIR-ATR) spectroscopy. Blended membranes showed enhanced pore density, pure water flux and hydrophilicity. Cross sectional morphology of the membranes was changed significantly with higher wt% of the copolymer. Contact angle and hydraulic permeability of modified membrane with 7wt% of copolymer were 48.7° and 0.794L/m2hkPa compared to 63.2° and 0.353L/m2hkPa respectively, for unmodified membrane. The blended membranes also showed evidence of pH sensitivity compared to unmodified membrane. For membrane modified with 7wt% of the copolymer, hydraulic permeability was increased from 0.355 to 0.794L/m2hkPa when pH was changed from 11 to 2. Finally, fouling resistance behavior of modified membrane was studied by bovine serum albumin protein separation study. Modified membrane achieved a maximum of around 90% flux recovery ratio after bovine serum albumin (BSA) separation, which is remarkably higher compared to 37% flux recovery ratio of unmodified membrane. Effect of pH for BSA rejection on different membranes was also studied at pH 2, pH 7 and pH 11. It was found that modified membranes had almost same rejection at pH 7 and pH 11, but rejection was much lower at pH 2. © 2014 Elsevier B.V.","author":[{"dropping-particle":"","family":"Sinha","given":"M. K.","non-dropping-particle":"","parse-names":false,"suffix":""},{"dropping-particle":"","family":"Purkait","given":"M. K.","non-dropping-particle":"","parse-names":false,"suffix":""}],"container-title":"Journal of Membrane Science","id":"ITEM-3","issued":{"date-parts":[["2014"]]},"title":"Preparation and characterization of novel pegylated hydrophilic pH responsive polysulfone ultrafiltration membrane","type":"article-journal"},"uris":["http://www.mendeley.com/documents/?uuid=2869dac3-1896-4a28-92c9-54286e75c777"]},{"id":"ITEM-4","itemData":{"DOI":"10.5004/dwt.2019.24403","ISSN":"19443986","abstract":"Photocatalytic ultrafiltration membranes have great potential advantages in future-water treatment systems. The preparation of photocatalytic ultrafiltration membranes and the selection of catalysts are the key to the development of photocatalytic ultrafiltration membranes. This paper reviews the research status, removal mechanism of pollutants, module design and applications of photocatalytic ultrafiltration membranes. The metal-doped TiO2 photocatalytic ultrafiltration membranes, non-metal-doped TiO2 photocatalytic ultrafiltration membranes, semiconductor-doped TiO2 photocatalytic ultrafiltration membranes, co-doped TiO2 photocatalytic ultrafiltration membrans, and non-TiO2 system photocatalytic ultrafiltration membranes are introduced in detail. At the same time, it summarizes the removal of micro-pollutants in water, treatment of dyes in water, and applications in other aspects, demonstrating its potential for application in various areas of water treatment systems. Finally, the direction of future research is proposed.","author":[{"dropping-particle":"","family":"Fu","given":"Jingli","non-dropping-particle":"","parse-names":false,"suffix":""},{"dropping-particle":"","family":"Wang","given":"Xiuju","non-dropping-particle":"","parse-names":false,"suffix":""},{"dropping-particle":"","family":"Ma","given":"Zhun","non-dropping-particle":"","parse-names":false,"suffix":""},{"dropping-particle":"","family":"Wenming","given":"Hao","non-dropping-particle":"","parse-names":false,"suffix":""},{"dropping-particle":"","family":"Li","given":"Jianye","non-dropping-particle":"","parse-names":false,"suffix":""},{"dropping-particle":"","family":"Wang","given":"Zhongpeng","non-dropping-particle":"","parse-names":false,"suffix":""},{"dropping-particle":"","family":"Wang","given":"Liguo","non-dropping-particle":"","parse-names":false,"suffix":""}],"container-title":"DESALINATION AND WATER TREATMENT","id":"ITEM-4","issued":{"date-parts":[["2019"]]},"page":"42-55","title":"Photocatalytic ultrafiltration membranes based on visible light responsive photocatalyst: a review","type":"article-journal","volume":"168"},"uris":["http://www.mendeley.com/documents/?uuid=f39dac84-0272-4869-a95b-c6b1d010bcbd"]},{"id":"ITEM-5","itemData":{"DOI":"10.1039/C8NJ00039E","ISSN":"1144-0546","abstract":"Zwitterionic polymer modified membranes were prepared, which showed ionic strength- and thermo-responsive properties.","author":[{"dropping-particle":"","family":"Xiang","given":"Tao","non-dropping-particle":"","parse-names":false,"suffix":""},{"dropping-particle":"","family":"Lu","given":"Ting","non-dropping-particle":"","parse-names":false,"suffix":""},{"dropping-particle":"","family":"Zhao","given":"Wei-Feng","non-dropping-particle":"","parse-names":false,"suffix":""},{"dropping-particle":"","family":"Zhao","given":"Chang-Sheng","non-dropping-particle":"","parse-names":false,"suffix":""}],"container-title":"New Journal of Chemistry","id":"ITEM-5","issue":"7","issued":{"date-parts":[["2018"]]},"page":"5323-5333","title":"Ionic strength- and thermo-responsive polyethersulfone composite membranes with enhanced antifouling properties","type":"article-journal","volume":"42"},"uris":["http://www.mendeley.com/documents/?uuid=bfc632e4-97c2-4276-b501-0d6e355aab9d"]}],"mendeley":{"formattedCitation":"&lt;sup&gt;5,213,236–238&lt;/sup&gt;","plainTextFormattedCitation":"5,213,236–238","previouslyFormattedCitation":"&lt;sup&gt;5,213,236–238&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5,213,236–238</w:t>
      </w:r>
      <w:r w:rsidRPr="006D631C">
        <w:rPr>
          <w:color w:val="020202"/>
          <w:szCs w:val="24"/>
        </w:rPr>
        <w:fldChar w:fldCharType="end"/>
      </w:r>
      <w:r w:rsidRPr="006D631C">
        <w:rPr>
          <w:color w:val="020202"/>
          <w:szCs w:val="24"/>
        </w:rPr>
        <w:t xml:space="preserve"> Additionally, such changes in the porosity can improve cleaning efficiency of a fouled membrane</w:t>
      </w:r>
      <w:r w:rsidR="002D48C8"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Materials","id":"ITEM-1","issue":"11","issued":{"date-parts":[["2022","11","11"]]},"page":"8156-8165","title":"Two-Step Thermoresponsive Ultrafiltration Membranes from Polymerization of Lyotropic Liquid Crystals","type":"article-journal","volume":"4"},"uris":["http://www.mendeley.com/documents/?uuid=4eee7cf8-e804-4309-8e0d-bec6bee52d4f"]},{"id":"ITEM-2","itemData":{"DOI":"10.1016/j.memsci.2018.02.060","ISSN":"03767388","abstract":"We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Science","id":"ITEM-2","issued":{"date-parts":[["2018","5"]]},"page":"117-124","title":"Two-step thermoresponsive membrane with tunable separation properties and improved cleaning efficiency","type":"article-journal","volume":"554"},"uris":["http://www.mendeley.com/documents/?uuid=1885d88b-7787-47d6-9f9d-8f905461bbd0"]}],"mendeley":{"formattedCitation":"&lt;sup&gt;192,263&lt;/sup&gt;","plainTextFormattedCitation":"192,263","previouslyFormattedCitation":"&lt;sup&gt;192,263&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192,263</w:t>
      </w:r>
      <w:r w:rsidRPr="006D631C">
        <w:rPr>
          <w:color w:val="020202"/>
          <w:szCs w:val="24"/>
        </w:rPr>
        <w:fldChar w:fldCharType="end"/>
      </w:r>
      <w:r w:rsidRPr="006D631C">
        <w:rPr>
          <w:color w:val="020202"/>
          <w:szCs w:val="24"/>
        </w:rPr>
        <w:t xml:space="preserve">                     </w:t>
      </w:r>
    </w:p>
    <w:p w14:paraId="15B118AA" w14:textId="596419B7" w:rsidR="000F7D11" w:rsidRPr="006D631C" w:rsidRDefault="000F7D11" w:rsidP="002E14E4">
      <w:pPr>
        <w:pStyle w:val="TAMainText"/>
        <w:ind w:firstLine="357"/>
        <w:rPr>
          <w:color w:val="020202"/>
          <w:szCs w:val="24"/>
        </w:rPr>
      </w:pPr>
      <w:r w:rsidRPr="006D631C">
        <w:rPr>
          <w:color w:val="020202"/>
          <w:szCs w:val="24"/>
        </w:rPr>
        <w:t>Synthesizing nanostructured polymers in LLC templates is an environmentally-friendly approach that can be used to create such functional membranes</w:t>
      </w:r>
      <w:r w:rsidR="00D947EE" w:rsidRPr="006D631C">
        <w:rPr>
          <w:color w:val="020202"/>
          <w:szCs w:val="24"/>
        </w:rPr>
        <w:t>.</w:t>
      </w:r>
      <w:r w:rsidRPr="006D631C">
        <w:rPr>
          <w:color w:val="020202"/>
          <w:szCs w:val="24"/>
        </w:rPr>
        <w:fldChar w:fldCharType="begin" w:fldLock="1"/>
      </w:r>
      <w:r w:rsidR="005C60C1" w:rsidRPr="006D631C">
        <w:rPr>
          <w:color w:val="020202"/>
          <w:szCs w:val="24"/>
        </w:rPr>
        <w:instrText>ADDIN CSL_CITATION {"citationItems":[{"id":"ITEM-1","itemData":{"DOI":"10.1039/D1TA02748D","ISSN":"2050-7488","abstract":"Bottom-up engineered LLC templated products with a variety of nanostructures offer infinite potential applications in many technical fields.","author":[{"dropping-particle":"","family":"Saadat","given":"Younes","non-dropping-particle":"","parse-names":false,"suffix":""},{"dropping-particle":"","family":"Imran","given":"Omar Q.","non-dropping-particle":"","parse-names":false,"suffix":""},{"dropping-particle":"","family":"Osuji","given":"Chinedum O.","non-dropping-particle":"","parse-names":false,"suffix":""},{"dropping-particle":"","family":"Foudazi","given":"Reza","non-dropping-particle":"","parse-names":false,"suffix":""}],"container-title":"Journal of Materials Chemistry A","id":"ITEM-1","issue":"38","issued":{"date-parts":[["2021"]]},"page":"21607-21658","title":"Lyotropic liquid crystals as templates for advanced materials","type":"article-journal","volume":"9"},"uris":["http://www.mendeley.com/documents/?uuid=2f3f4bd0-d863-4cd6-872b-19cf0a5a8869"]},{"id":"ITEM-2","itemData":{"DOI":"10.1126/sciadv.aav9308","ISSN":"23752548","PMID":"31448326","abstract":"Self-assembled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Advances","id":"ITEM-2","issue":"8","issued":{"date-parts":[["2019","8","9"]]},"page":"eaav9308","title":"Precise nanofiltration in a fouling-resistant self-assembled membrane with water-continuous transport pathways","type":"article-journal","volume":"5"},"uris":["http://www.mendeley.com/documents/?uuid=d507d8b2-fc83-4bd7-9e6d-10370c7b5e6e"]},{"id":"ITEM-3","itemData":{"DOI":"10.1021/cm1013027","ISSN":"08974756","abstract":"New polymerizable gemini ammonium surfactants can be cross-linked in a type I bicontinuous cubic lyotropic liquid crystal phase with water to afford nanoporous polymer membranes with sub-1 nm 3D pores for water nanofiltration applications. © 2010 American Chemical Society.","author":[{"dropping-particle":"","family":"Hatakeyama","given":"Evan S.","non-dropping-particle":"","parse-names":false,"suffix":""},{"dropping-particle":"","family":"Wiesenauer","given":"Brian R.","non-dropping-particle":"","parse-names":false,"suffix":""},{"dropping-particle":"","family":"Gabriel","given":"Christopher J.","non-dropping-particle":"","parse-names":false,"suffix":""},{"dropping-particle":"","family":"Noble","given":"Richard D.","non-dropping-particle":"","parse-names":false,"suffix":""},{"dropping-particle":"","family":"Gin","given":"Douglas L.","non-dropping-particle":"","parse-names":false,"suffix":""}],"container-title":"Chemistry of Materials","id":"ITEM-3","issue":"16","issued":{"date-parts":[["2010"]]},"page":"4525-4527","title":"Nanoporous, bicontinuous cubic lyotropic liquid crystal networks via polymerizable gemini ammonium surfactants","type":"article-journal","volume":"22"},"uris":["http://www.mendeley.com/documents/?uuid=ee60048f-096b-4632-81a8-8b2118bda996"]}],"mendeley":{"formattedCitation":"&lt;sup&gt;31,118,244&lt;/sup&gt;","plainTextFormattedCitation":"31,118,244","previouslyFormattedCitation":"&lt;sup&gt;31,118,244&lt;/sup&gt;"},"properties":{"noteIndex":0},"schema":"https://github.com/citation-style-language/schema/raw/master/csl-citation.json"}</w:instrText>
      </w:r>
      <w:r w:rsidRPr="006D631C">
        <w:rPr>
          <w:color w:val="020202"/>
          <w:szCs w:val="24"/>
        </w:rPr>
        <w:fldChar w:fldCharType="separate"/>
      </w:r>
      <w:r w:rsidR="002E14E4" w:rsidRPr="006D631C">
        <w:rPr>
          <w:noProof/>
          <w:color w:val="020202"/>
          <w:szCs w:val="24"/>
          <w:vertAlign w:val="superscript"/>
        </w:rPr>
        <w:t>31,118,244</w:t>
      </w:r>
      <w:r w:rsidRPr="006D631C">
        <w:rPr>
          <w:color w:val="020202"/>
          <w:szCs w:val="24"/>
        </w:rPr>
        <w:fldChar w:fldCharType="end"/>
      </w:r>
      <w:r w:rsidRPr="006D631C">
        <w:rPr>
          <w:color w:val="020202"/>
          <w:szCs w:val="24"/>
        </w:rPr>
        <w:t xml:space="preserve"> </w:t>
      </w:r>
      <w:r w:rsidR="00D947EE" w:rsidRPr="006D631C">
        <w:rPr>
          <w:color w:val="020202"/>
          <w:szCs w:val="24"/>
        </w:rPr>
        <w:t>Normal hexagonal (</w:t>
      </w:r>
      <w:r w:rsidRPr="006D631C">
        <w:rPr>
          <w:color w:val="020202"/>
          <w:szCs w:val="24"/>
        </w:rPr>
        <w:t>H</w:t>
      </w:r>
      <w:r w:rsidRPr="006D631C">
        <w:rPr>
          <w:color w:val="020202"/>
          <w:szCs w:val="24"/>
          <w:vertAlign w:val="subscript"/>
        </w:rPr>
        <w:t>1</w:t>
      </w:r>
      <w:r w:rsidR="00D947EE" w:rsidRPr="006D631C">
        <w:rPr>
          <w:color w:val="020202"/>
          <w:szCs w:val="24"/>
        </w:rPr>
        <w:t>)</w:t>
      </w:r>
      <w:r w:rsidRPr="006D631C">
        <w:rPr>
          <w:color w:val="020202"/>
          <w:szCs w:val="24"/>
        </w:rPr>
        <w:t xml:space="preserve"> </w:t>
      </w:r>
      <w:r w:rsidRPr="006D631C">
        <w:rPr>
          <w:color w:val="020202"/>
          <w:szCs w:val="24"/>
        </w:rPr>
        <w:fldChar w:fldCharType="begin" w:fldLock="1"/>
      </w:r>
      <w:r w:rsidR="002D48C8" w:rsidRPr="006D631C">
        <w:rPr>
          <w:color w:val="020202"/>
          <w:szCs w:val="24"/>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Nano","id":"ITEM-1","issued":{"date-parts":[["2021","3","17"]]},"page":"acsnano.1c00722","title":"Rapid Fabrication by Lyotropic Self-Assembly of Thin Nanofiltration Membranes with Uniform 1 Nanometer Pores","type":"article-journal"},"uris":["http://www.mendeley.com/documents/?uuid=9a8f95cc-c536-4af0-a6e3-e51388d61691"]},{"id":"ITEM-2","itemData":{"DOI":"10.1126/sciadv.abm5899","ISSN":"2375-2548","abstract":"Organic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Advances","id":"ITEM-2","issue":"11","issued":{"date-parts":[["2022","3","18"]]},"title":"Tunable organic solvent nanofiltration in self-assembled membranes at the sub–1 nm scale","type":"article-journal","volume":"8"},"uris":["http://www.mendeley.com/documents/?uuid=f4e7114e-b599-410a-a180-ef737c4d9ca1"]},{"id":"ITEM-3","itemData":{"DOI":"10.1126/sciadv.aav9308","ISSN":"23752548","PMID":"31448326","abstract":"Self-assembled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Advances","id":"ITEM-3","issue":"8","issued":{"date-parts":[["2019","8","9"]]},"page":"eaav9308","title":"Precise nanofiltration in a fouling-resistant self-assembled membrane with water-continuous transport pathways","type":"article-journal","volume":"5"},"uris":["http://www.mendeley.com/documents/?uuid=d507d8b2-fc83-4bd7-9e6d-10370c7b5e6e"]}],"mendeley":{"formattedCitation":"&lt;sup&gt;31,123,125&lt;/sup&gt;","plainTextFormattedCitation":"31,123,125","previouslyFormattedCitation":"&lt;sup&gt;31,123,125&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31,123,125</w:t>
      </w:r>
      <w:r w:rsidRPr="006D631C">
        <w:rPr>
          <w:color w:val="020202"/>
          <w:szCs w:val="24"/>
        </w:rPr>
        <w:fldChar w:fldCharType="end"/>
      </w:r>
      <w:r w:rsidRPr="006D631C">
        <w:rPr>
          <w:color w:val="020202"/>
          <w:szCs w:val="24"/>
        </w:rPr>
        <w:t xml:space="preserve">, </w:t>
      </w:r>
      <w:r w:rsidR="00D947EE" w:rsidRPr="006D631C">
        <w:rPr>
          <w:color w:val="020202"/>
          <w:szCs w:val="24"/>
        </w:rPr>
        <w:t xml:space="preserve">normal </w:t>
      </w:r>
      <w:proofErr w:type="spellStart"/>
      <w:r w:rsidR="00D947EE" w:rsidRPr="006D631C">
        <w:rPr>
          <w:color w:val="020202"/>
          <w:szCs w:val="24"/>
        </w:rPr>
        <w:t>bicontinuous</w:t>
      </w:r>
      <w:proofErr w:type="spellEnd"/>
      <w:r w:rsidR="00D947EE" w:rsidRPr="006D631C">
        <w:rPr>
          <w:color w:val="020202"/>
          <w:szCs w:val="24"/>
        </w:rPr>
        <w:t xml:space="preserve"> cubic (</w:t>
      </w:r>
      <w:r w:rsidRPr="006D631C">
        <w:rPr>
          <w:color w:val="020202"/>
          <w:szCs w:val="24"/>
        </w:rPr>
        <w:t>Q</w:t>
      </w:r>
      <w:r w:rsidRPr="006D631C">
        <w:rPr>
          <w:color w:val="020202"/>
          <w:szCs w:val="24"/>
          <w:vertAlign w:val="subscript"/>
        </w:rPr>
        <w:t>1</w:t>
      </w:r>
      <w:r w:rsidR="00D947EE" w:rsidRPr="006D631C">
        <w:rPr>
          <w:color w:val="020202"/>
          <w:szCs w:val="24"/>
        </w:rPr>
        <w:t>)</w:t>
      </w:r>
      <w:r w:rsidRPr="006D631C">
        <w:rPr>
          <w:color w:val="020202"/>
          <w:szCs w:val="24"/>
        </w:rPr>
        <w:fldChar w:fldCharType="begin" w:fldLock="1"/>
      </w:r>
      <w:r w:rsidR="005C60C1" w:rsidRPr="006D631C">
        <w:rPr>
          <w:color w:val="020202"/>
          <w:szCs w:val="24"/>
        </w:rPr>
        <w:instrText>ADDIN CSL_CITATION {"citationItems":[{"id":"ITEM-1","itemData":{"DOI":"10.1021/cm302027s","ISSN":"15205002","author":[{"dropping-particle":"","family":"Carter","given":"Blaine M.","non-dropping-particle":"","parse-names":false,"suffix":""},{"dropping-particle":"","family":"Wiesenauer","given":"Brian R.","non-dropping-particle":"","parse-names":false,"suffix":""},{"dropping-particle":"","family":"Hatakeyama","given":"Evan S.","non-dropping-particle":"","parse-names":false,"suffix":""},{"dropping-particle":"","family":"Barton","given":"John L.","non-dropping-particle":"","parse-names":false,"suffix":""},{"dropping-particle":"","family":"Noble","given":"Richard D.","non-dropping-particle":"","parse-names":false,"suffix":""},{"dropping-particle":"","family":"Gin","given":"Douglas L.","non-dropping-particle":"","parse-names":false,"suffix":""}],"container-title":"Chemistry of Materials","id":"ITEM-1","issue":"21","issued":{"date-parts":[["2012"]]},"page":"4005-4007","title":"Glycerol-based bicontinuous cubic lyotropic liquid crystal monomer system for the fabrication of thin-film membranes with uniform nanopores","type":"article-journal","volume":"24"},"uris":["http://www.mendeley.com/documents/?uuid=ecdbb3ff-7519-4a65-abca-056edd3369f2"]},{"id":"ITEM-2","itemData":{"author":[{"dropping-particle":"","family":"Gin","given":"Douglas L.","non-dropping-particle":"","parse-names":false,"suffix":""},{"dropping-particle":"","family":"Carter","given":"Blaine M.","non-dropping-particle":"","parse-names":false,"suffix":""},{"dropping-particle":"","family":"Wiesenauer","given":"Brian R.","non-dropping-particle":"","parse-names":false,"suffix":""},{"dropping-particle":"","family":"Hatakeyama","given":"Evan S.","non-dropping-particle":"","parse-names":false,"suffix":""},{"dropping-particle":"","family":"Noble","given":"Richard D.","non-dropping-particle":"","parse-names":false,"suffix":""},{"dropping-particle":"","family":"Barton","given":"John L.","non-dropping-particle":"","parse-names":false,"suffix":""}],"id":"ITEM-2","issued":{"date-parts":[["2006"]]},"number":"US 2014/0154499 A1","title":"METHOD AND MEMBRANE FOR NANOPOROUS, BICONTINUOUS CUBIC LYOTROPIC LIOUID CRYSTAL POLYMER MEMBRANES THAT ENABLE EACLE FILM PROCESSING AND PORE SIZE CONTROL","type":"patent"},"uris":["http://www.mendeley.com/documents/?uuid=39c895ab-a6ca-4933-a86f-702bbc052c74"]},{"id":"ITEM-3","itemData":{"DOI":"10.1021/ja073067w","ISSN":"0002-7863","abstract":"A polymeric membrane material for efficient water desalination based on a cross-linked type I bicontinuous cubic (QI) lyotropic liquid crystal (LLC) assembly is described. This ordered, nanoporous, polymer material is formed by the self-assembly of a cross-linkable gemini amphiphile in water and contains interpenetrating organic networks separated from one another by a continuous, ultrathin water layer surface (ca. 0.75 nm gap spacing) with overall cubic symmetry. Supported membranes of this material are produced by hot-pressing the initial LLC monomer gel at high pressure through a commercial microporous hydrophilic membrane support at 70 °C and then radically photocross-linking the infused QI monomer phase. In stirred dead-end water filtration tests, the resulting 40-μm thick, optically transparent, supported LLC membranes exhibit 95-99.9% rejection of dissolved salt ions, neutral molecules and macromolecules, and molecular ions in the 0.64-1.2 nm size range in a single pass. This rejection performance is slightly better than that of a commercial reverse osmosis (RO) membrane for the same solutes under the same test conditions, and significantly better than that of a commercial porous nanofiltration membrane. The LLC polymer material also exhibits a thickness- and pressure-normalized water permeability that is similar to or just slightly lower than the dense active layer materials used in current RO membranes. It is believed that the 3-D interconnected water manifold system in the cross-linked QI-phase material allows small water molecules (0.27 nm kinetic diameter) to pass through with good efficiency, while effectively rejecting dissolved solutes close in size to, or larger than, the about 0.75 nm water layer gap spacing. Copyright © 2007 American Chemical Society.","author":[{"dropping-particle":"","family":"Zhou","given":"Meijuan","non-dropping-particle":"","parse-names":false,"suffix":""},{"dropping-particle":"","family":"Nemade","given":"Parag R.","non-dropping-particle":"","parse-names":false,"suffix":""},{"dropping-particle":"","family":"Lu","given":"Xiaoyun","non-dropping-particle":"","parse-names":false,"suffix":""},{"dropping-particle":"","family":"Zeng","given":"Xiaohui","non-dropping-particle":"","parse-names":false,"suffix":""},{"dropping-particle":"","family":"Hatakeyama","given":"Evan S.","non-dropping-particle":"","parse-names":false,"suffix":""},{"dropping-particle":"","family":"Noble","given":"Richard D.","non-dropping-particle":"","parse-names":false,"suffix":""},{"dropping-particle":"","family":"Gin","given":"Douglas L.","non-dropping-particle":"","parse-names":false,"suffix":""}],"container-title":"Journal of the American Chemical Society","id":"ITEM-3","issue":"31","issued":{"date-parts":[["2007","8","1"]]},"page":"9574-9575","title":"New Type of Membrane Material for Water Desalination Based on a Cross-Linked Bicontinuous Cubic Lyotropic Liquid Crystal Assembly","type":"article-journal","volume":"129"},"uris":["http://www.mendeley.com/documents/?uuid=0d2d8de2-7149-4057-b6fa-a85131e88c1f"]},{"id":"ITEM-4","itemData":{"DOI":"10.1016/j.memsci.2013.12.056","ISSN":"03767388","abstract":"The effects of anion-exchange on the filtration performance of thin-film composite (TFC) membranes with an active layer consisting of a nanostructured, lyotropic (i.e., surfactant) liquid crystal (LLC) polymer were investigated. These TFC LLC membranes are made by the in situ cross-linking of reactive amphiphiles (i.e., surfactants) that self-organize in the presence of glycerol into a type I bicontinuous cubic (QI) phase that contains a uniform, 3D-interconnected pore network lined with tethered cationic moieties and free mobile anions in the pores. In this study, a systematic series of experiments were performed to independently investigate how monovalent cations and anions affect transport in these TFC QI membranes. TFC QI membranes exposed to feed solutions that contain different cations (i.e., Li+(aq), Na+(aq), and K+(aq)) but have the same monovalent anion as the free mobile anion in the membrane (i.e., Br-(aq)) have a constant flux and a high rejection (&gt;98%). When the cation is kept constant (i.e., Na+(aq)) and the anion in the feed is varied (i.e., Cl-(aq), Br-(aq), NO3(aq)-, and I-(aq)) and allowed to partially anion-exchange with the membrane, a high rejection is maintained (≥96%), but the flux significantly changes depending on the anion in the feed solution. The flux of the TFC QI membranes can also be repeatedly be cycled by contacting the membranes with different anions. Control experiments with completely anion-exchanged TFC QI membranes (i.e., with Cl-(aq), Br-(aq), NO3(aq)-, and I-(aq)) showed that the rejection of sodium salts and uncharged organic solutes was virtually the same for all of the completely anion-exchanged membranes. As a whole, these results demonstrate that the flux of these TFC QI membranes can be tuned by changing the anion with little to no change in the rejection performance. The unique performance characteristics of TFC QI membranes may offer advantages over conventional NF and RO membranes for water purification applications or other aqueous separations. © 2013 Elsevier B.V.","author":[{"dropping-particle":"","family":"Carter","given":"Blaine M.","non-dropping-particle":"","parse-names":false,"suffix":""},{"dropping-particle":"","family":"Wiesenauer","given":"Brian R.","non-dropping-particle":"","parse-names":false,"suffix":""},{"dropping-particle":"","family":"Noble","given":"Richard D.","non-dropping-particle":"","parse-names":false,"suffix":""},{"dropping-particle":"","family":"Gin","given":"Douglas L.","non-dropping-particle":"","parse-names":false,"suffix":""}],"container-title":"Journal of Membrane Science","id":"ITEM-4","issued":{"date-parts":[["2014"]]},"page":"143-151","title":"Thin-film composite bicontinuous cubic lyotropic liquid crystal polymer membranes: Effects of anion-exchange on water filtration performance","type":"article-journal","volume":"455"},"uris":["http://www.mendeley.com/documents/?uuid=8f662d33-407e-497b-ac4d-657ed26fc531"]}],"mendeley":{"formattedCitation":"&lt;sup&gt;34,120,121,264&lt;/sup&gt;","plainTextFormattedCitation":"34,120,121,264","previouslyFormattedCitation":"&lt;sup&gt;34,120,121,264&lt;/sup&gt;"},"properties":{"noteIndex":0},"schema":"https://github.com/citation-style-language/schema/raw/master/csl-citation.json"}</w:instrText>
      </w:r>
      <w:r w:rsidRPr="006D631C">
        <w:rPr>
          <w:color w:val="020202"/>
          <w:szCs w:val="24"/>
        </w:rPr>
        <w:fldChar w:fldCharType="separate"/>
      </w:r>
      <w:r w:rsidR="002E14E4" w:rsidRPr="006D631C">
        <w:rPr>
          <w:noProof/>
          <w:color w:val="020202"/>
          <w:szCs w:val="24"/>
          <w:vertAlign w:val="superscript"/>
        </w:rPr>
        <w:t>34,120,121,264</w:t>
      </w:r>
      <w:r w:rsidRPr="006D631C">
        <w:rPr>
          <w:color w:val="020202"/>
          <w:szCs w:val="24"/>
        </w:rPr>
        <w:fldChar w:fldCharType="end"/>
      </w:r>
      <w:r w:rsidRPr="006D631C">
        <w:rPr>
          <w:color w:val="020202"/>
          <w:szCs w:val="24"/>
        </w:rPr>
        <w:t>, lamellar (L</w:t>
      </w:r>
      <w:r w:rsidRPr="006D631C">
        <w:rPr>
          <w:color w:val="020202"/>
          <w:szCs w:val="24"/>
          <w:vertAlign w:val="subscript"/>
        </w:rPr>
        <w:t>α</w:t>
      </w:r>
      <w:r w:rsidRPr="006D631C">
        <w:rPr>
          <w:color w:val="020202"/>
          <w:szCs w:val="24"/>
        </w:rPr>
        <w:t xml:space="preserve">) </w:t>
      </w:r>
      <w:r w:rsidRPr="006D631C">
        <w:rPr>
          <w:color w:val="020202"/>
          <w:szCs w:val="24"/>
        </w:rPr>
        <w:fldChar w:fldCharType="begin" w:fldLock="1"/>
      </w:r>
      <w:r w:rsidR="00E95125" w:rsidRPr="006D631C">
        <w:rPr>
          <w:color w:val="020202"/>
          <w:szCs w:val="24"/>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id":"ITEM-2","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Materials","id":"ITEM-2","issue":"11","issued":{"date-parts":[["2022","11","11"]]},"page":"8156-8165","title":"Two-Step Thermoresponsive Ultrafiltration Membranes from Polymerization of Lyotropic Liquid Crystals","type":"article-journal","volume":"4"},"uris":["http://www.mendeley.com/documents/?uuid=4eee7cf8-e804-4309-8e0d-bec6bee52d4f"]}],"mendeley":{"formattedCitation":"&lt;sup&gt;32,263&lt;/sup&gt;","plainTextFormattedCitation":"32,263","previouslyFormattedCitation":"&lt;sup&gt;32,263&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32,263</w:t>
      </w:r>
      <w:r w:rsidRPr="006D631C">
        <w:rPr>
          <w:color w:val="020202"/>
          <w:szCs w:val="24"/>
        </w:rPr>
        <w:fldChar w:fldCharType="end"/>
      </w:r>
      <w:r w:rsidRPr="006D631C">
        <w:rPr>
          <w:color w:val="020202"/>
          <w:szCs w:val="24"/>
        </w:rPr>
        <w:t>, and reverse hexagonal (H</w:t>
      </w:r>
      <w:r w:rsidRPr="006D631C">
        <w:rPr>
          <w:color w:val="020202"/>
          <w:szCs w:val="24"/>
          <w:vertAlign w:val="subscript"/>
        </w:rPr>
        <w:t>2</w:t>
      </w:r>
      <w:r w:rsidRPr="006D631C">
        <w:rPr>
          <w:color w:val="020202"/>
          <w:szCs w:val="24"/>
        </w:rPr>
        <w:t xml:space="preserve">) </w:t>
      </w:r>
      <w:r w:rsidRPr="006D631C">
        <w:rPr>
          <w:color w:val="020202"/>
          <w:szCs w:val="24"/>
        </w:rPr>
        <w:fldChar w:fldCharType="begin" w:fldLock="1"/>
      </w:r>
      <w:r w:rsidR="002D48C8" w:rsidRPr="006D631C">
        <w:rPr>
          <w:color w:val="020202"/>
          <w:szCs w:val="24"/>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32</w:t>
      </w:r>
      <w:r w:rsidRPr="006D631C">
        <w:rPr>
          <w:color w:val="020202"/>
          <w:szCs w:val="24"/>
        </w:rPr>
        <w:fldChar w:fldCharType="end"/>
      </w:r>
      <w:r w:rsidRPr="006D631C">
        <w:rPr>
          <w:color w:val="020202"/>
          <w:szCs w:val="24"/>
        </w:rPr>
        <w:t xml:space="preserve"> structures are the common LLC struc</w:t>
      </w:r>
      <w:r w:rsidR="00E40DE0" w:rsidRPr="006D631C">
        <w:rPr>
          <w:color w:val="020202"/>
          <w:szCs w:val="24"/>
        </w:rPr>
        <w:t>tu</w:t>
      </w:r>
      <w:r w:rsidRPr="006D631C">
        <w:rPr>
          <w:color w:val="020202"/>
          <w:szCs w:val="24"/>
        </w:rPr>
        <w:t xml:space="preserve">res employed for synthesis of </w:t>
      </w:r>
      <w:r w:rsidR="00665538" w:rsidRPr="006D631C">
        <w:rPr>
          <w:color w:val="020202"/>
          <w:szCs w:val="24"/>
        </w:rPr>
        <w:t>NF</w:t>
      </w:r>
      <w:r w:rsidRPr="006D631C">
        <w:rPr>
          <w:color w:val="020202"/>
          <w:szCs w:val="24"/>
        </w:rPr>
        <w:t xml:space="preserve"> and UF membranes. Q</w:t>
      </w:r>
      <w:r w:rsidRPr="006D631C">
        <w:rPr>
          <w:color w:val="020202"/>
          <w:szCs w:val="24"/>
          <w:vertAlign w:val="subscript"/>
        </w:rPr>
        <w:t>1</w:t>
      </w:r>
      <w:r w:rsidRPr="006D631C">
        <w:rPr>
          <w:color w:val="020202"/>
          <w:szCs w:val="24"/>
        </w:rPr>
        <w:t xml:space="preserve"> and H</w:t>
      </w:r>
      <w:r w:rsidRPr="006D631C">
        <w:rPr>
          <w:color w:val="020202"/>
          <w:szCs w:val="24"/>
          <w:vertAlign w:val="subscript"/>
        </w:rPr>
        <w:t>1</w:t>
      </w:r>
      <w:r w:rsidRPr="006D631C">
        <w:rPr>
          <w:color w:val="020202"/>
          <w:szCs w:val="24"/>
        </w:rPr>
        <w:t xml:space="preserve"> phases are preferred over H</w:t>
      </w:r>
      <w:r w:rsidRPr="006D631C">
        <w:rPr>
          <w:color w:val="020202"/>
          <w:szCs w:val="24"/>
          <w:vertAlign w:val="subscript"/>
        </w:rPr>
        <w:t>2</w:t>
      </w:r>
      <w:r w:rsidRPr="006D631C">
        <w:rPr>
          <w:color w:val="020202"/>
          <w:szCs w:val="24"/>
        </w:rPr>
        <w:t xml:space="preserve"> and L</w:t>
      </w:r>
      <w:r w:rsidRPr="006D631C">
        <w:rPr>
          <w:rFonts w:ascii="Cambria Math" w:hAnsi="Cambria Math"/>
          <w:color w:val="020202"/>
          <w:szCs w:val="24"/>
          <w:vertAlign w:val="subscript"/>
        </w:rPr>
        <w:t>𝛼</w:t>
      </w:r>
      <w:r w:rsidRPr="006D631C">
        <w:rPr>
          <w:color w:val="020202"/>
          <w:szCs w:val="24"/>
        </w:rPr>
        <w:t xml:space="preserve"> as they offer 3D-continuous transport path and do not require any structural alignment. In contrast to Q</w:t>
      </w:r>
      <w:r w:rsidRPr="006D631C">
        <w:rPr>
          <w:color w:val="020202"/>
          <w:szCs w:val="24"/>
          <w:vertAlign w:val="subscript"/>
        </w:rPr>
        <w:t>1</w:t>
      </w:r>
      <w:r w:rsidRPr="006D631C">
        <w:rPr>
          <w:color w:val="020202"/>
          <w:szCs w:val="24"/>
        </w:rPr>
        <w:t>, H</w:t>
      </w:r>
      <w:r w:rsidRPr="006D631C">
        <w:rPr>
          <w:color w:val="020202"/>
          <w:szCs w:val="24"/>
          <w:vertAlign w:val="subscript"/>
        </w:rPr>
        <w:t>1</w:t>
      </w:r>
      <w:r w:rsidRPr="006D631C">
        <w:rPr>
          <w:color w:val="020202"/>
          <w:szCs w:val="24"/>
        </w:rPr>
        <w:t xml:space="preserve"> forms more frequently and in a wider range of compositions, which makes it ideal for membrane synthesis</w:t>
      </w:r>
      <w:r w:rsidR="00EE7F1A" w:rsidRPr="006D631C">
        <w:rPr>
          <w:color w:val="020202"/>
          <w:szCs w:val="24"/>
        </w:rPr>
        <w:t>.</w:t>
      </w:r>
      <w:r w:rsidRPr="006D631C">
        <w:rPr>
          <w:color w:val="020202"/>
          <w:szCs w:val="24"/>
        </w:rPr>
        <w:fldChar w:fldCharType="begin" w:fldLock="1"/>
      </w:r>
      <w:r w:rsidR="002D48C8" w:rsidRPr="006D631C">
        <w:rPr>
          <w:color w:val="020202"/>
          <w:szCs w:val="24"/>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31</w:t>
      </w:r>
      <w:r w:rsidRPr="006D631C">
        <w:rPr>
          <w:color w:val="020202"/>
          <w:szCs w:val="24"/>
        </w:rPr>
        <w:fldChar w:fldCharType="end"/>
      </w:r>
      <w:r w:rsidRPr="006D631C">
        <w:rPr>
          <w:color w:val="020202"/>
          <w:szCs w:val="24"/>
        </w:rPr>
        <w:t xml:space="preserve"> In a recent work, Osuji and coworkers have shown the possibility of fabricating H</w:t>
      </w:r>
      <w:r w:rsidRPr="006D631C">
        <w:rPr>
          <w:color w:val="020202"/>
          <w:szCs w:val="24"/>
          <w:vertAlign w:val="subscript"/>
        </w:rPr>
        <w:t>1</w:t>
      </w:r>
      <w:r w:rsidRPr="006D631C">
        <w:rPr>
          <w:color w:val="020202"/>
          <w:szCs w:val="24"/>
        </w:rPr>
        <w:t>-struc</w:t>
      </w:r>
      <w:r w:rsidR="00E40DE0" w:rsidRPr="006D631C">
        <w:rPr>
          <w:color w:val="020202"/>
          <w:szCs w:val="24"/>
        </w:rPr>
        <w:t>tu</w:t>
      </w:r>
      <w:r w:rsidRPr="006D631C">
        <w:rPr>
          <w:color w:val="020202"/>
          <w:szCs w:val="24"/>
        </w:rPr>
        <w:t xml:space="preserve">red NF membranes with effective pore sizes of about 1 nm, MWCO of ~300 Da, and permeability of ~20 </w:t>
      </w:r>
      <w:r w:rsidRPr="006D631C">
        <w:rPr>
          <w:rFonts w:asciiTheme="majorBidi" w:hAnsiTheme="majorBidi" w:cstheme="majorBidi"/>
          <w:szCs w:val="24"/>
        </w:rPr>
        <w:t>liters m</w:t>
      </w:r>
      <w:r w:rsidRPr="006D631C">
        <w:rPr>
          <w:rFonts w:asciiTheme="majorBidi" w:hAnsiTheme="majorBidi" w:cstheme="majorBidi"/>
          <w:szCs w:val="24"/>
          <w:vertAlign w:val="superscript"/>
        </w:rPr>
        <w:t>−2</w:t>
      </w:r>
      <w:r w:rsidRPr="006D631C">
        <w:rPr>
          <w:rFonts w:asciiTheme="majorBidi" w:hAnsiTheme="majorBidi" w:cstheme="majorBidi"/>
          <w:szCs w:val="24"/>
        </w:rPr>
        <w:t xml:space="preserve"> hour</w:t>
      </w:r>
      <w:r w:rsidRPr="006D631C">
        <w:rPr>
          <w:rFonts w:asciiTheme="majorBidi" w:hAnsiTheme="majorBidi" w:cstheme="majorBidi"/>
          <w:szCs w:val="24"/>
          <w:vertAlign w:val="superscript"/>
        </w:rPr>
        <w:t xml:space="preserve">−1 </w:t>
      </w:r>
      <w:r w:rsidRPr="006D631C">
        <w:rPr>
          <w:color w:val="020202"/>
          <w:szCs w:val="24"/>
        </w:rPr>
        <w:t>bar</w:t>
      </w:r>
      <w:r w:rsidRPr="006D631C">
        <w:rPr>
          <w:rFonts w:cs="Times"/>
          <w:color w:val="020202"/>
          <w:szCs w:val="24"/>
          <w:vertAlign w:val="superscript"/>
        </w:rPr>
        <w:t>−</w:t>
      </w:r>
      <w:r w:rsidRPr="006D631C">
        <w:rPr>
          <w:color w:val="020202"/>
          <w:szCs w:val="24"/>
          <w:vertAlign w:val="superscript"/>
        </w:rPr>
        <w:t>1</w:t>
      </w:r>
      <w:r w:rsidRPr="006D631C">
        <w:rPr>
          <w:color w:val="020202"/>
          <w:szCs w:val="24"/>
        </w:rPr>
        <w:t xml:space="preserve">, which outperform the commercially available NF membranes like Dow FILMTEC NF90-400 with a typical permeability of 10 to 15 </w:t>
      </w:r>
      <w:r w:rsidRPr="006D631C">
        <w:rPr>
          <w:rFonts w:asciiTheme="majorBidi" w:hAnsiTheme="majorBidi" w:cstheme="majorBidi"/>
          <w:szCs w:val="24"/>
        </w:rPr>
        <w:t>liters m</w:t>
      </w:r>
      <w:r w:rsidRPr="006D631C">
        <w:rPr>
          <w:rFonts w:asciiTheme="majorBidi" w:hAnsiTheme="majorBidi" w:cstheme="majorBidi"/>
          <w:szCs w:val="24"/>
          <w:vertAlign w:val="superscript"/>
        </w:rPr>
        <w:t>−2</w:t>
      </w:r>
      <w:r w:rsidRPr="006D631C">
        <w:rPr>
          <w:rFonts w:asciiTheme="majorBidi" w:hAnsiTheme="majorBidi" w:cstheme="majorBidi"/>
          <w:szCs w:val="24"/>
        </w:rPr>
        <w:t xml:space="preserve"> hour</w:t>
      </w:r>
      <w:r w:rsidRPr="006D631C">
        <w:rPr>
          <w:rFonts w:asciiTheme="majorBidi" w:hAnsiTheme="majorBidi" w:cstheme="majorBidi"/>
          <w:szCs w:val="24"/>
          <w:vertAlign w:val="superscript"/>
        </w:rPr>
        <w:t xml:space="preserve">−1 </w:t>
      </w:r>
      <w:r w:rsidRPr="006D631C">
        <w:rPr>
          <w:color w:val="020202"/>
          <w:szCs w:val="24"/>
        </w:rPr>
        <w:t>bar</w:t>
      </w:r>
      <w:r w:rsidRPr="006D631C">
        <w:rPr>
          <w:rFonts w:cs="Times"/>
          <w:color w:val="020202"/>
          <w:szCs w:val="24"/>
          <w:vertAlign w:val="superscript"/>
        </w:rPr>
        <w:t>−</w:t>
      </w:r>
      <w:r w:rsidRPr="006D631C">
        <w:rPr>
          <w:color w:val="020202"/>
          <w:szCs w:val="24"/>
          <w:vertAlign w:val="superscript"/>
        </w:rPr>
        <w:t>1</w:t>
      </w:r>
      <w:r w:rsidR="00D259BE" w:rsidRPr="006D631C">
        <w:rPr>
          <w:color w:val="020202"/>
          <w:szCs w:val="24"/>
        </w:rPr>
        <w:t>.</w:t>
      </w:r>
      <w:r w:rsidRPr="006D631C">
        <w:rPr>
          <w:color w:val="020202"/>
          <w:szCs w:val="24"/>
          <w:vertAlign w:val="superscript"/>
        </w:rPr>
        <w:fldChar w:fldCharType="begin" w:fldLock="1"/>
      </w:r>
      <w:r w:rsidR="002D48C8" w:rsidRPr="006D631C">
        <w:rPr>
          <w:color w:val="020202"/>
          <w:szCs w:val="24"/>
          <w:vertAlign w:val="superscript"/>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Nano","id":"ITEM-1","issued":{"date-parts":[["2021","3","17"]]},"page":"acsnano.1c00722","title":"Rapid Fabrication by Lyotropic Self-Assembly of Thin Nanofiltration Membranes with Uniform 1 Nanometer Pores","type":"article-journal"},"uris":["http://www.mendeley.com/documents/?uuid=9a8f95cc-c536-4af0-a6e3-e51388d61691"]}],"mendeley":{"formattedCitation":"&lt;sup&gt;123&lt;/sup&gt;","plainTextFormattedCitation":"123","previouslyFormattedCitation":"&lt;sup&gt;123&lt;/sup&gt;"},"properties":{"noteIndex":0},"schema":"https://github.com/citation-style-language/schema/raw/master/csl-citation.json"}</w:instrText>
      </w:r>
      <w:r w:rsidRPr="006D631C">
        <w:rPr>
          <w:color w:val="020202"/>
          <w:szCs w:val="24"/>
          <w:vertAlign w:val="superscript"/>
        </w:rPr>
        <w:fldChar w:fldCharType="separate"/>
      </w:r>
      <w:r w:rsidRPr="006D631C">
        <w:rPr>
          <w:noProof/>
          <w:color w:val="020202"/>
          <w:szCs w:val="24"/>
          <w:vertAlign w:val="superscript"/>
        </w:rPr>
        <w:t>123</w:t>
      </w:r>
      <w:r w:rsidRPr="006D631C">
        <w:rPr>
          <w:color w:val="020202"/>
          <w:szCs w:val="24"/>
          <w:vertAlign w:val="superscript"/>
        </w:rPr>
        <w:fldChar w:fldCharType="end"/>
      </w:r>
      <w:r w:rsidRPr="006D631C">
        <w:rPr>
          <w:color w:val="020202"/>
          <w:szCs w:val="24"/>
        </w:rPr>
        <w:t xml:space="preserve">  </w:t>
      </w:r>
    </w:p>
    <w:p w14:paraId="460BEE99" w14:textId="22012F66" w:rsidR="000F7D11" w:rsidRPr="006D631C" w:rsidRDefault="000F7D11" w:rsidP="00EA5AA7">
      <w:pPr>
        <w:pStyle w:val="TAMainText"/>
        <w:ind w:firstLine="0"/>
        <w:rPr>
          <w:color w:val="020202"/>
          <w:szCs w:val="24"/>
        </w:rPr>
      </w:pPr>
      <w:r w:rsidRPr="006D631C">
        <w:rPr>
          <w:color w:val="020202"/>
          <w:szCs w:val="24"/>
        </w:rPr>
        <w:t>Despite the advantages of LLC templating, there are only a few reports available in the literature on synthesizing stimuli-responsive membranes via this technique. In one work</w:t>
      </w:r>
      <w:r w:rsidR="00D97C2E" w:rsidRPr="006D631C">
        <w:rPr>
          <w:color w:val="020202"/>
          <w:szCs w:val="24"/>
        </w:rPr>
        <w:t>,</w:t>
      </w:r>
      <w:r w:rsidRPr="006D631C">
        <w:rPr>
          <w:color w:val="020202"/>
          <w:szCs w:val="24"/>
        </w:rPr>
        <w:fldChar w:fldCharType="begin" w:fldLock="1"/>
      </w:r>
      <w:r w:rsidR="00E95125" w:rsidRPr="006D631C">
        <w:rPr>
          <w:color w:val="020202"/>
          <w:szCs w:val="24"/>
        </w:rPr>
        <w:instrText>ADDIN CSL_CITATION {"citationItems":[{"id":"ITEM-1","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Materials","id":"ITEM-1","issue":"11","issued":{"date-parts":[["2022","11","11"]]},"page":"8156-8165","title":"Two-Step Thermoresponsive Ultrafiltration Membranes from Polymerization of Lyotropic Liquid Crystals","type":"article-journal","volume":"4"},"uris":["http://www.mendeley.com/documents/?uuid=4eee7cf8-e804-4309-8e0d-bec6bee52d4f"]}],"mendeley":{"formattedCitation":"&lt;sup&gt;263&lt;/sup&gt;","plainTextFormattedCitation":"263","previouslyFormattedCitation":"&lt;sup&gt;263&lt;/sup&gt;"},"properties":{"noteIndex":0},"schema":"https://github.com/citation-style-language/schema/raw/master/csl-citation.json"}</w:instrText>
      </w:r>
      <w:r w:rsidRPr="006D631C">
        <w:rPr>
          <w:color w:val="020202"/>
          <w:szCs w:val="24"/>
        </w:rPr>
        <w:fldChar w:fldCharType="separate"/>
      </w:r>
      <w:r w:rsidR="0072669A" w:rsidRPr="006D631C">
        <w:rPr>
          <w:noProof/>
          <w:color w:val="020202"/>
          <w:szCs w:val="24"/>
          <w:vertAlign w:val="superscript"/>
        </w:rPr>
        <w:t>263</w:t>
      </w:r>
      <w:r w:rsidRPr="006D631C">
        <w:rPr>
          <w:color w:val="020202"/>
          <w:szCs w:val="24"/>
        </w:rPr>
        <w:fldChar w:fldCharType="end"/>
      </w:r>
      <w:r w:rsidR="007F5ED8" w:rsidRPr="006D631C">
        <w:rPr>
          <w:color w:val="020202"/>
          <w:szCs w:val="24"/>
        </w:rPr>
        <w:t xml:space="preserve"> as we discussed in </w:t>
      </w:r>
      <w:r w:rsidR="00EA5AA7" w:rsidRPr="006D631C">
        <w:rPr>
          <w:color w:val="020202"/>
          <w:szCs w:val="24"/>
        </w:rPr>
        <w:t xml:space="preserve">Chapter </w:t>
      </w:r>
      <w:r w:rsidR="007F5ED8" w:rsidRPr="006D631C">
        <w:rPr>
          <w:color w:val="020202"/>
          <w:szCs w:val="24"/>
        </w:rPr>
        <w:t>3,</w:t>
      </w:r>
      <w:r w:rsidRPr="006D631C">
        <w:rPr>
          <w:color w:val="020202"/>
          <w:szCs w:val="24"/>
        </w:rPr>
        <w:t xml:space="preserve"> we were able to create a two-step thermoresponsive UF membrane with ~30 nm pore size from polymerization of L</w:t>
      </w:r>
      <w:r w:rsidRPr="006D631C">
        <w:rPr>
          <w:rFonts w:ascii="Cambria Math" w:hAnsi="Cambria Math"/>
          <w:color w:val="020202"/>
          <w:szCs w:val="24"/>
          <w:vertAlign w:val="subscript"/>
        </w:rPr>
        <w:t>𝛼</w:t>
      </w:r>
      <w:r w:rsidRPr="006D631C">
        <w:rPr>
          <w:color w:val="020202"/>
          <w:szCs w:val="24"/>
        </w:rPr>
        <w:t xml:space="preserve">-structured LLCs directed by </w:t>
      </w:r>
      <w:r w:rsidR="00177C3C" w:rsidRPr="006D631C">
        <w:rPr>
          <w:color w:val="020202"/>
          <w:szCs w:val="24"/>
        </w:rPr>
        <w:t>F127</w:t>
      </w:r>
      <w:r w:rsidRPr="006D631C">
        <w:rPr>
          <w:color w:val="020202"/>
          <w:szCs w:val="24"/>
        </w:rPr>
        <w:t xml:space="preserve"> self-assembly, which exhibited selectivity and permeability changes at 35 and 50 °C due to the </w:t>
      </w:r>
      <w:r w:rsidR="00177C3C" w:rsidRPr="006D631C">
        <w:rPr>
          <w:color w:val="020202"/>
          <w:szCs w:val="24"/>
        </w:rPr>
        <w:t>LCST</w:t>
      </w:r>
      <w:r w:rsidRPr="006D631C">
        <w:rPr>
          <w:color w:val="020202"/>
          <w:szCs w:val="24"/>
        </w:rPr>
        <w:t xml:space="preserve"> of F127 and melting of the crystalline structure of </w:t>
      </w:r>
      <w:r w:rsidR="00CA6234" w:rsidRPr="006D631C">
        <w:rPr>
          <w:color w:val="020202"/>
          <w:szCs w:val="24"/>
        </w:rPr>
        <w:t>PEO</w:t>
      </w:r>
      <w:r w:rsidRPr="006D631C">
        <w:rPr>
          <w:color w:val="020202"/>
          <w:szCs w:val="24"/>
        </w:rPr>
        <w:t xml:space="preserve"> block, respectively.</w:t>
      </w:r>
      <w:r w:rsidRPr="006D631C">
        <w:rPr>
          <w:rFonts w:cs="Times"/>
          <w:color w:val="020202"/>
          <w:szCs w:val="24"/>
        </w:rPr>
        <w:t>. Li et al.</w:t>
      </w:r>
      <w:r w:rsidRPr="006D631C">
        <w:rPr>
          <w:rFonts w:cs="Times"/>
          <w:color w:val="020202"/>
          <w:szCs w:val="24"/>
        </w:rPr>
        <w:fldChar w:fldCharType="begin" w:fldLock="1"/>
      </w:r>
      <w:r w:rsidR="002D48C8" w:rsidRPr="006D631C">
        <w:rPr>
          <w:rFonts w:cs="Times"/>
          <w:color w:val="020202"/>
          <w:szCs w:val="24"/>
        </w:rPr>
        <w:instrText>ADDIN CSL_CITATION {"citationItems":[{"id":"ITEM-1","itemData":{"DOI":"10.1002/admi.202201761","ISSN":"2196-7350","author":[{"dropping-particle":"","family":"Li","given":"Patrick","non-dropping-particle":"","parse-names":false,"suffix":""},{"dropping-particle":"","family":"Johnson","given":"Christopher","non-dropping-particle":"","parse-names":false,"suffix":""},{"dropping-particle":"","family":"Dyer","given":"Samantha S.","non-dropping-particle":"","parse-names":false,"suffix":""},{"dropping-particle":"","family":"Osuji","given":"Chinedum O.","non-dropping-particle":"","parse-names":false,"suffix":""},{"dropping-particle":"","family":"Gin","given":"Douglas L.","non-dropping-particle":"","parse-names":false,"suffix":""}],"container-title":"Advanced Materials Interfaces","id":"ITEM-1","issued":{"date-parts":[["2022","12","4"]]},"page":"2201761","title":"A pH‐ and Light‐Responsive Nanoporous Lyotropic Gyroid Polymer Network","type":"article-journal"},"uris":["http://www.mendeley.com/documents/?uuid=e6b2f03c-2c58-40fd-9524-e8f93218c017"]}],"mendeley":{"formattedCitation":"&lt;sup&gt;126&lt;/sup&gt;","plainTextFormattedCitation":"126","previouslyFormattedCitation":"&lt;sup&gt;126&lt;/sup&gt;"},"properties":{"noteIndex":0},"schema":"https://github.com/citation-style-language/schema/raw/master/csl-citation.json"}</w:instrText>
      </w:r>
      <w:r w:rsidRPr="006D631C">
        <w:rPr>
          <w:rFonts w:cs="Times"/>
          <w:color w:val="020202"/>
          <w:szCs w:val="24"/>
        </w:rPr>
        <w:fldChar w:fldCharType="separate"/>
      </w:r>
      <w:r w:rsidRPr="006D631C">
        <w:rPr>
          <w:rFonts w:cs="Times"/>
          <w:noProof/>
          <w:color w:val="020202"/>
          <w:szCs w:val="24"/>
          <w:vertAlign w:val="superscript"/>
        </w:rPr>
        <w:t>126</w:t>
      </w:r>
      <w:r w:rsidRPr="006D631C">
        <w:rPr>
          <w:rFonts w:cs="Times"/>
          <w:color w:val="020202"/>
          <w:szCs w:val="24"/>
        </w:rPr>
        <w:fldChar w:fldCharType="end"/>
      </w:r>
      <w:r w:rsidRPr="006D631C">
        <w:rPr>
          <w:rFonts w:cs="Times"/>
          <w:color w:val="020202"/>
          <w:szCs w:val="24"/>
        </w:rPr>
        <w:t xml:space="preserve"> reported the synthesis of a pH- and light-responsive </w:t>
      </w:r>
      <w:proofErr w:type="spellStart"/>
      <w:r w:rsidRPr="006D631C">
        <w:rPr>
          <w:rFonts w:cs="Times"/>
          <w:color w:val="020202"/>
          <w:szCs w:val="24"/>
        </w:rPr>
        <w:t>nanoporous</w:t>
      </w:r>
      <w:proofErr w:type="spellEnd"/>
      <w:r w:rsidRPr="006D631C">
        <w:rPr>
          <w:rFonts w:cs="Times"/>
          <w:color w:val="020202"/>
          <w:szCs w:val="24"/>
        </w:rPr>
        <w:t xml:space="preserve"> polymer having Q</w:t>
      </w:r>
      <w:r w:rsidRPr="006D631C">
        <w:rPr>
          <w:rFonts w:cs="Times"/>
          <w:color w:val="020202"/>
          <w:szCs w:val="24"/>
          <w:vertAlign w:val="subscript"/>
        </w:rPr>
        <w:t>1</w:t>
      </w:r>
      <w:r w:rsidRPr="006D631C">
        <w:rPr>
          <w:rFonts w:cs="Times"/>
          <w:color w:val="020202"/>
          <w:szCs w:val="24"/>
        </w:rPr>
        <w:t xml:space="preserve"> structure with a pore size of around 1 nm. According to the </w:t>
      </w:r>
      <w:r w:rsidR="00F72A2B" w:rsidRPr="006D631C">
        <w:rPr>
          <w:rFonts w:cs="Times"/>
          <w:color w:val="020202"/>
          <w:szCs w:val="24"/>
        </w:rPr>
        <w:t>SAXS</w:t>
      </w:r>
      <w:r w:rsidRPr="006D631C">
        <w:rPr>
          <w:rFonts w:cs="Times"/>
          <w:color w:val="020202"/>
          <w:szCs w:val="24"/>
        </w:rPr>
        <w:t xml:space="preserve"> data, the pore size changes with altering pH. </w:t>
      </w:r>
      <w:r w:rsidRPr="006D631C">
        <w:rPr>
          <w:color w:val="020202"/>
          <w:szCs w:val="24"/>
        </w:rPr>
        <w:t xml:space="preserve">While these reports on responsive membranes show promising results, extending the pore size of LLC-templated </w:t>
      </w:r>
      <w:r w:rsidRPr="006D631C">
        <w:rPr>
          <w:color w:val="020202"/>
          <w:szCs w:val="24"/>
        </w:rPr>
        <w:lastRenderedPageBreak/>
        <w:t xml:space="preserve">membranes is essential to broaden </w:t>
      </w:r>
      <w:r w:rsidRPr="006D631C">
        <w:rPr>
          <w:rFonts w:cs="Times"/>
          <w:color w:val="020202"/>
          <w:szCs w:val="24"/>
        </w:rPr>
        <w:t>their applications. In addition, there is no report on synthesizing H</w:t>
      </w:r>
      <w:r w:rsidRPr="006D631C">
        <w:rPr>
          <w:rFonts w:cs="Times"/>
          <w:color w:val="020202"/>
          <w:szCs w:val="24"/>
          <w:vertAlign w:val="subscript"/>
        </w:rPr>
        <w:t>1</w:t>
      </w:r>
      <w:r w:rsidRPr="006D631C">
        <w:rPr>
          <w:rFonts w:cs="Times"/>
          <w:color w:val="020202"/>
          <w:szCs w:val="24"/>
        </w:rPr>
        <w:t>-struc</w:t>
      </w:r>
      <w:r w:rsidR="00E40DE0" w:rsidRPr="006D631C">
        <w:rPr>
          <w:rFonts w:cs="Times"/>
          <w:color w:val="020202"/>
          <w:szCs w:val="24"/>
        </w:rPr>
        <w:t>tu</w:t>
      </w:r>
      <w:r w:rsidRPr="006D631C">
        <w:rPr>
          <w:rFonts w:cs="Times"/>
          <w:color w:val="020202"/>
          <w:szCs w:val="24"/>
        </w:rPr>
        <w:t>red stimuli-responsive membranes.</w:t>
      </w:r>
    </w:p>
    <w:p w14:paraId="75DC4A23" w14:textId="023886F3" w:rsidR="00835FE2" w:rsidRPr="006D631C" w:rsidRDefault="000F7D11" w:rsidP="00B15E90">
      <w:pPr>
        <w:ind w:firstLine="357"/>
      </w:pPr>
      <w:r w:rsidRPr="006D631C">
        <w:rPr>
          <w:rFonts w:cs="Times"/>
          <w:color w:val="020202"/>
        </w:rPr>
        <w:t xml:space="preserve">In this </w:t>
      </w:r>
      <w:r w:rsidR="00781D18" w:rsidRPr="006D631C">
        <w:rPr>
          <w:rFonts w:cs="Times"/>
          <w:color w:val="020202"/>
        </w:rPr>
        <w:t>Chapter</w:t>
      </w:r>
      <w:r w:rsidRPr="006D631C">
        <w:rPr>
          <w:rFonts w:cs="Times"/>
          <w:color w:val="020202"/>
        </w:rPr>
        <w:t>, we report the first successful H</w:t>
      </w:r>
      <w:r w:rsidRPr="006D631C">
        <w:rPr>
          <w:rFonts w:cs="Times"/>
          <w:color w:val="020202"/>
          <w:vertAlign w:val="subscript"/>
        </w:rPr>
        <w:t>1</w:t>
      </w:r>
      <w:r w:rsidRPr="006D631C">
        <w:rPr>
          <w:rFonts w:cs="Times"/>
          <w:color w:val="020202"/>
        </w:rPr>
        <w:t>-structued responsive membrane. H</w:t>
      </w:r>
      <w:r w:rsidRPr="006D631C">
        <w:rPr>
          <w:rFonts w:cs="Times"/>
          <w:color w:val="020202"/>
          <w:vertAlign w:val="subscript"/>
        </w:rPr>
        <w:t>1</w:t>
      </w:r>
      <w:r w:rsidRPr="006D631C">
        <w:rPr>
          <w:rFonts w:cs="Times"/>
          <w:color w:val="020202"/>
        </w:rPr>
        <w:t xml:space="preserve"> LLC is obtained by mixing thermoresponsive </w:t>
      </w:r>
      <w:r w:rsidRPr="006D631C">
        <w:rPr>
          <w:rFonts w:asciiTheme="majorBidi" w:hAnsiTheme="majorBidi" w:cstheme="majorBidi"/>
        </w:rPr>
        <w:t>Pluronic P84 diacrylate</w:t>
      </w:r>
      <w:r w:rsidRPr="006D631C">
        <w:rPr>
          <w:rFonts w:cs="Times"/>
          <w:color w:val="020202"/>
        </w:rPr>
        <w:t xml:space="preserve"> (P84DA) with 1-butyl-3-methylimidazolium </w:t>
      </w:r>
      <w:proofErr w:type="spellStart"/>
      <w:r w:rsidRPr="006D631C">
        <w:rPr>
          <w:rFonts w:cs="Times"/>
          <w:color w:val="020202"/>
        </w:rPr>
        <w:t>tetrafluoroborate</w:t>
      </w:r>
      <w:proofErr w:type="spellEnd"/>
      <w:r w:rsidRPr="006D631C">
        <w:rPr>
          <w:rFonts w:cs="Times"/>
          <w:color w:val="020202"/>
        </w:rPr>
        <w:t xml:space="preserve"> ([BMIM</w:t>
      </w:r>
      <w:proofErr w:type="gramStart"/>
      <w:r w:rsidRPr="006D631C">
        <w:rPr>
          <w:rFonts w:cs="Times"/>
          <w:color w:val="020202"/>
        </w:rPr>
        <w:t>][</w:t>
      </w:r>
      <w:proofErr w:type="gramEnd"/>
      <w:r w:rsidRPr="006D631C">
        <w:rPr>
          <w:rFonts w:cs="Times"/>
          <w:color w:val="020202"/>
        </w:rPr>
        <w:t>BF</w:t>
      </w:r>
      <w:r w:rsidRPr="006D631C">
        <w:rPr>
          <w:rFonts w:cs="Times"/>
          <w:color w:val="020202"/>
          <w:vertAlign w:val="subscript"/>
        </w:rPr>
        <w:t>4</w:t>
      </w:r>
      <w:r w:rsidRPr="006D631C">
        <w:rPr>
          <w:rFonts w:cs="Times"/>
          <w:color w:val="020202"/>
        </w:rPr>
        <w:t xml:space="preserve">]) and 1,6-hexanediol diacrylate (HDDA). </w:t>
      </w:r>
      <w:r w:rsidR="009B3522" w:rsidRPr="006D631C">
        <w:rPr>
          <w:rFonts w:cs="Times"/>
          <w:color w:val="020202"/>
        </w:rPr>
        <w:t>PolyLLC</w:t>
      </w:r>
      <w:r w:rsidRPr="006D631C">
        <w:rPr>
          <w:rFonts w:cs="Times"/>
          <w:color w:val="020202"/>
        </w:rPr>
        <w:t xml:space="preserve"> is acquired th</w:t>
      </w:r>
      <w:r w:rsidR="006A13F1" w:rsidRPr="006D631C">
        <w:rPr>
          <w:rFonts w:cs="Times"/>
          <w:color w:val="020202"/>
        </w:rPr>
        <w:t>r</w:t>
      </w:r>
      <w:r w:rsidRPr="006D631C">
        <w:rPr>
          <w:rFonts w:cs="Times"/>
          <w:color w:val="020202"/>
        </w:rPr>
        <w:t xml:space="preserve">ough UV polymerization of the mesophase. After removal of the ionic liquid with water, water transport pores are created with a pore size of 2.5 nm at 25 °C, which can be increased to 3.2 nm upon heating the polyLLC to 45 °C. Such temperature-dependent change in the porosity can increase the thickness-normalized flux of the membrane </w:t>
      </w:r>
      <w:r w:rsidRPr="006D631C">
        <w:rPr>
          <w:rFonts w:asciiTheme="majorBidi" w:hAnsiTheme="majorBidi" w:cstheme="majorBidi"/>
        </w:rPr>
        <w:t>from 28 to 68 liters m</w:t>
      </w:r>
      <w:r w:rsidRPr="006D631C">
        <w:rPr>
          <w:rFonts w:asciiTheme="majorBidi" w:hAnsiTheme="majorBidi" w:cstheme="majorBidi"/>
          <w:vertAlign w:val="superscript"/>
        </w:rPr>
        <w:t>−2</w:t>
      </w:r>
      <w:r w:rsidRPr="006D631C">
        <w:rPr>
          <w:rFonts w:asciiTheme="majorBidi" w:hAnsiTheme="majorBidi" w:cstheme="majorBidi"/>
        </w:rPr>
        <w:t xml:space="preserve"> hour</w:t>
      </w:r>
      <w:r w:rsidRPr="006D631C">
        <w:rPr>
          <w:rFonts w:asciiTheme="majorBidi" w:hAnsiTheme="majorBidi" w:cstheme="majorBidi"/>
          <w:vertAlign w:val="superscript"/>
        </w:rPr>
        <w:t xml:space="preserve">−1 </w:t>
      </w:r>
      <w:r w:rsidRPr="006D631C">
        <w:rPr>
          <w:rFonts w:asciiTheme="majorBidi" w:hAnsiTheme="majorBidi" w:cstheme="majorBidi"/>
        </w:rPr>
        <w:t xml:space="preserve">µm. In addition, the membrane exhibits an outstanding fouling resistance. </w:t>
      </w:r>
      <w:r w:rsidR="00B15E90" w:rsidRPr="006D631C">
        <w:rPr>
          <w:rFonts w:asciiTheme="majorBidi" w:hAnsiTheme="majorBidi" w:cstheme="majorBidi"/>
        </w:rPr>
        <w:t>The achieved characteristics (e.g., range of pore size, tunable selectivity, and antifouling behavior) make this membrane an ideal candidate for a variety of applications (e.g., protein purification and removal of viruses and bacteria) without having to tune the structure or change the membrane entirely.</w:t>
      </w:r>
      <w:r w:rsidRPr="006D631C">
        <w:rPr>
          <w:rFonts w:asciiTheme="majorBidi" w:hAnsiTheme="majorBidi" w:cstheme="majorBidi"/>
        </w:rPr>
        <w:t xml:space="preserve"> </w:t>
      </w:r>
      <w:r w:rsidR="00835FE2" w:rsidRPr="006D631C">
        <w:rPr>
          <w:color w:val="020202"/>
        </w:rPr>
        <w:t xml:space="preserve"> </w:t>
      </w:r>
    </w:p>
    <w:p w14:paraId="5C7318B8" w14:textId="280BC561" w:rsidR="003F0B43" w:rsidRPr="006D631C" w:rsidRDefault="003F0B43" w:rsidP="00C009B8">
      <w:pPr>
        <w:pStyle w:val="Heading2"/>
      </w:pPr>
      <w:bookmarkStart w:id="164" w:name="_Toc148175841"/>
      <w:r w:rsidRPr="006D631C">
        <w:t xml:space="preserve">4.2 </w:t>
      </w:r>
      <w:r w:rsidR="00C009B8" w:rsidRPr="006D631C">
        <w:t>Experimental</w:t>
      </w:r>
      <w:bookmarkEnd w:id="164"/>
    </w:p>
    <w:p w14:paraId="2379C19B" w14:textId="60EE120C" w:rsidR="00E54E01" w:rsidRPr="006D631C" w:rsidRDefault="00E54E01" w:rsidP="007D12E8">
      <w:pPr>
        <w:pStyle w:val="Heading3"/>
      </w:pPr>
      <w:bookmarkStart w:id="165" w:name="_Toc148175842"/>
      <w:r w:rsidRPr="006D631C">
        <w:t xml:space="preserve">4.2.1 </w:t>
      </w:r>
      <w:r w:rsidR="007D12E8" w:rsidRPr="006D631C">
        <w:t>Materials</w:t>
      </w:r>
      <w:bookmarkEnd w:id="165"/>
    </w:p>
    <w:p w14:paraId="67849CF8" w14:textId="798FB290" w:rsidR="007D12E8" w:rsidRPr="006D631C" w:rsidRDefault="007D12E8" w:rsidP="00EC6974">
      <w:pPr>
        <w:ind w:firstLine="357"/>
        <w:rPr>
          <w:rFonts w:asciiTheme="majorBidi" w:hAnsiTheme="majorBidi" w:cstheme="majorBidi"/>
        </w:rPr>
      </w:pPr>
      <w:r w:rsidRPr="006D631C">
        <w:rPr>
          <w:rFonts w:asciiTheme="majorBidi" w:hAnsiTheme="majorBidi" w:cstheme="majorBidi"/>
        </w:rPr>
        <w:t>All of the chemicals used in this work were purchased from Sigma-Aldrich and used as received unless stated otherwise. Pluronic P84 (P84) copolymer (PEO</w:t>
      </w:r>
      <w:r w:rsidRPr="006D631C">
        <w:rPr>
          <w:rFonts w:asciiTheme="majorBidi" w:hAnsiTheme="majorBidi" w:cstheme="majorBidi"/>
          <w:vertAlign w:val="subscript"/>
        </w:rPr>
        <w:t>19</w:t>
      </w:r>
      <w:r w:rsidRPr="006D631C">
        <w:rPr>
          <w:rFonts w:asciiTheme="majorBidi" w:hAnsiTheme="majorBidi" w:cstheme="majorBidi"/>
        </w:rPr>
        <w:t>−PPO</w:t>
      </w:r>
      <w:r w:rsidRPr="006D631C">
        <w:rPr>
          <w:rFonts w:asciiTheme="majorBidi" w:hAnsiTheme="majorBidi" w:cstheme="majorBidi"/>
          <w:vertAlign w:val="subscript"/>
        </w:rPr>
        <w:t>43</w:t>
      </w:r>
      <w:r w:rsidRPr="006D631C">
        <w:rPr>
          <w:rFonts w:asciiTheme="majorBidi" w:hAnsiTheme="majorBidi" w:cstheme="majorBidi"/>
        </w:rPr>
        <w:t>−PEO</w:t>
      </w:r>
      <w:r w:rsidRPr="006D631C">
        <w:rPr>
          <w:rFonts w:asciiTheme="majorBidi" w:hAnsiTheme="majorBidi" w:cstheme="majorBidi"/>
          <w:vertAlign w:val="subscript"/>
        </w:rPr>
        <w:t>19</w:t>
      </w:r>
      <w:r w:rsidRPr="006D631C">
        <w:rPr>
          <w:rFonts w:asciiTheme="majorBidi" w:hAnsiTheme="majorBidi" w:cstheme="majorBidi"/>
        </w:rPr>
        <w:t>) with an average molecular weight of 4200 g/</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anhydrous dichloromethane (DCM) with a purity of ≥99.8%, 99.8% pure anhydrous toluene, </w:t>
      </w:r>
      <w:proofErr w:type="spellStart"/>
      <w:r w:rsidRPr="006D631C">
        <w:rPr>
          <w:rFonts w:asciiTheme="majorBidi" w:hAnsiTheme="majorBidi" w:cstheme="majorBidi"/>
        </w:rPr>
        <w:t>triethylamine</w:t>
      </w:r>
      <w:proofErr w:type="spellEnd"/>
      <w:r w:rsidRPr="006D631C">
        <w:rPr>
          <w:rFonts w:asciiTheme="majorBidi" w:hAnsiTheme="majorBidi" w:cstheme="majorBidi"/>
        </w:rPr>
        <w:t xml:space="preserve"> having a purity of 99.5% and </w:t>
      </w:r>
      <w:proofErr w:type="spellStart"/>
      <w:r w:rsidRPr="006D631C">
        <w:rPr>
          <w:rFonts w:asciiTheme="majorBidi" w:hAnsiTheme="majorBidi" w:cstheme="majorBidi"/>
        </w:rPr>
        <w:t>acryloyl</w:t>
      </w:r>
      <w:proofErr w:type="spellEnd"/>
      <w:r w:rsidRPr="006D631C">
        <w:rPr>
          <w:rFonts w:asciiTheme="majorBidi" w:hAnsiTheme="majorBidi" w:cstheme="majorBidi"/>
        </w:rPr>
        <w:t xml:space="preserve"> chloride with a purity of 97% were used to synthesize P84DA as the polymerizable surfactant (as described in the next section). [BMIM][BF</w:t>
      </w:r>
      <w:r w:rsidRPr="006D631C">
        <w:rPr>
          <w:rFonts w:asciiTheme="majorBidi" w:hAnsiTheme="majorBidi" w:cstheme="majorBidi"/>
          <w:vertAlign w:val="subscript"/>
        </w:rPr>
        <w:t>4</w:t>
      </w:r>
      <w:r w:rsidRPr="006D631C">
        <w:rPr>
          <w:rFonts w:asciiTheme="majorBidi" w:hAnsiTheme="majorBidi" w:cstheme="majorBidi"/>
        </w:rPr>
        <w:t xml:space="preserve">] with a purity of ≥98%, HDDA (obtained from </w:t>
      </w:r>
      <w:proofErr w:type="spellStart"/>
      <w:r w:rsidRPr="006D631C">
        <w:rPr>
          <w:rFonts w:asciiTheme="majorBidi" w:hAnsiTheme="majorBidi" w:cstheme="majorBidi"/>
        </w:rPr>
        <w:t>Thermo</w:t>
      </w:r>
      <w:proofErr w:type="spellEnd"/>
      <w:r w:rsidRPr="006D631C">
        <w:rPr>
          <w:rFonts w:asciiTheme="majorBidi" w:hAnsiTheme="majorBidi" w:cstheme="majorBidi"/>
        </w:rPr>
        <w:t xml:space="preserve"> Scientific Chemicals having a purity of 99%), and 99% pure 1-hydroxycyclohexyl phenyl ketone (HCPK) were used to create the desired LLC through mixing them with P84DA. </w:t>
      </w:r>
      <w:r w:rsidR="00EC6974" w:rsidRPr="006D631C">
        <w:rPr>
          <w:rFonts w:asciiTheme="majorBidi" w:hAnsiTheme="majorBidi" w:cstheme="majorBidi"/>
        </w:rPr>
        <w:t>DI</w:t>
      </w:r>
      <w:r w:rsidRPr="006D631C">
        <w:rPr>
          <w:rFonts w:asciiTheme="majorBidi" w:hAnsiTheme="majorBidi" w:cstheme="majorBidi"/>
        </w:rPr>
        <w:t xml:space="preserve"> water </w:t>
      </w:r>
      <w:r w:rsidRPr="006D631C">
        <w:rPr>
          <w:rFonts w:asciiTheme="majorBidi" w:hAnsiTheme="majorBidi" w:cstheme="majorBidi"/>
        </w:rPr>
        <w:lastRenderedPageBreak/>
        <w:t xml:space="preserve">with a conductivity of 0.055 </w:t>
      </w:r>
      <w:proofErr w:type="spellStart"/>
      <w:r w:rsidRPr="006D631C">
        <w:rPr>
          <w:rFonts w:asciiTheme="majorBidi" w:hAnsiTheme="majorBidi" w:cstheme="majorBidi"/>
        </w:rPr>
        <w:t>μS</w:t>
      </w:r>
      <w:proofErr w:type="spellEnd"/>
      <w:r w:rsidRPr="006D631C">
        <w:rPr>
          <w:rFonts w:asciiTheme="majorBidi" w:hAnsiTheme="majorBidi" w:cstheme="majorBidi"/>
        </w:rPr>
        <w:t xml:space="preserve">/cm, which was acquired from EMD Millipore Direct-Q3, was used in all experiments. </w:t>
      </w:r>
    </w:p>
    <w:p w14:paraId="3BBF5EAB" w14:textId="031E2DB9" w:rsidR="00A9517A" w:rsidRPr="006D631C" w:rsidRDefault="007D12E8" w:rsidP="007B1B41">
      <w:pPr>
        <w:ind w:firstLine="360"/>
      </w:pPr>
      <w:r w:rsidRPr="006D631C">
        <w:rPr>
          <w:rFonts w:asciiTheme="majorBidi" w:hAnsiTheme="majorBidi" w:cstheme="majorBidi"/>
        </w:rPr>
        <w:t xml:space="preserve">Membranes performance (e.g., MWCO, protein and dye rejection, and fouling resistance) was evaluated through filtration of different solutes including </w:t>
      </w:r>
      <w:r w:rsidR="007B1B41" w:rsidRPr="006D631C">
        <w:rPr>
          <w:rFonts w:asciiTheme="majorBidi" w:hAnsiTheme="majorBidi" w:cstheme="majorBidi"/>
        </w:rPr>
        <w:t>PEG</w:t>
      </w:r>
      <w:r w:rsidRPr="006D631C">
        <w:rPr>
          <w:rFonts w:asciiTheme="majorBidi" w:hAnsiTheme="majorBidi" w:cstheme="majorBidi"/>
        </w:rPr>
        <w:t xml:space="preserve"> with different molecular weights (1, 2, 3, 4, 6, 8, and 10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lyophilized powder of </w:t>
      </w:r>
      <w:r w:rsidR="007317B5" w:rsidRPr="006D631C">
        <w:rPr>
          <w:rFonts w:asciiTheme="majorBidi" w:hAnsiTheme="majorBidi" w:cstheme="majorBidi"/>
        </w:rPr>
        <w:t>BSA</w:t>
      </w:r>
      <w:r w:rsidRPr="006D631C">
        <w:rPr>
          <w:rFonts w:asciiTheme="majorBidi" w:hAnsiTheme="majorBidi" w:cstheme="majorBidi"/>
        </w:rPr>
        <w:t xml:space="preserve"> with a purity of ≥96%, direct red 23 (DR23) having a dye content of 30%, and direct red 80 (DR80) with 25% dye content. </w:t>
      </w:r>
      <w:proofErr w:type="spellStart"/>
      <w:r w:rsidRPr="006D631C">
        <w:rPr>
          <w:rFonts w:asciiTheme="majorBidi" w:hAnsiTheme="majorBidi" w:cstheme="majorBidi"/>
        </w:rPr>
        <w:t>CraneMat</w:t>
      </w:r>
      <w:proofErr w:type="spellEnd"/>
      <w:r w:rsidRPr="006D631C">
        <w:rPr>
          <w:rFonts w:asciiTheme="majorBidi" w:hAnsiTheme="majorBidi" w:cstheme="majorBidi"/>
        </w:rPr>
        <w:t xml:space="preserve">® CU463 nonwoven polyester sheet with 2 </w:t>
      </w:r>
      <w:proofErr w:type="spellStart"/>
      <w:r w:rsidRPr="006D631C">
        <w:rPr>
          <w:rFonts w:asciiTheme="majorBidi" w:hAnsiTheme="majorBidi" w:cstheme="majorBidi"/>
        </w:rPr>
        <w:t>μm</w:t>
      </w:r>
      <w:proofErr w:type="spellEnd"/>
      <w:r w:rsidRPr="006D631C">
        <w:rPr>
          <w:rFonts w:asciiTheme="majorBidi" w:hAnsiTheme="majorBidi" w:cstheme="majorBidi"/>
        </w:rPr>
        <w:t xml:space="preserve"> porosity (supplied by Neenah Filtration) was employed as a support layer for membrane fabrication. Commercially available </w:t>
      </w:r>
      <w:proofErr w:type="spellStart"/>
      <w:r w:rsidRPr="006D631C">
        <w:rPr>
          <w:rFonts w:asciiTheme="majorBidi" w:hAnsiTheme="majorBidi" w:cstheme="majorBidi"/>
        </w:rPr>
        <w:t>Ultracel</w:t>
      </w:r>
      <w:proofErr w:type="spellEnd"/>
      <w:r w:rsidRPr="006D631C">
        <w:rPr>
          <w:rFonts w:asciiTheme="majorBidi" w:hAnsiTheme="majorBidi" w:cstheme="majorBidi"/>
        </w:rPr>
        <w:t xml:space="preserve">® regenerated cellulose membrane with a nominal MWCO of 3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(which is not thermoresponsive) was purchased from Millipore</w:t>
      </w:r>
      <w:r w:rsidR="004F2406" w:rsidRPr="006D631C">
        <w:rPr>
          <w:rFonts w:asciiTheme="majorBidi" w:hAnsiTheme="majorBidi" w:cstheme="majorBidi"/>
        </w:rPr>
        <w:t xml:space="preserve"> </w:t>
      </w:r>
      <w:r w:rsidRPr="006D631C">
        <w:rPr>
          <w:rFonts w:asciiTheme="majorBidi" w:hAnsiTheme="majorBidi" w:cstheme="majorBidi"/>
        </w:rPr>
        <w:t xml:space="preserve">Sigma and used for </w:t>
      </w:r>
      <w:r w:rsidR="00135018" w:rsidRPr="006D631C">
        <w:rPr>
          <w:rFonts w:asciiTheme="majorBidi" w:hAnsiTheme="majorBidi" w:cstheme="majorBidi"/>
        </w:rPr>
        <w:t xml:space="preserve">thermoresponsiveness </w:t>
      </w:r>
      <w:r w:rsidRPr="006D631C">
        <w:rPr>
          <w:rFonts w:asciiTheme="majorBidi" w:hAnsiTheme="majorBidi" w:cstheme="majorBidi"/>
        </w:rPr>
        <w:t>comparisons with membranes synthesized in this study.</w:t>
      </w:r>
    </w:p>
    <w:p w14:paraId="6FA65433" w14:textId="3C62AC4D" w:rsidR="008C07CA" w:rsidRPr="006D631C" w:rsidRDefault="008C07CA" w:rsidP="00911CA4">
      <w:pPr>
        <w:pStyle w:val="Heading3"/>
      </w:pPr>
      <w:bookmarkStart w:id="166" w:name="_Toc148175843"/>
      <w:r w:rsidRPr="006D631C">
        <w:t xml:space="preserve">4.2.2 </w:t>
      </w:r>
      <w:r w:rsidR="00911CA4" w:rsidRPr="006D631C">
        <w:t>Synthesis of P84DA</w:t>
      </w:r>
      <w:bookmarkEnd w:id="166"/>
    </w:p>
    <w:p w14:paraId="2C66FED1" w14:textId="092E6044" w:rsidR="00A9517A" w:rsidRPr="006D631C" w:rsidRDefault="003C19E4" w:rsidP="0090028E">
      <w:pPr>
        <w:ind w:firstLine="360"/>
        <w:rPr>
          <w:rFonts w:ascii="Times" w:hAnsi="Times"/>
          <w:color w:val="020202"/>
        </w:rPr>
      </w:pPr>
      <w:r w:rsidRPr="006D631C">
        <w:rPr>
          <w:rFonts w:ascii="Times" w:hAnsi="Times"/>
          <w:color w:val="020202"/>
        </w:rPr>
        <w:t>P84DA was synthesized through functionalization of P84 based on a well-established procedure available in the literature.</w:t>
      </w:r>
      <w:r w:rsidRPr="006D631C">
        <w:rPr>
          <w:rFonts w:ascii="Times" w:hAnsi="Times"/>
          <w:color w:val="020202"/>
        </w:rPr>
        <w:fldChar w:fldCharType="begin" w:fldLock="1"/>
      </w:r>
      <w:r w:rsidR="00E95125" w:rsidRPr="006D631C">
        <w:rPr>
          <w:rFonts w:ascii="Times" w:hAnsi="Times"/>
          <w:color w:val="020202"/>
        </w:rPr>
        <w:instrText>ADDIN CSL_CITATION {"citationItems":[{"id":"ITEM-1","itemData":{"DOI":"10.1021/acs.macromol.6b00205","ISSN":"15205835","abstract":"The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J.","non-dropping-particle":"","parse-names":false,"suffix":""}],"container-title":"Macromolecules","id":"ITEM-1","issue":"14","issued":{"date-parts":[["2016"]]},"page":"5179-5189","title":"Self-Assembly of Pluronic F127 Diacrylate in Ethylammonium Nitrate: Structure, Rheology, and Ionic Conductivity before and after Photo-Cross-Linking","type":"article-journal","volume":"49"},"uris":["http://www.mendeley.com/documents/?uuid=6ddc0c83-b7e6-4ae7-bbbe-b38e8eb525a5"]},{"id":"ITEM-2","itemData":{"DOI":"10.1002/1521-3935(200207)203:10/11&lt;1466::AID-MACP1466&gt;3.0.CO;2-P","ISSN":"10221352","author":[{"dropping-particle":"","family":"Cellesi","given":"Francesco","non-dropping-particle":"","parse-names":false,"suffix":""},{"dropping-particle":"","family":"Tirelli","given":"Nicola","non-dropping-particle":"","parse-names":false,"suffix":""},{"dropping-particle":"","family":"Hubbell","given":"Jeffrey A.","non-dropping-particle":"","parse-names":false,"suffix":""}],"container-title":"Macromolecular Chemistry and Physics","id":"ITEM-2","issue":"10-11","issued":{"date-parts":[["2002","7"]]},"page":"1466-1472","title":"Materials for cell encapsulation via a new tandem approach combining reverse thermal gelation and covalent crosslinking","type":"article-journal","volume":"203"},"uris":["http://www.mendeley.com/documents/?uuid=e952ce37-f4eb-4bf7-932a-592412e867d9"]}],"mendeley":{"formattedCitation":"&lt;sup&gt;13,265&lt;/sup&gt;","plainTextFormattedCitation":"13,265","previouslyFormattedCitation":"&lt;sup&gt;13,265&lt;/sup&gt;"},"properties":{"noteIndex":0},"schema":"https://github.com/citation-style-language/schema/raw/master/csl-citation.json"}</w:instrText>
      </w:r>
      <w:r w:rsidRPr="006D631C">
        <w:rPr>
          <w:rFonts w:ascii="Times" w:hAnsi="Times"/>
          <w:color w:val="020202"/>
        </w:rPr>
        <w:fldChar w:fldCharType="separate"/>
      </w:r>
      <w:r w:rsidR="0072669A" w:rsidRPr="006D631C">
        <w:rPr>
          <w:rFonts w:ascii="Times" w:hAnsi="Times"/>
          <w:noProof/>
          <w:color w:val="020202"/>
          <w:vertAlign w:val="superscript"/>
        </w:rPr>
        <w:t>13,265</w:t>
      </w:r>
      <w:r w:rsidRPr="006D631C">
        <w:rPr>
          <w:rFonts w:ascii="Times" w:hAnsi="Times"/>
          <w:color w:val="020202"/>
        </w:rPr>
        <w:fldChar w:fldCharType="end"/>
      </w:r>
      <w:r w:rsidRPr="006D631C">
        <w:rPr>
          <w:rFonts w:ascii="Times" w:hAnsi="Times"/>
          <w:color w:val="020202"/>
        </w:rPr>
        <w:t xml:space="preserve"> Briefly, 40 g of P84 was dissolved in a 150 mL mixture of DCM and toluene (DCM/toluene volume ratio of 80/20) under vacuum. Then, the mixture having a total volume of 190 mL was placed in an ice water bath followed by addition of </w:t>
      </w:r>
      <w:proofErr w:type="spellStart"/>
      <w:r w:rsidRPr="006D631C">
        <w:rPr>
          <w:rFonts w:ascii="Times" w:hAnsi="Times"/>
          <w:color w:val="020202"/>
        </w:rPr>
        <w:t>triethylamine</w:t>
      </w:r>
      <w:proofErr w:type="spellEnd"/>
      <w:r w:rsidRPr="006D631C">
        <w:rPr>
          <w:rFonts w:ascii="Times" w:hAnsi="Times"/>
          <w:color w:val="020202"/>
        </w:rPr>
        <w:t xml:space="preserve"> (2.5 mL). Subsequently, 1.2 mL </w:t>
      </w:r>
      <w:proofErr w:type="spellStart"/>
      <w:r w:rsidRPr="006D631C">
        <w:rPr>
          <w:rFonts w:ascii="Times" w:hAnsi="Times"/>
          <w:color w:val="020202"/>
        </w:rPr>
        <w:t>acryloyl</w:t>
      </w:r>
      <w:proofErr w:type="spellEnd"/>
      <w:r w:rsidRPr="006D631C">
        <w:rPr>
          <w:rFonts w:ascii="Times" w:hAnsi="Times"/>
          <w:color w:val="020202"/>
        </w:rPr>
        <w:t xml:space="preserve"> chloride was dissolved in 40 mL DCM and the obtained solution was added to the reaction mixture drop-wise in around 30 min to control the heat of reaction. The reaction medium was stirred for about 24 h under a static vacuum at room temperature. The precipitated </w:t>
      </w:r>
      <w:proofErr w:type="spellStart"/>
      <w:r w:rsidRPr="006D631C">
        <w:rPr>
          <w:rFonts w:ascii="Times" w:hAnsi="Times"/>
          <w:color w:val="020202"/>
        </w:rPr>
        <w:t>triethylammonium</w:t>
      </w:r>
      <w:proofErr w:type="spellEnd"/>
      <w:r w:rsidRPr="006D631C">
        <w:rPr>
          <w:rFonts w:ascii="Times" w:hAnsi="Times"/>
          <w:color w:val="020202"/>
        </w:rPr>
        <w:t xml:space="preserve"> chloride, which is the by-product of the reaction, was separated from the polymer solution using </w:t>
      </w:r>
      <w:proofErr w:type="spellStart"/>
      <w:r w:rsidRPr="006D631C">
        <w:rPr>
          <w:rFonts w:ascii="Times" w:hAnsi="Times"/>
          <w:color w:val="020202"/>
        </w:rPr>
        <w:t>Büchner</w:t>
      </w:r>
      <w:proofErr w:type="spellEnd"/>
      <w:r w:rsidRPr="006D631C">
        <w:rPr>
          <w:rFonts w:ascii="Times" w:hAnsi="Times"/>
          <w:color w:val="020202"/>
        </w:rPr>
        <w:t xml:space="preserve"> funnel vacuum filtration. At the next step, the functionalized polymer was precipitated in excess n-hexane having a temperature of about </w:t>
      </w:r>
      <w:r w:rsidRPr="006D631C">
        <w:rPr>
          <w:rFonts w:ascii="Times" w:hAnsi="Times" w:cs="Times"/>
          <w:color w:val="020202"/>
        </w:rPr>
        <w:t>−</w:t>
      </w:r>
      <w:r w:rsidRPr="006D631C">
        <w:rPr>
          <w:rFonts w:ascii="Times" w:hAnsi="Times"/>
          <w:color w:val="020202"/>
        </w:rPr>
        <w:t xml:space="preserve">18 </w:t>
      </w:r>
      <w:r w:rsidRPr="006D631C">
        <w:rPr>
          <w:rFonts w:ascii="Times" w:hAnsi="Times" w:cs="Times"/>
          <w:color w:val="020202"/>
        </w:rPr>
        <w:t>°</w:t>
      </w:r>
      <w:r w:rsidRPr="006D631C">
        <w:rPr>
          <w:rFonts w:ascii="Times" w:hAnsi="Times"/>
          <w:color w:val="020202"/>
        </w:rPr>
        <w:t xml:space="preserve">C. Subsequently, the obtained polymer was washed three times with n-hexane through addition </w:t>
      </w:r>
      <w:r w:rsidRPr="006D631C">
        <w:rPr>
          <w:rFonts w:ascii="Times" w:hAnsi="Times"/>
          <w:color w:val="020202"/>
        </w:rPr>
        <w:lastRenderedPageBreak/>
        <w:t xml:space="preserve">of excess amount of the </w:t>
      </w:r>
      <w:r w:rsidRPr="006D631C">
        <w:rPr>
          <w:rFonts w:ascii="Times" w:hAnsi="Times"/>
          <w:i/>
          <w:iCs/>
          <w:color w:val="020202"/>
        </w:rPr>
        <w:t>n</w:t>
      </w:r>
      <w:r w:rsidRPr="006D631C">
        <w:rPr>
          <w:rFonts w:ascii="Times" w:hAnsi="Times"/>
          <w:color w:val="020202"/>
        </w:rPr>
        <w:t>-hexane (about twice of the volume of the polymer) and stirring at 400 rpm with magnetic stirrer for 10 min and dried under vacuum for 3 days. Attenuated total reflectance-Fourier transform infrared spectroscopy (ATR-FTIR, Nicolet™ iS50 FTIR Spectrometer) and nuclear magnetic resonance (</w:t>
      </w:r>
      <w:r w:rsidRPr="006D631C">
        <w:rPr>
          <w:rFonts w:ascii="Times" w:hAnsi="Times"/>
          <w:color w:val="020202"/>
          <w:vertAlign w:val="superscript"/>
        </w:rPr>
        <w:t>1</w:t>
      </w:r>
      <w:r w:rsidRPr="006D631C">
        <w:rPr>
          <w:rFonts w:ascii="Times" w:hAnsi="Times"/>
          <w:color w:val="020202"/>
        </w:rPr>
        <w:t xml:space="preserve">H NMR, Varian VNMRS-400 with Probe </w:t>
      </w:r>
      <w:proofErr w:type="spellStart"/>
      <w:r w:rsidRPr="006D631C">
        <w:rPr>
          <w:rFonts w:ascii="Times" w:hAnsi="Times"/>
          <w:color w:val="020202"/>
        </w:rPr>
        <w:t>AutoX</w:t>
      </w:r>
      <w:proofErr w:type="spellEnd"/>
      <w:r w:rsidRPr="006D631C">
        <w:rPr>
          <w:rFonts w:ascii="Times" w:hAnsi="Times"/>
          <w:color w:val="020202"/>
        </w:rPr>
        <w:t xml:space="preserve">-DB-PFG) were used to evaluate the extent of the functionalization reaction (see </w:t>
      </w:r>
      <w:r w:rsidR="007302EB" w:rsidRPr="006D631C">
        <w:rPr>
          <w:rFonts w:ascii="Times" w:hAnsi="Times"/>
          <w:color w:val="020202"/>
        </w:rPr>
        <w:t>Figure E1-2</w:t>
      </w:r>
      <w:r w:rsidR="006349C9" w:rsidRPr="006D631C">
        <w:rPr>
          <w:rFonts w:ascii="Times" w:hAnsi="Times"/>
          <w:color w:val="020202"/>
        </w:rPr>
        <w:t xml:space="preserve"> and the corresponding text</w:t>
      </w:r>
      <w:r w:rsidRPr="006D631C">
        <w:rPr>
          <w:rFonts w:ascii="Times" w:hAnsi="Times"/>
          <w:color w:val="020202"/>
        </w:rPr>
        <w:t xml:space="preserve"> in </w:t>
      </w:r>
      <w:r w:rsidR="0090028E" w:rsidRPr="006D631C">
        <w:rPr>
          <w:rFonts w:ascii="Times" w:hAnsi="Times"/>
          <w:color w:val="020202"/>
        </w:rPr>
        <w:t xml:space="preserve">Appendix </w:t>
      </w:r>
      <w:r w:rsidR="007302EB" w:rsidRPr="006D631C">
        <w:rPr>
          <w:rFonts w:ascii="Times" w:hAnsi="Times"/>
          <w:color w:val="020202"/>
        </w:rPr>
        <w:t>E</w:t>
      </w:r>
      <w:r w:rsidRPr="006D631C">
        <w:rPr>
          <w:rFonts w:ascii="Times" w:hAnsi="Times"/>
          <w:color w:val="020202"/>
        </w:rPr>
        <w:t>).</w:t>
      </w:r>
    </w:p>
    <w:p w14:paraId="145318F6" w14:textId="6D920521" w:rsidR="001648DE" w:rsidRPr="006D631C" w:rsidRDefault="001648DE" w:rsidP="001648DE">
      <w:pPr>
        <w:pStyle w:val="Heading3"/>
      </w:pPr>
      <w:bookmarkStart w:id="167" w:name="_Toc148175844"/>
      <w:r w:rsidRPr="006D631C">
        <w:t>4.2.3 Mesophase preparation</w:t>
      </w:r>
      <w:bookmarkEnd w:id="167"/>
    </w:p>
    <w:p w14:paraId="599E6D6B" w14:textId="0793967F" w:rsidR="00A604FF" w:rsidRPr="006D631C" w:rsidRDefault="001648DE" w:rsidP="009C6587">
      <w:pPr>
        <w:ind w:firstLine="360"/>
        <w:rPr>
          <w:color w:val="020202"/>
        </w:rPr>
      </w:pPr>
      <w:r w:rsidRPr="006D631C">
        <w:rPr>
          <w:color w:val="020202"/>
        </w:rPr>
        <w:t>The H</w:t>
      </w:r>
      <w:r w:rsidRPr="006D631C">
        <w:rPr>
          <w:color w:val="020202"/>
          <w:vertAlign w:val="subscript"/>
        </w:rPr>
        <w:t>1</w:t>
      </w:r>
      <w:r w:rsidRPr="006D631C">
        <w:rPr>
          <w:color w:val="020202"/>
        </w:rPr>
        <w:t>-structured mesophase was prepared via mixing P84DA, [BMIM</w:t>
      </w:r>
      <w:proofErr w:type="gramStart"/>
      <w:r w:rsidRPr="006D631C">
        <w:rPr>
          <w:color w:val="020202"/>
        </w:rPr>
        <w:t>][</w:t>
      </w:r>
      <w:proofErr w:type="gramEnd"/>
      <w:r w:rsidRPr="006D631C">
        <w:rPr>
          <w:color w:val="020202"/>
        </w:rPr>
        <w:t xml:space="preserve">BF4] (containing 1 </w:t>
      </w:r>
      <w:proofErr w:type="spellStart"/>
      <w:r w:rsidRPr="006D631C">
        <w:rPr>
          <w:color w:val="020202"/>
        </w:rPr>
        <w:t>wt</w:t>
      </w:r>
      <w:proofErr w:type="spellEnd"/>
      <w:r w:rsidRPr="006D631C">
        <w:rPr>
          <w:color w:val="020202"/>
        </w:rPr>
        <w:t xml:space="preserve">% HCPK as UV initiator), and HDDA (containing 10 </w:t>
      </w:r>
      <w:proofErr w:type="spellStart"/>
      <w:r w:rsidRPr="006D631C">
        <w:rPr>
          <w:color w:val="020202"/>
        </w:rPr>
        <w:t>wt</w:t>
      </w:r>
      <w:proofErr w:type="spellEnd"/>
      <w:r w:rsidRPr="006D631C">
        <w:rPr>
          <w:color w:val="020202"/>
        </w:rPr>
        <w:t>% HCPK) with a weight ratio of P84DA/[BMIM][BF4] /HDDA 48.6/48.6/2.8. Hand mixing and centrifugation at 11,000 rpm for 5 min in a 50 mL centrifugal tube were carried out repeatedly until a transparent gel was obtained. Figure 4-1 represents the chemical structure of the components used for mesophase preparation. Additionally, schematic of the created H</w:t>
      </w:r>
      <w:r w:rsidRPr="006D631C">
        <w:rPr>
          <w:color w:val="020202"/>
          <w:vertAlign w:val="subscript"/>
        </w:rPr>
        <w:t>1</w:t>
      </w:r>
      <w:r w:rsidRPr="006D631C">
        <w:rPr>
          <w:color w:val="020202"/>
        </w:rPr>
        <w:t xml:space="preserve"> structure is presented in Fig</w:t>
      </w:r>
      <w:r w:rsidR="009C6587" w:rsidRPr="006D631C">
        <w:rPr>
          <w:color w:val="020202"/>
        </w:rPr>
        <w:t>ure</w:t>
      </w:r>
      <w:r w:rsidRPr="006D631C">
        <w:rPr>
          <w:color w:val="020202"/>
        </w:rPr>
        <w:t xml:space="preserve"> </w:t>
      </w:r>
      <w:r w:rsidR="009C6587" w:rsidRPr="006D631C">
        <w:rPr>
          <w:color w:val="020202"/>
        </w:rPr>
        <w:t>4-</w:t>
      </w:r>
      <w:r w:rsidRPr="006D631C">
        <w:rPr>
          <w:color w:val="020202"/>
        </w:rPr>
        <w:t>1e.</w:t>
      </w:r>
    </w:p>
    <w:p w14:paraId="681D3508" w14:textId="2BE7F22C" w:rsidR="007828B0" w:rsidRPr="006D631C" w:rsidRDefault="007828B0" w:rsidP="00797364">
      <w:pPr>
        <w:pStyle w:val="Heading3"/>
      </w:pPr>
      <w:bookmarkStart w:id="168" w:name="_Toc148175845"/>
      <w:r w:rsidRPr="006D631C">
        <w:t>4.2.</w:t>
      </w:r>
      <w:r w:rsidR="00797364" w:rsidRPr="006D631C">
        <w:t>4</w:t>
      </w:r>
      <w:r w:rsidRPr="006D631C">
        <w:t xml:space="preserve"> Characterization of LLC and polyLLC</w:t>
      </w:r>
      <w:bookmarkEnd w:id="168"/>
    </w:p>
    <w:p w14:paraId="4CFD7AED" w14:textId="1338B5D2" w:rsidR="007828B0" w:rsidRPr="006D631C" w:rsidRDefault="007828B0" w:rsidP="00797364">
      <w:pPr>
        <w:pStyle w:val="Heading4"/>
      </w:pPr>
      <w:bookmarkStart w:id="169" w:name="_Toc148175846"/>
      <w:r w:rsidRPr="006D631C">
        <w:t>4.2.</w:t>
      </w:r>
      <w:r w:rsidR="00797364" w:rsidRPr="006D631C">
        <w:t>4</w:t>
      </w:r>
      <w:r w:rsidRPr="006D631C">
        <w:t>.1 Cross-polarized light microscopy (CPLM)</w:t>
      </w:r>
      <w:bookmarkEnd w:id="169"/>
    </w:p>
    <w:p w14:paraId="44012EF9" w14:textId="5CBDE92B" w:rsidR="009C6587" w:rsidRPr="006D631C" w:rsidRDefault="00802513" w:rsidP="00802513">
      <w:pPr>
        <w:ind w:firstLine="360"/>
        <w:rPr>
          <w:color w:val="020202"/>
        </w:rPr>
      </w:pPr>
      <w:r w:rsidRPr="006D631C">
        <w:rPr>
          <w:rFonts w:asciiTheme="majorBidi" w:hAnsiTheme="majorBidi" w:cstheme="majorBidi"/>
        </w:rPr>
        <w:t>A cross-polarized Nikon microscope (model LABOPHOT2-POL) equipped with a digital camera was used to evaluate the birefringence of the H</w:t>
      </w:r>
      <w:r w:rsidRPr="006D631C">
        <w:rPr>
          <w:rFonts w:asciiTheme="majorBidi" w:hAnsiTheme="majorBidi" w:cstheme="majorBidi"/>
          <w:vertAlign w:val="subscript"/>
        </w:rPr>
        <w:t>1</w:t>
      </w:r>
      <w:r w:rsidRPr="006D631C">
        <w:rPr>
          <w:rFonts w:asciiTheme="majorBidi" w:hAnsiTheme="majorBidi" w:cstheme="majorBidi"/>
        </w:rPr>
        <w:t xml:space="preserve">-structured sample before and after polymerization. Around 0.2 g of the mesophase gel was sandwiched between a glass slide and a glass cover slip for CPLM analysis. To polymerize LLC, the sandwiched sample was cured via UV radiation (using </w:t>
      </w:r>
      <w:proofErr w:type="spellStart"/>
      <w:r w:rsidRPr="006D631C">
        <w:rPr>
          <w:rFonts w:asciiTheme="majorBidi" w:hAnsiTheme="majorBidi" w:cstheme="majorBidi"/>
        </w:rPr>
        <w:t>Uvitron</w:t>
      </w:r>
      <w:proofErr w:type="spellEnd"/>
      <w:r w:rsidRPr="006D631C">
        <w:rPr>
          <w:rFonts w:asciiTheme="majorBidi" w:hAnsiTheme="majorBidi" w:cstheme="majorBidi"/>
        </w:rPr>
        <w:t xml:space="preserve"> Sunray 600 SM curing system equipped with a 600 W UV flood lamp) for 40 s. Structure of the polymerized LLC is schematically shown in Figure 4-1e.</w:t>
      </w:r>
    </w:p>
    <w:p w14:paraId="3B044C44" w14:textId="05C16DCA" w:rsidR="00797364" w:rsidRPr="006D631C" w:rsidRDefault="00797364" w:rsidP="002D56CB">
      <w:pPr>
        <w:pStyle w:val="Heading4"/>
      </w:pPr>
      <w:bookmarkStart w:id="170" w:name="_Toc148175847"/>
      <w:r w:rsidRPr="006D631C">
        <w:lastRenderedPageBreak/>
        <w:t xml:space="preserve">4.2.4.2 </w:t>
      </w:r>
      <w:r w:rsidR="002D56CB" w:rsidRPr="006D631C">
        <w:t>Small angle X-ray scattering (SAXS)</w:t>
      </w:r>
      <w:bookmarkEnd w:id="170"/>
    </w:p>
    <w:p w14:paraId="44CD5FDC" w14:textId="775962C3" w:rsidR="00A9517A" w:rsidRPr="006D631C" w:rsidRDefault="00DB5FCE" w:rsidP="00D24A8F">
      <w:pPr>
        <w:ind w:firstLine="360"/>
      </w:pPr>
      <w:r w:rsidRPr="006D631C">
        <w:rPr>
          <w:rFonts w:asciiTheme="majorBidi" w:hAnsiTheme="majorBidi" w:cstheme="majorBidi"/>
        </w:rPr>
        <w:t xml:space="preserve">SAXS was employed to further evaluate the mesophases of different samples. LLC gel was loaded into quartz capillary tubes with a nominal diameter of 1.5 mm (Charles Supper Company, Natick, MA) and sealed with epoxy glue. The loaded mesophase was cured under UV for 40 s to obtain the polyLLC for SAXS analysis. To analyze the water-swollen sample, the polyLLC was taken out of the capillary tube via breaking it and immersed in water for at least 72 h for the solvent exchange (exchange of water with the ionic liquid) and swelling. Then, the water-swollen sample was pushed into a capillary tube followed by sealing with epoxy glue. </w:t>
      </w:r>
      <w:r w:rsidR="00D24A8F" w:rsidRPr="006D631C">
        <w:rPr>
          <w:rFonts w:asciiTheme="majorBidi" w:hAnsiTheme="majorBidi" w:cstheme="majorBidi"/>
        </w:rPr>
        <w:t>1D</w:t>
      </w:r>
      <w:r w:rsidRPr="006D631C">
        <w:rPr>
          <w:rFonts w:asciiTheme="majorBidi" w:hAnsiTheme="majorBidi" w:cstheme="majorBidi"/>
        </w:rPr>
        <w:t xml:space="preserve"> scattering profiles were obtained from a Bruker </w:t>
      </w:r>
      <w:proofErr w:type="spellStart"/>
      <w:r w:rsidRPr="006D631C">
        <w:rPr>
          <w:rFonts w:asciiTheme="majorBidi" w:hAnsiTheme="majorBidi" w:cstheme="majorBidi"/>
        </w:rPr>
        <w:t>Nanostar</w:t>
      </w:r>
      <w:proofErr w:type="spellEnd"/>
      <w:r w:rsidRPr="006D631C">
        <w:rPr>
          <w:rFonts w:asciiTheme="majorBidi" w:hAnsiTheme="majorBidi" w:cstheme="majorBidi"/>
        </w:rPr>
        <w:t xml:space="preserve"> X-ray scattering system equipped with a monochromatic Cu Kα radiation source (X-ray wavelength of 1.541 Å) through azimuthal integration of </w:t>
      </w:r>
      <w:r w:rsidR="00D24A8F" w:rsidRPr="006D631C">
        <w:rPr>
          <w:rFonts w:asciiTheme="majorBidi" w:hAnsiTheme="majorBidi" w:cstheme="majorBidi"/>
        </w:rPr>
        <w:t>2D</w:t>
      </w:r>
      <w:r w:rsidRPr="006D631C">
        <w:rPr>
          <w:rFonts w:asciiTheme="majorBidi" w:hAnsiTheme="majorBidi" w:cstheme="majorBidi"/>
        </w:rPr>
        <w:t xml:space="preserve"> scattering patterns. SAXS analysis was also performed at different temperatures for LLC gels and water-swollen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to assess any structural changes due to temperature alteration.</w:t>
      </w:r>
    </w:p>
    <w:p w14:paraId="7F2873AC" w14:textId="543404E2" w:rsidR="002F1896" w:rsidRPr="006D631C" w:rsidRDefault="002F1896" w:rsidP="002F1896">
      <w:pPr>
        <w:pStyle w:val="Heading4"/>
      </w:pPr>
      <w:bookmarkStart w:id="171" w:name="_Toc148175848"/>
      <w:r w:rsidRPr="006D631C">
        <w:t>4.2.4.3 Differential scanning calorimetry (DSC)</w:t>
      </w:r>
      <w:bookmarkEnd w:id="171"/>
    </w:p>
    <w:p w14:paraId="47C7FA05" w14:textId="57C8231D" w:rsidR="00A9517A" w:rsidRPr="006D631C" w:rsidRDefault="0099762D" w:rsidP="002A3219">
      <w:pPr>
        <w:ind w:firstLine="360"/>
      </w:pPr>
      <w:r w:rsidRPr="006D631C">
        <w:rPr>
          <w:rFonts w:asciiTheme="majorBidi" w:hAnsiTheme="majorBidi" w:cstheme="majorBidi"/>
        </w:rPr>
        <w:t>Different species including pure P84DA, water-swollen polyLLC, and dried polyLLC (water-swollen polyLLC sample was dried under vacuum for at least 72 h) were analyzed by differential scanning calorimetry (DSC, Q2500, TA Instruments, New Castle, DE). About 10 mg of the desired sample was placed into</w:t>
      </w:r>
      <w:r w:rsidRPr="006D631C" w:rsidDel="008C5706">
        <w:rPr>
          <w:rFonts w:asciiTheme="majorBidi" w:hAnsiTheme="majorBidi" w:cstheme="majorBidi"/>
        </w:rPr>
        <w:t xml:space="preserve"> </w:t>
      </w:r>
      <w:r w:rsidRPr="006D631C">
        <w:rPr>
          <w:rFonts w:asciiTheme="majorBidi" w:hAnsiTheme="majorBidi" w:cstheme="majorBidi"/>
        </w:rPr>
        <w:t>an aluminum pan (PerkinElmer, Inc.) and sealed with a hermetic lid. The thermal analysis was carried out from 0 to 60 °C (and vice versa) with 1 °C/min ramp. The cycle was repeated twice and the second cycle was used for analysis (after erasing the thermal history of the samples).</w:t>
      </w:r>
    </w:p>
    <w:p w14:paraId="18926077" w14:textId="0277235F" w:rsidR="00143EA0" w:rsidRPr="006D631C" w:rsidRDefault="00143EA0" w:rsidP="00DB3215">
      <w:pPr>
        <w:pStyle w:val="Heading4"/>
      </w:pPr>
      <w:bookmarkStart w:id="172" w:name="_Toc148175849"/>
      <w:r w:rsidRPr="006D631C">
        <w:t xml:space="preserve">4.2.4.4 </w:t>
      </w:r>
      <w:r w:rsidR="00DB3215" w:rsidRPr="006D631C">
        <w:t>Swelling behavior of the polyLLC</w:t>
      </w:r>
      <w:bookmarkEnd w:id="172"/>
    </w:p>
    <w:p w14:paraId="7FAC7225" w14:textId="6CF54502" w:rsidR="00A9517A" w:rsidRPr="006D631C" w:rsidRDefault="00231358" w:rsidP="002A3219">
      <w:pPr>
        <w:ind w:firstLine="360"/>
      </w:pPr>
      <w:r w:rsidRPr="006D631C">
        <w:rPr>
          <w:rFonts w:asciiTheme="majorBidi" w:hAnsiTheme="majorBidi" w:cstheme="majorBidi"/>
        </w:rPr>
        <w:t xml:space="preserve">A film of polyLLC having a thickness of 500 µm was created between two glass plates followed by photopolymerization at room temperature. The obtained film was washed several </w:t>
      </w:r>
      <w:r w:rsidRPr="006D631C">
        <w:rPr>
          <w:rFonts w:asciiTheme="majorBidi" w:hAnsiTheme="majorBidi" w:cstheme="majorBidi"/>
        </w:rPr>
        <w:lastRenderedPageBreak/>
        <w:t>times with water and dried under vacuum, from which ca. 2 cm × 2 cm samples were cut for water uptake studies. Each sample was immersed in excess DI water maintained at the desired temperature (±0.1 °C) until reaching equilibrium swollen state. Then, the swollen samples were taken out of water followed by removing the excess water on the surface using paper towel. The swelling capacity (water uptake) was calculated using following equation by using the weight of the dry (</w:t>
      </w:r>
      <w:r w:rsidRPr="006D631C">
        <w:rPr>
          <w:rFonts w:asciiTheme="majorBidi" w:hAnsiTheme="majorBidi" w:cstheme="majorBidi"/>
          <w:i/>
          <w:iCs/>
        </w:rPr>
        <w:t>W</w:t>
      </w:r>
      <w:r w:rsidRPr="006D631C">
        <w:rPr>
          <w:rFonts w:asciiTheme="majorBidi" w:hAnsiTheme="majorBidi" w:cstheme="majorBidi"/>
          <w:i/>
          <w:iCs/>
          <w:vertAlign w:val="subscript"/>
        </w:rPr>
        <w:t>0</w:t>
      </w:r>
      <w:r w:rsidRPr="006D631C">
        <w:rPr>
          <w:rFonts w:asciiTheme="majorBidi" w:hAnsiTheme="majorBidi" w:cstheme="majorBidi"/>
        </w:rPr>
        <w:t>) and swollen (</w:t>
      </w:r>
      <w:proofErr w:type="spellStart"/>
      <w:r w:rsidRPr="006D631C">
        <w:rPr>
          <w:rFonts w:asciiTheme="majorBidi" w:hAnsiTheme="majorBidi" w:cstheme="majorBidi"/>
          <w:i/>
          <w:iCs/>
        </w:rPr>
        <w:t>W</w:t>
      </w:r>
      <w:r w:rsidRPr="006D631C">
        <w:rPr>
          <w:rFonts w:asciiTheme="majorBidi" w:hAnsiTheme="majorBidi" w:cstheme="majorBidi"/>
          <w:i/>
          <w:iCs/>
          <w:vertAlign w:val="subscript"/>
        </w:rPr>
        <w:t>t</w:t>
      </w:r>
      <w:proofErr w:type="spellEnd"/>
      <w:r w:rsidRPr="006D631C">
        <w:rPr>
          <w:rFonts w:asciiTheme="majorBidi" w:hAnsiTheme="majorBidi" w:cstheme="majorBidi"/>
        </w:rPr>
        <w:t>) states:</w:t>
      </w:r>
    </w:p>
    <w:p w14:paraId="2C98FDDC" w14:textId="77EAEC27" w:rsidR="00C76096" w:rsidRPr="006D631C" w:rsidRDefault="00C76096" w:rsidP="00725C73">
      <w:pPr>
        <w:pStyle w:val="Caption"/>
        <w:spacing w:after="0"/>
        <w:rPr>
          <w:rFonts w:asciiTheme="majorBidi" w:hAnsiTheme="majorBidi" w:cstheme="majorBidi"/>
          <w:szCs w:val="24"/>
        </w:rPr>
      </w:pPr>
      <w:r w:rsidRPr="006D631C">
        <w:rPr>
          <w:rFonts w:asciiTheme="majorBidi" w:hAnsiTheme="majorBidi" w:cstheme="majorBidi"/>
          <w:position w:val="-30"/>
          <w:szCs w:val="24"/>
        </w:rPr>
        <w:object w:dxaOrig="3340" w:dyaOrig="680" w14:anchorId="40237DAC">
          <v:shape id="_x0000_i1063" type="#_x0000_t75" style="width:164.4pt;height:34.2pt" o:ole="">
            <v:imagedata r:id="rId124" o:title=""/>
          </v:shape>
          <o:OLEObject Type="Embed" ProgID="Equation.DSMT4" ShapeID="_x0000_i1063" DrawAspect="Content" ObjectID="_1760013331" r:id="rId125"/>
        </w:object>
      </w:r>
      <w:r w:rsidRPr="006D631C">
        <w:rPr>
          <w:rFonts w:asciiTheme="majorBidi" w:hAnsiTheme="majorBidi" w:cstheme="majorBidi"/>
          <w:szCs w:val="24"/>
        </w:rPr>
        <w:t xml:space="preserve"> </w:t>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r>
      <w:r w:rsidRPr="006D631C">
        <w:rPr>
          <w:rFonts w:asciiTheme="majorBidi" w:hAnsiTheme="majorBidi" w:cstheme="majorBidi"/>
          <w:szCs w:val="24"/>
        </w:rPr>
        <w:tab/>
        <w:t xml:space="preserve">              </w:t>
      </w:r>
      <w:r w:rsidRPr="006D631C">
        <w:rPr>
          <w:rFonts w:asciiTheme="majorBidi" w:hAnsiTheme="majorBidi" w:cstheme="majorBidi"/>
          <w:szCs w:val="24"/>
        </w:rPr>
        <w:tab/>
        <w:t xml:space="preserve">       (</w:t>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STYLEREF 1 \s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cs/>
        </w:rPr>
        <w:t>‎</w:t>
      </w:r>
      <w:r w:rsidR="005014F7" w:rsidRPr="006D631C">
        <w:rPr>
          <w:rFonts w:asciiTheme="majorBidi" w:hAnsiTheme="majorBidi" w:cstheme="majorBidi"/>
          <w:szCs w:val="24"/>
        </w:rPr>
        <w:t>4</w:t>
      </w:r>
      <w:r w:rsidR="006A54D9" w:rsidRPr="006D631C">
        <w:rPr>
          <w:rFonts w:asciiTheme="majorBidi" w:hAnsiTheme="majorBidi" w:cstheme="majorBidi"/>
          <w:szCs w:val="24"/>
        </w:rPr>
        <w:fldChar w:fldCharType="end"/>
      </w:r>
      <w:r w:rsidR="006A54D9" w:rsidRPr="006D631C">
        <w:rPr>
          <w:rFonts w:asciiTheme="majorBidi" w:hAnsiTheme="majorBidi" w:cstheme="majorBidi"/>
          <w:szCs w:val="24"/>
        </w:rPr>
        <w:noBreakHyphen/>
      </w:r>
      <w:r w:rsidR="006A54D9" w:rsidRPr="006D631C">
        <w:rPr>
          <w:rFonts w:asciiTheme="majorBidi" w:hAnsiTheme="majorBidi" w:cstheme="majorBidi"/>
          <w:szCs w:val="24"/>
        </w:rPr>
        <w:fldChar w:fldCharType="begin"/>
      </w:r>
      <w:r w:rsidR="006A54D9" w:rsidRPr="006D631C">
        <w:rPr>
          <w:rFonts w:asciiTheme="majorBidi" w:hAnsiTheme="majorBidi" w:cstheme="majorBidi"/>
          <w:szCs w:val="24"/>
        </w:rPr>
        <w:instrText xml:space="preserve"> SEQ Equation \* ARABIC \s 1 </w:instrText>
      </w:r>
      <w:r w:rsidR="006A54D9" w:rsidRPr="006D631C">
        <w:rPr>
          <w:rFonts w:asciiTheme="majorBidi" w:hAnsiTheme="majorBidi" w:cstheme="majorBidi"/>
          <w:szCs w:val="24"/>
        </w:rPr>
        <w:fldChar w:fldCharType="separate"/>
      </w:r>
      <w:r w:rsidR="005014F7" w:rsidRPr="006D631C">
        <w:rPr>
          <w:rFonts w:asciiTheme="majorBidi" w:hAnsiTheme="majorBidi" w:cstheme="majorBidi"/>
          <w:szCs w:val="24"/>
        </w:rPr>
        <w:t>1</w:t>
      </w:r>
      <w:r w:rsidR="006A54D9" w:rsidRPr="006D631C">
        <w:rPr>
          <w:rFonts w:asciiTheme="majorBidi" w:hAnsiTheme="majorBidi" w:cstheme="majorBidi"/>
          <w:szCs w:val="24"/>
        </w:rPr>
        <w:fldChar w:fldCharType="end"/>
      </w:r>
      <w:r w:rsidRPr="006D631C">
        <w:rPr>
          <w:rFonts w:asciiTheme="majorBidi" w:hAnsiTheme="majorBidi" w:cstheme="majorBidi"/>
          <w:szCs w:val="24"/>
        </w:rPr>
        <w:t>)</w:t>
      </w:r>
    </w:p>
    <w:p w14:paraId="5083E428" w14:textId="0EA63CB8" w:rsidR="00A9517A" w:rsidRPr="006D631C" w:rsidRDefault="00725C73" w:rsidP="002A3219">
      <w:pPr>
        <w:ind w:firstLine="360"/>
      </w:pPr>
      <w:r w:rsidRPr="006D631C">
        <w:rPr>
          <w:rFonts w:asciiTheme="majorBidi" w:hAnsiTheme="majorBidi" w:cstheme="majorBidi"/>
        </w:rPr>
        <w:t>The kinetics of thermoresponsiveness was analyzed by transferring the swollen sample from a water bath at 25 °C to one maintained at 45 °C followed by measuring the water uptake in the new environment at different times. To demonstrate the reversibility of the response, the sequential change of the environment (e.g., transferring back and forth between 25 and 45 °C water baths) was performed for several cycles and the swelling capacity was measured upon each environmental change.</w:t>
      </w:r>
    </w:p>
    <w:p w14:paraId="64EDDEDB" w14:textId="53CCBBF5" w:rsidR="00A9517A" w:rsidRPr="006D631C" w:rsidRDefault="004F6FD0" w:rsidP="002A3219">
      <w:pPr>
        <w:ind w:firstLine="360"/>
      </w:pPr>
      <w:r w:rsidRPr="006D631C">
        <w:rPr>
          <w:rFonts w:asciiTheme="majorBidi" w:hAnsiTheme="majorBidi" w:cstheme="majorBidi"/>
        </w:rPr>
        <w:t>At least three samples were analyzed for water uptake measurements and the average value along with standard deviation is reported.</w:t>
      </w:r>
    </w:p>
    <w:p w14:paraId="0DFC2A14" w14:textId="24CC6D69" w:rsidR="00374323" w:rsidRPr="006D631C" w:rsidRDefault="00374323" w:rsidP="00374323">
      <w:pPr>
        <w:pStyle w:val="Heading4"/>
      </w:pPr>
      <w:bookmarkStart w:id="173" w:name="_Toc148175850"/>
      <w:r w:rsidRPr="006D631C">
        <w:t xml:space="preserve">4.2.4.5 </w:t>
      </w:r>
      <w:proofErr w:type="spellStart"/>
      <w:r w:rsidRPr="006D631C">
        <w:t>Rheo</w:t>
      </w:r>
      <w:proofErr w:type="spellEnd"/>
      <w:r w:rsidRPr="006D631C">
        <w:t>-mechanical studies</w:t>
      </w:r>
      <w:bookmarkEnd w:id="173"/>
    </w:p>
    <w:p w14:paraId="33F99058" w14:textId="077EED36" w:rsidR="00A9517A" w:rsidRPr="006D631C" w:rsidRDefault="00D924F6" w:rsidP="0072669A">
      <w:pPr>
        <w:ind w:firstLine="360"/>
        <w:rPr>
          <w:rFonts w:asciiTheme="majorBidi" w:hAnsiTheme="majorBidi" w:cstheme="majorBidi"/>
        </w:rPr>
      </w:pPr>
      <w:r w:rsidRPr="006D631C">
        <w:rPr>
          <w:rFonts w:asciiTheme="majorBidi" w:hAnsiTheme="majorBidi" w:cstheme="majorBidi"/>
        </w:rPr>
        <w:t xml:space="preserve">A strain-controlled </w:t>
      </w:r>
      <w:proofErr w:type="spellStart"/>
      <w:r w:rsidRPr="006D631C">
        <w:rPr>
          <w:rFonts w:asciiTheme="majorBidi" w:hAnsiTheme="majorBidi" w:cstheme="majorBidi"/>
        </w:rPr>
        <w:t>rheometer</w:t>
      </w:r>
      <w:proofErr w:type="spellEnd"/>
      <w:r w:rsidRPr="006D631C">
        <w:rPr>
          <w:rFonts w:asciiTheme="majorBidi" w:hAnsiTheme="majorBidi" w:cstheme="majorBidi"/>
        </w:rPr>
        <w:t xml:space="preserve"> ARES-G2 (TA Instruments, New Castle, DE) was employed to study the rheological behavior of the LLC and the mechanical properties of the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at different states. The mesophase gel was placed in between of 25 mm sandblasted parallel plate geometry (to minimize the wall slip, although our previous work showed that the wall slip is negligible in LLCs </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10.1007/s00397-019-01162-y","ISSN":"0035-4511","author":[{"dropping-particle":"","family":"Qavi","given":"Sahar","non-dropping-particle":"","parse-names":false,"suffix":""},{"dropping-particle":"","family":"Foudazi","given":"Reza","non-dropping-particle":"","parse-names":false,"suffix":""}],"container-title":"Rheologica Acta","id":"ITEM-1","issue":"8","issued":{"date-parts":[["2019","8","31"]]},"page":"483-498","title":"Rheological characteristics of mesophases of block copolymer solutions","type":"article-journal","volume":"58"},"uris":["http://www.mendeley.com/documents/?uuid=9000c51e-6d99-4d1e-8d17-307622d79bc0"]},{"id":"ITEM-2","itemData":{"DOI":"10.1039/D1PY00127B","ISSN":"1759-9954","abstract":"In this study, we show that how the locus of initiation can change kinetics and mechanical properties of polymerized lyotropic liquid crystals.","author":[{"dropping-particle":"","family":"Saadat","given":"Younes","non-dropping-particle":"","parse-names":false,"suffix":""},{"dropping-particle":"","family":"Kim","given":"Kyungtae","non-dropping-particle":"","parse-names":false,"suffix":""},{"dropping-particle":"","family":"Foudazi","given":"Reza","non-dropping-particle":"","parse-names":false,"suffix":""}],"container-title":"Polymer Chemistry","id":"ITEM-2","issue":"15","issued":{"date-parts":[["2021"]]},"page":"2236-2252","title":"Initiator-dependent kinetics of lyotropic liquid crystal-templated thermal polymerization","type":"article-journal","volume":"12"},"uris":["http://www.mendeley.com/documents/?uuid=4aeb67f9-4f0f-437d-baf1-7f29c5689d29"]}],"mendeley":{"formattedCitation":"&lt;sup&gt;245,266&lt;/sup&gt;","plainTextFormattedCitation":"245,266","previouslyFormattedCitation":"&lt;sup&gt;245,266&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245,266</w:t>
      </w:r>
      <w:r w:rsidRPr="006D631C">
        <w:rPr>
          <w:rFonts w:asciiTheme="majorBidi" w:hAnsiTheme="majorBidi" w:cstheme="majorBidi"/>
        </w:rPr>
        <w:fldChar w:fldCharType="end"/>
      </w:r>
      <w:r w:rsidRPr="006D631C">
        <w:rPr>
          <w:rFonts w:asciiTheme="majorBidi" w:hAnsiTheme="majorBidi" w:cstheme="majorBidi"/>
        </w:rPr>
        <w:t>) with 1 mm gap. The viscosity was measured by sweeping temperature from 15 to 50 °C in rotational mode under constant shear rate of 0.1 s</w:t>
      </w:r>
      <w:r w:rsidRPr="006D631C">
        <w:rPr>
          <w:rFonts w:asciiTheme="majorBidi" w:hAnsiTheme="majorBidi" w:cstheme="majorBidi"/>
          <w:vertAlign w:val="superscript"/>
        </w:rPr>
        <w:t>−1</w:t>
      </w:r>
      <w:r w:rsidRPr="006D631C">
        <w:rPr>
          <w:rFonts w:asciiTheme="majorBidi" w:hAnsiTheme="majorBidi" w:cstheme="majorBidi"/>
        </w:rPr>
        <w:t xml:space="preserve">. To make the polymerized </w:t>
      </w:r>
      <w:r w:rsidRPr="006D631C">
        <w:rPr>
          <w:rFonts w:asciiTheme="majorBidi" w:hAnsiTheme="majorBidi" w:cstheme="majorBidi"/>
        </w:rPr>
        <w:lastRenderedPageBreak/>
        <w:t xml:space="preserve">LLC and water-swollen polyLLC samples for rheological studies, the LLC was casted in between of two glass plates separated by 1 mm spacer plates. Then the cast gel was UV-polymerized for 40 s to obtain polyLLC sheet with 1 mm thickness. The polyLLC was then cut in circles having 25 mm diameter. The water-swollen samples were obtained through solvent exchange and swelling of the circular cut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followed by trimming the swollen samples to fit the </w:t>
      </w:r>
      <w:proofErr w:type="spellStart"/>
      <w:r w:rsidRPr="006D631C">
        <w:rPr>
          <w:rFonts w:asciiTheme="majorBidi" w:hAnsiTheme="majorBidi" w:cstheme="majorBidi"/>
        </w:rPr>
        <w:t>rheometer</w:t>
      </w:r>
      <w:proofErr w:type="spellEnd"/>
      <w:r w:rsidRPr="006D631C">
        <w:rPr>
          <w:rFonts w:asciiTheme="majorBidi" w:hAnsiTheme="majorBidi" w:cstheme="majorBidi"/>
        </w:rPr>
        <w:t xml:space="preserve"> geometry. To analyze the acquired samples, dynamic frequency sweep test was carried out in the frequency range of 0.1 to 100 rad/s using 25 mm crosshatched geometry with 1 mm gap. The water-swollen samples were tested at 10, 25 and 45 °C. It should be mentioned that the</w:t>
      </w:r>
      <w:r w:rsidRPr="006D631C">
        <w:t xml:space="preserve"> </w:t>
      </w:r>
      <w:r w:rsidRPr="006D631C">
        <w:rPr>
          <w:rFonts w:asciiTheme="majorBidi" w:hAnsiTheme="majorBidi" w:cstheme="majorBidi"/>
        </w:rPr>
        <w:t>dynamic frequency sweep test was performed in the linear viscoelastic regime (0.1% strain, confirmed from amplitude sweep tests).</w:t>
      </w:r>
    </w:p>
    <w:p w14:paraId="6B145EEA" w14:textId="1D148711" w:rsidR="007F58AA" w:rsidRPr="006D631C" w:rsidRDefault="007F58AA" w:rsidP="007F58AA">
      <w:pPr>
        <w:pStyle w:val="Heading3"/>
      </w:pPr>
      <w:bookmarkStart w:id="174" w:name="_Toc148175851"/>
      <w:r w:rsidRPr="006D631C">
        <w:t>4.2.5 Preparation of the polyLLC membrane</w:t>
      </w:r>
      <w:bookmarkEnd w:id="174"/>
    </w:p>
    <w:p w14:paraId="078A2AB3" w14:textId="6E494803" w:rsidR="007F58AA" w:rsidRPr="006D631C" w:rsidRDefault="007F58AA" w:rsidP="0090028E">
      <w:pPr>
        <w:ind w:firstLine="360"/>
        <w:rPr>
          <w:rFonts w:asciiTheme="majorBidi" w:hAnsiTheme="majorBidi" w:cstheme="majorBidi"/>
        </w:rPr>
      </w:pPr>
      <w:r w:rsidRPr="006D631C">
        <w:rPr>
          <w:rFonts w:asciiTheme="majorBidi" w:hAnsiTheme="majorBidi" w:cstheme="majorBidi"/>
        </w:rPr>
        <w:t xml:space="preserve">To fabricate membranes, first the mesophase was heated to 45 °C to lower its viscosity due to a reversible structural transitions (as confirmed by rheological studies, see </w:t>
      </w:r>
      <w:r w:rsidR="002327AF" w:rsidRPr="006D631C">
        <w:rPr>
          <w:rFonts w:asciiTheme="majorBidi" w:hAnsiTheme="majorBidi" w:cstheme="majorBidi"/>
        </w:rPr>
        <w:t xml:space="preserve">Figure E3-4 and the corresponding text in </w:t>
      </w:r>
      <w:r w:rsidR="0090028E" w:rsidRPr="006D631C">
        <w:rPr>
          <w:rFonts w:asciiTheme="majorBidi" w:hAnsiTheme="majorBidi" w:cstheme="majorBidi"/>
        </w:rPr>
        <w:t xml:space="preserve">Appendix </w:t>
      </w:r>
      <w:r w:rsidR="002327AF" w:rsidRPr="006D631C">
        <w:rPr>
          <w:rFonts w:asciiTheme="majorBidi" w:hAnsiTheme="majorBidi" w:cstheme="majorBidi"/>
        </w:rPr>
        <w:t>E</w:t>
      </w:r>
      <w:r w:rsidRPr="006D631C">
        <w:rPr>
          <w:rFonts w:asciiTheme="majorBidi" w:hAnsiTheme="majorBidi" w:cstheme="majorBidi"/>
        </w:rPr>
        <w:t>). Then, about 1.5 g of the mesophase was placed on a glass sheet followed by covering it with the polyester support layer. A doctor blade was subsequently used to coat the mesophase on the support sheet. The coated mesophase was let to equilibrate to room temperature for 20 min to recover its original H</w:t>
      </w:r>
      <w:r w:rsidRPr="006D631C">
        <w:rPr>
          <w:rFonts w:asciiTheme="majorBidi" w:hAnsiTheme="majorBidi" w:cstheme="majorBidi"/>
          <w:vertAlign w:val="subscript"/>
        </w:rPr>
        <w:t>1</w:t>
      </w:r>
      <w:r w:rsidRPr="006D631C">
        <w:rPr>
          <w:rFonts w:asciiTheme="majorBidi" w:hAnsiTheme="majorBidi" w:cstheme="majorBidi"/>
        </w:rPr>
        <w:t xml:space="preserve"> structure. Finally, the LLC layer was cured via UV radiation for 40 s, resulting in the formation of the supported polyLLC membrane (Figure 4-1f shows the membrane preparation procedure schematically). Scanning electron microscope (SEM, </w:t>
      </w:r>
      <w:proofErr w:type="spellStart"/>
      <w:r w:rsidRPr="006D631C">
        <w:rPr>
          <w:rFonts w:asciiTheme="majorBidi" w:hAnsiTheme="majorBidi" w:cstheme="majorBidi"/>
        </w:rPr>
        <w:t>ThermoFisher</w:t>
      </w:r>
      <w:proofErr w:type="spellEnd"/>
      <w:r w:rsidRPr="006D631C">
        <w:rPr>
          <w:rFonts w:asciiTheme="majorBidi" w:hAnsiTheme="majorBidi" w:cstheme="majorBidi"/>
        </w:rPr>
        <w:t xml:space="preserve"> Quattro S field emission environmental SEM) was used to measure the thickness of the polyLLC coated layer.</w:t>
      </w:r>
    </w:p>
    <w:p w14:paraId="5A94D9E3" w14:textId="77777777" w:rsidR="007F58AA" w:rsidRPr="006D631C" w:rsidRDefault="007F58AA" w:rsidP="007F58AA">
      <w:pPr>
        <w:ind w:firstLine="360"/>
        <w:rPr>
          <w:rFonts w:asciiTheme="majorBidi" w:hAnsiTheme="majorBidi" w:cstheme="majorBidi"/>
        </w:rPr>
      </w:pPr>
      <w:r w:rsidRPr="006D631C">
        <w:rPr>
          <w:rFonts w:asciiTheme="majorBidi" w:hAnsiTheme="majorBidi" w:cstheme="majorBidi"/>
        </w:rPr>
        <w:t>To exchange the ionic liquid with water, all of the fabricated membranes were immersed in water for at least a week before use.</w:t>
      </w:r>
    </w:p>
    <w:p w14:paraId="1B77B089" w14:textId="643CA0F8" w:rsidR="007F58AA" w:rsidRPr="006D631C" w:rsidRDefault="007F58AA" w:rsidP="00AE0914">
      <w:pPr>
        <w:pStyle w:val="Heading3"/>
      </w:pPr>
      <w:bookmarkStart w:id="175" w:name="_Toc148175852"/>
      <w:r w:rsidRPr="006D631C">
        <w:lastRenderedPageBreak/>
        <w:t xml:space="preserve">4.2.6 </w:t>
      </w:r>
      <w:r w:rsidR="00AE0914" w:rsidRPr="006D631C">
        <w:t>Characterization of the polyLLC membrane</w:t>
      </w:r>
      <w:bookmarkEnd w:id="175"/>
    </w:p>
    <w:p w14:paraId="5B078C9A" w14:textId="3A4B1611" w:rsidR="00AE0914" w:rsidRPr="006D631C" w:rsidRDefault="00AE0914" w:rsidP="002D6DEB">
      <w:pPr>
        <w:pStyle w:val="Heading4"/>
      </w:pPr>
      <w:bookmarkStart w:id="176" w:name="_Toc148175853"/>
      <w:r w:rsidRPr="006D631C">
        <w:t xml:space="preserve">4.2.6.1 </w:t>
      </w:r>
      <w:r w:rsidR="002D6DEB" w:rsidRPr="006D631C">
        <w:t>Water flux and permeability</w:t>
      </w:r>
      <w:bookmarkEnd w:id="176"/>
    </w:p>
    <w:p w14:paraId="28864B70" w14:textId="33AC0C10" w:rsidR="001C5CE6" w:rsidRPr="006D631C" w:rsidRDefault="00984B0A" w:rsidP="001C5CE6">
      <w:pPr>
        <w:ind w:firstLine="360"/>
        <w:rPr>
          <w:rFonts w:asciiTheme="majorBidi" w:hAnsiTheme="majorBidi" w:cstheme="majorBidi"/>
        </w:rPr>
      </w:pPr>
      <w:r w:rsidRPr="006D631C">
        <w:rPr>
          <w:rFonts w:asciiTheme="majorBidi" w:hAnsiTheme="majorBidi" w:cstheme="majorBidi"/>
        </w:rPr>
        <w:t xml:space="preserve">The performance of the membranes was evaluated using </w:t>
      </w:r>
      <w:proofErr w:type="spellStart"/>
      <w:r w:rsidRPr="006D631C">
        <w:rPr>
          <w:rFonts w:asciiTheme="majorBidi" w:hAnsiTheme="majorBidi" w:cstheme="majorBidi"/>
        </w:rPr>
        <w:t>Sterlitech</w:t>
      </w:r>
      <w:proofErr w:type="spellEnd"/>
      <w:r w:rsidRPr="006D631C">
        <w:rPr>
          <w:rFonts w:asciiTheme="majorBidi" w:hAnsiTheme="majorBidi" w:cstheme="majorBidi"/>
        </w:rPr>
        <w:t xml:space="preserve"> HP4750 high pressure stirred cell (dead-end filtration system) with the effective area of 14.6 cm</w:t>
      </w:r>
      <w:r w:rsidRPr="006D631C">
        <w:rPr>
          <w:rFonts w:asciiTheme="majorBidi" w:hAnsiTheme="majorBidi" w:cstheme="majorBidi"/>
          <w:vertAlign w:val="superscript"/>
        </w:rPr>
        <w:t>2</w:t>
      </w:r>
      <w:r w:rsidRPr="006D631C">
        <w:rPr>
          <w:rFonts w:asciiTheme="majorBidi" w:hAnsiTheme="majorBidi" w:cstheme="majorBidi"/>
        </w:rPr>
        <w:t xml:space="preserve"> operated under stirring at 750 rpm with a magnetic stirrer and at a pressure of 30 psi (2.07×10</w:t>
      </w:r>
      <w:r w:rsidRPr="006D631C">
        <w:rPr>
          <w:rFonts w:asciiTheme="majorBidi" w:hAnsiTheme="majorBidi" w:cstheme="majorBidi"/>
          <w:vertAlign w:val="superscript"/>
        </w:rPr>
        <w:t>5</w:t>
      </w:r>
      <w:r w:rsidRPr="006D631C">
        <w:rPr>
          <w:rFonts w:asciiTheme="majorBidi" w:hAnsiTheme="majorBidi" w:cstheme="majorBidi"/>
        </w:rPr>
        <w:t xml:space="preserve"> Pa). Thickness-normalized flux (reported as liters m</w:t>
      </w:r>
      <w:r w:rsidRPr="006D631C">
        <w:rPr>
          <w:rFonts w:asciiTheme="majorBidi" w:hAnsiTheme="majorBidi" w:cstheme="majorBidi"/>
          <w:vertAlign w:val="superscript"/>
        </w:rPr>
        <w:t>−2</w:t>
      </w:r>
      <w:r w:rsidRPr="006D631C">
        <w:rPr>
          <w:rFonts w:asciiTheme="majorBidi" w:hAnsiTheme="majorBidi" w:cstheme="majorBidi"/>
        </w:rPr>
        <w:t xml:space="preserve"> hour</w:t>
      </w:r>
      <w:r w:rsidRPr="006D631C">
        <w:rPr>
          <w:rFonts w:asciiTheme="majorBidi" w:hAnsiTheme="majorBidi" w:cstheme="majorBidi"/>
          <w:vertAlign w:val="superscript"/>
        </w:rPr>
        <w:t>−1</w:t>
      </w:r>
      <w:r w:rsidRPr="006D631C">
        <w:rPr>
          <w:rFonts w:asciiTheme="majorBidi" w:hAnsiTheme="majorBidi" w:cstheme="majorBidi"/>
        </w:rPr>
        <w:t xml:space="preserve"> µm) of the membranes was measured at 25 and 45 °C. To measure the flux at elevated temperature, the filtration cell containing the membrane was placed in a water bath maintained at 45 ± 1 °C. The permeate collection was started after ensuring the isothermal conditions in membrane level and having a stable flux. All of the measurements were repeated for three membranes.</w:t>
      </w:r>
      <w:r w:rsidR="00E57E08" w:rsidRPr="006D631C">
        <w:rPr>
          <w:rFonts w:asciiTheme="majorBidi" w:hAnsiTheme="majorBidi" w:cstheme="majorBidi"/>
        </w:rPr>
        <w:t xml:space="preserve"> Darcy's law</w:t>
      </w:r>
      <w:r w:rsidR="00E57E08" w:rsidRPr="006D631C">
        <w:rPr>
          <w:rFonts w:asciiTheme="majorBidi" w:hAnsiTheme="majorBidi" w:cstheme="majorBidi"/>
        </w:rPr>
        <w:fldChar w:fldCharType="begin" w:fldLock="1"/>
      </w:r>
      <w:r w:rsidR="00AB5945"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00E57E08" w:rsidRPr="006D631C">
        <w:rPr>
          <w:rFonts w:asciiTheme="majorBidi" w:hAnsiTheme="majorBidi" w:cstheme="majorBidi"/>
        </w:rPr>
        <w:fldChar w:fldCharType="separate"/>
      </w:r>
      <w:r w:rsidR="00E57E08" w:rsidRPr="006D631C">
        <w:rPr>
          <w:rFonts w:asciiTheme="majorBidi" w:hAnsiTheme="majorBidi" w:cstheme="majorBidi"/>
          <w:noProof/>
          <w:vertAlign w:val="superscript"/>
        </w:rPr>
        <w:t>32</w:t>
      </w:r>
      <w:r w:rsidR="00E57E08" w:rsidRPr="006D631C">
        <w:rPr>
          <w:rFonts w:asciiTheme="majorBidi" w:hAnsiTheme="majorBidi" w:cstheme="majorBidi"/>
        </w:rPr>
        <w:fldChar w:fldCharType="end"/>
      </w:r>
      <w:r w:rsidR="00E57E08" w:rsidRPr="006D631C">
        <w:rPr>
          <w:rFonts w:asciiTheme="majorBidi" w:hAnsiTheme="majorBidi" w:cstheme="majorBidi"/>
        </w:rPr>
        <w:t xml:space="preserve"> was used to calculate the membrane permeability (Eq. 3-1).</w:t>
      </w:r>
    </w:p>
    <w:p w14:paraId="143098D7" w14:textId="45F24515" w:rsidR="0006341F" w:rsidRPr="006D631C" w:rsidRDefault="0006341F" w:rsidP="0006341F">
      <w:pPr>
        <w:pStyle w:val="Heading4"/>
      </w:pPr>
      <w:bookmarkStart w:id="177" w:name="_Toc148175854"/>
      <w:r w:rsidRPr="006D631C">
        <w:t>4.2.6.2 MWCO, protein and dyes rejection measurements</w:t>
      </w:r>
      <w:bookmarkEnd w:id="177"/>
    </w:p>
    <w:p w14:paraId="050A50A4" w14:textId="62B441FD" w:rsidR="00E57E08" w:rsidRPr="006D631C" w:rsidRDefault="00381E8A" w:rsidP="0072669A">
      <w:pPr>
        <w:ind w:firstLine="360"/>
        <w:rPr>
          <w:rFonts w:asciiTheme="majorBidi" w:hAnsiTheme="majorBidi" w:cstheme="majorBidi"/>
        </w:rPr>
      </w:pPr>
      <w:r w:rsidRPr="006D631C">
        <w:rPr>
          <w:color w:val="020202"/>
        </w:rPr>
        <w:t>MWCO measurements were carried out through filtration of 1 mg/mL aqueous solutions of PEG with different molecular weights (1</w:t>
      </w:r>
      <w:r w:rsidRPr="006D631C">
        <w:rPr>
          <w:rFonts w:cs="Times"/>
          <w:color w:val="020202"/>
        </w:rPr>
        <w:t>–</w:t>
      </w:r>
      <w:r w:rsidRPr="006D631C">
        <w:rPr>
          <w:color w:val="020202"/>
        </w:rPr>
        <w:t xml:space="preserve">10 </w:t>
      </w:r>
      <w:proofErr w:type="spellStart"/>
      <w:r w:rsidRPr="006D631C">
        <w:rPr>
          <w:color w:val="020202"/>
        </w:rPr>
        <w:t>kDa</w:t>
      </w:r>
      <w:proofErr w:type="spellEnd"/>
      <w:r w:rsidRPr="006D631C">
        <w:rPr>
          <w:color w:val="020202"/>
        </w:rPr>
        <w:t xml:space="preserve">). At least 5 mL of permeate was collected for each analysis. 3 mL of a reagent </w:t>
      </w:r>
      <w:r w:rsidRPr="006D631C">
        <w:rPr>
          <w:color w:val="020202"/>
        </w:rPr>
        <w:fldChar w:fldCharType="begin" w:fldLock="1"/>
      </w:r>
      <w:r w:rsidR="00E95125" w:rsidRPr="006D631C">
        <w:rPr>
          <w:color w:val="020202"/>
        </w:rPr>
        <w:instrText>ADDIN CSL_CITATION {"citationItems":[{"id":"ITEM-1","itemData":{"DOI":"10.1007/BF02912573","ISSN":"0003021X","author":[{"dropping-particle":"","family":"Chang","given":"Jung-Hung","non-dropping-particle":"","parse-names":false,"suffix":""},{"dropping-particle":"","family":"Ohno","given":"Makoto","non-dropping-particle":"","parse-names":false,"suffix":""},{"dropping-particle":"","family":"Esumi","given":"Kunio","non-dropping-particle":"","parse-names":false,"suffix":""},{"dropping-particle":"","family":"Meguro","given":"Kenjiro","non-dropping-particle":"","parse-names":false,"suffix":""}],"container-title":"Journal of the American Oil Chemists' Society","id":"ITEM-1","issue":"10","issued":{"date-parts":[["1988","10"]]},"page":"1664-1668","title":"Interaction of lodine with nonionic surfactant and polyethylene glycol in aqueous potassium lodide solution","type":"article-journal","volume":"65"},"uris":["http://www.mendeley.com/documents/?uuid=d9a54640-4057-406c-bd79-6f85eda5806f"]}],"mendeley":{"formattedCitation":"&lt;sup&gt;267&lt;/sup&gt;","plainTextFormattedCitation":"267","previouslyFormattedCitation":"&lt;sup&gt;267&lt;/sup&gt;"},"properties":{"noteIndex":0},"schema":"https://github.com/citation-style-language/schema/raw/master/csl-citation.json"}</w:instrText>
      </w:r>
      <w:r w:rsidRPr="006D631C">
        <w:rPr>
          <w:color w:val="020202"/>
        </w:rPr>
        <w:fldChar w:fldCharType="separate"/>
      </w:r>
      <w:r w:rsidR="0072669A" w:rsidRPr="006D631C">
        <w:rPr>
          <w:noProof/>
          <w:color w:val="020202"/>
          <w:vertAlign w:val="superscript"/>
        </w:rPr>
        <w:t>267</w:t>
      </w:r>
      <w:r w:rsidRPr="006D631C">
        <w:rPr>
          <w:color w:val="020202"/>
        </w:rPr>
        <w:fldChar w:fldCharType="end"/>
      </w:r>
      <w:r w:rsidRPr="006D631C">
        <w:rPr>
          <w:color w:val="020202"/>
        </w:rPr>
        <w:t xml:space="preserve"> made of potassium iodide (2 g), iodine (1.27 g), and water (100 mL) was added to 0.3 mL of the collected permeate. Then, UV-Vis spectroscopy (</w:t>
      </w:r>
      <w:proofErr w:type="spellStart"/>
      <w:r w:rsidRPr="006D631C">
        <w:rPr>
          <w:color w:val="020202"/>
        </w:rPr>
        <w:t>Thermo</w:t>
      </w:r>
      <w:proofErr w:type="spellEnd"/>
      <w:r w:rsidRPr="006D631C">
        <w:rPr>
          <w:color w:val="020202"/>
        </w:rPr>
        <w:t xml:space="preserve"> Scientific™ GENESYS™ UV-Vis Spectrophotometer) was used within 15 min of sample preparation to determine the concentration of the PEG in the permeate. </w:t>
      </w:r>
      <w:r w:rsidR="00353C48" w:rsidRPr="006D631C">
        <w:rPr>
          <w:color w:val="020202"/>
        </w:rPr>
        <w:t>Eq. (3-5)</w:t>
      </w:r>
      <w:r w:rsidRPr="006D631C">
        <w:rPr>
          <w:color w:val="020202"/>
        </w:rPr>
        <w:t xml:space="preserve"> was used to calculate PEG rejection</w:t>
      </w:r>
      <w:r w:rsidR="00353C48" w:rsidRPr="006D631C">
        <w:rPr>
          <w:color w:val="020202"/>
        </w:rPr>
        <w:t>.</w:t>
      </w:r>
    </w:p>
    <w:p w14:paraId="0D9A538B" w14:textId="4D874FE0" w:rsidR="00740D0B" w:rsidRPr="006D631C" w:rsidRDefault="00353C48" w:rsidP="00484ED7">
      <w:pPr>
        <w:ind w:firstLine="360"/>
        <w:rPr>
          <w:color w:val="020202"/>
        </w:rPr>
      </w:pPr>
      <w:r w:rsidRPr="006D631C">
        <w:rPr>
          <w:color w:val="020202"/>
        </w:rPr>
        <w:t xml:space="preserve">The rejection capability of the membranes for protein and dyes were studied from filtration of BSA, DR23, and DR80 dispersions in water with 1, 0.5, and 0.5 mg/mL concentration, respectively. The concentration of the filtrated solutes in permeate was detected via UV-Vis spectroscopy. </w:t>
      </w:r>
      <w:r w:rsidR="00484ED7" w:rsidRPr="006D631C">
        <w:rPr>
          <w:color w:val="020202"/>
        </w:rPr>
        <w:t>Eq. (3-5)</w:t>
      </w:r>
      <w:r w:rsidRPr="006D631C">
        <w:rPr>
          <w:color w:val="020202"/>
        </w:rPr>
        <w:t xml:space="preserve"> was used to calculate the rejection.</w:t>
      </w:r>
    </w:p>
    <w:p w14:paraId="5B103032" w14:textId="6D131B41" w:rsidR="00484ED7" w:rsidRPr="006D631C" w:rsidRDefault="00DA3CF9" w:rsidP="00484ED7">
      <w:pPr>
        <w:ind w:firstLine="360"/>
        <w:rPr>
          <w:color w:val="020202"/>
        </w:rPr>
      </w:pPr>
      <w:r w:rsidRPr="006D631C">
        <w:rPr>
          <w:color w:val="020202"/>
        </w:rPr>
        <w:lastRenderedPageBreak/>
        <w:t xml:space="preserve">To assess the thermoresponsiveness of the membranes, all of the experiments were performed at 25 and 45 </w:t>
      </w:r>
      <w:r w:rsidRPr="006D631C">
        <w:rPr>
          <w:rFonts w:cs="Times"/>
          <w:color w:val="020202"/>
        </w:rPr>
        <w:t>°</w:t>
      </w:r>
      <w:r w:rsidRPr="006D631C">
        <w:rPr>
          <w:color w:val="020202"/>
        </w:rPr>
        <w:t>C. Additionally, the experiments were repeated for three membranes and the average value along with the calculated standard deviation is reported.</w:t>
      </w:r>
    </w:p>
    <w:p w14:paraId="18007419" w14:textId="6EA001AD" w:rsidR="00925CA7" w:rsidRPr="006D631C" w:rsidRDefault="00925CA7" w:rsidP="00925CA7">
      <w:pPr>
        <w:pStyle w:val="Heading4"/>
      </w:pPr>
      <w:bookmarkStart w:id="178" w:name="_Toc148175855"/>
      <w:r w:rsidRPr="006D631C">
        <w:t>4.2.6.3 Contact angle and fouling resistance</w:t>
      </w:r>
      <w:bookmarkEnd w:id="178"/>
    </w:p>
    <w:p w14:paraId="11098B18" w14:textId="1C33A3CA" w:rsidR="00DA3CF9" w:rsidRPr="006D631C" w:rsidRDefault="001112F8" w:rsidP="00DA3CF9">
      <w:pPr>
        <w:ind w:firstLine="360"/>
        <w:rPr>
          <w:color w:val="020202"/>
        </w:rPr>
      </w:pPr>
      <w:r w:rsidRPr="006D631C">
        <w:rPr>
          <w:color w:val="020202"/>
        </w:rPr>
        <w:t xml:space="preserve">Contact angle of the membranes was measured by using an optical </w:t>
      </w:r>
      <w:proofErr w:type="spellStart"/>
      <w:r w:rsidRPr="006D631C">
        <w:rPr>
          <w:color w:val="020202"/>
        </w:rPr>
        <w:t>tensiometer</w:t>
      </w:r>
      <w:proofErr w:type="spellEnd"/>
      <w:r w:rsidRPr="006D631C">
        <w:rPr>
          <w:color w:val="020202"/>
        </w:rPr>
        <w:t xml:space="preserve"> (</w:t>
      </w:r>
      <w:proofErr w:type="spellStart"/>
      <w:r w:rsidRPr="006D631C">
        <w:rPr>
          <w:color w:val="020202"/>
        </w:rPr>
        <w:t>Biolin</w:t>
      </w:r>
      <w:proofErr w:type="spellEnd"/>
      <w:r w:rsidRPr="006D631C">
        <w:rPr>
          <w:color w:val="020202"/>
        </w:rPr>
        <w:t xml:space="preserve"> Scientific). Fouling resistance of the membranes was tested through filtration of aqueous dispersions of PEG with molecular weight of 10 </w:t>
      </w:r>
      <w:proofErr w:type="spellStart"/>
      <w:r w:rsidRPr="006D631C">
        <w:rPr>
          <w:color w:val="020202"/>
        </w:rPr>
        <w:t>kDa</w:t>
      </w:r>
      <w:proofErr w:type="spellEnd"/>
      <w:r w:rsidRPr="006D631C">
        <w:rPr>
          <w:color w:val="020202"/>
        </w:rPr>
        <w:t>, BSA, and DR80 at 1 mg/mL concentrations. The filtration cell was filled with about 250 mL of solution at the beginning of the experiment and 5</w:t>
      </w:r>
      <w:r w:rsidRPr="006D631C">
        <w:rPr>
          <w:rFonts w:cs="Times"/>
          <w:color w:val="020202"/>
        </w:rPr>
        <w:t>–</w:t>
      </w:r>
      <w:r w:rsidRPr="006D631C">
        <w:rPr>
          <w:color w:val="020202"/>
        </w:rPr>
        <w:t>8 mL permeate was collected every 12 h. The test was continued for 60 h and the membrane flux and rejection were recorded in 12 h time intervals.</w:t>
      </w:r>
    </w:p>
    <w:p w14:paraId="641ED3FC" w14:textId="74E5BA60" w:rsidR="00471D36" w:rsidRPr="006D631C" w:rsidRDefault="00471D36" w:rsidP="00471D36">
      <w:pPr>
        <w:pStyle w:val="Heading2"/>
      </w:pPr>
      <w:bookmarkStart w:id="179" w:name="_Toc148175856"/>
      <w:r w:rsidRPr="006D631C">
        <w:t>4.3 Results and discussions</w:t>
      </w:r>
      <w:bookmarkEnd w:id="179"/>
    </w:p>
    <w:p w14:paraId="2569E02D" w14:textId="0E4A2CB4" w:rsidR="00525EDD" w:rsidRPr="006D631C" w:rsidRDefault="00525EDD" w:rsidP="00525EDD">
      <w:pPr>
        <w:pStyle w:val="Heading3"/>
      </w:pPr>
      <w:bookmarkStart w:id="180" w:name="_Toc148175857"/>
      <w:r w:rsidRPr="006D631C">
        <w:t>4.3.1 Characterization of LLC and polyLLC</w:t>
      </w:r>
      <w:bookmarkEnd w:id="180"/>
    </w:p>
    <w:p w14:paraId="4FD0C057" w14:textId="78C87478" w:rsidR="00DA3CF9" w:rsidRPr="006D631C" w:rsidRDefault="009F5FBB" w:rsidP="002E14E4">
      <w:pPr>
        <w:ind w:firstLine="360"/>
      </w:pPr>
      <w:r w:rsidRPr="006D631C">
        <w:rPr>
          <w:rFonts w:asciiTheme="majorBidi" w:hAnsiTheme="majorBidi" w:cstheme="majorBidi"/>
        </w:rPr>
        <w:t>Combination of CPLM and SAXS was used to confirm the structure of the LLC as well as the synthesized polyLLC at different states. As shown in Fig</w:t>
      </w:r>
      <w:r w:rsidR="00AB5945" w:rsidRPr="006D631C">
        <w:rPr>
          <w:rFonts w:asciiTheme="majorBidi" w:hAnsiTheme="majorBidi" w:cstheme="majorBidi"/>
        </w:rPr>
        <w:t>ure</w:t>
      </w:r>
      <w:r w:rsidRPr="006D631C">
        <w:rPr>
          <w:rFonts w:asciiTheme="majorBidi" w:hAnsiTheme="majorBidi" w:cstheme="majorBidi"/>
        </w:rPr>
        <w:t xml:space="preserve"> </w:t>
      </w:r>
      <w:r w:rsidR="00AB5945" w:rsidRPr="006D631C">
        <w:rPr>
          <w:rFonts w:asciiTheme="majorBidi" w:hAnsiTheme="majorBidi" w:cstheme="majorBidi"/>
        </w:rPr>
        <w:t>4-</w:t>
      </w:r>
      <w:r w:rsidRPr="006D631C">
        <w:rPr>
          <w:rFonts w:asciiTheme="majorBidi" w:hAnsiTheme="majorBidi" w:cstheme="majorBidi"/>
        </w:rPr>
        <w:t>2a, CPLM confirms that the LLC is birefringent. The observed CPLM texture is the characteristic of hexagonal mesophases</w:t>
      </w:r>
      <w:r w:rsidR="00AB5945" w:rsidRPr="006D631C">
        <w:rPr>
          <w:rFonts w:asciiTheme="majorBidi" w:hAnsiTheme="majorBidi" w:cstheme="majorBidi"/>
        </w:rPr>
        <w:t>.</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{"citationItems":[{"id":"ITEM-1","itemData":{"DOI":"10.1021/ma030037e","ISSN":"00249297","abstract":"Nanostructured polymers are of significant interest due to their potential use in applications ranging from ultrafiltration membranes to catalysis supports. To date, much research has focused on using small molecular weight surfactants that form lyotropic liquid crystals (LLCs) as polymerization templates or polymerizing reactive LLCs to form such nanostructure in polymers. LLC phases formed from small molecular weight surfactants, however, are in and of themselves neither thermally nor mechanically stable, often rendering it difficult to preserve the LLC structure throughout polymerization. A relatively new class of surfactant molecules, Pluronic block copolymers, may afford increased flexibility in nanostructure development when used as polymerization templates. This work has focused on the photopolymerization of water and oil-soluble monomers in Pluronic lyotropic liquid crystals. In particular, the effect that LLC order and monomer segregation behavior has on monomer polymerization rate has been examined. The order of the LLC mesophase has a significant impact on polymerization rate with faster polymerization occurring in the normal phases for the oil-soluble monomer hexanediol diacrylate (HDDA) and in the inverse phases for the water-soluble monomer poly(ethylene glycol) diacrylate (PEG-400-DA). In addition, the effect of monomer addition and polymerization on LLC order has been characterized, with retention of LLC order before and after photopolymerization. Mesophase thermal stability, or the persistence of an LC phase at elevated temperatures, has also been examined for the polymer/LLC hydrogels to determine how polymer nanostructure differences affect fundamental LLC properties. Interestingly, when PEG-400-DA is polymerized in the continuous domains of the hexagonal mesophase, the clearing point is increased more than 40°C. However, when HDDA is polymerized in the discontinuous domains of hexagonal phase, the mesophase thermal stability increases only 25°C. Conversely, when HDDA is polymerized in the continuous region of the inverse hexagonal phase, the clearing point increases more than 60°C. The difference in polymer nanostructure that evolves during the polymerizations directly impacts the mesophase thermal stability. The LLC polymerization also affects the physical properties of polymer/Pluronic hydrogels with significant differences in compressive modulus observed based on the LLC phase in which the nanostructured polymer is generated.","author":[{"dropping-particle":"","family":"McCormick","given":"Demetrius T.","non-dropping-particle":"","parse-names":false,"suffix":""},{"dropping-particle":"","family":"Stovall","given":"Kalena D.","non-dropping-particle":"","parse-names":false,"suffix":""},{"dropping-particle":"","family":"Guymon","given":"C. Allan","non-dropping-particle":"","parse-names":false,"suffix":""}],"container-title":"Macromolecules","id":"ITEM-1","issue":"17","issued":{"date-parts":[["2003","8"]]},"page":"6549-6558","title":"Photopolymerization in pluronic lyotropic liquid crystals: Induced mesophase thermal stability","type":"article-journal","volume":"36"},"uris":["http://www.mendeley.com/documents/?uuid=ae7754a0-e1c1-4349-91b8-e716989d935f"]}],"mendeley":{"formattedCitation":"&lt;sup&gt;45&lt;/sup&gt;","plainTextFormattedCitation":"45","previouslyFormattedCitation":"&lt;sup&gt;45&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45</w:t>
      </w:r>
      <w:r w:rsidRPr="006D631C">
        <w:rPr>
          <w:rFonts w:asciiTheme="majorBidi" w:hAnsiTheme="majorBidi" w:cstheme="majorBidi"/>
        </w:rPr>
        <w:fldChar w:fldCharType="end"/>
      </w:r>
      <w:r w:rsidRPr="006D631C">
        <w:rPr>
          <w:rFonts w:asciiTheme="majorBidi" w:hAnsiTheme="majorBidi" w:cstheme="majorBidi"/>
        </w:rPr>
        <w:t xml:space="preserve"> The birefringence remains intact after polymerization, implying that the polyLLC retains the parental structure. Furthermore, analysis of the water-swollen polyLLC at 25 °C indicates that the structure is preserved after the solvent exchange. SAXS analysis quantitatively confirms the CPLM results. As can be seen in Fig</w:t>
      </w:r>
      <w:r w:rsidR="00E61F08" w:rsidRPr="006D631C">
        <w:rPr>
          <w:rFonts w:asciiTheme="majorBidi" w:hAnsiTheme="majorBidi" w:cstheme="majorBidi"/>
        </w:rPr>
        <w:t>ure</w:t>
      </w:r>
      <w:r w:rsidRPr="006D631C">
        <w:rPr>
          <w:rFonts w:asciiTheme="majorBidi" w:hAnsiTheme="majorBidi" w:cstheme="majorBidi"/>
        </w:rPr>
        <w:t xml:space="preserve"> </w:t>
      </w:r>
      <w:r w:rsidR="00E61F08" w:rsidRPr="006D631C">
        <w:rPr>
          <w:rFonts w:asciiTheme="majorBidi" w:hAnsiTheme="majorBidi" w:cstheme="majorBidi"/>
        </w:rPr>
        <w:t>4-</w:t>
      </w:r>
      <w:r w:rsidRPr="006D631C">
        <w:rPr>
          <w:rFonts w:asciiTheme="majorBidi" w:hAnsiTheme="majorBidi" w:cstheme="majorBidi"/>
        </w:rPr>
        <w:t>2d, Bragg peaks with ratios (</w:t>
      </w:r>
      <w:r w:rsidRPr="006D631C">
        <w:rPr>
          <w:rFonts w:asciiTheme="majorBidi" w:hAnsiTheme="majorBidi" w:cstheme="majorBidi"/>
          <w:i/>
          <w:iCs/>
        </w:rPr>
        <w:t>q/q</w:t>
      </w:r>
      <w:r w:rsidRPr="006D631C">
        <w:rPr>
          <w:rFonts w:asciiTheme="majorBidi" w:hAnsiTheme="majorBidi" w:cstheme="majorBidi"/>
          <w:i/>
          <w:iCs/>
          <w:vertAlign w:val="superscript"/>
        </w:rPr>
        <w:t>*</w:t>
      </w:r>
      <w:r w:rsidRPr="006D631C">
        <w:rPr>
          <w:rFonts w:asciiTheme="majorBidi" w:hAnsiTheme="majorBidi" w:cstheme="majorBidi"/>
        </w:rPr>
        <w:t>) of 1:</w:t>
      </w:r>
      <m:oMath>
        <m:rad>
          <m:radPr>
            <m:degHide m:val="1"/>
            <m:ctrlPr>
              <w:rPr>
                <w:rFonts w:ascii="Cambria Math" w:hAnsi="Cambria Math" w:cstheme="majorBidi"/>
                <w:i/>
              </w:rPr>
            </m:ctrlPr>
          </m:radPr>
          <m:deg/>
          <m:e>
            <m:r>
              <m:rPr>
                <m:nor/>
              </m:rPr>
              <w:rPr>
                <w:rFonts w:ascii="Cambria Math" w:hAnsi="Cambria Math" w:cstheme="majorBidi"/>
              </w:rPr>
              <m:t>3</m:t>
            </m:r>
          </m:e>
        </m:rad>
      </m:oMath>
      <w:r w:rsidRPr="006D631C">
        <w:rPr>
          <w:rFonts w:asciiTheme="majorBidi" w:eastAsiaTheme="minorEastAsia" w:hAnsiTheme="majorBidi" w:cstheme="majorBidi"/>
        </w:rPr>
        <w:t>:2:</w:t>
      </w:r>
      <m:oMath>
        <m:rad>
          <m:radPr>
            <m:degHide m:val="1"/>
            <m:ctrlPr>
              <w:rPr>
                <w:rFonts w:ascii="Cambria Math" w:eastAsiaTheme="minorEastAsia" w:hAnsi="Cambria Math" w:cstheme="majorBidi"/>
                <w:i/>
              </w:rPr>
            </m:ctrlPr>
          </m:radPr>
          <m:deg/>
          <m:e>
            <m:r>
              <w:rPr>
                <w:rFonts w:ascii="Cambria Math" w:eastAsiaTheme="minorEastAsia" w:hAnsi="Cambria Math" w:cstheme="majorBidi"/>
              </w:rPr>
              <m:t>7</m:t>
            </m:r>
          </m:e>
        </m:rad>
      </m:oMath>
      <w:r w:rsidRPr="006D631C">
        <w:rPr>
          <w:rFonts w:asciiTheme="majorBidi" w:hAnsiTheme="majorBidi" w:cstheme="majorBidi"/>
        </w:rPr>
        <w:t xml:space="preserve"> are detected for the mesophase, where </w:t>
      </w:r>
      <w:r w:rsidRPr="006D631C">
        <w:rPr>
          <w:rFonts w:asciiTheme="majorBidi" w:hAnsiTheme="majorBidi" w:cstheme="majorBidi"/>
          <w:i/>
          <w:iCs/>
        </w:rPr>
        <w:t>q</w:t>
      </w:r>
      <w:r w:rsidRPr="006D631C">
        <w:rPr>
          <w:rFonts w:asciiTheme="majorBidi" w:hAnsiTheme="majorBidi" w:cstheme="majorBidi"/>
        </w:rPr>
        <w:t xml:space="preserve"> is the scattering vector and </w:t>
      </w:r>
      <w:r w:rsidRPr="006D631C">
        <w:rPr>
          <w:rFonts w:asciiTheme="majorBidi" w:hAnsiTheme="majorBidi" w:cstheme="majorBidi"/>
          <w:i/>
          <w:iCs/>
        </w:rPr>
        <w:t>q</w:t>
      </w:r>
      <w:r w:rsidRPr="006D631C">
        <w:rPr>
          <w:rFonts w:asciiTheme="majorBidi" w:hAnsiTheme="majorBidi" w:cstheme="majorBidi"/>
          <w:i/>
          <w:iCs/>
          <w:vertAlign w:val="superscript"/>
        </w:rPr>
        <w:t>*</w:t>
      </w:r>
      <w:r w:rsidRPr="006D631C">
        <w:rPr>
          <w:rFonts w:asciiTheme="majorBidi" w:hAnsiTheme="majorBidi" w:cstheme="majorBidi"/>
        </w:rPr>
        <w:t xml:space="preserve"> is the position of the principal peak in each curve. Therefore, a highly ordered H</w:t>
      </w:r>
      <w:r w:rsidRPr="006D631C">
        <w:rPr>
          <w:rFonts w:asciiTheme="majorBidi" w:hAnsiTheme="majorBidi" w:cstheme="majorBidi"/>
          <w:vertAlign w:val="subscript"/>
        </w:rPr>
        <w:t>1</w:t>
      </w:r>
      <w:r w:rsidRPr="006D631C">
        <w:rPr>
          <w:rFonts w:asciiTheme="majorBidi" w:hAnsiTheme="majorBidi" w:cstheme="majorBidi"/>
        </w:rPr>
        <w:t xml:space="preserve"> structure is present in the samples. The peaks corresponding to H</w:t>
      </w:r>
      <w:r w:rsidRPr="006D631C">
        <w:rPr>
          <w:rFonts w:asciiTheme="majorBidi" w:hAnsiTheme="majorBidi" w:cstheme="majorBidi"/>
          <w:vertAlign w:val="subscript"/>
        </w:rPr>
        <w:t>1</w:t>
      </w:r>
      <w:r w:rsidRPr="006D631C">
        <w:rPr>
          <w:rFonts w:asciiTheme="majorBidi" w:hAnsiTheme="majorBidi" w:cstheme="majorBidi"/>
        </w:rPr>
        <w:t xml:space="preserve"> structure (ratio of 1:</w:t>
      </w:r>
      <m:oMath>
        <m:rad>
          <m:radPr>
            <m:degHide m:val="1"/>
            <m:ctrlPr>
              <w:rPr>
                <w:rFonts w:ascii="Cambria Math" w:hAnsi="Cambria Math" w:cstheme="majorBidi"/>
                <w:i/>
              </w:rPr>
            </m:ctrlPr>
          </m:radPr>
          <m:deg/>
          <m:e>
            <m:r>
              <m:rPr>
                <m:nor/>
              </m:rPr>
              <w:rPr>
                <w:rFonts w:ascii="Cambria Math" w:hAnsi="Cambria Math" w:cstheme="majorBidi"/>
              </w:rPr>
              <m:t>3</m:t>
            </m:r>
          </m:e>
        </m:rad>
      </m:oMath>
      <w:r w:rsidRPr="006D631C">
        <w:rPr>
          <w:rFonts w:asciiTheme="majorBidi" w:eastAsiaTheme="minorEastAsia" w:hAnsiTheme="majorBidi" w:cstheme="majorBidi"/>
        </w:rPr>
        <w:t>)</w:t>
      </w:r>
      <w:r w:rsidRPr="006D631C">
        <w:rPr>
          <w:rFonts w:asciiTheme="majorBidi" w:hAnsiTheme="majorBidi" w:cstheme="majorBidi"/>
        </w:rPr>
        <w:t xml:space="preserve"> is also seen for the </w:t>
      </w:r>
      <w:r w:rsidR="00E61F08" w:rsidRPr="006D631C">
        <w:rPr>
          <w:rFonts w:asciiTheme="majorBidi" w:hAnsiTheme="majorBidi" w:cstheme="majorBidi"/>
        </w:rPr>
        <w:t>polyLLC</w:t>
      </w:r>
      <w:r w:rsidRPr="006D631C">
        <w:rPr>
          <w:rFonts w:asciiTheme="majorBidi" w:hAnsiTheme="majorBidi" w:cstheme="majorBidi"/>
        </w:rPr>
        <w:t xml:space="preserve"> and water-swollen polyLLC. While higher peak ratios are not observed, having the characteristic birefringence of H</w:t>
      </w:r>
      <w:r w:rsidRPr="006D631C">
        <w:rPr>
          <w:rFonts w:asciiTheme="majorBidi" w:hAnsiTheme="majorBidi" w:cstheme="majorBidi"/>
          <w:vertAlign w:val="subscript"/>
        </w:rPr>
        <w:t>1</w:t>
      </w:r>
      <w:r w:rsidRPr="006D631C">
        <w:rPr>
          <w:rFonts w:asciiTheme="majorBidi" w:hAnsiTheme="majorBidi" w:cstheme="majorBidi"/>
        </w:rPr>
        <w:t xml:space="preserve"> structure and the </w:t>
      </w:r>
      <w:r w:rsidRPr="006D631C">
        <w:rPr>
          <w:rFonts w:asciiTheme="majorBidi" w:hAnsiTheme="majorBidi" w:cstheme="majorBidi"/>
        </w:rPr>
        <w:lastRenderedPageBreak/>
        <w:t>first two peaks confirm that the structure is mostly retained after polymerization and solvent exchange. Similar observation has also been reported by Forney et al.</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Matter","id":"ITEM-1","issue":"31","issued":{"date-parts":[["2013"]]},"page":"7458-7467","title":"Improved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mendeley":{"formattedCitation":"&lt;sup&gt;42&lt;/sup&gt;","plainTextFormattedCitation":"42","previouslyFormattedCitation":"&lt;sup&gt;42&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42</w:t>
      </w:r>
      <w:r w:rsidRPr="006D631C">
        <w:rPr>
          <w:rFonts w:asciiTheme="majorBidi" w:hAnsiTheme="majorBidi" w:cstheme="majorBidi"/>
        </w:rPr>
        <w:fldChar w:fldCharType="end"/>
      </w:r>
      <w:r w:rsidRPr="006D631C">
        <w:rPr>
          <w:rFonts w:asciiTheme="majorBidi" w:hAnsiTheme="majorBidi" w:cstheme="majorBidi"/>
        </w:rPr>
        <w:t xml:space="preserve"> and </w:t>
      </w:r>
      <w:proofErr w:type="spellStart"/>
      <w:r w:rsidRPr="006D631C">
        <w:rPr>
          <w:rFonts w:asciiTheme="majorBidi" w:hAnsiTheme="majorBidi" w:cstheme="majorBidi"/>
        </w:rPr>
        <w:t>Sievens</w:t>
      </w:r>
      <w:proofErr w:type="spellEnd"/>
      <w:r w:rsidRPr="006D631C">
        <w:rPr>
          <w:rFonts w:asciiTheme="majorBidi" w:hAnsiTheme="majorBidi" w:cstheme="majorBidi"/>
        </w:rPr>
        <w:t>-Figueroa et al.</w:t>
      </w:r>
      <w:r w:rsidRPr="006D631C">
        <w:rPr>
          <w:rFonts w:asciiTheme="majorBidi" w:hAnsiTheme="majorBidi" w:cstheme="majorBidi"/>
        </w:rPr>
        <w:fldChar w:fldCharType="begin" w:fldLock="1"/>
      </w:r>
      <w:r w:rsidR="000134EA" w:rsidRPr="006D631C">
        <w:rPr>
          <w:rFonts w:asciiTheme="majorBidi" w:hAnsiTheme="majorBidi" w:cstheme="majorBidi"/>
        </w:rPr>
        <w:instrText>ADDIN CSL_CITATION {"citationItems":[{"id":"ITEM-1","itemData":{"DOI":"10.1021/ma901318f","ISSN":"00249297","abstract":"The synthesis of polymers with inherent nanostructure has recently received much attention because of the wide range of potential application in which these materials could be used. To understand thefactors that affect the nanoscopic order preservation upon polymerization, this work examines the influenceof reactive group position in polymerizable surfactants that form reactive lyotropic liquid crystals (LLCs) onpolymerization kinetics and order before and after polymerization. Less ordered LLCphases are formed withreactive surfactants bearing reactive groups in the nonpolar tail compared to reactive surfactants withreactive groups near the polar head. The polymerization kinetics are influenced by both the LLC order andthe position of the reactive group. Higher polymerization rates are observed for reactive surfactants with thereactive group near the polar head with increasing surfactant concentration and LLC order. On the other hand, lower polymerization rates are observed for the reactive surfactant with the reactive group in thealiphatic tail at higher surfactant concentrations and LLC order. This behavior is mainly due to segregation of the reactive groups in different regions of the LLC phases as indicated by an apparent increase in both the prates, greater LLC order preservation is observed after polymerization. Also, by using higher light intensities, the resulting polymer exhibits higher degrees of LLC order retention than that observed when polymerization is initiated with lower light intensities and corresponding lower polymerization rate. © 2009 American Chemical Society.","author":[{"dropping-particle":"","family":"Sievens-Figueroa","given":"Lucas","non-dropping-particle":"","parse-names":false,"suffix":""},{"dropping-particle":"","family":"Guymon","given":"C. Allan","non-dropping-particle":"","parse-names":false,"suffix":""}],"container-title":"Macromolecules","id":"ITEM-1","issue":"23","issued":{"date-parts":[["2009"]]},"page":"9243-9250","title":"Polymerization kinetics and nanostructure evolution of reactive lyotropic liquid crystals with different reactive group position","type":"article-journal","volume":"42"},"uris":["http://www.mendeley.com/documents/?uuid=e6dcbf22-504d-4d17-bd09-02e76fa55c8b"]}],"mendeley":{"formattedCitation":"&lt;sup&gt;96&lt;/sup&gt;","plainTextFormattedCitation":"96","previouslyFormattedCitation":"&lt;sup&gt;96&lt;/sup&gt;"},"properties":{"noteIndex":0},"schema":"https://github.com/citation-style-language/schema/raw/master/csl-citation.json"}</w:instrText>
      </w:r>
      <w:r w:rsidRPr="006D631C">
        <w:rPr>
          <w:rFonts w:asciiTheme="majorBidi" w:hAnsiTheme="majorBidi" w:cstheme="majorBidi"/>
        </w:rPr>
        <w:fldChar w:fldCharType="separate"/>
      </w:r>
      <w:r w:rsidR="00AB5945" w:rsidRPr="006D631C">
        <w:rPr>
          <w:rFonts w:asciiTheme="majorBidi" w:hAnsiTheme="majorBidi" w:cstheme="majorBidi"/>
          <w:noProof/>
          <w:vertAlign w:val="superscript"/>
        </w:rPr>
        <w:t>96</w:t>
      </w:r>
      <w:r w:rsidRPr="006D631C">
        <w:rPr>
          <w:rFonts w:asciiTheme="majorBidi" w:hAnsiTheme="majorBidi" w:cstheme="majorBidi"/>
        </w:rPr>
        <w:fldChar w:fldCharType="end"/>
      </w:r>
      <w:r w:rsidRPr="006D631C">
        <w:rPr>
          <w:rFonts w:asciiTheme="majorBidi" w:hAnsiTheme="majorBidi" w:cstheme="majorBidi"/>
        </w:rPr>
        <w:t xml:space="preserve"> for hexagonal structures, in which some of the SAXS peaks become weak after polymerization while the synthesized polymer still exhibits some other desired characteristic peaks. This behavior has been attributed to minor changes in the structure (e.g., adhering micelles to each other</w:t>
      </w:r>
      <w:r w:rsidRPr="006D631C">
        <w:rPr>
          <w:rFonts w:asciiTheme="majorBidi" w:hAnsiTheme="majorBidi" w:cstheme="majorBidi"/>
        </w:rPr>
        <w:fldChar w:fldCharType="begin" w:fldLock="1"/>
      </w:r>
      <w:r w:rsidR="000134EA"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rFonts w:asciiTheme="majorBidi" w:hAnsiTheme="majorBidi" w:cstheme="majorBidi"/>
        </w:rPr>
        <w:fldChar w:fldCharType="separate"/>
      </w:r>
      <w:r w:rsidR="00AB5945" w:rsidRPr="006D631C">
        <w:rPr>
          <w:rFonts w:asciiTheme="majorBidi" w:hAnsiTheme="majorBidi" w:cstheme="majorBidi"/>
          <w:noProof/>
          <w:vertAlign w:val="superscript"/>
        </w:rPr>
        <w:t>31</w:t>
      </w:r>
      <w:r w:rsidRPr="006D631C">
        <w:rPr>
          <w:rFonts w:asciiTheme="majorBidi" w:hAnsiTheme="majorBidi" w:cstheme="majorBidi"/>
        </w:rPr>
        <w:fldChar w:fldCharType="end"/>
      </w:r>
      <w:r w:rsidRPr="006D631C">
        <w:rPr>
          <w:rFonts w:asciiTheme="majorBidi" w:hAnsiTheme="majorBidi" w:cstheme="majorBidi"/>
        </w:rPr>
        <w:t>) after polymerization</w:t>
      </w:r>
      <w:r w:rsidR="00311169" w:rsidRPr="006D631C">
        <w:rPr>
          <w:rFonts w:asciiTheme="majorBidi" w:hAnsiTheme="majorBidi" w:cstheme="majorBidi"/>
        </w:rPr>
        <w:t>.</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{"citationItems":[{"id":"ITEM-1","itemData":{"DOI":"10.1039/c3sm50556a","ISSN":"1744683X","abstract":"Temperature-sensitive poly(N-isopropylacrylamide) (PNIPAM) hydrogels are widely studied stimuli-responsive systems due to their significant volume changes at biologically relevant temperatures and a potential wide range of applications including drug delivery, cell cultures, chemical sensors, and desalination. The successful performance of PNIPAM gels often requires a rapid response rate with a significant degree of deswelling when heated above the lower critical solution temperature. However, it is often difficult to design PNIPAM hydrogels with appropriate mechanical strength for the gels to remain functional in a working environment. Herein, lyotropic liquid crystals (LLCs) are utilized to generate a hexagonal nanostructure in PNIPAM hydrogels in order to improve material properties and transport characteristics. Cross-linked methacrylated poly(dimethylsiloxane) (PDMS) was incorporated into PNIPAM gels at varying concentrations through photopolymerization in the hexagonal LLC phase in order to modulate mechanical properties. The hexagonal LLC nanostructure dramatically increases the hydrogel deswelling rate compared to traditional isotropic PNIPAM-PDMS hydrogels of the same chemical composition. Additionally, the ordered LLC structure allows for considerable incorporation of PDMS into the hydrogel without significantly decreasing the water content of the gels. Interestingly, the hexagonal nanostructured hydrogels exhibit similar compressive moduli compared to isotropic hydrogel controls despite having considerably higher water content. These results may be utilized to generate stimuli-sensitive hydrogels with an appropriate rate and degree of deswelling while maintaining necessary mechanical integrity of the gel for use in numerous biomedical and industrial applications. © 2013 The Royal Society of Chemistry.","author":[{"dropping-particle":"","family":"Forney","given":"Bradley S.","non-dropping-particle":"","parse-names":false,"suffix":""},{"dropping-particle":"","family":"Baguenard","given":"Céline","non-dropping-particle":"","parse-names":false,"suffix":""},{"dropping-particle":"","family":"Allan Guymon","given":"C.","non-dropping-particle":"","parse-names":false,"suffix":""}],"container-title":"Soft Matter","id":"ITEM-1","issue":"31","issued":{"date-parts":[["2013"]]},"page":"7458-7467","title":"Improved stimuli-response and mechanical properties of nanostructured poly(N-isopropylacrylamide-co-dimethylsiloxane) hydrogels generated through photopolymerization in lyotropic liquid crystal templates","type":"article-journal","volume":"9"},"uris":["http://www.mendeley.com/documents/?uuid=1744ca1d-c40e-4c6d-aa09-30d94aee5e9f"]},{"id":"ITEM-2","itemData":{"DOI":"10.1021/ma901318f","ISSN":"00249297","abstract":"The synthesis of polymers with inherent nanostructure has recently received much attention because of the wide range of potential application in which these materials could be used. To understand thefactors that affect the nanoscopic order preservation upon polymerization, this work examines the influenceof reactive group position in polymerizable surfactants that form reactive lyotropic liquid crystals (LLCs) onpolymerization kinetics and order before and after polymerization. Less ordered LLCphases are formed withreactive surfactants bearing reactive groups in the nonpolar tail compared to reactive surfactants withreactive groups near the polar head. The polymerization kinetics are influenced by both the LLC order andthe position of the reactive group. Higher polymerization rates are observed for reactive surfactants with thereactive group near the polar head with increasing surfactant concentration and LLC order. On the other hand, lower polymerization rates are observed for the reactive surfactant with the reactive group in thealiphatic tail at higher surfactant concentrations and LLC order. This behavior is mainly due to segregation of the reactive groups in different regions of the LLC phases as indicated by an apparent increase in both the prates, greater LLC order preservation is observed after polymerization. Also, by using higher light intensities, the resulting polymer exhibits higher degrees of LLC order retention than that observed when polymerization is initiated with lower light intensities and corresponding lower polymerization rate. © 2009 American Chemical Society.","author":[{"dropping-particle":"","family":"Sievens-Figueroa","given":"Lucas","non-dropping-particle":"","parse-names":false,"suffix":""},{"dropping-particle":"","family":"Guymon","given":"C. Allan","non-dropping-particle":"","parse-names":false,"suffix":""}],"container-title":"Macromolecules","id":"ITEM-2","issue":"23","issued":{"date-parts":[["2009"]]},"page":"9243-9250","title":"Polymerization kinetics and nanostructure evolution of reactive lyotropic liquid crystals with different reactive group position","type":"article-journal","volume":"42"},"uris":["http://www.mendeley.com/documents/?uuid=e6dcbf22-504d-4d17-bd09-02e76fa55c8b"]}],"mendeley":{"formattedCitation":"&lt;sup&gt;42,96&lt;/sup&gt;","plainTextFormattedCitation":"42,96","previouslyFormattedCitation":"&lt;sup&gt;42,96&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42,96</w:t>
      </w:r>
      <w:r w:rsidRPr="006D631C">
        <w:rPr>
          <w:rFonts w:asciiTheme="majorBidi" w:hAnsiTheme="majorBidi" w:cstheme="majorBidi"/>
        </w:rPr>
        <w:fldChar w:fldCharType="end"/>
      </w:r>
    </w:p>
    <w:p w14:paraId="2234F18A" w14:textId="548635E6" w:rsidR="00DA3CF9" w:rsidRPr="006D631C" w:rsidRDefault="00DA3CF9" w:rsidP="008609FA">
      <w:pPr>
        <w:ind w:firstLine="360"/>
        <w:rPr>
          <w:rFonts w:asciiTheme="majorBidi" w:hAnsiTheme="majorBidi" w:cstheme="majorBidi"/>
        </w:rPr>
      </w:pPr>
    </w:p>
    <w:p w14:paraId="17F4B762" w14:textId="63F744FC" w:rsidR="00A9517A" w:rsidRPr="006D631C" w:rsidRDefault="009047A7" w:rsidP="009047A7">
      <w:pPr>
        <w:jc w:val="center"/>
      </w:pPr>
      <w:r w:rsidRPr="006D631C">
        <w:rPr>
          <w:noProof/>
        </w:rPr>
        <w:lastRenderedPageBreak/>
        <w:drawing>
          <wp:inline distT="0" distB="0" distL="0" distR="0" wp14:anchorId="48C2DD77" wp14:editId="053902F3">
            <wp:extent cx="5904000" cy="6716617"/>
            <wp:effectExtent l="0" t="0" r="1905" b="825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904000" cy="6716617"/>
                    </a:xfrm>
                    <a:prstGeom prst="rect">
                      <a:avLst/>
                    </a:prstGeom>
                    <a:noFill/>
                  </pic:spPr>
                </pic:pic>
              </a:graphicData>
            </a:graphic>
          </wp:inline>
        </w:drawing>
      </w:r>
    </w:p>
    <w:p w14:paraId="00CAEFA6" w14:textId="1656670C" w:rsidR="00A9517A" w:rsidRPr="006D631C" w:rsidRDefault="009047A7" w:rsidP="00612DDF">
      <w:pPr>
        <w:pStyle w:val="Caption"/>
        <w:jc w:val="center"/>
        <w:rPr>
          <w:sz w:val="22"/>
          <w:szCs w:val="22"/>
        </w:rPr>
      </w:pPr>
      <w:bookmarkStart w:id="181" w:name="_Toc148175946"/>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4</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w:t>
      </w:r>
      <w:r w:rsidR="00B55F32" w:rsidRPr="006D631C">
        <w:rPr>
          <w:sz w:val="22"/>
          <w:szCs w:val="22"/>
        </w:rPr>
        <w:fldChar w:fldCharType="end"/>
      </w:r>
      <w:r w:rsidRPr="006D631C">
        <w:rPr>
          <w:sz w:val="22"/>
          <w:szCs w:val="22"/>
        </w:rPr>
        <w:t>. Molecular structure of (a) P84DA, (b) HDDA, (c) [BMIM</w:t>
      </w:r>
      <w:proofErr w:type="gramStart"/>
      <w:r w:rsidRPr="006D631C">
        <w:rPr>
          <w:sz w:val="22"/>
          <w:szCs w:val="22"/>
        </w:rPr>
        <w:t>][</w:t>
      </w:r>
      <w:proofErr w:type="gramEnd"/>
      <w:r w:rsidRPr="006D631C">
        <w:rPr>
          <w:sz w:val="22"/>
          <w:szCs w:val="22"/>
        </w:rPr>
        <w:t xml:space="preserve">BF4] and (d) HCPK. Schematic representation of P84DA and HDDA have also been presented in panel </w:t>
      </w:r>
      <w:proofErr w:type="gramStart"/>
      <w:r w:rsidRPr="006D631C">
        <w:rPr>
          <w:sz w:val="22"/>
          <w:szCs w:val="22"/>
        </w:rPr>
        <w:t>a and</w:t>
      </w:r>
      <w:proofErr w:type="gramEnd"/>
      <w:r w:rsidRPr="006D631C">
        <w:rPr>
          <w:sz w:val="22"/>
          <w:szCs w:val="22"/>
        </w:rPr>
        <w:t xml:space="preserve"> b, respectively. (e) Schematic illustration of H1-structured mesophase which is obtained through mixing the components. The micelles are surrounded by [BMIM</w:t>
      </w:r>
      <w:proofErr w:type="gramStart"/>
      <w:r w:rsidRPr="006D631C">
        <w:rPr>
          <w:sz w:val="22"/>
          <w:szCs w:val="22"/>
        </w:rPr>
        <w:t>][</w:t>
      </w:r>
      <w:proofErr w:type="gramEnd"/>
      <w:r w:rsidRPr="006D631C">
        <w:rPr>
          <w:sz w:val="22"/>
          <w:szCs w:val="22"/>
        </w:rPr>
        <w:t xml:space="preserve">BF4]. The apolar domain is made of PPO block and HDDA. Chemically-bonded polymer network is created through the reaction of acrylate groups of P84DA and </w:t>
      </w:r>
      <w:r w:rsidRPr="006D631C">
        <w:rPr>
          <w:sz w:val="22"/>
          <w:szCs w:val="22"/>
        </w:rPr>
        <w:lastRenderedPageBreak/>
        <w:t>HDDA. The presence of intermicellar bridges, which form via the reaction of acrylate groups of extended PEO blocks, seems necessary to have an integrated H1-structured membrane</w:t>
      </w:r>
      <w:r w:rsidR="00612DDF" w:rsidRPr="006D631C">
        <w:rPr>
          <w:sz w:val="22"/>
          <w:szCs w:val="22"/>
        </w:rPr>
        <w:t>.</w:t>
      </w:r>
      <w:r w:rsidRPr="006D631C">
        <w:rPr>
          <w:sz w:val="22"/>
          <w:szCs w:val="22"/>
        </w:rPr>
        <w:fldChar w:fldCharType="begin" w:fldLock="1"/>
      </w:r>
      <w:r w:rsidR="00AB5945" w:rsidRPr="006D631C">
        <w:rPr>
          <w:sz w:val="22"/>
          <w:szCs w:val="22"/>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sz w:val="22"/>
          <w:szCs w:val="22"/>
        </w:rPr>
        <w:fldChar w:fldCharType="separate"/>
      </w:r>
      <w:r w:rsidR="00E57E08" w:rsidRPr="006D631C">
        <w:rPr>
          <w:noProof/>
          <w:sz w:val="22"/>
          <w:szCs w:val="22"/>
          <w:vertAlign w:val="superscript"/>
        </w:rPr>
        <w:t>31</w:t>
      </w:r>
      <w:r w:rsidRPr="006D631C">
        <w:rPr>
          <w:sz w:val="22"/>
          <w:szCs w:val="22"/>
        </w:rPr>
        <w:fldChar w:fldCharType="end"/>
      </w:r>
      <w:r w:rsidRPr="006D631C">
        <w:rPr>
          <w:sz w:val="22"/>
          <w:szCs w:val="22"/>
        </w:rPr>
        <w:t xml:space="preserve"> (f) Schematic procedure for preparation of polyLLC membrane.</w:t>
      </w:r>
      <w:bookmarkEnd w:id="181"/>
    </w:p>
    <w:p w14:paraId="240198B2" w14:textId="77777777" w:rsidR="00D5361E" w:rsidRPr="006D631C" w:rsidRDefault="00D5361E" w:rsidP="00D5361E">
      <w:pPr>
        <w:jc w:val="center"/>
      </w:pPr>
      <w:r w:rsidRPr="006D631C">
        <w:rPr>
          <w:noProof/>
        </w:rPr>
        <w:drawing>
          <wp:inline distT="0" distB="0" distL="0" distR="0" wp14:anchorId="2BFE6468" wp14:editId="595EAC8B">
            <wp:extent cx="5868000" cy="514809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868000" cy="5148091"/>
                    </a:xfrm>
                    <a:prstGeom prst="rect">
                      <a:avLst/>
                    </a:prstGeom>
                    <a:noFill/>
                  </pic:spPr>
                </pic:pic>
              </a:graphicData>
            </a:graphic>
          </wp:inline>
        </w:drawing>
      </w:r>
    </w:p>
    <w:p w14:paraId="6C4B9E22" w14:textId="1908051C" w:rsidR="00D5361E" w:rsidRPr="006D631C" w:rsidRDefault="00D5361E" w:rsidP="00D5361E">
      <w:pPr>
        <w:pStyle w:val="Caption"/>
        <w:jc w:val="center"/>
        <w:rPr>
          <w:sz w:val="22"/>
          <w:szCs w:val="22"/>
        </w:rPr>
      </w:pPr>
      <w:bookmarkStart w:id="182" w:name="_Toc148175947"/>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4</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2</w:t>
      </w:r>
      <w:r w:rsidR="00B55F32" w:rsidRPr="006D631C">
        <w:rPr>
          <w:sz w:val="22"/>
          <w:szCs w:val="22"/>
        </w:rPr>
        <w:fldChar w:fldCharType="end"/>
      </w:r>
      <w:r w:rsidRPr="006D631C">
        <w:rPr>
          <w:sz w:val="22"/>
          <w:szCs w:val="22"/>
        </w:rPr>
        <w:t>. (</w:t>
      </w:r>
      <w:proofErr w:type="gramStart"/>
      <w:r w:rsidRPr="006D631C">
        <w:rPr>
          <w:sz w:val="22"/>
          <w:szCs w:val="22"/>
        </w:rPr>
        <w:t>a-c</w:t>
      </w:r>
      <w:proofErr w:type="gramEnd"/>
      <w:r w:rsidRPr="006D631C">
        <w:rPr>
          <w:sz w:val="22"/>
          <w:szCs w:val="22"/>
        </w:rPr>
        <w:t>) CPLM images of samples: (a) before reaction, (b) after reaction, and (c) after swelling with water. (d) 1D SAXS scattering profile for samples (the plots are vertically shifted for clarity).</w:t>
      </w:r>
      <w:bookmarkEnd w:id="182"/>
    </w:p>
    <w:p w14:paraId="139836E1" w14:textId="6BD8BCCA" w:rsidR="00D94E97" w:rsidRPr="006D631C" w:rsidRDefault="00D94E97" w:rsidP="00905D9A">
      <w:pPr>
        <w:ind w:firstLine="360"/>
        <w:rPr>
          <w:rFonts w:asciiTheme="majorBidi" w:hAnsiTheme="majorBidi" w:cstheme="majorBidi"/>
        </w:rPr>
      </w:pPr>
      <w:r w:rsidRPr="006D631C">
        <w:rPr>
          <w:rFonts w:asciiTheme="majorBidi" w:hAnsiTheme="majorBidi" w:cstheme="majorBidi"/>
        </w:rPr>
        <w:t>A variety of structural parameters including domain sizes of the synthesized polyLLC can be estimated from the SAXS data (see Figure 4-3 for schematic representation of the structural parameters). The lattice parameter (</w:t>
      </w:r>
      <w:r w:rsidRPr="006D631C">
        <w:rPr>
          <w:rFonts w:asciiTheme="majorBidi" w:hAnsiTheme="majorBidi" w:cstheme="majorBidi"/>
          <w:i/>
          <w:iCs/>
        </w:rPr>
        <w:t>a</w:t>
      </w:r>
      <w:r w:rsidRPr="006D631C">
        <w:rPr>
          <w:rFonts w:asciiTheme="majorBidi" w:hAnsiTheme="majorBidi" w:cstheme="majorBidi"/>
        </w:rPr>
        <w:t>)</w:t>
      </w:r>
      <w:r w:rsidR="00754ABC" w:rsidRPr="006D631C">
        <w:rPr>
          <w:rFonts w:asciiTheme="majorBidi" w:hAnsiTheme="majorBidi" w:cstheme="majorBidi"/>
        </w:rPr>
        <w:t xml:space="preserve"> for hexagonal structure</w:t>
      </w:r>
      <w:r w:rsidRPr="006D631C">
        <w:rPr>
          <w:rFonts w:asciiTheme="majorBidi" w:hAnsiTheme="majorBidi" w:cstheme="majorBidi"/>
        </w:rPr>
        <w:t xml:space="preserve"> can be calculated as</w:t>
      </w:r>
      <w:r w:rsidRPr="006D631C">
        <w:rPr>
          <w:rFonts w:asciiTheme="majorBidi" w:hAnsiTheme="majorBidi" w:cstheme="majorBidi"/>
        </w:rPr>
        <w:fldChar w:fldCharType="begin" w:fldLock="1"/>
      </w:r>
      <w:r w:rsidR="008C44EC" w:rsidRPr="006D631C">
        <w:rPr>
          <w:rFonts w:asciiTheme="majorBidi" w:hAnsiTheme="majorBidi" w:cstheme="majorBidi"/>
        </w:rPr>
        <w:instrText>ADDIN CSL_CITATION {"citationItems":[{"id":"ITEM-1","itemData":{"DOI":"10.1021/la971117c","ISSN":"0743-7463","author":[{"dropping-particle":"","family":"Alexandridis","given":"Paschalis","non-dropping-particle":"","parse-names":false,"suffix":""},{"dropping-particle":"","family":"Olsson","given":"Ulf","non-dropping-particle":"","parse-names":false,"suffix":""},{"dropping-particle":"","family":"Lindman","given":"Björn","non-dropping-particle":"","parse-names":false,"suffix":""}],"container-title":"Langmuir","id":"ITEM-1","issue":"10","issued":{"date-parts":[["1998","5","1"]]},"page":"2627-2638","title":"A Record Nine Different Phases (Four Cubic, Two Hexagonal, and One Lamellar Lyotropic Liquid Crystalline and Two Micellar Solutions) in a Ternary Isothermal System of an Amphiphilic Block Copolymer and Selective Solvents (Water and Oil)","type":"article-journal","volume":"14"},"uris":["http://www.mendeley.com/documents/?uuid=155769a2-de44-435b-a43a-aa933b57434a"]}],"mendeley":{"formattedCitation":"&lt;sup&gt;210&lt;/sup&gt;","plainTextFormattedCitation":"210","previouslyFormattedCitation":"&lt;sup&gt;210&lt;/sup&gt;"},"properties":{"noteIndex":0},"schema":"https://github.com/citation-style-language/schema/raw/master/csl-citation.json"}</w:instrText>
      </w:r>
      <w:r w:rsidRPr="006D631C">
        <w:rPr>
          <w:rFonts w:asciiTheme="majorBidi" w:hAnsiTheme="majorBidi" w:cstheme="majorBidi"/>
        </w:rPr>
        <w:fldChar w:fldCharType="separate"/>
      </w:r>
      <w:r w:rsidR="00905D9A" w:rsidRPr="006D631C">
        <w:rPr>
          <w:rFonts w:asciiTheme="majorBidi" w:hAnsiTheme="majorBidi" w:cstheme="majorBidi"/>
          <w:noProof/>
          <w:vertAlign w:val="superscript"/>
        </w:rPr>
        <w:t>210</w:t>
      </w:r>
      <w:r w:rsidRPr="006D631C">
        <w:rPr>
          <w:rFonts w:asciiTheme="majorBidi" w:hAnsiTheme="majorBidi" w:cstheme="majorBidi"/>
        </w:rPr>
        <w:fldChar w:fldCharType="end"/>
      </w:r>
      <w:r w:rsidR="002E2613" w:rsidRPr="006D631C">
        <w:rPr>
          <w:rFonts w:asciiTheme="majorBidi" w:hAnsiTheme="majorBidi" w:cstheme="majorBidi"/>
        </w:rPr>
        <w:t>:</w:t>
      </w:r>
    </w:p>
    <w:p w14:paraId="44C1F466" w14:textId="5056CFA3" w:rsidR="002F325F" w:rsidRPr="006D631C" w:rsidRDefault="002F325F" w:rsidP="002F325F">
      <w:pPr>
        <w:pStyle w:val="Caption"/>
        <w:rPr>
          <w:color w:val="020202"/>
          <w:szCs w:val="24"/>
        </w:rPr>
      </w:pPr>
      <w:r w:rsidRPr="006D631C">
        <w:rPr>
          <w:color w:val="020202"/>
          <w:position w:val="-30"/>
          <w:szCs w:val="24"/>
        </w:rPr>
        <w:object w:dxaOrig="960" w:dyaOrig="680" w14:anchorId="57A735A6">
          <v:shape id="_x0000_i1064" type="#_x0000_t75" style="width:47.4pt;height:33.6pt" o:ole="">
            <v:imagedata r:id="rId128" o:title=""/>
          </v:shape>
          <o:OLEObject Type="Embed" ProgID="Equation.DSMT4" ShapeID="_x0000_i1064" DrawAspect="Content" ObjectID="_1760013332" r:id="rId129"/>
        </w:object>
      </w:r>
      <w:r w:rsidRPr="006D631C">
        <w:rPr>
          <w:color w:val="020202"/>
          <w:szCs w:val="24"/>
        </w:rPr>
        <w:t xml:space="preserve"> </w:t>
      </w:r>
      <w:r w:rsidRPr="006D631C">
        <w:rPr>
          <w:color w:val="020202"/>
          <w:szCs w:val="24"/>
        </w:rPr>
        <w:tab/>
      </w:r>
      <w:r w:rsidRPr="006D631C">
        <w:rPr>
          <w:color w:val="020202"/>
          <w:szCs w:val="24"/>
        </w:rPr>
        <w:tab/>
      </w:r>
      <w:r w:rsidRPr="006D631C">
        <w:rPr>
          <w:color w:val="020202"/>
          <w:szCs w:val="24"/>
        </w:rPr>
        <w:tab/>
        <w:t xml:space="preserve">   </w:t>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t>(</w:t>
      </w:r>
      <w:r w:rsidR="006A54D9" w:rsidRPr="006D631C">
        <w:rPr>
          <w:color w:val="020202"/>
          <w:szCs w:val="24"/>
        </w:rPr>
        <w:fldChar w:fldCharType="begin"/>
      </w:r>
      <w:r w:rsidR="006A54D9" w:rsidRPr="006D631C">
        <w:rPr>
          <w:color w:val="020202"/>
          <w:szCs w:val="24"/>
        </w:rPr>
        <w:instrText xml:space="preserve"> STYLEREF 1 \s </w:instrText>
      </w:r>
      <w:r w:rsidR="006A54D9" w:rsidRPr="006D631C">
        <w:rPr>
          <w:color w:val="020202"/>
          <w:szCs w:val="24"/>
        </w:rPr>
        <w:fldChar w:fldCharType="separate"/>
      </w:r>
      <w:r w:rsidR="005014F7" w:rsidRPr="006D631C">
        <w:rPr>
          <w:color w:val="020202"/>
          <w:szCs w:val="24"/>
          <w:cs/>
        </w:rPr>
        <w:t>‎</w:t>
      </w:r>
      <w:r w:rsidR="005014F7" w:rsidRPr="006D631C">
        <w:rPr>
          <w:color w:val="020202"/>
          <w:szCs w:val="24"/>
        </w:rPr>
        <w:t>4</w:t>
      </w:r>
      <w:r w:rsidR="006A54D9" w:rsidRPr="006D631C">
        <w:rPr>
          <w:color w:val="020202"/>
          <w:szCs w:val="24"/>
        </w:rPr>
        <w:fldChar w:fldCharType="end"/>
      </w:r>
      <w:r w:rsidR="006A54D9" w:rsidRPr="006D631C">
        <w:rPr>
          <w:color w:val="020202"/>
          <w:szCs w:val="24"/>
        </w:rPr>
        <w:noBreakHyphen/>
      </w:r>
      <w:r w:rsidR="006A54D9" w:rsidRPr="006D631C">
        <w:rPr>
          <w:color w:val="020202"/>
          <w:szCs w:val="24"/>
        </w:rPr>
        <w:fldChar w:fldCharType="begin"/>
      </w:r>
      <w:r w:rsidR="006A54D9" w:rsidRPr="006D631C">
        <w:rPr>
          <w:color w:val="020202"/>
          <w:szCs w:val="24"/>
        </w:rPr>
        <w:instrText xml:space="preserve"> SEQ Equation \* ARABIC \s 1 </w:instrText>
      </w:r>
      <w:r w:rsidR="006A54D9" w:rsidRPr="006D631C">
        <w:rPr>
          <w:color w:val="020202"/>
          <w:szCs w:val="24"/>
        </w:rPr>
        <w:fldChar w:fldCharType="separate"/>
      </w:r>
      <w:r w:rsidR="005014F7" w:rsidRPr="006D631C">
        <w:rPr>
          <w:color w:val="020202"/>
          <w:szCs w:val="24"/>
        </w:rPr>
        <w:t>2</w:t>
      </w:r>
      <w:r w:rsidR="006A54D9" w:rsidRPr="006D631C">
        <w:rPr>
          <w:color w:val="020202"/>
          <w:szCs w:val="24"/>
        </w:rPr>
        <w:fldChar w:fldCharType="end"/>
      </w:r>
      <w:r w:rsidRPr="006D631C">
        <w:rPr>
          <w:color w:val="020202"/>
          <w:szCs w:val="24"/>
        </w:rPr>
        <w:t>)</w:t>
      </w:r>
    </w:p>
    <w:p w14:paraId="268FFEDF" w14:textId="5954156F" w:rsidR="00C50A67" w:rsidRPr="006D631C" w:rsidRDefault="00E97E35" w:rsidP="0072669A">
      <w:pPr>
        <w:ind w:firstLine="360"/>
        <w:rPr>
          <w:rFonts w:asciiTheme="majorBidi" w:hAnsiTheme="majorBidi" w:cstheme="majorBidi"/>
        </w:rPr>
      </w:pPr>
      <w:r w:rsidRPr="006D631C">
        <w:rPr>
          <w:rFonts w:asciiTheme="majorBidi" w:hAnsiTheme="majorBidi" w:cstheme="majorBidi"/>
        </w:rPr>
        <w:t>To simplify the calculations, we assume that the solvent ([BMIM][BF</w:t>
      </w:r>
      <w:r w:rsidRPr="006D631C">
        <w:rPr>
          <w:rFonts w:asciiTheme="majorBidi" w:hAnsiTheme="majorBidi" w:cstheme="majorBidi"/>
          <w:vertAlign w:val="subscript"/>
        </w:rPr>
        <w:t>4</w:t>
      </w:r>
      <w:r w:rsidRPr="006D631C">
        <w:rPr>
          <w:rFonts w:asciiTheme="majorBidi" w:hAnsiTheme="majorBidi" w:cstheme="majorBidi"/>
        </w:rPr>
        <w:t>] or water), PEO, PPO and HDDA are fully segregated and each domain is characterized by its bulk density.</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{"citationItems":[{"id":"ITEM-1","itemData":{"DOI":"10.1021/ma00127a016","ISSN":"0024-9297","abstract":"The self-assembly of a poly(ethy1ene oxidel-block-poly(propy1ene oxide)-block-poly(ethy1ene oxide) copolymer (Pluronic L64, (E O) I ~ (P O) ~ O (E O) ~ ~) in the presence of water andp-xylene was investigated. The phase boundaries were identified using 2H NMR of heavy water (2Hz0) and inspection under polarized light. Small-angle X-ray scattering was employed to ascertain the structure of the various liquid crystalline phases formed and to determine the structural lengths involved. A rich phase behavior with normal hexagonal, lamellar, bicontinuous cubic, and reverse hexagonal liquid crystalline regions, in addition to three separate liquid phases, was observed at 25 \"C. The cubic phase was identified as having a structure associated with the Gyroid minimal surface. A very small liquid region, found between the normal hexagonal and lamellar phases on the binary water-polymer axis, is identified as a melted analogue of a bicontinuous cubic phase often present in this part of the phase diagram. The pure polymer exists at 25 \"C as a disordered melt. Structure and segregation are induced by the addition of water. p-Xylene is soluble in the polymer melt but does not induce structure when added alone. For polymer concentrations above-50%, a sequence of liquid crystalline phases is observed when the water-to-oil ratio is varied. Here we can identify the volume fraction of apolar components, given by the sum of the PPO and oil volume fractions, as the major parameter governing the phase behavior.","author":[{"dropping-particle":"","family":"Alexandridis","given":"Paschalis","non-dropping-particle":"","parse-names":false,"suffix":""},{"dropping-particle":"","family":"Olsson","given":"Ulf","non-dropping-particle":"","parse-names":false,"suffix":""},{"dropping-particle":"","family":"Lindman","given":"Bjoern","non-dropping-particle":"","parse-names":false,"suffix":""}],"container-title":"Macromolecules","id":"ITEM-1","issue":"23","issued":{"date-parts":[["1995","11"]]},"page":"7700-7710","title":"Self-Assembly of Amphiphilic Block Copolymers: The (EO)13(PO)30(EO)13-Water-p-Xylene System","type":"article-journal","volume":"28"},"uris":["http://www.mendeley.com/documents/?uuid=53841adf-ace3-4998-9fe3-1cb531b34104"]}],"mendeley":{"formattedCitation":"&lt;sup&gt;215&lt;/sup&gt;","plainTextFormattedCitation":"215","previouslyFormattedCitation":"&lt;sup&gt;215&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215</w:t>
      </w:r>
      <w:r w:rsidRPr="006D631C">
        <w:rPr>
          <w:rFonts w:asciiTheme="majorBidi" w:hAnsiTheme="majorBidi" w:cstheme="majorBidi"/>
        </w:rPr>
        <w:fldChar w:fldCharType="end"/>
      </w:r>
      <w:r w:rsidRPr="006D631C">
        <w:rPr>
          <w:rFonts w:asciiTheme="majorBidi" w:hAnsiTheme="majorBidi" w:cstheme="majorBidi"/>
        </w:rPr>
        <w:t xml:space="preserve"> It should be noted that in the case of water-swollen samples, the polymer and water are not completely segregated since the polymer network can hold large amounts of water. Another important point is partitioning the PEO and PPO blocks in the solvent and HDDA phases which makes the calculations not to be rigorously accurate</w:t>
      </w:r>
      <w:r w:rsidR="00A3193B" w:rsidRPr="006D631C">
        <w:rPr>
          <w:rFonts w:asciiTheme="majorBidi" w:hAnsiTheme="majorBidi" w:cstheme="majorBidi"/>
        </w:rPr>
        <w:t>.</w:t>
      </w:r>
      <w:r w:rsidRPr="006D631C">
        <w:rPr>
          <w:rFonts w:asciiTheme="majorBidi" w:hAnsiTheme="majorBidi" w:cstheme="majorBidi"/>
        </w:rPr>
        <w:fldChar w:fldCharType="begin" w:fldLock="1"/>
      </w:r>
      <w:r w:rsidR="006C488B" w:rsidRPr="006D631C">
        <w:rPr>
          <w:rFonts w:asciiTheme="majorBidi" w:hAnsiTheme="majorBidi" w:cstheme="majorBidi"/>
        </w:rPr>
        <w:instrText>ADDIN CSL_CITATION {"citationItems":[{"id":"ITEM-1","itemData":{"DOI":"10.1007/s00397-019-01162-y","ISSN":"0035-4511","abstract":"Self-assembly of block copolymers in the presence of solvents forms ordered mesophase structures, also known as lyotropic liquid crystals (LLCs). The aim of this work is to investigate the rheological properties of Pluronic block copolymer/water/oil mesophases with lamellar and hexagonal structures. The flow behavior of lamellar and hexagonal mesophases indicates that they have yield stress. Oscillatory shear experiments show that mesophases have solid-like behavior and exhibit type III non-linear behavior. The elastic modulus of mesophases is probably controlled by the van der Waals interaction between micelles. We suggest that at relatively low frequencies, defects control the rheological behavior of LLCs, while at high frequencies, the contributions in micellar scale are dominant. Applying high strains on the LLCs induces two relaxation times after cessation of flow, decreases the storage modulus in the whole frequency range, and decreases the loss modulus in small-frequency regime with negligible effect at high frequencies. The decrease in moduli is reversible and the system relaxes back to its original elastic modulus at rest. The observed behavior can be attributed to the elimination of defects under high strains and their re-formation during long enough rest times.","author":[{"dropping-particle":"","family":"Qavi","given":"Sahar","non-dropping-particle":"","parse-names":false,"suffix":""},{"dropping-particle":"","family":"Foudazi","given":"Reza","non-dropping-particle":"","parse-names":false,"suffix":""}],"container-title":"Rheologica Acta","id":"ITEM-1","issue":"8","issued":{"date-parts":[["2019","8","31"]]},"page":"483-498","title":"Rheological characteristics of mesophases of block copolymer solutions","type":"article-journal","volume":"58"},"uris":["http://www.mendeley.com/documents/?uuid=c97ded4e-5292-4962-b3cb-d3d5b2bd061e"]}],"mendeley":{"formattedCitation":"&lt;sup&gt;178&lt;/sup&gt;","plainTextFormattedCitation":"178","previouslyFormattedCitation":"&lt;sup&gt;178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178</w:t>
      </w:r>
      <w:r w:rsidRPr="006D631C">
        <w:rPr>
          <w:rFonts w:asciiTheme="majorBidi" w:hAnsiTheme="majorBidi" w:cstheme="majorBidi"/>
        </w:rPr>
        <w:fldChar w:fldCharType="end"/>
      </w:r>
      <w:r w:rsidRPr="006D631C">
        <w:rPr>
          <w:rFonts w:asciiTheme="majorBidi" w:hAnsiTheme="majorBidi" w:cstheme="majorBidi"/>
        </w:rPr>
        <w:t xml:space="preserve"> The size of ionic liquid or water domain can be assumed as the pore size of polyLLC membrane. We are aware that this assumption may not be valid in all cases and that is why we have also estimated the pore size of membranes from MWCO measurements which is closer to the real application. We also assume that HDDA and PPO block form the apolar domain with volume fraction</w:t>
      </w:r>
      <w:r w:rsidR="00704F36" w:rsidRPr="006D631C">
        <w:rPr>
          <w:rFonts w:asciiTheme="majorBidi" w:hAnsiTheme="majorBidi" w:cstheme="majorBidi"/>
        </w:rPr>
        <w:t xml:space="preserve"> of</w:t>
      </w:r>
      <w:r w:rsidRPr="006D631C">
        <w:rPr>
          <w:rFonts w:asciiTheme="majorBidi" w:hAnsiTheme="majorBidi" w:cstheme="majorBidi"/>
        </w:rPr>
        <w:t xml:space="preserve"> </w:t>
      </w:r>
      <w:r w:rsidR="00A3193B" w:rsidRPr="006D631C">
        <w:rPr>
          <w:rFonts w:asciiTheme="majorBidi" w:hAnsiTheme="majorBidi" w:cstheme="majorBidi"/>
          <w:i/>
          <w:iCs/>
        </w:rPr>
        <w:t>ϕ</w:t>
      </w:r>
      <w:r w:rsidRPr="006D631C">
        <w:rPr>
          <w:rFonts w:asciiTheme="majorBidi" w:hAnsiTheme="majorBidi" w:cstheme="majorBidi"/>
        </w:rPr>
        <w:t>, whereas the solvent and PEO block form the polar domain that fills the rest of the volume (1−</w:t>
      </w:r>
      <w:r w:rsidR="00A3193B" w:rsidRPr="006D631C">
        <w:rPr>
          <w:rFonts w:asciiTheme="majorBidi" w:hAnsiTheme="majorBidi" w:cstheme="majorBidi"/>
          <w:i/>
          <w:iCs/>
        </w:rPr>
        <w:t xml:space="preserve"> ϕ</w:t>
      </w:r>
      <w:r w:rsidRPr="006D631C">
        <w:rPr>
          <w:rFonts w:asciiTheme="majorBidi" w:hAnsiTheme="majorBidi" w:cstheme="majorBidi"/>
        </w:rPr>
        <w:t>).</w:t>
      </w:r>
      <w:r w:rsidR="00C50A67" w:rsidRPr="006D631C">
        <w:rPr>
          <w:rFonts w:asciiTheme="majorBidi" w:hAnsiTheme="majorBidi" w:cstheme="majorBidi"/>
        </w:rPr>
        <w:t xml:space="preserve"> Therefore, the apolar domain size</w:t>
      </w:r>
      <w:r w:rsidR="000A7ABD" w:rsidRPr="006D631C">
        <w:rPr>
          <w:rFonts w:asciiTheme="majorBidi" w:hAnsiTheme="majorBidi" w:cstheme="majorBidi"/>
        </w:rPr>
        <w:t xml:space="preserve"> </w:t>
      </w:r>
      <w:proofErr w:type="spellStart"/>
      <w:r w:rsidR="000A7ABD" w:rsidRPr="006D631C">
        <w:rPr>
          <w:rFonts w:asciiTheme="majorBidi" w:hAnsiTheme="majorBidi" w:cstheme="majorBidi"/>
          <w:i/>
          <w:iCs/>
        </w:rPr>
        <w:t>R</w:t>
      </w:r>
      <w:r w:rsidR="000A7ABD" w:rsidRPr="006D631C">
        <w:rPr>
          <w:rFonts w:asciiTheme="majorBidi" w:hAnsiTheme="majorBidi" w:cstheme="majorBidi"/>
          <w:i/>
          <w:iCs/>
          <w:vertAlign w:val="subscript"/>
        </w:rPr>
        <w:t>c</w:t>
      </w:r>
      <w:proofErr w:type="spellEnd"/>
      <w:r w:rsidR="00C50A67" w:rsidRPr="006D631C">
        <w:rPr>
          <w:rFonts w:asciiTheme="majorBidi" w:hAnsiTheme="majorBidi" w:cstheme="majorBidi"/>
        </w:rPr>
        <w:t xml:space="preserve"> is calculated as:</w:t>
      </w:r>
      <w:r w:rsidR="00C50A67" w:rsidRPr="006D631C">
        <w:rPr>
          <w:rFonts w:asciiTheme="majorBidi" w:hAnsiTheme="majorBidi" w:cstheme="majorBidi"/>
        </w:rPr>
        <w:fldChar w:fldCharType="begin" w:fldLock="1"/>
      </w:r>
      <w:r w:rsidR="008C44EC" w:rsidRPr="006D631C">
        <w:rPr>
          <w:rFonts w:asciiTheme="majorBidi" w:hAnsiTheme="majorBidi" w:cstheme="majorBidi"/>
        </w:rPr>
        <w:instrText>ADDIN CSL_CITATION {"citationItems":[{"id":"ITEM-1","itemData":{"DOI":"10.1021/la971117c","ISSN":"0743-7463","author":[{"dropping-particle":"","family":"Alexandridis","given":"Paschalis","non-dropping-particle":"","parse-names":false,"suffix":""},{"dropping-particle":"","family":"Olsson","given":"Ulf","non-dropping-particle":"","parse-names":false,"suffix":""},{"dropping-particle":"","family":"Lindman","given":"Björn","non-dropping-particle":"","parse-names":false,"suffix":""}],"container-title":"Langmuir","id":"ITEM-1","issue":"10","issued":{"date-parts":[["1998","5","1"]]},"page":"2627-2638","title":"A Record Nine Different Phases (Four Cubic, Two Hexagonal, and One Lamellar Lyotropic Liquid Crystalline and Two Micellar Solutions) in a Ternary Isothermal System of an Amphiphilic Block Copolymer and Selective Solvents (Water and Oil)","type":"article-journal","volume":"14"},"uris":["http://www.mendeley.com/documents/?uuid=155769a2-de44-435b-a43a-aa933b57434a"]},{"id":"ITEM-2","itemData":{"DOI":"10.1021/jp951626s","ISSN":"0022-3654","author":[{"dropping-particle":"","family":"Alexandridis","given":"Paschalis","non-dropping-particle":"","parse-names":false,"suffix":""},{"dropping-particle":"","family":"Olsson","given":"Ulf","non-dropping-particle":"","parse-names":false,"suffix":""},{"dropping-particle":"","family":"Lindman","given":"Björn","non-dropping-particle":"","parse-names":false,"suffix":""}],"container-title":"The Journal of Physical Chemistry","id":"ITEM-2","issue":"1","issued":{"date-parts":[["1996","1","1"]]},"page":"280-288","title":"Phase Behavior of Amphiphilic Block Copolymers in Water−Oil Mixtures: The Pluronic 25R4−Water− p -Xylene System","type":"article-journal","volume":"100"},"uris":["http://www.mendeley.com/documents/?uuid=b7286569-aea1-4acf-978d-4cc3f80f6e73"]}],"mendeley":{"formattedCitation":"&lt;sup&gt;208,210&lt;/sup&gt;","plainTextFormattedCitation":"208,210","previouslyFormattedCitation":"&lt;sup&gt;208,210&lt;/sup&gt;"},"properties":{"noteIndex":0},"schema":"https://github.com/citation-style-language/schema/raw/master/csl-citation.json"}</w:instrText>
      </w:r>
      <w:r w:rsidR="00C50A67" w:rsidRPr="006D631C">
        <w:rPr>
          <w:rFonts w:asciiTheme="majorBidi" w:hAnsiTheme="majorBidi" w:cstheme="majorBidi"/>
        </w:rPr>
        <w:fldChar w:fldCharType="separate"/>
      </w:r>
      <w:r w:rsidR="00905D9A" w:rsidRPr="006D631C">
        <w:rPr>
          <w:rFonts w:asciiTheme="majorBidi" w:hAnsiTheme="majorBidi" w:cstheme="majorBidi"/>
          <w:noProof/>
          <w:vertAlign w:val="superscript"/>
        </w:rPr>
        <w:t>208,210</w:t>
      </w:r>
      <w:r w:rsidR="00C50A67" w:rsidRPr="006D631C">
        <w:rPr>
          <w:rFonts w:asciiTheme="majorBidi" w:hAnsiTheme="majorBidi" w:cstheme="majorBidi"/>
        </w:rPr>
        <w:fldChar w:fldCharType="end"/>
      </w:r>
    </w:p>
    <w:p w14:paraId="6197136A" w14:textId="211F53C3" w:rsidR="00411D37" w:rsidRPr="006D631C" w:rsidRDefault="00D879F8" w:rsidP="00411D37">
      <w:pPr>
        <w:pStyle w:val="Caption"/>
        <w:rPr>
          <w:color w:val="020202"/>
          <w:szCs w:val="24"/>
        </w:rPr>
      </w:pPr>
      <w:r w:rsidRPr="006D631C">
        <w:rPr>
          <w:color w:val="020202"/>
          <w:position w:val="-26"/>
          <w:szCs w:val="24"/>
        </w:rPr>
        <w:object w:dxaOrig="1340" w:dyaOrig="740" w14:anchorId="64A9CFD5">
          <v:shape id="_x0000_i1065" type="#_x0000_t75" style="width:64.8pt;height:36pt" o:ole="">
            <v:imagedata r:id="rId130" o:title=""/>
          </v:shape>
          <o:OLEObject Type="Embed" ProgID="Equation.DSMT4" ShapeID="_x0000_i1065" DrawAspect="Content" ObjectID="_1760013333" r:id="rId131"/>
        </w:object>
      </w:r>
      <w:r w:rsidR="00411D37" w:rsidRPr="006D631C">
        <w:rPr>
          <w:color w:val="020202"/>
          <w:szCs w:val="24"/>
        </w:rPr>
        <w:t xml:space="preserve"> </w:t>
      </w:r>
      <w:r w:rsidR="00411D37" w:rsidRPr="006D631C">
        <w:rPr>
          <w:color w:val="020202"/>
          <w:szCs w:val="24"/>
        </w:rPr>
        <w:tab/>
      </w:r>
      <w:r w:rsidR="00411D37" w:rsidRPr="006D631C">
        <w:rPr>
          <w:color w:val="020202"/>
          <w:szCs w:val="24"/>
        </w:rPr>
        <w:tab/>
      </w:r>
      <w:r w:rsidR="00411D37" w:rsidRPr="006D631C">
        <w:rPr>
          <w:color w:val="020202"/>
          <w:szCs w:val="24"/>
        </w:rPr>
        <w:tab/>
      </w:r>
      <w:r w:rsidR="00411D37" w:rsidRPr="006D631C">
        <w:rPr>
          <w:color w:val="020202"/>
          <w:szCs w:val="24"/>
        </w:rPr>
        <w:tab/>
      </w:r>
      <w:r w:rsidR="00411D37" w:rsidRPr="006D631C">
        <w:rPr>
          <w:color w:val="020202"/>
          <w:szCs w:val="24"/>
        </w:rPr>
        <w:tab/>
      </w:r>
      <w:r w:rsidR="00411D37" w:rsidRPr="006D631C">
        <w:rPr>
          <w:color w:val="020202"/>
          <w:szCs w:val="24"/>
        </w:rPr>
        <w:tab/>
      </w:r>
      <w:r w:rsidR="00411D37" w:rsidRPr="006D631C">
        <w:rPr>
          <w:color w:val="020202"/>
          <w:szCs w:val="24"/>
        </w:rPr>
        <w:tab/>
      </w:r>
      <w:r w:rsidR="00411D37" w:rsidRPr="006D631C">
        <w:rPr>
          <w:color w:val="020202"/>
          <w:szCs w:val="24"/>
        </w:rPr>
        <w:tab/>
      </w:r>
      <w:r w:rsidR="00411D37" w:rsidRPr="006D631C">
        <w:rPr>
          <w:color w:val="020202"/>
          <w:szCs w:val="24"/>
        </w:rPr>
        <w:tab/>
      </w:r>
      <w:r w:rsidR="00411D37" w:rsidRPr="006D631C">
        <w:rPr>
          <w:color w:val="020202"/>
          <w:szCs w:val="24"/>
        </w:rPr>
        <w:tab/>
      </w:r>
      <w:r w:rsidR="00411D37" w:rsidRPr="006D631C">
        <w:rPr>
          <w:color w:val="020202"/>
          <w:szCs w:val="24"/>
        </w:rPr>
        <w:tab/>
        <w:t>(</w:t>
      </w:r>
      <w:r w:rsidR="006A54D9" w:rsidRPr="006D631C">
        <w:rPr>
          <w:color w:val="020202"/>
          <w:szCs w:val="24"/>
        </w:rPr>
        <w:fldChar w:fldCharType="begin"/>
      </w:r>
      <w:r w:rsidR="006A54D9" w:rsidRPr="006D631C">
        <w:rPr>
          <w:color w:val="020202"/>
          <w:szCs w:val="24"/>
        </w:rPr>
        <w:instrText xml:space="preserve"> STYLEREF 1 \s </w:instrText>
      </w:r>
      <w:r w:rsidR="006A54D9" w:rsidRPr="006D631C">
        <w:rPr>
          <w:color w:val="020202"/>
          <w:szCs w:val="24"/>
        </w:rPr>
        <w:fldChar w:fldCharType="separate"/>
      </w:r>
      <w:r w:rsidR="005014F7" w:rsidRPr="006D631C">
        <w:rPr>
          <w:color w:val="020202"/>
          <w:szCs w:val="24"/>
          <w:cs/>
        </w:rPr>
        <w:t>‎</w:t>
      </w:r>
      <w:r w:rsidR="005014F7" w:rsidRPr="006D631C">
        <w:rPr>
          <w:color w:val="020202"/>
          <w:szCs w:val="24"/>
        </w:rPr>
        <w:t>4</w:t>
      </w:r>
      <w:r w:rsidR="006A54D9" w:rsidRPr="006D631C">
        <w:rPr>
          <w:color w:val="020202"/>
          <w:szCs w:val="24"/>
        </w:rPr>
        <w:fldChar w:fldCharType="end"/>
      </w:r>
      <w:r w:rsidR="006A54D9" w:rsidRPr="006D631C">
        <w:rPr>
          <w:color w:val="020202"/>
          <w:szCs w:val="24"/>
        </w:rPr>
        <w:noBreakHyphen/>
      </w:r>
      <w:r w:rsidR="006A54D9" w:rsidRPr="006D631C">
        <w:rPr>
          <w:color w:val="020202"/>
          <w:szCs w:val="24"/>
        </w:rPr>
        <w:fldChar w:fldCharType="begin"/>
      </w:r>
      <w:r w:rsidR="006A54D9" w:rsidRPr="006D631C">
        <w:rPr>
          <w:color w:val="020202"/>
          <w:szCs w:val="24"/>
        </w:rPr>
        <w:instrText xml:space="preserve"> SEQ Equation \* ARABIC \s 1 </w:instrText>
      </w:r>
      <w:r w:rsidR="006A54D9" w:rsidRPr="006D631C">
        <w:rPr>
          <w:color w:val="020202"/>
          <w:szCs w:val="24"/>
        </w:rPr>
        <w:fldChar w:fldCharType="separate"/>
      </w:r>
      <w:r w:rsidR="005014F7" w:rsidRPr="006D631C">
        <w:rPr>
          <w:color w:val="020202"/>
          <w:szCs w:val="24"/>
        </w:rPr>
        <w:t>3</w:t>
      </w:r>
      <w:r w:rsidR="006A54D9" w:rsidRPr="006D631C">
        <w:rPr>
          <w:color w:val="020202"/>
          <w:szCs w:val="24"/>
        </w:rPr>
        <w:fldChar w:fldCharType="end"/>
      </w:r>
      <w:r w:rsidR="00411D37" w:rsidRPr="006D631C">
        <w:rPr>
          <w:color w:val="020202"/>
          <w:szCs w:val="24"/>
        </w:rPr>
        <w:t>)</w:t>
      </w:r>
    </w:p>
    <w:p w14:paraId="35B38BC7" w14:textId="41906E3E" w:rsidR="000A7ABD" w:rsidRPr="006D631C" w:rsidRDefault="000A7ABD" w:rsidP="00E522EB">
      <w:pPr>
        <w:ind w:firstLine="360"/>
        <w:rPr>
          <w:rFonts w:asciiTheme="majorBidi" w:hAnsiTheme="majorBidi" w:cstheme="majorBidi"/>
        </w:rPr>
      </w:pPr>
      <w:r w:rsidRPr="006D631C">
        <w:rPr>
          <w:rFonts w:asciiTheme="majorBidi" w:hAnsiTheme="majorBidi" w:cstheme="majorBidi"/>
        </w:rPr>
        <w:t xml:space="preserve">For deriving Eq. (4-3), it should be noted that a hexagonal lattice with a lattice parameter of </w:t>
      </w:r>
      <w:r w:rsidRPr="006D631C">
        <w:rPr>
          <w:rFonts w:asciiTheme="majorBidi" w:hAnsiTheme="majorBidi" w:cstheme="majorBidi"/>
          <w:i/>
          <w:iCs/>
        </w:rPr>
        <w:t>a</w:t>
      </w:r>
      <w:r w:rsidRPr="006D631C">
        <w:rPr>
          <w:rFonts w:asciiTheme="majorBidi" w:hAnsiTheme="majorBidi" w:cstheme="majorBidi"/>
        </w:rPr>
        <w:t xml:space="preserve"> has three fully occupied cylinders with a radius of </w:t>
      </w:r>
      <w:proofErr w:type="spellStart"/>
      <w:proofErr w:type="gramStart"/>
      <w:r w:rsidR="00E522EB" w:rsidRPr="006D631C">
        <w:rPr>
          <w:rFonts w:asciiTheme="majorBidi" w:hAnsiTheme="majorBidi" w:cstheme="majorBidi"/>
          <w:i/>
          <w:iCs/>
        </w:rPr>
        <w:t>R</w:t>
      </w:r>
      <w:r w:rsidR="00E522EB" w:rsidRPr="006D631C">
        <w:rPr>
          <w:rFonts w:asciiTheme="majorBidi" w:hAnsiTheme="majorBidi" w:cstheme="majorBidi"/>
          <w:i/>
          <w:iCs/>
          <w:vertAlign w:val="subscript"/>
        </w:rPr>
        <w:t>c</w:t>
      </w:r>
      <w:proofErr w:type="spellEnd"/>
      <w:proofErr w:type="gramEnd"/>
      <w:r w:rsidRPr="006D631C">
        <w:rPr>
          <w:rFonts w:asciiTheme="majorBidi" w:hAnsiTheme="majorBidi" w:cstheme="majorBidi"/>
        </w:rPr>
        <w:t xml:space="preserve">. By dividing the volume of these cylinders by the volume of a single hexagon, we can obtain the volume fraction of the cylinders (apolar domain volume fraction, </w:t>
      </w:r>
      <w:r w:rsidRPr="006D631C">
        <w:rPr>
          <w:rFonts w:asciiTheme="majorBidi" w:hAnsiTheme="majorBidi" w:cstheme="majorBidi"/>
          <w:i/>
          <w:iCs/>
        </w:rPr>
        <w:t>f</w:t>
      </w:r>
      <w:r w:rsidRPr="006D631C">
        <w:rPr>
          <w:rFonts w:asciiTheme="majorBidi" w:hAnsiTheme="majorBidi" w:cstheme="majorBidi"/>
        </w:rPr>
        <w:t>) as:</w:t>
      </w:r>
    </w:p>
    <w:p w14:paraId="440632A0" w14:textId="0CD24723" w:rsidR="000A7ABD" w:rsidRPr="006D631C" w:rsidRDefault="000A7ABD" w:rsidP="006A54D9">
      <w:pPr>
        <w:pStyle w:val="Caption"/>
        <w:rPr>
          <w:color w:val="020202"/>
          <w:szCs w:val="24"/>
        </w:rPr>
      </w:pPr>
      <w:r w:rsidRPr="006D631C">
        <w:rPr>
          <w:rFonts w:asciiTheme="majorBidi" w:hAnsiTheme="majorBidi" w:cstheme="majorBidi"/>
          <w:szCs w:val="24"/>
        </w:rPr>
        <w:t xml:space="preserve">  </w:t>
      </w:r>
      <w:r w:rsidR="006A54D9" w:rsidRPr="006D631C">
        <w:rPr>
          <w:color w:val="020202"/>
          <w:position w:val="-58"/>
          <w:szCs w:val="24"/>
        </w:rPr>
        <w:object w:dxaOrig="1380" w:dyaOrig="999" w14:anchorId="52522DCA">
          <v:shape id="_x0000_i1066" type="#_x0000_t75" style="width:67.2pt;height:48.6pt" o:ole="">
            <v:imagedata r:id="rId132" o:title=""/>
          </v:shape>
          <o:OLEObject Type="Embed" ProgID="Equation.DSMT4" ShapeID="_x0000_i1066" DrawAspect="Content" ObjectID="_1760013334" r:id="rId133"/>
        </w:object>
      </w:r>
      <w:r w:rsidRPr="006D631C">
        <w:rPr>
          <w:color w:val="020202"/>
          <w:szCs w:val="24"/>
        </w:rPr>
        <w:t xml:space="preserve">                        </w:t>
      </w:r>
      <w:r w:rsidRPr="006D631C">
        <w:rPr>
          <w:color w:val="020202"/>
          <w:szCs w:val="24"/>
        </w:rPr>
        <w:tab/>
      </w:r>
      <w:r w:rsidRPr="006D631C">
        <w:rPr>
          <w:color w:val="020202"/>
          <w:szCs w:val="24"/>
        </w:rPr>
        <w:tab/>
      </w:r>
      <w:r w:rsidRPr="006D631C">
        <w:rPr>
          <w:color w:val="020202"/>
          <w:szCs w:val="24"/>
        </w:rPr>
        <w:tab/>
        <w:t xml:space="preserve">                       </w:t>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006A54D9" w:rsidRPr="006D631C">
        <w:rPr>
          <w:color w:val="020202"/>
          <w:szCs w:val="24"/>
        </w:rPr>
        <w:t>(</w:t>
      </w:r>
      <w:r w:rsidR="006A54D9" w:rsidRPr="006D631C">
        <w:rPr>
          <w:color w:val="020202"/>
          <w:szCs w:val="24"/>
        </w:rPr>
        <w:fldChar w:fldCharType="begin"/>
      </w:r>
      <w:r w:rsidR="006A54D9" w:rsidRPr="006D631C">
        <w:rPr>
          <w:color w:val="020202"/>
          <w:szCs w:val="24"/>
        </w:rPr>
        <w:instrText xml:space="preserve"> STYLEREF 1 \s </w:instrText>
      </w:r>
      <w:r w:rsidR="006A54D9" w:rsidRPr="006D631C">
        <w:rPr>
          <w:color w:val="020202"/>
          <w:szCs w:val="24"/>
        </w:rPr>
        <w:fldChar w:fldCharType="separate"/>
      </w:r>
      <w:r w:rsidR="005014F7" w:rsidRPr="006D631C">
        <w:rPr>
          <w:color w:val="020202"/>
          <w:szCs w:val="24"/>
          <w:cs/>
        </w:rPr>
        <w:t>‎</w:t>
      </w:r>
      <w:r w:rsidR="005014F7" w:rsidRPr="006D631C">
        <w:rPr>
          <w:color w:val="020202"/>
          <w:szCs w:val="24"/>
        </w:rPr>
        <w:t>4</w:t>
      </w:r>
      <w:r w:rsidR="006A54D9" w:rsidRPr="006D631C">
        <w:rPr>
          <w:color w:val="020202"/>
          <w:szCs w:val="24"/>
        </w:rPr>
        <w:fldChar w:fldCharType="end"/>
      </w:r>
      <w:r w:rsidR="006A54D9" w:rsidRPr="006D631C">
        <w:rPr>
          <w:color w:val="020202"/>
          <w:szCs w:val="24"/>
        </w:rPr>
        <w:noBreakHyphen/>
      </w:r>
      <w:r w:rsidR="006A54D9" w:rsidRPr="006D631C">
        <w:rPr>
          <w:color w:val="020202"/>
          <w:szCs w:val="24"/>
        </w:rPr>
        <w:fldChar w:fldCharType="begin"/>
      </w:r>
      <w:r w:rsidR="006A54D9" w:rsidRPr="006D631C">
        <w:rPr>
          <w:color w:val="020202"/>
          <w:szCs w:val="24"/>
        </w:rPr>
        <w:instrText xml:space="preserve"> SEQ Equation \* ARABIC \s 1 </w:instrText>
      </w:r>
      <w:r w:rsidR="006A54D9" w:rsidRPr="006D631C">
        <w:rPr>
          <w:color w:val="020202"/>
          <w:szCs w:val="24"/>
        </w:rPr>
        <w:fldChar w:fldCharType="separate"/>
      </w:r>
      <w:r w:rsidR="005014F7" w:rsidRPr="006D631C">
        <w:rPr>
          <w:color w:val="020202"/>
          <w:szCs w:val="24"/>
        </w:rPr>
        <w:t>4</w:t>
      </w:r>
      <w:r w:rsidR="006A54D9" w:rsidRPr="006D631C">
        <w:rPr>
          <w:color w:val="020202"/>
          <w:szCs w:val="24"/>
        </w:rPr>
        <w:fldChar w:fldCharType="end"/>
      </w:r>
      <w:r w:rsidR="006A54D9" w:rsidRPr="006D631C">
        <w:rPr>
          <w:color w:val="020202"/>
          <w:szCs w:val="24"/>
        </w:rPr>
        <w:t>)</w:t>
      </w:r>
    </w:p>
    <w:p w14:paraId="60C87000" w14:textId="7F578D71" w:rsidR="000A7ABD" w:rsidRPr="006D631C" w:rsidRDefault="000A7ABD" w:rsidP="00424E37">
      <w:pPr>
        <w:ind w:firstLine="360"/>
        <w:rPr>
          <w:rFonts w:asciiTheme="majorBidi" w:hAnsiTheme="majorBidi" w:cstheme="majorBidi"/>
        </w:rPr>
      </w:pPr>
      <w:r w:rsidRPr="006D631C">
        <w:rPr>
          <w:rFonts w:asciiTheme="majorBidi" w:hAnsiTheme="majorBidi" w:cstheme="majorBidi"/>
        </w:rPr>
        <w:lastRenderedPageBreak/>
        <w:t xml:space="preserve">In this equation, the variable </w:t>
      </w:r>
      <w:r w:rsidRPr="006D631C">
        <w:rPr>
          <w:rFonts w:asciiTheme="majorBidi" w:hAnsiTheme="majorBidi" w:cstheme="majorBidi"/>
          <w:i/>
          <w:iCs/>
        </w:rPr>
        <w:t>L</w:t>
      </w:r>
      <w:r w:rsidRPr="006D631C">
        <w:rPr>
          <w:rFonts w:asciiTheme="majorBidi" w:hAnsiTheme="majorBidi" w:cstheme="majorBidi"/>
        </w:rPr>
        <w:t xml:space="preserve"> represents the length of the lattice, which is equal to the length of the cylinders. By solving Eq. </w:t>
      </w:r>
      <w:r w:rsidR="00424E37" w:rsidRPr="006D631C">
        <w:rPr>
          <w:rFonts w:asciiTheme="majorBidi" w:hAnsiTheme="majorBidi" w:cstheme="majorBidi"/>
        </w:rPr>
        <w:t>(4-4)</w:t>
      </w:r>
      <w:r w:rsidRPr="006D631C">
        <w:rPr>
          <w:rFonts w:asciiTheme="majorBidi" w:hAnsiTheme="majorBidi" w:cstheme="majorBidi"/>
        </w:rPr>
        <w:t xml:space="preserve"> for </w:t>
      </w:r>
      <w:proofErr w:type="spellStart"/>
      <w:proofErr w:type="gramStart"/>
      <w:r w:rsidR="00424E37" w:rsidRPr="006D631C">
        <w:rPr>
          <w:rFonts w:asciiTheme="majorBidi" w:hAnsiTheme="majorBidi" w:cstheme="majorBidi"/>
          <w:i/>
          <w:iCs/>
        </w:rPr>
        <w:t>R</w:t>
      </w:r>
      <w:r w:rsidR="00424E37" w:rsidRPr="006D631C">
        <w:rPr>
          <w:rFonts w:asciiTheme="majorBidi" w:hAnsiTheme="majorBidi" w:cstheme="majorBidi"/>
          <w:i/>
          <w:iCs/>
          <w:vertAlign w:val="subscript"/>
        </w:rPr>
        <w:t>c</w:t>
      </w:r>
      <w:proofErr w:type="spellEnd"/>
      <w:proofErr w:type="gramEnd"/>
      <w:r w:rsidRPr="006D631C">
        <w:rPr>
          <w:rFonts w:asciiTheme="majorBidi" w:hAnsiTheme="majorBidi" w:cstheme="majorBidi"/>
        </w:rPr>
        <w:t xml:space="preserve">, Eq. </w:t>
      </w:r>
      <w:r w:rsidR="00424E37" w:rsidRPr="006D631C">
        <w:rPr>
          <w:rFonts w:asciiTheme="majorBidi" w:hAnsiTheme="majorBidi" w:cstheme="majorBidi"/>
        </w:rPr>
        <w:t xml:space="preserve">(4-3) </w:t>
      </w:r>
      <w:r w:rsidRPr="006D631C">
        <w:rPr>
          <w:rFonts w:asciiTheme="majorBidi" w:hAnsiTheme="majorBidi" w:cstheme="majorBidi"/>
        </w:rPr>
        <w:t>is obtained.</w:t>
      </w:r>
    </w:p>
    <w:p w14:paraId="1B8390B6" w14:textId="22E48B10" w:rsidR="00C50A67" w:rsidRPr="006D631C" w:rsidRDefault="006A0EEF" w:rsidP="001011E7">
      <w:pPr>
        <w:ind w:firstLine="360"/>
        <w:rPr>
          <w:rFonts w:asciiTheme="majorBidi" w:hAnsiTheme="majorBidi" w:cstheme="majorBidi"/>
        </w:rPr>
      </w:pPr>
      <w:r w:rsidRPr="006D631C">
        <w:rPr>
          <w:rFonts w:asciiTheme="majorBidi" w:hAnsiTheme="majorBidi" w:cstheme="majorBidi"/>
        </w:rPr>
        <w:t>By employing a similar approach utilized to derive the apolar domain size (</w:t>
      </w:r>
      <w:r w:rsidRPr="006D631C">
        <w:rPr>
          <w:rFonts w:asciiTheme="majorBidi" w:hAnsiTheme="majorBidi" w:cstheme="majorBidi"/>
          <w:i/>
          <w:iCs/>
        </w:rPr>
        <w:t>α</w:t>
      </w:r>
      <w:r w:rsidRPr="006D631C">
        <w:rPr>
          <w:rFonts w:asciiTheme="majorBidi" w:hAnsiTheme="majorBidi" w:cstheme="majorBidi"/>
        </w:rPr>
        <w:t xml:space="preserve">), we can define the micelle size, </w:t>
      </w:r>
      <w:r w:rsidR="001011E7" w:rsidRPr="006D631C">
        <w:rPr>
          <w:rFonts w:asciiTheme="majorBidi" w:hAnsiTheme="majorBidi" w:cstheme="majorBidi"/>
          <w:i/>
          <w:iCs/>
        </w:rPr>
        <w:t>R</w:t>
      </w:r>
      <w:r w:rsidR="001011E7" w:rsidRPr="006D631C">
        <w:rPr>
          <w:rFonts w:asciiTheme="majorBidi" w:hAnsiTheme="majorBidi" w:cstheme="majorBidi"/>
          <w:i/>
          <w:iCs/>
          <w:vertAlign w:val="subscript"/>
        </w:rPr>
        <w:t>m</w:t>
      </w:r>
      <w:r w:rsidRPr="006D631C">
        <w:rPr>
          <w:rFonts w:asciiTheme="majorBidi" w:hAnsiTheme="majorBidi" w:cstheme="majorBidi"/>
        </w:rPr>
        <w:t xml:space="preserve"> as follows</w:t>
      </w:r>
      <w:r w:rsidR="00411D37" w:rsidRPr="006D631C">
        <w:rPr>
          <w:rFonts w:asciiTheme="majorBidi" w:hAnsiTheme="majorBidi" w:cstheme="majorBidi"/>
        </w:rPr>
        <w:t>:</w:t>
      </w:r>
      <w:r w:rsidR="00411D37" w:rsidRPr="006D631C">
        <w:rPr>
          <w:rFonts w:asciiTheme="majorBidi" w:hAnsiTheme="majorBidi" w:cstheme="majorBidi"/>
        </w:rPr>
        <w:fldChar w:fldCharType="begin" w:fldLock="1"/>
      </w:r>
      <w:r w:rsidR="00914149" w:rsidRPr="006D631C">
        <w:rPr>
          <w:rFonts w:asciiTheme="majorBidi" w:hAnsiTheme="majorBidi" w:cstheme="majorBidi"/>
        </w:rPr>
        <w:instrText>ADDIN CSL_CITATION {"citationItems":[{"id":"ITEM-1","itemData":{"DOI":"10.1007/s00397-019-01162-y","ISSN":"0035-4511","abstract":"Self-assembly of block copolymers in the presence of solvents forms ordered mesophase structures, also known as lyotropic liquid crystals (LLCs). The aim of this work is to investigate the rheological properties of Pluronic block copolymer/water/oil mesophases with lamellar and hexagonal structures. The flow behavior of lamellar and hexagonal mesophases indicates that they have yield stress. Oscillatory shear experiments show that mesophases have solid-like behavior and exhibit type III non-linear behavior. The elastic modulus of mesophases is probably controlled by the van der Waals interaction between micelles. We suggest that at relatively low frequencies, defects control the rheological behavior of LLCs, while at high frequencies, the contributions in micellar scale are dominant. Applying high strains on the LLCs induces two relaxation times after cessation of flow, decreases the storage modulus in the whole frequency range, and decreases the loss modulus in small-frequency regime with negligible effect at high frequencies. The decrease in moduli is reversible and the system relaxes back to its original elastic modulus at rest. The observed behavior can be attributed to the elimination of defects under high strains and their re-formation during long enough rest times.","author":[{"dropping-particle":"","family":"Qavi","given":"Sahar","non-dropping-particle":"","parse-names":false,"suffix":""},{"dropping-particle":"","family":"Foudazi","given":"Reza","non-dropping-particle":"","parse-names":false,"suffix":""}],"container-title":"Rheologica Acta","id":"ITEM-1","issue":"8","issued":{"date-parts":[["2019","8","31"]]},"page":"483-498","title":"Rheological characteristics of mesophases of block copolymer solutions","type":"article-journal","volume":"58"},"uris":["http://www.mendeley.com/documents/?uuid=c97ded4e-5292-4962-b3cb-d3d5b2bd061e"]}],"mendeley":{"formattedCitation":"&lt;sup&gt;178&lt;/sup&gt;","plainTextFormattedCitation":"178","previouslyFormattedCitation":"&lt;sup&gt;178&lt;/sup&gt;"},"properties":{"noteIndex":0},"schema":"https://github.com/citation-style-language/schema/raw/master/csl-citation.json"}</w:instrText>
      </w:r>
      <w:r w:rsidR="00411D37" w:rsidRPr="006D631C">
        <w:rPr>
          <w:rFonts w:asciiTheme="majorBidi" w:hAnsiTheme="majorBidi" w:cstheme="majorBidi"/>
        </w:rPr>
        <w:fldChar w:fldCharType="separate"/>
      </w:r>
      <w:r w:rsidR="00411D37" w:rsidRPr="006D631C">
        <w:rPr>
          <w:rFonts w:asciiTheme="majorBidi" w:hAnsiTheme="majorBidi" w:cstheme="majorBidi"/>
          <w:noProof/>
          <w:vertAlign w:val="superscript"/>
        </w:rPr>
        <w:t>178</w:t>
      </w:r>
      <w:r w:rsidR="00411D37" w:rsidRPr="006D631C">
        <w:rPr>
          <w:rFonts w:asciiTheme="majorBidi" w:hAnsiTheme="majorBidi" w:cstheme="majorBidi"/>
        </w:rPr>
        <w:fldChar w:fldCharType="end"/>
      </w:r>
    </w:p>
    <w:p w14:paraId="3C4EED25" w14:textId="70B3FF72" w:rsidR="00FE1C8C" w:rsidRPr="006D631C" w:rsidRDefault="00D879F8" w:rsidP="00FE1C8C">
      <w:pPr>
        <w:pStyle w:val="Caption"/>
        <w:rPr>
          <w:color w:val="020202"/>
          <w:szCs w:val="24"/>
        </w:rPr>
      </w:pPr>
      <w:r w:rsidRPr="006D631C">
        <w:rPr>
          <w:color w:val="020202"/>
          <w:position w:val="-26"/>
          <w:szCs w:val="24"/>
        </w:rPr>
        <w:object w:dxaOrig="2780" w:dyaOrig="740" w14:anchorId="16545509">
          <v:shape id="_x0000_i1067" type="#_x0000_t75" style="width:136.2pt;height:36pt" o:ole="">
            <v:imagedata r:id="rId134" o:title=""/>
          </v:shape>
          <o:OLEObject Type="Embed" ProgID="Equation.DSMT4" ShapeID="_x0000_i1067" DrawAspect="Content" ObjectID="_1760013335" r:id="rId135"/>
        </w:object>
      </w:r>
      <w:r w:rsidR="00FE1C8C" w:rsidRPr="006D631C">
        <w:rPr>
          <w:color w:val="020202"/>
          <w:szCs w:val="24"/>
        </w:rPr>
        <w:t xml:space="preserve"> </w:t>
      </w:r>
      <w:r w:rsidR="00FE1C8C" w:rsidRPr="006D631C">
        <w:rPr>
          <w:color w:val="020202"/>
          <w:szCs w:val="24"/>
        </w:rPr>
        <w:tab/>
      </w:r>
      <w:r w:rsidR="00FE1C8C" w:rsidRPr="006D631C">
        <w:rPr>
          <w:color w:val="020202"/>
          <w:szCs w:val="24"/>
        </w:rPr>
        <w:tab/>
      </w:r>
      <w:r w:rsidR="00FE1C8C" w:rsidRPr="006D631C">
        <w:rPr>
          <w:color w:val="020202"/>
          <w:szCs w:val="24"/>
        </w:rPr>
        <w:tab/>
      </w:r>
      <w:r w:rsidR="00FE1C8C" w:rsidRPr="006D631C">
        <w:rPr>
          <w:color w:val="020202"/>
          <w:szCs w:val="24"/>
        </w:rPr>
        <w:tab/>
      </w:r>
      <w:r w:rsidR="00FE1C8C" w:rsidRPr="006D631C">
        <w:rPr>
          <w:color w:val="020202"/>
          <w:szCs w:val="24"/>
        </w:rPr>
        <w:tab/>
      </w:r>
      <w:r w:rsidR="00FE1C8C" w:rsidRPr="006D631C">
        <w:rPr>
          <w:color w:val="020202"/>
          <w:szCs w:val="24"/>
        </w:rPr>
        <w:tab/>
      </w:r>
      <w:r w:rsidRPr="006D631C">
        <w:rPr>
          <w:color w:val="020202"/>
          <w:szCs w:val="24"/>
        </w:rPr>
        <w:t xml:space="preserve">             </w:t>
      </w:r>
      <w:r w:rsidR="00FE1C8C" w:rsidRPr="006D631C">
        <w:rPr>
          <w:color w:val="020202"/>
          <w:szCs w:val="24"/>
        </w:rPr>
        <w:tab/>
      </w:r>
      <w:r w:rsidR="00FE1C8C" w:rsidRPr="006D631C">
        <w:rPr>
          <w:color w:val="020202"/>
          <w:szCs w:val="24"/>
        </w:rPr>
        <w:tab/>
        <w:t>(</w:t>
      </w:r>
      <w:r w:rsidR="006A54D9" w:rsidRPr="006D631C">
        <w:rPr>
          <w:color w:val="020202"/>
          <w:szCs w:val="24"/>
        </w:rPr>
        <w:fldChar w:fldCharType="begin"/>
      </w:r>
      <w:r w:rsidR="006A54D9" w:rsidRPr="006D631C">
        <w:rPr>
          <w:color w:val="020202"/>
          <w:szCs w:val="24"/>
        </w:rPr>
        <w:instrText xml:space="preserve"> STYLEREF 1 \s </w:instrText>
      </w:r>
      <w:r w:rsidR="006A54D9" w:rsidRPr="006D631C">
        <w:rPr>
          <w:color w:val="020202"/>
          <w:szCs w:val="24"/>
        </w:rPr>
        <w:fldChar w:fldCharType="separate"/>
      </w:r>
      <w:r w:rsidR="005014F7" w:rsidRPr="006D631C">
        <w:rPr>
          <w:color w:val="020202"/>
          <w:szCs w:val="24"/>
          <w:cs/>
        </w:rPr>
        <w:t>‎</w:t>
      </w:r>
      <w:r w:rsidR="005014F7" w:rsidRPr="006D631C">
        <w:rPr>
          <w:color w:val="020202"/>
          <w:szCs w:val="24"/>
        </w:rPr>
        <w:t>4</w:t>
      </w:r>
      <w:r w:rsidR="006A54D9" w:rsidRPr="006D631C">
        <w:rPr>
          <w:color w:val="020202"/>
          <w:szCs w:val="24"/>
        </w:rPr>
        <w:fldChar w:fldCharType="end"/>
      </w:r>
      <w:r w:rsidR="006A54D9" w:rsidRPr="006D631C">
        <w:rPr>
          <w:color w:val="020202"/>
          <w:szCs w:val="24"/>
        </w:rPr>
        <w:noBreakHyphen/>
      </w:r>
      <w:r w:rsidR="006A54D9" w:rsidRPr="006D631C">
        <w:rPr>
          <w:color w:val="020202"/>
          <w:szCs w:val="24"/>
        </w:rPr>
        <w:fldChar w:fldCharType="begin"/>
      </w:r>
      <w:r w:rsidR="006A54D9" w:rsidRPr="006D631C">
        <w:rPr>
          <w:color w:val="020202"/>
          <w:szCs w:val="24"/>
        </w:rPr>
        <w:instrText xml:space="preserve"> SEQ Equation \* ARABIC \s 1 </w:instrText>
      </w:r>
      <w:r w:rsidR="006A54D9" w:rsidRPr="006D631C">
        <w:rPr>
          <w:color w:val="020202"/>
          <w:szCs w:val="24"/>
        </w:rPr>
        <w:fldChar w:fldCharType="separate"/>
      </w:r>
      <w:r w:rsidR="005014F7" w:rsidRPr="006D631C">
        <w:rPr>
          <w:color w:val="020202"/>
          <w:szCs w:val="24"/>
        </w:rPr>
        <w:t>5</w:t>
      </w:r>
      <w:r w:rsidR="006A54D9" w:rsidRPr="006D631C">
        <w:rPr>
          <w:color w:val="020202"/>
          <w:szCs w:val="24"/>
        </w:rPr>
        <w:fldChar w:fldCharType="end"/>
      </w:r>
      <w:r w:rsidR="00FE1C8C" w:rsidRPr="006D631C">
        <w:rPr>
          <w:color w:val="020202"/>
          <w:szCs w:val="24"/>
        </w:rPr>
        <w:t>)</w:t>
      </w:r>
    </w:p>
    <w:p w14:paraId="1BD38AF8" w14:textId="7653536F" w:rsidR="00FE1C8C" w:rsidRPr="006D631C" w:rsidRDefault="00C856EB" w:rsidP="00F41A4C">
      <w:pPr>
        <w:ind w:firstLine="360"/>
        <w:rPr>
          <w:rFonts w:asciiTheme="majorBidi" w:hAnsiTheme="majorBidi" w:cstheme="majorBidi"/>
        </w:rPr>
      </w:pPr>
      <w:r w:rsidRPr="006D631C">
        <w:rPr>
          <w:rFonts w:asciiTheme="majorBidi" w:hAnsiTheme="majorBidi" w:cstheme="majorBidi"/>
        </w:rPr>
        <w:t xml:space="preserve">In this equation, </w:t>
      </w:r>
      <w:proofErr w:type="spellStart"/>
      <w:r w:rsidRPr="006D631C">
        <w:rPr>
          <w:rFonts w:asciiTheme="majorBidi" w:hAnsiTheme="majorBidi" w:cstheme="majorBidi"/>
          <w:i/>
          <w:iCs/>
        </w:rPr>
        <w:t>ϕ</w:t>
      </w:r>
      <w:r w:rsidR="00CE53E2" w:rsidRPr="006D631C">
        <w:rPr>
          <w:rFonts w:asciiTheme="majorBidi" w:hAnsiTheme="majorBidi" w:cstheme="majorBidi"/>
          <w:i/>
          <w:iCs/>
          <w:vertAlign w:val="subscript"/>
        </w:rPr>
        <w:t>Pluronic</w:t>
      </w:r>
      <w:proofErr w:type="spellEnd"/>
      <w:r w:rsidRPr="006D631C">
        <w:rPr>
          <w:rFonts w:asciiTheme="majorBidi" w:hAnsiTheme="majorBidi" w:cstheme="majorBidi"/>
        </w:rPr>
        <w:t xml:space="preserve"> and </w:t>
      </w:r>
      <w:proofErr w:type="spellStart"/>
      <w:r w:rsidRPr="006D631C">
        <w:rPr>
          <w:rFonts w:asciiTheme="majorBidi" w:hAnsiTheme="majorBidi" w:cstheme="majorBidi"/>
          <w:i/>
          <w:iCs/>
        </w:rPr>
        <w:t>ϕ</w:t>
      </w:r>
      <w:r w:rsidRPr="006D631C">
        <w:rPr>
          <w:rFonts w:asciiTheme="majorBidi" w:hAnsiTheme="majorBidi" w:cstheme="majorBidi"/>
          <w:i/>
          <w:iCs/>
          <w:vertAlign w:val="subscript"/>
        </w:rPr>
        <w:t>HDDA</w:t>
      </w:r>
      <w:proofErr w:type="spellEnd"/>
      <w:r w:rsidRPr="006D631C">
        <w:rPr>
          <w:rFonts w:asciiTheme="majorBidi" w:eastAsiaTheme="minorEastAsia" w:hAnsiTheme="majorBidi" w:cstheme="majorBidi"/>
        </w:rPr>
        <w:t xml:space="preserve"> are the volume fraction of the block copolymer and HDDA phase, respectively. In H</w:t>
      </w:r>
      <w:r w:rsidRPr="006D631C">
        <w:rPr>
          <w:rFonts w:asciiTheme="majorBidi" w:eastAsiaTheme="minorEastAsia" w:hAnsiTheme="majorBidi" w:cstheme="majorBidi"/>
          <w:vertAlign w:val="subscript"/>
        </w:rPr>
        <w:t>1</w:t>
      </w:r>
      <w:r w:rsidRPr="006D631C">
        <w:rPr>
          <w:rFonts w:asciiTheme="majorBidi" w:eastAsiaTheme="minorEastAsia" w:hAnsiTheme="majorBidi" w:cstheme="majorBidi"/>
        </w:rPr>
        <w:t xml:space="preserve"> structure after polymerization, the shortest distance between micelles is the exclusion size of solutes, which is equal to</w:t>
      </w:r>
      <w:r w:rsidRPr="006D631C">
        <w:rPr>
          <w:rFonts w:asciiTheme="majorBidi" w:hAnsiTheme="majorBidi" w:cstheme="majorBidi"/>
        </w:rPr>
        <w:t xml:space="preserve"> the intermicellar distance </w:t>
      </w:r>
      <w:r w:rsidRPr="006D631C">
        <w:rPr>
          <w:rFonts w:asciiTheme="majorBidi" w:hAnsiTheme="majorBidi" w:cstheme="majorBidi"/>
          <w:i/>
          <w:iCs/>
        </w:rPr>
        <w:t>D</w:t>
      </w:r>
      <w:r w:rsidR="00A35151" w:rsidRPr="006D631C">
        <w:rPr>
          <w:rFonts w:asciiTheme="majorBidi" w:hAnsiTheme="majorBidi" w:cstheme="majorBidi"/>
          <w:i/>
          <w:iCs/>
          <w:vertAlign w:val="subscript"/>
        </w:rPr>
        <w:t>m</w:t>
      </w:r>
      <w:r w:rsidRPr="006D631C">
        <w:rPr>
          <w:rFonts w:asciiTheme="majorBidi" w:hAnsiTheme="majorBidi" w:cstheme="majorBidi"/>
        </w:rPr>
        <w:fldChar w:fldCharType="begin" w:fldLock="1"/>
      </w:r>
      <w:r w:rsidR="00647937" w:rsidRPr="006D631C">
        <w:rPr>
          <w:rFonts w:asciiTheme="majorBidi" w:hAnsiTheme="majorBidi" w:cstheme="majorBidi"/>
        </w:rPr>
        <w:instrText>ADDIN CSL_CITATION {"citationItems":[{"id":"ITEM-1","itemData":{"DOI":"10.1007/s00397-019-01162-y","ISSN":"0035-4511","abstract":"Self-assembly of block copolymers in the presence of solvents forms ordered mesophase structures, also known as lyotropic liquid crystals (LLCs). The aim of this work is to investigate the rheological properties of Pluronic block copolymer/water/oil mesophases with lamellar and hexagonal structures. The flow behavior of lamellar and hexagonal mesophases indicates that they have yield stress. Oscillatory shear experiments show that mesophases have solid-like behavior and exhibit type III non-linear behavior. The elastic modulus of mesophases is probably controlled by the van der Waals interaction between micelles. We suggest that at relatively low frequencies, defects control the rheological behavior of LLCs, while at high frequencies, the contributions in micellar scale are dominant. Applying high strains on the LLCs induces two relaxation times after cessation of flow, decreases the storage modulus in the whole frequency range, and decreases the loss modulus in small-frequency regime with negligible effect at high frequencies. The decrease in moduli is reversible and the system relaxes back to its original elastic modulus at rest. The observed behavior can be attributed to the elimination of defects under high strains and their re-formation during long enough rest times.","author":[{"dropping-particle":"","family":"Qavi","given":"Sahar","non-dropping-particle":"","parse-names":false,"suffix":""},{"dropping-particle":"","family":"Foudazi","given":"Reza","non-dropping-particle":"","parse-names":false,"suffix":""}],"container-title":"Rheologica Acta","id":"ITEM-1","issue":"8","issued":{"date-parts":[["2019","8","31"]]},"page":"483-498","title":"Rheological characteristics of mesophases of block copolymer solutions","type":"article-journal","volume":"58"},"uris":["http://www.mendeley.com/documents/?uuid=c97ded4e-5292-4962-b3cb-d3d5b2bd061e"]}],"mendeley":{"formattedCitation":"&lt;sup&gt;178&lt;/sup&gt;","plainTextFormattedCitation":"178","previouslyFormattedCitation":"&lt;sup&gt;178&lt;/sup&gt;"},"properties":{"noteIndex":0},"schema":"https://github.com/citation-style-language/schema/raw/master/csl-citation.json"}</w:instrText>
      </w:r>
      <w:r w:rsidRPr="006D631C">
        <w:rPr>
          <w:rFonts w:asciiTheme="majorBidi" w:hAnsiTheme="majorBidi" w:cstheme="majorBidi"/>
        </w:rPr>
        <w:fldChar w:fldCharType="separate"/>
      </w:r>
      <w:r w:rsidR="00914149" w:rsidRPr="006D631C">
        <w:rPr>
          <w:rFonts w:asciiTheme="majorBidi" w:hAnsiTheme="majorBidi" w:cstheme="majorBidi"/>
          <w:noProof/>
          <w:vertAlign w:val="superscript"/>
        </w:rPr>
        <w:t>178</w:t>
      </w:r>
      <w:r w:rsidRPr="006D631C">
        <w:rPr>
          <w:rFonts w:asciiTheme="majorBidi" w:hAnsiTheme="majorBidi" w:cstheme="majorBidi"/>
        </w:rPr>
        <w:fldChar w:fldCharType="end"/>
      </w:r>
      <w:r w:rsidR="00F41A4C" w:rsidRPr="006D631C">
        <w:rPr>
          <w:rFonts w:asciiTheme="majorBidi" w:hAnsiTheme="majorBidi" w:cstheme="majorBidi"/>
        </w:rPr>
        <w:t>:</w:t>
      </w:r>
    </w:p>
    <w:p w14:paraId="551C0D0C" w14:textId="45D7D01E" w:rsidR="001C792E" w:rsidRPr="006D631C" w:rsidRDefault="00112DB2" w:rsidP="001C792E">
      <w:pPr>
        <w:pStyle w:val="Caption"/>
        <w:rPr>
          <w:color w:val="020202"/>
          <w:szCs w:val="24"/>
        </w:rPr>
      </w:pPr>
      <w:r w:rsidRPr="006D631C">
        <w:rPr>
          <w:color w:val="020202"/>
          <w:position w:val="-12"/>
          <w:szCs w:val="24"/>
        </w:rPr>
        <w:object w:dxaOrig="1320" w:dyaOrig="360" w14:anchorId="6420B065">
          <v:shape id="_x0000_i1068" type="#_x0000_t75" style="width:64.8pt;height:18pt" o:ole="">
            <v:imagedata r:id="rId136" o:title=""/>
          </v:shape>
          <o:OLEObject Type="Embed" ProgID="Equation.DSMT4" ShapeID="_x0000_i1068" DrawAspect="Content" ObjectID="_1760013336" r:id="rId137"/>
        </w:object>
      </w:r>
      <w:r w:rsidR="001C792E" w:rsidRPr="006D631C">
        <w:rPr>
          <w:color w:val="020202"/>
          <w:szCs w:val="24"/>
        </w:rPr>
        <w:tab/>
      </w:r>
      <w:r w:rsidR="001C792E" w:rsidRPr="006D631C">
        <w:rPr>
          <w:color w:val="020202"/>
          <w:szCs w:val="24"/>
        </w:rPr>
        <w:tab/>
      </w:r>
      <w:r w:rsidR="001C792E" w:rsidRPr="006D631C">
        <w:rPr>
          <w:color w:val="020202"/>
          <w:szCs w:val="24"/>
        </w:rPr>
        <w:tab/>
      </w:r>
      <w:r w:rsidR="001C792E" w:rsidRPr="006D631C">
        <w:rPr>
          <w:color w:val="020202"/>
          <w:szCs w:val="24"/>
        </w:rPr>
        <w:tab/>
      </w:r>
      <w:r w:rsidR="001C792E" w:rsidRPr="006D631C">
        <w:rPr>
          <w:color w:val="020202"/>
          <w:szCs w:val="24"/>
        </w:rPr>
        <w:tab/>
      </w:r>
      <w:r w:rsidR="001C792E" w:rsidRPr="006D631C">
        <w:rPr>
          <w:color w:val="020202"/>
          <w:szCs w:val="24"/>
        </w:rPr>
        <w:tab/>
      </w:r>
      <w:r w:rsidR="001C792E" w:rsidRPr="006D631C">
        <w:rPr>
          <w:color w:val="020202"/>
          <w:szCs w:val="24"/>
        </w:rPr>
        <w:tab/>
      </w:r>
      <w:r w:rsidR="001C792E" w:rsidRPr="006D631C">
        <w:rPr>
          <w:color w:val="020202"/>
          <w:szCs w:val="24"/>
        </w:rPr>
        <w:tab/>
      </w:r>
      <w:r w:rsidR="001C792E" w:rsidRPr="006D631C">
        <w:rPr>
          <w:color w:val="020202"/>
          <w:szCs w:val="24"/>
        </w:rPr>
        <w:tab/>
      </w:r>
      <w:r w:rsidR="001C792E" w:rsidRPr="006D631C">
        <w:rPr>
          <w:color w:val="020202"/>
          <w:szCs w:val="24"/>
        </w:rPr>
        <w:tab/>
      </w:r>
      <w:r w:rsidR="001C792E" w:rsidRPr="006D631C">
        <w:rPr>
          <w:color w:val="020202"/>
          <w:szCs w:val="24"/>
        </w:rPr>
        <w:tab/>
        <w:t>(</w:t>
      </w:r>
      <w:r w:rsidR="006A54D9" w:rsidRPr="006D631C">
        <w:rPr>
          <w:color w:val="020202"/>
          <w:szCs w:val="24"/>
        </w:rPr>
        <w:fldChar w:fldCharType="begin"/>
      </w:r>
      <w:r w:rsidR="006A54D9" w:rsidRPr="006D631C">
        <w:rPr>
          <w:color w:val="020202"/>
          <w:szCs w:val="24"/>
        </w:rPr>
        <w:instrText xml:space="preserve"> STYLEREF 1 \s </w:instrText>
      </w:r>
      <w:r w:rsidR="006A54D9" w:rsidRPr="006D631C">
        <w:rPr>
          <w:color w:val="020202"/>
          <w:szCs w:val="24"/>
        </w:rPr>
        <w:fldChar w:fldCharType="separate"/>
      </w:r>
      <w:r w:rsidR="005014F7" w:rsidRPr="006D631C">
        <w:rPr>
          <w:color w:val="020202"/>
          <w:szCs w:val="24"/>
          <w:cs/>
        </w:rPr>
        <w:t>‎</w:t>
      </w:r>
      <w:r w:rsidR="005014F7" w:rsidRPr="006D631C">
        <w:rPr>
          <w:color w:val="020202"/>
          <w:szCs w:val="24"/>
        </w:rPr>
        <w:t>4</w:t>
      </w:r>
      <w:r w:rsidR="006A54D9" w:rsidRPr="006D631C">
        <w:rPr>
          <w:color w:val="020202"/>
          <w:szCs w:val="24"/>
        </w:rPr>
        <w:fldChar w:fldCharType="end"/>
      </w:r>
      <w:r w:rsidR="006A54D9" w:rsidRPr="006D631C">
        <w:rPr>
          <w:color w:val="020202"/>
          <w:szCs w:val="24"/>
        </w:rPr>
        <w:noBreakHyphen/>
      </w:r>
      <w:r w:rsidR="006A54D9" w:rsidRPr="006D631C">
        <w:rPr>
          <w:color w:val="020202"/>
          <w:szCs w:val="24"/>
        </w:rPr>
        <w:fldChar w:fldCharType="begin"/>
      </w:r>
      <w:r w:rsidR="006A54D9" w:rsidRPr="006D631C">
        <w:rPr>
          <w:color w:val="020202"/>
          <w:szCs w:val="24"/>
        </w:rPr>
        <w:instrText xml:space="preserve"> SEQ Equation \* ARABIC \s 1 </w:instrText>
      </w:r>
      <w:r w:rsidR="006A54D9" w:rsidRPr="006D631C">
        <w:rPr>
          <w:color w:val="020202"/>
          <w:szCs w:val="24"/>
        </w:rPr>
        <w:fldChar w:fldCharType="separate"/>
      </w:r>
      <w:r w:rsidR="005014F7" w:rsidRPr="006D631C">
        <w:rPr>
          <w:color w:val="020202"/>
          <w:szCs w:val="24"/>
        </w:rPr>
        <w:t>6</w:t>
      </w:r>
      <w:r w:rsidR="006A54D9" w:rsidRPr="006D631C">
        <w:rPr>
          <w:color w:val="020202"/>
          <w:szCs w:val="24"/>
        </w:rPr>
        <w:fldChar w:fldCharType="end"/>
      </w:r>
      <w:r w:rsidR="001C792E" w:rsidRPr="006D631C">
        <w:rPr>
          <w:color w:val="020202"/>
          <w:szCs w:val="24"/>
        </w:rPr>
        <w:t>)</w:t>
      </w:r>
    </w:p>
    <w:p w14:paraId="574BCFAC" w14:textId="77777777" w:rsidR="00D72471" w:rsidRPr="006D631C" w:rsidRDefault="0097789D" w:rsidP="00D5361E">
      <w:pPr>
        <w:pStyle w:val="Caption"/>
        <w:jc w:val="center"/>
        <w:rPr>
          <w:sz w:val="22"/>
          <w:szCs w:val="22"/>
        </w:rPr>
      </w:pPr>
      <w:r w:rsidRPr="006D631C">
        <w:rPr>
          <w:noProof/>
          <w:sz w:val="22"/>
          <w:szCs w:val="22"/>
        </w:rPr>
        <w:drawing>
          <wp:inline distT="0" distB="0" distL="0" distR="0" wp14:anchorId="7C9A3B48" wp14:editId="56EAA388">
            <wp:extent cx="5940000" cy="366329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40000" cy="3663297"/>
                    </a:xfrm>
                    <a:prstGeom prst="rect">
                      <a:avLst/>
                    </a:prstGeom>
                    <a:noFill/>
                  </pic:spPr>
                </pic:pic>
              </a:graphicData>
            </a:graphic>
          </wp:inline>
        </w:drawing>
      </w:r>
    </w:p>
    <w:p w14:paraId="409FAD2D" w14:textId="5CD58551" w:rsidR="00D5361E" w:rsidRPr="006D631C" w:rsidRDefault="00D5361E" w:rsidP="00D5361E">
      <w:pPr>
        <w:pStyle w:val="Caption"/>
        <w:jc w:val="center"/>
        <w:rPr>
          <w:rFonts w:asciiTheme="majorBidi" w:hAnsiTheme="majorBidi" w:cstheme="majorBidi"/>
          <w:szCs w:val="24"/>
        </w:rPr>
      </w:pPr>
      <w:bookmarkStart w:id="183" w:name="_Toc148175948"/>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4</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3</w:t>
      </w:r>
      <w:r w:rsidR="00B55F32" w:rsidRPr="006D631C">
        <w:rPr>
          <w:sz w:val="22"/>
          <w:szCs w:val="22"/>
        </w:rPr>
        <w:fldChar w:fldCharType="end"/>
      </w:r>
      <w:r w:rsidRPr="006D631C">
        <w:rPr>
          <w:rFonts w:asciiTheme="majorBidi" w:hAnsiTheme="majorBidi" w:cstheme="majorBidi"/>
          <w:sz w:val="22"/>
          <w:szCs w:val="22"/>
        </w:rPr>
        <w:t>. Schematic representation of structural parameters for H</w:t>
      </w:r>
      <w:r w:rsidRPr="006D631C">
        <w:rPr>
          <w:rFonts w:asciiTheme="majorBidi" w:hAnsiTheme="majorBidi" w:cstheme="majorBidi"/>
          <w:sz w:val="22"/>
          <w:szCs w:val="22"/>
          <w:vertAlign w:val="subscript"/>
        </w:rPr>
        <w:t>1</w:t>
      </w:r>
      <w:r w:rsidRPr="006D631C">
        <w:rPr>
          <w:rFonts w:asciiTheme="majorBidi" w:hAnsiTheme="majorBidi" w:cstheme="majorBidi"/>
          <w:sz w:val="22"/>
          <w:szCs w:val="22"/>
        </w:rPr>
        <w:t xml:space="preserve"> structure.</w:t>
      </w:r>
      <w:bookmarkEnd w:id="183"/>
    </w:p>
    <w:p w14:paraId="7A419046" w14:textId="3F6215B3" w:rsidR="00A9517A" w:rsidRPr="006D631C" w:rsidRDefault="00BB62D5" w:rsidP="00EB02B2">
      <w:pPr>
        <w:ind w:firstLine="360"/>
        <w:rPr>
          <w:rFonts w:asciiTheme="majorBidi" w:hAnsiTheme="majorBidi" w:cstheme="majorBidi"/>
        </w:rPr>
      </w:pPr>
      <w:r w:rsidRPr="006D631C">
        <w:rPr>
          <w:rFonts w:asciiTheme="majorBidi" w:hAnsiTheme="majorBidi" w:cstheme="majorBidi"/>
        </w:rPr>
        <w:lastRenderedPageBreak/>
        <w:t xml:space="preserve">Table </w:t>
      </w:r>
      <w:r w:rsidR="00A50B46" w:rsidRPr="006D631C">
        <w:rPr>
          <w:rFonts w:asciiTheme="majorBidi" w:hAnsiTheme="majorBidi" w:cstheme="majorBidi"/>
        </w:rPr>
        <w:t>4-</w:t>
      </w:r>
      <w:r w:rsidRPr="006D631C">
        <w:rPr>
          <w:rFonts w:asciiTheme="majorBidi" w:hAnsiTheme="majorBidi" w:cstheme="majorBidi"/>
        </w:rPr>
        <w:t>1 shows the calculated structural parameters. As can be seen, the estimated intermicellar distance (pore size) is about 2.6 nm for the LLC and polyLLC. However, this estimated value significantly increases to ~5.4 nm for the water-swollen sample</w:t>
      </w:r>
      <w:r w:rsidR="00A65855" w:rsidRPr="006D631C">
        <w:rPr>
          <w:rFonts w:asciiTheme="majorBidi" w:hAnsiTheme="majorBidi" w:cstheme="majorBidi"/>
        </w:rPr>
        <w:t xml:space="preserve"> at 25 °C</w:t>
      </w:r>
      <w:r w:rsidRPr="006D631C">
        <w:rPr>
          <w:rFonts w:asciiTheme="majorBidi" w:hAnsiTheme="majorBidi" w:cstheme="majorBidi"/>
        </w:rPr>
        <w:t xml:space="preserve">. The more accurate pore size can be determined via the MWCO experiment, which will be discussed in section 4.3.2.2. </w:t>
      </w:r>
      <w:r w:rsidR="00A65855" w:rsidRPr="006D631C">
        <w:rPr>
          <w:rFonts w:asciiTheme="majorBidi" w:hAnsiTheme="majorBidi" w:cstheme="majorBidi"/>
        </w:rPr>
        <w:t xml:space="preserve">In the upcoming sections, we will present the experimental results of the polyLLC membrane under testing conditions of 25 and 45 °C. To enhance the comparison of the calculated data obtained from SAXS, we have also included the data for water-swollen polyLLC at 45 °C in Table </w:t>
      </w:r>
      <w:r w:rsidR="00AB12AD" w:rsidRPr="006D631C">
        <w:rPr>
          <w:rFonts w:asciiTheme="majorBidi" w:hAnsiTheme="majorBidi" w:cstheme="majorBidi"/>
        </w:rPr>
        <w:t>4-</w:t>
      </w:r>
      <w:r w:rsidR="00A65855" w:rsidRPr="006D631C">
        <w:rPr>
          <w:rFonts w:asciiTheme="majorBidi" w:hAnsiTheme="majorBidi" w:cstheme="majorBidi"/>
        </w:rPr>
        <w:t>1. The corresponding SAXS data for this particular sample can be seen in Fig</w:t>
      </w:r>
      <w:r w:rsidR="00AB12AD" w:rsidRPr="006D631C">
        <w:rPr>
          <w:rFonts w:asciiTheme="majorBidi" w:hAnsiTheme="majorBidi" w:cstheme="majorBidi"/>
        </w:rPr>
        <w:t>ure</w:t>
      </w:r>
      <w:r w:rsidR="00A65855" w:rsidRPr="006D631C">
        <w:rPr>
          <w:rFonts w:asciiTheme="majorBidi" w:hAnsiTheme="majorBidi" w:cstheme="majorBidi"/>
        </w:rPr>
        <w:t xml:space="preserve"> </w:t>
      </w:r>
      <w:r w:rsidR="00AB12AD" w:rsidRPr="006D631C">
        <w:rPr>
          <w:rFonts w:asciiTheme="majorBidi" w:hAnsiTheme="majorBidi" w:cstheme="majorBidi"/>
        </w:rPr>
        <w:t>4-</w:t>
      </w:r>
      <w:r w:rsidR="00A65855" w:rsidRPr="006D631C">
        <w:rPr>
          <w:rFonts w:asciiTheme="majorBidi" w:hAnsiTheme="majorBidi" w:cstheme="majorBidi"/>
        </w:rPr>
        <w:t xml:space="preserve">6. Section </w:t>
      </w:r>
      <w:r w:rsidR="00AB12AD" w:rsidRPr="006D631C">
        <w:rPr>
          <w:rFonts w:asciiTheme="majorBidi" w:hAnsiTheme="majorBidi" w:cstheme="majorBidi"/>
        </w:rPr>
        <w:t xml:space="preserve">4.3.2.2. </w:t>
      </w:r>
      <w:proofErr w:type="gramStart"/>
      <w:r w:rsidR="00A65855" w:rsidRPr="006D631C">
        <w:rPr>
          <w:rFonts w:asciiTheme="majorBidi" w:hAnsiTheme="majorBidi" w:cstheme="majorBidi"/>
        </w:rPr>
        <w:t>will</w:t>
      </w:r>
      <w:proofErr w:type="gramEnd"/>
      <w:r w:rsidR="00A65855" w:rsidRPr="006D631C">
        <w:rPr>
          <w:rFonts w:asciiTheme="majorBidi" w:hAnsiTheme="majorBidi" w:cstheme="majorBidi"/>
        </w:rPr>
        <w:t xml:space="preserve"> provide a detailed discussion on the calculated data.</w:t>
      </w:r>
    </w:p>
    <w:p w14:paraId="69937B65" w14:textId="12F5AC1C" w:rsidR="00EB4366" w:rsidRPr="006D631C" w:rsidRDefault="00EB4366" w:rsidP="00861405">
      <w:pPr>
        <w:pStyle w:val="TOC1"/>
      </w:pPr>
    </w:p>
    <w:p w14:paraId="75D864B7" w14:textId="77777777" w:rsidR="00EB4366" w:rsidRPr="006D631C" w:rsidRDefault="00EB4366" w:rsidP="00EB4366"/>
    <w:p w14:paraId="52B293A2" w14:textId="4E3209C4" w:rsidR="00263068" w:rsidRPr="006D631C" w:rsidRDefault="00EF3572" w:rsidP="00EF3572">
      <w:pPr>
        <w:pStyle w:val="Caption"/>
        <w:spacing w:after="0"/>
        <w:jc w:val="center"/>
        <w:rPr>
          <w:rFonts w:cs="Times New Roman"/>
          <w:sz w:val="22"/>
          <w:szCs w:val="22"/>
        </w:rPr>
      </w:pPr>
      <w:bookmarkStart w:id="184" w:name="_Toc148175972"/>
      <w:r w:rsidRPr="006D631C">
        <w:rPr>
          <w:rFonts w:cs="Times New Roman"/>
          <w:sz w:val="22"/>
          <w:szCs w:val="22"/>
        </w:rPr>
        <w:t xml:space="preserve">Table </w:t>
      </w:r>
      <w:r w:rsidR="0093296F" w:rsidRPr="006D631C">
        <w:rPr>
          <w:rFonts w:cs="Times New Roman"/>
          <w:sz w:val="22"/>
          <w:szCs w:val="22"/>
        </w:rPr>
        <w:fldChar w:fldCharType="begin"/>
      </w:r>
      <w:r w:rsidR="0093296F" w:rsidRPr="006D631C">
        <w:rPr>
          <w:rFonts w:cs="Times New Roman"/>
          <w:sz w:val="22"/>
          <w:szCs w:val="22"/>
        </w:rPr>
        <w:instrText xml:space="preserve"> STYLEREF 1 \s </w:instrText>
      </w:r>
      <w:r w:rsidR="0093296F" w:rsidRPr="006D631C">
        <w:rPr>
          <w:rFonts w:cs="Times New Roman"/>
          <w:sz w:val="22"/>
          <w:szCs w:val="22"/>
        </w:rPr>
        <w:fldChar w:fldCharType="separate"/>
      </w:r>
      <w:r w:rsidR="0093296F" w:rsidRPr="006D631C">
        <w:rPr>
          <w:rFonts w:cs="Times New Roman"/>
          <w:sz w:val="22"/>
          <w:szCs w:val="22"/>
          <w:cs/>
        </w:rPr>
        <w:t>‎</w:t>
      </w:r>
      <w:r w:rsidR="0093296F" w:rsidRPr="006D631C">
        <w:rPr>
          <w:rFonts w:cs="Times New Roman"/>
          <w:sz w:val="22"/>
          <w:szCs w:val="22"/>
        </w:rPr>
        <w:t>4</w:t>
      </w:r>
      <w:r w:rsidR="0093296F" w:rsidRPr="006D631C">
        <w:rPr>
          <w:rFonts w:cs="Times New Roman"/>
          <w:sz w:val="22"/>
          <w:szCs w:val="22"/>
        </w:rPr>
        <w:fldChar w:fldCharType="end"/>
      </w:r>
      <w:r w:rsidR="0093296F" w:rsidRPr="006D631C">
        <w:rPr>
          <w:rFonts w:cs="Times New Roman"/>
          <w:sz w:val="22"/>
          <w:szCs w:val="22"/>
        </w:rPr>
        <w:noBreakHyphen/>
      </w:r>
      <w:r w:rsidR="0093296F" w:rsidRPr="006D631C">
        <w:rPr>
          <w:rFonts w:cs="Times New Roman"/>
          <w:sz w:val="22"/>
          <w:szCs w:val="22"/>
        </w:rPr>
        <w:fldChar w:fldCharType="begin"/>
      </w:r>
      <w:r w:rsidR="0093296F" w:rsidRPr="006D631C">
        <w:rPr>
          <w:rFonts w:cs="Times New Roman"/>
          <w:sz w:val="22"/>
          <w:szCs w:val="22"/>
        </w:rPr>
        <w:instrText xml:space="preserve"> SEQ Table \* ARABIC \s 1 </w:instrText>
      </w:r>
      <w:r w:rsidR="0093296F" w:rsidRPr="006D631C">
        <w:rPr>
          <w:rFonts w:cs="Times New Roman"/>
          <w:sz w:val="22"/>
          <w:szCs w:val="22"/>
        </w:rPr>
        <w:fldChar w:fldCharType="separate"/>
      </w:r>
      <w:r w:rsidR="0093296F" w:rsidRPr="006D631C">
        <w:rPr>
          <w:rFonts w:cs="Times New Roman"/>
          <w:sz w:val="22"/>
          <w:szCs w:val="22"/>
        </w:rPr>
        <w:t>1</w:t>
      </w:r>
      <w:r w:rsidR="0093296F" w:rsidRPr="006D631C">
        <w:rPr>
          <w:rFonts w:cs="Times New Roman"/>
          <w:sz w:val="22"/>
          <w:szCs w:val="22"/>
        </w:rPr>
        <w:fldChar w:fldCharType="end"/>
      </w:r>
      <w:r w:rsidR="00263068" w:rsidRPr="006D631C">
        <w:rPr>
          <w:rFonts w:cs="Times New Roman"/>
          <w:sz w:val="22"/>
          <w:szCs w:val="22"/>
        </w:rPr>
        <w:t>. Calculated structural parameters for different species based on SAXS data.</w:t>
      </w:r>
      <w:bookmarkEnd w:id="184"/>
    </w:p>
    <w:tbl>
      <w:tblPr>
        <w:tblW w:w="9072" w:type="dxa"/>
        <w:jc w:val="center"/>
        <w:tblLayout w:type="fixed"/>
        <w:tblLook w:val="04A0" w:firstRow="1" w:lastRow="0" w:firstColumn="1" w:lastColumn="0" w:noHBand="0" w:noVBand="1"/>
      </w:tblPr>
      <w:tblGrid>
        <w:gridCol w:w="1844"/>
        <w:gridCol w:w="845"/>
        <w:gridCol w:w="856"/>
        <w:gridCol w:w="850"/>
        <w:gridCol w:w="987"/>
        <w:gridCol w:w="856"/>
        <w:gridCol w:w="708"/>
        <w:gridCol w:w="709"/>
        <w:gridCol w:w="709"/>
        <w:gridCol w:w="708"/>
      </w:tblGrid>
      <w:tr w:rsidR="00AC0145" w:rsidRPr="006D631C" w14:paraId="23D73C27" w14:textId="77777777" w:rsidTr="00CA3B53">
        <w:trPr>
          <w:trHeight w:val="676"/>
          <w:jc w:val="center"/>
        </w:trPr>
        <w:tc>
          <w:tcPr>
            <w:tcW w:w="1844" w:type="dxa"/>
            <w:tcBorders>
              <w:top w:val="single" w:sz="4" w:space="0" w:color="auto"/>
              <w:bottom w:val="single" w:sz="4" w:space="0" w:color="auto"/>
            </w:tcBorders>
            <w:shd w:val="clear" w:color="auto" w:fill="auto"/>
            <w:noWrap/>
            <w:vAlign w:val="center"/>
            <w:hideMark/>
          </w:tcPr>
          <w:p w14:paraId="27D699E6"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Sample</w:t>
            </w:r>
          </w:p>
        </w:tc>
        <w:tc>
          <w:tcPr>
            <w:tcW w:w="845" w:type="dxa"/>
            <w:tcBorders>
              <w:top w:val="single" w:sz="4" w:space="0" w:color="auto"/>
              <w:bottom w:val="single" w:sz="4" w:space="0" w:color="auto"/>
            </w:tcBorders>
            <w:shd w:val="clear" w:color="auto" w:fill="auto"/>
            <w:noWrap/>
            <w:vAlign w:val="center"/>
            <w:hideMark/>
          </w:tcPr>
          <w:p w14:paraId="6EDAE38B" w14:textId="77777777" w:rsidR="00AC0145" w:rsidRPr="006D631C" w:rsidRDefault="00AC0145" w:rsidP="00F463F6">
            <w:pPr>
              <w:widowControl w:val="0"/>
              <w:spacing w:line="240" w:lineRule="auto"/>
              <w:jc w:val="center"/>
              <w:rPr>
                <w:i/>
                <w:iCs/>
                <w:color w:val="000000"/>
                <w:sz w:val="22"/>
                <w:szCs w:val="22"/>
              </w:rPr>
            </w:pPr>
            <w:r w:rsidRPr="006D631C">
              <w:rPr>
                <w:i/>
                <w:iCs/>
                <w:color w:val="000000"/>
                <w:sz w:val="22"/>
                <w:szCs w:val="22"/>
              </w:rPr>
              <w:t>q</w:t>
            </w:r>
            <w:r w:rsidRPr="006D631C">
              <w:rPr>
                <w:i/>
                <w:iCs/>
                <w:color w:val="000000"/>
                <w:sz w:val="22"/>
                <w:szCs w:val="22"/>
                <w:vertAlign w:val="superscript"/>
              </w:rPr>
              <w:t>*</w:t>
            </w:r>
          </w:p>
          <w:p w14:paraId="5E584747"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(nm</w:t>
            </w:r>
            <w:r w:rsidRPr="006D631C">
              <w:rPr>
                <w:color w:val="000000"/>
                <w:sz w:val="22"/>
                <w:szCs w:val="22"/>
                <w:vertAlign w:val="superscript"/>
              </w:rPr>
              <w:t>-1</w:t>
            </w:r>
            <w:r w:rsidRPr="006D631C">
              <w:rPr>
                <w:color w:val="000000"/>
                <w:sz w:val="22"/>
                <w:szCs w:val="22"/>
              </w:rPr>
              <w:t>)</w:t>
            </w:r>
          </w:p>
        </w:tc>
        <w:tc>
          <w:tcPr>
            <w:tcW w:w="856" w:type="dxa"/>
            <w:tcBorders>
              <w:top w:val="single" w:sz="4" w:space="0" w:color="auto"/>
              <w:bottom w:val="single" w:sz="4" w:space="0" w:color="auto"/>
            </w:tcBorders>
            <w:shd w:val="clear" w:color="auto" w:fill="auto"/>
            <w:noWrap/>
            <w:vAlign w:val="center"/>
          </w:tcPr>
          <w:p w14:paraId="7BB34B53" w14:textId="5F5C942C" w:rsidR="00AC0145" w:rsidRPr="006D631C" w:rsidRDefault="00AC0145" w:rsidP="00F463F6">
            <w:pPr>
              <w:widowControl w:val="0"/>
              <w:spacing w:line="240" w:lineRule="auto"/>
              <w:jc w:val="center"/>
              <w:rPr>
                <w:color w:val="000000"/>
                <w:sz w:val="22"/>
                <w:szCs w:val="22"/>
                <w:vertAlign w:val="superscript"/>
              </w:rPr>
            </w:pPr>
            <w:proofErr w:type="spellStart"/>
            <w:r w:rsidRPr="006D631C">
              <w:rPr>
                <w:rFonts w:asciiTheme="majorBidi" w:hAnsiTheme="majorBidi" w:cstheme="majorBidi"/>
                <w:i/>
                <w:iCs/>
                <w:sz w:val="22"/>
                <w:szCs w:val="22"/>
              </w:rPr>
              <w:t>ϕ</w:t>
            </w:r>
            <w:r w:rsidRPr="006D631C">
              <w:rPr>
                <w:rFonts w:asciiTheme="majorBidi" w:hAnsiTheme="majorBidi" w:cstheme="majorBidi"/>
                <w:i/>
                <w:iCs/>
                <w:sz w:val="22"/>
                <w:szCs w:val="22"/>
                <w:vertAlign w:val="subscript"/>
              </w:rPr>
              <w:t>PPO</w:t>
            </w:r>
            <w:proofErr w:type="spellEnd"/>
            <w:r w:rsidRPr="006D631C">
              <w:rPr>
                <w:sz w:val="22"/>
                <w:szCs w:val="22"/>
                <w:vertAlign w:val="superscript"/>
              </w:rPr>
              <w:t xml:space="preserve"> a</w:t>
            </w:r>
          </w:p>
        </w:tc>
        <w:tc>
          <w:tcPr>
            <w:tcW w:w="850" w:type="dxa"/>
            <w:tcBorders>
              <w:top w:val="single" w:sz="4" w:space="0" w:color="auto"/>
              <w:bottom w:val="single" w:sz="4" w:space="0" w:color="auto"/>
            </w:tcBorders>
            <w:shd w:val="clear" w:color="auto" w:fill="auto"/>
            <w:noWrap/>
            <w:vAlign w:val="center"/>
          </w:tcPr>
          <w:p w14:paraId="285DBBDF" w14:textId="1DF54C1B" w:rsidR="00AC0145" w:rsidRPr="006D631C" w:rsidRDefault="00AC0145" w:rsidP="00187C61">
            <w:pPr>
              <w:widowControl w:val="0"/>
              <w:spacing w:line="240" w:lineRule="auto"/>
              <w:jc w:val="center"/>
              <w:rPr>
                <w:color w:val="000000"/>
                <w:sz w:val="22"/>
                <w:szCs w:val="22"/>
              </w:rPr>
            </w:pPr>
            <w:proofErr w:type="spellStart"/>
            <w:r w:rsidRPr="006D631C">
              <w:rPr>
                <w:rFonts w:asciiTheme="majorBidi" w:hAnsiTheme="majorBidi" w:cstheme="majorBidi"/>
                <w:i/>
                <w:iCs/>
                <w:sz w:val="22"/>
                <w:szCs w:val="22"/>
              </w:rPr>
              <w:t>ϕ</w:t>
            </w:r>
            <w:r w:rsidRPr="006D631C">
              <w:rPr>
                <w:rFonts w:asciiTheme="majorBidi" w:hAnsiTheme="majorBidi" w:cstheme="majorBidi"/>
                <w:i/>
                <w:iCs/>
                <w:sz w:val="22"/>
                <w:szCs w:val="22"/>
                <w:vertAlign w:val="subscript"/>
              </w:rPr>
              <w:t>HDDA</w:t>
            </w:r>
            <w:proofErr w:type="spellEnd"/>
          </w:p>
        </w:tc>
        <w:tc>
          <w:tcPr>
            <w:tcW w:w="987" w:type="dxa"/>
            <w:tcBorders>
              <w:top w:val="single" w:sz="4" w:space="0" w:color="auto"/>
              <w:bottom w:val="single" w:sz="4" w:space="0" w:color="auto"/>
            </w:tcBorders>
            <w:shd w:val="clear" w:color="auto" w:fill="auto"/>
            <w:noWrap/>
            <w:vAlign w:val="center"/>
          </w:tcPr>
          <w:p w14:paraId="2EFD1249" w14:textId="085C7E22" w:rsidR="00AC0145" w:rsidRPr="006D631C" w:rsidRDefault="00AC0145" w:rsidP="00F463F6">
            <w:pPr>
              <w:widowControl w:val="0"/>
              <w:spacing w:line="240" w:lineRule="auto"/>
              <w:jc w:val="center"/>
              <w:rPr>
                <w:color w:val="000000"/>
                <w:sz w:val="22"/>
                <w:szCs w:val="22"/>
              </w:rPr>
            </w:pPr>
            <w:proofErr w:type="spellStart"/>
            <w:r w:rsidRPr="006D631C">
              <w:rPr>
                <w:rFonts w:asciiTheme="majorBidi" w:hAnsiTheme="majorBidi" w:cstheme="majorBidi"/>
                <w:i/>
                <w:iCs/>
                <w:sz w:val="22"/>
                <w:szCs w:val="22"/>
              </w:rPr>
              <w:t>ϕ</w:t>
            </w:r>
            <w:r w:rsidRPr="006D631C">
              <w:rPr>
                <w:rFonts w:asciiTheme="majorBidi" w:hAnsiTheme="majorBidi" w:cstheme="majorBidi"/>
                <w:i/>
                <w:iCs/>
                <w:sz w:val="22"/>
                <w:szCs w:val="22"/>
                <w:vertAlign w:val="subscript"/>
              </w:rPr>
              <w:t>Pluronic</w:t>
            </w:r>
            <w:proofErr w:type="spellEnd"/>
          </w:p>
        </w:tc>
        <w:tc>
          <w:tcPr>
            <w:tcW w:w="856" w:type="dxa"/>
            <w:tcBorders>
              <w:top w:val="single" w:sz="4" w:space="0" w:color="auto"/>
              <w:bottom w:val="single" w:sz="4" w:space="0" w:color="auto"/>
            </w:tcBorders>
            <w:vAlign w:val="center"/>
          </w:tcPr>
          <w:p w14:paraId="3DB33DCE" w14:textId="5B34B3B7" w:rsidR="00AC0145" w:rsidRPr="006D631C" w:rsidRDefault="00AC0145" w:rsidP="00F463F6">
            <w:pPr>
              <w:widowControl w:val="0"/>
              <w:spacing w:line="240" w:lineRule="auto"/>
              <w:jc w:val="center"/>
              <w:rPr>
                <w:rFonts w:asciiTheme="majorBidi" w:hAnsiTheme="majorBidi" w:cstheme="majorBidi"/>
                <w:i/>
                <w:iCs/>
                <w:sz w:val="22"/>
                <w:szCs w:val="22"/>
              </w:rPr>
            </w:pPr>
            <w:r w:rsidRPr="006D631C">
              <w:rPr>
                <w:rFonts w:asciiTheme="majorBidi" w:hAnsiTheme="majorBidi" w:cstheme="majorBidi"/>
                <w:i/>
                <w:iCs/>
                <w:sz w:val="22"/>
                <w:szCs w:val="22"/>
              </w:rPr>
              <w:t>ϕ</w:t>
            </w:r>
          </w:p>
        </w:tc>
        <w:tc>
          <w:tcPr>
            <w:tcW w:w="708" w:type="dxa"/>
            <w:tcBorders>
              <w:top w:val="single" w:sz="4" w:space="0" w:color="auto"/>
              <w:bottom w:val="single" w:sz="4" w:space="0" w:color="auto"/>
            </w:tcBorders>
            <w:vAlign w:val="center"/>
          </w:tcPr>
          <w:p w14:paraId="2056E606" w14:textId="77777777" w:rsidR="00AC0145" w:rsidRPr="006D631C" w:rsidRDefault="00AC0145" w:rsidP="00F463F6">
            <w:pPr>
              <w:widowControl w:val="0"/>
              <w:spacing w:line="240" w:lineRule="auto"/>
              <w:jc w:val="center"/>
              <w:rPr>
                <w:rFonts w:asciiTheme="majorBidi" w:hAnsiTheme="majorBidi" w:cstheme="majorBidi"/>
                <w:i/>
                <w:iCs/>
                <w:sz w:val="22"/>
                <w:szCs w:val="22"/>
              </w:rPr>
            </w:pPr>
            <w:r w:rsidRPr="006D631C">
              <w:rPr>
                <w:rFonts w:asciiTheme="majorBidi" w:hAnsiTheme="majorBidi" w:cstheme="majorBidi"/>
                <w:i/>
                <w:iCs/>
                <w:sz w:val="22"/>
                <w:szCs w:val="22"/>
              </w:rPr>
              <w:t>a</w:t>
            </w:r>
          </w:p>
          <w:p w14:paraId="40C33405" w14:textId="77777777" w:rsidR="00AC0145" w:rsidRPr="006D631C" w:rsidRDefault="00AC0145" w:rsidP="00F463F6">
            <w:pPr>
              <w:widowControl w:val="0"/>
              <w:spacing w:line="240" w:lineRule="auto"/>
              <w:jc w:val="center"/>
              <w:rPr>
                <w:rFonts w:asciiTheme="majorBidi" w:hAnsiTheme="majorBidi" w:cstheme="majorBidi"/>
                <w:sz w:val="22"/>
                <w:szCs w:val="22"/>
              </w:rPr>
            </w:pPr>
            <w:r w:rsidRPr="006D631C">
              <w:rPr>
                <w:rFonts w:asciiTheme="majorBidi" w:hAnsiTheme="majorBidi" w:cstheme="majorBidi"/>
                <w:sz w:val="22"/>
                <w:szCs w:val="22"/>
              </w:rPr>
              <w:t>(nm)</w:t>
            </w:r>
          </w:p>
        </w:tc>
        <w:tc>
          <w:tcPr>
            <w:tcW w:w="709" w:type="dxa"/>
            <w:tcBorders>
              <w:top w:val="single" w:sz="4" w:space="0" w:color="auto"/>
              <w:bottom w:val="single" w:sz="4" w:space="0" w:color="auto"/>
            </w:tcBorders>
            <w:vAlign w:val="center"/>
          </w:tcPr>
          <w:p w14:paraId="350FF7BE" w14:textId="43B6BCE3" w:rsidR="00AC0145" w:rsidRPr="006D631C" w:rsidRDefault="00AC0145" w:rsidP="00516354">
            <w:pPr>
              <w:widowControl w:val="0"/>
              <w:spacing w:line="240" w:lineRule="auto"/>
              <w:jc w:val="center"/>
              <w:rPr>
                <w:rFonts w:asciiTheme="majorBidi" w:hAnsiTheme="majorBidi" w:cstheme="majorBidi"/>
                <w:i/>
                <w:iCs/>
                <w:sz w:val="22"/>
                <w:szCs w:val="22"/>
                <w:vertAlign w:val="subscript"/>
              </w:rPr>
            </w:pPr>
            <w:proofErr w:type="spellStart"/>
            <w:r w:rsidRPr="006D631C">
              <w:rPr>
                <w:rFonts w:asciiTheme="majorBidi" w:hAnsiTheme="majorBidi" w:cstheme="majorBidi"/>
                <w:i/>
                <w:iCs/>
                <w:sz w:val="22"/>
                <w:szCs w:val="22"/>
              </w:rPr>
              <w:t>R</w:t>
            </w:r>
            <w:r w:rsidRPr="006D631C">
              <w:rPr>
                <w:rFonts w:asciiTheme="majorBidi" w:hAnsiTheme="majorBidi" w:cstheme="majorBidi"/>
                <w:i/>
                <w:iCs/>
                <w:sz w:val="22"/>
                <w:szCs w:val="22"/>
                <w:vertAlign w:val="subscript"/>
              </w:rPr>
              <w:t>c</w:t>
            </w:r>
            <w:proofErr w:type="spellEnd"/>
            <w:r w:rsidRPr="006D631C">
              <w:rPr>
                <w:rFonts w:asciiTheme="majorBidi" w:hAnsiTheme="majorBidi" w:cstheme="majorBidi"/>
                <w:sz w:val="22"/>
                <w:szCs w:val="22"/>
              </w:rPr>
              <w:t xml:space="preserve"> (nm)</w:t>
            </w:r>
          </w:p>
        </w:tc>
        <w:tc>
          <w:tcPr>
            <w:tcW w:w="709" w:type="dxa"/>
            <w:tcBorders>
              <w:top w:val="single" w:sz="4" w:space="0" w:color="auto"/>
              <w:bottom w:val="single" w:sz="4" w:space="0" w:color="auto"/>
            </w:tcBorders>
            <w:vAlign w:val="center"/>
          </w:tcPr>
          <w:p w14:paraId="409FF357" w14:textId="47DED8AA" w:rsidR="00AC0145" w:rsidRPr="006D631C" w:rsidRDefault="00AC0145" w:rsidP="00516354">
            <w:pPr>
              <w:widowControl w:val="0"/>
              <w:spacing w:line="240" w:lineRule="auto"/>
              <w:jc w:val="center"/>
              <w:rPr>
                <w:rFonts w:asciiTheme="majorBidi" w:hAnsiTheme="majorBidi" w:cstheme="majorBidi"/>
                <w:i/>
                <w:iCs/>
                <w:sz w:val="22"/>
                <w:szCs w:val="22"/>
                <w:vertAlign w:val="subscript"/>
              </w:rPr>
            </w:pPr>
            <w:r w:rsidRPr="006D631C">
              <w:rPr>
                <w:rFonts w:asciiTheme="majorBidi" w:hAnsiTheme="majorBidi" w:cstheme="majorBidi"/>
                <w:i/>
                <w:iCs/>
                <w:sz w:val="22"/>
                <w:szCs w:val="22"/>
              </w:rPr>
              <w:t>R</w:t>
            </w:r>
            <w:r w:rsidRPr="006D631C">
              <w:rPr>
                <w:rFonts w:asciiTheme="majorBidi" w:hAnsiTheme="majorBidi" w:cstheme="majorBidi"/>
                <w:i/>
                <w:iCs/>
                <w:sz w:val="22"/>
                <w:szCs w:val="22"/>
                <w:vertAlign w:val="subscript"/>
              </w:rPr>
              <w:t>m</w:t>
            </w:r>
          </w:p>
          <w:p w14:paraId="534716BD" w14:textId="77777777" w:rsidR="00AC0145" w:rsidRPr="006D631C" w:rsidRDefault="00AC0145" w:rsidP="00F463F6">
            <w:pPr>
              <w:widowControl w:val="0"/>
              <w:spacing w:line="240" w:lineRule="auto"/>
              <w:jc w:val="center"/>
              <w:rPr>
                <w:rFonts w:ascii="Cambria Math" w:hAnsi="Cambria Math" w:cs="Cambria Math"/>
                <w:sz w:val="22"/>
                <w:szCs w:val="22"/>
              </w:rPr>
            </w:pPr>
            <w:r w:rsidRPr="006D631C">
              <w:rPr>
                <w:rFonts w:asciiTheme="majorBidi" w:hAnsiTheme="majorBidi" w:cstheme="majorBidi"/>
                <w:sz w:val="22"/>
                <w:szCs w:val="22"/>
              </w:rPr>
              <w:t>(nm)</w:t>
            </w:r>
          </w:p>
        </w:tc>
        <w:tc>
          <w:tcPr>
            <w:tcW w:w="708" w:type="dxa"/>
            <w:tcBorders>
              <w:top w:val="single" w:sz="4" w:space="0" w:color="auto"/>
              <w:bottom w:val="single" w:sz="4" w:space="0" w:color="auto"/>
            </w:tcBorders>
            <w:vAlign w:val="center"/>
          </w:tcPr>
          <w:p w14:paraId="69402B19" w14:textId="178C51EC" w:rsidR="00AC0145" w:rsidRPr="006D631C" w:rsidRDefault="00AC0145" w:rsidP="00516354">
            <w:pPr>
              <w:widowControl w:val="0"/>
              <w:spacing w:line="240" w:lineRule="auto"/>
              <w:jc w:val="center"/>
              <w:rPr>
                <w:rFonts w:asciiTheme="majorBidi" w:hAnsiTheme="majorBidi" w:cstheme="majorBidi"/>
                <w:i/>
                <w:iCs/>
                <w:sz w:val="22"/>
                <w:szCs w:val="22"/>
                <w:vertAlign w:val="subscript"/>
              </w:rPr>
            </w:pPr>
            <w:proofErr w:type="spellStart"/>
            <w:r w:rsidRPr="006D631C">
              <w:rPr>
                <w:rFonts w:asciiTheme="majorBidi" w:hAnsiTheme="majorBidi" w:cstheme="majorBidi"/>
                <w:i/>
                <w:iCs/>
                <w:sz w:val="22"/>
                <w:szCs w:val="22"/>
              </w:rPr>
              <w:t>D</w:t>
            </w:r>
            <w:r w:rsidRPr="006D631C">
              <w:rPr>
                <w:rFonts w:asciiTheme="majorBidi" w:hAnsiTheme="majorBidi" w:cstheme="majorBidi"/>
                <w:i/>
                <w:iCs/>
                <w:sz w:val="22"/>
                <w:szCs w:val="22"/>
                <w:vertAlign w:val="subscript"/>
              </w:rPr>
              <w:t>m</w:t>
            </w:r>
            <w:proofErr w:type="spellEnd"/>
          </w:p>
          <w:p w14:paraId="5DC24123" w14:textId="77777777" w:rsidR="00AC0145" w:rsidRPr="006D631C" w:rsidRDefault="00AC0145" w:rsidP="00F463F6">
            <w:pPr>
              <w:widowControl w:val="0"/>
              <w:spacing w:line="240" w:lineRule="auto"/>
              <w:jc w:val="center"/>
              <w:rPr>
                <w:rFonts w:ascii="Cambria Math" w:hAnsi="Cambria Math" w:cs="Cambria Math"/>
                <w:sz w:val="22"/>
                <w:szCs w:val="22"/>
              </w:rPr>
            </w:pPr>
            <w:r w:rsidRPr="006D631C">
              <w:rPr>
                <w:rFonts w:asciiTheme="majorBidi" w:hAnsiTheme="majorBidi" w:cstheme="majorBidi"/>
                <w:sz w:val="22"/>
                <w:szCs w:val="22"/>
              </w:rPr>
              <w:t>(nm)</w:t>
            </w:r>
          </w:p>
        </w:tc>
      </w:tr>
      <w:tr w:rsidR="00AC0145" w:rsidRPr="006D631C" w14:paraId="5F89039E" w14:textId="77777777" w:rsidTr="00CA3B53">
        <w:trPr>
          <w:trHeight w:val="700"/>
          <w:jc w:val="center"/>
        </w:trPr>
        <w:tc>
          <w:tcPr>
            <w:tcW w:w="1844" w:type="dxa"/>
            <w:tcBorders>
              <w:top w:val="single" w:sz="4" w:space="0" w:color="auto"/>
            </w:tcBorders>
            <w:shd w:val="clear" w:color="auto" w:fill="auto"/>
            <w:noWrap/>
            <w:vAlign w:val="center"/>
          </w:tcPr>
          <w:p w14:paraId="132B7325"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LLC</w:t>
            </w:r>
          </w:p>
        </w:tc>
        <w:tc>
          <w:tcPr>
            <w:tcW w:w="845" w:type="dxa"/>
            <w:tcBorders>
              <w:top w:val="single" w:sz="4" w:space="0" w:color="auto"/>
            </w:tcBorders>
            <w:shd w:val="clear" w:color="auto" w:fill="auto"/>
            <w:noWrap/>
            <w:vAlign w:val="center"/>
          </w:tcPr>
          <w:p w14:paraId="04ED1728"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0.59</w:t>
            </w:r>
          </w:p>
        </w:tc>
        <w:tc>
          <w:tcPr>
            <w:tcW w:w="856" w:type="dxa"/>
            <w:tcBorders>
              <w:top w:val="single" w:sz="4" w:space="0" w:color="auto"/>
            </w:tcBorders>
            <w:shd w:val="clear" w:color="auto" w:fill="auto"/>
            <w:noWrap/>
            <w:vAlign w:val="center"/>
          </w:tcPr>
          <w:p w14:paraId="169DFC4D"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0.66</w:t>
            </w:r>
          </w:p>
        </w:tc>
        <w:tc>
          <w:tcPr>
            <w:tcW w:w="850" w:type="dxa"/>
            <w:tcBorders>
              <w:top w:val="single" w:sz="4" w:space="0" w:color="auto"/>
            </w:tcBorders>
            <w:shd w:val="clear" w:color="auto" w:fill="auto"/>
            <w:noWrap/>
            <w:vAlign w:val="center"/>
          </w:tcPr>
          <w:p w14:paraId="45E4D43D"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0.031</w:t>
            </w:r>
          </w:p>
        </w:tc>
        <w:tc>
          <w:tcPr>
            <w:tcW w:w="987" w:type="dxa"/>
            <w:tcBorders>
              <w:top w:val="single" w:sz="4" w:space="0" w:color="auto"/>
            </w:tcBorders>
            <w:shd w:val="clear" w:color="auto" w:fill="auto"/>
            <w:noWrap/>
            <w:vAlign w:val="center"/>
          </w:tcPr>
          <w:p w14:paraId="76AEFFD3"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0.53</w:t>
            </w:r>
          </w:p>
        </w:tc>
        <w:tc>
          <w:tcPr>
            <w:tcW w:w="856" w:type="dxa"/>
            <w:tcBorders>
              <w:top w:val="single" w:sz="4" w:space="0" w:color="auto"/>
            </w:tcBorders>
            <w:vAlign w:val="center"/>
          </w:tcPr>
          <w:p w14:paraId="32992F6C"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0.38</w:t>
            </w:r>
          </w:p>
        </w:tc>
        <w:tc>
          <w:tcPr>
            <w:tcW w:w="708" w:type="dxa"/>
            <w:tcBorders>
              <w:top w:val="single" w:sz="4" w:space="0" w:color="auto"/>
            </w:tcBorders>
            <w:vAlign w:val="center"/>
          </w:tcPr>
          <w:p w14:paraId="39BD201F"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12.3</w:t>
            </w:r>
          </w:p>
        </w:tc>
        <w:tc>
          <w:tcPr>
            <w:tcW w:w="709" w:type="dxa"/>
            <w:tcBorders>
              <w:top w:val="single" w:sz="4" w:space="0" w:color="auto"/>
            </w:tcBorders>
            <w:vAlign w:val="center"/>
          </w:tcPr>
          <w:p w14:paraId="27860F98"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4.0</w:t>
            </w:r>
          </w:p>
        </w:tc>
        <w:tc>
          <w:tcPr>
            <w:tcW w:w="709" w:type="dxa"/>
            <w:tcBorders>
              <w:top w:val="single" w:sz="4" w:space="0" w:color="auto"/>
            </w:tcBorders>
            <w:vAlign w:val="center"/>
          </w:tcPr>
          <w:p w14:paraId="5D10F4E3"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4.8</w:t>
            </w:r>
          </w:p>
        </w:tc>
        <w:tc>
          <w:tcPr>
            <w:tcW w:w="708" w:type="dxa"/>
            <w:tcBorders>
              <w:top w:val="single" w:sz="4" w:space="0" w:color="auto"/>
            </w:tcBorders>
            <w:vAlign w:val="center"/>
          </w:tcPr>
          <w:p w14:paraId="6E8F8AEB"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2.7</w:t>
            </w:r>
          </w:p>
        </w:tc>
      </w:tr>
      <w:tr w:rsidR="00AC0145" w:rsidRPr="006D631C" w14:paraId="554C4AB0" w14:textId="77777777" w:rsidTr="00CA3B53">
        <w:trPr>
          <w:trHeight w:val="844"/>
          <w:jc w:val="center"/>
        </w:trPr>
        <w:tc>
          <w:tcPr>
            <w:tcW w:w="1844" w:type="dxa"/>
            <w:shd w:val="clear" w:color="auto" w:fill="auto"/>
            <w:noWrap/>
            <w:vAlign w:val="center"/>
            <w:hideMark/>
          </w:tcPr>
          <w:p w14:paraId="265C9E50"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PolyLLC</w:t>
            </w:r>
          </w:p>
        </w:tc>
        <w:tc>
          <w:tcPr>
            <w:tcW w:w="845" w:type="dxa"/>
            <w:shd w:val="clear" w:color="auto" w:fill="auto"/>
            <w:noWrap/>
            <w:vAlign w:val="center"/>
          </w:tcPr>
          <w:p w14:paraId="4A323BB4"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0.60</w:t>
            </w:r>
          </w:p>
        </w:tc>
        <w:tc>
          <w:tcPr>
            <w:tcW w:w="856" w:type="dxa"/>
            <w:shd w:val="clear" w:color="auto" w:fill="auto"/>
            <w:noWrap/>
            <w:vAlign w:val="center"/>
          </w:tcPr>
          <w:p w14:paraId="04293DAA"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0.66</w:t>
            </w:r>
          </w:p>
        </w:tc>
        <w:tc>
          <w:tcPr>
            <w:tcW w:w="850" w:type="dxa"/>
            <w:shd w:val="clear" w:color="auto" w:fill="auto"/>
            <w:noWrap/>
            <w:vAlign w:val="center"/>
          </w:tcPr>
          <w:p w14:paraId="3D2F4AFF"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0.031</w:t>
            </w:r>
          </w:p>
        </w:tc>
        <w:tc>
          <w:tcPr>
            <w:tcW w:w="987" w:type="dxa"/>
            <w:shd w:val="clear" w:color="auto" w:fill="auto"/>
            <w:noWrap/>
            <w:vAlign w:val="center"/>
          </w:tcPr>
          <w:p w14:paraId="5A5CE0DE"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0.53</w:t>
            </w:r>
          </w:p>
        </w:tc>
        <w:tc>
          <w:tcPr>
            <w:tcW w:w="856" w:type="dxa"/>
            <w:vAlign w:val="center"/>
          </w:tcPr>
          <w:p w14:paraId="382B8262"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0.38</w:t>
            </w:r>
          </w:p>
        </w:tc>
        <w:tc>
          <w:tcPr>
            <w:tcW w:w="708" w:type="dxa"/>
            <w:vAlign w:val="center"/>
          </w:tcPr>
          <w:p w14:paraId="7835CC5B"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12.1</w:t>
            </w:r>
          </w:p>
        </w:tc>
        <w:tc>
          <w:tcPr>
            <w:tcW w:w="709" w:type="dxa"/>
            <w:vAlign w:val="center"/>
          </w:tcPr>
          <w:p w14:paraId="42EDA855"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3.9</w:t>
            </w:r>
          </w:p>
        </w:tc>
        <w:tc>
          <w:tcPr>
            <w:tcW w:w="709" w:type="dxa"/>
            <w:vAlign w:val="center"/>
          </w:tcPr>
          <w:p w14:paraId="325FA6A9"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4.7</w:t>
            </w:r>
          </w:p>
        </w:tc>
        <w:tc>
          <w:tcPr>
            <w:tcW w:w="708" w:type="dxa"/>
            <w:vAlign w:val="center"/>
          </w:tcPr>
          <w:p w14:paraId="1A897CCF"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2.6</w:t>
            </w:r>
          </w:p>
        </w:tc>
      </w:tr>
      <w:tr w:rsidR="00AC0145" w:rsidRPr="006D631C" w14:paraId="766BCA3F" w14:textId="77777777" w:rsidTr="00CA3B53">
        <w:trPr>
          <w:trHeight w:val="985"/>
          <w:jc w:val="center"/>
        </w:trPr>
        <w:tc>
          <w:tcPr>
            <w:tcW w:w="1844" w:type="dxa"/>
            <w:shd w:val="clear" w:color="auto" w:fill="auto"/>
            <w:noWrap/>
            <w:vAlign w:val="center"/>
            <w:hideMark/>
          </w:tcPr>
          <w:p w14:paraId="6ADA1807" w14:textId="4E84609E" w:rsidR="00AC0145" w:rsidRPr="006D631C" w:rsidRDefault="00AC0145" w:rsidP="00F463F6">
            <w:pPr>
              <w:widowControl w:val="0"/>
              <w:spacing w:line="240" w:lineRule="auto"/>
              <w:jc w:val="center"/>
              <w:rPr>
                <w:color w:val="000000"/>
                <w:sz w:val="22"/>
                <w:szCs w:val="22"/>
              </w:rPr>
            </w:pPr>
            <w:r w:rsidRPr="006D631C">
              <w:rPr>
                <w:color w:val="000000"/>
                <w:sz w:val="22"/>
                <w:szCs w:val="22"/>
              </w:rPr>
              <w:t>Water-swollen polyLLC</w:t>
            </w:r>
            <w:r w:rsidR="00592177" w:rsidRPr="006D631C">
              <w:rPr>
                <w:color w:val="000000"/>
                <w:sz w:val="22"/>
                <w:szCs w:val="22"/>
              </w:rPr>
              <w:t xml:space="preserve"> at 25 °C</w:t>
            </w:r>
          </w:p>
        </w:tc>
        <w:tc>
          <w:tcPr>
            <w:tcW w:w="845" w:type="dxa"/>
            <w:shd w:val="clear" w:color="auto" w:fill="auto"/>
            <w:noWrap/>
            <w:vAlign w:val="center"/>
          </w:tcPr>
          <w:p w14:paraId="4BD8B96E"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0.59</w:t>
            </w:r>
          </w:p>
        </w:tc>
        <w:tc>
          <w:tcPr>
            <w:tcW w:w="856" w:type="dxa"/>
            <w:shd w:val="clear" w:color="auto" w:fill="auto"/>
            <w:noWrap/>
            <w:vAlign w:val="center"/>
          </w:tcPr>
          <w:p w14:paraId="544E9896"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0.66</w:t>
            </w:r>
          </w:p>
        </w:tc>
        <w:tc>
          <w:tcPr>
            <w:tcW w:w="850" w:type="dxa"/>
            <w:shd w:val="clear" w:color="auto" w:fill="auto"/>
            <w:noWrap/>
            <w:vAlign w:val="center"/>
          </w:tcPr>
          <w:p w14:paraId="66409459"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0.016</w:t>
            </w:r>
          </w:p>
        </w:tc>
        <w:tc>
          <w:tcPr>
            <w:tcW w:w="987" w:type="dxa"/>
            <w:shd w:val="clear" w:color="auto" w:fill="auto"/>
            <w:noWrap/>
            <w:vAlign w:val="center"/>
          </w:tcPr>
          <w:p w14:paraId="5687FCB6"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0.27</w:t>
            </w:r>
          </w:p>
        </w:tc>
        <w:tc>
          <w:tcPr>
            <w:tcW w:w="856" w:type="dxa"/>
            <w:vAlign w:val="center"/>
          </w:tcPr>
          <w:p w14:paraId="39F6BEEA" w14:textId="77777777" w:rsidR="00AC0145" w:rsidRPr="006D631C" w:rsidRDefault="00AC0145" w:rsidP="00F463F6">
            <w:pPr>
              <w:widowControl w:val="0"/>
              <w:spacing w:line="240" w:lineRule="auto"/>
              <w:jc w:val="center"/>
              <w:rPr>
                <w:color w:val="000000"/>
                <w:sz w:val="22"/>
                <w:szCs w:val="22"/>
                <w:vertAlign w:val="superscript"/>
              </w:rPr>
            </w:pPr>
            <w:r w:rsidRPr="006D631C">
              <w:rPr>
                <w:color w:val="000000"/>
                <w:sz w:val="22"/>
                <w:szCs w:val="22"/>
              </w:rPr>
              <w:t>0.20</w:t>
            </w:r>
            <w:r w:rsidRPr="006D631C">
              <w:rPr>
                <w:color w:val="000000"/>
                <w:sz w:val="22"/>
                <w:szCs w:val="22"/>
                <w:vertAlign w:val="superscript"/>
              </w:rPr>
              <w:t>b</w:t>
            </w:r>
          </w:p>
        </w:tc>
        <w:tc>
          <w:tcPr>
            <w:tcW w:w="708" w:type="dxa"/>
            <w:vAlign w:val="center"/>
          </w:tcPr>
          <w:p w14:paraId="4A06E6F5"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12.4</w:t>
            </w:r>
          </w:p>
        </w:tc>
        <w:tc>
          <w:tcPr>
            <w:tcW w:w="709" w:type="dxa"/>
            <w:vAlign w:val="center"/>
          </w:tcPr>
          <w:p w14:paraId="05D71794"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2.9</w:t>
            </w:r>
          </w:p>
        </w:tc>
        <w:tc>
          <w:tcPr>
            <w:tcW w:w="709" w:type="dxa"/>
            <w:vAlign w:val="center"/>
          </w:tcPr>
          <w:p w14:paraId="27B042B0"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3.5</w:t>
            </w:r>
          </w:p>
        </w:tc>
        <w:tc>
          <w:tcPr>
            <w:tcW w:w="708" w:type="dxa"/>
            <w:vAlign w:val="center"/>
          </w:tcPr>
          <w:p w14:paraId="2FFB1D13" w14:textId="77777777" w:rsidR="00AC0145" w:rsidRPr="006D631C" w:rsidRDefault="00AC0145" w:rsidP="00F463F6">
            <w:pPr>
              <w:widowControl w:val="0"/>
              <w:spacing w:line="240" w:lineRule="auto"/>
              <w:jc w:val="center"/>
              <w:rPr>
                <w:color w:val="000000"/>
                <w:sz w:val="22"/>
                <w:szCs w:val="22"/>
              </w:rPr>
            </w:pPr>
            <w:r w:rsidRPr="006D631C">
              <w:rPr>
                <w:color w:val="000000"/>
                <w:sz w:val="22"/>
                <w:szCs w:val="22"/>
              </w:rPr>
              <w:t>5.4</w:t>
            </w:r>
          </w:p>
        </w:tc>
      </w:tr>
      <w:tr w:rsidR="00592177" w:rsidRPr="006D631C" w14:paraId="57DE8563" w14:textId="77777777" w:rsidTr="00CA3B53">
        <w:trPr>
          <w:trHeight w:val="985"/>
          <w:jc w:val="center"/>
        </w:trPr>
        <w:tc>
          <w:tcPr>
            <w:tcW w:w="1844" w:type="dxa"/>
            <w:tcBorders>
              <w:bottom w:val="single" w:sz="4" w:space="0" w:color="auto"/>
            </w:tcBorders>
            <w:shd w:val="clear" w:color="auto" w:fill="auto"/>
            <w:noWrap/>
            <w:vAlign w:val="center"/>
          </w:tcPr>
          <w:p w14:paraId="1B3BAC62" w14:textId="6862FF1A" w:rsidR="00592177" w:rsidRPr="006D631C" w:rsidRDefault="00592177" w:rsidP="00592177">
            <w:pPr>
              <w:widowControl w:val="0"/>
              <w:spacing w:line="240" w:lineRule="auto"/>
              <w:jc w:val="center"/>
              <w:rPr>
                <w:color w:val="000000"/>
                <w:sz w:val="22"/>
                <w:szCs w:val="22"/>
              </w:rPr>
            </w:pPr>
            <w:r w:rsidRPr="006D631C">
              <w:rPr>
                <w:color w:val="000000"/>
                <w:sz w:val="22"/>
                <w:szCs w:val="22"/>
              </w:rPr>
              <w:t>Water-</w:t>
            </w:r>
            <w:proofErr w:type="spellStart"/>
            <w:r w:rsidRPr="006D631C">
              <w:rPr>
                <w:color w:val="000000"/>
                <w:sz w:val="22"/>
                <w:szCs w:val="22"/>
              </w:rPr>
              <w:t>swollen</w:t>
            </w:r>
            <w:r w:rsidRPr="006D631C">
              <w:rPr>
                <w:color w:val="000000"/>
                <w:sz w:val="22"/>
                <w:szCs w:val="22"/>
                <w:vertAlign w:val="superscript"/>
              </w:rPr>
              <w:t>c</w:t>
            </w:r>
            <w:proofErr w:type="spellEnd"/>
            <w:r w:rsidRPr="006D631C">
              <w:rPr>
                <w:color w:val="000000"/>
                <w:sz w:val="22"/>
                <w:szCs w:val="22"/>
              </w:rPr>
              <w:t xml:space="preserve"> polyLLC at 45 °C</w:t>
            </w:r>
          </w:p>
        </w:tc>
        <w:tc>
          <w:tcPr>
            <w:tcW w:w="845" w:type="dxa"/>
            <w:tcBorders>
              <w:bottom w:val="single" w:sz="4" w:space="0" w:color="auto"/>
            </w:tcBorders>
            <w:shd w:val="clear" w:color="auto" w:fill="auto"/>
            <w:noWrap/>
            <w:vAlign w:val="center"/>
          </w:tcPr>
          <w:p w14:paraId="5B50F8DA" w14:textId="37FE10C3" w:rsidR="00592177" w:rsidRPr="006D631C" w:rsidRDefault="00592177" w:rsidP="00592177">
            <w:pPr>
              <w:widowControl w:val="0"/>
              <w:spacing w:line="240" w:lineRule="auto"/>
              <w:jc w:val="center"/>
              <w:rPr>
                <w:color w:val="000000"/>
                <w:sz w:val="22"/>
                <w:szCs w:val="22"/>
              </w:rPr>
            </w:pPr>
            <w:r w:rsidRPr="006D631C">
              <w:rPr>
                <w:color w:val="000000"/>
                <w:sz w:val="22"/>
                <w:szCs w:val="22"/>
              </w:rPr>
              <w:t>0.59</w:t>
            </w:r>
          </w:p>
        </w:tc>
        <w:tc>
          <w:tcPr>
            <w:tcW w:w="856" w:type="dxa"/>
            <w:tcBorders>
              <w:bottom w:val="single" w:sz="4" w:space="0" w:color="auto"/>
            </w:tcBorders>
            <w:shd w:val="clear" w:color="auto" w:fill="auto"/>
            <w:noWrap/>
            <w:vAlign w:val="center"/>
          </w:tcPr>
          <w:p w14:paraId="4C67A773" w14:textId="28D5C7C8" w:rsidR="00592177" w:rsidRPr="006D631C" w:rsidRDefault="00592177" w:rsidP="00592177">
            <w:pPr>
              <w:widowControl w:val="0"/>
              <w:spacing w:line="240" w:lineRule="auto"/>
              <w:jc w:val="center"/>
              <w:rPr>
                <w:color w:val="000000"/>
                <w:sz w:val="22"/>
                <w:szCs w:val="22"/>
              </w:rPr>
            </w:pPr>
            <w:r w:rsidRPr="006D631C">
              <w:rPr>
                <w:color w:val="000000"/>
                <w:sz w:val="22"/>
                <w:szCs w:val="22"/>
              </w:rPr>
              <w:t>0.66</w:t>
            </w:r>
          </w:p>
        </w:tc>
        <w:tc>
          <w:tcPr>
            <w:tcW w:w="850" w:type="dxa"/>
            <w:tcBorders>
              <w:bottom w:val="single" w:sz="4" w:space="0" w:color="auto"/>
            </w:tcBorders>
            <w:shd w:val="clear" w:color="auto" w:fill="auto"/>
            <w:noWrap/>
            <w:vAlign w:val="center"/>
          </w:tcPr>
          <w:p w14:paraId="3F8FC1F7" w14:textId="2C5E0D50" w:rsidR="00592177" w:rsidRPr="006D631C" w:rsidRDefault="00592177" w:rsidP="00592177">
            <w:pPr>
              <w:widowControl w:val="0"/>
              <w:spacing w:line="240" w:lineRule="auto"/>
              <w:jc w:val="center"/>
              <w:rPr>
                <w:color w:val="000000"/>
                <w:sz w:val="22"/>
                <w:szCs w:val="22"/>
              </w:rPr>
            </w:pPr>
            <w:r w:rsidRPr="006D631C">
              <w:rPr>
                <w:color w:val="000000"/>
                <w:sz w:val="22"/>
                <w:szCs w:val="22"/>
              </w:rPr>
              <w:t>0.026</w:t>
            </w:r>
          </w:p>
        </w:tc>
        <w:tc>
          <w:tcPr>
            <w:tcW w:w="987" w:type="dxa"/>
            <w:tcBorders>
              <w:bottom w:val="single" w:sz="4" w:space="0" w:color="auto"/>
            </w:tcBorders>
            <w:shd w:val="clear" w:color="auto" w:fill="auto"/>
            <w:noWrap/>
            <w:vAlign w:val="center"/>
          </w:tcPr>
          <w:p w14:paraId="0910FCBF" w14:textId="2F317EBF" w:rsidR="00592177" w:rsidRPr="006D631C" w:rsidRDefault="00592177" w:rsidP="00592177">
            <w:pPr>
              <w:widowControl w:val="0"/>
              <w:spacing w:line="240" w:lineRule="auto"/>
              <w:jc w:val="center"/>
              <w:rPr>
                <w:color w:val="000000"/>
                <w:sz w:val="22"/>
                <w:szCs w:val="22"/>
              </w:rPr>
            </w:pPr>
            <w:r w:rsidRPr="006D631C">
              <w:rPr>
                <w:color w:val="000000"/>
                <w:sz w:val="22"/>
                <w:szCs w:val="22"/>
              </w:rPr>
              <w:t>0.446</w:t>
            </w:r>
          </w:p>
        </w:tc>
        <w:tc>
          <w:tcPr>
            <w:tcW w:w="856" w:type="dxa"/>
            <w:tcBorders>
              <w:bottom w:val="single" w:sz="4" w:space="0" w:color="auto"/>
            </w:tcBorders>
            <w:vAlign w:val="center"/>
          </w:tcPr>
          <w:p w14:paraId="6BBCE0F5" w14:textId="18D82035" w:rsidR="00592177" w:rsidRPr="006D631C" w:rsidRDefault="00592177" w:rsidP="00592177">
            <w:pPr>
              <w:widowControl w:val="0"/>
              <w:spacing w:line="240" w:lineRule="auto"/>
              <w:jc w:val="center"/>
              <w:rPr>
                <w:color w:val="000000"/>
                <w:sz w:val="22"/>
                <w:szCs w:val="22"/>
              </w:rPr>
            </w:pPr>
            <w:r w:rsidRPr="006D631C">
              <w:rPr>
                <w:color w:val="000000"/>
                <w:sz w:val="22"/>
                <w:szCs w:val="22"/>
              </w:rPr>
              <w:t>0.32</w:t>
            </w:r>
            <w:r w:rsidRPr="006D631C">
              <w:rPr>
                <w:color w:val="000000"/>
                <w:sz w:val="22"/>
                <w:szCs w:val="22"/>
                <w:vertAlign w:val="superscript"/>
              </w:rPr>
              <w:t>b</w:t>
            </w:r>
          </w:p>
        </w:tc>
        <w:tc>
          <w:tcPr>
            <w:tcW w:w="708" w:type="dxa"/>
            <w:tcBorders>
              <w:bottom w:val="single" w:sz="4" w:space="0" w:color="auto"/>
            </w:tcBorders>
            <w:vAlign w:val="center"/>
          </w:tcPr>
          <w:p w14:paraId="480F1256" w14:textId="36585B49" w:rsidR="00592177" w:rsidRPr="006D631C" w:rsidRDefault="00592177" w:rsidP="00592177">
            <w:pPr>
              <w:widowControl w:val="0"/>
              <w:spacing w:line="240" w:lineRule="auto"/>
              <w:jc w:val="center"/>
              <w:rPr>
                <w:color w:val="000000"/>
                <w:sz w:val="22"/>
                <w:szCs w:val="22"/>
              </w:rPr>
            </w:pPr>
            <w:r w:rsidRPr="006D631C">
              <w:rPr>
                <w:color w:val="000000"/>
                <w:sz w:val="22"/>
                <w:szCs w:val="22"/>
              </w:rPr>
              <w:t>12.4</w:t>
            </w:r>
          </w:p>
        </w:tc>
        <w:tc>
          <w:tcPr>
            <w:tcW w:w="709" w:type="dxa"/>
            <w:tcBorders>
              <w:bottom w:val="single" w:sz="4" w:space="0" w:color="auto"/>
            </w:tcBorders>
            <w:vAlign w:val="center"/>
          </w:tcPr>
          <w:p w14:paraId="053F467C" w14:textId="76B2C4AD" w:rsidR="00592177" w:rsidRPr="006D631C" w:rsidRDefault="00592177" w:rsidP="00592177">
            <w:pPr>
              <w:widowControl w:val="0"/>
              <w:spacing w:line="240" w:lineRule="auto"/>
              <w:jc w:val="center"/>
              <w:rPr>
                <w:color w:val="000000"/>
                <w:sz w:val="22"/>
                <w:szCs w:val="22"/>
              </w:rPr>
            </w:pPr>
            <w:r w:rsidRPr="006D631C">
              <w:rPr>
                <w:color w:val="000000"/>
                <w:sz w:val="22"/>
                <w:szCs w:val="22"/>
              </w:rPr>
              <w:t>3.7</w:t>
            </w:r>
          </w:p>
        </w:tc>
        <w:tc>
          <w:tcPr>
            <w:tcW w:w="709" w:type="dxa"/>
            <w:tcBorders>
              <w:bottom w:val="single" w:sz="4" w:space="0" w:color="auto"/>
            </w:tcBorders>
            <w:vAlign w:val="center"/>
          </w:tcPr>
          <w:p w14:paraId="677FC355" w14:textId="433013CA" w:rsidR="00592177" w:rsidRPr="006D631C" w:rsidRDefault="00592177" w:rsidP="00592177">
            <w:pPr>
              <w:widowControl w:val="0"/>
              <w:spacing w:line="240" w:lineRule="auto"/>
              <w:jc w:val="center"/>
              <w:rPr>
                <w:color w:val="000000"/>
                <w:sz w:val="22"/>
                <w:szCs w:val="22"/>
              </w:rPr>
            </w:pPr>
            <w:r w:rsidRPr="006D631C">
              <w:rPr>
                <w:color w:val="000000"/>
                <w:sz w:val="22"/>
                <w:szCs w:val="22"/>
              </w:rPr>
              <w:t>4.4</w:t>
            </w:r>
          </w:p>
        </w:tc>
        <w:tc>
          <w:tcPr>
            <w:tcW w:w="708" w:type="dxa"/>
            <w:tcBorders>
              <w:bottom w:val="single" w:sz="4" w:space="0" w:color="auto"/>
            </w:tcBorders>
            <w:vAlign w:val="center"/>
          </w:tcPr>
          <w:p w14:paraId="2B758E3D" w14:textId="2673F870" w:rsidR="00592177" w:rsidRPr="006D631C" w:rsidRDefault="00592177" w:rsidP="00592177">
            <w:pPr>
              <w:widowControl w:val="0"/>
              <w:spacing w:line="240" w:lineRule="auto"/>
              <w:jc w:val="center"/>
              <w:rPr>
                <w:color w:val="000000"/>
                <w:sz w:val="22"/>
                <w:szCs w:val="22"/>
              </w:rPr>
            </w:pPr>
            <w:r w:rsidRPr="006D631C">
              <w:rPr>
                <w:color w:val="000000"/>
                <w:sz w:val="22"/>
                <w:szCs w:val="22"/>
              </w:rPr>
              <w:t>3.4</w:t>
            </w:r>
          </w:p>
        </w:tc>
      </w:tr>
    </w:tbl>
    <w:p w14:paraId="20D975C3" w14:textId="15B3E753" w:rsidR="00750AFE" w:rsidRPr="006D631C" w:rsidRDefault="00750AFE" w:rsidP="00750AFE">
      <w:pPr>
        <w:widowControl w:val="0"/>
        <w:spacing w:line="276" w:lineRule="auto"/>
        <w:jc w:val="lowKashida"/>
        <w:rPr>
          <w:rFonts w:asciiTheme="majorBidi" w:hAnsiTheme="majorBidi" w:cstheme="majorBidi"/>
          <w:sz w:val="22"/>
          <w:szCs w:val="22"/>
        </w:rPr>
      </w:pPr>
      <w:proofErr w:type="gramStart"/>
      <w:r w:rsidRPr="006D631C">
        <w:rPr>
          <w:rFonts w:asciiTheme="majorBidi" w:hAnsiTheme="majorBidi" w:cstheme="majorBidi"/>
          <w:sz w:val="22"/>
          <w:szCs w:val="22"/>
          <w:vertAlign w:val="superscript"/>
        </w:rPr>
        <w:t>a</w:t>
      </w:r>
      <w:proofErr w:type="gramEnd"/>
      <w:r w:rsidRPr="006D631C">
        <w:rPr>
          <w:rFonts w:asciiTheme="majorBidi" w:hAnsiTheme="majorBidi" w:cstheme="majorBidi"/>
          <w:sz w:val="22"/>
          <w:szCs w:val="22"/>
          <w:vertAlign w:val="superscript"/>
        </w:rPr>
        <w:t xml:space="preserve"> </w:t>
      </w:r>
      <m:oMath>
        <m:sSub>
          <m:sSubPr>
            <m:ctrlPr>
              <w:rPr>
                <w:rFonts w:ascii="Cambria Math" w:hAnsi="Cambria Math" w:cstheme="majorBidi"/>
                <w:i/>
                <w:sz w:val="22"/>
                <w:szCs w:val="22"/>
              </w:rPr>
            </m:ctrlPr>
          </m:sSubPr>
          <m:e>
            <m:r>
              <w:rPr>
                <w:rFonts w:ascii="Cambria Math" w:hAnsi="Cambria Math" w:cstheme="majorBidi"/>
                <w:sz w:val="22"/>
                <w:szCs w:val="22"/>
              </w:rPr>
              <m:t>ϕ</m:t>
            </m:r>
          </m:e>
          <m:sub>
            <m:r>
              <w:rPr>
                <w:rFonts w:ascii="Cambria Math" w:hAnsi="Cambria Math" w:cstheme="majorBidi"/>
                <w:sz w:val="22"/>
                <w:szCs w:val="22"/>
              </w:rPr>
              <m:t>PPO</m:t>
            </m:r>
          </m:sub>
        </m:sSub>
      </m:oMath>
      <w:r w:rsidRPr="006D631C">
        <w:rPr>
          <w:rFonts w:asciiTheme="majorBidi" w:eastAsiaTheme="minorEastAsia" w:hAnsiTheme="majorBidi" w:cstheme="majorBidi"/>
          <w:sz w:val="22"/>
          <w:szCs w:val="22"/>
        </w:rPr>
        <w:t xml:space="preserve"> </w:t>
      </w:r>
      <w:r w:rsidRPr="006D631C">
        <w:rPr>
          <w:rFonts w:asciiTheme="majorBidi" w:hAnsiTheme="majorBidi" w:cstheme="majorBidi"/>
          <w:sz w:val="22"/>
          <w:szCs w:val="22"/>
        </w:rPr>
        <w:t xml:space="preserve">is the volume fraction of PPO block in the Pluronic block copolymer. </w:t>
      </w:r>
    </w:p>
    <w:p w14:paraId="51877ED9" w14:textId="2811403D" w:rsidR="00750AFE" w:rsidRPr="006D631C" w:rsidRDefault="00750AFE" w:rsidP="00CA3B53">
      <w:pPr>
        <w:widowControl w:val="0"/>
        <w:spacing w:line="276" w:lineRule="auto"/>
        <w:jc w:val="lowKashida"/>
        <w:rPr>
          <w:rFonts w:asciiTheme="majorBidi" w:hAnsiTheme="majorBidi" w:cstheme="majorBidi"/>
          <w:sz w:val="22"/>
          <w:szCs w:val="22"/>
        </w:rPr>
      </w:pPr>
      <w:r w:rsidRPr="006D631C">
        <w:rPr>
          <w:rFonts w:asciiTheme="majorBidi" w:hAnsiTheme="majorBidi" w:cstheme="majorBidi"/>
          <w:sz w:val="22"/>
          <w:szCs w:val="22"/>
          <w:vertAlign w:val="superscript"/>
        </w:rPr>
        <w:t>b</w:t>
      </w:r>
      <w:r w:rsidRPr="006D631C">
        <w:rPr>
          <w:rFonts w:asciiTheme="majorBidi" w:hAnsiTheme="majorBidi" w:cstheme="majorBidi"/>
          <w:sz w:val="22"/>
          <w:szCs w:val="22"/>
        </w:rPr>
        <w:t xml:space="preserve"> Volume fraction of the apolar domain for water-swollen polyLLC was calculated based on 220% and 120% swelling capacity of the polymer at 25 and 45 °C, respectively (see Fig</w:t>
      </w:r>
      <w:r w:rsidR="00CA3B53" w:rsidRPr="006D631C">
        <w:rPr>
          <w:rFonts w:asciiTheme="majorBidi" w:hAnsiTheme="majorBidi" w:cstheme="majorBidi"/>
          <w:sz w:val="22"/>
          <w:szCs w:val="22"/>
        </w:rPr>
        <w:t>ure</w:t>
      </w:r>
      <w:r w:rsidRPr="006D631C">
        <w:rPr>
          <w:rFonts w:asciiTheme="majorBidi" w:hAnsiTheme="majorBidi" w:cstheme="majorBidi"/>
          <w:sz w:val="22"/>
          <w:szCs w:val="22"/>
        </w:rPr>
        <w:t xml:space="preserve"> </w:t>
      </w:r>
      <w:r w:rsidR="00CA3B53" w:rsidRPr="006D631C">
        <w:rPr>
          <w:rFonts w:asciiTheme="majorBidi" w:hAnsiTheme="majorBidi" w:cstheme="majorBidi"/>
          <w:sz w:val="22"/>
          <w:szCs w:val="22"/>
        </w:rPr>
        <w:t>4-</w:t>
      </w:r>
      <w:r w:rsidRPr="006D631C">
        <w:rPr>
          <w:rFonts w:asciiTheme="majorBidi" w:hAnsiTheme="majorBidi" w:cstheme="majorBidi"/>
          <w:sz w:val="22"/>
          <w:szCs w:val="22"/>
        </w:rPr>
        <w:t xml:space="preserve">5c). </w:t>
      </w:r>
    </w:p>
    <w:p w14:paraId="561A2FD6" w14:textId="22C320A0" w:rsidR="00750AFE" w:rsidRPr="006D631C" w:rsidRDefault="00750AFE" w:rsidP="00F7403C">
      <w:pPr>
        <w:widowControl w:val="0"/>
        <w:spacing w:after="240" w:line="276" w:lineRule="auto"/>
        <w:jc w:val="lowKashida"/>
        <w:rPr>
          <w:rFonts w:asciiTheme="majorBidi" w:hAnsiTheme="majorBidi" w:cstheme="majorBidi"/>
          <w:sz w:val="22"/>
          <w:szCs w:val="22"/>
        </w:rPr>
      </w:pPr>
      <w:proofErr w:type="gramStart"/>
      <w:r w:rsidRPr="006D631C">
        <w:rPr>
          <w:rFonts w:asciiTheme="majorBidi" w:hAnsiTheme="majorBidi" w:cstheme="majorBidi"/>
          <w:sz w:val="22"/>
          <w:szCs w:val="22"/>
          <w:vertAlign w:val="superscript"/>
        </w:rPr>
        <w:t>c</w:t>
      </w:r>
      <w:proofErr w:type="gramEnd"/>
      <w:r w:rsidRPr="006D631C">
        <w:rPr>
          <w:rFonts w:asciiTheme="majorBidi" w:hAnsiTheme="majorBidi" w:cstheme="majorBidi"/>
          <w:sz w:val="22"/>
          <w:szCs w:val="22"/>
        </w:rPr>
        <w:t xml:space="preserve"> SAXS data for water-swollen p</w:t>
      </w:r>
      <w:r w:rsidR="00CA3B53" w:rsidRPr="006D631C">
        <w:rPr>
          <w:rFonts w:asciiTheme="majorBidi" w:hAnsiTheme="majorBidi" w:cstheme="majorBidi"/>
          <w:sz w:val="22"/>
          <w:szCs w:val="22"/>
        </w:rPr>
        <w:t>olyLLC at 45 °C is shown in Figure</w:t>
      </w:r>
      <w:r w:rsidRPr="006D631C">
        <w:rPr>
          <w:rFonts w:asciiTheme="majorBidi" w:hAnsiTheme="majorBidi" w:cstheme="majorBidi"/>
          <w:sz w:val="22"/>
          <w:szCs w:val="22"/>
        </w:rPr>
        <w:t xml:space="preserve"> </w:t>
      </w:r>
      <w:r w:rsidR="00CA3B53" w:rsidRPr="006D631C">
        <w:rPr>
          <w:rFonts w:asciiTheme="majorBidi" w:hAnsiTheme="majorBidi" w:cstheme="majorBidi"/>
          <w:sz w:val="22"/>
          <w:szCs w:val="22"/>
        </w:rPr>
        <w:t>4-</w:t>
      </w:r>
      <w:r w:rsidRPr="006D631C">
        <w:rPr>
          <w:rFonts w:asciiTheme="majorBidi" w:hAnsiTheme="majorBidi" w:cstheme="majorBidi"/>
          <w:sz w:val="22"/>
          <w:szCs w:val="22"/>
        </w:rPr>
        <w:t xml:space="preserve">6. </w:t>
      </w:r>
    </w:p>
    <w:p w14:paraId="332C85E7" w14:textId="4EA823B5" w:rsidR="003B23AD" w:rsidRPr="006D631C" w:rsidRDefault="003B23AD" w:rsidP="0072669A">
      <w:pPr>
        <w:tabs>
          <w:tab w:val="left" w:pos="142"/>
          <w:tab w:val="left" w:pos="360"/>
          <w:tab w:val="left" w:pos="992"/>
        </w:tabs>
        <w:ind w:firstLine="357"/>
        <w:rPr>
          <w:rFonts w:asciiTheme="majorBidi" w:hAnsiTheme="majorBidi" w:cstheme="majorBidi"/>
        </w:rPr>
      </w:pPr>
      <w:r w:rsidRPr="006D631C">
        <w:rPr>
          <w:rFonts w:asciiTheme="majorBidi" w:hAnsiTheme="majorBidi" w:cstheme="majorBidi"/>
        </w:rPr>
        <w:lastRenderedPageBreak/>
        <w:t xml:space="preserve">Thermoresponsiveness of the nanostructured polymer was evaluated with DSC, as shown in Figure 4-4. Control experiments were also carried out on pure P84DA and dried polyLLC to define responsible phenomena for thermal transition. The water-swollen polyLLC exhibits a thermal transition in 5–32 °C range, which is attributed to the </w:t>
      </w:r>
      <w:r w:rsidR="00647937" w:rsidRPr="006D631C">
        <w:rPr>
          <w:rFonts w:asciiTheme="majorBidi" w:hAnsiTheme="majorBidi" w:cstheme="majorBidi"/>
        </w:rPr>
        <w:t>LCST</w:t>
      </w:r>
      <w:r w:rsidRPr="006D631C">
        <w:rPr>
          <w:rFonts w:asciiTheme="majorBidi" w:hAnsiTheme="majorBidi" w:cstheme="majorBidi"/>
        </w:rPr>
        <w:t xml:space="preserve"> of Pluronic</w:t>
      </w:r>
      <w:r w:rsidR="00647937"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10.1021/acsabm.1c00046","ISSN":"2576-6422","author":[{"dropping-particle":"","family":"Kushan","given":"Eren","non-dropping-particle":"","parse-names":false,"suffix":""},{"dropping-particle":"","family":"Senses","given":"Erkan","non-dropping-particle":"","parse-names":false,"suffix":""}],"container-title":"ACS Applied Bio Materials","id":"ITEM-1","issue":"4","issued":{"date-parts":[["2021","4","19"]]},"page":"3507-3517","title":"Thermoresponsive and Injectable Composite Hydrogels of Cellulose Nanocrystals and Pluronic F127","type":"article-journal","volume":"4"},"uris":["http://www.mendeley.com/documents/?uuid=7a401788-92e3-4ccb-939e-5698c8d6e51e"]},{"id":"ITEM-2","itemData":{"DOI":"10.1038/s41598-019-48254-6","ISSN":"2045-2322","author":[{"dropping-particle":"","family":"Chatterjee","given":"Sudipta","non-dropping-particle":"","parse-names":false,"suffix":""},{"dropping-particle":"","family":"Hui","given":"Patrick Chi-leung","non-dropping-particle":"","parse-names":false,"suffix":""},{"dropping-particle":"","family":"Kan","given":"Chi-wai","non-dropping-particle":"","parse-names":false,"suffix":""},{"dropping-particle":"","family":"Wang","given":"Wenyi","non-dropping-particle":"","parse-names":false,"suffix":""}],"container-title":"Scientific Reports","id":"ITEM-2","issue":"1","issued":{"date-parts":[["2019","12","12"]]},"page":"11658","title":"Dual-responsive (pH/temperature) Pluronic F-127 hydrogel drug delivery system for textile-based transdermal therapy","type":"article-journal","volume":"9"},"uris":["http://www.mendeley.com/documents/?uuid=9e3098be-5070-47f2-bb47-66c167318628"]}],"mendeley":{"formattedCitation":"&lt;sup&gt;248,268&lt;/sup&gt;","plainTextFormattedCitation":"248,268","previouslyFormattedCitation":"&lt;sup&gt;248,268&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248,268</w:t>
      </w:r>
      <w:r w:rsidRPr="006D631C">
        <w:rPr>
          <w:rFonts w:asciiTheme="majorBidi" w:hAnsiTheme="majorBidi" w:cstheme="majorBidi"/>
        </w:rPr>
        <w:fldChar w:fldCharType="end"/>
      </w:r>
      <w:r w:rsidRPr="006D631C">
        <w:rPr>
          <w:rFonts w:asciiTheme="majorBidi" w:hAnsiTheme="majorBidi" w:cstheme="majorBidi"/>
        </w:rPr>
        <w:t xml:space="preserve"> Hydrophilicity of the PPO block significantly decreases at LCST, reducing water solubility of the block copolymer</w:t>
      </w:r>
      <w:r w:rsidR="00CF720A"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{"citationItems":[{"id":"ITEM-1","itemData":{"DOI":"10.1007/s10904-019-01346-2","ISSN":"1574-1443","author":[{"dropping-particle":"","family":"Deliormanlı","given":"Aylin M.","non-dropping-particle":"","parse-names":false,"suffix":""},{"dropping-particle":"","family":"Türk","given":"Mert","non-dropping-particle":"","parse-names":false,"suffix":""}],"container-title":"Journal of Inorganic and Organometallic Polymers and Materials","id":"ITEM-1","issue":"4","issued":{"date-parts":[["2020","4","24"]]},"page":"1184-1196","title":"Flow Behavior and Drug Release Study of Injectable Pluronic F-127 Hydrogels containing Bioactive Glass and Carbon-Based Nanopowders","type":"article-journal","volume":"30"},"uris":["http://www.mendeley.com/documents/?uuid=db8185aa-edb4-4979-9217-b0d297521189"]}],"mendeley":{"formattedCitation":"&lt;sup&gt;258&lt;/sup&gt;","plainTextFormattedCitation":"258","previouslyFormattedCitation":"&lt;sup&gt;258&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258</w:t>
      </w:r>
      <w:r w:rsidRPr="006D631C">
        <w:rPr>
          <w:rFonts w:asciiTheme="majorBidi" w:hAnsiTheme="majorBidi" w:cstheme="majorBidi"/>
        </w:rPr>
        <w:fldChar w:fldCharType="end"/>
      </w:r>
      <w:r w:rsidRPr="006D631C">
        <w:rPr>
          <w:rFonts w:asciiTheme="majorBidi" w:hAnsiTheme="majorBidi" w:cstheme="majorBidi"/>
        </w:rPr>
        <w:t xml:space="preserve"> Pure P84DA also shows a thermal transition in 20–47 °C range, which is due to the melting of crystalline regions made by PEO block</w:t>
      </w:r>
      <w:r w:rsidR="004A684A"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10.3390/polym10010105","ISSN":"2073-4360","author":[{"dropping-particle":"","family":"Lee","given":"Chin-Fen","non-dropping-particle":"","parse-names":false,"suffix":""},{"dropping-particle":"","family":"Tseng","given":"Hsueh-Wen","non-dropping-particle":"","parse-names":false,"suffix":""},{"dropping-particle":"","family":"Bahadur","given":"Pratap","non-dropping-particle":"","parse-names":false,"suffix":""},{"dropping-particle":"","family":"Chen","given":"Li-Jen","non-dropping-particle":"","parse-names":false,"suffix":""}],"container-title":"Polymers","id":"ITEM-1","issue":"1","issued":{"date-parts":[["2018","1","22"]]},"page":"105","title":"Synergistic Effect of Binary Mixed-Pluronic Systems on Temperature Dependent Self-assembly Process and Drug Solubility","type":"article-journal","volume":"10"},"uris":["http://www.mendeley.com/documents/?uuid=00677923-0cdb-49fa-b157-386b704ab07a"]}],"mendeley":{"formattedCitation":"&lt;sup&gt;269&lt;/sup&gt;","plainTextFormattedCitation":"269","previouslyFormattedCitation":"&lt;sup&gt;269&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269</w:t>
      </w:r>
      <w:r w:rsidRPr="006D631C">
        <w:rPr>
          <w:rFonts w:asciiTheme="majorBidi" w:hAnsiTheme="majorBidi" w:cstheme="majorBidi"/>
        </w:rPr>
        <w:fldChar w:fldCharType="end"/>
      </w:r>
      <w:r w:rsidRPr="006D631C">
        <w:rPr>
          <w:rFonts w:asciiTheme="majorBidi" w:hAnsiTheme="majorBidi" w:cstheme="majorBidi"/>
        </w:rPr>
        <w:t xml:space="preserve"> In other words, since dried polyLLC has no thermal transition, we conclude that the formation of polyLLC suppresses the crystallization of PEO block and the observed thermal response of the water-swollen polyLLC is due to the LCST of the surfactant. </w:t>
      </w:r>
    </w:p>
    <w:p w14:paraId="088C59AE" w14:textId="2D82F083" w:rsidR="00A9517A" w:rsidRPr="006D631C" w:rsidRDefault="003B23AD" w:rsidP="00101FD9">
      <w:pPr>
        <w:ind w:firstLine="360"/>
      </w:pPr>
      <w:r w:rsidRPr="006D631C">
        <w:rPr>
          <w:rFonts w:asciiTheme="majorBidi" w:hAnsiTheme="majorBidi" w:cstheme="majorBidi"/>
        </w:rPr>
        <w:t>To further evaluate the thermoresponsive behavior, the swelling capacity was performed on polyLLC pieces having ca. 2 cm × 2 cm dimensions and a thickness of 500 µm (Fig</w:t>
      </w:r>
      <w:r w:rsidR="00DF6E6D" w:rsidRPr="006D631C">
        <w:rPr>
          <w:rFonts w:asciiTheme="majorBidi" w:hAnsiTheme="majorBidi" w:cstheme="majorBidi"/>
        </w:rPr>
        <w:t>ure</w:t>
      </w:r>
      <w:r w:rsidRPr="006D631C">
        <w:rPr>
          <w:rFonts w:asciiTheme="majorBidi" w:hAnsiTheme="majorBidi" w:cstheme="majorBidi"/>
        </w:rPr>
        <w:t xml:space="preserve"> </w:t>
      </w:r>
      <w:r w:rsidR="00DF6E6D" w:rsidRPr="006D631C">
        <w:rPr>
          <w:rFonts w:asciiTheme="majorBidi" w:hAnsiTheme="majorBidi" w:cstheme="majorBidi"/>
        </w:rPr>
        <w:t>4-</w:t>
      </w:r>
      <w:r w:rsidRPr="006D631C">
        <w:rPr>
          <w:rFonts w:asciiTheme="majorBidi" w:hAnsiTheme="majorBidi" w:cstheme="majorBidi"/>
        </w:rPr>
        <w:t>5a–b). Fig</w:t>
      </w:r>
      <w:r w:rsidR="00101FD9" w:rsidRPr="006D631C">
        <w:rPr>
          <w:rFonts w:asciiTheme="majorBidi" w:hAnsiTheme="majorBidi" w:cstheme="majorBidi"/>
        </w:rPr>
        <w:t>ure</w:t>
      </w:r>
      <w:r w:rsidRPr="006D631C">
        <w:rPr>
          <w:rFonts w:asciiTheme="majorBidi" w:hAnsiTheme="majorBidi" w:cstheme="majorBidi"/>
        </w:rPr>
        <w:t xml:space="preserve"> </w:t>
      </w:r>
      <w:r w:rsidR="00101FD9" w:rsidRPr="006D631C">
        <w:rPr>
          <w:rFonts w:asciiTheme="majorBidi" w:hAnsiTheme="majorBidi" w:cstheme="majorBidi"/>
        </w:rPr>
        <w:t>4-</w:t>
      </w:r>
      <w:r w:rsidRPr="006D631C">
        <w:rPr>
          <w:rFonts w:asciiTheme="majorBidi" w:hAnsiTheme="majorBidi" w:cstheme="majorBidi"/>
        </w:rPr>
        <w:t xml:space="preserve">5c shows that the swelling capacity of the polymer declines from ~600% to ~120% when the temperature increases from 5 to 45 °C. This change in the swelling capacity is in agreement with the DSC results, confirming that the polymer experiences an LCST transition in this range of temperature. </w:t>
      </w:r>
      <w:r w:rsidR="00E85AEE" w:rsidRPr="006D631C">
        <w:rPr>
          <w:rFonts w:asciiTheme="majorBidi" w:hAnsiTheme="majorBidi" w:cstheme="majorBidi"/>
        </w:rPr>
        <w:t>Figure</w:t>
      </w:r>
      <w:r w:rsidRPr="006D631C">
        <w:rPr>
          <w:rFonts w:asciiTheme="majorBidi" w:hAnsiTheme="majorBidi" w:cstheme="majorBidi"/>
        </w:rPr>
        <w:t xml:space="preserve"> </w:t>
      </w:r>
      <w:r w:rsidR="00E85AEE" w:rsidRPr="006D631C">
        <w:rPr>
          <w:rFonts w:asciiTheme="majorBidi" w:hAnsiTheme="majorBidi" w:cstheme="majorBidi"/>
        </w:rPr>
        <w:t>4-</w:t>
      </w:r>
      <w:r w:rsidRPr="006D631C">
        <w:rPr>
          <w:rFonts w:asciiTheme="majorBidi" w:hAnsiTheme="majorBidi" w:cstheme="majorBidi"/>
        </w:rPr>
        <w:t xml:space="preserve">5d reveals that this response is rapid and takes place within 5 min. Additionally, </w:t>
      </w:r>
      <w:r w:rsidR="00E85AEE" w:rsidRPr="006D631C">
        <w:rPr>
          <w:rFonts w:asciiTheme="majorBidi" w:hAnsiTheme="majorBidi" w:cstheme="majorBidi"/>
        </w:rPr>
        <w:t>Figure</w:t>
      </w:r>
      <w:r w:rsidRPr="006D631C">
        <w:rPr>
          <w:rFonts w:asciiTheme="majorBidi" w:hAnsiTheme="majorBidi" w:cstheme="majorBidi"/>
        </w:rPr>
        <w:t xml:space="preserve"> </w:t>
      </w:r>
      <w:r w:rsidR="00E85AEE" w:rsidRPr="006D631C">
        <w:rPr>
          <w:rFonts w:asciiTheme="majorBidi" w:hAnsiTheme="majorBidi" w:cstheme="majorBidi"/>
        </w:rPr>
        <w:t>4-</w:t>
      </w:r>
      <w:r w:rsidRPr="006D631C">
        <w:rPr>
          <w:rFonts w:asciiTheme="majorBidi" w:hAnsiTheme="majorBidi" w:cstheme="majorBidi"/>
        </w:rPr>
        <w:t>5e confirms the reversibility of the thermal response throughout several heating-cooling cycles.</w:t>
      </w:r>
    </w:p>
    <w:p w14:paraId="3AA22EF6" w14:textId="77777777" w:rsidR="00F36890" w:rsidRPr="006D631C" w:rsidRDefault="00F36890" w:rsidP="00F36890">
      <w:pPr>
        <w:tabs>
          <w:tab w:val="left" w:pos="142"/>
          <w:tab w:val="left" w:pos="360"/>
          <w:tab w:val="left" w:pos="992"/>
        </w:tabs>
        <w:jc w:val="center"/>
        <w:rPr>
          <w:rFonts w:asciiTheme="majorBidi" w:hAnsiTheme="majorBidi" w:cstheme="majorBidi"/>
        </w:rPr>
      </w:pPr>
      <w:r w:rsidRPr="006D631C">
        <w:rPr>
          <w:rFonts w:asciiTheme="majorBidi" w:hAnsiTheme="majorBidi" w:cstheme="majorBidi"/>
          <w:noProof/>
        </w:rPr>
        <w:lastRenderedPageBreak/>
        <w:drawing>
          <wp:inline distT="0" distB="0" distL="0" distR="0" wp14:anchorId="72C8B0E0" wp14:editId="18366A34">
            <wp:extent cx="3888000" cy="508517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888000" cy="5085176"/>
                    </a:xfrm>
                    <a:prstGeom prst="rect">
                      <a:avLst/>
                    </a:prstGeom>
                    <a:noFill/>
                  </pic:spPr>
                </pic:pic>
              </a:graphicData>
            </a:graphic>
          </wp:inline>
        </w:drawing>
      </w:r>
    </w:p>
    <w:p w14:paraId="7AF06111" w14:textId="430B670E" w:rsidR="00F36890" w:rsidRPr="006D631C" w:rsidRDefault="00F36890" w:rsidP="00F36890">
      <w:pPr>
        <w:pStyle w:val="Caption"/>
        <w:jc w:val="center"/>
        <w:rPr>
          <w:rFonts w:asciiTheme="majorBidi" w:hAnsiTheme="majorBidi" w:cstheme="majorBidi"/>
          <w:sz w:val="22"/>
          <w:szCs w:val="22"/>
        </w:rPr>
      </w:pPr>
      <w:bookmarkStart w:id="185" w:name="_Toc148175949"/>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4</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4</w:t>
      </w:r>
      <w:r w:rsidR="00B55F32" w:rsidRPr="006D631C">
        <w:rPr>
          <w:sz w:val="22"/>
          <w:szCs w:val="22"/>
        </w:rPr>
        <w:fldChar w:fldCharType="end"/>
      </w:r>
      <w:r w:rsidRPr="006D631C">
        <w:rPr>
          <w:rFonts w:asciiTheme="majorBidi" w:hAnsiTheme="majorBidi" w:cstheme="majorBidi"/>
          <w:sz w:val="22"/>
          <w:szCs w:val="22"/>
        </w:rPr>
        <w:t>. DSC results for pure P84DA, water-swollen polyLLC, and dried polyLLC.</w:t>
      </w:r>
      <w:bookmarkEnd w:id="185"/>
    </w:p>
    <w:p w14:paraId="625EEB0A" w14:textId="25A99A10" w:rsidR="00A9517A" w:rsidRPr="006D631C" w:rsidRDefault="00677C31" w:rsidP="00052F7A">
      <w:pPr>
        <w:ind w:firstLine="360"/>
      </w:pPr>
      <w:r w:rsidRPr="006D631C">
        <w:rPr>
          <w:rFonts w:asciiTheme="majorBidi" w:hAnsiTheme="majorBidi" w:cstheme="majorBidi"/>
        </w:rPr>
        <w:t>We also performed</w:t>
      </w:r>
      <w:r w:rsidRPr="006D631C">
        <w:t xml:space="preserve"> </w:t>
      </w:r>
      <w:proofErr w:type="spellStart"/>
      <w:r w:rsidRPr="006D631C">
        <w:rPr>
          <w:rFonts w:asciiTheme="majorBidi" w:hAnsiTheme="majorBidi" w:cstheme="majorBidi"/>
        </w:rPr>
        <w:t>rheo</w:t>
      </w:r>
      <w:proofErr w:type="spellEnd"/>
      <w:r w:rsidRPr="006D631C">
        <w:rPr>
          <w:rFonts w:asciiTheme="majorBidi" w:hAnsiTheme="majorBidi" w:cstheme="majorBidi"/>
        </w:rPr>
        <w:t>-mechanical experiments on the polyLLC at different states. The results in Fig</w:t>
      </w:r>
      <w:r w:rsidR="00E174DE" w:rsidRPr="006D631C">
        <w:rPr>
          <w:rFonts w:asciiTheme="majorBidi" w:hAnsiTheme="majorBidi" w:cstheme="majorBidi"/>
        </w:rPr>
        <w:t>ure</w:t>
      </w:r>
      <w:r w:rsidRPr="006D631C">
        <w:rPr>
          <w:rFonts w:asciiTheme="majorBidi" w:hAnsiTheme="majorBidi" w:cstheme="majorBidi"/>
        </w:rPr>
        <w:t xml:space="preserve"> </w:t>
      </w:r>
      <w:r w:rsidR="00E174DE" w:rsidRPr="006D631C">
        <w:rPr>
          <w:rFonts w:asciiTheme="majorBidi" w:hAnsiTheme="majorBidi" w:cstheme="majorBidi"/>
        </w:rPr>
        <w:t>4-</w:t>
      </w:r>
      <w:r w:rsidRPr="006D631C">
        <w:rPr>
          <w:rFonts w:asciiTheme="majorBidi" w:hAnsiTheme="majorBidi" w:cstheme="majorBidi"/>
        </w:rPr>
        <w:t xml:space="preserve">5f show that the polyLLC containing ionic liquid exhibits the best mechanical properties. The storage modulus, G', of water swollen polyLLC decreases with an increase in the swelling capacity of water-swollen samples as the temperature decreases from 45 to 10 °C. These results reveal that the mechanical properties of the obtained polyLLC is mainly affected by the solvent nature and content. In our previous study, we have shown that the elasticity of LLCs is controlled by intermicellar interactions, which change by the solvent type and intermicellar </w:t>
      </w:r>
      <w:r w:rsidRPr="006D631C">
        <w:rPr>
          <w:rFonts w:asciiTheme="majorBidi" w:hAnsiTheme="majorBidi" w:cstheme="majorBidi"/>
        </w:rPr>
        <w:lastRenderedPageBreak/>
        <w:t>distance</w:t>
      </w:r>
      <w:r w:rsidR="00E174DE" w:rsidRPr="006D631C">
        <w:rPr>
          <w:rFonts w:asciiTheme="majorBidi" w:hAnsiTheme="majorBidi" w:cstheme="majorBidi"/>
        </w:rPr>
        <w:t>.</w:t>
      </w:r>
      <w:r w:rsidRPr="006D631C">
        <w:rPr>
          <w:rFonts w:asciiTheme="majorBidi" w:hAnsiTheme="majorBidi" w:cstheme="majorBidi"/>
        </w:rPr>
        <w:fldChar w:fldCharType="begin" w:fldLock="1"/>
      </w:r>
      <w:r w:rsidR="00812EF6" w:rsidRPr="006D631C">
        <w:rPr>
          <w:rFonts w:asciiTheme="majorBidi" w:hAnsiTheme="majorBidi" w:cstheme="majorBidi"/>
        </w:rPr>
        <w:instrText>ADDIN CSL_CITATION {"citationItems":[{"id":"ITEM-1","itemData":{"DOI":"10.1039/c8sm02336k","ISSN":"17446848","abstract":"Amphiphilic block copolymers self-assemble at the water/oil interface to form different mesomorphic structures, such as lamellar, micellar cubic, normal hexagonal, and reverse hexagonal structures. Usually, these structures are polycrystalline and the value of their elastic modulus depends on the average orientation of their constituent's single crystals. We provide a model to predict the elastic modulus and yielding of mesophases from their characteristic length and intermicellar interactions. Shear modulus of each structure is calculated as a function of deformation (strain). Zero-shear modulus, G0, depends on the inverse of the intermicellar distance with a power law model. The power law index for each structure is approximately n + 2 where n is the degree of confinement in the mesophase: 1 for lamellar, 2 for both normal and reverse hexagonal, and 3 for micellar cubic structures. Rheological properties of different mesophases of Pluronic P84 in the presence of water and p-xylene are used as a case study. The model is found to be in good agreement with experimental data in the linear viscoelastic region. When compared to experimental data, the yield strain value obtained from the model is one order of magnitude higher than the limit of the linear viscoelastic regime and close to the strain at the cross-over point of storage and loss moduli. Frequency sweep measurements are done to characterize the relaxation and cooperative model behaviors of each mesophase structure.","author":[{"dropping-particle":"","family":"Qavi","given":"Sahar","non-dropping-particle":"","parse-names":false,"suffix":""},{"dropping-particle":"","family":"Firestone","given":"Millicent A.","non-dropping-particle":"","parse-names":false,"suffix":""},{"dropping-particle":"","family":"Foudazi","given":"Reza","non-dropping-particle":"","parse-names":false,"suffix":""}],"container-title":"Soft Matter","id":"ITEM-1","issue":"28","issued":{"date-parts":[["2019"]]},"page":"5626-5637","title":"Elasticity and yielding of mesophases of block copolymers in water-oil mixtures","type":"article-journal","volume":"15"},"uris":["http://www.mendeley.com/documents/?uuid=d6b996a8-3b15-449b-bf48-5adc680fb63c"]}],"mendeley":{"formattedCitation":"&lt;sup&gt;62&lt;/sup&gt;","plainTextFormattedCitation":"62","previouslyFormattedCitation":"&lt;sup&gt;62&lt;/sup&gt;"},"properties":{"noteIndex":0},"schema":"https://github.com/citation-style-language/schema/raw/master/csl-citation.json"}</w:instrText>
      </w:r>
      <w:r w:rsidRPr="006D631C">
        <w:rPr>
          <w:rFonts w:asciiTheme="majorBidi" w:hAnsiTheme="majorBidi" w:cstheme="majorBidi"/>
        </w:rPr>
        <w:fldChar w:fldCharType="separate"/>
      </w:r>
      <w:r w:rsidR="00B71222" w:rsidRPr="006D631C">
        <w:rPr>
          <w:rFonts w:asciiTheme="majorBidi" w:hAnsiTheme="majorBidi" w:cstheme="majorBidi"/>
          <w:noProof/>
          <w:vertAlign w:val="superscript"/>
        </w:rPr>
        <w:t>62</w:t>
      </w:r>
      <w:r w:rsidRPr="006D631C">
        <w:rPr>
          <w:rFonts w:asciiTheme="majorBidi" w:hAnsiTheme="majorBidi" w:cstheme="majorBidi"/>
        </w:rPr>
        <w:fldChar w:fldCharType="end"/>
      </w:r>
      <w:r w:rsidRPr="006D631C">
        <w:rPr>
          <w:rFonts w:asciiTheme="majorBidi" w:hAnsiTheme="majorBidi" w:cstheme="majorBidi"/>
        </w:rPr>
        <w:t xml:space="preserve"> The solvent content at 25°C increases from 48.6 </w:t>
      </w:r>
      <w:proofErr w:type="spellStart"/>
      <w:r w:rsidRPr="006D631C">
        <w:rPr>
          <w:rFonts w:asciiTheme="majorBidi" w:hAnsiTheme="majorBidi" w:cstheme="majorBidi"/>
        </w:rPr>
        <w:t>wt</w:t>
      </w:r>
      <w:proofErr w:type="spellEnd"/>
      <w:r w:rsidRPr="006D631C">
        <w:rPr>
          <w:rFonts w:asciiTheme="majorBidi" w:hAnsiTheme="majorBidi" w:cstheme="majorBidi"/>
        </w:rPr>
        <w:t xml:space="preserve">% in the case of polyLLC containing ionic liquid (intermicellar distance of 2.6 nm) to ~70% (intermicellar distance of 5.4 nm) after exchange of ionic liquid with water. Therefore, the higher G' for polyLLC containing ionic liquid could be attributed to the </w:t>
      </w:r>
      <w:r w:rsidR="005852F4" w:rsidRPr="006D631C">
        <w:rPr>
          <w:rFonts w:asciiTheme="majorBidi" w:hAnsiTheme="majorBidi" w:cstheme="majorBidi"/>
        </w:rPr>
        <w:t>lower</w:t>
      </w:r>
      <w:r w:rsidRPr="006D631C">
        <w:rPr>
          <w:rFonts w:asciiTheme="majorBidi" w:hAnsiTheme="majorBidi" w:cstheme="majorBidi"/>
        </w:rPr>
        <w:t xml:space="preserve"> contents of the solvent and/or stronger intermicellar interactions. When comparing water-swollen samples, G' decreases as the solvent content (i.e., intermicellar distance) increases from ~52% to ~70% and ~85 </w:t>
      </w:r>
      <w:proofErr w:type="spellStart"/>
      <w:r w:rsidRPr="006D631C">
        <w:rPr>
          <w:rFonts w:asciiTheme="majorBidi" w:hAnsiTheme="majorBidi" w:cstheme="majorBidi"/>
        </w:rPr>
        <w:t>wt</w:t>
      </w:r>
      <w:proofErr w:type="spellEnd"/>
      <w:r w:rsidRPr="006D631C">
        <w:rPr>
          <w:rFonts w:asciiTheme="majorBidi" w:hAnsiTheme="majorBidi" w:cstheme="majorBidi"/>
        </w:rPr>
        <w:t>% by decreasing temperature from 45 °C to 25 °C and 10 °C, respectively. Similar changes in mechanical properties with variation of solvent content have been reported in the literature for solvent-swollen polyLLCs</w:t>
      </w:r>
      <w:r w:rsidR="00052F7A" w:rsidRPr="006D631C">
        <w:rPr>
          <w:rFonts w:asciiTheme="majorBidi" w:hAnsiTheme="majorBidi" w:cstheme="majorBidi"/>
        </w:rPr>
        <w:t>.</w:t>
      </w:r>
      <w:r w:rsidRPr="006D631C">
        <w:rPr>
          <w:rFonts w:asciiTheme="majorBidi" w:hAnsiTheme="majorBidi" w:cstheme="majorBidi"/>
        </w:rPr>
        <w:fldChar w:fldCharType="begin" w:fldLock="1"/>
      </w:r>
      <w:r w:rsidR="00812EF6" w:rsidRPr="006D631C">
        <w:rPr>
          <w:rFonts w:asciiTheme="majorBidi" w:hAnsiTheme="majorBidi" w:cstheme="majorBidi"/>
        </w:rPr>
        <w:instrText>ADDIN CSL_CITATION {"citationItems":[{"id":"ITEM-1","itemData":{"DOI":"10.1021/acs.chemmater.7b04183","ISSN":"15205002","abstract":"Nanoporous polymers with periodic, ordered structures have attracted significant interest for their potential applications as drug delivery vehicles, biomaterials, separations membranes, and materials for energy storage. Inducing polymer nanostructure through lyotropic liquid crystal-templated (LLC-templated) cross-linking photopolymerizations offers a promising means for morphological control at smaller length scales, which are difficult to access by other established strategies. We report the synthesis of a gemini dicarboxylate surfactant that self-assembles in water to form various aqueous LLC mesophases over a broad range of amphiphile concentrations, with an especially strong propensity to form the coveted bicontinuous double gyroid (GI) network mesophase. Aqueous GI LLCs surprisingly persist upon incorporation of as much as 10-37 wt % hexane-1,6-diol dimethacrylate (HDDMA) into the hydrophobic domains of these supramolecular surfactant assemblies, and cross-linking photopolymerization of the HDDMA unexpectedly proceeds with retention of this intricate LLC nanostructure. The nanoporous nature of the resulting templated polymers remains after surfactant removal by solvent extraction, as manifested by increased swelling ratios in water and 2-propanol as compared to isotropic materials of similar compositions. The exquisite level of control over polymer network porosity provided by templating within GI phases furnishes a promising new route toward nanostructured hydrophobic polymers.","author":[{"dropping-particle":"","family":"Jennings","given":"James","non-dropping-particle":"","parse-names":false,"suffix":""},{"dropping-particle":"","family":"Green","given":"Brian","non-dropping-particle":"","parse-names":false,"suffix":""},{"dropping-particle":"","family":"Mann","given":"Tyler J.","non-dropping-particle":"","parse-names":false,"suffix":""},{"dropping-particle":"","family":"Guymon","given":"C. Allan","non-dropping-particle":"","parse-names":false,"suffix":""},{"dropping-particle":"","family":"Mahanthappa","given":"Mahesh K.","non-dropping-particle":"","parse-names":false,"suffix":""}],"container-title":"Chemistry of Materials","id":"ITEM-1","issue":"1","issued":{"date-parts":[["2018"]]},"page":"185-196","title":"Nanoporous Polymer Networks Templated by Gemini Surfactant Lyotropic Liquid Crystals","type":"article-journal","volume":"30"},"uris":["http://www.mendeley.com/documents/?uuid=f9051fa6-7de9-4802-9014-f295ab0bf347"]}],"mendeley":{"formattedCitation":"&lt;sup&gt;23&lt;/sup&gt;","plainTextFormattedCitation":"23","previouslyFormattedCitation":"&lt;sup&gt;23&lt;/sup&gt;"},"properties":{"noteIndex":0},"schema":"https://github.com/citation-style-language/schema/raw/master/csl-citation.json"}</w:instrText>
      </w:r>
      <w:r w:rsidRPr="006D631C">
        <w:rPr>
          <w:rFonts w:asciiTheme="majorBidi" w:hAnsiTheme="majorBidi" w:cstheme="majorBidi"/>
        </w:rPr>
        <w:fldChar w:fldCharType="separate"/>
      </w:r>
      <w:r w:rsidR="00B71222" w:rsidRPr="006D631C">
        <w:rPr>
          <w:rFonts w:asciiTheme="majorBidi" w:hAnsiTheme="majorBidi" w:cstheme="majorBidi"/>
          <w:noProof/>
          <w:vertAlign w:val="superscript"/>
        </w:rPr>
        <w:t>23</w:t>
      </w:r>
      <w:r w:rsidRPr="006D631C">
        <w:rPr>
          <w:rFonts w:asciiTheme="majorBidi" w:hAnsiTheme="majorBidi" w:cstheme="majorBidi"/>
        </w:rPr>
        <w:fldChar w:fldCharType="end"/>
      </w:r>
    </w:p>
    <w:p w14:paraId="1452CE3B" w14:textId="77777777" w:rsidR="00115B15" w:rsidRPr="006D631C" w:rsidRDefault="00115B15" w:rsidP="00115B15">
      <w:pPr>
        <w:tabs>
          <w:tab w:val="left" w:pos="142"/>
          <w:tab w:val="left" w:pos="360"/>
          <w:tab w:val="left" w:pos="992"/>
        </w:tabs>
        <w:ind w:right="4"/>
        <w:rPr>
          <w:rFonts w:asciiTheme="majorBidi" w:hAnsiTheme="majorBidi" w:cstheme="majorBidi"/>
        </w:rPr>
      </w:pPr>
      <w:r w:rsidRPr="006D631C">
        <w:rPr>
          <w:rFonts w:asciiTheme="majorBidi" w:hAnsiTheme="majorBidi" w:cstheme="majorBidi"/>
          <w:noProof/>
        </w:rPr>
        <w:lastRenderedPageBreak/>
        <w:drawing>
          <wp:inline distT="0" distB="0" distL="0" distR="0" wp14:anchorId="70531CE3" wp14:editId="3F882C3F">
            <wp:extent cx="5940000" cy="5879665"/>
            <wp:effectExtent l="0" t="0" r="381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940000" cy="5879665"/>
                    </a:xfrm>
                    <a:prstGeom prst="rect">
                      <a:avLst/>
                    </a:prstGeom>
                    <a:noFill/>
                  </pic:spPr>
                </pic:pic>
              </a:graphicData>
            </a:graphic>
          </wp:inline>
        </w:drawing>
      </w:r>
    </w:p>
    <w:p w14:paraId="47BE731E" w14:textId="78BD9CA1" w:rsidR="00115B15" w:rsidRPr="006D631C" w:rsidRDefault="00115B15" w:rsidP="00115B15">
      <w:pPr>
        <w:pStyle w:val="Caption"/>
        <w:jc w:val="center"/>
        <w:rPr>
          <w:rFonts w:asciiTheme="majorBidi" w:hAnsiTheme="majorBidi" w:cstheme="majorBidi"/>
          <w:sz w:val="22"/>
          <w:szCs w:val="22"/>
        </w:rPr>
      </w:pPr>
      <w:bookmarkStart w:id="186" w:name="_Toc148175950"/>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4</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5</w:t>
      </w:r>
      <w:r w:rsidR="00B55F32" w:rsidRPr="006D631C">
        <w:rPr>
          <w:sz w:val="22"/>
          <w:szCs w:val="22"/>
        </w:rPr>
        <w:fldChar w:fldCharType="end"/>
      </w:r>
      <w:r w:rsidRPr="006D631C">
        <w:rPr>
          <w:sz w:val="22"/>
          <w:szCs w:val="22"/>
        </w:rPr>
        <w:t xml:space="preserve">. </w:t>
      </w:r>
      <w:r w:rsidRPr="006D631C">
        <w:rPr>
          <w:rFonts w:asciiTheme="majorBidi" w:hAnsiTheme="majorBidi" w:cstheme="majorBidi"/>
          <w:sz w:val="22"/>
          <w:szCs w:val="22"/>
        </w:rPr>
        <w:t>(</w:t>
      </w:r>
      <w:proofErr w:type="gramStart"/>
      <w:r w:rsidRPr="006D631C">
        <w:rPr>
          <w:rFonts w:asciiTheme="majorBidi" w:hAnsiTheme="majorBidi" w:cstheme="majorBidi"/>
          <w:sz w:val="22"/>
          <w:szCs w:val="22"/>
        </w:rPr>
        <w:t>a-b</w:t>
      </w:r>
      <w:proofErr w:type="gramEnd"/>
      <w:r w:rsidRPr="006D631C">
        <w:rPr>
          <w:rFonts w:asciiTheme="majorBidi" w:hAnsiTheme="majorBidi" w:cstheme="majorBidi"/>
          <w:sz w:val="22"/>
          <w:szCs w:val="22"/>
        </w:rPr>
        <w:t>) PolyLLC sample (a) before and (b) after swelling with water. (</w:t>
      </w:r>
      <w:proofErr w:type="gramStart"/>
      <w:r w:rsidRPr="006D631C">
        <w:rPr>
          <w:rFonts w:asciiTheme="majorBidi" w:hAnsiTheme="majorBidi" w:cstheme="majorBidi"/>
          <w:sz w:val="22"/>
          <w:szCs w:val="22"/>
        </w:rPr>
        <w:t>c-f</w:t>
      </w:r>
      <w:proofErr w:type="gramEnd"/>
      <w:r w:rsidRPr="006D631C">
        <w:rPr>
          <w:rFonts w:asciiTheme="majorBidi" w:hAnsiTheme="majorBidi" w:cstheme="majorBidi"/>
          <w:sz w:val="22"/>
          <w:szCs w:val="22"/>
        </w:rPr>
        <w:t>) Results of different experiments: (c) swelling capacity changes with temperature; (d) kinetics of thermal response when the temperature changes from 25 to 45 °C; (e) reversibility of the thermoresponsiveness; and (f) viscoelastic behavior of polyLLC film under different conditions.</w:t>
      </w:r>
      <w:bookmarkEnd w:id="186"/>
    </w:p>
    <w:p w14:paraId="162C8A14" w14:textId="405D8C55" w:rsidR="00A9517A" w:rsidRPr="006D631C" w:rsidRDefault="00863841" w:rsidP="00E21693">
      <w:pPr>
        <w:ind w:firstLine="360"/>
      </w:pPr>
      <w:r w:rsidRPr="006D631C">
        <w:rPr>
          <w:rFonts w:asciiTheme="majorBidi" w:hAnsiTheme="majorBidi" w:cstheme="majorBidi"/>
        </w:rPr>
        <w:t xml:space="preserve">Figure 4-6 </w:t>
      </w:r>
      <w:r w:rsidR="009F7737" w:rsidRPr="006D631C">
        <w:rPr>
          <w:rFonts w:asciiTheme="majorBidi" w:hAnsiTheme="majorBidi" w:cstheme="majorBidi"/>
        </w:rPr>
        <w:t xml:space="preserve">shows the structural change of the water-swollen polymer with temperature, which was examined using CPLM and SAXS. The results suggest that the structure exhibits weak ordering at a temperature of 5 °C, as evidenced by the absence of texture in the CPLM image and </w:t>
      </w:r>
      <w:r w:rsidR="009F7737" w:rsidRPr="006D631C">
        <w:rPr>
          <w:rFonts w:asciiTheme="majorBidi" w:hAnsiTheme="majorBidi" w:cstheme="majorBidi"/>
        </w:rPr>
        <w:lastRenderedPageBreak/>
        <w:t>the presence of weak peaks in the SAXS profile. As mentioned before, PPO becomes hydrophilic at temperatures below LCST of the Pluronic</w:t>
      </w:r>
      <w:r w:rsidR="009F7737" w:rsidRPr="006D631C">
        <w:rPr>
          <w:rFonts w:asciiTheme="majorBidi" w:hAnsiTheme="majorBidi" w:cstheme="majorBidi"/>
        </w:rPr>
        <w:fldChar w:fldCharType="begin" w:fldLock="1"/>
      </w:r>
      <w:r w:rsidR="0020330F" w:rsidRPr="006D631C">
        <w:rPr>
          <w:rFonts w:asciiTheme="majorBidi" w:hAnsiTheme="majorBidi" w:cstheme="majorBidi"/>
        </w:rPr>
        <w:instrText>ADDIN CSL_CITATION {"citationItems":[{"id":"ITEM-1","itemData":{"DOI":"10.1007/s10904-019-01346-2","ISSN":"1574-1443","author":[{"dropping-particle":"","family":"Deliormanlı","given":"Aylin M.","non-dropping-particle":"","parse-names":false,"suffix":""},{"dropping-particle":"","family":"Türk","given":"Mert","non-dropping-particle":"","parse-names":false,"suffix":""}],"container-title":"Journal of Inorganic and Organometallic Polymers and Materials","id":"ITEM-1","issue":"4","issued":{"date-parts":[["2020","4","24"]]},"page":"1184-1196","title":"Flow Behavior and Drug Release Study of Injectable Pluronic F-127 Hydrogels containing Bioactive Glass and Carbon-Based Nanopowders","type":"article-journal","volume":"30"},"uris":["http://www.mendeley.com/documents/?uuid=db8185aa-edb4-4979-9217-b0d297521189"]},{"id":"ITEM-2","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Materials","id":"ITEM-2","issue":"11","issued":{"date-parts":[["2022","11","11"]]},"page":"8156-8165","title":"Two-Step Thermoresponsive Ultrafiltration Membranes from Polymerization of Lyotropic Liquid Crystals","type":"article-journal","volume":"4"},"uris":["http://www.mendeley.com/documents/?uuid=4eee7cf8-e804-4309-8e0d-bec6bee52d4f"]}],"mendeley":{"formattedCitation":"&lt;sup&gt;258,263&lt;/sup&gt;","plainTextFormattedCitation":"258,263","previouslyFormattedCitation":"&lt;sup&gt;258,263&lt;/sup&gt;"},"properties":{"noteIndex":0},"schema":"https://github.com/citation-style-language/schema/raw/master/csl-citation.json"}</w:instrText>
      </w:r>
      <w:r w:rsidR="009F7737" w:rsidRPr="006D631C">
        <w:rPr>
          <w:rFonts w:asciiTheme="majorBidi" w:hAnsiTheme="majorBidi" w:cstheme="majorBidi"/>
        </w:rPr>
        <w:fldChar w:fldCharType="separate"/>
      </w:r>
      <w:r w:rsidR="009F7737" w:rsidRPr="006D631C">
        <w:rPr>
          <w:rFonts w:asciiTheme="majorBidi" w:hAnsiTheme="majorBidi" w:cstheme="majorBidi"/>
          <w:noProof/>
          <w:vertAlign w:val="superscript"/>
        </w:rPr>
        <w:t>258,263</w:t>
      </w:r>
      <w:r w:rsidR="009F7737" w:rsidRPr="006D631C">
        <w:rPr>
          <w:rFonts w:asciiTheme="majorBidi" w:hAnsiTheme="majorBidi" w:cstheme="majorBidi"/>
        </w:rPr>
        <w:fldChar w:fldCharType="end"/>
      </w:r>
      <w:r w:rsidR="009F7737" w:rsidRPr="006D631C">
        <w:rPr>
          <w:rFonts w:asciiTheme="majorBidi" w:hAnsiTheme="majorBidi" w:cstheme="majorBidi"/>
        </w:rPr>
        <w:t>, which will increase the miscibility of PEO and PPO blocks with water, leading to a substantial increase in the swelling of micelles with water. This is supported by the observation of an approximately threefold increase in the swelling capacity when the polyLLC is cooled to 5 °C (see Fig</w:t>
      </w:r>
      <w:r w:rsidR="00277E9A" w:rsidRPr="006D631C">
        <w:rPr>
          <w:rFonts w:asciiTheme="majorBidi" w:hAnsiTheme="majorBidi" w:cstheme="majorBidi"/>
        </w:rPr>
        <w:t>ure</w:t>
      </w:r>
      <w:r w:rsidR="009F7737" w:rsidRPr="006D631C">
        <w:rPr>
          <w:rFonts w:asciiTheme="majorBidi" w:hAnsiTheme="majorBidi" w:cstheme="majorBidi"/>
        </w:rPr>
        <w:t xml:space="preserve"> </w:t>
      </w:r>
      <w:r w:rsidR="00277E9A" w:rsidRPr="006D631C">
        <w:rPr>
          <w:rFonts w:asciiTheme="majorBidi" w:hAnsiTheme="majorBidi" w:cstheme="majorBidi"/>
        </w:rPr>
        <w:t>4-</w:t>
      </w:r>
      <w:r w:rsidR="009F7737" w:rsidRPr="006D631C">
        <w:rPr>
          <w:rFonts w:asciiTheme="majorBidi" w:hAnsiTheme="majorBidi" w:cstheme="majorBidi"/>
        </w:rPr>
        <w:t>5). Under these conditions, the segregation between the polymer chains and the water domain is disrupted. In other words, both PEO and PPO blocks will be swollen with no discernible structure. However, the structure can be restored by deswelling of the polymer through heating, due to the segregation of PEO and PPO blocks and LCST transition of PPO/water, and thanks to the presence of the chemically cross-linked polymer network preventing complete disruption of the structure.</w:t>
      </w:r>
      <w:r w:rsidRPr="006D631C">
        <w:rPr>
          <w:rFonts w:asciiTheme="majorBidi" w:hAnsiTheme="majorBidi" w:cstheme="majorBidi"/>
        </w:rPr>
        <w:t xml:space="preserve"> </w:t>
      </w:r>
      <w:r w:rsidR="00E21693" w:rsidRPr="006D631C">
        <w:rPr>
          <w:rFonts w:asciiTheme="majorBidi" w:hAnsiTheme="majorBidi" w:cstheme="majorBidi"/>
        </w:rPr>
        <w:t>As such, a</w:t>
      </w:r>
      <w:r w:rsidRPr="006D631C">
        <w:rPr>
          <w:rFonts w:asciiTheme="majorBidi" w:hAnsiTheme="majorBidi" w:cstheme="majorBidi"/>
        </w:rPr>
        <w:t>s the temperature is increased from 5 to 65 °C, the texture and strong H</w:t>
      </w:r>
      <w:r w:rsidRPr="006D631C">
        <w:rPr>
          <w:rFonts w:asciiTheme="majorBidi" w:hAnsiTheme="majorBidi" w:cstheme="majorBidi"/>
          <w:vertAlign w:val="subscript"/>
        </w:rPr>
        <w:t>1</w:t>
      </w:r>
      <w:r w:rsidRPr="006D631C">
        <w:rPr>
          <w:rFonts w:asciiTheme="majorBidi" w:hAnsiTheme="majorBidi" w:cstheme="majorBidi"/>
        </w:rPr>
        <w:t xml:space="preserve"> Bragg peaks appear in CPLM and SAXS profile, respectively. The change in the structure is reversible as the scattering profiles at 25 °C before and after carrying out the heating-cooling cycle are similar. When the temperature is increased from 25 to 45 °C, the H</w:t>
      </w:r>
      <w:r w:rsidRPr="006D631C">
        <w:rPr>
          <w:rFonts w:asciiTheme="majorBidi" w:hAnsiTheme="majorBidi" w:cstheme="majorBidi"/>
          <w:vertAlign w:val="subscript"/>
        </w:rPr>
        <w:t>1</w:t>
      </w:r>
      <w:r w:rsidRPr="006D631C">
        <w:rPr>
          <w:rFonts w:asciiTheme="majorBidi" w:hAnsiTheme="majorBidi" w:cstheme="majorBidi"/>
        </w:rPr>
        <w:t xml:space="preserve"> structure remains intact with lattice parameter of 12.4 nm, whereas the swelling capacity decreases from ~230% to 120%. It should be noted that the intermicellar distance of 3.4 nm can be calculated for the </w:t>
      </w:r>
      <w:proofErr w:type="spellStart"/>
      <w:r w:rsidRPr="006D631C">
        <w:rPr>
          <w:rFonts w:asciiTheme="majorBidi" w:hAnsiTheme="majorBidi" w:cstheme="majorBidi"/>
        </w:rPr>
        <w:t>deswollen</w:t>
      </w:r>
      <w:proofErr w:type="spellEnd"/>
      <w:r w:rsidRPr="006D631C">
        <w:rPr>
          <w:rFonts w:asciiTheme="majorBidi" w:hAnsiTheme="majorBidi" w:cstheme="majorBidi"/>
        </w:rPr>
        <w:t xml:space="preserve"> sample at 45 °C which is in good agreement with 3.2 nm pore size obtained from MWCO measurement at 45 °C (see section </w:t>
      </w:r>
      <w:r w:rsidR="000152F1" w:rsidRPr="006D631C">
        <w:rPr>
          <w:rFonts w:asciiTheme="majorBidi" w:hAnsiTheme="majorBidi" w:cstheme="majorBidi"/>
        </w:rPr>
        <w:t>4.</w:t>
      </w:r>
      <w:r w:rsidRPr="006D631C">
        <w:rPr>
          <w:rFonts w:asciiTheme="majorBidi" w:hAnsiTheme="majorBidi" w:cstheme="majorBidi"/>
        </w:rPr>
        <w:t>3.2.2). These results suggest that upon swelling-deswelling of the polymer network, the intermicellar distance changes due to change in the micelle size (</w:t>
      </w:r>
      <w:r w:rsidR="004A1AE2" w:rsidRPr="006D631C">
        <w:rPr>
          <w:rFonts w:asciiTheme="majorBidi" w:hAnsiTheme="majorBidi" w:cstheme="majorBidi"/>
          <w:i/>
          <w:iCs/>
        </w:rPr>
        <w:t>R</w:t>
      </w:r>
      <w:r w:rsidR="007446C6" w:rsidRPr="006D631C">
        <w:rPr>
          <w:rFonts w:asciiTheme="majorBidi" w:hAnsiTheme="majorBidi" w:cstheme="majorBidi"/>
          <w:i/>
          <w:iCs/>
          <w:vertAlign w:val="subscript"/>
        </w:rPr>
        <w:t>m</w:t>
      </w:r>
      <w:r w:rsidRPr="006D631C">
        <w:rPr>
          <w:rFonts w:asciiTheme="majorBidi" w:hAnsiTheme="majorBidi" w:cstheme="majorBidi"/>
        </w:rPr>
        <w:t>) while the overall structure remains intact (Fig</w:t>
      </w:r>
      <w:r w:rsidR="006A637D" w:rsidRPr="006D631C">
        <w:rPr>
          <w:rFonts w:asciiTheme="majorBidi" w:hAnsiTheme="majorBidi" w:cstheme="majorBidi"/>
        </w:rPr>
        <w:t>ure</w:t>
      </w:r>
      <w:r w:rsidRPr="006D631C">
        <w:rPr>
          <w:rFonts w:asciiTheme="majorBidi" w:hAnsiTheme="majorBidi" w:cstheme="majorBidi"/>
        </w:rPr>
        <w:t xml:space="preserve"> </w:t>
      </w:r>
      <w:r w:rsidR="006A637D" w:rsidRPr="006D631C">
        <w:rPr>
          <w:rFonts w:asciiTheme="majorBidi" w:hAnsiTheme="majorBidi" w:cstheme="majorBidi"/>
        </w:rPr>
        <w:t>4-</w:t>
      </w:r>
      <w:r w:rsidRPr="006D631C">
        <w:rPr>
          <w:rFonts w:asciiTheme="majorBidi" w:hAnsiTheme="majorBidi" w:cstheme="majorBidi"/>
        </w:rPr>
        <w:t xml:space="preserve">9 schematically shows the mechanism and section </w:t>
      </w:r>
      <w:r w:rsidR="006A637D" w:rsidRPr="006D631C">
        <w:rPr>
          <w:rFonts w:asciiTheme="majorBidi" w:hAnsiTheme="majorBidi" w:cstheme="majorBidi"/>
        </w:rPr>
        <w:t>4.</w:t>
      </w:r>
      <w:r w:rsidRPr="006D631C">
        <w:rPr>
          <w:rFonts w:asciiTheme="majorBidi" w:hAnsiTheme="majorBidi" w:cstheme="majorBidi"/>
        </w:rPr>
        <w:t>3.3 provides further discussion).</w:t>
      </w:r>
    </w:p>
    <w:p w14:paraId="3CBE3CF5" w14:textId="77777777" w:rsidR="00886A5E" w:rsidRPr="006D631C" w:rsidRDefault="00886A5E" w:rsidP="00886A5E">
      <w:pPr>
        <w:tabs>
          <w:tab w:val="left" w:pos="142"/>
          <w:tab w:val="left" w:pos="360"/>
          <w:tab w:val="left" w:pos="992"/>
        </w:tabs>
        <w:rPr>
          <w:rFonts w:asciiTheme="majorBidi" w:hAnsiTheme="majorBidi" w:cstheme="majorBidi"/>
        </w:rPr>
      </w:pPr>
      <w:r w:rsidRPr="006D631C">
        <w:rPr>
          <w:rFonts w:asciiTheme="majorBidi" w:hAnsiTheme="majorBidi" w:cstheme="majorBidi"/>
          <w:noProof/>
        </w:rPr>
        <w:lastRenderedPageBreak/>
        <w:drawing>
          <wp:inline distT="0" distB="0" distL="0" distR="0" wp14:anchorId="403A5080" wp14:editId="182F24A1">
            <wp:extent cx="5904000" cy="393504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904000" cy="3935040"/>
                    </a:xfrm>
                    <a:prstGeom prst="rect">
                      <a:avLst/>
                    </a:prstGeom>
                    <a:noFill/>
                  </pic:spPr>
                </pic:pic>
              </a:graphicData>
            </a:graphic>
          </wp:inline>
        </w:drawing>
      </w:r>
    </w:p>
    <w:p w14:paraId="69356396" w14:textId="05B1A75A" w:rsidR="00886A5E" w:rsidRPr="006D631C" w:rsidRDefault="00886A5E" w:rsidP="00886A5E">
      <w:pPr>
        <w:pStyle w:val="Caption"/>
        <w:jc w:val="center"/>
        <w:rPr>
          <w:rFonts w:asciiTheme="majorBidi" w:hAnsiTheme="majorBidi" w:cstheme="majorBidi"/>
          <w:sz w:val="22"/>
          <w:szCs w:val="22"/>
        </w:rPr>
      </w:pPr>
      <w:bookmarkStart w:id="187" w:name="_Toc148175951"/>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4</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6</w:t>
      </w:r>
      <w:r w:rsidR="00B55F32" w:rsidRPr="006D631C">
        <w:rPr>
          <w:sz w:val="22"/>
          <w:szCs w:val="22"/>
        </w:rPr>
        <w:fldChar w:fldCharType="end"/>
      </w:r>
      <w:r w:rsidRPr="006D631C">
        <w:rPr>
          <w:rFonts w:asciiTheme="majorBidi" w:hAnsiTheme="majorBidi" w:cstheme="majorBidi"/>
          <w:sz w:val="22"/>
          <w:szCs w:val="22"/>
        </w:rPr>
        <w:t>. (</w:t>
      </w:r>
      <w:proofErr w:type="gramStart"/>
      <w:r w:rsidRPr="006D631C">
        <w:rPr>
          <w:rFonts w:asciiTheme="majorBidi" w:hAnsiTheme="majorBidi" w:cstheme="majorBidi"/>
          <w:sz w:val="22"/>
          <w:szCs w:val="22"/>
        </w:rPr>
        <w:t>a-f</w:t>
      </w:r>
      <w:proofErr w:type="gramEnd"/>
      <w:r w:rsidRPr="006D631C">
        <w:rPr>
          <w:rFonts w:asciiTheme="majorBidi" w:hAnsiTheme="majorBidi" w:cstheme="majorBidi"/>
          <w:sz w:val="22"/>
          <w:szCs w:val="22"/>
        </w:rPr>
        <w:t>) CPLM images of water-swollen polyLLC at (a) 5, (b) 25, (c) 35, (d) 45, (e) 55, and (f) 65 °C. (g) 1D SAXS scattering profile of the water-swollen polyLLC upon heating and cooling experiment. The experiment starts by heating the sample from 5 to 65 °C and ends by cooling it to 25 °C. The plots are vertically shifted for clarity.</w:t>
      </w:r>
      <w:bookmarkEnd w:id="187"/>
    </w:p>
    <w:p w14:paraId="1EFC083E" w14:textId="7E0A78C4" w:rsidR="0011381D" w:rsidRPr="006D631C" w:rsidRDefault="0011381D" w:rsidP="00222E38">
      <w:pPr>
        <w:pStyle w:val="Heading3"/>
      </w:pPr>
      <w:bookmarkStart w:id="188" w:name="_Toc148175858"/>
      <w:r w:rsidRPr="006D631C">
        <w:t xml:space="preserve">4.3.2 </w:t>
      </w:r>
      <w:r w:rsidR="00222E38" w:rsidRPr="006D631C">
        <w:t>Characterization of membranes</w:t>
      </w:r>
      <w:bookmarkEnd w:id="188"/>
    </w:p>
    <w:p w14:paraId="36C66A34" w14:textId="466DFE99" w:rsidR="00A9517A" w:rsidRPr="006D631C" w:rsidRDefault="008459DB" w:rsidP="0090028E">
      <w:pPr>
        <w:ind w:firstLine="360"/>
      </w:pPr>
      <w:r w:rsidRPr="006D631C">
        <w:rPr>
          <w:rFonts w:asciiTheme="majorBidi" w:hAnsiTheme="majorBidi" w:cstheme="majorBidi"/>
        </w:rPr>
        <w:t>LLCs have gel-like behavior</w:t>
      </w:r>
      <w:r w:rsidR="00DF0F24" w:rsidRPr="006D631C">
        <w:rPr>
          <w:rFonts w:asciiTheme="majorBidi" w:hAnsiTheme="majorBidi" w:cstheme="majorBidi"/>
        </w:rPr>
        <w:t>,</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{"citationItems":[{"id":"ITEM-1","itemData":{"DOI":"10.1039/c8sm02336k","ISSN":"17446848","abstract":"Amphiphilic block copolymers self-assemble at the water/oil interface to form different mesomorphic structures, such as lamellar, micellar cubic, normal hexagonal, and reverse hexagonal structures. Usually, these structures are polycrystalline and the value of their elastic modulus depends on the average orientation of their constituent's single crystals. We provide a model to predict the elastic modulus and yielding of mesophases from their characteristic length and intermicellar interactions. Shear modulus of each structure is calculated as a function of deformation (strain). Zero-shear modulus, G0, depends on the inverse of the intermicellar distance with a power law model. The power law index for each structure is approximately n + 2 where n is the degree of confinement in the mesophase: 1 for lamellar, 2 for both normal and reverse hexagonal, and 3 for micellar cubic structures. Rheological properties of different mesophases of Pluronic P84 in the presence of water and p-xylene are used as a case study. The model is found to be in good agreement with experimental data in the linear viscoelastic region. When compared to experimental data, the yield strain value obtained from the model is one order of magnitude higher than the limit of the linear viscoelastic regime and close to the strain at the cross-over point of storage and loss moduli. Frequency sweep measurements are done to characterize the relaxation and cooperative model behaviors of each mesophase structure.","author":[{"dropping-particle":"","family":"Qavi","given":"Sahar","non-dropping-particle":"","parse-names":false,"suffix":""},{"dropping-particle":"","family":"Firestone","given":"Millicent A.","non-dropping-particle":"","parse-names":false,"suffix":""},{"dropping-particle":"","family":"Foudazi","given":"Reza","non-dropping-particle":"","parse-names":false,"suffix":""}],"container-title":"Soft Matter","id":"ITEM-1","issue":"28","issued":{"date-parts":[["2019"]]},"page":"5626-5637","title":"Elasticity and yielding of mesophases of block copolymers in water-oil mixtures","type":"article-journal","volume":"15"},"uris":["http://www.mendeley.com/documents/?uuid=d6b996a8-3b15-449b-bf48-5adc680fb63c"]},{"id":"ITEM-2","itemData":{"DOI":"10.1007/s00397-019-01162-y","ISSN":"0035-4511","author":[{"dropping-particle":"","family":"Qavi","given":"Sahar","non-dropping-particle":"","parse-names":false,"suffix":""},{"dropping-particle":"","family":"Foudazi","given":"Reza","non-dropping-particle":"","parse-names":false,"suffix":""}],"container-title":"Rheologica Acta","id":"ITEM-2","issue":"8","issued":{"date-parts":[["2019","8","31"]]},"page":"483-498","title":"Rheological characteristics of mesophases of block copolymer solutions","type":"article-journal","volume":"58"},"uris":["http://www.mendeley.com/documents/?uuid=9000c51e-6d99-4d1e-8d17-307622d79bc0"]}],"mendeley":{"formattedCitation":"&lt;sup&gt;62,266&lt;/sup&gt;","plainTextFormattedCitation":"62,266","previouslyFormattedCitation":"&lt;sup&gt;62,266&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62,266</w:t>
      </w:r>
      <w:r w:rsidRPr="006D631C">
        <w:rPr>
          <w:rFonts w:asciiTheme="majorBidi" w:hAnsiTheme="majorBidi" w:cstheme="majorBidi"/>
        </w:rPr>
        <w:fldChar w:fldCharType="end"/>
      </w:r>
      <w:r w:rsidRPr="006D631C">
        <w:rPr>
          <w:rFonts w:asciiTheme="majorBidi" w:hAnsiTheme="majorBidi" w:cstheme="majorBidi"/>
        </w:rPr>
        <w:t xml:space="preserve"> which can make their casting as thin film challenging. As explained in </w:t>
      </w:r>
      <w:r w:rsidR="0090028E" w:rsidRPr="006D631C">
        <w:rPr>
          <w:rFonts w:asciiTheme="majorBidi" w:hAnsiTheme="majorBidi" w:cstheme="majorBidi"/>
        </w:rPr>
        <w:t xml:space="preserve">Appendix </w:t>
      </w:r>
      <w:r w:rsidR="00170CE0" w:rsidRPr="006D631C">
        <w:rPr>
          <w:rFonts w:asciiTheme="majorBidi" w:hAnsiTheme="majorBidi" w:cstheme="majorBidi"/>
        </w:rPr>
        <w:t>E</w:t>
      </w:r>
      <w:r w:rsidRPr="006D631C">
        <w:rPr>
          <w:rFonts w:asciiTheme="majorBidi" w:hAnsiTheme="majorBidi" w:cstheme="majorBidi"/>
        </w:rPr>
        <w:t>, the obtained LLC exhibits H</w:t>
      </w:r>
      <w:r w:rsidRPr="006D631C">
        <w:rPr>
          <w:rFonts w:asciiTheme="majorBidi" w:hAnsiTheme="majorBidi" w:cstheme="majorBidi"/>
          <w:vertAlign w:val="subscript"/>
        </w:rPr>
        <w:t>1</w:t>
      </w:r>
      <w:r w:rsidRPr="006D631C">
        <w:rPr>
          <w:rFonts w:asciiTheme="majorBidi" w:hAnsiTheme="majorBidi" w:cstheme="majorBidi"/>
        </w:rPr>
        <w:t xml:space="preserve"> structure at room temperature, which undergo a reversible structural transition upon heating. We used this behavior to lower the viscosity of the Pluronic and ionic liquid mixture for coating on a polyester sheet with doctor blade. Then, the sample was let cool down to room temperature for about 20 min, followed by UV curing for 40 s. Fig</w:t>
      </w:r>
      <w:r w:rsidR="00223984" w:rsidRPr="006D631C">
        <w:rPr>
          <w:rFonts w:asciiTheme="majorBidi" w:hAnsiTheme="majorBidi" w:cstheme="majorBidi"/>
        </w:rPr>
        <w:t>ure</w:t>
      </w:r>
      <w:r w:rsidRPr="006D631C">
        <w:rPr>
          <w:rFonts w:asciiTheme="majorBidi" w:hAnsiTheme="majorBidi" w:cstheme="majorBidi"/>
        </w:rPr>
        <w:t xml:space="preserve"> </w:t>
      </w:r>
      <w:r w:rsidR="00223984" w:rsidRPr="006D631C">
        <w:rPr>
          <w:rFonts w:asciiTheme="majorBidi" w:hAnsiTheme="majorBidi" w:cstheme="majorBidi"/>
        </w:rPr>
        <w:t>4-</w:t>
      </w:r>
      <w:r w:rsidRPr="006D631C">
        <w:rPr>
          <w:rFonts w:asciiTheme="majorBidi" w:hAnsiTheme="majorBidi" w:cstheme="majorBidi"/>
        </w:rPr>
        <w:t xml:space="preserve">7a and b show a circular cut and a typical cross-sectional SEM image of the supported membrane, respectively. Image analysis revealed that the thickness of the membrane </w:t>
      </w:r>
      <w:r w:rsidRPr="006D631C">
        <w:rPr>
          <w:rFonts w:asciiTheme="majorBidi" w:hAnsiTheme="majorBidi" w:cstheme="majorBidi"/>
        </w:rPr>
        <w:lastRenderedPageBreak/>
        <w:t>ranges 20–60 µm with an average of 40 µm. Therefore, all the membrane flux data was normalized by this average thickness to liters m</w:t>
      </w:r>
      <w:r w:rsidRPr="006D631C">
        <w:rPr>
          <w:rFonts w:asciiTheme="majorBidi" w:hAnsiTheme="majorBidi" w:cstheme="majorBidi"/>
          <w:vertAlign w:val="superscript"/>
        </w:rPr>
        <w:t>−2</w:t>
      </w:r>
      <w:r w:rsidRPr="006D631C">
        <w:rPr>
          <w:rFonts w:asciiTheme="majorBidi" w:hAnsiTheme="majorBidi" w:cstheme="majorBidi"/>
        </w:rPr>
        <w:t xml:space="preserve"> hour</w:t>
      </w:r>
      <w:r w:rsidRPr="006D631C">
        <w:rPr>
          <w:rFonts w:asciiTheme="majorBidi" w:hAnsiTheme="majorBidi" w:cstheme="majorBidi"/>
          <w:vertAlign w:val="superscript"/>
        </w:rPr>
        <w:t>−1</w:t>
      </w:r>
      <w:r w:rsidRPr="006D631C">
        <w:rPr>
          <w:rFonts w:asciiTheme="majorBidi" w:hAnsiTheme="majorBidi" w:cstheme="majorBidi"/>
        </w:rPr>
        <w:t xml:space="preserve"> µm</w:t>
      </w:r>
      <w:r w:rsidRPr="006D631C" w:rsidDel="00533998">
        <w:rPr>
          <w:rFonts w:asciiTheme="majorBidi" w:hAnsiTheme="majorBidi" w:cstheme="majorBidi"/>
        </w:rPr>
        <w:t xml:space="preserve"> </w:t>
      </w:r>
      <w:r w:rsidRPr="006D631C">
        <w:rPr>
          <w:rFonts w:asciiTheme="majorBidi" w:hAnsiTheme="majorBidi" w:cstheme="majorBidi"/>
        </w:rPr>
        <w:t xml:space="preserve">unit. We also tested a non-thermoresponsive, commercially available UF membrane as control to confirm that the observed thermoresponsive behavior is originated by the membrane (see </w:t>
      </w:r>
      <w:r w:rsidR="0090028E" w:rsidRPr="006D631C">
        <w:rPr>
          <w:rFonts w:asciiTheme="majorBidi" w:hAnsiTheme="majorBidi" w:cstheme="majorBidi"/>
        </w:rPr>
        <w:t xml:space="preserve">Appendix </w:t>
      </w:r>
      <w:r w:rsidR="002D533B" w:rsidRPr="006D631C">
        <w:rPr>
          <w:rFonts w:asciiTheme="majorBidi" w:hAnsiTheme="majorBidi" w:cstheme="majorBidi"/>
        </w:rPr>
        <w:t>E</w:t>
      </w:r>
      <w:r w:rsidRPr="006D631C">
        <w:rPr>
          <w:rFonts w:asciiTheme="majorBidi" w:hAnsiTheme="majorBidi" w:cstheme="majorBidi"/>
        </w:rPr>
        <w:t>). The following sections discuss the results for polyLLC membrane performance.</w:t>
      </w:r>
    </w:p>
    <w:p w14:paraId="1E8281B0" w14:textId="09BC5483" w:rsidR="0097306F" w:rsidRPr="006D631C" w:rsidRDefault="0097306F" w:rsidP="009A4D82">
      <w:pPr>
        <w:pStyle w:val="Heading4"/>
      </w:pPr>
      <w:bookmarkStart w:id="189" w:name="_Toc148175859"/>
      <w:r w:rsidRPr="006D631C">
        <w:t xml:space="preserve">4.3.2.1 </w:t>
      </w:r>
      <w:r w:rsidR="009A4D82" w:rsidRPr="006D631C">
        <w:t>Water flux and permeability</w:t>
      </w:r>
      <w:bookmarkEnd w:id="189"/>
    </w:p>
    <w:p w14:paraId="21E66490" w14:textId="16396A2B" w:rsidR="00A9517A" w:rsidRPr="006D631C" w:rsidRDefault="009A4D82" w:rsidP="0090028E">
      <w:pPr>
        <w:ind w:firstLine="360"/>
      </w:pPr>
      <w:r w:rsidRPr="006D631C">
        <w:rPr>
          <w:rFonts w:asciiTheme="majorBidi" w:hAnsiTheme="majorBidi" w:cstheme="majorBidi"/>
        </w:rPr>
        <w:t xml:space="preserve">Water flux and permeability of the membranes were measured at 25 and 45 °C in several heating-cooling cycles. As can be seen in Figure 4-7c and d, both flux and permeability increase when polyLLC membrane is heated up to 45 °C. The membrane performance returns to its original state as the temperature is decreased to 25 °C. In comparison, the commercial UF membrane does not show any changes in its permeability upon </w:t>
      </w:r>
      <w:r w:rsidR="0090027E" w:rsidRPr="006D631C">
        <w:rPr>
          <w:rFonts w:asciiTheme="majorBidi" w:hAnsiTheme="majorBidi" w:cstheme="majorBidi"/>
        </w:rPr>
        <w:t>heating (Figure</w:t>
      </w:r>
      <w:r w:rsidRPr="006D631C">
        <w:rPr>
          <w:rFonts w:asciiTheme="majorBidi" w:hAnsiTheme="majorBidi" w:cstheme="majorBidi"/>
        </w:rPr>
        <w:t xml:space="preserve"> </w:t>
      </w:r>
      <w:r w:rsidR="00015157" w:rsidRPr="006D631C">
        <w:rPr>
          <w:rFonts w:asciiTheme="majorBidi" w:hAnsiTheme="majorBidi" w:cstheme="majorBidi"/>
        </w:rPr>
        <w:t>E5</w:t>
      </w:r>
      <w:r w:rsidR="0090027E" w:rsidRPr="006D631C">
        <w:rPr>
          <w:rFonts w:asciiTheme="majorBidi" w:hAnsiTheme="majorBidi" w:cstheme="majorBidi"/>
        </w:rPr>
        <w:t xml:space="preserve"> in </w:t>
      </w:r>
      <w:r w:rsidR="0090028E" w:rsidRPr="006D631C">
        <w:rPr>
          <w:rFonts w:asciiTheme="majorBidi" w:hAnsiTheme="majorBidi" w:cstheme="majorBidi"/>
        </w:rPr>
        <w:t xml:space="preserve">Appendix </w:t>
      </w:r>
      <w:r w:rsidR="00015157" w:rsidRPr="006D631C">
        <w:rPr>
          <w:rFonts w:asciiTheme="majorBidi" w:hAnsiTheme="majorBidi" w:cstheme="majorBidi"/>
        </w:rPr>
        <w:t>E</w:t>
      </w:r>
      <w:r w:rsidRPr="006D631C">
        <w:rPr>
          <w:rFonts w:asciiTheme="majorBidi" w:hAnsiTheme="majorBidi" w:cstheme="majorBidi"/>
        </w:rPr>
        <w:t>). These results confirm that the pore size of the polyLLC membrane can be reversibly altered by changing temperature.</w:t>
      </w:r>
    </w:p>
    <w:p w14:paraId="7FD387F3" w14:textId="4F86FFFF" w:rsidR="00311196" w:rsidRPr="006D631C" w:rsidRDefault="00311196" w:rsidP="00311196">
      <w:pPr>
        <w:pStyle w:val="Heading4"/>
      </w:pPr>
      <w:bookmarkStart w:id="190" w:name="_Toc148175860"/>
      <w:r w:rsidRPr="006D631C">
        <w:t>4.3.2.2 Rejection characteristics</w:t>
      </w:r>
      <w:bookmarkEnd w:id="190"/>
    </w:p>
    <w:p w14:paraId="5D30241C" w14:textId="7B999223" w:rsidR="00A9517A" w:rsidRPr="006D631C" w:rsidRDefault="0087752B" w:rsidP="00E7504B">
      <w:pPr>
        <w:ind w:firstLine="360"/>
        <w:rPr>
          <w:rFonts w:asciiTheme="majorBidi" w:hAnsiTheme="majorBidi" w:cstheme="majorBidi"/>
        </w:rPr>
      </w:pPr>
      <w:r w:rsidRPr="006D631C">
        <w:rPr>
          <w:rFonts w:asciiTheme="majorBidi" w:hAnsiTheme="majorBidi" w:cstheme="majorBidi"/>
        </w:rPr>
        <w:t>The MWCO experiment was first carried out at 25 °C and then at 45 °C with the same membrane. To evaluate the reversibility of the thermal response, the membrane was cooled back to 25 °C and MWCO measurement was repeated.</w:t>
      </w:r>
      <w:r w:rsidR="00025E3A" w:rsidRPr="006D631C">
        <w:rPr>
          <w:rFonts w:asciiTheme="majorBidi" w:hAnsiTheme="majorBidi" w:cstheme="majorBidi"/>
        </w:rPr>
        <w:t xml:space="preserve"> Boltzmann sigmoidal equation (Eq. </w:t>
      </w:r>
      <w:r w:rsidR="00FB615D" w:rsidRPr="006D631C">
        <w:rPr>
          <w:rFonts w:asciiTheme="majorBidi" w:hAnsiTheme="majorBidi" w:cstheme="majorBidi"/>
        </w:rPr>
        <w:t>3-7)</w:t>
      </w:r>
      <w:r w:rsidR="00025E3A" w:rsidRPr="006D631C">
        <w:rPr>
          <w:rFonts w:asciiTheme="majorBidi" w:hAnsiTheme="majorBidi" w:cstheme="majorBidi"/>
        </w:rPr>
        <w:t xml:space="preserve"> was also used to fit MWCO data</w:t>
      </w:r>
      <w:r w:rsidR="00FB615D" w:rsidRPr="006D631C">
        <w:rPr>
          <w:rFonts w:asciiTheme="majorBidi" w:hAnsiTheme="majorBidi" w:cstheme="majorBidi"/>
        </w:rPr>
        <w:t>.</w:t>
      </w:r>
      <w:r w:rsidR="0020330F" w:rsidRPr="006D631C">
        <w:rPr>
          <w:rFonts w:asciiTheme="majorBidi" w:hAnsiTheme="majorBidi" w:cstheme="majorBidi"/>
        </w:rPr>
        <w:t xml:space="preserve"> The reason for employing this fitting equation is that MWCO results typically exhibit a sigmoidal trend.</w:t>
      </w:r>
      <w:r w:rsidR="0020330F" w:rsidRPr="006D631C">
        <w:rPr>
          <w:rFonts w:asciiTheme="majorBidi" w:hAnsiTheme="majorBidi" w:cstheme="majorBidi"/>
        </w:rPr>
        <w:fldChar w:fldCharType="begin" w:fldLock="1"/>
      </w:r>
      <w:r w:rsidR="00E7504B" w:rsidRPr="006D631C">
        <w:rPr>
          <w:rFonts w:asciiTheme="majorBidi" w:hAnsiTheme="majorBidi" w:cstheme="majorBidi"/>
        </w:rPr>
        <w:instrText>ADDIN CSL_CITATION {"citationItems":[{"id":"ITEM-1","itemData":{"DOI":"10.1126/sciadv.abm5899","ISSN":"2375-2548","abstract":"Organic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Advances","id":"ITEM-1","issue":"11","issued":{"date-parts":[["2022","3","18"]]},"title":"Tunable organic solvent nanofiltration in self-assembled membranes at the sub–1 nm scale","type":"article-journal","volume":"8"},"uris":["http://www.mendeley.com/documents/?uuid=f4e7114e-b599-410a-a180-ef737c4d9ca1"]}],"mendeley":{"formattedCitation":"&lt;sup&gt;125&lt;/sup&gt;","plainTextFormattedCitation":"125","previouslyFormattedCitation":"&lt;sup&gt;125&lt;/sup&gt;"},"properties":{"noteIndex":0},"schema":"https://github.com/citation-style-language/schema/raw/master/csl-citation.json"}</w:instrText>
      </w:r>
      <w:r w:rsidR="0020330F" w:rsidRPr="006D631C">
        <w:rPr>
          <w:rFonts w:asciiTheme="majorBidi" w:hAnsiTheme="majorBidi" w:cstheme="majorBidi"/>
        </w:rPr>
        <w:fldChar w:fldCharType="separate"/>
      </w:r>
      <w:r w:rsidR="0020330F" w:rsidRPr="006D631C">
        <w:rPr>
          <w:rFonts w:asciiTheme="majorBidi" w:hAnsiTheme="majorBidi" w:cstheme="majorBidi"/>
          <w:noProof/>
          <w:vertAlign w:val="superscript"/>
        </w:rPr>
        <w:t>125</w:t>
      </w:r>
      <w:r w:rsidR="0020330F" w:rsidRPr="006D631C">
        <w:rPr>
          <w:rFonts w:asciiTheme="majorBidi" w:hAnsiTheme="majorBidi" w:cstheme="majorBidi"/>
        </w:rPr>
        <w:fldChar w:fldCharType="end"/>
      </w:r>
      <w:r w:rsidR="00C13CA6" w:rsidRPr="006D631C">
        <w:rPr>
          <w:rFonts w:asciiTheme="majorBidi" w:hAnsiTheme="majorBidi" w:cstheme="majorBidi"/>
        </w:rPr>
        <w:t xml:space="preserve"> The obtained results are shown in Figure 4-7e. The MWCO is defined as the molecular weight that is 90% rejected by a membrane. The MWCO of the polyLLC membrane increases from 2200 to 3900 Da with an increase in temperature from 25 to 45 °C. The MWCO returns to 2200 Da after cooling the membrane back to 25 °C.</w:t>
      </w:r>
      <w:r w:rsidR="009B7D16" w:rsidRPr="006D631C">
        <w:rPr>
          <w:rFonts w:asciiTheme="majorBidi" w:hAnsiTheme="majorBidi" w:cstheme="majorBidi"/>
        </w:rPr>
        <w:t xml:space="preserve"> The membrane pore size can be estimated from MWCO by using the following equation</w:t>
      </w:r>
      <w:r w:rsidR="00E7504B" w:rsidRPr="006D631C">
        <w:rPr>
          <w:rFonts w:asciiTheme="majorBidi" w:hAnsiTheme="majorBidi" w:cstheme="majorBidi"/>
        </w:rPr>
        <w:t>.</w:t>
      </w:r>
      <w:r w:rsidR="009B7D16"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{"citationItems":[{"id":"ITEM-1","itemData":{"DOI":"10.1002/admi.202200341","ISSN":"2196-7350","author":[{"dropping-particle":"","family":"Marín San Román","given":"Patricia P.","non-dropping-particle":"","parse-names":false,"suffix":""},{"dropping-particle":"","family":"Sijbesma","given":"Rint P.","non-dropping-particle":"","parse-names":false,"suffix":""}],"container-title":"Advanced Materials Interfaces","id":"ITEM-1","issue":"19","issued":{"date-parts":[["2022","7","7"]]},"page":"2200341","title":"Photo‐Responsive Water Filtration Membranes Based on Polymerizable Columnar Liquid Crystals with Azo Moieties","type":"article-journal","volume":"9"},"uris":["http://www.mendeley.com/documents/?uuid=c4f499fd-8774-4cb7-acf5-7ecb448e86ac"]}],"mendeley":{"formattedCitation":"&lt;sup&gt;270&lt;/sup&gt;","plainTextFormattedCitation":"270","previouslyFormattedCitation":"&lt;sup&gt;270&lt;/sup&gt;"},"properties":{"noteIndex":0},"schema":"https://github.com/citation-style-language/schema/raw/master/csl-citation.json"}</w:instrText>
      </w:r>
      <w:r w:rsidR="009B7D16"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270</w:t>
      </w:r>
      <w:r w:rsidR="009B7D16" w:rsidRPr="006D631C">
        <w:rPr>
          <w:rFonts w:asciiTheme="majorBidi" w:hAnsiTheme="majorBidi" w:cstheme="majorBidi"/>
        </w:rPr>
        <w:fldChar w:fldCharType="end"/>
      </w:r>
      <w:r w:rsidR="00E7504B" w:rsidRPr="006D631C">
        <w:rPr>
          <w:rFonts w:asciiTheme="majorBidi" w:hAnsiTheme="majorBidi" w:cstheme="majorBidi"/>
        </w:rPr>
        <w:t xml:space="preserve"> This equation has </w:t>
      </w:r>
      <w:r w:rsidR="00E7504B" w:rsidRPr="006D631C">
        <w:rPr>
          <w:rFonts w:asciiTheme="majorBidi" w:hAnsiTheme="majorBidi" w:cstheme="majorBidi"/>
        </w:rPr>
        <w:lastRenderedPageBreak/>
        <w:t>been derived from the regression of molecular weight against the PEG hydrodynamic radius experimental data, as described by Hernández et al.</w:t>
      </w:r>
      <w:r w:rsidR="00E7504B" w:rsidRPr="006D631C">
        <w:rPr>
          <w:rFonts w:asciiTheme="majorBidi" w:hAnsiTheme="majorBidi" w:cstheme="majorBidi"/>
        </w:rPr>
        <w:fldChar w:fldCharType="begin" w:fldLock="1"/>
      </w:r>
      <w:r w:rsidR="00912D78" w:rsidRPr="006D631C">
        <w:rPr>
          <w:rFonts w:asciiTheme="majorBidi" w:hAnsiTheme="majorBidi" w:cstheme="majorBidi"/>
        </w:rPr>
        <w:instrText>ADDIN CSL_CITATION {"citationItems":[{"id":"ITEM-1","itemData":{"DOI":"10.1039/C7RA08737C","ISSN":"2046-2069","abstract":"A new method of layer-by-layer assembly that immobilizes OmpF porins in functionalized polymeric membranes improves the permeation of ions compared to uncharged solutes.","author":[{"dropping-particle":"","family":"Hernández","given":"Sebastián","non-dropping-particle":"","parse-names":false,"suffix":""},{"dropping-particle":"","family":"Porter","given":"Cassandra","non-dropping-particle":"","parse-names":false,"suffix":""},{"dropping-particle":"","family":"Zhang","given":"Xinyi","non-dropping-particle":"","parse-names":false,"suffix":""},{"dropping-particle":"","family":"Wei","given":"Yinan","non-dropping-particle":"","parse-names":false,"suffix":""},{"dropping-particle":"","family":"Bhattacharyya","given":"Dibakar","non-dropping-particle":"","parse-names":false,"suffix":""}],"container-title":"RSC Advances","id":"ITEM-1","issue":"88","issued":{"date-parts":[["2017"]]},"page":"56123-56136","title":"Layer-by-layer assembled membranes with immobilized porins","type":"article-journal","volume":"7"},"uris":["http://www.mendeley.com/documents/?uuid=6c8bca1b-5a27-4eca-a8eb-3fa07635d3ce"]}],"mendeley":{"formattedCitation":"&lt;sup&gt;271&lt;/sup&gt;","plainTextFormattedCitation":"271","previouslyFormattedCitation":"&lt;sup&gt;271&lt;/sup&gt;"},"properties":{"noteIndex":0},"schema":"https://github.com/citation-style-language/schema/raw/master/csl-citation.json"}</w:instrText>
      </w:r>
      <w:r w:rsidR="00E7504B" w:rsidRPr="006D631C">
        <w:rPr>
          <w:rFonts w:asciiTheme="majorBidi" w:hAnsiTheme="majorBidi" w:cstheme="majorBidi"/>
        </w:rPr>
        <w:fldChar w:fldCharType="separate"/>
      </w:r>
      <w:r w:rsidR="00E7504B" w:rsidRPr="006D631C">
        <w:rPr>
          <w:rFonts w:asciiTheme="majorBidi" w:hAnsiTheme="majorBidi" w:cstheme="majorBidi"/>
          <w:noProof/>
          <w:vertAlign w:val="superscript"/>
        </w:rPr>
        <w:t>271</w:t>
      </w:r>
      <w:r w:rsidR="00E7504B" w:rsidRPr="006D631C">
        <w:rPr>
          <w:rFonts w:asciiTheme="majorBidi" w:hAnsiTheme="majorBidi" w:cstheme="majorBidi"/>
        </w:rPr>
        <w:fldChar w:fldCharType="end"/>
      </w:r>
    </w:p>
    <w:p w14:paraId="400A2339" w14:textId="02090C93" w:rsidR="005E5A44" w:rsidRPr="006D631C" w:rsidRDefault="005E5A44" w:rsidP="005E5A44">
      <w:pPr>
        <w:pStyle w:val="Caption"/>
        <w:rPr>
          <w:color w:val="020202"/>
          <w:szCs w:val="24"/>
        </w:rPr>
      </w:pPr>
      <w:r w:rsidRPr="006D631C">
        <w:rPr>
          <w:color w:val="020202"/>
          <w:position w:val="-10"/>
          <w:szCs w:val="24"/>
        </w:rPr>
        <w:object w:dxaOrig="3280" w:dyaOrig="360" w14:anchorId="1E8DC6A3">
          <v:shape id="_x0000_i1069" type="#_x0000_t75" style="width:160.8pt;height:18pt" o:ole="">
            <v:imagedata r:id="rId142" o:title=""/>
          </v:shape>
          <o:OLEObject Type="Embed" ProgID="Equation.DSMT4" ShapeID="_x0000_i1069" DrawAspect="Content" ObjectID="_1760013337" r:id="rId143"/>
        </w:object>
      </w:r>
      <w:r w:rsidRPr="006D631C">
        <w:rPr>
          <w:color w:val="020202"/>
          <w:szCs w:val="24"/>
        </w:rPr>
        <w:t xml:space="preserve"> </w:t>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r>
      <w:r w:rsidRPr="006D631C">
        <w:rPr>
          <w:color w:val="020202"/>
          <w:szCs w:val="24"/>
        </w:rPr>
        <w:tab/>
        <w:t>(</w:t>
      </w:r>
      <w:r w:rsidR="006A54D9" w:rsidRPr="006D631C">
        <w:rPr>
          <w:color w:val="020202"/>
          <w:szCs w:val="24"/>
        </w:rPr>
        <w:fldChar w:fldCharType="begin"/>
      </w:r>
      <w:r w:rsidR="006A54D9" w:rsidRPr="006D631C">
        <w:rPr>
          <w:color w:val="020202"/>
          <w:szCs w:val="24"/>
        </w:rPr>
        <w:instrText xml:space="preserve"> STYLEREF 1 \s </w:instrText>
      </w:r>
      <w:r w:rsidR="006A54D9" w:rsidRPr="006D631C">
        <w:rPr>
          <w:color w:val="020202"/>
          <w:szCs w:val="24"/>
        </w:rPr>
        <w:fldChar w:fldCharType="separate"/>
      </w:r>
      <w:r w:rsidR="005014F7" w:rsidRPr="006D631C">
        <w:rPr>
          <w:color w:val="020202"/>
          <w:szCs w:val="24"/>
          <w:cs/>
        </w:rPr>
        <w:t>‎</w:t>
      </w:r>
      <w:r w:rsidR="005014F7" w:rsidRPr="006D631C">
        <w:rPr>
          <w:color w:val="020202"/>
          <w:szCs w:val="24"/>
        </w:rPr>
        <w:t>4</w:t>
      </w:r>
      <w:r w:rsidR="006A54D9" w:rsidRPr="006D631C">
        <w:rPr>
          <w:color w:val="020202"/>
          <w:szCs w:val="24"/>
        </w:rPr>
        <w:fldChar w:fldCharType="end"/>
      </w:r>
      <w:r w:rsidR="006A54D9" w:rsidRPr="006D631C">
        <w:rPr>
          <w:color w:val="020202"/>
          <w:szCs w:val="24"/>
        </w:rPr>
        <w:noBreakHyphen/>
      </w:r>
      <w:r w:rsidR="006A54D9" w:rsidRPr="006D631C">
        <w:rPr>
          <w:color w:val="020202"/>
          <w:szCs w:val="24"/>
        </w:rPr>
        <w:fldChar w:fldCharType="begin"/>
      </w:r>
      <w:r w:rsidR="006A54D9" w:rsidRPr="006D631C">
        <w:rPr>
          <w:color w:val="020202"/>
          <w:szCs w:val="24"/>
        </w:rPr>
        <w:instrText xml:space="preserve"> SEQ Equation \* ARABIC \s 1 </w:instrText>
      </w:r>
      <w:r w:rsidR="006A54D9" w:rsidRPr="006D631C">
        <w:rPr>
          <w:color w:val="020202"/>
          <w:szCs w:val="24"/>
        </w:rPr>
        <w:fldChar w:fldCharType="separate"/>
      </w:r>
      <w:r w:rsidR="005014F7" w:rsidRPr="006D631C">
        <w:rPr>
          <w:color w:val="020202"/>
          <w:szCs w:val="24"/>
        </w:rPr>
        <w:t>7</w:t>
      </w:r>
      <w:r w:rsidR="006A54D9" w:rsidRPr="006D631C">
        <w:rPr>
          <w:color w:val="020202"/>
          <w:szCs w:val="24"/>
        </w:rPr>
        <w:fldChar w:fldCharType="end"/>
      </w:r>
      <w:r w:rsidRPr="006D631C">
        <w:rPr>
          <w:color w:val="020202"/>
          <w:szCs w:val="24"/>
        </w:rPr>
        <w:t>)</w:t>
      </w:r>
    </w:p>
    <w:p w14:paraId="0EB4B5D7" w14:textId="5319919C" w:rsidR="005E5A44" w:rsidRPr="006D631C" w:rsidRDefault="00B82C83" w:rsidP="00C66D3A">
      <w:pPr>
        <w:ind w:firstLine="357"/>
      </w:pPr>
      <w:r w:rsidRPr="006D631C">
        <w:rPr>
          <w:rFonts w:asciiTheme="majorBidi" w:hAnsiTheme="majorBidi" w:cstheme="majorBidi"/>
        </w:rPr>
        <w:t>From this equation, the pore size changes from 2.5 to 3.2 nm upon heating the membrane from 25 to 45 °C. It should be noted that the estimated pore size at room temperature is in agreement with intermicellar distance from SAXS results for the as-synthesized polyLLC containing the ionic liquid. However, pore size from MWCO</w:t>
      </w:r>
      <w:r w:rsidR="00C979DC" w:rsidRPr="006D631C">
        <w:rPr>
          <w:rFonts w:asciiTheme="majorBidi" w:hAnsiTheme="majorBidi" w:cstheme="majorBidi"/>
        </w:rPr>
        <w:t xml:space="preserve"> </w:t>
      </w:r>
      <w:proofErr w:type="spellStart"/>
      <w:r w:rsidR="00C979DC" w:rsidRPr="006D631C">
        <w:rPr>
          <w:rFonts w:asciiTheme="majorBidi" w:hAnsiTheme="majorBidi" w:cstheme="majorBidi"/>
        </w:rPr>
        <w:t>measurment</w:t>
      </w:r>
      <w:proofErr w:type="spellEnd"/>
      <w:r w:rsidRPr="006D631C">
        <w:rPr>
          <w:rFonts w:asciiTheme="majorBidi" w:hAnsiTheme="majorBidi" w:cstheme="majorBidi"/>
        </w:rPr>
        <w:t xml:space="preserve"> is smaller than the intermicellar size from SAXS analysis of the water-swollen polyLLC at 25 °C. </w:t>
      </w:r>
      <w:r w:rsidR="00C66D3A" w:rsidRPr="006D631C">
        <w:rPr>
          <w:rFonts w:asciiTheme="majorBidi" w:hAnsiTheme="majorBidi" w:cstheme="majorBidi"/>
        </w:rPr>
        <w:t xml:space="preserve">This discrepancy can be ascribed to the assumptions in our calculations based on SAXS data. In other words, the 5.4 nm pore size is calculated from SAXS data by assuming that water and the polymer are completely segregated (water only exists within the pores). However, a large portion of water is actually trapped between the polymer chains, which is partially released upon increase in temperature from 25 to 45 °C due to change in interaction parameters of PEO and PPO blocks with water. Nevertheless, the prediction from complete segregation assumption improves at higher temperatures, as evidenced by the close correspondence between the calculated intermicellar distance of 3.4 nm from SAXS data for the </w:t>
      </w:r>
      <w:proofErr w:type="spellStart"/>
      <w:r w:rsidR="00C66D3A" w:rsidRPr="006D631C">
        <w:rPr>
          <w:rFonts w:asciiTheme="majorBidi" w:hAnsiTheme="majorBidi" w:cstheme="majorBidi"/>
        </w:rPr>
        <w:t>deswollen</w:t>
      </w:r>
      <w:proofErr w:type="spellEnd"/>
      <w:r w:rsidR="00C66D3A" w:rsidRPr="006D631C">
        <w:rPr>
          <w:rFonts w:asciiTheme="majorBidi" w:hAnsiTheme="majorBidi" w:cstheme="majorBidi"/>
        </w:rPr>
        <w:t xml:space="preserve"> sample at 45 °C (see Table </w:t>
      </w:r>
      <w:r w:rsidR="00F81183" w:rsidRPr="006D631C">
        <w:rPr>
          <w:rFonts w:asciiTheme="majorBidi" w:hAnsiTheme="majorBidi" w:cstheme="majorBidi"/>
        </w:rPr>
        <w:t>4-</w:t>
      </w:r>
      <w:r w:rsidR="00C66D3A" w:rsidRPr="006D631C">
        <w:rPr>
          <w:rFonts w:asciiTheme="majorBidi" w:hAnsiTheme="majorBidi" w:cstheme="majorBidi"/>
        </w:rPr>
        <w:t>1) and the results obtained from MWCO analysis at the same temperature. This agreement suggests that at 45 °C, water primarily presents within the pores. Therefore, these results reveal that a considerable portion of water is trapped inside the polymer network (i.e., water and polymer are not segregated), which is released upon heating, resulting in the shrinkage of the polymer network and thus a larger pore size. The thermal response is perfectly reversible since the micelles are chemically cross-linked and do not disintegrate upon LCST transition.</w:t>
      </w:r>
    </w:p>
    <w:p w14:paraId="35AFF39A" w14:textId="77777777" w:rsidR="00912D78" w:rsidRPr="006D631C" w:rsidRDefault="00912D78" w:rsidP="00E7504B">
      <w:pPr>
        <w:ind w:firstLine="357"/>
        <w:rPr>
          <w:rFonts w:asciiTheme="majorBidi" w:hAnsiTheme="majorBidi" w:cstheme="majorBidi"/>
        </w:rPr>
      </w:pPr>
    </w:p>
    <w:p w14:paraId="25C5E9E3" w14:textId="053401E6" w:rsidR="00912D78" w:rsidRPr="006D631C" w:rsidRDefault="00912D78" w:rsidP="00912D78">
      <w:pPr>
        <w:ind w:firstLine="357"/>
        <w:rPr>
          <w:rFonts w:asciiTheme="majorBidi" w:hAnsiTheme="majorBidi" w:cstheme="majorBidi"/>
        </w:rPr>
      </w:pPr>
      <w:r w:rsidRPr="006D631C">
        <w:rPr>
          <w:rFonts w:asciiTheme="majorBidi" w:hAnsiTheme="majorBidi" w:cstheme="majorBidi"/>
        </w:rPr>
        <w:lastRenderedPageBreak/>
        <w:t>Based on the MWCO analysis, it is observed that the pore size increases from 2.5 nm to 3.2 nm as the temperature is increased from 25 to 45 °C. Utilizing basic pore flow models such as the Hagen-</w:t>
      </w:r>
      <w:proofErr w:type="spellStart"/>
      <w:r w:rsidRPr="006D631C">
        <w:rPr>
          <w:rFonts w:asciiTheme="majorBidi" w:hAnsiTheme="majorBidi" w:cstheme="majorBidi"/>
        </w:rPr>
        <w:t>Poiseuille</w:t>
      </w:r>
      <w:proofErr w:type="spellEnd"/>
      <w:r w:rsidRPr="006D631C">
        <w:rPr>
          <w:rFonts w:asciiTheme="majorBidi" w:hAnsiTheme="majorBidi" w:cstheme="majorBidi"/>
        </w:rPr>
        <w:t xml:space="preserve"> equation,</w:t>
      </w:r>
      <w:r w:rsidRPr="006D631C">
        <w:rPr>
          <w:rFonts w:asciiTheme="majorBidi" w:hAnsiTheme="majorBidi" w:cstheme="majorBidi"/>
        </w:rPr>
        <w:fldChar w:fldCharType="begin" w:fldLock="1"/>
      </w:r>
      <w:r w:rsidR="00F67C64"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32</w:t>
      </w:r>
      <w:r w:rsidRPr="006D631C">
        <w:rPr>
          <w:rFonts w:asciiTheme="majorBidi" w:hAnsiTheme="majorBidi" w:cstheme="majorBidi"/>
        </w:rPr>
        <w:fldChar w:fldCharType="end"/>
      </w:r>
      <w:r w:rsidRPr="006D631C">
        <w:rPr>
          <w:rFonts w:asciiTheme="majorBidi" w:hAnsiTheme="majorBidi" w:cstheme="majorBidi"/>
        </w:rPr>
        <w:t xml:space="preserve"> this alteration in pore size can result in 2.7 times increase in membrane flux (since the flow rate is proportional to the fourth power of the pore size). Notably, this value closely corresponds to the observed 2.3 times increase in flux of our membrane when subjected to heating</w:t>
      </w:r>
      <w:r w:rsidR="00FA3565" w:rsidRPr="006D631C">
        <w:rPr>
          <w:rFonts w:asciiTheme="majorBidi" w:hAnsiTheme="majorBidi" w:cstheme="majorBidi"/>
        </w:rPr>
        <w:t xml:space="preserve"> (see Figure</w:t>
      </w:r>
      <w:r w:rsidRPr="006D631C">
        <w:rPr>
          <w:rFonts w:asciiTheme="majorBidi" w:hAnsiTheme="majorBidi" w:cstheme="majorBidi"/>
        </w:rPr>
        <w:t xml:space="preserve"> </w:t>
      </w:r>
      <w:r w:rsidR="00FA3565" w:rsidRPr="006D631C">
        <w:rPr>
          <w:rFonts w:asciiTheme="majorBidi" w:hAnsiTheme="majorBidi" w:cstheme="majorBidi"/>
        </w:rPr>
        <w:t>4-</w:t>
      </w:r>
      <w:r w:rsidRPr="006D631C">
        <w:rPr>
          <w:rFonts w:asciiTheme="majorBidi" w:hAnsiTheme="majorBidi" w:cstheme="majorBidi"/>
        </w:rPr>
        <w:t>7). The minor variation observed between the experimental data and the predicted value can be attributed to the inherent complexities, such as non-tubular pore shape and possible change of pore tortuosity after expansion of the pores upon heating.</w:t>
      </w:r>
    </w:p>
    <w:p w14:paraId="10CE81B3" w14:textId="154C4B49" w:rsidR="00B93D12" w:rsidRPr="006D631C" w:rsidRDefault="00B93D12" w:rsidP="0090028E">
      <w:pPr>
        <w:ind w:firstLine="357"/>
        <w:rPr>
          <w:rFonts w:asciiTheme="majorBidi" w:hAnsiTheme="majorBidi" w:cstheme="majorBidi"/>
        </w:rPr>
      </w:pPr>
      <w:r w:rsidRPr="006D631C">
        <w:rPr>
          <w:rFonts w:asciiTheme="majorBidi" w:hAnsiTheme="majorBidi" w:cstheme="majorBidi"/>
        </w:rPr>
        <w:t>It is worthy to mention that the commercial UF membrane having a similar pore size shows negligible changes in MWCO by increasing temperature (Fig</w:t>
      </w:r>
      <w:r w:rsidR="00FF268B" w:rsidRPr="006D631C">
        <w:rPr>
          <w:rFonts w:asciiTheme="majorBidi" w:hAnsiTheme="majorBidi" w:cstheme="majorBidi"/>
        </w:rPr>
        <w:t>ure</w:t>
      </w:r>
      <w:r w:rsidRPr="006D631C">
        <w:rPr>
          <w:rFonts w:asciiTheme="majorBidi" w:hAnsiTheme="majorBidi" w:cstheme="majorBidi"/>
        </w:rPr>
        <w:t xml:space="preserve"> </w:t>
      </w:r>
      <w:r w:rsidR="00BD66A7" w:rsidRPr="006D631C">
        <w:rPr>
          <w:rFonts w:asciiTheme="majorBidi" w:hAnsiTheme="majorBidi" w:cstheme="majorBidi"/>
        </w:rPr>
        <w:t xml:space="preserve">E5 in </w:t>
      </w:r>
      <w:r w:rsidR="0090028E" w:rsidRPr="006D631C">
        <w:rPr>
          <w:rFonts w:asciiTheme="majorBidi" w:hAnsiTheme="majorBidi" w:cstheme="majorBidi"/>
        </w:rPr>
        <w:t xml:space="preserve">Appendix </w:t>
      </w:r>
      <w:r w:rsidR="00BD66A7" w:rsidRPr="006D631C">
        <w:rPr>
          <w:rFonts w:asciiTheme="majorBidi" w:hAnsiTheme="majorBidi" w:cstheme="majorBidi"/>
        </w:rPr>
        <w:t>E</w:t>
      </w:r>
      <w:r w:rsidRPr="006D631C">
        <w:rPr>
          <w:rFonts w:asciiTheme="majorBidi" w:hAnsiTheme="majorBidi" w:cstheme="majorBidi"/>
        </w:rPr>
        <w:t xml:space="preserve">). Furthermore, the hydrodynamic radius of PEG in the studied range of molecular weights (i.e., 1–10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exhibits negligible changes upon heating from 25 to 45 °C </w:t>
      </w:r>
      <w:r w:rsidRPr="006D631C">
        <w:rPr>
          <w:rFonts w:asciiTheme="majorBidi" w:hAnsiTheme="majorBidi" w:cstheme="majorBidi"/>
        </w:rPr>
        <w:fldChar w:fldCharType="begin" w:fldLock="1"/>
      </w:r>
      <w:r w:rsidR="00912D78" w:rsidRPr="006D631C">
        <w:rPr>
          <w:rFonts w:asciiTheme="majorBidi" w:hAnsiTheme="majorBidi" w:cstheme="majorBidi"/>
        </w:rPr>
        <w:instrText>ADDIN CSL_CITATION {"citationItems":[{"id":"ITEM-1","itemData":{"DOI":"10.1021/acs.jctc.7b00560","ISSN":"1549-9618","author":[{"dropping-particle":"","family":"Chudoba","given":"Richard","non-dropping-particle":"","parse-names":false,"suffix":""},{"dropping-particle":"","family":"Heyda","given":"Jan","non-dropping-particle":"","parse-names":false,"suffix":""},{"dropping-particle":"","family":"Dzubiella","given":"Joachim","non-dropping-particle":"","parse-names":false,"suffix":""}],"container-title":"Journal of Chemical Theory and Computation","id":"ITEM-1","issue":"12","issued":{"date-parts":[["2017","12","12"]]},"page":"6317-6327","title":"Temperature-Dependent Implicit-Solvent Model of Polyethylene Glycol in Aqueous Solution","type":"article-journal","volume":"13"},"uris":["http://www.mendeley.com/documents/?uuid=ec69d102-346b-463a-b6e0-bf20e882dc9a"]},{"id":"ITEM-2","itemData":{"DOI":"10.1002/app.23191","ISSN":"0021-8995","author":[{"dropping-particle":"","family":"Özdemir","given":"Cemile","non-dropping-particle":"","parse-names":false,"suffix":""},{"dropping-particle":"","family":"Güner","given":"Ali","non-dropping-particle":"","parse-names":false,"suffix":""}],"container-title":"Journal of Applied Polymer Science","id":"ITEM-2","issue":"1","issued":{"date-parts":[["2006","7","5"]]},"page":"203-216","title":"Solution thermodynamics of poly(ethylene glycol)/water systems","type":"article-journal","volume":"101"},"uris":["http://www.mendeley.com/documents/?uuid=ac7edd71-d64c-4889-8ef8-22f4af193407"]}],"mendeley":{"formattedCitation":"&lt;sup&gt;272,273&lt;/sup&gt;","plainTextFormattedCitation":"272,273","previouslyFormattedCitation":"&lt;sup&gt;272,273&lt;/sup&gt;"},"properties":{"noteIndex":0},"schema":"https://github.com/citation-style-language/schema/raw/master/csl-citation.json"}</w:instrText>
      </w:r>
      <w:r w:rsidRPr="006D631C">
        <w:rPr>
          <w:rFonts w:asciiTheme="majorBidi" w:hAnsiTheme="majorBidi" w:cstheme="majorBidi"/>
        </w:rPr>
        <w:fldChar w:fldCharType="separate"/>
      </w:r>
      <w:r w:rsidR="00E7504B" w:rsidRPr="006D631C">
        <w:rPr>
          <w:rFonts w:asciiTheme="majorBidi" w:hAnsiTheme="majorBidi" w:cstheme="majorBidi"/>
          <w:noProof/>
          <w:vertAlign w:val="superscript"/>
        </w:rPr>
        <w:t>272,273</w:t>
      </w:r>
      <w:r w:rsidRPr="006D631C">
        <w:rPr>
          <w:rFonts w:asciiTheme="majorBidi" w:hAnsiTheme="majorBidi" w:cstheme="majorBidi"/>
        </w:rPr>
        <w:fldChar w:fldCharType="end"/>
      </w:r>
      <w:r w:rsidR="00D47291" w:rsidRPr="006D631C">
        <w:rPr>
          <w:rFonts w:asciiTheme="majorBidi" w:hAnsiTheme="majorBidi" w:cstheme="majorBidi"/>
        </w:rPr>
        <w:t>.</w:t>
      </w:r>
      <w:r w:rsidRPr="006D631C">
        <w:rPr>
          <w:rFonts w:asciiTheme="majorBidi" w:hAnsiTheme="majorBidi" w:cstheme="majorBidi"/>
        </w:rPr>
        <w:t xml:space="preserve"> Accordingly, it can be concluded that the temperature-dependent MWCO of the polyLLC membrane is due to its thermoresponsiveness. </w:t>
      </w:r>
    </w:p>
    <w:p w14:paraId="793C0BAD" w14:textId="65BF11BC" w:rsidR="009B7D16" w:rsidRPr="006D631C" w:rsidRDefault="00B93D12" w:rsidP="00E7504B">
      <w:pPr>
        <w:ind w:firstLine="357"/>
        <w:rPr>
          <w:rFonts w:asciiTheme="majorBidi" w:hAnsiTheme="majorBidi" w:cstheme="majorBidi"/>
        </w:rPr>
      </w:pPr>
      <w:r w:rsidRPr="006D631C">
        <w:rPr>
          <w:rFonts w:asciiTheme="majorBidi" w:hAnsiTheme="majorBidi" w:cstheme="majorBidi"/>
        </w:rPr>
        <w:t>The rejection experiment was also carried out for BSA, DR23, and DR80 at 25 and 45 °C to further study the thermoresponsiveness of the polyLLC membrane. As shown in Fig</w:t>
      </w:r>
      <w:r w:rsidR="00B27EF0" w:rsidRPr="006D631C">
        <w:rPr>
          <w:rFonts w:asciiTheme="majorBidi" w:hAnsiTheme="majorBidi" w:cstheme="majorBidi"/>
        </w:rPr>
        <w:t>ure</w:t>
      </w:r>
      <w:r w:rsidRPr="006D631C">
        <w:rPr>
          <w:rFonts w:asciiTheme="majorBidi" w:hAnsiTheme="majorBidi" w:cstheme="majorBidi"/>
        </w:rPr>
        <w:t xml:space="preserve"> </w:t>
      </w:r>
      <w:r w:rsidR="00B27EF0" w:rsidRPr="006D631C">
        <w:rPr>
          <w:rFonts w:asciiTheme="majorBidi" w:hAnsiTheme="majorBidi" w:cstheme="majorBidi"/>
        </w:rPr>
        <w:t>4-</w:t>
      </w:r>
      <w:r w:rsidRPr="006D631C">
        <w:rPr>
          <w:rFonts w:asciiTheme="majorBidi" w:hAnsiTheme="majorBidi" w:cstheme="majorBidi"/>
        </w:rPr>
        <w:t>7f, the membrane can reject more than 90% of BSA protein. However, the rejection does not change at 45 °C. This observation is simply because of the fact that the average size of BSA molecules is ~7 nm</w:t>
      </w:r>
      <w:r w:rsidR="0071372D" w:rsidRPr="006D631C">
        <w:rPr>
          <w:rFonts w:asciiTheme="majorBidi" w:hAnsiTheme="majorBidi" w:cstheme="majorBidi"/>
        </w:rPr>
        <w:t>,</w:t>
      </w:r>
      <w:r w:rsidRPr="006D631C">
        <w:rPr>
          <w:rFonts w:asciiTheme="majorBidi" w:hAnsiTheme="majorBidi" w:cstheme="majorBidi"/>
        </w:rPr>
        <w:fldChar w:fldCharType="begin" w:fldLock="1"/>
      </w:r>
      <w:r w:rsidR="00912D78" w:rsidRPr="006D631C">
        <w:rPr>
          <w:rFonts w:asciiTheme="majorBidi" w:hAnsiTheme="majorBidi" w:cstheme="majorBidi"/>
        </w:rPr>
        <w:instrText>ADDIN CSL_CITATION {"citationItems":[{"id":"ITEM-1","itemData":{"DOI":"10.1002/bmb.2003.494031050261","ISSN":"14708175","author":[{"dropping-particle":"","family":"González Flecha","given":"F. Luis","non-dropping-particle":"","parse-names":false,"suffix":""},{"dropping-particle":"","family":"Levi","given":"Valeria","non-dropping-particle":"","parse-names":false,"suffix":""}],"container-title":"Biochemistry and Molecular Biology Education","id":"ITEM-1","issue":"5","issued":{"date-parts":[["2003","9"]]},"page":"319-322","title":"Determination of the molecular size of BSA by fluorescence anisotropy","type":"article-journal","volume":"31"},"uris":["http://www.mendeley.com/documents/?uuid=afb057e5-f15e-41d0-ba0b-4999b0737452"]}],"mendeley":{"formattedCitation":"&lt;sup&gt;274&lt;/sup&gt;","plainTextFormattedCitation":"274","previouslyFormattedCitation":"&lt;sup&gt;274&lt;/sup&gt;"},"properties":{"noteIndex":0},"schema":"https://github.com/citation-style-language/schema/raw/master/csl-citation.json"}</w:instrText>
      </w:r>
      <w:r w:rsidRPr="006D631C">
        <w:rPr>
          <w:rFonts w:asciiTheme="majorBidi" w:hAnsiTheme="majorBidi" w:cstheme="majorBidi"/>
        </w:rPr>
        <w:fldChar w:fldCharType="separate"/>
      </w:r>
      <w:r w:rsidR="00E7504B" w:rsidRPr="006D631C">
        <w:rPr>
          <w:rFonts w:asciiTheme="majorBidi" w:hAnsiTheme="majorBidi" w:cstheme="majorBidi"/>
          <w:noProof/>
          <w:vertAlign w:val="superscript"/>
        </w:rPr>
        <w:t>274</w:t>
      </w:r>
      <w:r w:rsidRPr="006D631C">
        <w:rPr>
          <w:rFonts w:asciiTheme="majorBidi" w:hAnsiTheme="majorBidi" w:cstheme="majorBidi"/>
        </w:rPr>
        <w:fldChar w:fldCharType="end"/>
      </w:r>
      <w:r w:rsidRPr="006D631C">
        <w:rPr>
          <w:rFonts w:asciiTheme="majorBidi" w:hAnsiTheme="majorBidi" w:cstheme="majorBidi"/>
        </w:rPr>
        <w:t xml:space="preserve"> which is much larger than the membrane pore size at 45 °C.</w:t>
      </w:r>
    </w:p>
    <w:p w14:paraId="32DB5F52" w14:textId="77777777" w:rsidR="00425A19" w:rsidRPr="006D631C" w:rsidRDefault="00425A19" w:rsidP="00425A19">
      <w:pPr>
        <w:rPr>
          <w:rFonts w:asciiTheme="majorBidi" w:hAnsiTheme="majorBidi" w:cstheme="majorBidi"/>
        </w:rPr>
      </w:pPr>
      <w:r w:rsidRPr="006D631C">
        <w:rPr>
          <w:rFonts w:asciiTheme="majorBidi" w:hAnsiTheme="majorBidi" w:cstheme="majorBidi"/>
          <w:noProof/>
        </w:rPr>
        <w:lastRenderedPageBreak/>
        <w:drawing>
          <wp:inline distT="0" distB="0" distL="0" distR="0" wp14:anchorId="71A5ADFF" wp14:editId="1A645E96">
            <wp:extent cx="5904000" cy="6476331"/>
            <wp:effectExtent l="0" t="0" r="1905"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04000" cy="6476331"/>
                    </a:xfrm>
                    <a:prstGeom prst="rect">
                      <a:avLst/>
                    </a:prstGeom>
                    <a:noFill/>
                  </pic:spPr>
                </pic:pic>
              </a:graphicData>
            </a:graphic>
          </wp:inline>
        </w:drawing>
      </w:r>
    </w:p>
    <w:p w14:paraId="24E49E9D" w14:textId="4A859D69" w:rsidR="00425A19" w:rsidRPr="006D631C" w:rsidRDefault="00F67C67" w:rsidP="006737ED">
      <w:pPr>
        <w:pStyle w:val="Caption"/>
        <w:jc w:val="center"/>
        <w:rPr>
          <w:rFonts w:asciiTheme="majorBidi" w:hAnsiTheme="majorBidi" w:cstheme="majorBidi"/>
          <w:sz w:val="22"/>
          <w:szCs w:val="22"/>
        </w:rPr>
      </w:pPr>
      <w:bookmarkStart w:id="191" w:name="_Toc148175952"/>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4</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7</w:t>
      </w:r>
      <w:r w:rsidR="00B55F32" w:rsidRPr="006D631C">
        <w:rPr>
          <w:sz w:val="22"/>
          <w:szCs w:val="22"/>
        </w:rPr>
        <w:fldChar w:fldCharType="end"/>
      </w:r>
      <w:r w:rsidR="00425A19" w:rsidRPr="006D631C">
        <w:rPr>
          <w:rFonts w:asciiTheme="majorBidi" w:hAnsiTheme="majorBidi" w:cstheme="majorBidi"/>
          <w:sz w:val="22"/>
          <w:szCs w:val="22"/>
        </w:rPr>
        <w:t>. (a) Circular cut supported polyLLC membrane and (b) typical cross-sectional SEM image of the membrane. (</w:t>
      </w:r>
      <w:proofErr w:type="gramStart"/>
      <w:r w:rsidR="00425A19" w:rsidRPr="006D631C">
        <w:rPr>
          <w:rFonts w:asciiTheme="majorBidi" w:hAnsiTheme="majorBidi" w:cstheme="majorBidi"/>
          <w:sz w:val="22"/>
          <w:szCs w:val="22"/>
        </w:rPr>
        <w:t>c-d</w:t>
      </w:r>
      <w:proofErr w:type="gramEnd"/>
      <w:r w:rsidR="00425A19" w:rsidRPr="006D631C">
        <w:rPr>
          <w:rFonts w:asciiTheme="majorBidi" w:hAnsiTheme="majorBidi" w:cstheme="majorBidi"/>
          <w:sz w:val="22"/>
          <w:szCs w:val="22"/>
        </w:rPr>
        <w:t>) Variation of (c) thickness-normalized flux and (d) permeability with cyclic change of temperature. (e) MWCO and (f) BSA protein and red dyes rejection at 25 °C, after increasing temperature to 45 °C, and after cooling down back to 25 °C. (</w:t>
      </w:r>
      <w:proofErr w:type="gramStart"/>
      <w:r w:rsidR="00425A19" w:rsidRPr="006D631C">
        <w:rPr>
          <w:rFonts w:asciiTheme="majorBidi" w:hAnsiTheme="majorBidi" w:cstheme="majorBidi"/>
          <w:sz w:val="22"/>
          <w:szCs w:val="22"/>
        </w:rPr>
        <w:t>g-h</w:t>
      </w:r>
      <w:proofErr w:type="gramEnd"/>
      <w:r w:rsidR="00425A19" w:rsidRPr="006D631C">
        <w:rPr>
          <w:rFonts w:asciiTheme="majorBidi" w:hAnsiTheme="majorBidi" w:cstheme="majorBidi"/>
          <w:sz w:val="22"/>
          <w:szCs w:val="22"/>
        </w:rPr>
        <w:t>) Photos of feed and collected permeates at different temperatures (at 25 °C, after increasing temperature to 45 °C, and after cooling down back to 25 °C) for (g) DR23 and (h) DR80.</w:t>
      </w:r>
      <w:bookmarkEnd w:id="191"/>
    </w:p>
    <w:p w14:paraId="479D5C3B" w14:textId="22E3D099" w:rsidR="001B4735" w:rsidRPr="006D631C" w:rsidRDefault="001B4735" w:rsidP="0090028E">
      <w:pPr>
        <w:ind w:firstLine="357"/>
        <w:rPr>
          <w:rFonts w:asciiTheme="majorBidi" w:hAnsiTheme="majorBidi" w:cstheme="majorBidi"/>
        </w:rPr>
      </w:pPr>
      <w:r w:rsidRPr="006D631C">
        <w:rPr>
          <w:rFonts w:asciiTheme="majorBidi" w:hAnsiTheme="majorBidi" w:cstheme="majorBidi"/>
        </w:rPr>
        <w:lastRenderedPageBreak/>
        <w:t>While the membrane rejects around 90% of DR23 and DR80 at room temperature, the rejection of DR23 and DR80 significantly declines to &lt;35% and &lt;55%, respectively. In comparison, the commercial UF membrane does not show any changes in its rejection towards these two dyes upon heating (Fig</w:t>
      </w:r>
      <w:r w:rsidR="00897628" w:rsidRPr="006D631C">
        <w:rPr>
          <w:rFonts w:asciiTheme="majorBidi" w:hAnsiTheme="majorBidi" w:cstheme="majorBidi"/>
        </w:rPr>
        <w:t xml:space="preserve">ure </w:t>
      </w:r>
      <w:r w:rsidR="00B5019D" w:rsidRPr="006D631C">
        <w:rPr>
          <w:rFonts w:asciiTheme="majorBidi" w:hAnsiTheme="majorBidi" w:cstheme="majorBidi"/>
        </w:rPr>
        <w:t>E5 in</w:t>
      </w:r>
      <w:r w:rsidR="00897628" w:rsidRPr="006D631C">
        <w:rPr>
          <w:rFonts w:asciiTheme="majorBidi" w:hAnsiTheme="majorBidi" w:cstheme="majorBidi"/>
        </w:rPr>
        <w:t xml:space="preserve"> </w:t>
      </w:r>
      <w:r w:rsidR="0090028E" w:rsidRPr="006D631C">
        <w:rPr>
          <w:rFonts w:asciiTheme="majorBidi" w:hAnsiTheme="majorBidi" w:cstheme="majorBidi"/>
        </w:rPr>
        <w:t xml:space="preserve">Appendix </w:t>
      </w:r>
      <w:r w:rsidR="00C96D83" w:rsidRPr="006D631C">
        <w:rPr>
          <w:rFonts w:asciiTheme="majorBidi" w:hAnsiTheme="majorBidi" w:cstheme="majorBidi"/>
        </w:rPr>
        <w:t>E</w:t>
      </w:r>
      <w:r w:rsidRPr="006D631C">
        <w:rPr>
          <w:rFonts w:asciiTheme="majorBidi" w:hAnsiTheme="majorBidi" w:cstheme="majorBidi"/>
        </w:rPr>
        <w:t>). As it has been described in the literature</w:t>
      </w:r>
      <w:r w:rsidR="00B16C23" w:rsidRPr="006D631C">
        <w:rPr>
          <w:rFonts w:asciiTheme="majorBidi" w:hAnsiTheme="majorBidi" w:cstheme="majorBidi"/>
        </w:rPr>
        <w:t>,</w:t>
      </w:r>
      <w:r w:rsidRPr="006D631C">
        <w:rPr>
          <w:rFonts w:asciiTheme="majorBidi" w:hAnsiTheme="majorBidi" w:cstheme="majorBidi"/>
        </w:rPr>
        <w:fldChar w:fldCharType="begin" w:fldLock="1"/>
      </w:r>
      <w:r w:rsidR="00912D78" w:rsidRPr="006D631C">
        <w:rPr>
          <w:rFonts w:asciiTheme="majorBidi" w:hAnsiTheme="majorBidi" w:cstheme="majorBidi"/>
        </w:rPr>
        <w:instrText>ADDIN CSL_CITATION {"citationItems":[{"id":"ITEM-1","itemData":{"DOI":"10.1016/j.memsci.2016.04.057","ISSN":"03767388","author":[{"dropping-particle":"","family":"Lin","given":"Jiuyang","non-dropping-particle":"","parse-names":false,"suffix":""},{"dropping-particle":"","family":"Ye","given":"Wenyuan","non-dropping-particle":"","parse-names":false,"suffix":""},{"dropping-particle":"","family":"Baltaru","given":"Marian-Cornel","non-dropping-particle":"","parse-names":false,"suffix":""},{"dropping-particle":"","family":"Tang","given":"Yu Pan","non-dropping-particle":"","parse-names":false,"suffix":""},{"dropping-particle":"","family":"Bernstein","given":"Nicole J.","non-dropping-particle":"","parse-names":false,"suffix":""},{"dropping-particle":"","family":"Gao","given":"Peng","non-dropping-particle":"","parse-names":false,"suffix":""},{"dropping-particle":"","family":"Balta","given":"Stefan","non-dropping-particle":"","parse-names":false,"suffix":""},{"dropping-particle":"","family":"Vlad","given":"Maria","non-dropping-particle":"","parse-names":false,"suffix":""},{"dropping-particle":"","family":"Volodin","given":"Alexander","non-dropping-particle":"","parse-names":false,"suffix":""},{"dropping-particle":"","family":"Sotto","given":"Arcadio","non-dropping-particle":"","parse-names":false,"suffix":""},{"dropping-particle":"","family":"Luis","given":"Patricia","non-dropping-particle":"","parse-names":false,"suffix":""},{"dropping-particle":"","family":"Zydney","given":"Andrew L.","non-dropping-particle":"","parse-names":false,"suffix":""},{"dropping-particle":"","family":"Bruggen","given":"Bart","non-dropping-particle":"Van der","parse-names":false,"suffix":""}],"container-title":"Journal of Membrane Science","id":"ITEM-1","issued":{"date-parts":[["2016","9"]]},"page":"217-228","title":"Tight ultrafiltration membranes for enhanced separation of dyes and Na2SO4 during textile wastewater treatment","type":"article-journal","volume":"514"},"uris":["http://www.mendeley.com/documents/?uuid=6cefb28f-b09a-41b2-a37d-213b2d051ec7"]}],"mendeley":{"formattedCitation":"&lt;sup&gt;275&lt;/sup&gt;","plainTextFormattedCitation":"275","previouslyFormattedCitation":"&lt;sup&gt;275&lt;/sup&gt;"},"properties":{"noteIndex":0},"schema":"https://github.com/citation-style-language/schema/raw/master/csl-citation.json"}</w:instrText>
      </w:r>
      <w:r w:rsidRPr="006D631C">
        <w:rPr>
          <w:rFonts w:asciiTheme="majorBidi" w:hAnsiTheme="majorBidi" w:cstheme="majorBidi"/>
        </w:rPr>
        <w:fldChar w:fldCharType="separate"/>
      </w:r>
      <w:r w:rsidR="00E7504B" w:rsidRPr="006D631C">
        <w:rPr>
          <w:rFonts w:asciiTheme="majorBidi" w:hAnsiTheme="majorBidi" w:cstheme="majorBidi"/>
          <w:noProof/>
          <w:vertAlign w:val="superscript"/>
        </w:rPr>
        <w:t>275</w:t>
      </w:r>
      <w:r w:rsidRPr="006D631C">
        <w:rPr>
          <w:rFonts w:asciiTheme="majorBidi" w:hAnsiTheme="majorBidi" w:cstheme="majorBidi"/>
        </w:rPr>
        <w:fldChar w:fldCharType="end"/>
      </w:r>
      <w:r w:rsidRPr="006D631C">
        <w:rPr>
          <w:rFonts w:asciiTheme="majorBidi" w:hAnsiTheme="majorBidi" w:cstheme="majorBidi"/>
        </w:rPr>
        <w:t xml:space="preserve"> these dyes have a molecular size of ~1 nm, but can form clusters larger than 1 nm in water. That is why both the polyLLC and commercial membranes can efficiently reject them at 25 °C. Additionally, </w:t>
      </w:r>
      <w:r w:rsidRPr="006D631C">
        <w:rPr>
          <w:rFonts w:asciiTheme="majorBidi" w:hAnsiTheme="majorBidi" w:cstheme="majorBidi"/>
          <w:lang w:bidi="fa-IR"/>
        </w:rPr>
        <w:t xml:space="preserve">unlike the commercial membrane, </w:t>
      </w:r>
      <w:r w:rsidRPr="006D631C">
        <w:rPr>
          <w:rFonts w:asciiTheme="majorBidi" w:hAnsiTheme="majorBidi" w:cstheme="majorBidi"/>
        </w:rPr>
        <w:t xml:space="preserve">the </w:t>
      </w:r>
      <w:r w:rsidRPr="006D631C">
        <w:rPr>
          <w:rFonts w:asciiTheme="majorBidi" w:hAnsiTheme="majorBidi" w:cstheme="majorBidi"/>
          <w:lang w:bidi="fa-IR"/>
        </w:rPr>
        <w:t xml:space="preserve">thermoresponsive </w:t>
      </w:r>
      <w:r w:rsidRPr="006D631C">
        <w:rPr>
          <w:rFonts w:asciiTheme="majorBidi" w:hAnsiTheme="majorBidi" w:cstheme="majorBidi"/>
        </w:rPr>
        <w:t xml:space="preserve">polyLLC membrane can enlarge its pore size at 45 °C, resulting in passage of dye clusters and thus the lower rejection rates. </w:t>
      </w:r>
      <w:r w:rsidR="00E85A0B" w:rsidRPr="006D631C">
        <w:rPr>
          <w:rFonts w:asciiTheme="majorBidi" w:hAnsiTheme="majorBidi" w:cstheme="majorBidi"/>
        </w:rPr>
        <w:t>Figure</w:t>
      </w:r>
      <w:r w:rsidRPr="006D631C">
        <w:rPr>
          <w:rFonts w:asciiTheme="majorBidi" w:hAnsiTheme="majorBidi" w:cstheme="majorBidi"/>
        </w:rPr>
        <w:t xml:space="preserve"> </w:t>
      </w:r>
      <w:r w:rsidR="00E85A0B" w:rsidRPr="006D631C">
        <w:rPr>
          <w:rFonts w:asciiTheme="majorBidi" w:hAnsiTheme="majorBidi" w:cstheme="majorBidi"/>
        </w:rPr>
        <w:t>4-</w:t>
      </w:r>
      <w:r w:rsidRPr="006D631C">
        <w:rPr>
          <w:rFonts w:asciiTheme="majorBidi" w:hAnsiTheme="majorBidi" w:cstheme="majorBidi"/>
        </w:rPr>
        <w:t xml:space="preserve">7g and h show that the change in dye rejection is reversible.      </w:t>
      </w:r>
    </w:p>
    <w:p w14:paraId="73A3153D" w14:textId="62215B47" w:rsidR="00425A19" w:rsidRPr="006D631C" w:rsidRDefault="001B4735" w:rsidP="00064D6B">
      <w:pPr>
        <w:ind w:firstLine="357"/>
        <w:rPr>
          <w:rFonts w:asciiTheme="majorBidi" w:hAnsiTheme="majorBidi" w:cstheme="majorBidi"/>
        </w:rPr>
      </w:pPr>
      <w:r w:rsidRPr="006D631C">
        <w:rPr>
          <w:rFonts w:asciiTheme="majorBidi" w:hAnsiTheme="majorBidi" w:cstheme="majorBidi"/>
        </w:rPr>
        <w:t xml:space="preserve">We also studied the adsorption of PEG and dyes by water-swollen polyLLC to make sure that the rejection is not affected by the adsorption phenomenon. To do so, the polyLLC was added to the solutions of PEG (10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molecular weight), BSA, DR23, and DR80 in such a way that the polyLLC content is 0.3 g/L (amount of polyLLC on the supported membrane in contact with the feed solution during filtration experiments). The concentration of PEG, BSA, and DR80 solutions was adjusted to 1, 1, and 0.5 mg/mL, respectively. After 48 h contact time at 25 and 45 °C, UV-Vis spectroscopy was utilized to evaluate the change in concentration of solutes. As shown in Fig</w:t>
      </w:r>
      <w:r w:rsidR="00112851" w:rsidRPr="006D631C">
        <w:rPr>
          <w:rFonts w:asciiTheme="majorBidi" w:hAnsiTheme="majorBidi" w:cstheme="majorBidi"/>
        </w:rPr>
        <w:t xml:space="preserve">ure </w:t>
      </w:r>
      <w:r w:rsidR="00064D6B" w:rsidRPr="006D631C">
        <w:rPr>
          <w:rFonts w:asciiTheme="majorBidi" w:hAnsiTheme="majorBidi" w:cstheme="majorBidi"/>
        </w:rPr>
        <w:t>E6</w:t>
      </w:r>
      <w:r w:rsidR="00112851" w:rsidRPr="006D631C">
        <w:rPr>
          <w:rFonts w:asciiTheme="majorBidi" w:hAnsiTheme="majorBidi" w:cstheme="majorBidi"/>
        </w:rPr>
        <w:t>,</w:t>
      </w:r>
      <w:r w:rsidRPr="006D631C">
        <w:rPr>
          <w:rFonts w:asciiTheme="majorBidi" w:hAnsiTheme="majorBidi" w:cstheme="majorBidi"/>
        </w:rPr>
        <w:t xml:space="preserve"> none of the solutes show a considerable change in concertation, meaning that the adsorption has negligible effect on the rejection performance of the membrane.</w:t>
      </w:r>
    </w:p>
    <w:p w14:paraId="64B94681" w14:textId="1FE5AA07" w:rsidR="00740C23" w:rsidRPr="006D631C" w:rsidRDefault="00740C23" w:rsidP="00524A6D">
      <w:pPr>
        <w:ind w:firstLine="357"/>
        <w:rPr>
          <w:rFonts w:asciiTheme="majorBidi" w:hAnsiTheme="majorBidi" w:cstheme="majorBidi"/>
        </w:rPr>
      </w:pPr>
      <w:r w:rsidRPr="006D631C">
        <w:rPr>
          <w:rFonts w:asciiTheme="majorBidi" w:hAnsiTheme="majorBidi" w:cstheme="majorBidi"/>
        </w:rPr>
        <w:t>It is worth considering that we chose 45 °C temperature to test the thermal response of our membrane based on several observations. Firstly, the swelling capacity of the polyLLC changes negligibly after rea</w:t>
      </w:r>
      <w:r w:rsidR="00524A6D" w:rsidRPr="006D631C">
        <w:rPr>
          <w:rFonts w:asciiTheme="majorBidi" w:hAnsiTheme="majorBidi" w:cstheme="majorBidi"/>
        </w:rPr>
        <w:t>ching 45 °C, as depicted in Figure</w:t>
      </w:r>
      <w:r w:rsidRPr="006D631C">
        <w:rPr>
          <w:rFonts w:asciiTheme="majorBidi" w:hAnsiTheme="majorBidi" w:cstheme="majorBidi"/>
        </w:rPr>
        <w:t xml:space="preserve"> </w:t>
      </w:r>
      <w:r w:rsidR="00524A6D" w:rsidRPr="006D631C">
        <w:rPr>
          <w:rFonts w:asciiTheme="majorBidi" w:hAnsiTheme="majorBidi" w:cstheme="majorBidi"/>
        </w:rPr>
        <w:t>4-</w:t>
      </w:r>
      <w:r w:rsidRPr="006D631C">
        <w:rPr>
          <w:rFonts w:asciiTheme="majorBidi" w:hAnsiTheme="majorBidi" w:cstheme="majorBidi"/>
        </w:rPr>
        <w:t>5. Secondly, as shown in Fig</w:t>
      </w:r>
      <w:r w:rsidR="00524A6D" w:rsidRPr="006D631C">
        <w:rPr>
          <w:rFonts w:asciiTheme="majorBidi" w:hAnsiTheme="majorBidi" w:cstheme="majorBidi"/>
        </w:rPr>
        <w:t>ure</w:t>
      </w:r>
      <w:r w:rsidRPr="006D631C">
        <w:rPr>
          <w:rFonts w:asciiTheme="majorBidi" w:hAnsiTheme="majorBidi" w:cstheme="majorBidi"/>
        </w:rPr>
        <w:t xml:space="preserve"> </w:t>
      </w:r>
      <w:r w:rsidR="00524A6D" w:rsidRPr="006D631C">
        <w:rPr>
          <w:rFonts w:asciiTheme="majorBidi" w:hAnsiTheme="majorBidi" w:cstheme="majorBidi"/>
        </w:rPr>
        <w:t>4-</w:t>
      </w:r>
      <w:r w:rsidRPr="006D631C">
        <w:rPr>
          <w:rFonts w:asciiTheme="majorBidi" w:hAnsiTheme="majorBidi" w:cstheme="majorBidi"/>
        </w:rPr>
        <w:t xml:space="preserve">6, there is a similar preliminary peak position in the SAXS data of the water-swollen sample at both 25 and 45 °C. Lastly, our preliminary rejection experiments with PEG molecules of 2 and 3 </w:t>
      </w:r>
      <w:proofErr w:type="spellStart"/>
      <w:r w:rsidRPr="006D631C">
        <w:rPr>
          <w:rFonts w:asciiTheme="majorBidi" w:hAnsiTheme="majorBidi" w:cstheme="majorBidi"/>
        </w:rPr>
        <w:t>kDa</w:t>
      </w:r>
      <w:proofErr w:type="spellEnd"/>
      <w:r w:rsidRPr="006D631C">
        <w:rPr>
          <w:rFonts w:asciiTheme="majorBidi" w:hAnsiTheme="majorBidi" w:cstheme="majorBidi"/>
        </w:rPr>
        <w:t xml:space="preserve"> </w:t>
      </w:r>
      <w:r w:rsidRPr="006D631C">
        <w:rPr>
          <w:rFonts w:asciiTheme="majorBidi" w:hAnsiTheme="majorBidi" w:cstheme="majorBidi"/>
        </w:rPr>
        <w:lastRenderedPageBreak/>
        <w:t xml:space="preserve">demonstrated slight differences in the rejection rates at temperatures below 40 °C when compared to the values obtained at 25 °C. In contrast, the differences </w:t>
      </w:r>
      <w:r w:rsidR="0037388E" w:rsidRPr="006D631C">
        <w:rPr>
          <w:rFonts w:asciiTheme="majorBidi" w:hAnsiTheme="majorBidi" w:cstheme="majorBidi"/>
        </w:rPr>
        <w:t>depicted in Figure</w:t>
      </w:r>
      <w:r w:rsidRPr="006D631C">
        <w:rPr>
          <w:rFonts w:asciiTheme="majorBidi" w:hAnsiTheme="majorBidi" w:cstheme="majorBidi"/>
        </w:rPr>
        <w:t xml:space="preserve"> </w:t>
      </w:r>
      <w:r w:rsidR="0037388E" w:rsidRPr="006D631C">
        <w:rPr>
          <w:rFonts w:asciiTheme="majorBidi" w:hAnsiTheme="majorBidi" w:cstheme="majorBidi"/>
        </w:rPr>
        <w:t>4-</w:t>
      </w:r>
      <w:r w:rsidRPr="006D631C">
        <w:rPr>
          <w:rFonts w:asciiTheme="majorBidi" w:hAnsiTheme="majorBidi" w:cstheme="majorBidi"/>
        </w:rPr>
        <w:t xml:space="preserve">7 were significant at 45 °C.    </w:t>
      </w:r>
    </w:p>
    <w:p w14:paraId="34B78D62" w14:textId="79307656" w:rsidR="00740C23" w:rsidRPr="006D631C" w:rsidRDefault="00740C23" w:rsidP="00740C23">
      <w:pPr>
        <w:ind w:firstLine="357"/>
        <w:rPr>
          <w:rFonts w:asciiTheme="majorBidi" w:hAnsiTheme="majorBidi" w:cstheme="majorBidi"/>
        </w:rPr>
      </w:pPr>
      <w:r w:rsidRPr="006D631C">
        <w:rPr>
          <w:rFonts w:asciiTheme="majorBidi" w:hAnsiTheme="majorBidi" w:cstheme="majorBidi"/>
        </w:rPr>
        <w:t>Additionally, it is important to address the kinetics of the membrane thermal response, which explains the observed changes in its transport properties. Our observations indicate that the membrane performance undergoes changes at a rate comparable to the alteration in the swelling capacity of the polyLLC</w:t>
      </w:r>
      <w:r w:rsidR="00271815" w:rsidRPr="006D631C">
        <w:rPr>
          <w:rFonts w:asciiTheme="majorBidi" w:hAnsiTheme="majorBidi" w:cstheme="majorBidi"/>
        </w:rPr>
        <w:t xml:space="preserve"> (see Figure</w:t>
      </w:r>
      <w:r w:rsidRPr="006D631C">
        <w:rPr>
          <w:rFonts w:asciiTheme="majorBidi" w:hAnsiTheme="majorBidi" w:cstheme="majorBidi"/>
        </w:rPr>
        <w:t xml:space="preserve"> </w:t>
      </w:r>
      <w:r w:rsidR="00271815" w:rsidRPr="006D631C">
        <w:rPr>
          <w:rFonts w:asciiTheme="majorBidi" w:hAnsiTheme="majorBidi" w:cstheme="majorBidi"/>
        </w:rPr>
        <w:t>4-</w:t>
      </w:r>
      <w:r w:rsidRPr="006D631C">
        <w:rPr>
          <w:rFonts w:asciiTheme="majorBidi" w:hAnsiTheme="majorBidi" w:cstheme="majorBidi"/>
        </w:rPr>
        <w:t>5d) when the system reaches the isothermal conditions at 45 °C.</w:t>
      </w:r>
    </w:p>
    <w:p w14:paraId="449F515B" w14:textId="73539D76" w:rsidR="00A10AC6" w:rsidRPr="006D631C" w:rsidRDefault="00A10AC6" w:rsidP="003E64DF">
      <w:pPr>
        <w:pStyle w:val="Heading4"/>
      </w:pPr>
      <w:bookmarkStart w:id="192" w:name="_Toc148175861"/>
      <w:r w:rsidRPr="006D631C">
        <w:t xml:space="preserve">4.3.2.3 </w:t>
      </w:r>
      <w:r w:rsidR="003E64DF" w:rsidRPr="006D631C">
        <w:t>Contact angle and fouling resistance</w:t>
      </w:r>
      <w:bookmarkEnd w:id="192"/>
    </w:p>
    <w:p w14:paraId="5E05B2EF" w14:textId="74E27BA6" w:rsidR="00FB615D" w:rsidRPr="006D631C" w:rsidRDefault="000B5356" w:rsidP="00E7504B">
      <w:pPr>
        <w:ind w:firstLine="360"/>
        <w:rPr>
          <w:rFonts w:asciiTheme="majorBidi" w:hAnsiTheme="majorBidi" w:cstheme="majorBidi"/>
        </w:rPr>
      </w:pPr>
      <w:r w:rsidRPr="006D631C">
        <w:rPr>
          <w:rFonts w:asciiTheme="majorBidi" w:hAnsiTheme="majorBidi" w:cstheme="majorBidi"/>
        </w:rPr>
        <w:t xml:space="preserve">Fouling is one of the important challenges involved in membrane separation as it can reduce the performance and thus </w:t>
      </w:r>
      <w:r w:rsidR="004F2406" w:rsidRPr="006D631C">
        <w:rPr>
          <w:rFonts w:asciiTheme="majorBidi" w:hAnsiTheme="majorBidi" w:cstheme="majorBidi"/>
        </w:rPr>
        <w:t>lifetime</w:t>
      </w:r>
      <w:r w:rsidRPr="006D631C">
        <w:rPr>
          <w:rFonts w:asciiTheme="majorBidi" w:hAnsiTheme="majorBidi" w:cstheme="majorBidi"/>
        </w:rPr>
        <w:t xml:space="preserve"> of the membrane. Fouling is more pronounced for UF membranes as they are used in pretreatment and filtration of large species (e.g., proteins, bacteria, and viruses) that cause severe fouling</w:t>
      </w:r>
      <w:r w:rsidR="005E2ACC" w:rsidRPr="006D631C">
        <w:rPr>
          <w:rFonts w:asciiTheme="majorBidi" w:hAnsiTheme="majorBidi" w:cstheme="majorBidi"/>
        </w:rPr>
        <w:t>.</w:t>
      </w:r>
      <w:r w:rsidRPr="006D631C">
        <w:rPr>
          <w:rFonts w:asciiTheme="majorBidi" w:hAnsiTheme="majorBidi" w:cstheme="majorBidi"/>
        </w:rPr>
        <w:fldChar w:fldCharType="begin" w:fldLock="1"/>
      </w:r>
      <w:r w:rsidR="00543C81" w:rsidRPr="006D631C">
        <w:rPr>
          <w:rFonts w:asciiTheme="majorBidi" w:hAnsiTheme="majorBidi" w:cstheme="majorBidi"/>
        </w:rPr>
        <w:instrText>ADDIN CSL_CITATION {"citationItems":[{"id":"ITEM-1","itemData":{"DOI":"10.1038/natrevmats.2016.18","ISSN":"2058-8437","abstract":"Membrane-based separations for water purification and desalination have been increasingly applied to address the global challenges of water scarcity and the pollution of aquatic environments. However, progress in water purification membranes has been constrained by the inherent limitations of conventional membrane materials. Recent advances in methods for controlling the structure and chemical functionality in polymer films can potentially lead to new classes of membranes for water purification. In this Review, we first discuss the state of the art of existing membrane technologies for water purification and desalination, highlight their inherent limitations and establish the urgent requirements for next-generation membranes. We then describe molecular-level design approaches towards fabricating highly selective membranes, focusing on novel materials such as aquaporin, synthetic nanochannels, graphene and self-assembled block copolymers and small molecules. Finally, we highlight promising membrane surface modification approaches that minimize interfacial interactions and enhance fouling resistance.","author":[{"dropping-particle":"","family":"Werber","given":"Jay R.","non-dropping-particle":"","parse-names":false,"suffix":""},{"dropping-particle":"","family":"Osuji","given":"Chinedum O.","non-dropping-particle":"","parse-names":false,"suffix":""},{"dropping-particle":"","family":"Elimelech","given":"Menachem","non-dropping-particle":"","parse-names":false,"suffix":""}],"container-title":"Nature Reviews Materials","id":"ITEM-1","issue":"5","issued":{"date-parts":[["2016","5","5"]]},"page":"16018","title":"Materials for next-generation desalination and water purification membranes","type":"article-journal","volume":"1"},"uris":["http://www.mendeley.com/documents/?uuid=b49e3af6-02cf-439a-9ef2-9d16fc16993b"]}],"mendeley":{"formattedCitation":"&lt;sup&gt;4&lt;/sup&gt;","plainTextFormattedCitation":"4","previouslyFormattedCitation":"&lt;sup&gt;4&lt;/sup&gt;"},"properties":{"noteIndex":0},"schema":"https://github.com/citation-style-language/schema/raw/master/csl-citation.json"}</w:instrText>
      </w:r>
      <w:r w:rsidRPr="006D631C">
        <w:rPr>
          <w:rFonts w:asciiTheme="majorBidi" w:hAnsiTheme="majorBidi" w:cstheme="majorBidi"/>
        </w:rPr>
        <w:fldChar w:fldCharType="separate"/>
      </w:r>
      <w:r w:rsidR="005E2ACC" w:rsidRPr="006D631C">
        <w:rPr>
          <w:rFonts w:asciiTheme="majorBidi" w:hAnsiTheme="majorBidi" w:cstheme="majorBidi"/>
          <w:noProof/>
          <w:vertAlign w:val="superscript"/>
        </w:rPr>
        <w:t>4</w:t>
      </w:r>
      <w:r w:rsidRPr="006D631C">
        <w:rPr>
          <w:rFonts w:asciiTheme="majorBidi" w:hAnsiTheme="majorBidi" w:cstheme="majorBidi"/>
        </w:rPr>
        <w:fldChar w:fldCharType="end"/>
      </w:r>
      <w:r w:rsidRPr="006D631C">
        <w:rPr>
          <w:rFonts w:asciiTheme="majorBidi" w:hAnsiTheme="majorBidi" w:cstheme="majorBidi"/>
        </w:rPr>
        <w:t xml:space="preserve"> Increasing the surface hydrophilicity can be counted as the most important approach to limit membrane fouling</w:t>
      </w:r>
      <w:r w:rsidR="00CD717F" w:rsidRPr="006D631C">
        <w:rPr>
          <w:rFonts w:asciiTheme="majorBidi" w:hAnsiTheme="majorBidi" w:cstheme="majorBidi"/>
        </w:rPr>
        <w:t>.</w:t>
      </w:r>
      <w:r w:rsidRPr="006D631C">
        <w:rPr>
          <w:rFonts w:asciiTheme="majorBidi" w:hAnsiTheme="majorBidi" w:cstheme="majorBidi"/>
        </w:rPr>
        <w:fldChar w:fldCharType="begin" w:fldLock="1"/>
      </w:r>
      <w:r w:rsidR="00912D78" w:rsidRPr="006D631C">
        <w:rPr>
          <w:rFonts w:asciiTheme="majorBidi" w:hAnsiTheme="majorBidi" w:cstheme="majorBidi"/>
        </w:rPr>
        <w:instrText>ADDIN CSL_CITATION {"citationItems":[{"id":"ITEM-1","itemData":{"DOI":"10.1021/cr800208y","ISSN":"0009-2665","author":[{"dropping-particle":"","family":"Rana","given":"D.","non-dropping-particle":"","parse-names":false,"suffix":""},{"dropping-particle":"","family":"Matsuura","given":"T.","non-dropping-particle":"","parse-names":false,"suffix":""}],"container-title":"Chemical Reviews","id":"ITEM-1","issue":"4","issued":{"date-parts":[["2010","4","14"]]},"page":"2448-2471","title":"Surface Modifications for Antifouling Membranes","type":"article-journal","volume":"110"},"uris":["http://www.mendeley.com/documents/?uuid=acd5ea0c-3a41-4b48-954b-3b846782f51b"]}],"mendeley":{"formattedCitation":"&lt;sup&gt;276&lt;/sup&gt;","plainTextFormattedCitation":"276","previouslyFormattedCitation":"&lt;sup&gt;276&lt;/sup&gt;"},"properties":{"noteIndex":0},"schema":"https://github.com/citation-style-language/schema/raw/master/csl-citation.json"}</w:instrText>
      </w:r>
      <w:r w:rsidRPr="006D631C">
        <w:rPr>
          <w:rFonts w:asciiTheme="majorBidi" w:hAnsiTheme="majorBidi" w:cstheme="majorBidi"/>
        </w:rPr>
        <w:fldChar w:fldCharType="separate"/>
      </w:r>
      <w:r w:rsidR="00E7504B" w:rsidRPr="006D631C">
        <w:rPr>
          <w:rFonts w:asciiTheme="majorBidi" w:hAnsiTheme="majorBidi" w:cstheme="majorBidi"/>
          <w:noProof/>
          <w:vertAlign w:val="superscript"/>
        </w:rPr>
        <w:t>276</w:t>
      </w:r>
      <w:r w:rsidRPr="006D631C">
        <w:rPr>
          <w:rFonts w:asciiTheme="majorBidi" w:hAnsiTheme="majorBidi" w:cstheme="majorBidi"/>
        </w:rPr>
        <w:fldChar w:fldCharType="end"/>
      </w:r>
      <w:r w:rsidRPr="006D631C">
        <w:rPr>
          <w:rFonts w:asciiTheme="majorBidi" w:hAnsiTheme="majorBidi" w:cstheme="majorBidi"/>
        </w:rPr>
        <w:t xml:space="preserve"> Measurement of water contact angle is a simple way to examine the surface hydrophilicity of membranes</w:t>
      </w:r>
      <w:r w:rsidR="00CD717F" w:rsidRPr="006D631C">
        <w:rPr>
          <w:rFonts w:asciiTheme="majorBidi" w:hAnsiTheme="majorBidi" w:cstheme="majorBidi"/>
        </w:rPr>
        <w:t>.</w:t>
      </w:r>
      <w:r w:rsidRPr="006D631C">
        <w:rPr>
          <w:rFonts w:asciiTheme="majorBidi" w:hAnsiTheme="majorBidi" w:cstheme="majorBidi"/>
        </w:rPr>
        <w:fldChar w:fldCharType="begin" w:fldLock="1"/>
      </w:r>
      <w:r w:rsidR="00912D78" w:rsidRPr="006D631C">
        <w:rPr>
          <w:rFonts w:asciiTheme="majorBidi" w:hAnsiTheme="majorBidi" w:cstheme="majorBidi"/>
        </w:rPr>
        <w:instrText>ADDIN CSL_CITATION {"citationItems":[{"id":"ITEM-1","itemData":{"DOI":"10.1021/cr800208y","ISSN":"0009-2665","author":[{"dropping-particle":"","family":"Rana","given":"D.","non-dropping-particle":"","parse-names":false,"suffix":""},{"dropping-particle":"","family":"Matsuura","given":"T.","non-dropping-particle":"","parse-names":false,"suffix":""}],"container-title":"Chemical Reviews","id":"ITEM-1","issue":"4","issued":{"date-parts":[["2010","4","14"]]},"page":"2448-2471","title":"Surface Modifications for Antifouling Membranes","type":"article-journal","volume":"110"},"uris":["http://www.mendeley.com/documents/?uuid=acd5ea0c-3a41-4b48-954b-3b846782f51b"]}],"mendeley":{"formattedCitation":"&lt;sup&gt;276&lt;/sup&gt;","plainTextFormattedCitation":"276","previouslyFormattedCitation":"&lt;sup&gt;276&lt;/sup&gt;"},"properties":{"noteIndex":0},"schema":"https://github.com/citation-style-language/schema/raw/master/csl-citation.json"}</w:instrText>
      </w:r>
      <w:r w:rsidRPr="006D631C">
        <w:rPr>
          <w:rFonts w:asciiTheme="majorBidi" w:hAnsiTheme="majorBidi" w:cstheme="majorBidi"/>
        </w:rPr>
        <w:fldChar w:fldCharType="separate"/>
      </w:r>
      <w:r w:rsidR="00E7504B" w:rsidRPr="006D631C">
        <w:rPr>
          <w:rFonts w:asciiTheme="majorBidi" w:hAnsiTheme="majorBidi" w:cstheme="majorBidi"/>
          <w:noProof/>
          <w:vertAlign w:val="superscript"/>
        </w:rPr>
        <w:t>276</w:t>
      </w:r>
      <w:r w:rsidRPr="006D631C">
        <w:rPr>
          <w:rFonts w:asciiTheme="majorBidi" w:hAnsiTheme="majorBidi" w:cstheme="majorBidi"/>
        </w:rPr>
        <w:fldChar w:fldCharType="end"/>
      </w:r>
      <w:r w:rsidRPr="006D631C">
        <w:rPr>
          <w:rFonts w:asciiTheme="majorBidi" w:hAnsiTheme="majorBidi" w:cstheme="majorBidi"/>
        </w:rPr>
        <w:t xml:space="preserve"> Therefore, we performed this measurement on the water-swollen polyLLC membrane, and the obtained results are shown in Fig</w:t>
      </w:r>
      <w:r w:rsidR="00193EE4" w:rsidRPr="006D631C">
        <w:rPr>
          <w:rFonts w:asciiTheme="majorBidi" w:hAnsiTheme="majorBidi" w:cstheme="majorBidi"/>
        </w:rPr>
        <w:t>ure</w:t>
      </w:r>
      <w:r w:rsidRPr="006D631C">
        <w:rPr>
          <w:rFonts w:asciiTheme="majorBidi" w:hAnsiTheme="majorBidi" w:cstheme="majorBidi"/>
        </w:rPr>
        <w:t xml:space="preserve"> </w:t>
      </w:r>
      <w:r w:rsidR="00193EE4" w:rsidRPr="006D631C">
        <w:rPr>
          <w:rFonts w:asciiTheme="majorBidi" w:hAnsiTheme="majorBidi" w:cstheme="majorBidi"/>
        </w:rPr>
        <w:t>4-</w:t>
      </w:r>
      <w:r w:rsidRPr="006D631C">
        <w:rPr>
          <w:rFonts w:asciiTheme="majorBidi" w:hAnsiTheme="majorBidi" w:cstheme="majorBidi"/>
        </w:rPr>
        <w:t>8a. The results present an average contact angle of 36° and 39° for the polyLLC swollen at 25 and 45 °C, respectively. This test confirms that the polyLLC membrane has highly hydrophilic surface, which can significantly enhance its fouling resistance.</w:t>
      </w:r>
    </w:p>
    <w:p w14:paraId="43EE9E19" w14:textId="77777777" w:rsidR="000D7D4F" w:rsidRPr="006D631C" w:rsidRDefault="000D7D4F" w:rsidP="000D7D4F">
      <w:pPr>
        <w:tabs>
          <w:tab w:val="left" w:pos="142"/>
          <w:tab w:val="left" w:pos="360"/>
          <w:tab w:val="left" w:pos="992"/>
        </w:tabs>
        <w:rPr>
          <w:rFonts w:asciiTheme="majorBidi" w:hAnsiTheme="majorBidi" w:cstheme="majorBidi"/>
        </w:rPr>
      </w:pPr>
      <w:r w:rsidRPr="006D631C">
        <w:rPr>
          <w:rFonts w:asciiTheme="majorBidi" w:hAnsiTheme="majorBidi" w:cstheme="majorBidi"/>
          <w:noProof/>
        </w:rPr>
        <w:lastRenderedPageBreak/>
        <w:drawing>
          <wp:inline distT="0" distB="0" distL="0" distR="0" wp14:anchorId="490F7DAF" wp14:editId="7255772A">
            <wp:extent cx="5904000" cy="2239270"/>
            <wp:effectExtent l="0" t="0" r="1905"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904000" cy="2239270"/>
                    </a:xfrm>
                    <a:prstGeom prst="rect">
                      <a:avLst/>
                    </a:prstGeom>
                    <a:noFill/>
                  </pic:spPr>
                </pic:pic>
              </a:graphicData>
            </a:graphic>
          </wp:inline>
        </w:drawing>
      </w:r>
    </w:p>
    <w:p w14:paraId="3433FA20" w14:textId="12D780B9" w:rsidR="000D7D4F" w:rsidRPr="006D631C" w:rsidRDefault="000D7D4F" w:rsidP="000D7D4F">
      <w:pPr>
        <w:pStyle w:val="Caption"/>
        <w:jc w:val="center"/>
        <w:rPr>
          <w:rFonts w:asciiTheme="majorBidi" w:hAnsiTheme="majorBidi" w:cstheme="majorBidi"/>
          <w:sz w:val="22"/>
          <w:szCs w:val="22"/>
        </w:rPr>
      </w:pPr>
      <w:bookmarkStart w:id="193" w:name="_Toc148175953"/>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4</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8</w:t>
      </w:r>
      <w:r w:rsidR="00B55F32" w:rsidRPr="006D631C">
        <w:rPr>
          <w:sz w:val="22"/>
          <w:szCs w:val="22"/>
        </w:rPr>
        <w:fldChar w:fldCharType="end"/>
      </w:r>
      <w:r w:rsidRPr="006D631C">
        <w:rPr>
          <w:rFonts w:asciiTheme="majorBidi" w:hAnsiTheme="majorBidi" w:cstheme="majorBidi"/>
          <w:sz w:val="22"/>
          <w:szCs w:val="22"/>
        </w:rPr>
        <w:t>. (a) Contact angle of the polyLLC membrane swelled with water at 25 and 45 °C. (b) Ratio of membrane flux at a given time (J) to preliminary flux with DI water (J</w:t>
      </w:r>
      <w:r w:rsidRPr="006D631C">
        <w:rPr>
          <w:rFonts w:asciiTheme="majorBidi" w:hAnsiTheme="majorBidi" w:cstheme="majorBidi"/>
          <w:sz w:val="22"/>
          <w:szCs w:val="22"/>
          <w:vertAlign w:val="subscript"/>
        </w:rPr>
        <w:t>0</w:t>
      </w:r>
      <w:r w:rsidRPr="006D631C">
        <w:rPr>
          <w:rFonts w:asciiTheme="majorBidi" w:hAnsiTheme="majorBidi" w:cstheme="majorBidi"/>
          <w:sz w:val="22"/>
          <w:szCs w:val="22"/>
        </w:rPr>
        <w:t>) (filled symbols) and rejection rate of different solutes (open symbols) for the polyLLC membrane.</w:t>
      </w:r>
      <w:bookmarkEnd w:id="193"/>
    </w:p>
    <w:p w14:paraId="031E57A4" w14:textId="4D81BE56" w:rsidR="00A9517A" w:rsidRPr="006D631C" w:rsidRDefault="0005214F" w:rsidP="002A3219">
      <w:pPr>
        <w:ind w:firstLine="360"/>
        <w:rPr>
          <w:rFonts w:asciiTheme="majorBidi" w:hAnsiTheme="majorBidi" w:cstheme="majorBidi"/>
        </w:rPr>
      </w:pPr>
      <w:r w:rsidRPr="006D631C">
        <w:rPr>
          <w:rFonts w:asciiTheme="majorBidi" w:hAnsiTheme="majorBidi" w:cstheme="majorBidi"/>
        </w:rPr>
        <w:t xml:space="preserve">To evaluate the fouling resistance, we passed the solution of three different species through the membrane maintained at 25 °C over the course of 60 h. The rejection rate was monitored in addition to the membrane flux to ensure that the reported rejection results are for steady-state conditions rather than transient state which might occur because of dead spots (fluid stagnation points) in the filtration cell, adsorption of the solute, membrane compaction, or probable leaching of materials from the system. </w:t>
      </w:r>
      <w:r w:rsidR="000431A2" w:rsidRPr="006D631C">
        <w:rPr>
          <w:rFonts w:asciiTheme="majorBidi" w:hAnsiTheme="majorBidi" w:cstheme="majorBidi"/>
        </w:rPr>
        <w:t>The results presented in Figure</w:t>
      </w:r>
      <w:r w:rsidRPr="006D631C">
        <w:rPr>
          <w:rFonts w:asciiTheme="majorBidi" w:hAnsiTheme="majorBidi" w:cstheme="majorBidi"/>
        </w:rPr>
        <w:t xml:space="preserve"> </w:t>
      </w:r>
      <w:r w:rsidR="000431A2" w:rsidRPr="006D631C">
        <w:rPr>
          <w:rFonts w:asciiTheme="majorBidi" w:hAnsiTheme="majorBidi" w:cstheme="majorBidi"/>
        </w:rPr>
        <w:t>4-</w:t>
      </w:r>
      <w:r w:rsidRPr="006D631C">
        <w:rPr>
          <w:rFonts w:asciiTheme="majorBidi" w:hAnsiTheme="majorBidi" w:cstheme="majorBidi"/>
        </w:rPr>
        <w:t xml:space="preserve">8b reveal that a </w:t>
      </w:r>
      <w:r w:rsidRPr="006D631C">
        <w:rPr>
          <w:rFonts w:ascii="Cambria Math" w:hAnsi="Cambria Math" w:cstheme="majorBidi"/>
        </w:rPr>
        <w:t>≤</w:t>
      </w:r>
      <w:r w:rsidRPr="006D631C">
        <w:rPr>
          <w:rFonts w:asciiTheme="majorBidi" w:hAnsiTheme="majorBidi" w:cstheme="majorBidi"/>
        </w:rPr>
        <w:t xml:space="preserve">6% membrane flux decline is seen after 60 h during filtration of different species. This super-fouling resistance behavior was expected as the polyLLC membrane has highly hydrophilic surface. It should also be noted that this performance is observed under dead-end filtration operation, which can induce severe fouling. Therefore, an even better performance (less than 6% flux decline) is expected under a </w:t>
      </w:r>
      <w:r w:rsidR="004F2406" w:rsidRPr="006D631C">
        <w:rPr>
          <w:rFonts w:asciiTheme="majorBidi" w:hAnsiTheme="majorBidi" w:cstheme="majorBidi"/>
        </w:rPr>
        <w:t>crossflow</w:t>
      </w:r>
      <w:r w:rsidRPr="006D631C">
        <w:rPr>
          <w:rFonts w:asciiTheme="majorBidi" w:hAnsiTheme="majorBidi" w:cstheme="majorBidi"/>
        </w:rPr>
        <w:t xml:space="preserve"> filtration condition. The results for the rejection of different solutes confirm that the membrane rejection performance remains almost unchanged throughout the </w:t>
      </w:r>
      <w:r w:rsidR="004F2406" w:rsidRPr="006D631C">
        <w:rPr>
          <w:rFonts w:asciiTheme="majorBidi" w:hAnsiTheme="majorBidi" w:cstheme="majorBidi"/>
        </w:rPr>
        <w:t>60-h</w:t>
      </w:r>
      <w:r w:rsidRPr="006D631C">
        <w:rPr>
          <w:rFonts w:asciiTheme="majorBidi" w:hAnsiTheme="majorBidi" w:cstheme="majorBidi"/>
        </w:rPr>
        <w:t xml:space="preserve"> filtration period.</w:t>
      </w:r>
    </w:p>
    <w:p w14:paraId="72D9937B" w14:textId="27133304" w:rsidR="00C21332" w:rsidRPr="006D631C" w:rsidRDefault="00C21332" w:rsidP="00EA5AA7">
      <w:pPr>
        <w:ind w:firstLine="360"/>
        <w:rPr>
          <w:rFonts w:asciiTheme="majorBidi" w:hAnsiTheme="majorBidi" w:cstheme="majorBidi"/>
        </w:rPr>
      </w:pPr>
      <w:r w:rsidRPr="006D631C">
        <w:rPr>
          <w:rFonts w:asciiTheme="majorBidi" w:hAnsiTheme="majorBidi" w:cstheme="majorBidi"/>
        </w:rPr>
        <w:t xml:space="preserve">It is worth noting that despite the increased hydrophobicity of the PPO block at 45 °C, the measured contact angle at this temperature only shows a negligible change compared to the value </w:t>
      </w:r>
      <w:r w:rsidRPr="006D631C">
        <w:rPr>
          <w:rFonts w:asciiTheme="majorBidi" w:hAnsiTheme="majorBidi" w:cstheme="majorBidi"/>
        </w:rPr>
        <w:lastRenderedPageBreak/>
        <w:t>observed at 25 °C (39° versus 36°). Therefore, the alteration in the hydrophobicity of the PPO block does not significantly affect the surface hydrophilicity of the membrane, possibly due to the protective effect of the PEO component. Moreover, our previous research</w:t>
      </w:r>
      <w:r w:rsidR="00D7219D" w:rsidRPr="006D631C">
        <w:rPr>
          <w:rFonts w:asciiTheme="majorBidi" w:hAnsiTheme="majorBidi" w:cstheme="majorBidi"/>
        </w:rPr>
        <w:t xml:space="preserve"> (see </w:t>
      </w:r>
      <w:r w:rsidR="00EA5AA7" w:rsidRPr="006D631C">
        <w:rPr>
          <w:rFonts w:asciiTheme="majorBidi" w:hAnsiTheme="majorBidi" w:cstheme="majorBidi"/>
        </w:rPr>
        <w:t xml:space="preserve">Chapter </w:t>
      </w:r>
      <w:r w:rsidR="00D7219D" w:rsidRPr="006D631C">
        <w:rPr>
          <w:rFonts w:asciiTheme="majorBidi" w:hAnsiTheme="majorBidi" w:cstheme="majorBidi"/>
        </w:rPr>
        <w:t>3)</w:t>
      </w:r>
      <w:r w:rsidRPr="006D631C">
        <w:rPr>
          <w:rFonts w:asciiTheme="majorBidi" w:hAnsiTheme="majorBidi" w:cstheme="majorBidi"/>
        </w:rPr>
        <w:t xml:space="preserve"> has demonstrated that similar thermoresponsive membranes exhibit better performance against fouling at higher temperatures because  pores will expand and result in a higher surface porosity when the membrane is heated up</w:t>
      </w:r>
      <w:r w:rsidR="00F67C64" w:rsidRPr="006D631C">
        <w:rPr>
          <w:rFonts w:asciiTheme="majorBidi" w:hAnsiTheme="majorBidi" w:cstheme="majorBidi"/>
        </w:rPr>
        <w:t>.</w:t>
      </w:r>
      <w:r w:rsidRPr="006D631C">
        <w:rPr>
          <w:rFonts w:asciiTheme="majorBidi" w:hAnsiTheme="majorBidi" w:cstheme="majorBidi"/>
        </w:rPr>
        <w:fldChar w:fldCharType="begin" w:fldLock="1"/>
      </w:r>
      <w:r w:rsidR="0095041D" w:rsidRPr="006D631C">
        <w:rPr>
          <w:rFonts w:asciiTheme="majorBidi" w:hAnsiTheme="majorBidi" w:cstheme="majorBidi"/>
        </w:rPr>
        <w:instrText>ADDIN CSL_CITATION {"citationItems":[{"id":"ITEM-1","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Materials","id":"ITEM-1","issue":"11","issued":{"date-parts":[["2022","11","11"]]},"page":"8156-8165","title":"Two-Step Thermoresponsive Ultrafiltration Membranes from Polymerization of Lyotropic Liquid Crystals","type":"article-journal","volume":"4"},"uris":["http://www.mendeley.com/documents/?uuid=4eee7cf8-e804-4309-8e0d-bec6bee52d4f"]}],"mendeley":{"formattedCitation":"&lt;sup&gt;263&lt;/sup&gt;","plainTextFormattedCitation":"263","previouslyFormattedCitation":"&lt;sup&gt;263&lt;/sup&gt;"},"properties":{"noteIndex":0},"schema":"https://github.com/citation-style-language/schema/raw/master/csl-citation.json"}</w:instrText>
      </w:r>
      <w:r w:rsidRPr="006D631C">
        <w:rPr>
          <w:rFonts w:asciiTheme="majorBidi" w:hAnsiTheme="majorBidi" w:cstheme="majorBidi"/>
        </w:rPr>
        <w:fldChar w:fldCharType="separate"/>
      </w:r>
      <w:r w:rsidR="00F67C64" w:rsidRPr="006D631C">
        <w:rPr>
          <w:rFonts w:asciiTheme="majorBidi" w:hAnsiTheme="majorBidi" w:cstheme="majorBidi"/>
          <w:noProof/>
          <w:vertAlign w:val="superscript"/>
        </w:rPr>
        <w:t>263</w:t>
      </w:r>
      <w:r w:rsidRPr="006D631C">
        <w:rPr>
          <w:rFonts w:asciiTheme="majorBidi" w:hAnsiTheme="majorBidi" w:cstheme="majorBidi"/>
        </w:rPr>
        <w:fldChar w:fldCharType="end"/>
      </w:r>
      <w:r w:rsidRPr="006D631C">
        <w:rPr>
          <w:rFonts w:asciiTheme="majorBidi" w:hAnsiTheme="majorBidi" w:cstheme="majorBidi"/>
        </w:rPr>
        <w:t xml:space="preserve"> Therefore, it is not unexpected that this membrane demonstrates a similar antifouling performance at 25 and 45 °C.</w:t>
      </w:r>
    </w:p>
    <w:p w14:paraId="43784C12" w14:textId="1FCEFE06" w:rsidR="00817404" w:rsidRPr="006D631C" w:rsidRDefault="00817404" w:rsidP="00892A2D">
      <w:pPr>
        <w:pStyle w:val="Heading3"/>
      </w:pPr>
      <w:bookmarkStart w:id="194" w:name="_Toc148175862"/>
      <w:r w:rsidRPr="006D631C">
        <w:t>4.3.</w:t>
      </w:r>
      <w:r w:rsidR="00892A2D" w:rsidRPr="006D631C">
        <w:t>3</w:t>
      </w:r>
      <w:r w:rsidRPr="006D631C">
        <w:t xml:space="preserve"> Mechanism of thermal response</w:t>
      </w:r>
      <w:bookmarkEnd w:id="194"/>
    </w:p>
    <w:p w14:paraId="02890233" w14:textId="10041E10" w:rsidR="00A9517A" w:rsidRPr="006D631C" w:rsidRDefault="00543C81" w:rsidP="00EA5AA7">
      <w:pPr>
        <w:ind w:firstLine="360"/>
        <w:rPr>
          <w:rFonts w:asciiTheme="majorBidi" w:hAnsiTheme="majorBidi" w:cstheme="majorBidi"/>
        </w:rPr>
      </w:pPr>
      <w:r w:rsidRPr="006D631C">
        <w:rPr>
          <w:rFonts w:asciiTheme="majorBidi" w:hAnsiTheme="majorBidi" w:cstheme="majorBidi"/>
        </w:rPr>
        <w:t>Based on the obtained experimental results, thermoresponsiveness mechanism of the polyLLC membrane can be defined as follow: a chemically cross-linked polymer network is swelled with water, resulting in the formation of an average pores of 2.5 nm. It should be noted that due to the partial hydrophilicity of PPO block at room temperature, it is partially present in the polar domain (PEO, PPO, and water do not form fully segregated domains</w:t>
      </w:r>
      <w:r w:rsidRPr="006D631C">
        <w:rPr>
          <w:rFonts w:asciiTheme="majorBidi" w:hAnsiTheme="majorBidi" w:cstheme="majorBidi"/>
        </w:rPr>
        <w:fldChar w:fldCharType="begin" w:fldLock="1"/>
      </w:r>
      <w:r w:rsidR="00912D78" w:rsidRPr="006D631C">
        <w:rPr>
          <w:rFonts w:asciiTheme="majorBidi" w:hAnsiTheme="majorBidi" w:cstheme="majorBidi"/>
        </w:rPr>
        <w:instrText>ADDIN CSL_CITATION {"citationItems":[{"id":"ITEM-1","itemData":{"DOI":"10.1021/ma00063a040","ISSN":"0024-9297","author":[{"dropping-particle":"","family":"Malmsten","given":"M.","non-dropping-particle":"","parse-names":false,"suffix":""},{"dropping-particle":"","family":"Linse","given":"P.","non-dropping-particle":"","parse-names":false,"suffix":""},{"dropping-particle":"","family":"Zhang","given":"K. W.","non-dropping-particle":"","parse-names":false,"suffix":""}],"container-title":"Macromolecules","id":"ITEM-1","issue":"11","issued":{"date-parts":[["1993","5","1"]]},"page":"2905-2910","title":"Phase behavior of aqueous poly(ethylene oxide)/poly(propylene oxide) solutions","type":"article-journal","volume":"26"},"uris":["http://www.mendeley.com/documents/?uuid=c2848a08-1cd6-4930-add0-9550c06f10d6"]}],"mendeley":{"formattedCitation":"&lt;sup&gt;277&lt;/sup&gt;","plainTextFormattedCitation":"277","previouslyFormattedCitation":"&lt;sup&gt;277&lt;/sup&gt;"},"properties":{"noteIndex":0},"schema":"https://github.com/citation-style-language/schema/raw/master/csl-citation.json"}</w:instrText>
      </w:r>
      <w:r w:rsidRPr="006D631C">
        <w:rPr>
          <w:rFonts w:asciiTheme="majorBidi" w:hAnsiTheme="majorBidi" w:cstheme="majorBidi"/>
        </w:rPr>
        <w:fldChar w:fldCharType="separate"/>
      </w:r>
      <w:r w:rsidR="00E7504B" w:rsidRPr="006D631C">
        <w:rPr>
          <w:rFonts w:asciiTheme="majorBidi" w:hAnsiTheme="majorBidi" w:cstheme="majorBidi"/>
          <w:noProof/>
          <w:vertAlign w:val="superscript"/>
        </w:rPr>
        <w:t>277</w:t>
      </w:r>
      <w:r w:rsidRPr="006D631C">
        <w:rPr>
          <w:rFonts w:asciiTheme="majorBidi" w:hAnsiTheme="majorBidi" w:cstheme="majorBidi"/>
        </w:rPr>
        <w:fldChar w:fldCharType="end"/>
      </w:r>
      <w:r w:rsidRPr="006D631C">
        <w:rPr>
          <w:rFonts w:asciiTheme="majorBidi" w:hAnsiTheme="majorBidi" w:cstheme="majorBidi"/>
        </w:rPr>
        <w:t>). The PPO block in the polymer network undergoes a major dehydration upon heating to 45 °C due to the LCST of the Pluronic copolymer, resulting in the shrinkage of polymer chains. The consequent conformational change increases the intermicellar distance and result in a larger pore size (Fig</w:t>
      </w:r>
      <w:r w:rsidR="005365CD" w:rsidRPr="006D631C">
        <w:rPr>
          <w:rFonts w:asciiTheme="majorBidi" w:hAnsiTheme="majorBidi" w:cstheme="majorBidi"/>
        </w:rPr>
        <w:t>ure</w:t>
      </w:r>
      <w:r w:rsidRPr="006D631C">
        <w:rPr>
          <w:rFonts w:asciiTheme="majorBidi" w:hAnsiTheme="majorBidi" w:cstheme="majorBidi"/>
        </w:rPr>
        <w:t xml:space="preserve"> </w:t>
      </w:r>
      <w:r w:rsidR="005365CD" w:rsidRPr="006D631C">
        <w:rPr>
          <w:rFonts w:asciiTheme="majorBidi" w:hAnsiTheme="majorBidi" w:cstheme="majorBidi"/>
        </w:rPr>
        <w:t>4-</w:t>
      </w:r>
      <w:r w:rsidRPr="006D631C">
        <w:rPr>
          <w:rFonts w:asciiTheme="majorBidi" w:hAnsiTheme="majorBidi" w:cstheme="majorBidi"/>
        </w:rPr>
        <w:t>9). This porosity alteration is perfectly reversible with rehydration of the PPO block when the system is cooled back to 25 °C. This hypothesis is in agreement with what we reported for the membranes synthesized via LLC templating using thermoresponsive F127 surfactant</w:t>
      </w:r>
      <w:r w:rsidR="00514A42" w:rsidRPr="006D631C">
        <w:rPr>
          <w:rFonts w:asciiTheme="majorBidi" w:hAnsiTheme="majorBidi" w:cstheme="majorBidi"/>
        </w:rPr>
        <w:t xml:space="preserve"> in </w:t>
      </w:r>
      <w:r w:rsidR="00EA5AA7" w:rsidRPr="006D631C">
        <w:rPr>
          <w:rFonts w:asciiTheme="majorBidi" w:hAnsiTheme="majorBidi" w:cstheme="majorBidi"/>
        </w:rPr>
        <w:t xml:space="preserve">Chapter </w:t>
      </w:r>
      <w:r w:rsidR="00514A42" w:rsidRPr="006D631C">
        <w:rPr>
          <w:rFonts w:asciiTheme="majorBidi" w:hAnsiTheme="majorBidi" w:cstheme="majorBidi"/>
        </w:rPr>
        <w:t>3.</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Materials","id":"ITEM-1","issue":"11","issued":{"date-parts":[["2022","11","11"]]},"page":"8156-8165","title":"Two-Step Thermoresponsive Ultrafiltration Membranes from Polymerization of Lyotropic Liquid Crystals","type":"article-journal","volume":"4"},"uris":["http://www.mendeley.com/documents/?uuid=4eee7cf8-e804-4309-8e0d-bec6bee52d4f"]}],"mendeley":{"formattedCitation":"&lt;sup&gt;263&lt;/sup&gt;","plainTextFormattedCitation":"263","previouslyFormattedCitation":"&lt;sup&gt;263&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263</w:t>
      </w:r>
      <w:r w:rsidRPr="006D631C">
        <w:rPr>
          <w:rFonts w:asciiTheme="majorBidi" w:hAnsiTheme="majorBidi" w:cstheme="majorBidi"/>
        </w:rPr>
        <w:fldChar w:fldCharType="end"/>
      </w:r>
      <w:r w:rsidRPr="006D631C">
        <w:rPr>
          <w:rFonts w:asciiTheme="majorBidi" w:hAnsiTheme="majorBidi" w:cstheme="majorBidi"/>
        </w:rPr>
        <w:t xml:space="preserve"> Fig</w:t>
      </w:r>
      <w:r w:rsidR="00514A42" w:rsidRPr="006D631C">
        <w:rPr>
          <w:rFonts w:asciiTheme="majorBidi" w:hAnsiTheme="majorBidi" w:cstheme="majorBidi"/>
        </w:rPr>
        <w:t>ure</w:t>
      </w:r>
      <w:r w:rsidRPr="006D631C">
        <w:rPr>
          <w:rFonts w:asciiTheme="majorBidi" w:hAnsiTheme="majorBidi" w:cstheme="majorBidi"/>
        </w:rPr>
        <w:t xml:space="preserve"> </w:t>
      </w:r>
      <w:r w:rsidR="00514A42" w:rsidRPr="006D631C">
        <w:rPr>
          <w:rFonts w:asciiTheme="majorBidi" w:hAnsiTheme="majorBidi" w:cstheme="majorBidi"/>
        </w:rPr>
        <w:t>4-</w:t>
      </w:r>
      <w:r w:rsidRPr="006D631C">
        <w:rPr>
          <w:rFonts w:asciiTheme="majorBidi" w:hAnsiTheme="majorBidi" w:cstheme="majorBidi"/>
        </w:rPr>
        <w:t>9 represents the explained thermoresponsiveness mechanism schematically.</w:t>
      </w:r>
    </w:p>
    <w:p w14:paraId="307931D5" w14:textId="750C206C" w:rsidR="00737B4B" w:rsidRPr="006D631C" w:rsidRDefault="00737B4B" w:rsidP="00461A5D">
      <w:pPr>
        <w:pStyle w:val="Heading2"/>
      </w:pPr>
      <w:bookmarkStart w:id="195" w:name="_Toc148175863"/>
      <w:r w:rsidRPr="006D631C">
        <w:t xml:space="preserve">4.4 </w:t>
      </w:r>
      <w:r w:rsidR="00461A5D" w:rsidRPr="006D631C">
        <w:t>C</w:t>
      </w:r>
      <w:r w:rsidR="000832F6" w:rsidRPr="006D631C">
        <w:t>onclusion</w:t>
      </w:r>
      <w:bookmarkEnd w:id="195"/>
    </w:p>
    <w:p w14:paraId="7AC42361" w14:textId="3222EA21" w:rsidR="00682255" w:rsidRPr="006D631C" w:rsidRDefault="00737B4B" w:rsidP="00EA5AA7">
      <w:pPr>
        <w:ind w:firstLine="360"/>
        <w:rPr>
          <w:rFonts w:asciiTheme="majorBidi" w:hAnsiTheme="majorBidi" w:cstheme="majorBidi"/>
        </w:rPr>
      </w:pPr>
      <w:r w:rsidRPr="006D631C">
        <w:rPr>
          <w:rFonts w:asciiTheme="majorBidi" w:hAnsiTheme="majorBidi" w:cstheme="majorBidi"/>
        </w:rPr>
        <w:t>In this chapter, we reported the preparation of a mesophase-templated UF membrane with thermoresponsive and super-fouling resistant features. H</w:t>
      </w:r>
      <w:r w:rsidRPr="006D631C">
        <w:rPr>
          <w:rFonts w:asciiTheme="majorBidi" w:hAnsiTheme="majorBidi" w:cstheme="majorBidi"/>
          <w:vertAlign w:val="subscript"/>
        </w:rPr>
        <w:t>1</w:t>
      </w:r>
      <w:r w:rsidRPr="006D631C">
        <w:rPr>
          <w:rFonts w:asciiTheme="majorBidi" w:hAnsiTheme="majorBidi" w:cstheme="majorBidi"/>
        </w:rPr>
        <w:t>-struc</w:t>
      </w:r>
      <w:r w:rsidR="00E40DE0" w:rsidRPr="006D631C">
        <w:rPr>
          <w:rFonts w:asciiTheme="majorBidi" w:hAnsiTheme="majorBidi" w:cstheme="majorBidi"/>
        </w:rPr>
        <w:t>tu</w:t>
      </w:r>
      <w:r w:rsidRPr="006D631C">
        <w:rPr>
          <w:rFonts w:asciiTheme="majorBidi" w:hAnsiTheme="majorBidi" w:cstheme="majorBidi"/>
        </w:rPr>
        <w:t xml:space="preserve">red LLC directed by </w:t>
      </w:r>
      <w:r w:rsidRPr="006D631C">
        <w:rPr>
          <w:rFonts w:asciiTheme="majorBidi" w:hAnsiTheme="majorBidi" w:cstheme="majorBidi"/>
        </w:rPr>
        <w:lastRenderedPageBreak/>
        <w:t>thermoresponsive P84DA block copolymer was used to synthesize the membrane. By increasing the temperature from 25 to 45 °C, the thickness-normalized flux changes from 28 to 68 liters m</w:t>
      </w:r>
      <w:r w:rsidRPr="006D631C">
        <w:rPr>
          <w:rFonts w:asciiTheme="majorBidi" w:hAnsiTheme="majorBidi" w:cstheme="majorBidi"/>
          <w:vertAlign w:val="superscript"/>
        </w:rPr>
        <w:t>−2</w:t>
      </w:r>
      <w:r w:rsidRPr="006D631C">
        <w:rPr>
          <w:rFonts w:asciiTheme="majorBidi" w:hAnsiTheme="majorBidi" w:cstheme="majorBidi"/>
        </w:rPr>
        <w:t xml:space="preserve"> hour</w:t>
      </w:r>
      <w:r w:rsidRPr="006D631C">
        <w:rPr>
          <w:rFonts w:asciiTheme="majorBidi" w:hAnsiTheme="majorBidi" w:cstheme="majorBidi"/>
          <w:vertAlign w:val="superscript"/>
        </w:rPr>
        <w:t>−1</w:t>
      </w:r>
      <w:r w:rsidRPr="006D631C">
        <w:rPr>
          <w:rFonts w:asciiTheme="majorBidi" w:hAnsiTheme="majorBidi" w:cstheme="majorBidi"/>
        </w:rPr>
        <w:t xml:space="preserve"> µm and MWCO changes from 2200 to 3900 Da, respectively. Additionally, highly hydrophilic surface (contact angle of 36–39°) makes these membranes antifouling as their permeability remains almost intact after 60 h of filtration of different charged and uncharged solutes.</w:t>
      </w:r>
      <w:r w:rsidR="00992C87" w:rsidRPr="006D631C">
        <w:rPr>
          <w:rFonts w:asciiTheme="majorBidi" w:hAnsiTheme="majorBidi" w:cstheme="majorBidi"/>
        </w:rPr>
        <w:t xml:space="preserve"> The remarkable characteristics of this membrane render it highly suitable for a diverse range of applications. For instance, the dynamic pore size of the membrane offers the ability to finely adjust the selectivity between two components, eliminating the necessity for structural alterations or complete membrane replacement. Other potential applications lie in protein purification and removal of viruses and bacteria. For protein purification or biopharmaceutical processing, however, the testing temperatures might not be raised to adjust the MWCO for separation. Nevertheless, we have shown in our previous publication that the thermoresponsive behavior can be used for cleaning membranes after </w:t>
      </w:r>
      <w:r w:rsidR="006A635C" w:rsidRPr="006D631C">
        <w:rPr>
          <w:rFonts w:asciiTheme="majorBidi" w:hAnsiTheme="majorBidi" w:cstheme="majorBidi"/>
        </w:rPr>
        <w:t xml:space="preserve">probable </w:t>
      </w:r>
      <w:r w:rsidR="00992C87" w:rsidRPr="006D631C">
        <w:rPr>
          <w:rFonts w:asciiTheme="majorBidi" w:hAnsiTheme="majorBidi" w:cstheme="majorBidi"/>
        </w:rPr>
        <w:t xml:space="preserve">fouling (see </w:t>
      </w:r>
      <w:r w:rsidR="00EA5AA7" w:rsidRPr="006D631C">
        <w:rPr>
          <w:rFonts w:asciiTheme="majorBidi" w:hAnsiTheme="majorBidi" w:cstheme="majorBidi"/>
        </w:rPr>
        <w:t xml:space="preserve">Chapter </w:t>
      </w:r>
      <w:r w:rsidR="00992C87" w:rsidRPr="006D631C">
        <w:rPr>
          <w:rFonts w:asciiTheme="majorBidi" w:hAnsiTheme="majorBidi" w:cstheme="majorBidi"/>
        </w:rPr>
        <w:t>3). The de</w:t>
      </w:r>
      <w:r w:rsidR="00806C4E" w:rsidRPr="006D631C">
        <w:rPr>
          <w:rFonts w:asciiTheme="majorBidi" w:hAnsiTheme="majorBidi" w:cstheme="majorBidi"/>
        </w:rPr>
        <w:t xml:space="preserve">veloped membrane also addresses </w:t>
      </w:r>
      <w:r w:rsidR="00992C87" w:rsidRPr="006D631C">
        <w:rPr>
          <w:rFonts w:asciiTheme="majorBidi" w:hAnsiTheme="majorBidi" w:cstheme="majorBidi"/>
        </w:rPr>
        <w:t>the significant fouling challenges associated with such components, irrespective of being ionic or nonionic.</w:t>
      </w:r>
    </w:p>
    <w:p w14:paraId="5FA588F2" w14:textId="77777777" w:rsidR="006F5E8C" w:rsidRPr="006D631C" w:rsidRDefault="00C3478E" w:rsidP="00C3478E">
      <w:pPr>
        <w:pStyle w:val="Caption"/>
        <w:jc w:val="center"/>
        <w:rPr>
          <w:sz w:val="22"/>
          <w:szCs w:val="22"/>
        </w:rPr>
      </w:pPr>
      <w:r w:rsidRPr="006D631C">
        <w:rPr>
          <w:rFonts w:asciiTheme="majorBidi" w:hAnsiTheme="majorBidi" w:cstheme="majorBidi"/>
          <w:noProof/>
          <w:szCs w:val="24"/>
        </w:rPr>
        <w:lastRenderedPageBreak/>
        <w:drawing>
          <wp:inline distT="0" distB="0" distL="0" distR="0" wp14:anchorId="3DF57B41" wp14:editId="0D8647E1">
            <wp:extent cx="5904000" cy="3516819"/>
            <wp:effectExtent l="0" t="0" r="1905"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904000" cy="3516819"/>
                    </a:xfrm>
                    <a:prstGeom prst="rect">
                      <a:avLst/>
                    </a:prstGeom>
                    <a:noFill/>
                  </pic:spPr>
                </pic:pic>
              </a:graphicData>
            </a:graphic>
          </wp:inline>
        </w:drawing>
      </w:r>
    </w:p>
    <w:p w14:paraId="0D1D73F0" w14:textId="15D93EF1" w:rsidR="00C3478E" w:rsidRPr="006D631C" w:rsidRDefault="00C3478E" w:rsidP="00C3478E">
      <w:pPr>
        <w:pStyle w:val="Caption"/>
        <w:jc w:val="center"/>
        <w:rPr>
          <w:rFonts w:asciiTheme="majorBidi" w:hAnsiTheme="majorBidi" w:cstheme="majorBidi"/>
        </w:rPr>
      </w:pPr>
      <w:bookmarkStart w:id="196" w:name="_Toc148175954"/>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4</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9</w:t>
      </w:r>
      <w:r w:rsidR="00B55F32" w:rsidRPr="006D631C">
        <w:rPr>
          <w:sz w:val="22"/>
          <w:szCs w:val="22"/>
        </w:rPr>
        <w:fldChar w:fldCharType="end"/>
      </w:r>
      <w:r w:rsidRPr="006D631C">
        <w:rPr>
          <w:rFonts w:asciiTheme="majorBidi" w:hAnsiTheme="majorBidi" w:cstheme="majorBidi"/>
          <w:sz w:val="22"/>
          <w:szCs w:val="22"/>
        </w:rPr>
        <w:t>. Schematic representation of thermoresponsiveness mechanism of the polyLLC membrane.</w:t>
      </w:r>
      <w:bookmarkEnd w:id="196"/>
    </w:p>
    <w:p w14:paraId="155EE555" w14:textId="77777777" w:rsidR="00A9517A" w:rsidRPr="006D631C" w:rsidRDefault="00A9517A" w:rsidP="002A3219">
      <w:pPr>
        <w:ind w:firstLine="360"/>
      </w:pPr>
    </w:p>
    <w:p w14:paraId="5DEAA585" w14:textId="77777777" w:rsidR="00A9517A" w:rsidRPr="006D631C" w:rsidRDefault="00A9517A" w:rsidP="002A3219">
      <w:pPr>
        <w:ind w:firstLine="360"/>
      </w:pPr>
    </w:p>
    <w:p w14:paraId="360D41F7" w14:textId="77777777" w:rsidR="00A9517A" w:rsidRPr="006D631C" w:rsidRDefault="00A9517A" w:rsidP="002A3219">
      <w:pPr>
        <w:ind w:firstLine="360"/>
      </w:pPr>
    </w:p>
    <w:p w14:paraId="18FEAD3A" w14:textId="77777777" w:rsidR="00A9517A" w:rsidRPr="006D631C" w:rsidRDefault="00A9517A" w:rsidP="002A3219">
      <w:pPr>
        <w:ind w:firstLine="360"/>
      </w:pPr>
    </w:p>
    <w:p w14:paraId="208CC461" w14:textId="77777777" w:rsidR="00A9517A" w:rsidRPr="006D631C" w:rsidRDefault="00A9517A" w:rsidP="002A3219">
      <w:pPr>
        <w:ind w:firstLine="360"/>
      </w:pPr>
    </w:p>
    <w:p w14:paraId="175E4A0C" w14:textId="77777777" w:rsidR="00A9517A" w:rsidRPr="006D631C" w:rsidRDefault="00A9517A" w:rsidP="002A3219">
      <w:pPr>
        <w:ind w:firstLine="360"/>
      </w:pPr>
    </w:p>
    <w:p w14:paraId="400E486D" w14:textId="77777777" w:rsidR="00A9517A" w:rsidRPr="006D631C" w:rsidRDefault="00A9517A" w:rsidP="002A3219">
      <w:pPr>
        <w:ind w:firstLine="360"/>
      </w:pPr>
    </w:p>
    <w:p w14:paraId="341CD50C" w14:textId="77777777" w:rsidR="00A9517A" w:rsidRPr="006D631C" w:rsidRDefault="00A9517A" w:rsidP="002A3219">
      <w:pPr>
        <w:ind w:firstLine="360"/>
      </w:pPr>
    </w:p>
    <w:p w14:paraId="0B0FE72D" w14:textId="63CFC09B" w:rsidR="002A3219" w:rsidRPr="006D631C" w:rsidRDefault="00EB592D" w:rsidP="002A3219">
      <w:pPr>
        <w:ind w:firstLine="360"/>
        <w:rPr>
          <w:rFonts w:ascii="Times" w:hAnsi="Times" w:cs="Times"/>
          <w:iCs/>
        </w:rPr>
      </w:pPr>
      <w:r w:rsidRPr="006D631C">
        <w:t xml:space="preserve"> </w:t>
      </w:r>
    </w:p>
    <w:p w14:paraId="13644436" w14:textId="40640B71" w:rsidR="00B70525" w:rsidRPr="006D631C" w:rsidRDefault="00B70525" w:rsidP="00E96019">
      <w:pPr>
        <w:pStyle w:val="Heading1"/>
        <w:jc w:val="center"/>
      </w:pPr>
      <w:bookmarkStart w:id="197" w:name="_Toc148175864"/>
      <w:r w:rsidRPr="006D631C">
        <w:lastRenderedPageBreak/>
        <w:t>THERM</w:t>
      </w:r>
      <w:r w:rsidR="00E96019" w:rsidRPr="006D631C">
        <w:t>O- and pH-</w:t>
      </w:r>
      <w:r w:rsidRPr="006D631C">
        <w:t xml:space="preserve">RESPONSIVE ANTIFOULING </w:t>
      </w:r>
      <w:r w:rsidR="00E96019" w:rsidRPr="006D631C">
        <w:t>NANOFILTRATION</w:t>
      </w:r>
      <w:r w:rsidRPr="006D631C">
        <w:t xml:space="preserve"> MEMBRANES FROM </w:t>
      </w:r>
      <w:r w:rsidR="00E96019" w:rsidRPr="006D631C">
        <w:t>LYOTROPIC LIQUID CRYSTAL</w:t>
      </w:r>
      <w:r w:rsidRPr="006D631C">
        <w:t xml:space="preserve"> TEMPLATING</w:t>
      </w:r>
      <w:bookmarkEnd w:id="197"/>
    </w:p>
    <w:p w14:paraId="2D814BC3" w14:textId="166B8AE0" w:rsidR="00FF25E2" w:rsidRPr="006D631C" w:rsidRDefault="00FF25E2" w:rsidP="00FF25E2">
      <w:pPr>
        <w:pStyle w:val="Heading2"/>
      </w:pPr>
      <w:bookmarkStart w:id="198" w:name="_Toc148175865"/>
      <w:r w:rsidRPr="006D631C">
        <w:t>5.1 Introduction</w:t>
      </w:r>
      <w:bookmarkEnd w:id="198"/>
    </w:p>
    <w:p w14:paraId="7BFCB36D" w14:textId="0EC78CCA" w:rsidR="006C5012" w:rsidRPr="006D631C" w:rsidRDefault="0079170A" w:rsidP="0079170A">
      <w:pPr>
        <w:pStyle w:val="TAMainText"/>
        <w:ind w:firstLine="357"/>
        <w:rPr>
          <w:color w:val="020202"/>
          <w:szCs w:val="24"/>
        </w:rPr>
      </w:pPr>
      <w:r w:rsidRPr="006D631C">
        <w:rPr>
          <w:color w:val="020202"/>
          <w:szCs w:val="24"/>
        </w:rPr>
        <w:t>In today's world, the significance of NF membranes is rising due to their utilization in a variety of applications, including but not limited to water softening,</w:t>
      </w:r>
      <w:r w:rsidRPr="006D631C">
        <w:rPr>
          <w:color w:val="020202"/>
          <w:szCs w:val="24"/>
        </w:rPr>
        <w:fldChar w:fldCharType="begin" w:fldLock="1"/>
      </w:r>
      <w:r w:rsidR="00F34EA4" w:rsidRPr="006D631C">
        <w:rPr>
          <w:color w:val="020202"/>
          <w:szCs w:val="24"/>
        </w:rPr>
        <w:instrText>ADDIN CSL_CITATION {"citationItems":[{"id":"ITEM-1","itemData":{"DOI":"10.1039/D0CS01599G","ISSN":"0306-0012","abstract":"This review article is devoted to bridging the conventional and newly-developed NF membranes with the potential environmental applications by systematically discussing the synthesis–property–performance relationships.","author":[{"dropping-particle":"","family":"Wang","given":"Kunpeng","non-dropping-particle":"","parse-names":false,"suffix":""},{"dropping-particle":"","family":"Wang","given":"Xiaomao","non-dropping-particle":"","parse-names":false,"suffix":""},{"dropping-particle":"","family":"Januszewski","given":"Brielle","non-dropping-particle":"","parse-names":false,"suffix":""},{"dropping-particle":"","family":"Liu","given":"Yanling","non-dropping-particle":"","parse-names":false,"suffix":""},{"dropping-particle":"","family":"Li","given":"Danyang","non-dropping-particle":"","parse-names":false,"suffix":""},{"dropping-particle":"","family":"Fu","given":"Ruoyu","non-dropping-particle":"","parse-names":false,"suffix":""},{"dropping-particle":"","family":"Elimelech","given":"Menachem","non-dropping-particle":"","parse-names":false,"suffix":""},{"dropping-particle":"","family":"Huang","given":"Xia","non-dropping-particle":"","parse-names":false,"suffix":""}],"container-title":"Chemical Society Reviews","id":"ITEM-1","issue":"2","issued":{"date-parts":[["2022"]]},"page":"672-719","title":"Tailored design of nanofiltration membranes for water treatment based on synthesis–property–performance relationships","type":"article-journal","volume":"51"},"uris":["http://www.mendeley.com/documents/?uuid=37c4ae8c-a32b-4ca4-8958-4c951b2445ba"]}],"mendeley":{"formattedCitation":"&lt;sup&gt;278&lt;/sup&gt;","plainTextFormattedCitation":"278","previouslyFormattedCitation":"&lt;sup&gt;278&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278</w:t>
      </w:r>
      <w:r w:rsidRPr="006D631C">
        <w:rPr>
          <w:color w:val="020202"/>
          <w:szCs w:val="24"/>
        </w:rPr>
        <w:fldChar w:fldCharType="end"/>
      </w:r>
      <w:r w:rsidRPr="006D631C">
        <w:rPr>
          <w:color w:val="020202"/>
          <w:szCs w:val="24"/>
        </w:rPr>
        <w:t xml:space="preserve"> industrial wastewater remediation,</w:t>
      </w:r>
      <w:r w:rsidRPr="006D631C">
        <w:rPr>
          <w:color w:val="020202"/>
          <w:szCs w:val="24"/>
        </w:rPr>
        <w:fldChar w:fldCharType="begin" w:fldLock="1"/>
      </w:r>
      <w:r w:rsidR="00F34EA4" w:rsidRPr="006D631C">
        <w:rPr>
          <w:color w:val="020202"/>
          <w:szCs w:val="24"/>
        </w:rPr>
        <w:instrText>ADDIN CSL_CITATION {"citationItems":[{"id":"ITEM-1","itemData":{"DOI":"10.1016/j.jwpe.2021.102478","ISSN":"22147144","author":[{"dropping-particle":"","family":"Ahmad","given":"Nor Naimah Rosyadah","non-dropping-particle":"","parse-names":false,"suffix":""},{"dropping-particle":"","family":"Ang","given":"Wei Lun","non-dropping-particle":"","parse-names":false,"suffix":""},{"dropping-particle":"","family":"Teow","given":"Yeit Haan","non-dropping-particle":"","parse-names":false,"suffix":""},{"dropping-particle":"","family":"Mohammad","given":"Abdul Wahab","non-dropping-particle":"","parse-names":false,"suffix":""},{"dropping-particle":"","family":"Hilal","given":"Nidal","non-dropping-particle":"","parse-names":false,"suffix":""}],"container-title":"Journal of Water Process Engineering","id":"ITEM-1","issued":{"date-parts":[["2022","2"]]},"page":"102478","title":"Nanofiltration membrane processes for water recycling, reuse and product recovery within various industries: A review","type":"article-journal","volume":"45"},"uris":["http://www.mendeley.com/documents/?uuid=3734f4f6-43b0-4635-8f55-3508dfba5bfc"]}],"mendeley":{"formattedCitation":"&lt;sup&gt;279&lt;/sup&gt;","plainTextFormattedCitation":"279","previouslyFormattedCitation":"&lt;sup&gt;279&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279</w:t>
      </w:r>
      <w:r w:rsidRPr="006D631C">
        <w:rPr>
          <w:color w:val="020202"/>
          <w:szCs w:val="24"/>
        </w:rPr>
        <w:fldChar w:fldCharType="end"/>
      </w:r>
      <w:r w:rsidRPr="006D631C">
        <w:rPr>
          <w:color w:val="020202"/>
          <w:szCs w:val="24"/>
        </w:rPr>
        <w:t xml:space="preserve"> salt fractionation in water streams,</w:t>
      </w:r>
      <w:r w:rsidRPr="006D631C">
        <w:rPr>
          <w:color w:val="020202"/>
          <w:szCs w:val="24"/>
        </w:rPr>
        <w:fldChar w:fldCharType="begin" w:fldLock="1"/>
      </w:r>
      <w:r w:rsidR="00F34EA4" w:rsidRPr="006D631C">
        <w:rPr>
          <w:color w:val="020202"/>
          <w:szCs w:val="24"/>
        </w:rPr>
        <w:instrText>ADDIN CSL_CITATION {"citationItems":[{"id":"ITEM-1","itemData":{"DOI":"10.1039/C8EW00847G","ISSN":"2053-1400","abstract":"Interspecies selectivity between NaCl and Na 2 SO 4 in nanofiltration is explained by a simple, intuitive analytical framework.","author":[{"dropping-particle":"","family":"Roy","given":"Yagnaseni","non-dropping-particle":"","parse-names":false,"suffix":""},{"dropping-particle":"","family":"Lienhard","given":"John H.","non-dropping-particle":"","parse-names":false,"suffix":""}],"container-title":"Environmental Science: Water Research &amp; Technology","id":"ITEM-1","issue":"3","issued":{"date-parts":[["2019"]]},"page":"585-598","title":"A framework to analyze sulfate versus chloride selectivity in nanofiltration","type":"article-journal","volume":"5"},"uris":["http://www.mendeley.com/documents/?uuid=67ae1ec1-b475-4a95-b044-07e51ad3fe12"]},{"id":"ITEM-2","itemData":{"DOI":"10.1016/j.advmem.2022.100032","ISSN":"27728234","author":[{"dropping-particle":"","family":"Lu","given":"Dan","non-dropping-particle":"","parse-names":false,"suffix":""},{"dropping-particle":"","family":"Yao","given":"Zhikan","non-dropping-particle":"","parse-names":false,"suffix":""},{"dropping-particle":"","family":"Jiao","given":"Lei","non-dropping-particle":"","parse-names":false,"suffix":""},{"dropping-particle":"","family":"Waheed","given":"Misbah","non-dropping-particle":"","parse-names":false,"suffix":""},{"dropping-particle":"","family":"Sun","given":"Zhilin","non-dropping-particle":"","parse-names":false,"suffix":""},{"dropping-particle":"","family":"Zhang","given":"Lin","non-dropping-particle":"","parse-names":false,"suffix":""}],"container-title":"Advanced Membranes","id":"ITEM-2","issued":{"date-parts":[["2022"]]},"page":"100032","title":"Separation mechanism, selectivity enhancement strategies and advanced materials for mono-/multivalent ion-selective nanofiltration membrane","type":"article-journal","volume":"2"},"uris":["http://www.mendeley.com/documents/?uuid=c92d91fb-c45c-46b1-9fa4-8726a67c1c14"]}],"mendeley":{"formattedCitation":"&lt;sup&gt;280,281&lt;/sup&gt;","plainTextFormattedCitation":"280,281","previouslyFormattedCitation":"&lt;sup&gt;280,281&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280,281</w:t>
      </w:r>
      <w:r w:rsidRPr="006D631C">
        <w:rPr>
          <w:color w:val="020202"/>
          <w:szCs w:val="24"/>
        </w:rPr>
        <w:fldChar w:fldCharType="end"/>
      </w:r>
      <w:r w:rsidRPr="006D631C">
        <w:rPr>
          <w:color w:val="020202"/>
          <w:szCs w:val="24"/>
        </w:rPr>
        <w:t xml:space="preserve"> organic solvents nanofiltration,</w:t>
      </w:r>
      <w:r w:rsidRPr="006D631C">
        <w:rPr>
          <w:color w:val="020202"/>
          <w:szCs w:val="24"/>
        </w:rPr>
        <w:fldChar w:fldCharType="begin" w:fldLock="1"/>
      </w:r>
      <w:r w:rsidR="00F34EA4" w:rsidRPr="006D631C">
        <w:rPr>
          <w:color w:val="020202"/>
          <w:szCs w:val="24"/>
        </w:rPr>
        <w:instrText>ADDIN CSL_CITATION {"citationItems":[{"id":"ITEM-1","itemData":{"DOI":"10.1126/sciadv.abm5899","ISSN":"2375-2548","abstract":"Organic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Advances","id":"ITEM-1","issue":"11","issued":{"date-parts":[["2022","3","18"]]},"title":"Tunable organic solvent nanofiltration in self-assembled membranes at the sub–1 nm scale","type":"article-journal","volume":"8"},"uris":["http://www.mendeley.com/documents/?uuid=f4e7114e-b599-410a-a180-ef737c4d9ca1"]}],"mendeley":{"formattedCitation":"&lt;sup&gt;125&lt;/sup&gt;","plainTextFormattedCitation":"125","previouslyFormattedCitation":"&lt;sup&gt;125&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125</w:t>
      </w:r>
      <w:r w:rsidRPr="006D631C">
        <w:rPr>
          <w:color w:val="020202"/>
          <w:szCs w:val="24"/>
        </w:rPr>
        <w:fldChar w:fldCharType="end"/>
      </w:r>
      <w:r w:rsidRPr="006D631C">
        <w:rPr>
          <w:color w:val="020202"/>
          <w:szCs w:val="24"/>
        </w:rPr>
        <w:t xml:space="preserve"> and bio-separation.</w:t>
      </w:r>
      <w:r w:rsidRPr="006D631C">
        <w:rPr>
          <w:color w:val="020202"/>
          <w:szCs w:val="24"/>
        </w:rPr>
        <w:fldChar w:fldCharType="begin" w:fldLock="1"/>
      </w:r>
      <w:r w:rsidR="00F34EA4" w:rsidRPr="006D631C">
        <w:rPr>
          <w:color w:val="020202"/>
          <w:szCs w:val="24"/>
        </w:rPr>
        <w:instrText>ADDIN CSL_CITATION {"citationItems":[{"id":"ITEM-1","itemData":{"DOI":"10.1002/elsc.202000100","ISSN":"1618-0240","author":[{"dropping-particle":"","family":"Cao","given":"Yang","non-dropping-particle":"","parse-names":false,"suffix":""},{"dropping-particle":"","family":"Chen","given":"Guoqiang","non-dropping-particle":"","parse-names":false,"suffix":""},{"dropping-particle":"","family":"Wan","given":"Yinhua","non-dropping-particle":"","parse-names":false,"suffix":""},{"dropping-particle":"","family":"Luo","given":"Jianquan","non-dropping-particle":"","parse-names":false,"suffix":""}],"container-title":"Engineering in Life Sciences","id":"ITEM-1","issue":"6","issued":{"date-parts":[["2021","6","20"]]},"page":"405-416","title":"Nanofiltration membrane for bio‐separation: Process‐oriented materials innovation","type":"article-journal","volume":"21"},"uris":["http://www.mendeley.com/documents/?uuid=6f231555-9364-441b-a6ef-1f23b2ed707a"]}],"mendeley":{"formattedCitation":"&lt;sup&gt;282&lt;/sup&gt;","plainTextFormattedCitation":"282","previouslyFormattedCitation":"&lt;sup&gt;282&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282</w:t>
      </w:r>
      <w:r w:rsidRPr="006D631C">
        <w:rPr>
          <w:color w:val="020202"/>
          <w:szCs w:val="24"/>
        </w:rPr>
        <w:fldChar w:fldCharType="end"/>
      </w:r>
      <w:r w:rsidRPr="006D631C">
        <w:rPr>
          <w:color w:val="020202"/>
          <w:szCs w:val="24"/>
        </w:rPr>
        <w:t xml:space="preserve"> Porous NF membranes facilitate the separation process through three mechanisms: size-exclusion, solution diffusion, and electrostatic interaction (also known as </w:t>
      </w:r>
      <w:proofErr w:type="spellStart"/>
      <w:r w:rsidRPr="006D631C">
        <w:rPr>
          <w:color w:val="020202"/>
          <w:szCs w:val="24"/>
        </w:rPr>
        <w:t>Donnan</w:t>
      </w:r>
      <w:proofErr w:type="spellEnd"/>
      <w:r w:rsidRPr="006D631C">
        <w:rPr>
          <w:color w:val="020202"/>
          <w:szCs w:val="24"/>
        </w:rPr>
        <w:t xml:space="preserve"> exclusion).</w:t>
      </w:r>
      <w:r w:rsidRPr="006D631C">
        <w:rPr>
          <w:color w:val="020202"/>
          <w:szCs w:val="24"/>
        </w:rPr>
        <w:fldChar w:fldCharType="begin" w:fldLock="1"/>
      </w:r>
      <w:r w:rsidR="00F34EA4" w:rsidRPr="006D631C">
        <w:rPr>
          <w:color w:val="020202"/>
          <w:szCs w:val="24"/>
        </w:rPr>
        <w:instrText>ADDIN CSL_CITATION {"citationItems":[{"id":"ITEM-1","itemData":{"DOI":"10.1016/j.advmem.2022.100032","ISSN":"27728234","author":[{"dropping-particle":"","family":"Lu","given":"Dan","non-dropping-particle":"","parse-names":false,"suffix":""},{"dropping-particle":"","family":"Yao","given":"Zhikan","non-dropping-particle":"","parse-names":false,"suffix":""},{"dropping-particle":"","family":"Jiao","given":"Lei","non-dropping-particle":"","parse-names":false,"suffix":""},{"dropping-particle":"","family":"Waheed","given":"Misbah","non-dropping-particle":"","parse-names":false,"suffix":""},{"dropping-particle":"","family":"Sun","given":"Zhilin","non-dropping-particle":"","parse-names":false,"suffix":""},{"dropping-particle":"","family":"Zhang","given":"Lin","non-dropping-particle":"","parse-names":false,"suffix":""}],"container-title":"Advanced Membranes","id":"ITEM-1","issued":{"date-parts":[["2022"]]},"page":"100032","title":"Separation mechanism, selectivity enhancement strategies and advanced materials for mono-/multivalent ion-selective nanofiltration membrane","type":"article-journal","volume":"2"},"uris":["http://www.mendeley.com/documents/?uuid=c92d91fb-c45c-46b1-9fa4-8726a67c1c14"]}],"mendeley":{"formattedCitation":"&lt;sup&gt;281&lt;/sup&gt;","plainTextFormattedCitation":"281","previouslyFormattedCitation":"&lt;sup&gt;281&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281</w:t>
      </w:r>
      <w:r w:rsidRPr="006D631C">
        <w:rPr>
          <w:color w:val="020202"/>
          <w:szCs w:val="24"/>
        </w:rPr>
        <w:fldChar w:fldCharType="end"/>
      </w:r>
      <w:r w:rsidRPr="006D631C">
        <w:t xml:space="preserve"> </w:t>
      </w:r>
      <w:r w:rsidRPr="006D631C">
        <w:rPr>
          <w:color w:val="020202"/>
          <w:szCs w:val="24"/>
        </w:rPr>
        <w:t>The common methods used to produce NF membranes with the ability to separate dissolved salts and molecular solutes at the 1 nm length scale are NIPS</w:t>
      </w:r>
      <w:r w:rsidRPr="006D631C">
        <w:rPr>
          <w:color w:val="020202"/>
          <w:szCs w:val="24"/>
        </w:rPr>
        <w:fldChar w:fldCharType="begin" w:fldLock="1"/>
      </w:r>
      <w:r w:rsidR="00F34EA4" w:rsidRPr="006D631C">
        <w:rPr>
          <w:color w:val="020202"/>
          <w:szCs w:val="24"/>
        </w:rPr>
        <w:instrText>ADDIN CSL_CITATION {"citationItems":[{"id":"ITEM-1","itemData":{"DOI":"10.3390/membranes8020023","ISSN":"2077-0375","abstract":"Organic solvents, such as N-methyl-2-pyrrolidone (NMP) and dimethylacetamide (DMAc), have been traditionally used to fabricate polymeric membranes. These solvents may have a negative impact on the environment and human health; therefore, using renewable solvents derived from biomass is of great interest to make membrane fabrication sustainable. Methyl-5-(dimethylamino)-2-methyl-5-oxopentanoate (Rhodiasolv PolarClean) is a bio-derived, biodegradable, nonflammable and nonvolatile solvent. Polysulfone is a commonly used polymer to fabricate membranes due to its thermal stability, strong mechanical strength and good chemical resistance. From cloud point curves, PolarClean showed potential to be a solvent for polysulfone. Membranes prepared with PolarClean were investigated in terms of their morphology, porosity, water permeability and protein rejection, and were compared to membranes prepared with traditional solvents. The pores of polysulfone/PolarClean membranes were sponge-like, and the membranes displayed higher water flux values (176.0 ± 8.8 LMH) along with slightly higher solute rejection (99.0 ± 0.51%). On the other hand, PSf/DMAc membrane pores were finger-like with lower water flux (63.1 ± 12.4 LMH) and slightly lower solute rejection (96 ± 2.00%) when compared to PSf/PolarClean membranes.","author":[{"dropping-particle":"","family":"Dong","given":"Xiaobo","non-dropping-particle":"","parse-names":false,"suffix":""},{"dropping-particle":"","family":"Al-Jumaily","given":"Amna","non-dropping-particle":"","parse-names":false,"suffix":""},{"dropping-particle":"","family":"Escobar","given":"Isabel","non-dropping-particle":"","parse-names":false,"suffix":""}],"container-title":"Membranes","id":"ITEM-1","issue":"2","issued":{"date-parts":[["2018","5","7"]]},"page":"23","title":"Investigation of the Use of a Bio-Derived Solvent for Non-Solvent-Induced Phase Separation (NIPS) Fabrication of Polysulfone Membranes","type":"article-journal","volume":"8"},"uris":["http://www.mendeley.com/documents/?uuid=60b73e17-68dc-4bf0-bb75-2c6ecef04940"]},{"id":"ITEM-2","itemData":{"DOI":"10.32699/spektra.v5i2.108","ISSN":"2548-642X","abstract":"In this work, graphene oxide (GO) and titanium dioxide (TiO2) were used as an additive to fabricate the nanofiltration (NF) membrane. GO was synthesised via electrochemical exfoliation method utilising sodium bis(3,5,5-trimethyl-1-hexyl) sulphosuccinate (AOT4) surfactant. The synthesised GO was then used to fabricate PVDF-based NF membrane namely PVDF/GO_TiO2 via non-solvent induced phase separation (NIPS) method. The effects of embedded GO and TiO2 on the morphology and structural properties of PVDF/GO_TiO2 were investigated by using field emission scanning electron microscopy (FESEM) and micro-Raman spectroscopy. The finding shows that PVDF/GO_TiO2 present thin and dense top layer supported by macro-voids sub-layer with sponge-like layer at the bottom. Based on its morphology, the fabricated PVDF/GO_TiO2 membrane is potential to be applied as membrane filtration for water treatment application.","author":[{"dropping-particle":"","family":"Mohamat","given":"Rosmanisah","non-dropping-particle":"","parse-names":false,"suffix":""}],"container-title":"SPEKTRA : Jurnal Kajian Pendidikan Sains","id":"ITEM-2","issue":"2","issued":{"date-parts":[["2019","10","12"]]},"page":"129","title":"Fabrication of Nanofiltration Membrane Utilising Surfactant Via Non-Solvent Induced Phase Separation Method","type":"article-journal","volume":"5"},"uris":["http://www.mendeley.com/documents/?uuid=c1686c24-3c7c-4643-8791-c26cc88487b8"]}],"mendeley":{"formattedCitation":"&lt;sup&gt;283,284&lt;/sup&gt;","plainTextFormattedCitation":"283,284","previouslyFormattedCitation":"&lt;sup&gt;283,284&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283,284</w:t>
      </w:r>
      <w:r w:rsidRPr="006D631C">
        <w:rPr>
          <w:color w:val="020202"/>
          <w:szCs w:val="24"/>
        </w:rPr>
        <w:fldChar w:fldCharType="end"/>
      </w:r>
      <w:r w:rsidRPr="006D631C">
        <w:rPr>
          <w:color w:val="020202"/>
          <w:szCs w:val="24"/>
        </w:rPr>
        <w:t xml:space="preserve"> and interfacial polymerization.</w:t>
      </w:r>
      <w:r w:rsidRPr="006D631C">
        <w:rPr>
          <w:color w:val="020202"/>
          <w:szCs w:val="24"/>
        </w:rPr>
        <w:fldChar w:fldCharType="begin" w:fldLock="1"/>
      </w:r>
      <w:r w:rsidR="00F34EA4" w:rsidRPr="006D631C">
        <w:rPr>
          <w:color w:val="020202"/>
          <w:szCs w:val="24"/>
        </w:rPr>
        <w:instrText>ADDIN CSL_CITATION {"citationItems":[{"id":"ITEM-1","itemData":{"DOI":"10.1016/j.memsci.2021.119478","ISSN":"03767388","author":[{"dropping-particle":"","family":"Zhang","given":"Liufu","non-dropping-particle":"","parse-names":false,"suffix":""},{"dropping-particle":"","family":"Zhang","given":"Ruolin","non-dropping-particle":"","parse-names":false,"suffix":""},{"dropping-particle":"","family":"Ji","given":"Miaozhou","non-dropping-particle":"","parse-names":false,"suffix":""},{"dropping-particle":"","family":"Lu","given":"Yang","non-dropping-particle":"","parse-names":false,"suffix":""},{"dropping-particle":"","family":"Zhu","given":"Yuzhang","non-dropping-particle":"","parse-names":false,"suffix":""},{"dropping-particle":"","family":"Jin","given":"Jian","non-dropping-particle":"","parse-names":false,"suffix":""}],"container-title":"Journal of Membrane Science","id":"ITEM-1","issued":{"date-parts":[["2021","10"]]},"page":"119478","title":"Polyamide nanofiltration membrane with high mono/divalent salt selectivity via pre-diffusion interfacial polymerization","type":"article-journal","volume":"636"},"uris":["http://www.mendeley.com/documents/?uuid=403ea257-1ab9-4585-8d36-f5732f4d7750"]},{"id":"ITEM-2","itemData":{"DOI":"10.1016/j.memsci.2014.04.034","ISSN":"03767388","author":[{"dropping-particle":"","family":"Li","given":"Xia","non-dropping-particle":"","parse-names":false,"suffix":""},{"dropping-particle":"","family":"Cao","given":"Yiming","non-dropping-particle":"","parse-names":false,"suffix":""},{"dropping-particle":"","family":"Yu","given":"Haijun","non-dropping-particle":"","parse-names":false,"suffix":""},{"dropping-particle":"","family":"Kang","given":"Guodong","non-dropping-particle":"","parse-names":false,"suffix":""},{"dropping-particle":"","family":"Jie","given":"Xingming","non-dropping-particle":"","parse-names":false,"suffix":""},{"dropping-particle":"","family":"Liu","given":"Zhongnan","non-dropping-particle":"","parse-names":false,"suffix":""},{"dropping-particle":"","family":"Yuan","given":"Quan","non-dropping-particle":"","parse-names":false,"suffix":""}],"container-title":"Journal of Membrane Science","id":"ITEM-2","issued":{"date-parts":[["2014","9"]]},"page":"82-91","title":"A novel composite nanofiltration membrane prepared with PHGH and TMC by interfacial polymerization","type":"article-journal","volume":"466"},"uris":["http://www.mendeley.com/documents/?uuid=112395b6-d856-4172-af24-396aacd75d3a"]},{"id":"ITEM-3","itemData":{"DOI":"10.1039/C9TA12984G","ISSN":"2050-7488","abstract":"This study demonstrates the application of a hydrogel as the aqueous phase in interfacial polymerization for the synthesis of a thin film composite membrane with ultrahigh permeability.","author":[{"dropping-particle":"","family":"Yuan","given":"Shushan","non-dropping-particle":"","parse-names":false,"suffix":""},{"dropping-particle":"","family":"Zhang","given":"Gang","non-dropping-particle":"","parse-names":false,"suffix":""},{"dropping-particle":"","family":"Zhu","given":"Junyong","non-dropping-particle":"","parse-names":false,"suffix":""},{"dropping-particle":"","family":"Mamrol","given":"Natalie","non-dropping-particle":"","parse-names":false,"suffix":""},{"dropping-particle":"","family":"Liu","given":"Suilin","non-dropping-particle":"","parse-names":false,"suffix":""},{"dropping-particle":"","family":"Mai","given":"Zhaohuan","non-dropping-particle":"","parse-names":false,"suffix":""},{"dropping-particle":"","family":"Puyvelde","given":"Peter","non-dropping-particle":"Van","parse-names":false,"suffix":""},{"dropping-particle":"","family":"Bruggen","given":"Bart","non-dropping-particle":"Van der","parse-names":false,"suffix":""}],"container-title":"Journal of Materials Chemistry A","id":"ITEM-3","issue":"6","issued":{"date-parts":[["2020"]]},"page":"3238-3245","title":"Hydrogel assisted interfacial polymerization for advanced nanofiltration membranes","type":"article-journal","volume":"8"},"uris":["http://www.mendeley.com/documents/?uuid=5e90058b-6fe2-4065-91b0-522c208b4818"]}],"mendeley":{"formattedCitation":"&lt;sup&gt;285–287&lt;/sup&gt;","plainTextFormattedCitation":"285–287","previouslyFormattedCitation":"&lt;sup&gt;285–287&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285–287</w:t>
      </w:r>
      <w:r w:rsidRPr="006D631C">
        <w:rPr>
          <w:color w:val="020202"/>
          <w:szCs w:val="24"/>
        </w:rPr>
        <w:fldChar w:fldCharType="end"/>
      </w:r>
      <w:r w:rsidRPr="006D631C">
        <w:rPr>
          <w:color w:val="020202"/>
          <w:szCs w:val="24"/>
        </w:rPr>
        <w:t xml:space="preserve"> </w:t>
      </w:r>
      <w:proofErr w:type="gramStart"/>
      <w:r w:rsidRPr="006D631C">
        <w:rPr>
          <w:color w:val="020202"/>
          <w:szCs w:val="24"/>
        </w:rPr>
        <w:t>Although</w:t>
      </w:r>
      <w:proofErr w:type="gramEnd"/>
      <w:r w:rsidRPr="006D631C">
        <w:rPr>
          <w:color w:val="020202"/>
          <w:szCs w:val="24"/>
        </w:rPr>
        <w:t xml:space="preserve"> these methods offer certain benefits, they also come with some drawbacks. NIPS has limited control over membrane pore size distribution, and the process is also environmentally concerning due to the substantial amount of organic solvents required (up to 70% by volume).</w:t>
      </w:r>
      <w:r w:rsidRPr="006D631C">
        <w:rPr>
          <w:color w:val="020202"/>
          <w:szCs w:val="24"/>
        </w:rPr>
        <w:fldChar w:fldCharType="begin" w:fldLock="1"/>
      </w:r>
      <w:r w:rsidR="00F34EA4" w:rsidRPr="006D631C">
        <w:rPr>
          <w:color w:val="020202"/>
          <w:szCs w:val="24"/>
        </w:rPr>
        <w:instrText>ADDIN CSL_CITATION {"citationItems":[{"id":"ITEM-1","itemData":{"DOI":"10.1016/j.polymer.2019.122071","ISSN":"00323861","author":[{"dropping-particle":"","family":"Kahrs","given":"Catharina","non-dropping-particle":"","parse-names":false,"suffix":""},{"dropping-particle":"","family":"Schwellenbach","given":"Jan","non-dropping-particle":"","parse-names":false,"suffix":""}],"container-title":"Polymer","id":"ITEM-1","issued":{"date-parts":[["2020","1"]]},"page":"122071","title":"Membrane formation via non-solvent induced phase separation using sustainable solvents: A comparative study","type":"article-journal","volume":"186"},"uris":["http://www.mendeley.com/documents/?uuid=a4fbf5c1-b8e1-49b7-97d7-1f6a1e07c5c3"]}],"mendeley":{"formattedCitation":"&lt;sup&gt;243&lt;/sup&gt;","plainTextFormattedCitation":"243","previouslyFormattedCitation":"&lt;sup&gt;243&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243</w:t>
      </w:r>
      <w:r w:rsidRPr="006D631C">
        <w:rPr>
          <w:color w:val="020202"/>
          <w:szCs w:val="24"/>
        </w:rPr>
        <w:fldChar w:fldCharType="end"/>
      </w:r>
      <w:r w:rsidRPr="006D631C">
        <w:rPr>
          <w:color w:val="020202"/>
          <w:szCs w:val="24"/>
        </w:rPr>
        <w:t xml:space="preserve"> The disadvantages of interfacial polymerization include limitations in the choice of monomers, variations in membrane properties (e.g., pore size, thickness, and surface morphology) due to the complex nature of the process</w:t>
      </w:r>
      <w:r w:rsidR="00CB3259" w:rsidRPr="006D631C">
        <w:rPr>
          <w:color w:val="020202"/>
          <w:szCs w:val="24"/>
        </w:rPr>
        <w:t>,</w:t>
      </w:r>
      <w:r w:rsidRPr="006D631C">
        <w:rPr>
          <w:color w:val="020202"/>
          <w:szCs w:val="24"/>
        </w:rPr>
        <w:t xml:space="preserve"> and susceptibility to fouling.</w:t>
      </w:r>
      <w:r w:rsidRPr="006D631C">
        <w:rPr>
          <w:color w:val="020202"/>
          <w:szCs w:val="24"/>
        </w:rPr>
        <w:fldChar w:fldCharType="begin" w:fldLock="1"/>
      </w:r>
      <w:r w:rsidR="00F34EA4" w:rsidRPr="006D631C">
        <w:rPr>
          <w:color w:val="020202"/>
          <w:szCs w:val="24"/>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Nano","id":"ITEM-1","issued":{"date-parts":[["2021","3","17"]]},"page":"acsnano.1c00722","title":"Rapid Fabrication by Lyotropic Self-Assembly of Thin Nanofiltration Membranes with Uniform 1 Nanometer Pores","type":"article-journal"},"uris":["http://www.mendeley.com/documents/?uuid=9a8f95cc-c536-4af0-a6e3-e51388d61691"]},{"id":"ITEM-2","itemData":{"DOI":"10.1002/macp.202100222","ISSN":"1022-1352","author":[{"dropping-particle":"","family":"Zhang","given":"Ruolin","non-dropping-particle":"","parse-names":false,"suffix":""},{"dropping-particle":"","family":"Zhu","given":"Yuzhang","non-dropping-particle":"","parse-names":false,"suffix":""},{"dropping-particle":"","family":"Zhang","given":"Liufu","non-dropping-particle":"","parse-names":false,"suffix":""},{"dropping-particle":"","family":"Lu","given":"Yang","non-dropping-particle":"","parse-names":false,"suffix":""},{"dropping-particle":"","family":"Yang","given":"Zhao","non-dropping-particle":"","parse-names":false,"suffix":""},{"dropping-particle":"","family":"Zhang","given":"Yatao","non-dropping-particle":"","parse-names":false,"suffix":""},{"dropping-particle":"","family":"Jin","given":"Jian","non-dropping-particle":"","parse-names":false,"suffix":""}],"container-title":"Macromolecular Chemistry and Physics","id":"ITEM-2","issue":"20","issued":{"date-parts":[["2021","10","27"]]},"page":"2100222","title":"Polyamide Nanofiltration Membranes from Surfactant‐Assembly Regulated Interfacial Polymerization: The Effect of Alkyl Chain","type":"article-journal","volume":"222"},"uris":["http://www.mendeley.com/documents/?uuid=25845761-3c46-47af-a7a2-3c95e95b2d2d"]}],"mendeley":{"formattedCitation":"&lt;sup&gt;123,288&lt;/sup&gt;","plainTextFormattedCitation":"123,288","previouslyFormattedCitation":"&lt;sup&gt;123,288&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123,288</w:t>
      </w:r>
      <w:r w:rsidRPr="006D631C">
        <w:rPr>
          <w:color w:val="020202"/>
          <w:szCs w:val="24"/>
        </w:rPr>
        <w:fldChar w:fldCharType="end"/>
      </w:r>
    </w:p>
    <w:p w14:paraId="287C5370" w14:textId="5F938C04" w:rsidR="006C5012" w:rsidRPr="006D631C" w:rsidRDefault="00E05846" w:rsidP="002E14E4">
      <w:pPr>
        <w:pStyle w:val="TAMainText"/>
        <w:ind w:firstLine="357"/>
        <w:rPr>
          <w:color w:val="020202"/>
          <w:szCs w:val="24"/>
        </w:rPr>
      </w:pPr>
      <w:r w:rsidRPr="006D631C">
        <w:rPr>
          <w:color w:val="020202"/>
          <w:szCs w:val="24"/>
        </w:rPr>
        <w:t>LLC</w:t>
      </w:r>
      <w:r w:rsidR="00F34EA4" w:rsidRPr="006D631C">
        <w:rPr>
          <w:color w:val="020202"/>
          <w:szCs w:val="24"/>
        </w:rPr>
        <w:t xml:space="preserve"> templating is an alternative approach which can address these challenges. Out of the various nanostructures available for LLCs, the most frequently utilized ones for synthesizing NF membranes are H</w:t>
      </w:r>
      <w:r w:rsidR="00F34EA4" w:rsidRPr="006D631C">
        <w:rPr>
          <w:color w:val="020202"/>
          <w:szCs w:val="24"/>
          <w:vertAlign w:val="subscript"/>
        </w:rPr>
        <w:t>1</w:t>
      </w:r>
      <w:r w:rsidR="00F34EA4" w:rsidRPr="006D631C">
        <w:rPr>
          <w:color w:val="020202"/>
          <w:szCs w:val="24"/>
        </w:rPr>
        <w:fldChar w:fldCharType="begin" w:fldLock="1"/>
      </w:r>
      <w:r w:rsidR="00F84BFF" w:rsidRPr="006D631C">
        <w:rPr>
          <w:color w:val="020202"/>
          <w:szCs w:val="24"/>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Nano","id":"ITEM-1","issued":{"date-parts":[["2021","3","17"]]},"page":"acsnano.1c00722","title":"Rapid Fabrication by Lyotropic Self-Assembly of Thin Nanofiltration Membranes with Uniform 1 Nanometer Pores","type":"article-journal"},"uris":["http://www.mendeley.com/documents/?uuid=9a8f95cc-c536-4af0-a6e3-e51388d61691"]},{"id":"ITEM-2","itemData":{"DOI":"10.1126/sciadv.abm5899","ISSN":"2375-2548","abstract":"Organic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Advances","id":"ITEM-2","issue":"11","issued":{"date-parts":[["2022","3","18"]]},"title":"Tunable organic solvent nanofiltration in self-assembled membranes at the sub–1 nm scale","type":"article-journal","volume":"8"},"uris":["http://www.mendeley.com/documents/?uuid=f4e7114e-b599-410a-a180-ef737c4d9ca1"]},{"id":"ITEM-3","itemData":{"DOI":"10.1126/sciadv.aav9308","ISSN":"23752548","PMID":"31448326","abstract":"Self-assembled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Advances","id":"ITEM-3","issue":"8","issued":{"date-parts":[["2019","8","9"]]},"page":"eaav9308","title":"Precise nanofiltration in a fouling-resistant self-assembled membrane with water-continuous transport pathways","type":"article-journal","volume":"5"},"uris":["http://www.mendeley.com/documents/?uuid=d507d8b2-fc83-4bd7-9e6d-10370c7b5e6e"]}],"mendeley":{"formattedCitation":"&lt;sup&gt;31,123,125&lt;/sup&gt;","plainTextFormattedCitation":"31,123,125","previouslyFormattedCitation":"&lt;sup&gt;31,123,125&lt;/sup&gt;"},"properties":{"noteIndex":0},"schema":"https://github.com/citation-style-language/schema/raw/master/csl-citation.json"}</w:instrText>
      </w:r>
      <w:r w:rsidR="00F34EA4" w:rsidRPr="006D631C">
        <w:rPr>
          <w:color w:val="020202"/>
          <w:szCs w:val="24"/>
        </w:rPr>
        <w:fldChar w:fldCharType="separate"/>
      </w:r>
      <w:r w:rsidR="00F34EA4" w:rsidRPr="006D631C">
        <w:rPr>
          <w:noProof/>
          <w:color w:val="020202"/>
          <w:szCs w:val="24"/>
          <w:vertAlign w:val="superscript"/>
        </w:rPr>
        <w:t>31,123,125</w:t>
      </w:r>
      <w:r w:rsidR="00F34EA4" w:rsidRPr="006D631C">
        <w:rPr>
          <w:color w:val="020202"/>
          <w:szCs w:val="24"/>
        </w:rPr>
        <w:fldChar w:fldCharType="end"/>
      </w:r>
      <w:r w:rsidR="00F34EA4" w:rsidRPr="006D631C">
        <w:rPr>
          <w:color w:val="020202"/>
          <w:szCs w:val="24"/>
        </w:rPr>
        <w:t xml:space="preserve"> and Q</w:t>
      </w:r>
      <w:r w:rsidR="00F34EA4" w:rsidRPr="006D631C">
        <w:rPr>
          <w:color w:val="020202"/>
          <w:szCs w:val="24"/>
          <w:vertAlign w:val="subscript"/>
        </w:rPr>
        <w:t>1</w:t>
      </w:r>
      <w:r w:rsidR="00F34EA4" w:rsidRPr="006D631C">
        <w:rPr>
          <w:color w:val="020202"/>
          <w:szCs w:val="24"/>
        </w:rPr>
        <w:t>.</w:t>
      </w:r>
      <w:r w:rsidR="00F34EA4" w:rsidRPr="006D631C">
        <w:rPr>
          <w:color w:val="020202"/>
          <w:szCs w:val="24"/>
        </w:rPr>
        <w:fldChar w:fldCharType="begin" w:fldLock="1"/>
      </w:r>
      <w:r w:rsidR="005C60C1" w:rsidRPr="006D631C">
        <w:rPr>
          <w:color w:val="020202"/>
          <w:szCs w:val="24"/>
        </w:rPr>
        <w:instrText>ADDIN CSL_CITATION {"citationItems":[{"id":"ITEM-1","itemData":{"DOI":"10.1021/cm302027s","ISSN":"15205002","author":[{"dropping-particle":"","family":"Carter","given":"Blaine M.","non-dropping-particle":"","parse-names":false,"suffix":""},{"dropping-particle":"","family":"Wiesenauer","given":"Brian R.","non-dropping-particle":"","parse-names":false,"suffix":""},{"dropping-particle":"","family":"Hatakeyama","given":"Evan S.","non-dropping-particle":"","parse-names":false,"suffix":""},{"dropping-particle":"","family":"Barton","given":"John L.","non-dropping-particle":"","parse-names":false,"suffix":""},{"dropping-particle":"","family":"Noble","given":"Richard D.","non-dropping-particle":"","parse-names":false,"suffix":""},{"dropping-particle":"","family":"Gin","given":"Douglas L.","non-dropping-particle":"","parse-names":false,"suffix":""}],"container-title":"Chemistry of Materials","id":"ITEM-1","issue":"21","issued":{"date-parts":[["2012"]]},"page":"4005-4007","title":"Glycerol-based bicontinuous cubic lyotropic liquid crystal monomer system for the fabrication of thin-film membranes with uniform nanopores","type":"article-journal","volume":"24"},"uris":["http://www.mendeley.com/documents/?uuid=ecdbb3ff-7519-4a65-abca-056edd3369f2"]},{"id":"ITEM-2","itemData":{"author":[{"dropping-particle":"","family":"Gin","given":"Douglas L.","non-dropping-particle":"","parse-names":false,"suffix":""},{"dropping-particle":"","family":"Carter","given":"Blaine M.","non-dropping-particle":"","parse-names":false,"suffix":""},{"dropping-particle":"","family":"Wiesenauer","given":"Brian R.","non-dropping-particle":"","parse-names":false,"suffix":""},{"dropping-particle":"","family":"Hatakeyama","given":"Evan S.","non-dropping-particle":"","parse-names":false,"suffix":""},{"dropping-particle":"","family":"Noble","given":"Richard D.","non-dropping-particle":"","parse-names":false,"suffix":""},{"dropping-particle":"","family":"Barton","given":"John L.","non-dropping-particle":"","parse-names":false,"suffix":""}],"id":"ITEM-2","issued":{"date-parts":[["2006"]]},"number":"US 2014/0154499 A1","title":"METHOD AND MEMBRANE FOR NANOPOROUS, BICONTINUOUS CUBIC LYOTROPIC LIOUID CRYSTAL POLYMER MEMBRANES THAT ENABLE EACLE FILM PROCESSING AND PORE SIZE CONTROL","type":"patent"},"uris":["http://www.mendeley.com/documents/?uuid=39c895ab-a6ca-4933-a86f-702bbc052c74"]},{"id":"ITEM-3","itemData":{"DOI":"10.1021/ja073067w","ISSN":"0002-7863","abstract":"A polymeric membrane material for efficient water desalination based on a cross-linked type I bicontinuous cubic (QI) lyotropic liquid crystal (LLC) assembly is described. This ordered, nanoporous, polymer material is formed by the self-assembly of a cross-linkable gemini amphiphile in water and contains interpenetrating organic networks separated from one another by a continuous, ultrathin water layer surface (ca. 0.75 nm gap spacing) with overall cubic symmetry. Supported membranes of this material are produced by hot-pressing the initial LLC monomer gel at high pressure through a commercial microporous hydrophilic membrane support at 70 °C and then radically photocross-linking the infused QI monomer phase. In stirred dead-end water filtration tests, the resulting 40-μm thick, optically transparent, supported LLC membranes exhibit 95-99.9% rejection of dissolved salt ions, neutral molecules and macromolecules, and molecular ions in the 0.64-1.2 nm size range in a single pass. This rejection performance is slightly better than that of a commercial reverse osmosis (RO) membrane for the same solutes under the same test conditions, and significantly better than that of a commercial porous nanofiltration membrane. The LLC polymer material also exhibits a thickness- and pressure-normalized water permeability that is similar to or just slightly lower than the dense active layer materials used in current RO membranes. It is believed that the 3-D interconnected water manifold system in the cross-linked QI-phase material allows small water molecules (0.27 nm kinetic diameter) to pass through with good efficiency, while effectively rejecting dissolved solutes close in size to, or larger than, the about 0.75 nm water layer gap spacing. Copyright © 2007 American Chemical Society.","author":[{"dropping-particle":"","family":"Zhou","given":"Meijuan","non-dropping-particle":"","parse-names":false,"suffix":""},{"dropping-particle":"","family":"Nemade","given":"Parag R.","non-dropping-particle":"","parse-names":false,"suffix":""},{"dropping-particle":"","family":"Lu","given":"Xiaoyun","non-dropping-particle":"","parse-names":false,"suffix":""},{"dropping-particle":"","family":"Zeng","given":"Xiaohui","non-dropping-particle":"","parse-names":false,"suffix":""},{"dropping-particle":"","family":"Hatakeyama","given":"Evan S.","non-dropping-particle":"","parse-names":false,"suffix":""},{"dropping-particle":"","family":"Noble","given":"Richard D.","non-dropping-particle":"","parse-names":false,"suffix":""},{"dropping-particle":"","family":"Gin","given":"Douglas L.","non-dropping-particle":"","parse-names":false,"suffix":""}],"container-title":"Journal of the American Chemical Society","id":"ITEM-3","issue":"31","issued":{"date-parts":[["2007","8","1"]]},"page":"9574-9575","title":"New Type of Membrane Material for Water Desalination Based on a Cross-Linked Bicontinuous Cubic Lyotropic Liquid Crystal Assembly","type":"article-journal","volume":"129"},"uris":["http://www.mendeley.com/documents/?uuid=0d2d8de2-7149-4057-b6fa-a85131e88c1f"]},{"id":"ITEM-4","itemData":{"DOI":"10.1016/j.memsci.2013.12.056","ISSN":"03767388","abstract":"The effects of anion-exchange on the filtration performance of thin-film composite (TFC) membranes with an active layer consisting of a nanostructured, lyotropic (i.e., surfactant) liquid crystal (LLC) polymer were investigated. These TFC LLC membranes are made by the in situ cross-linking of reactive amphiphiles (i.e., surfactants) that self-organize in the presence of glycerol into a type I bicontinuous cubic (QI) phase that contains a uniform, 3D-interconnected pore network lined with tethered cationic moieties and free mobile anions in the pores. In this study, a systematic series of experiments were performed to independently investigate how monovalent cations and anions affect transport in these TFC QI membranes. TFC QI membranes exposed to feed solutions that contain different cations (i.e., Li+(aq), Na+(aq), and K+(aq)) but have the same monovalent anion as the free mobile anion in the membrane (i.e., Br-(aq)) have a constant flux and a high rejection (&gt;98%). When the cation is kept constant (i.e., Na+(aq)) and the anion in the feed is varied (i.e., Cl-(aq), Br-(aq), NO3(aq)-, and I-(aq)) and allowed to partially anion-exchange with the membrane, a high rejection is maintained (≥96%), but the flux significantly changes depending on the anion in the feed solution. The flux of the TFC QI membranes can also be repeatedly be cycled by contacting the membranes with different anions. Control experiments with completely anion-exchanged TFC QI membranes (i.e., with Cl-(aq), Br-(aq), NO3(aq)-, and I-(aq)) showed that the rejection of sodium salts and uncharged organic solutes was virtually the same for all of the completely anion-exchanged membranes. As a whole, these results demonstrate that the flux of these TFC QI membranes can be tuned by changing the anion with little to no change in the rejection performance. The unique performance characteristics of TFC QI membranes may offer advantages over conventional NF and RO membranes for water purification applications or other aqueous separations. © 2013 Elsevier B.V.","author":[{"dropping-particle":"","family":"Carter","given":"Blaine M.","non-dropping-particle":"","parse-names":false,"suffix":""},{"dropping-particle":"","family":"Wiesenauer","given":"Brian R.","non-dropping-particle":"","parse-names":false,"suffix":""},{"dropping-particle":"","family":"Noble","given":"Richard D.","non-dropping-particle":"","parse-names":false,"suffix":""},{"dropping-particle":"","family":"Gin","given":"Douglas L.","non-dropping-particle":"","parse-names":false,"suffix":""}],"container-title":"Journal of Membrane Science","id":"ITEM-4","issued":{"date-parts":[["2014"]]},"page":"143-151","title":"Thin-film composite bicontinuous cubic lyotropic liquid crystal polymer membranes: Effects of anion-exchange on water filtration performance","type":"article-journal","volume":"455"},"uris":["http://www.mendeley.com/documents/?uuid=8f662d33-407e-497b-ac4d-657ed26fc531"]}],"mendeley":{"formattedCitation":"&lt;sup&gt;34,120,121,264&lt;/sup&gt;","plainTextFormattedCitation":"34,120,121,264","previouslyFormattedCitation":"&lt;sup&gt;34,120,121,264&lt;/sup&gt;"},"properties":{"noteIndex":0},"schema":"https://github.com/citation-style-language/schema/raw/master/csl-citation.json"}</w:instrText>
      </w:r>
      <w:r w:rsidR="00F34EA4" w:rsidRPr="006D631C">
        <w:rPr>
          <w:color w:val="020202"/>
          <w:szCs w:val="24"/>
        </w:rPr>
        <w:fldChar w:fldCharType="separate"/>
      </w:r>
      <w:r w:rsidR="002E14E4" w:rsidRPr="006D631C">
        <w:rPr>
          <w:noProof/>
          <w:color w:val="020202"/>
          <w:szCs w:val="24"/>
          <w:vertAlign w:val="superscript"/>
        </w:rPr>
        <w:t>34,120,121,264</w:t>
      </w:r>
      <w:r w:rsidR="00F34EA4" w:rsidRPr="006D631C">
        <w:rPr>
          <w:color w:val="020202"/>
          <w:szCs w:val="24"/>
        </w:rPr>
        <w:fldChar w:fldCharType="end"/>
      </w:r>
      <w:r w:rsidR="00F34EA4" w:rsidRPr="006D631C">
        <w:rPr>
          <w:color w:val="020202"/>
          <w:szCs w:val="24"/>
        </w:rPr>
        <w:t xml:space="preserve"> Although both structures offer the desirable features of a 3D-continuous transport path without requiring structural alignment, H</w:t>
      </w:r>
      <w:r w:rsidR="00F34EA4" w:rsidRPr="006D631C">
        <w:rPr>
          <w:color w:val="020202"/>
          <w:szCs w:val="24"/>
          <w:vertAlign w:val="subscript"/>
        </w:rPr>
        <w:t>1</w:t>
      </w:r>
      <w:r w:rsidR="00F34EA4" w:rsidRPr="006D631C">
        <w:rPr>
          <w:color w:val="020202"/>
          <w:szCs w:val="24"/>
        </w:rPr>
        <w:t xml:space="preserve"> is particularly attractive as it forms more frequently and is available in a wider range of compositions compared </w:t>
      </w:r>
      <w:r w:rsidR="00F34EA4" w:rsidRPr="006D631C">
        <w:rPr>
          <w:color w:val="020202"/>
          <w:szCs w:val="24"/>
        </w:rPr>
        <w:lastRenderedPageBreak/>
        <w:t>to Q</w:t>
      </w:r>
      <w:r w:rsidR="00F34EA4" w:rsidRPr="006D631C">
        <w:rPr>
          <w:color w:val="020202"/>
          <w:szCs w:val="24"/>
          <w:vertAlign w:val="subscript"/>
        </w:rPr>
        <w:t>1</w:t>
      </w:r>
      <w:r w:rsidR="00F34EA4" w:rsidRPr="006D631C">
        <w:rPr>
          <w:color w:val="020202"/>
          <w:szCs w:val="24"/>
        </w:rPr>
        <w:t>, making it a more ideal option for membrane applications.</w:t>
      </w:r>
      <w:r w:rsidR="00F34EA4" w:rsidRPr="006D631C">
        <w:rPr>
          <w:color w:val="020202"/>
          <w:szCs w:val="24"/>
        </w:rPr>
        <w:fldChar w:fldCharType="begin" w:fldLock="1"/>
      </w:r>
      <w:r w:rsidR="00F84BFF" w:rsidRPr="006D631C">
        <w:rPr>
          <w:color w:val="020202"/>
          <w:szCs w:val="24"/>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00F34EA4" w:rsidRPr="006D631C">
        <w:rPr>
          <w:color w:val="020202"/>
          <w:szCs w:val="24"/>
        </w:rPr>
        <w:fldChar w:fldCharType="separate"/>
      </w:r>
      <w:r w:rsidR="00F34EA4" w:rsidRPr="006D631C">
        <w:rPr>
          <w:noProof/>
          <w:color w:val="020202"/>
          <w:szCs w:val="24"/>
          <w:vertAlign w:val="superscript"/>
        </w:rPr>
        <w:t>31</w:t>
      </w:r>
      <w:r w:rsidR="00F34EA4" w:rsidRPr="006D631C">
        <w:rPr>
          <w:color w:val="020202"/>
          <w:szCs w:val="24"/>
        </w:rPr>
        <w:fldChar w:fldCharType="end"/>
      </w:r>
      <w:r w:rsidR="00F34EA4" w:rsidRPr="006D631C">
        <w:rPr>
          <w:color w:val="020202"/>
          <w:szCs w:val="24"/>
        </w:rPr>
        <w:t xml:space="preserve"> A significant achievement in the field was demonstrated by Osuji and coworkers,</w:t>
      </w:r>
      <w:r w:rsidR="00F34EA4" w:rsidRPr="006D631C">
        <w:rPr>
          <w:color w:val="020202"/>
          <w:szCs w:val="24"/>
        </w:rPr>
        <w:fldChar w:fldCharType="begin" w:fldLock="1"/>
      </w:r>
      <w:r w:rsidR="00F84BFF" w:rsidRPr="006D631C">
        <w:rPr>
          <w:color w:val="020202"/>
          <w:szCs w:val="24"/>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Nano","id":"ITEM-1","issued":{"date-parts":[["2021","3","17"]]},"page":"acsnano.1c00722","title":"Rapid Fabrication by Lyotropic Self-Assembly of Thin Nanofiltration Membranes with Uniform 1 Nanometer Pores","type":"article-journal"},"uris":["http://www.mendeley.com/documents/?uuid=9a8f95cc-c536-4af0-a6e3-e51388d61691"]},{"id":"ITEM-2","itemData":{"DOI":"10.1126/sciadv.abm5899","ISSN":"2375-2548","abstract":"Organic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Advances","id":"ITEM-2","issue":"11","issued":{"date-parts":[["2022","3","18"]]},"title":"Tunable organic solvent nanofiltration in self-assembled membranes at the sub–1 nm scale","type":"article-journal","volume":"8"},"uris":["http://www.mendeley.com/documents/?uuid=f4e7114e-b599-410a-a180-ef737c4d9ca1"]},{"id":"ITEM-3","itemData":{"DOI":"10.1126/sciadv.aav9308","ISSN":"23752548","PMID":"31448326","abstract":"Self-assembled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Advances","id":"ITEM-3","issue":"8","issued":{"date-parts":[["2019","8","9"]]},"page":"eaav9308","title":"Precise nanofiltration in a fouling-resistant self-assembled membrane with water-continuous transport pathways","type":"article-journal","volume":"5"},"uris":["http://www.mendeley.com/documents/?uuid=d507d8b2-fc83-4bd7-9e6d-10370c7b5e6e"]}],"mendeley":{"formattedCitation":"&lt;sup&gt;31,123,125&lt;/sup&gt;","plainTextFormattedCitation":"31,123,125","previouslyFormattedCitation":"&lt;sup&gt;31,123,125&lt;/sup&gt;"},"properties":{"noteIndex":0},"schema":"https://github.com/citation-style-language/schema/raw/master/csl-citation.json"}</w:instrText>
      </w:r>
      <w:r w:rsidR="00F34EA4" w:rsidRPr="006D631C">
        <w:rPr>
          <w:color w:val="020202"/>
          <w:szCs w:val="24"/>
        </w:rPr>
        <w:fldChar w:fldCharType="separate"/>
      </w:r>
      <w:r w:rsidR="00F34EA4" w:rsidRPr="006D631C">
        <w:rPr>
          <w:noProof/>
          <w:color w:val="020202"/>
          <w:szCs w:val="24"/>
          <w:vertAlign w:val="superscript"/>
        </w:rPr>
        <w:t>31,123,125</w:t>
      </w:r>
      <w:r w:rsidR="00F34EA4" w:rsidRPr="006D631C">
        <w:rPr>
          <w:color w:val="020202"/>
          <w:szCs w:val="24"/>
        </w:rPr>
        <w:fldChar w:fldCharType="end"/>
      </w:r>
      <w:r w:rsidR="00F34EA4" w:rsidRPr="006D631C">
        <w:rPr>
          <w:color w:val="020202"/>
          <w:szCs w:val="24"/>
        </w:rPr>
        <w:t xml:space="preserve"> where they successfully synthesized H</w:t>
      </w:r>
      <w:r w:rsidR="00F34EA4" w:rsidRPr="006D631C">
        <w:rPr>
          <w:color w:val="020202"/>
          <w:szCs w:val="24"/>
          <w:vertAlign w:val="subscript"/>
        </w:rPr>
        <w:t>1</w:t>
      </w:r>
      <w:r w:rsidR="00F34EA4" w:rsidRPr="006D631C">
        <w:rPr>
          <w:color w:val="020202"/>
          <w:szCs w:val="24"/>
        </w:rPr>
        <w:t xml:space="preserve">-structured NF membranes with an effective pore size of ~1 nm, </w:t>
      </w:r>
      <w:r w:rsidR="00F84BFF" w:rsidRPr="006D631C">
        <w:rPr>
          <w:color w:val="020202"/>
          <w:szCs w:val="24"/>
        </w:rPr>
        <w:t>MWCO</w:t>
      </w:r>
      <w:r w:rsidR="00F34EA4" w:rsidRPr="006D631C">
        <w:rPr>
          <w:color w:val="020202"/>
          <w:szCs w:val="24"/>
        </w:rPr>
        <w:t xml:space="preserve"> of ~300 Da, and permeability of ~20 liters m</w:t>
      </w:r>
      <w:r w:rsidR="00F34EA4" w:rsidRPr="006D631C">
        <w:rPr>
          <w:color w:val="020202"/>
          <w:szCs w:val="24"/>
          <w:vertAlign w:val="superscript"/>
        </w:rPr>
        <w:t>−2</w:t>
      </w:r>
      <w:r w:rsidR="00F34EA4" w:rsidRPr="006D631C">
        <w:rPr>
          <w:color w:val="020202"/>
          <w:szCs w:val="24"/>
        </w:rPr>
        <w:t xml:space="preserve"> hour</w:t>
      </w:r>
      <w:r w:rsidR="00F34EA4" w:rsidRPr="006D631C">
        <w:rPr>
          <w:color w:val="020202"/>
          <w:szCs w:val="24"/>
          <w:vertAlign w:val="superscript"/>
        </w:rPr>
        <w:t>−1</w:t>
      </w:r>
      <w:r w:rsidR="00F34EA4" w:rsidRPr="006D631C">
        <w:rPr>
          <w:color w:val="020202"/>
          <w:szCs w:val="24"/>
        </w:rPr>
        <w:t xml:space="preserve"> bar</w:t>
      </w:r>
      <w:r w:rsidR="00F34EA4" w:rsidRPr="006D631C">
        <w:rPr>
          <w:color w:val="020202"/>
          <w:szCs w:val="24"/>
          <w:vertAlign w:val="superscript"/>
        </w:rPr>
        <w:t>−1</w:t>
      </w:r>
      <w:r w:rsidR="00F34EA4" w:rsidRPr="006D631C">
        <w:rPr>
          <w:color w:val="020202"/>
          <w:szCs w:val="24"/>
        </w:rPr>
        <w:t>. Notably, these membranes outperformed commercially available NF membranes like Dow FILMTEC NF90-400, which typically exhibit a permeability of 10 to 15 liters m</w:t>
      </w:r>
      <w:r w:rsidR="00F34EA4" w:rsidRPr="006D631C">
        <w:rPr>
          <w:color w:val="020202"/>
          <w:szCs w:val="24"/>
          <w:vertAlign w:val="superscript"/>
        </w:rPr>
        <w:t>−2</w:t>
      </w:r>
      <w:r w:rsidR="00F34EA4" w:rsidRPr="006D631C">
        <w:rPr>
          <w:color w:val="020202"/>
          <w:szCs w:val="24"/>
        </w:rPr>
        <w:t xml:space="preserve"> hour</w:t>
      </w:r>
      <w:r w:rsidR="00F34EA4" w:rsidRPr="006D631C">
        <w:rPr>
          <w:color w:val="020202"/>
          <w:szCs w:val="24"/>
          <w:vertAlign w:val="superscript"/>
        </w:rPr>
        <w:t>−1</w:t>
      </w:r>
      <w:r w:rsidR="00F34EA4" w:rsidRPr="006D631C">
        <w:rPr>
          <w:color w:val="020202"/>
          <w:szCs w:val="24"/>
        </w:rPr>
        <w:t xml:space="preserve"> bar</w:t>
      </w:r>
      <w:r w:rsidR="00F34EA4" w:rsidRPr="006D631C">
        <w:rPr>
          <w:color w:val="020202"/>
          <w:szCs w:val="24"/>
          <w:vertAlign w:val="superscript"/>
        </w:rPr>
        <w:t>−1</w:t>
      </w:r>
      <w:r w:rsidR="00F34EA4" w:rsidRPr="006D631C">
        <w:rPr>
          <w:color w:val="020202"/>
          <w:szCs w:val="24"/>
        </w:rPr>
        <w:t>.</w:t>
      </w:r>
      <w:r w:rsidR="00F34EA4" w:rsidRPr="006D631C">
        <w:rPr>
          <w:color w:val="020202"/>
          <w:szCs w:val="24"/>
        </w:rPr>
        <w:fldChar w:fldCharType="begin" w:fldLock="1"/>
      </w:r>
      <w:r w:rsidR="00F84BFF" w:rsidRPr="006D631C">
        <w:rPr>
          <w:color w:val="020202"/>
          <w:szCs w:val="24"/>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Nano","id":"ITEM-1","issued":{"date-parts":[["2021","3","17"]]},"page":"acsnano.1c00722","title":"Rapid Fabrication by Lyotropic Self-Assembly of Thin Nanofiltration Membranes with Uniform 1 Nanometer Pores","type":"article-journal"},"uris":["http://www.mendeley.com/documents/?uuid=9a8f95cc-c536-4af0-a6e3-e51388d61691"]}],"mendeley":{"formattedCitation":"&lt;sup&gt;123&lt;/sup&gt;","plainTextFormattedCitation":"123","previouslyFormattedCitation":"&lt;sup&gt;123&lt;/sup&gt;"},"properties":{"noteIndex":0},"schema":"https://github.com/citation-style-language/schema/raw/master/csl-citation.json"}</w:instrText>
      </w:r>
      <w:r w:rsidR="00F34EA4" w:rsidRPr="006D631C">
        <w:rPr>
          <w:color w:val="020202"/>
          <w:szCs w:val="24"/>
        </w:rPr>
        <w:fldChar w:fldCharType="separate"/>
      </w:r>
      <w:r w:rsidR="00F34EA4" w:rsidRPr="006D631C">
        <w:rPr>
          <w:noProof/>
          <w:color w:val="020202"/>
          <w:szCs w:val="24"/>
          <w:vertAlign w:val="superscript"/>
        </w:rPr>
        <w:t>123</w:t>
      </w:r>
      <w:r w:rsidR="00F34EA4" w:rsidRPr="006D631C">
        <w:rPr>
          <w:color w:val="020202"/>
          <w:szCs w:val="24"/>
        </w:rPr>
        <w:fldChar w:fldCharType="end"/>
      </w:r>
    </w:p>
    <w:p w14:paraId="7D2A9F72" w14:textId="6671651F" w:rsidR="001057EF" w:rsidRPr="006D631C" w:rsidRDefault="00275C31" w:rsidP="001B38D1">
      <w:pPr>
        <w:pStyle w:val="TAMainText"/>
        <w:ind w:firstLine="357"/>
        <w:rPr>
          <w:rFonts w:cs="Times"/>
          <w:iCs/>
        </w:rPr>
      </w:pPr>
      <w:r w:rsidRPr="006D631C">
        <w:rPr>
          <w:color w:val="020202"/>
          <w:szCs w:val="24"/>
        </w:rPr>
        <w:t>The incorporation of stimuli-responsiveness into membranes can offer new opportunities for applications by enabling dynamic selectivity and permeability,</w:t>
      </w:r>
      <w:r w:rsidRPr="006D631C">
        <w:rPr>
          <w:color w:val="020202"/>
          <w:szCs w:val="24"/>
        </w:rPr>
        <w:fldChar w:fldCharType="begin" w:fldLock="1"/>
      </w:r>
      <w:r w:rsidR="00252AF5" w:rsidRPr="006D631C">
        <w:rPr>
          <w:color w:val="020202"/>
          <w:szCs w:val="24"/>
        </w:rPr>
        <w:instrText>ADDIN CSL_CITATION {"citationItems":[{"id":"ITEM-1","itemData":{"DOI":"10.1016/j.memsci.2018.02.060","ISSN":"03767388","abstract":"We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Science","id":"ITEM-1","issued":{"date-parts":[["2018","5"]]},"page":"117-124","title":"Two-step thermoresponsive membrane with tunable separation properties and improved cleaning efficiency","type":"article-journal","volume":"554"},"uris":["http://www.mendeley.com/documents/?uuid=6b7db567-d73b-49b7-8074-a48dddee7720"]},{"id":"ITEM-2","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Materials","id":"ITEM-2","issue":"11","issued":{"date-parts":[["2022","11","11"]]},"page":"8156-8165","title":"Two-Step Thermoresponsive Ultrafiltration Membranes from Polymerization of Lyotropic Liquid Crystals","type":"article-journal","volume":"4"},"uris":["http://www.mendeley.com/documents/?uuid=4eee7cf8-e804-4309-8e0d-bec6bee52d4f"]},{"id":"ITEM-3","itemData":{"DOI":"10.1016/j.memsci.2011.08.014","ISSN":"03767388","abstract":"A novel kind of block-like copolymer poly(butyl methacrylate)-b-poly(methacrylic acid)-b-poly(hexafluorobutyl methacrylate) (PBMA-b-PMAA-b-PHFBM) with hydrophobic segments, hydrophilic segments and fluorine-containing segments was prepared by free radical polymerization method. The copolymers were incorporated into PES ultrafiltration membranes through a wet phase inversion method. The surface enrichment of hydrophilic segments and fluorine-containing segments of the copolymer due to the spontaneous and forced surface segregation during non-solvent induced phase separation process was confirmed by X-ray photoelectron spectroscopy (XPS). The modified membranes displayed distinct pH-responsive permeability. The water flux of PES/PBMA5-b-PMAA4.6-b-PHFBM1.1 membrane could significantly decrease from 150L/(m2h) to 75L/(m2h) in the pH region of 4.8-6.2. Meanwhile, the modified membranes exhibited desirable fouling release property mainly derived from fluorine-containing segments. The highest cleaning efficiency of the modified membranes could reach 57.4% compared with that less than 5% of the blank membranes. © 2011 Elsevier B.V.","author":[{"dropping-particle":"","family":"Zhao","given":"Xueting","non-dropping-particle":"","parse-names":false,"suffix":""},{"dropping-particle":"","family":"Su","given":"Yanlei","non-dropping-particle":"","parse-names":false,"suffix":""},{"dropping-particle":"","family":"Chen","given":"Wenjuan","non-dropping-particle":"","parse-names":false,"suffix":""},{"dropping-particle":"","family":"Peng","given":"Jinming","non-dropping-particle":"","parse-names":false,"suffix":""},{"dropping-particle":"","family":"Jiang","given":"Zhongyi","non-dropping-particle":"","parse-names":false,"suffix":""}],"container-title":"Journal of Membrane Science","id":"ITEM-3","issue":"1-2","issued":{"date-parts":[["2011","10"]]},"page":"222-230","title":"pH-responsive and fouling-release properties of PES ultrafiltration membranes modified by multi-functional block-like copolymers","type":"article-journal","volume":"382"},"uris":["http://www.mendeley.com/documents/?uuid=9a456bee-277d-4fc7-a3cf-a89f18ba4f59"]},{"id":"ITEM-4","itemData":{"DOI":"10.1016/j.memsci.2014.03.067","ISSN":"18733123","abstract":"In this work, novel cross linked pegylated functional copolymer poly (acrylic acid-co-polyethylene glycol methyl ether methacrylate) was prepared from AA and PEGMA, via precipitation polymerization using toluene as solvent. The copolymer was directly blended with polysulfone (PSF) using N-methylpyrrolidone (NMP) as solvent to prepare flat sheet polymeric membrane by the phase inversion method. Presence of copolymer in blended membrane was confirmed by Fourier transform infrared-attenuated total reflectance (FTIR-ATR) spectroscopy. Blended membranes showed enhanced pore density, pure water flux and hydrophilicity. Cross sectional morphology of the membranes was changed significantly with higher wt% of the copolymer. Contact angle and hydraulic permeability of modified membrane with 7wt% of copolymer were 48.7° and 0.794L/m2hkPa compared to 63.2° and 0.353L/m2hkPa respectively, for unmodified membrane. The blended membranes also showed evidence of pH sensitivity compared to unmodified membrane. For membrane modified with 7wt% of the copolymer, hydraulic permeability was increased from 0.355 to 0.794L/m2hkPa when pH was changed from 11 to 2. Finally, fouling resistance behavior of modified membrane was studied by bovine serum albumin protein separation study. Modified membrane achieved a maximum of around 90% flux recovery ratio after bovine serum albumin (BSA) separation, which is remarkably higher compared to 37% flux recovery ratio of unmodified membrane. Effect of pH for BSA rejection on different membranes was also studied at pH 2, pH 7 and pH 11. It was found that modified membranes had almost same rejection at pH 7 and pH 11, but rejection was much lower at pH 2. © 2014 Elsevier B.V.","author":[{"dropping-particle":"","family":"Sinha","given":"M. K.","non-dropping-particle":"","parse-names":false,"suffix":""},{"dropping-particle":"","family":"Purkait","given":"M. K.","non-dropping-particle":"","parse-names":false,"suffix":""}],"container-title":"Journal of Membrane Science","id":"ITEM-4","issued":{"date-parts":[["2014"]]},"title":"Preparation and characterization of novel pegylated hydrophilic pH responsive polysulfone ultrafiltration membrane","type":"article-journal"},"uris":["http://www.mendeley.com/documents/?uuid=2869dac3-1896-4a28-92c9-54286e75c777"]},{"id":"ITEM-5","itemData":{"DOI":"10.5004/dwt.2019.24403","ISSN":"19443986","abstract":"Photocatalytic ultrafiltration membranes have great potential advantages in future-water treatment systems. The preparation of photocatalytic ultrafiltration membranes and the selection of catalysts are the key to the development of photocatalytic ultrafiltration membranes. This paper reviews the research status, removal mechanism of pollutants, module design and applications of photocatalytic ultrafiltration membranes. The metal-doped TiO2 photocatalytic ultrafiltration membranes, non-metal-doped TiO2 photocatalytic ultrafiltration membranes, semiconductor-doped TiO2 photocatalytic ultrafiltration membranes, co-doped TiO2 photocatalytic ultrafiltration membrans, and non-TiO2 system photocatalytic ultrafiltration membranes are introduced in detail. At the same time, it summarizes the removal of micro-pollutants in water, treatment of dyes in water, and applications in other aspects, demonstrating its potential for application in various areas of water treatment systems. Finally, the direction of future research is proposed.","author":[{"dropping-particle":"","family":"Fu","given":"Jingli","non-dropping-particle":"","parse-names":false,"suffix":""},{"dropping-particle":"","family":"Wang","given":"Xiuju","non-dropping-particle":"","parse-names":false,"suffix":""},{"dropping-particle":"","family":"Ma","given":"Zhun","non-dropping-particle":"","parse-names":false,"suffix":""},{"dropping-particle":"","family":"Wenming","given":"Hao","non-dropping-particle":"","parse-names":false,"suffix":""},{"dropping-particle":"","family":"Li","given":"Jianye","non-dropping-particle":"","parse-names":false,"suffix":""},{"dropping-particle":"","family":"Wang","given":"Zhongpeng","non-dropping-particle":"","parse-names":false,"suffix":""},{"dropping-particle":"","family":"Wang","given":"Liguo","non-dropping-particle":"","parse-names":false,"suffix":""}],"container-title":"DESALINATION AND WATER TREATMENT","id":"ITEM-5","issued":{"date-parts":[["2019"]]},"page":"42-55","title":"Photocatalytic ultrafiltration membranes based on visible light responsive photocatalyst: a review","type":"article-journal","volume":"168"},"uris":["http://www.mendeley.com/documents/?uuid=f39dac84-0272-4869-a95b-c6b1d010bcbd"]},{"id":"ITEM-6","itemData":{"DOI":"10.1039/C8NJ00039E","ISSN":"1144-0546","abstract":"Zwitterionic polymer modified membranes were prepared, which showed ionic strength- and thermo-responsive properties.","author":[{"dropping-particle":"","family":"Xiang","given":"Tao","non-dropping-particle":"","parse-names":false,"suffix":""},{"dropping-particle":"","family":"Lu","given":"Ting","non-dropping-particle":"","parse-names":false,"suffix":""},{"dropping-particle":"","family":"Zhao","given":"Wei-Feng","non-dropping-particle":"","parse-names":false,"suffix":""},{"dropping-particle":"","family":"Zhao","given":"Chang-Sheng","non-dropping-particle":"","parse-names":false,"suffix":""}],"container-title":"New Journal of Chemistry","id":"ITEM-6","issue":"7","issued":{"date-parts":[["2018"]]},"page":"5323-5333","title":"Ionic strength- and thermo-responsive polyethersulfone composite membranes with enhanced antifouling properties","type":"article-journal","volume":"42"},"uris":["http://www.mendeley.com/documents/?uuid=bfc632e4-97c2-4276-b501-0d6e355aab9d"]}],"mendeley":{"formattedCitation":"&lt;sup&gt;192,213,235,237,238,263&lt;/sup&gt;","plainTextFormattedCitation":"192,213,235,237,238,263","previouslyFormattedCitation":"&lt;sup&gt;192,213,235,237,238,263&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192,213,235,237,238,263</w:t>
      </w:r>
      <w:r w:rsidRPr="006D631C">
        <w:rPr>
          <w:color w:val="020202"/>
          <w:szCs w:val="24"/>
        </w:rPr>
        <w:fldChar w:fldCharType="end"/>
      </w:r>
      <w:r w:rsidRPr="006D631C">
        <w:rPr>
          <w:color w:val="020202"/>
          <w:szCs w:val="24"/>
        </w:rPr>
        <w:t xml:space="preserve"> and enhanced cleaning of a fouled membrane.</w:t>
      </w:r>
      <w:r w:rsidRPr="006D631C">
        <w:rPr>
          <w:color w:val="020202"/>
          <w:szCs w:val="24"/>
        </w:rPr>
        <w:fldChar w:fldCharType="begin" w:fldLock="1"/>
      </w:r>
      <w:r w:rsidR="00252AF5" w:rsidRPr="006D631C">
        <w:rPr>
          <w:color w:val="020202"/>
          <w:szCs w:val="24"/>
        </w:rPr>
        <w:instrText>ADDIN CSL_CITATION {"citationItems":[{"id":"ITEM-1","itemData":{"DOI":"10.1039/C4RA13863E","ISSN":"2046-2069","abstract":"An amphiphilic thermo responsive PVCL- co -PSF copolymer was synthesized with enhanced pore density and hydrophilicity. It was found to have high hydration capacity and low BSA adsorption, with 92.5% and 95% flux recovery ratios achieved for BSA and HA, respectively.","author":[{"dropping-particle":"","family":"Sinha","given":"M. K.","non-dropping-particle":"","parse-names":false,"suffix":""},{"dropping-particle":"","family":"Purkait","given":"M. K.","non-dropping-particle":"","parse-names":false,"suffix":""}],"container-title":"RSC Advances","id":"ITEM-1","issue":"29","issued":{"date-parts":[["2015"]]},"page":"22609-22619","title":"Preparation of a novel thermo responsive PSF membrane, with cross linked PVCL-co-PSF copolymer for protein separation and easy cleaning","type":"article-journal","volume":"5"},"uris":["http://www.mendeley.com/documents/?uuid=50d56474-3a02-4a51-bd1e-7af486bad71c"]},{"id":"ITEM-2","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Materials","id":"ITEM-2","issue":"11","issued":{"date-parts":[["2022","11","11"]]},"page":"8156-8165","title":"Two-Step Thermoresponsive Ultrafiltration Membranes from Polymerization of Lyotropic Liquid Crystals","type":"article-journal","volume":"4"},"uris":["http://www.mendeley.com/documents/?uuid=4eee7cf8-e804-4309-8e0d-bec6bee52d4f"]},{"id":"ITEM-3","itemData":{"DOI":"10.1016/j.memsci.2018.02.060","ISSN":"03767388","abstract":"We developed two-step thermoresponsive membranes that have two different lower critical solution temperatures. To achieve this, poly(2-dimethylaminoethyl methacrylate)-block-poly(N-isopropylacrylamide) (PDMAEMA-b-PNIPAM, PDN) was introduced into a polyethersulfone (PES) ultrafiltration membrane. The combined Fourier-transform infrared spectroscopy, nuclear magnetic resonance spectroscopy, attenuated total reflection Fourier-transform infrared spectroscopy, and field-emission scanning electron microscopy results showed that PDN was successfully synthesized, and introduced into the PES membrane. The hydration capacity changes showed that the PES membrane with introduced PDN (PES/PDN) was temperature responsive, and that its pore structure changed. Water flux and protein separation experiments showed that the permeation properties of the PES/PDN membrane effectively changed, and protein separation was achieved based on pore structure changes in response to temperature changes. In particular, PES/PDN containing 5% PDN compared to PES separated water and three types of protein with high efficiency via three clear separation steps, at 30, 50, and 70 °C. In addition, the thermoresponsive polymer block in the PES/PDN membrane improved the flux recovery ratio from 29% to 69%.","author":[{"dropping-particle":"","family":"Choi","given":"Jung-Yun","non-dropping-particle":"","parse-names":false,"suffix":""},{"dropping-particle":"","family":"Yun","given":"Taeseon","non-dropping-particle":"","parse-names":false,"suffix":""},{"dropping-particle":"","family":"Kwak","given":"Seung-Yeop","non-dropping-particle":"","parse-names":false,"suffix":""}],"container-title":"Journal of Membrane Science","id":"ITEM-3","issued":{"date-parts":[["2018","5"]]},"page":"117-124","title":"Two-step thermoresponsive membrane with tunable separation properties and improved cleaning efficiency","type":"article-journal","volume":"554"},"uris":["http://www.mendeley.com/documents/?uuid=1885d88b-7787-47d6-9f9d-8f905461bbd0"]}],"mendeley":{"formattedCitation":"&lt;sup&gt;192,236,263&lt;/sup&gt;","plainTextFormattedCitation":"192,236,263","previouslyFormattedCitation":"&lt;sup&gt;192,236,263&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192,236,263</w:t>
      </w:r>
      <w:r w:rsidRPr="006D631C">
        <w:rPr>
          <w:color w:val="020202"/>
          <w:szCs w:val="24"/>
        </w:rPr>
        <w:fldChar w:fldCharType="end"/>
      </w:r>
      <w:r w:rsidRPr="006D631C">
        <w:rPr>
          <w:color w:val="020202"/>
          <w:szCs w:val="24"/>
        </w:rPr>
        <w:t xml:space="preserve"> While there are a few reports on the production of stimuli-responsive UF membranes by using LLC templates,</w:t>
      </w:r>
      <w:r w:rsidRPr="006D631C">
        <w:rPr>
          <w:color w:val="020202"/>
          <w:szCs w:val="24"/>
        </w:rPr>
        <w:fldChar w:fldCharType="begin" w:fldLock="1"/>
      </w:r>
      <w:r w:rsidR="00252AF5" w:rsidRPr="006D631C">
        <w:rPr>
          <w:color w:val="020202"/>
          <w:szCs w:val="24"/>
        </w:rPr>
        <w:instrText>ADDIN CSL_CITATION {"citationItems":[{"id":"ITEM-1","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Materials","id":"ITEM-1","issue":"11","issued":{"date-parts":[["2022","11","11"]]},"page":"8156-8165","title":"Two-Step Thermoresponsive Ultrafiltration Membranes from Polymerization of Lyotropic Liquid Crystals","type":"article-journal","volume":"4"},"uris":["http://www.mendeley.com/documents/?uuid=4eee7cf8-e804-4309-8e0d-bec6bee52d4f"]},{"id":"ITEM-2","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Science","id":"ITEM-2","issued":{"date-parts":[["2023","10"]]},"page":"121861","title":"Thermoresponsive antifouling ultrafiltration membranes from mesophase templating","type":"article-journal","volume":"684"},"uris":["http://www.mendeley.com/documents/?uuid=87bbcaa1-2ae4-4844-96e9-e1ea8cc616de"]}],"mendeley":{"formattedCitation":"&lt;sup&gt;263,289&lt;/sup&gt;","plainTextFormattedCitation":"263,289","previouslyFormattedCitation":"&lt;sup&gt;263,289&lt;/sup&gt;"},"properties":{"noteIndex":0},"schema":"https://github.com/citation-style-language/schema/raw/master/csl-citation.json"}</w:instrText>
      </w:r>
      <w:r w:rsidRPr="006D631C">
        <w:rPr>
          <w:color w:val="020202"/>
          <w:szCs w:val="24"/>
        </w:rPr>
        <w:fldChar w:fldCharType="separate"/>
      </w:r>
      <w:r w:rsidRPr="006D631C">
        <w:rPr>
          <w:noProof/>
          <w:color w:val="020202"/>
          <w:szCs w:val="24"/>
          <w:vertAlign w:val="superscript"/>
        </w:rPr>
        <w:t>263,289</w:t>
      </w:r>
      <w:r w:rsidRPr="006D631C">
        <w:rPr>
          <w:color w:val="020202"/>
          <w:szCs w:val="24"/>
        </w:rPr>
        <w:fldChar w:fldCharType="end"/>
      </w:r>
      <w:r w:rsidRPr="006D631C">
        <w:rPr>
          <w:color w:val="020202"/>
          <w:szCs w:val="24"/>
        </w:rPr>
        <w:t xml:space="preserve"> there is currently no literature available on the synthesis of stimuli-responsive NF membranes from LLC templates. </w:t>
      </w:r>
      <w:r w:rsidRPr="006D631C">
        <w:rPr>
          <w:rFonts w:cs="Times"/>
          <w:color w:val="020202"/>
          <w:szCs w:val="24"/>
        </w:rPr>
        <w:t xml:space="preserve">Li et al. published a report on the synthesis of a pH- and light-responsive </w:t>
      </w:r>
      <w:proofErr w:type="spellStart"/>
      <w:r w:rsidRPr="006D631C">
        <w:rPr>
          <w:rFonts w:cs="Times"/>
          <w:color w:val="020202"/>
          <w:szCs w:val="24"/>
        </w:rPr>
        <w:t>nanoporous</w:t>
      </w:r>
      <w:proofErr w:type="spellEnd"/>
      <w:r w:rsidRPr="006D631C">
        <w:rPr>
          <w:rFonts w:cs="Times"/>
          <w:color w:val="020202"/>
          <w:szCs w:val="24"/>
        </w:rPr>
        <w:t xml:space="preserve"> polymer with a pore size of about 1 nm, but the potential of the polymer as a</w:t>
      </w:r>
      <w:r w:rsidR="00A92F76" w:rsidRPr="006D631C">
        <w:rPr>
          <w:rFonts w:cs="Times"/>
          <w:color w:val="020202"/>
          <w:szCs w:val="24"/>
        </w:rPr>
        <w:t>n</w:t>
      </w:r>
      <w:r w:rsidRPr="006D631C">
        <w:rPr>
          <w:rFonts w:cs="Times"/>
          <w:color w:val="020202"/>
          <w:szCs w:val="24"/>
        </w:rPr>
        <w:t xml:space="preserve"> NF membrane was not evaluated in their study.</w:t>
      </w:r>
      <w:r w:rsidRPr="006D631C">
        <w:rPr>
          <w:rFonts w:cs="Times"/>
          <w:color w:val="020202"/>
          <w:szCs w:val="24"/>
        </w:rPr>
        <w:fldChar w:fldCharType="begin" w:fldLock="1"/>
      </w:r>
      <w:r w:rsidR="00252AF5" w:rsidRPr="006D631C">
        <w:rPr>
          <w:rFonts w:cs="Times"/>
          <w:color w:val="020202"/>
          <w:szCs w:val="24"/>
        </w:rPr>
        <w:instrText>ADDIN CSL_CITATION {"citationItems":[{"id":"ITEM-1","itemData":{"DOI":"10.1002/admi.202201761","ISSN":"2196-7350","author":[{"dropping-particle":"","family":"Li","given":"Patrick","non-dropping-particle":"","parse-names":false,"suffix":""},{"dropping-particle":"","family":"Johnson","given":"Christopher","non-dropping-particle":"","parse-names":false,"suffix":""},{"dropping-particle":"","family":"Dyer","given":"Samantha S.","non-dropping-particle":"","parse-names":false,"suffix":""},{"dropping-particle":"","family":"Osuji","given":"Chinedum O.","non-dropping-particle":"","parse-names":false,"suffix":""},{"dropping-particle":"","family":"Gin","given":"Douglas L.","non-dropping-particle":"","parse-names":false,"suffix":""}],"container-title":"Advanced Materials Interfaces","id":"ITEM-1","issued":{"date-parts":[["2022","12","4"]]},"page":"2201761","title":"A pH‐ and Light‐Responsive Nanoporous Lyotropic Gyroid Polymer Network","type":"article-journal"},"uris":["http://www.mendeley.com/documents/?uuid=e6b2f03c-2c58-40fd-9524-e8f93218c017"]}],"mendeley":{"formattedCitation":"&lt;sup&gt;126&lt;/sup&gt;","plainTextFormattedCitation":"126","previouslyFormattedCitation":"&lt;sup&gt;126&lt;/sup&gt;"},"properties":{"noteIndex":0},"schema":"https://github.com/citation-style-language/schema/raw/master/csl-citation.json"}</w:instrText>
      </w:r>
      <w:r w:rsidRPr="006D631C">
        <w:rPr>
          <w:rFonts w:cs="Times"/>
          <w:color w:val="020202"/>
          <w:szCs w:val="24"/>
        </w:rPr>
        <w:fldChar w:fldCharType="separate"/>
      </w:r>
      <w:r w:rsidRPr="006D631C">
        <w:rPr>
          <w:rFonts w:cs="Times"/>
          <w:noProof/>
          <w:color w:val="020202"/>
          <w:szCs w:val="24"/>
          <w:vertAlign w:val="superscript"/>
        </w:rPr>
        <w:t>126</w:t>
      </w:r>
      <w:r w:rsidRPr="006D631C">
        <w:rPr>
          <w:rFonts w:cs="Times"/>
          <w:color w:val="020202"/>
          <w:szCs w:val="24"/>
        </w:rPr>
        <w:fldChar w:fldCharType="end"/>
      </w:r>
      <w:r w:rsidRPr="006D631C">
        <w:rPr>
          <w:rFonts w:cs="Times"/>
          <w:color w:val="020202"/>
          <w:szCs w:val="24"/>
        </w:rPr>
        <w:t xml:space="preserve"> </w:t>
      </w:r>
      <w:r w:rsidR="002D7666" w:rsidRPr="006D631C">
        <w:rPr>
          <w:rFonts w:cs="Times"/>
          <w:color w:val="020202"/>
          <w:szCs w:val="24"/>
        </w:rPr>
        <w:t>In the current research, we present the first successful production of H</w:t>
      </w:r>
      <w:r w:rsidR="002D7666" w:rsidRPr="006D631C">
        <w:rPr>
          <w:rFonts w:cs="Times"/>
          <w:color w:val="020202"/>
          <w:szCs w:val="24"/>
          <w:vertAlign w:val="subscript"/>
        </w:rPr>
        <w:t>1</w:t>
      </w:r>
      <w:r w:rsidR="002D7666" w:rsidRPr="006D631C">
        <w:rPr>
          <w:rFonts w:cs="Times"/>
          <w:color w:val="020202"/>
          <w:szCs w:val="24"/>
        </w:rPr>
        <w:t>-structured stimuli-responsive NF membrane via LLC templating. To create the membrane, we polymerize the LLC from mixture of P84DA, [BMIM</w:t>
      </w:r>
      <w:proofErr w:type="gramStart"/>
      <w:r w:rsidR="002D7666" w:rsidRPr="006D631C">
        <w:rPr>
          <w:rFonts w:cs="Times"/>
          <w:color w:val="020202"/>
          <w:szCs w:val="24"/>
        </w:rPr>
        <w:t>][</w:t>
      </w:r>
      <w:proofErr w:type="gramEnd"/>
      <w:r w:rsidR="002D7666" w:rsidRPr="006D631C">
        <w:rPr>
          <w:rFonts w:cs="Times"/>
          <w:color w:val="020202"/>
          <w:szCs w:val="24"/>
        </w:rPr>
        <w:t>BF</w:t>
      </w:r>
      <w:r w:rsidR="002D7666" w:rsidRPr="006D631C">
        <w:rPr>
          <w:rFonts w:cs="Times"/>
          <w:color w:val="020202"/>
          <w:szCs w:val="24"/>
          <w:vertAlign w:val="subscript"/>
        </w:rPr>
        <w:t>4</w:t>
      </w:r>
      <w:r w:rsidR="002D7666" w:rsidRPr="006D631C">
        <w:rPr>
          <w:rFonts w:cs="Times"/>
          <w:color w:val="020202"/>
          <w:szCs w:val="24"/>
        </w:rPr>
        <w:t>] ionic liquid</w:t>
      </w:r>
      <w:r w:rsidR="00991D81" w:rsidRPr="006D631C">
        <w:rPr>
          <w:rFonts w:cs="Times"/>
          <w:color w:val="020202"/>
          <w:szCs w:val="24"/>
        </w:rPr>
        <w:t xml:space="preserve"> (IL)</w:t>
      </w:r>
      <w:r w:rsidR="002D7666" w:rsidRPr="006D631C">
        <w:rPr>
          <w:rFonts w:cs="Times"/>
          <w:color w:val="020202"/>
          <w:szCs w:val="24"/>
        </w:rPr>
        <w:t>, acrylic acid (</w:t>
      </w:r>
      <w:proofErr w:type="spellStart"/>
      <w:r w:rsidR="002D7666" w:rsidRPr="006D631C">
        <w:rPr>
          <w:rFonts w:cs="Times"/>
          <w:color w:val="020202"/>
          <w:szCs w:val="24"/>
        </w:rPr>
        <w:t>AAc</w:t>
      </w:r>
      <w:proofErr w:type="spellEnd"/>
      <w:r w:rsidR="002D7666" w:rsidRPr="006D631C">
        <w:rPr>
          <w:rFonts w:cs="Times"/>
          <w:color w:val="020202"/>
          <w:szCs w:val="24"/>
        </w:rPr>
        <w:t xml:space="preserve">), and </w:t>
      </w:r>
      <w:r w:rsidR="00CF79A7" w:rsidRPr="006D631C">
        <w:rPr>
          <w:rFonts w:cs="Times"/>
          <w:color w:val="020202"/>
          <w:szCs w:val="24"/>
        </w:rPr>
        <w:t>HDDA</w:t>
      </w:r>
      <w:r w:rsidR="002D7666" w:rsidRPr="006D631C">
        <w:rPr>
          <w:rFonts w:cs="Times"/>
          <w:color w:val="020202"/>
          <w:szCs w:val="24"/>
        </w:rPr>
        <w:t xml:space="preserve"> by using UV light. After removing the </w:t>
      </w:r>
      <w:r w:rsidR="00991D81" w:rsidRPr="006D631C">
        <w:rPr>
          <w:rFonts w:cs="Times"/>
          <w:color w:val="020202"/>
          <w:szCs w:val="24"/>
        </w:rPr>
        <w:t>IL</w:t>
      </w:r>
      <w:r w:rsidR="002D7666" w:rsidRPr="006D631C">
        <w:rPr>
          <w:rFonts w:cs="Times"/>
          <w:color w:val="020202"/>
          <w:szCs w:val="24"/>
        </w:rPr>
        <w:t xml:space="preserve"> through washing with water, the resulting </w:t>
      </w:r>
      <w:r w:rsidR="00D93B03" w:rsidRPr="006D631C">
        <w:rPr>
          <w:rFonts w:cs="Times"/>
          <w:color w:val="020202"/>
          <w:szCs w:val="24"/>
        </w:rPr>
        <w:t>polyLLC</w:t>
      </w:r>
      <w:r w:rsidR="002D7666" w:rsidRPr="006D631C">
        <w:rPr>
          <w:rFonts w:cs="Times"/>
          <w:color w:val="020202"/>
          <w:szCs w:val="24"/>
        </w:rPr>
        <w:t xml:space="preserve"> membrane exhibits a pore size of 2.2 nm. When the polyLLC membrane is heated to 45°C, the pore size increases to 2.6 nm, which leads to an increase in thickness-normalized flux and membrane MWCO from 16 to 31 liters m</w:t>
      </w:r>
      <w:r w:rsidR="002D7666" w:rsidRPr="006D631C">
        <w:rPr>
          <w:rFonts w:cs="Times"/>
          <w:color w:val="020202"/>
          <w:szCs w:val="24"/>
          <w:vertAlign w:val="superscript"/>
        </w:rPr>
        <w:t>−2</w:t>
      </w:r>
      <w:r w:rsidR="002D7666" w:rsidRPr="006D631C">
        <w:rPr>
          <w:rFonts w:cs="Times"/>
          <w:color w:val="020202"/>
          <w:szCs w:val="24"/>
        </w:rPr>
        <w:t xml:space="preserve"> hour</w:t>
      </w:r>
      <w:r w:rsidR="002D7666" w:rsidRPr="006D631C">
        <w:rPr>
          <w:rFonts w:cs="Times"/>
          <w:color w:val="020202"/>
          <w:szCs w:val="24"/>
          <w:vertAlign w:val="superscript"/>
        </w:rPr>
        <w:t>−1</w:t>
      </w:r>
      <w:r w:rsidR="002D7666" w:rsidRPr="006D631C">
        <w:rPr>
          <w:rFonts w:cs="Times"/>
          <w:color w:val="020202"/>
          <w:szCs w:val="24"/>
        </w:rPr>
        <w:t xml:space="preserve"> µm and from 1600 to 2400 Da, respectively. The </w:t>
      </w:r>
      <w:r w:rsidR="00866008" w:rsidRPr="006D631C">
        <w:rPr>
          <w:rFonts w:cs="Times"/>
          <w:color w:val="020202"/>
          <w:szCs w:val="24"/>
        </w:rPr>
        <w:t>incorporation</w:t>
      </w:r>
      <w:r w:rsidR="002D7666" w:rsidRPr="006D631C">
        <w:rPr>
          <w:rFonts w:cs="Times"/>
          <w:color w:val="020202"/>
          <w:szCs w:val="24"/>
        </w:rPr>
        <w:t xml:space="preserve"> of </w:t>
      </w:r>
      <w:proofErr w:type="spellStart"/>
      <w:r w:rsidR="002D7666" w:rsidRPr="006D631C">
        <w:rPr>
          <w:rFonts w:cs="Times"/>
          <w:color w:val="020202"/>
          <w:szCs w:val="24"/>
        </w:rPr>
        <w:t>AAc</w:t>
      </w:r>
      <w:proofErr w:type="spellEnd"/>
      <w:r w:rsidR="002D7666" w:rsidRPr="006D631C">
        <w:rPr>
          <w:rFonts w:cs="Times"/>
          <w:color w:val="020202"/>
          <w:szCs w:val="24"/>
        </w:rPr>
        <w:t xml:space="preserve"> </w:t>
      </w:r>
      <w:r w:rsidR="00866008" w:rsidRPr="006D631C">
        <w:rPr>
          <w:rFonts w:cs="Times"/>
          <w:color w:val="020202"/>
          <w:szCs w:val="24"/>
        </w:rPr>
        <w:t>in the formulation</w:t>
      </w:r>
      <w:r w:rsidR="002D7666" w:rsidRPr="006D631C">
        <w:rPr>
          <w:rFonts w:cs="Times"/>
          <w:color w:val="020202"/>
          <w:szCs w:val="24"/>
        </w:rPr>
        <w:t xml:space="preserve"> incorporates charge on the pore wall, enabling the membrane to effectively reject dissolved </w:t>
      </w:r>
      <w:r w:rsidR="001B38D1" w:rsidRPr="006D631C">
        <w:rPr>
          <w:rFonts w:cs="Times"/>
          <w:color w:val="020202"/>
          <w:szCs w:val="24"/>
        </w:rPr>
        <w:t xml:space="preserve">salts containing trivalent and divalent anion </w:t>
      </w:r>
      <w:r w:rsidR="002D7666" w:rsidRPr="006D631C">
        <w:rPr>
          <w:rFonts w:cs="Times"/>
          <w:color w:val="020202"/>
          <w:szCs w:val="24"/>
        </w:rPr>
        <w:t>at neutral and alkaline pH levels. Moreover, highly hydrophilic surface of membrane makes it resistant to fouling from various solutes.</w:t>
      </w:r>
      <w:r w:rsidR="00FF25E2" w:rsidRPr="006D631C">
        <w:rPr>
          <w:color w:val="020202"/>
        </w:rPr>
        <w:t xml:space="preserve"> </w:t>
      </w:r>
    </w:p>
    <w:p w14:paraId="7F026EE2" w14:textId="3D392100" w:rsidR="00895B91" w:rsidRPr="006D631C" w:rsidRDefault="006F221C" w:rsidP="00895B91">
      <w:pPr>
        <w:pStyle w:val="Heading2"/>
      </w:pPr>
      <w:bookmarkStart w:id="199" w:name="_Toc148175866"/>
      <w:r w:rsidRPr="006D631C">
        <w:lastRenderedPageBreak/>
        <w:t>5</w:t>
      </w:r>
      <w:r w:rsidR="00895B91" w:rsidRPr="006D631C">
        <w:t>.2 Experimental</w:t>
      </w:r>
      <w:bookmarkEnd w:id="199"/>
    </w:p>
    <w:p w14:paraId="1B64CE9D" w14:textId="7C362E9B" w:rsidR="00895B91" w:rsidRPr="006D631C" w:rsidRDefault="006F221C" w:rsidP="00895B91">
      <w:pPr>
        <w:pStyle w:val="Heading3"/>
      </w:pPr>
      <w:bookmarkStart w:id="200" w:name="_Toc148175867"/>
      <w:r w:rsidRPr="006D631C">
        <w:t>5</w:t>
      </w:r>
      <w:r w:rsidR="00895B91" w:rsidRPr="006D631C">
        <w:t>.2.1 Materials</w:t>
      </w:r>
      <w:bookmarkEnd w:id="200"/>
    </w:p>
    <w:p w14:paraId="532FFE8F" w14:textId="2ED7C4E0" w:rsidR="003626A3" w:rsidRPr="006D631C" w:rsidRDefault="00582CFC" w:rsidP="00A92F76">
      <w:pPr>
        <w:ind w:firstLine="360"/>
        <w:rPr>
          <w:rFonts w:asciiTheme="majorBidi" w:hAnsiTheme="majorBidi" w:cstheme="majorBidi"/>
        </w:rPr>
      </w:pPr>
      <w:r w:rsidRPr="006D631C">
        <w:rPr>
          <w:rFonts w:asciiTheme="majorBidi" w:hAnsiTheme="majorBidi" w:cstheme="majorBidi"/>
        </w:rPr>
        <w:t xml:space="preserve">All the chemicals used in this study </w:t>
      </w:r>
      <w:r w:rsidR="00A92F76" w:rsidRPr="006D631C">
        <w:rPr>
          <w:rFonts w:asciiTheme="majorBidi" w:hAnsiTheme="majorBidi" w:cstheme="majorBidi"/>
        </w:rPr>
        <w:t>were</w:t>
      </w:r>
      <w:r w:rsidRPr="006D631C">
        <w:rPr>
          <w:rFonts w:asciiTheme="majorBidi" w:hAnsiTheme="majorBidi" w:cstheme="majorBidi"/>
        </w:rPr>
        <w:t xml:space="preserve"> purchased from Sigma-Aldrich and were used without any purification except when otherwise noted. The components employed in the synthesis of the polymerizable surfactant, P84DA, were Pluronic P84 (P84) copolymer (PEO</w:t>
      </w:r>
      <w:r w:rsidRPr="006D631C">
        <w:rPr>
          <w:rFonts w:asciiTheme="majorBidi" w:hAnsiTheme="majorBidi" w:cstheme="majorBidi"/>
          <w:vertAlign w:val="subscript"/>
        </w:rPr>
        <w:t>19</w:t>
      </w:r>
      <w:r w:rsidRPr="006D631C">
        <w:rPr>
          <w:rFonts w:asciiTheme="majorBidi" w:hAnsiTheme="majorBidi" w:cstheme="majorBidi"/>
        </w:rPr>
        <w:t>−PPO</w:t>
      </w:r>
      <w:r w:rsidRPr="006D631C">
        <w:rPr>
          <w:rFonts w:asciiTheme="majorBidi" w:hAnsiTheme="majorBidi" w:cstheme="majorBidi"/>
          <w:vertAlign w:val="subscript"/>
        </w:rPr>
        <w:t>43</w:t>
      </w:r>
      <w:r w:rsidRPr="006D631C">
        <w:rPr>
          <w:rFonts w:asciiTheme="majorBidi" w:hAnsiTheme="majorBidi" w:cstheme="majorBidi"/>
        </w:rPr>
        <w:t>−PEO</w:t>
      </w:r>
      <w:r w:rsidRPr="006D631C">
        <w:rPr>
          <w:rFonts w:asciiTheme="majorBidi" w:hAnsiTheme="majorBidi" w:cstheme="majorBidi"/>
          <w:vertAlign w:val="subscript"/>
        </w:rPr>
        <w:t>19</w:t>
      </w:r>
      <w:r w:rsidRPr="006D631C">
        <w:rPr>
          <w:rFonts w:asciiTheme="majorBidi" w:hAnsiTheme="majorBidi" w:cstheme="majorBidi"/>
        </w:rPr>
        <w:t>) with an average molecular weight of 4200 g/</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anhydrous </w:t>
      </w:r>
      <w:r w:rsidR="003046E8" w:rsidRPr="006D631C">
        <w:rPr>
          <w:rFonts w:asciiTheme="majorBidi" w:hAnsiTheme="majorBidi" w:cstheme="majorBidi"/>
        </w:rPr>
        <w:t>DCM</w:t>
      </w:r>
      <w:r w:rsidRPr="006D631C">
        <w:rPr>
          <w:rFonts w:asciiTheme="majorBidi" w:hAnsiTheme="majorBidi" w:cstheme="majorBidi"/>
        </w:rPr>
        <w:t xml:space="preserve"> with a purity of ≥99.8%, anhydrous toluene with 99.8% purity, </w:t>
      </w:r>
      <w:proofErr w:type="spellStart"/>
      <w:r w:rsidRPr="006D631C">
        <w:rPr>
          <w:rFonts w:asciiTheme="majorBidi" w:hAnsiTheme="majorBidi" w:cstheme="majorBidi"/>
        </w:rPr>
        <w:t>triethylamine</w:t>
      </w:r>
      <w:proofErr w:type="spellEnd"/>
      <w:r w:rsidRPr="006D631C">
        <w:rPr>
          <w:rFonts w:asciiTheme="majorBidi" w:hAnsiTheme="majorBidi" w:cstheme="majorBidi"/>
        </w:rPr>
        <w:t xml:space="preserve"> having a purity of 99.5%, and </w:t>
      </w:r>
      <w:proofErr w:type="spellStart"/>
      <w:r w:rsidRPr="006D631C">
        <w:rPr>
          <w:rFonts w:asciiTheme="majorBidi" w:hAnsiTheme="majorBidi" w:cstheme="majorBidi"/>
        </w:rPr>
        <w:t>acryloyl</w:t>
      </w:r>
      <w:proofErr w:type="spellEnd"/>
      <w:r w:rsidRPr="006D631C">
        <w:rPr>
          <w:rFonts w:asciiTheme="majorBidi" w:hAnsiTheme="majorBidi" w:cstheme="majorBidi"/>
        </w:rPr>
        <w:t xml:space="preserve"> chloride with a purity of 97%. The desired LLC was produced by mixing P84DA with [BMIM</w:t>
      </w:r>
      <w:proofErr w:type="gramStart"/>
      <w:r w:rsidRPr="006D631C">
        <w:rPr>
          <w:rFonts w:asciiTheme="majorBidi" w:hAnsiTheme="majorBidi" w:cstheme="majorBidi"/>
        </w:rPr>
        <w:t>][</w:t>
      </w:r>
      <w:proofErr w:type="gramEnd"/>
      <w:r w:rsidRPr="006D631C">
        <w:rPr>
          <w:rFonts w:asciiTheme="majorBidi" w:hAnsiTheme="majorBidi" w:cstheme="majorBidi"/>
        </w:rPr>
        <w:t>BF</w:t>
      </w:r>
      <w:r w:rsidRPr="006D631C">
        <w:rPr>
          <w:rFonts w:asciiTheme="majorBidi" w:hAnsiTheme="majorBidi" w:cstheme="majorBidi"/>
          <w:vertAlign w:val="subscript"/>
        </w:rPr>
        <w:t>4</w:t>
      </w:r>
      <w:r w:rsidRPr="006D631C">
        <w:rPr>
          <w:rFonts w:asciiTheme="majorBidi" w:hAnsiTheme="majorBidi" w:cstheme="majorBidi"/>
        </w:rPr>
        <w:t xml:space="preserve">] with a purity of ≥98%, HDDA (obtained from </w:t>
      </w:r>
      <w:proofErr w:type="spellStart"/>
      <w:r w:rsidRPr="006D631C">
        <w:rPr>
          <w:rFonts w:asciiTheme="majorBidi" w:hAnsiTheme="majorBidi" w:cstheme="majorBidi"/>
        </w:rPr>
        <w:t>Thermo</w:t>
      </w:r>
      <w:proofErr w:type="spellEnd"/>
      <w:r w:rsidRPr="006D631C">
        <w:rPr>
          <w:rFonts w:asciiTheme="majorBidi" w:hAnsiTheme="majorBidi" w:cstheme="majorBidi"/>
        </w:rPr>
        <w:t xml:space="preserve"> Scientific Chemicals having a purity of 99%),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(99% pure)</w:t>
      </w:r>
      <w:r w:rsidR="006E2A19" w:rsidRPr="006D631C">
        <w:rPr>
          <w:rFonts w:asciiTheme="majorBidi" w:hAnsiTheme="majorBidi" w:cstheme="majorBidi"/>
        </w:rPr>
        <w:t>,</w:t>
      </w:r>
      <w:r w:rsidRPr="006D631C">
        <w:rPr>
          <w:rFonts w:asciiTheme="majorBidi" w:hAnsiTheme="majorBidi" w:cstheme="majorBidi"/>
        </w:rPr>
        <w:t xml:space="preserve"> and 99% pure </w:t>
      </w:r>
      <w:r w:rsidR="003046E8" w:rsidRPr="006D631C">
        <w:rPr>
          <w:rFonts w:asciiTheme="majorBidi" w:hAnsiTheme="majorBidi" w:cstheme="majorBidi"/>
        </w:rPr>
        <w:t>HCPK</w:t>
      </w:r>
      <w:r w:rsidRPr="006D631C">
        <w:rPr>
          <w:rFonts w:asciiTheme="majorBidi" w:hAnsiTheme="majorBidi" w:cstheme="majorBidi"/>
        </w:rPr>
        <w:t xml:space="preserve">. For all the experiments, </w:t>
      </w:r>
      <w:r w:rsidR="003046E8" w:rsidRPr="006D631C">
        <w:rPr>
          <w:rFonts w:asciiTheme="majorBidi" w:hAnsiTheme="majorBidi" w:cstheme="majorBidi"/>
        </w:rPr>
        <w:t>DI</w:t>
      </w:r>
      <w:r w:rsidRPr="006D631C">
        <w:rPr>
          <w:rFonts w:asciiTheme="majorBidi" w:hAnsiTheme="majorBidi" w:cstheme="majorBidi"/>
        </w:rPr>
        <w:t xml:space="preserve"> water with a conductivity of 0.055 </w:t>
      </w:r>
      <w:proofErr w:type="spellStart"/>
      <w:r w:rsidRPr="006D631C">
        <w:rPr>
          <w:rFonts w:asciiTheme="majorBidi" w:hAnsiTheme="majorBidi" w:cstheme="majorBidi"/>
        </w:rPr>
        <w:t>μS</w:t>
      </w:r>
      <w:proofErr w:type="spellEnd"/>
      <w:r w:rsidRPr="006D631C">
        <w:rPr>
          <w:rFonts w:asciiTheme="majorBidi" w:hAnsiTheme="majorBidi" w:cstheme="majorBidi"/>
        </w:rPr>
        <w:t>/cm, which was acquired from EMD Millipore Direct-Q3, was employed.</w:t>
      </w:r>
      <w:r w:rsidR="003626A3" w:rsidRPr="006D631C">
        <w:rPr>
          <w:rFonts w:asciiTheme="majorBidi" w:hAnsiTheme="majorBidi" w:cstheme="majorBidi"/>
        </w:rPr>
        <w:t xml:space="preserve"> </w:t>
      </w:r>
    </w:p>
    <w:p w14:paraId="780A444B" w14:textId="55EB7A1B" w:rsidR="00895B91" w:rsidRPr="006D631C" w:rsidRDefault="006E2A19" w:rsidP="008C19F6">
      <w:pPr>
        <w:ind w:firstLine="360"/>
      </w:pPr>
      <w:r w:rsidRPr="006D631C">
        <w:rPr>
          <w:rFonts w:asciiTheme="majorBidi" w:hAnsiTheme="majorBidi" w:cstheme="majorBidi"/>
        </w:rPr>
        <w:t>The performance of the membrane</w:t>
      </w:r>
      <w:r w:rsidR="008C19F6" w:rsidRPr="006D631C">
        <w:rPr>
          <w:rFonts w:asciiTheme="majorBidi" w:hAnsiTheme="majorBidi" w:cstheme="majorBidi"/>
        </w:rPr>
        <w:t xml:space="preserve">, which includes MWCO, rejection of proteins, salts and dyes, and resistance to fouling, was assessed by filtering various solutes. These solutes comprised of PEG with molecular weights ranging from 1 to 10 </w:t>
      </w:r>
      <w:proofErr w:type="spellStart"/>
      <w:r w:rsidR="008C19F6" w:rsidRPr="006D631C">
        <w:rPr>
          <w:rFonts w:asciiTheme="majorBidi" w:hAnsiTheme="majorBidi" w:cstheme="majorBidi"/>
        </w:rPr>
        <w:t>kDa</w:t>
      </w:r>
      <w:proofErr w:type="spellEnd"/>
      <w:r w:rsidR="008C19F6" w:rsidRPr="006D631C">
        <w:rPr>
          <w:rFonts w:asciiTheme="majorBidi" w:hAnsiTheme="majorBidi" w:cstheme="majorBidi"/>
        </w:rPr>
        <w:t xml:space="preserve">, BSA in the form of lyophilized powder with a purity of ≥96%, lysozyme from chicken egg white (lyophilized powder with a protein content of ≥90%), DR23 with 30% dye content, DR80 with 25% dye content, orange G (OG) containing 80% dye content, acid </w:t>
      </w:r>
      <w:proofErr w:type="spellStart"/>
      <w:r w:rsidR="008C19F6" w:rsidRPr="006D631C">
        <w:rPr>
          <w:rFonts w:asciiTheme="majorBidi" w:hAnsiTheme="majorBidi" w:cstheme="majorBidi"/>
        </w:rPr>
        <w:t>fuchsin</w:t>
      </w:r>
      <w:proofErr w:type="spellEnd"/>
      <w:r w:rsidR="008C19F6" w:rsidRPr="006D631C">
        <w:rPr>
          <w:rFonts w:asciiTheme="majorBidi" w:hAnsiTheme="majorBidi" w:cstheme="majorBidi"/>
        </w:rPr>
        <w:t xml:space="preserve"> (AF) having 70% dye content, acid red 1 (AR1, purchased from TCI America™), K</w:t>
      </w:r>
      <w:r w:rsidR="008C19F6" w:rsidRPr="006D631C">
        <w:rPr>
          <w:rFonts w:asciiTheme="majorBidi" w:hAnsiTheme="majorBidi" w:cstheme="majorBidi"/>
          <w:vertAlign w:val="subscript"/>
        </w:rPr>
        <w:t>3</w:t>
      </w:r>
      <w:r w:rsidR="008C19F6" w:rsidRPr="006D631C">
        <w:rPr>
          <w:rFonts w:asciiTheme="majorBidi" w:hAnsiTheme="majorBidi" w:cstheme="majorBidi"/>
        </w:rPr>
        <w:t>PO</w:t>
      </w:r>
      <w:r w:rsidR="008C19F6" w:rsidRPr="006D631C">
        <w:rPr>
          <w:rFonts w:asciiTheme="majorBidi" w:hAnsiTheme="majorBidi" w:cstheme="majorBidi"/>
          <w:vertAlign w:val="subscript"/>
        </w:rPr>
        <w:t>4</w:t>
      </w:r>
      <w:r w:rsidR="008C19F6" w:rsidRPr="006D631C">
        <w:rPr>
          <w:rFonts w:asciiTheme="majorBidi" w:hAnsiTheme="majorBidi" w:cstheme="majorBidi"/>
        </w:rPr>
        <w:t>, Na</w:t>
      </w:r>
      <w:r w:rsidR="008C19F6" w:rsidRPr="006D631C">
        <w:rPr>
          <w:rFonts w:asciiTheme="majorBidi" w:hAnsiTheme="majorBidi" w:cstheme="majorBidi"/>
          <w:vertAlign w:val="subscript"/>
        </w:rPr>
        <w:t>3</w:t>
      </w:r>
      <w:r w:rsidR="008C19F6" w:rsidRPr="006D631C">
        <w:rPr>
          <w:rFonts w:asciiTheme="majorBidi" w:hAnsiTheme="majorBidi" w:cstheme="majorBidi"/>
        </w:rPr>
        <w:t>PO</w:t>
      </w:r>
      <w:r w:rsidR="008C19F6" w:rsidRPr="006D631C">
        <w:rPr>
          <w:rFonts w:asciiTheme="majorBidi" w:hAnsiTheme="majorBidi" w:cstheme="majorBidi"/>
          <w:vertAlign w:val="subscript"/>
        </w:rPr>
        <w:t>4</w:t>
      </w:r>
      <w:r w:rsidR="008C19F6" w:rsidRPr="006D631C">
        <w:rPr>
          <w:rFonts w:asciiTheme="majorBidi" w:hAnsiTheme="majorBidi" w:cstheme="majorBidi"/>
        </w:rPr>
        <w:t>, Na</w:t>
      </w:r>
      <w:r w:rsidR="008C19F6" w:rsidRPr="006D631C">
        <w:rPr>
          <w:rFonts w:asciiTheme="majorBidi" w:hAnsiTheme="majorBidi" w:cstheme="majorBidi"/>
          <w:vertAlign w:val="subscript"/>
        </w:rPr>
        <w:t>2</w:t>
      </w:r>
      <w:r w:rsidR="008C19F6" w:rsidRPr="006D631C">
        <w:rPr>
          <w:rFonts w:asciiTheme="majorBidi" w:hAnsiTheme="majorBidi" w:cstheme="majorBidi"/>
        </w:rPr>
        <w:t>HPO</w:t>
      </w:r>
      <w:r w:rsidR="008C19F6" w:rsidRPr="006D631C">
        <w:rPr>
          <w:rFonts w:asciiTheme="majorBidi" w:hAnsiTheme="majorBidi" w:cstheme="majorBidi"/>
          <w:vertAlign w:val="subscript"/>
        </w:rPr>
        <w:t>4</w:t>
      </w:r>
      <w:r w:rsidR="008C19F6" w:rsidRPr="006D631C">
        <w:rPr>
          <w:rFonts w:asciiTheme="majorBidi" w:hAnsiTheme="majorBidi" w:cstheme="majorBidi"/>
        </w:rPr>
        <w:t>, Na</w:t>
      </w:r>
      <w:r w:rsidR="008C19F6" w:rsidRPr="006D631C">
        <w:rPr>
          <w:rFonts w:asciiTheme="majorBidi" w:hAnsiTheme="majorBidi" w:cstheme="majorBidi"/>
          <w:vertAlign w:val="subscript"/>
        </w:rPr>
        <w:t>2</w:t>
      </w:r>
      <w:r w:rsidR="008C19F6" w:rsidRPr="006D631C">
        <w:rPr>
          <w:rFonts w:asciiTheme="majorBidi" w:hAnsiTheme="majorBidi" w:cstheme="majorBidi"/>
        </w:rPr>
        <w:t>SO</w:t>
      </w:r>
      <w:r w:rsidR="008C19F6" w:rsidRPr="006D631C">
        <w:rPr>
          <w:rFonts w:asciiTheme="majorBidi" w:hAnsiTheme="majorBidi" w:cstheme="majorBidi"/>
          <w:vertAlign w:val="subscript"/>
        </w:rPr>
        <w:t>4</w:t>
      </w:r>
      <w:r w:rsidR="008C19F6" w:rsidRPr="006D631C">
        <w:rPr>
          <w:rFonts w:asciiTheme="majorBidi" w:hAnsiTheme="majorBidi" w:cstheme="majorBidi"/>
        </w:rPr>
        <w:t>, K</w:t>
      </w:r>
      <w:r w:rsidR="008C19F6" w:rsidRPr="006D631C">
        <w:rPr>
          <w:rFonts w:asciiTheme="majorBidi" w:hAnsiTheme="majorBidi" w:cstheme="majorBidi"/>
          <w:vertAlign w:val="subscript"/>
        </w:rPr>
        <w:t>2</w:t>
      </w:r>
      <w:r w:rsidR="008C19F6" w:rsidRPr="006D631C">
        <w:rPr>
          <w:rFonts w:asciiTheme="majorBidi" w:hAnsiTheme="majorBidi" w:cstheme="majorBidi"/>
        </w:rPr>
        <w:t>SO</w:t>
      </w:r>
      <w:r w:rsidR="008C19F6" w:rsidRPr="006D631C">
        <w:rPr>
          <w:rFonts w:asciiTheme="majorBidi" w:hAnsiTheme="majorBidi" w:cstheme="majorBidi"/>
          <w:vertAlign w:val="subscript"/>
        </w:rPr>
        <w:t>4</w:t>
      </w:r>
      <w:r w:rsidR="008C19F6" w:rsidRPr="006D631C">
        <w:rPr>
          <w:rFonts w:asciiTheme="majorBidi" w:hAnsiTheme="majorBidi" w:cstheme="majorBidi"/>
        </w:rPr>
        <w:t>, MgSO</w:t>
      </w:r>
      <w:r w:rsidR="008C19F6" w:rsidRPr="006D631C">
        <w:rPr>
          <w:rFonts w:asciiTheme="majorBidi" w:hAnsiTheme="majorBidi" w:cstheme="majorBidi"/>
          <w:vertAlign w:val="subscript"/>
        </w:rPr>
        <w:t>4</w:t>
      </w:r>
      <w:r w:rsidR="008C19F6" w:rsidRPr="006D631C">
        <w:rPr>
          <w:rFonts w:asciiTheme="majorBidi" w:hAnsiTheme="majorBidi" w:cstheme="majorBidi"/>
        </w:rPr>
        <w:t>, Na</w:t>
      </w:r>
      <w:r w:rsidR="008C19F6" w:rsidRPr="006D631C">
        <w:rPr>
          <w:rFonts w:asciiTheme="majorBidi" w:hAnsiTheme="majorBidi" w:cstheme="majorBidi"/>
          <w:vertAlign w:val="subscript"/>
        </w:rPr>
        <w:t>2</w:t>
      </w:r>
      <w:r w:rsidR="008C19F6" w:rsidRPr="006D631C">
        <w:rPr>
          <w:rFonts w:asciiTheme="majorBidi" w:hAnsiTheme="majorBidi" w:cstheme="majorBidi"/>
        </w:rPr>
        <w:t>CO</w:t>
      </w:r>
      <w:r w:rsidR="008C19F6" w:rsidRPr="006D631C">
        <w:rPr>
          <w:rFonts w:asciiTheme="majorBidi" w:hAnsiTheme="majorBidi" w:cstheme="majorBidi"/>
          <w:vertAlign w:val="subscript"/>
        </w:rPr>
        <w:t>3</w:t>
      </w:r>
      <w:r w:rsidR="008C19F6" w:rsidRPr="006D631C">
        <w:rPr>
          <w:rFonts w:asciiTheme="majorBidi" w:hAnsiTheme="majorBidi" w:cstheme="majorBidi"/>
        </w:rPr>
        <w:t>, NaH</w:t>
      </w:r>
      <w:r w:rsidR="008C19F6" w:rsidRPr="006D631C">
        <w:rPr>
          <w:rFonts w:asciiTheme="majorBidi" w:hAnsiTheme="majorBidi" w:cstheme="majorBidi"/>
          <w:vertAlign w:val="subscript"/>
        </w:rPr>
        <w:t>2</w:t>
      </w:r>
      <w:r w:rsidR="008C19F6" w:rsidRPr="006D631C">
        <w:rPr>
          <w:rFonts w:asciiTheme="majorBidi" w:hAnsiTheme="majorBidi" w:cstheme="majorBidi"/>
        </w:rPr>
        <w:t>PO</w:t>
      </w:r>
      <w:r w:rsidR="008C19F6" w:rsidRPr="006D631C">
        <w:rPr>
          <w:rFonts w:asciiTheme="majorBidi" w:hAnsiTheme="majorBidi" w:cstheme="majorBidi"/>
          <w:vertAlign w:val="subscript"/>
        </w:rPr>
        <w:t>4</w:t>
      </w:r>
      <w:r w:rsidR="008C19F6" w:rsidRPr="006D631C">
        <w:rPr>
          <w:rFonts w:asciiTheme="majorBidi" w:hAnsiTheme="majorBidi" w:cstheme="majorBidi"/>
        </w:rPr>
        <w:t>, KNO</w:t>
      </w:r>
      <w:r w:rsidR="008C19F6" w:rsidRPr="006D631C">
        <w:rPr>
          <w:rFonts w:asciiTheme="majorBidi" w:hAnsiTheme="majorBidi" w:cstheme="majorBidi"/>
          <w:vertAlign w:val="subscript"/>
        </w:rPr>
        <w:t>3</w:t>
      </w:r>
      <w:r w:rsidR="008C19F6" w:rsidRPr="006D631C">
        <w:rPr>
          <w:rFonts w:asciiTheme="majorBidi" w:hAnsiTheme="majorBidi" w:cstheme="majorBidi"/>
        </w:rPr>
        <w:t>, MgCl</w:t>
      </w:r>
      <w:r w:rsidR="008C19F6" w:rsidRPr="006D631C">
        <w:rPr>
          <w:rFonts w:asciiTheme="majorBidi" w:hAnsiTheme="majorBidi" w:cstheme="majorBidi"/>
          <w:vertAlign w:val="subscript"/>
        </w:rPr>
        <w:t>2</w:t>
      </w:r>
      <w:r w:rsidR="008C19F6" w:rsidRPr="006D631C">
        <w:rPr>
          <w:rFonts w:asciiTheme="majorBidi" w:hAnsiTheme="majorBidi" w:cstheme="majorBidi"/>
        </w:rPr>
        <w:t xml:space="preserve"> (</w:t>
      </w:r>
      <w:proofErr w:type="spellStart"/>
      <w:r w:rsidR="008C19F6" w:rsidRPr="006D631C">
        <w:rPr>
          <w:rFonts w:asciiTheme="majorBidi" w:hAnsiTheme="majorBidi" w:cstheme="majorBidi"/>
        </w:rPr>
        <w:t>Thermo</w:t>
      </w:r>
      <w:proofErr w:type="spellEnd"/>
      <w:r w:rsidR="008C19F6" w:rsidRPr="006D631C">
        <w:rPr>
          <w:rFonts w:asciiTheme="majorBidi" w:hAnsiTheme="majorBidi" w:cstheme="majorBidi"/>
        </w:rPr>
        <w:t xml:space="preserve"> Scientific Chemicals), CaCl</w:t>
      </w:r>
      <w:r w:rsidR="008C19F6" w:rsidRPr="006D631C">
        <w:rPr>
          <w:rFonts w:asciiTheme="majorBidi" w:hAnsiTheme="majorBidi" w:cstheme="majorBidi"/>
          <w:vertAlign w:val="subscript"/>
        </w:rPr>
        <w:t>2</w:t>
      </w:r>
      <w:r w:rsidR="008C19F6" w:rsidRPr="006D631C">
        <w:rPr>
          <w:rFonts w:asciiTheme="majorBidi" w:hAnsiTheme="majorBidi" w:cstheme="majorBidi"/>
        </w:rPr>
        <w:t xml:space="preserve">, </w:t>
      </w:r>
      <w:proofErr w:type="spellStart"/>
      <w:r w:rsidR="008C19F6" w:rsidRPr="006D631C">
        <w:rPr>
          <w:rFonts w:asciiTheme="majorBidi" w:hAnsiTheme="majorBidi" w:cstheme="majorBidi"/>
        </w:rPr>
        <w:t>NaCl</w:t>
      </w:r>
      <w:proofErr w:type="spellEnd"/>
      <w:r w:rsidR="008C19F6" w:rsidRPr="006D631C">
        <w:rPr>
          <w:rFonts w:asciiTheme="majorBidi" w:hAnsiTheme="majorBidi" w:cstheme="majorBidi"/>
        </w:rPr>
        <w:t xml:space="preserve"> (</w:t>
      </w:r>
      <w:proofErr w:type="spellStart"/>
      <w:r w:rsidR="008C19F6" w:rsidRPr="006D631C">
        <w:rPr>
          <w:rFonts w:asciiTheme="majorBidi" w:hAnsiTheme="majorBidi" w:cstheme="majorBidi"/>
        </w:rPr>
        <w:t>Thermo</w:t>
      </w:r>
      <w:proofErr w:type="spellEnd"/>
      <w:r w:rsidR="008C19F6" w:rsidRPr="006D631C">
        <w:rPr>
          <w:rFonts w:asciiTheme="majorBidi" w:hAnsiTheme="majorBidi" w:cstheme="majorBidi"/>
        </w:rPr>
        <w:t xml:space="preserve"> Scientific Chemicals), </w:t>
      </w:r>
      <w:proofErr w:type="spellStart"/>
      <w:r w:rsidR="008C19F6" w:rsidRPr="006D631C">
        <w:rPr>
          <w:rFonts w:asciiTheme="majorBidi" w:hAnsiTheme="majorBidi" w:cstheme="majorBidi"/>
        </w:rPr>
        <w:t>KCl</w:t>
      </w:r>
      <w:proofErr w:type="spellEnd"/>
      <w:r w:rsidR="008C19F6" w:rsidRPr="006D631C">
        <w:rPr>
          <w:rFonts w:asciiTheme="majorBidi" w:hAnsiTheme="majorBidi" w:cstheme="majorBidi"/>
        </w:rPr>
        <w:t xml:space="preserve">, and </w:t>
      </w:r>
      <w:proofErr w:type="spellStart"/>
      <w:r w:rsidR="008C19F6" w:rsidRPr="006D631C">
        <w:rPr>
          <w:rFonts w:asciiTheme="majorBidi" w:hAnsiTheme="majorBidi" w:cstheme="majorBidi"/>
        </w:rPr>
        <w:t>LiCl</w:t>
      </w:r>
      <w:proofErr w:type="spellEnd"/>
      <w:r w:rsidR="008C19F6" w:rsidRPr="006D631C">
        <w:rPr>
          <w:rFonts w:asciiTheme="majorBidi" w:hAnsiTheme="majorBidi" w:cstheme="majorBidi"/>
        </w:rPr>
        <w:t xml:space="preserve"> (</w:t>
      </w:r>
      <w:proofErr w:type="spellStart"/>
      <w:r w:rsidR="008C19F6" w:rsidRPr="006D631C">
        <w:rPr>
          <w:rFonts w:asciiTheme="majorBidi" w:hAnsiTheme="majorBidi" w:cstheme="majorBidi"/>
        </w:rPr>
        <w:t>Thermo</w:t>
      </w:r>
      <w:proofErr w:type="spellEnd"/>
      <w:r w:rsidR="008C19F6" w:rsidRPr="006D631C">
        <w:rPr>
          <w:rFonts w:asciiTheme="majorBidi" w:hAnsiTheme="majorBidi" w:cstheme="majorBidi"/>
        </w:rPr>
        <w:t xml:space="preserve"> Scientific Chemicals). Sodium hydroxide (</w:t>
      </w:r>
      <w:proofErr w:type="spellStart"/>
      <w:r w:rsidR="008C19F6" w:rsidRPr="006D631C">
        <w:rPr>
          <w:rFonts w:asciiTheme="majorBidi" w:hAnsiTheme="majorBidi" w:cstheme="majorBidi"/>
        </w:rPr>
        <w:t>NaOH</w:t>
      </w:r>
      <w:proofErr w:type="spellEnd"/>
      <w:r w:rsidR="008C19F6" w:rsidRPr="006D631C">
        <w:rPr>
          <w:rFonts w:asciiTheme="majorBidi" w:hAnsiTheme="majorBidi" w:cstheme="majorBidi"/>
        </w:rPr>
        <w:t>) and hydrochloric acid (</w:t>
      </w:r>
      <w:proofErr w:type="spellStart"/>
      <w:r w:rsidR="008C19F6" w:rsidRPr="006D631C">
        <w:rPr>
          <w:rFonts w:asciiTheme="majorBidi" w:hAnsiTheme="majorBidi" w:cstheme="majorBidi"/>
        </w:rPr>
        <w:t>HCl</w:t>
      </w:r>
      <w:proofErr w:type="spellEnd"/>
      <w:r w:rsidR="008C19F6" w:rsidRPr="006D631C">
        <w:rPr>
          <w:rFonts w:asciiTheme="majorBidi" w:hAnsiTheme="majorBidi" w:cstheme="majorBidi"/>
        </w:rPr>
        <w:t xml:space="preserve">) were used for pH adjustments. The membrane support layer, which was a nonwoven polyester sheet with 2 </w:t>
      </w:r>
      <w:proofErr w:type="spellStart"/>
      <w:r w:rsidR="008C19F6" w:rsidRPr="006D631C">
        <w:rPr>
          <w:rFonts w:asciiTheme="majorBidi" w:hAnsiTheme="majorBidi" w:cstheme="majorBidi"/>
        </w:rPr>
        <w:t>μm</w:t>
      </w:r>
      <w:proofErr w:type="spellEnd"/>
      <w:r w:rsidR="008C19F6" w:rsidRPr="006D631C">
        <w:rPr>
          <w:rFonts w:asciiTheme="majorBidi" w:hAnsiTheme="majorBidi" w:cstheme="majorBidi"/>
        </w:rPr>
        <w:t xml:space="preserve"> porosity (</w:t>
      </w:r>
      <w:proofErr w:type="spellStart"/>
      <w:r w:rsidR="008C19F6" w:rsidRPr="006D631C">
        <w:rPr>
          <w:rFonts w:asciiTheme="majorBidi" w:hAnsiTheme="majorBidi" w:cstheme="majorBidi"/>
        </w:rPr>
        <w:t>CraneMat</w:t>
      </w:r>
      <w:proofErr w:type="spellEnd"/>
      <w:r w:rsidR="008C19F6" w:rsidRPr="006D631C">
        <w:rPr>
          <w:rFonts w:asciiTheme="majorBidi" w:hAnsiTheme="majorBidi" w:cstheme="majorBidi"/>
        </w:rPr>
        <w:t xml:space="preserve">® CU463), was kindly provided by </w:t>
      </w:r>
      <w:r w:rsidR="008C19F6" w:rsidRPr="006D631C">
        <w:rPr>
          <w:rFonts w:asciiTheme="majorBidi" w:hAnsiTheme="majorBidi" w:cstheme="majorBidi"/>
        </w:rPr>
        <w:lastRenderedPageBreak/>
        <w:t>Neenah Filtration. A commercially available Dow FILMTEC NF270-400 (NF270) with a MWCO of 400 Da was utilized to assess the pH-dependent rejection of ionic species and compare it with the membrane produced in this study.</w:t>
      </w:r>
    </w:p>
    <w:p w14:paraId="3CEAEB9B" w14:textId="27149DA9" w:rsidR="00895B91" w:rsidRPr="006D631C" w:rsidRDefault="00FB7B59" w:rsidP="00895B91">
      <w:pPr>
        <w:pStyle w:val="Heading3"/>
      </w:pPr>
      <w:bookmarkStart w:id="201" w:name="_Toc148175868"/>
      <w:r w:rsidRPr="006D631C">
        <w:t>5</w:t>
      </w:r>
      <w:r w:rsidR="00895B91" w:rsidRPr="006D631C">
        <w:t>.2.2 Synthesis of P84DA</w:t>
      </w:r>
      <w:bookmarkEnd w:id="201"/>
    </w:p>
    <w:p w14:paraId="1B5D649D" w14:textId="04B00BF8" w:rsidR="00895B91" w:rsidRPr="006D631C" w:rsidRDefault="006B1855" w:rsidP="00EA5AA7">
      <w:pPr>
        <w:ind w:firstLine="360"/>
        <w:rPr>
          <w:rFonts w:ascii="Times" w:hAnsi="Times"/>
          <w:color w:val="020202"/>
        </w:rPr>
      </w:pPr>
      <w:r w:rsidRPr="006D631C">
        <w:rPr>
          <w:rFonts w:ascii="Times" w:hAnsi="Times"/>
          <w:color w:val="020202"/>
        </w:rPr>
        <w:t>P84DA was acquired by performing a functionalization reaction on P84 following the procedure</w:t>
      </w:r>
      <w:r w:rsidR="00A0576F" w:rsidRPr="006D631C">
        <w:rPr>
          <w:rFonts w:ascii="Times" w:hAnsi="Times"/>
          <w:color w:val="020202"/>
        </w:rPr>
        <w:t xml:space="preserve"> described in </w:t>
      </w:r>
      <w:r w:rsidR="00EA5AA7" w:rsidRPr="006D631C">
        <w:rPr>
          <w:rFonts w:ascii="Times" w:hAnsi="Times"/>
          <w:color w:val="020202"/>
        </w:rPr>
        <w:t xml:space="preserve">Chapter </w:t>
      </w:r>
      <w:r w:rsidR="00A0576F" w:rsidRPr="006D631C">
        <w:rPr>
          <w:rFonts w:ascii="Times" w:hAnsi="Times"/>
          <w:color w:val="020202"/>
        </w:rPr>
        <w:t>4</w:t>
      </w:r>
      <w:r w:rsidRPr="006D631C">
        <w:rPr>
          <w:rFonts w:ascii="Times" w:hAnsi="Times"/>
          <w:color w:val="020202"/>
        </w:rPr>
        <w:t xml:space="preserve"> and a commonly accepted protocol available in the literature.</w:t>
      </w:r>
      <w:r w:rsidRPr="006D631C">
        <w:rPr>
          <w:rFonts w:ascii="Times" w:hAnsi="Times"/>
          <w:color w:val="020202"/>
        </w:rPr>
        <w:fldChar w:fldCharType="begin" w:fldLock="1"/>
      </w:r>
      <w:r w:rsidR="00605A85" w:rsidRPr="006D631C">
        <w:rPr>
          <w:rFonts w:ascii="Times" w:hAnsi="Times"/>
          <w:color w:val="020202"/>
        </w:rPr>
        <w:instrText>ADDIN CSL_CITATION {"citationItems":[{"id":"ITEM-1","itemData":{"DOI":"10.1021/acs.macromol.6b00205","ISSN":"15205835","abstract":"The self-assembly of an end-functionalized PEO106-PPO70-PEO106 triblock copolymer (BCP) with acrylic end groups (Pluronic F127 diacrylate or FDA) in a protic ionic liquid (deuterated ethylammonium nitrate, dEAN) is studied using small-angle neutron scattering, shear rheology, and dielectric spectroscopy. This functionalization constitutes less than 1 wt % of the copolymer and has no effect on micelle formation in dEAN. The sol-gel transition and the supramolecular crystal structure of the concentrated FDA/dEAN solutions are also found to be unaffected by the acrylation of the end groups. Photo-cross-linking results in viscoelasticity enhancement of the FDA/dEAN solutions with FDA contents below the gel point. Cross-linking gels produces soft elastomers with exceptional elasticity and conductivity comparable to the un-cross-linked solutions. Tuning BCP microstructure via self-assembly in ionic liquids followed by chemical cross-linking is shown to be a promising route for the design of materials with specific mechanical properties and ionic conductivities.","author":[{"dropping-particle":"","family":"López-Barrón","given":"Carlos R.","non-dropping-particle":"","parse-names":false,"suffix":""},{"dropping-particle":"","family":"Chen","given":"Ru","non-dropping-particle":"","parse-names":false,"suffix":""},{"dropping-particle":"","family":"Wagner","given":"Norman J.","non-dropping-particle":"","parse-names":false,"suffix":""},{"dropping-particle":"","family":"Beltramo","given":"Peter J.","non-dropping-particle":"","parse-names":false,"suffix":""}],"container-title":"Macromolecules","id":"ITEM-1","issue":"14","issued":{"date-parts":[["2016"]]},"page":"5179-5189","title":"Self-Assembly of Pluronic F127 Diacrylate in Ethylammonium Nitrate: Structure, Rheology, and Ionic Conductivity before and after Photo-Cross-Linking","type":"article-journal","volume":"49"},"uris":["http://www.mendeley.com/documents/?uuid=6ddc0c83-b7e6-4ae7-bbbe-b38e8eb525a5"]},{"id":"ITEM-2","itemData":{"DOI":"10.1002/1521-3935(200207)203:10/11&lt;1466::AID-MACP1466&gt;3.0.CO;2-P","ISSN":"10221352","author":[{"dropping-particle":"","family":"Cellesi","given":"Francesco","non-dropping-particle":"","parse-names":false,"suffix":""},{"dropping-particle":"","family":"Tirelli","given":"Nicola","non-dropping-particle":"","parse-names":false,"suffix":""},{"dropping-particle":"","family":"Hubbell","given":"Jeffrey A.","non-dropping-particle":"","parse-names":false,"suffix":""}],"container-title":"Macromolecular Chemistry and Physics","id":"ITEM-2","issue":"10-11","issued":{"date-parts":[["2002","7"]]},"page":"1466-1472","title":"Materials for cell encapsulation via a new tandem approach combining reverse thermal gelation and covalent crosslinking","type":"article-journal","volume":"203"},"uris":["http://www.mendeley.com/documents/?uuid=e952ce37-f4eb-4bf7-932a-592412e867d9"]}],"mendeley":{"formattedCitation":"&lt;sup&gt;13,265&lt;/sup&gt;","plainTextFormattedCitation":"13,265","previouslyFormattedCitation":"&lt;sup&gt;13,265&lt;/sup&gt;"},"properties":{"noteIndex":0},"schema":"https://github.com/citation-style-language/schema/raw/master/csl-citation.json"}</w:instrText>
      </w:r>
      <w:r w:rsidRPr="006D631C">
        <w:rPr>
          <w:rFonts w:ascii="Times" w:hAnsi="Times"/>
          <w:color w:val="020202"/>
        </w:rPr>
        <w:fldChar w:fldCharType="separate"/>
      </w:r>
      <w:r w:rsidR="00A91509" w:rsidRPr="006D631C">
        <w:rPr>
          <w:rFonts w:ascii="Times" w:hAnsi="Times"/>
          <w:noProof/>
          <w:color w:val="020202"/>
          <w:vertAlign w:val="superscript"/>
        </w:rPr>
        <w:t>13,265</w:t>
      </w:r>
      <w:r w:rsidRPr="006D631C">
        <w:rPr>
          <w:rFonts w:ascii="Times" w:hAnsi="Times"/>
          <w:color w:val="020202"/>
        </w:rPr>
        <w:fldChar w:fldCharType="end"/>
      </w:r>
      <w:r w:rsidRPr="006D631C">
        <w:rPr>
          <w:rFonts w:ascii="Times" w:hAnsi="Times"/>
          <w:color w:val="020202"/>
        </w:rPr>
        <w:t xml:space="preserve"> The degree of functionalization reaction was evaluated using </w:t>
      </w:r>
      <w:r w:rsidR="00B52EC5" w:rsidRPr="006D631C">
        <w:rPr>
          <w:rFonts w:ascii="Times" w:hAnsi="Times"/>
          <w:color w:val="020202"/>
        </w:rPr>
        <w:t>ATR-FTIR</w:t>
      </w:r>
      <w:r w:rsidRPr="006D631C">
        <w:rPr>
          <w:rFonts w:ascii="Times" w:hAnsi="Times"/>
          <w:color w:val="020202"/>
        </w:rPr>
        <w:t xml:space="preserve"> (Nicolet™ iS50 FTIR Spectrometer) and </w:t>
      </w:r>
      <w:r w:rsidR="00B52EC5" w:rsidRPr="006D631C">
        <w:rPr>
          <w:rFonts w:ascii="Times" w:hAnsi="Times"/>
          <w:color w:val="020202"/>
          <w:vertAlign w:val="superscript"/>
        </w:rPr>
        <w:t>1</w:t>
      </w:r>
      <w:r w:rsidR="00B52EC5" w:rsidRPr="006D631C">
        <w:rPr>
          <w:rFonts w:ascii="Times" w:hAnsi="Times"/>
          <w:color w:val="020202"/>
        </w:rPr>
        <w:t>H NMR</w:t>
      </w:r>
      <w:r w:rsidRPr="006D631C">
        <w:rPr>
          <w:rFonts w:ascii="Times" w:hAnsi="Times"/>
          <w:color w:val="020202"/>
        </w:rPr>
        <w:t xml:space="preserve"> </w:t>
      </w:r>
      <w:r w:rsidR="00B52EC5" w:rsidRPr="006D631C">
        <w:rPr>
          <w:rFonts w:ascii="Times" w:hAnsi="Times"/>
          <w:color w:val="020202"/>
        </w:rPr>
        <w:t>(</w:t>
      </w:r>
      <w:r w:rsidRPr="006D631C">
        <w:rPr>
          <w:rFonts w:ascii="Times" w:hAnsi="Times"/>
          <w:color w:val="020202"/>
        </w:rPr>
        <w:t xml:space="preserve">Varian VNMRS-400 with Probe </w:t>
      </w:r>
      <w:proofErr w:type="spellStart"/>
      <w:r w:rsidRPr="006D631C">
        <w:rPr>
          <w:rFonts w:ascii="Times" w:hAnsi="Times"/>
          <w:color w:val="020202"/>
        </w:rPr>
        <w:t>AutoX</w:t>
      </w:r>
      <w:proofErr w:type="spellEnd"/>
      <w:r w:rsidRPr="006D631C">
        <w:rPr>
          <w:rFonts w:ascii="Times" w:hAnsi="Times"/>
          <w:color w:val="020202"/>
        </w:rPr>
        <w:t xml:space="preserve">-DB-PFG). Further details regarding this analysis can be found in </w:t>
      </w:r>
      <w:r w:rsidR="0090028E" w:rsidRPr="006D631C">
        <w:rPr>
          <w:rFonts w:ascii="Times" w:hAnsi="Times"/>
          <w:color w:val="020202"/>
        </w:rPr>
        <w:t xml:space="preserve">Appendix </w:t>
      </w:r>
      <w:r w:rsidR="00B01AD2" w:rsidRPr="006D631C">
        <w:rPr>
          <w:rFonts w:ascii="Times" w:hAnsi="Times"/>
          <w:color w:val="020202"/>
        </w:rPr>
        <w:t>F</w:t>
      </w:r>
      <w:r w:rsidRPr="006D631C">
        <w:rPr>
          <w:rFonts w:ascii="Times" w:hAnsi="Times"/>
          <w:color w:val="020202"/>
        </w:rPr>
        <w:t>.</w:t>
      </w:r>
    </w:p>
    <w:p w14:paraId="68E9A390" w14:textId="1A757CF0" w:rsidR="00895B91" w:rsidRPr="006D631C" w:rsidRDefault="00FB7B59" w:rsidP="00AA797E">
      <w:pPr>
        <w:pStyle w:val="Heading3"/>
      </w:pPr>
      <w:bookmarkStart w:id="202" w:name="_Toc148175869"/>
      <w:r w:rsidRPr="006D631C">
        <w:t>5</w:t>
      </w:r>
      <w:r w:rsidR="00895B91" w:rsidRPr="006D631C">
        <w:t xml:space="preserve">.2.3 </w:t>
      </w:r>
      <w:r w:rsidR="00AA797E" w:rsidRPr="006D631C">
        <w:t>LLC</w:t>
      </w:r>
      <w:r w:rsidR="00895B91" w:rsidRPr="006D631C">
        <w:t xml:space="preserve"> preparation</w:t>
      </w:r>
      <w:bookmarkEnd w:id="202"/>
    </w:p>
    <w:p w14:paraId="6634C4EB" w14:textId="42112381" w:rsidR="00895B91" w:rsidRPr="006D631C" w:rsidRDefault="00331D08" w:rsidP="00331D08">
      <w:pPr>
        <w:ind w:firstLine="360"/>
        <w:rPr>
          <w:color w:val="020202"/>
        </w:rPr>
      </w:pPr>
      <w:r w:rsidRPr="006D631C">
        <w:rPr>
          <w:color w:val="020202"/>
        </w:rPr>
        <w:t>To produce the H</w:t>
      </w:r>
      <w:r w:rsidRPr="006D631C">
        <w:rPr>
          <w:color w:val="020202"/>
          <w:vertAlign w:val="subscript"/>
        </w:rPr>
        <w:t>1</w:t>
      </w:r>
      <w:r w:rsidRPr="006D631C">
        <w:rPr>
          <w:color w:val="020202"/>
        </w:rPr>
        <w:t>-structured LLC, a mixture of P84DA, [BMIM][BF</w:t>
      </w:r>
      <w:r w:rsidRPr="006D631C">
        <w:rPr>
          <w:color w:val="020202"/>
          <w:vertAlign w:val="subscript"/>
        </w:rPr>
        <w:t>4</w:t>
      </w:r>
      <w:r w:rsidRPr="006D631C">
        <w:rPr>
          <w:color w:val="020202"/>
        </w:rPr>
        <w:t xml:space="preserve">] (containing 1 </w:t>
      </w:r>
      <w:proofErr w:type="spellStart"/>
      <w:r w:rsidRPr="006D631C">
        <w:rPr>
          <w:color w:val="020202"/>
        </w:rPr>
        <w:t>wt</w:t>
      </w:r>
      <w:proofErr w:type="spellEnd"/>
      <w:r w:rsidRPr="006D631C">
        <w:rPr>
          <w:color w:val="020202"/>
        </w:rPr>
        <w:t>% HCPK with respect to [BMIM][BF</w:t>
      </w:r>
      <w:r w:rsidRPr="006D631C">
        <w:rPr>
          <w:color w:val="020202"/>
          <w:vertAlign w:val="subscript"/>
        </w:rPr>
        <w:t>4</w:t>
      </w:r>
      <w:r w:rsidRPr="006D631C">
        <w:rPr>
          <w:color w:val="020202"/>
        </w:rPr>
        <w:t xml:space="preserve">] as UV initiator), </w:t>
      </w:r>
      <w:proofErr w:type="spellStart"/>
      <w:r w:rsidRPr="006D631C">
        <w:rPr>
          <w:color w:val="020202"/>
        </w:rPr>
        <w:t>AAc</w:t>
      </w:r>
      <w:proofErr w:type="spellEnd"/>
      <w:r w:rsidRPr="006D631C">
        <w:rPr>
          <w:color w:val="020202"/>
        </w:rPr>
        <w:t xml:space="preserve">, and HDDA (containing 10 </w:t>
      </w:r>
      <w:proofErr w:type="spellStart"/>
      <w:r w:rsidRPr="006D631C">
        <w:rPr>
          <w:color w:val="020202"/>
        </w:rPr>
        <w:t>wt</w:t>
      </w:r>
      <w:proofErr w:type="spellEnd"/>
      <w:r w:rsidRPr="006D631C">
        <w:rPr>
          <w:color w:val="020202"/>
        </w:rPr>
        <w:t>% HCPK with respect to HDDA) was prepared using a weight ratio of 48.8/48.8/0.5/1.9 for P84DA/[BMIM][BF</w:t>
      </w:r>
      <w:r w:rsidRPr="006D631C">
        <w:rPr>
          <w:color w:val="020202"/>
          <w:vertAlign w:val="subscript"/>
        </w:rPr>
        <w:t>4</w:t>
      </w:r>
      <w:r w:rsidRPr="006D631C">
        <w:rPr>
          <w:color w:val="020202"/>
        </w:rPr>
        <w:t>]/</w:t>
      </w:r>
      <w:proofErr w:type="spellStart"/>
      <w:r w:rsidRPr="006D631C">
        <w:rPr>
          <w:color w:val="020202"/>
        </w:rPr>
        <w:t>AAc</w:t>
      </w:r>
      <w:proofErr w:type="spellEnd"/>
      <w:r w:rsidRPr="006D631C">
        <w:rPr>
          <w:color w:val="020202"/>
        </w:rPr>
        <w:t>/HDDA. The mixture was repeatedly hand-mixed and centrifuged at 11,000 rpm for 5 minutes in a 50 mL centrifugal tube until a transparent gel was obtained. The chemical structure of the components utilized for mesophase preparation is depicted in Figure 5-1f, and a schematic of the H</w:t>
      </w:r>
      <w:r w:rsidRPr="006D631C">
        <w:rPr>
          <w:color w:val="020202"/>
          <w:vertAlign w:val="subscript"/>
        </w:rPr>
        <w:t>1</w:t>
      </w:r>
      <w:r w:rsidRPr="006D631C">
        <w:rPr>
          <w:color w:val="020202"/>
        </w:rPr>
        <w:t xml:space="preserve"> structure is presented in Figure 5-1f. </w:t>
      </w:r>
    </w:p>
    <w:p w14:paraId="11736402" w14:textId="73E376FD" w:rsidR="00895B91" w:rsidRPr="006D631C" w:rsidRDefault="00FB7B59" w:rsidP="00F23BB9">
      <w:pPr>
        <w:pStyle w:val="Heading3"/>
      </w:pPr>
      <w:bookmarkStart w:id="203" w:name="_Toc148175870"/>
      <w:r w:rsidRPr="006D631C">
        <w:t>5</w:t>
      </w:r>
      <w:r w:rsidR="00895B91" w:rsidRPr="006D631C">
        <w:t xml:space="preserve">.2.4 </w:t>
      </w:r>
      <w:r w:rsidR="00F23BB9" w:rsidRPr="006D631C">
        <w:t>LLC and polyLLC characterization</w:t>
      </w:r>
      <w:bookmarkEnd w:id="203"/>
    </w:p>
    <w:p w14:paraId="12D06524" w14:textId="4F573B76" w:rsidR="00895B91" w:rsidRPr="006D631C" w:rsidRDefault="00FB7B59" w:rsidP="00895B91">
      <w:pPr>
        <w:pStyle w:val="Heading4"/>
      </w:pPr>
      <w:bookmarkStart w:id="204" w:name="_Toc148175871"/>
      <w:r w:rsidRPr="006D631C">
        <w:t>5</w:t>
      </w:r>
      <w:r w:rsidR="00895B91" w:rsidRPr="006D631C">
        <w:t>.2.4.1 Cross-polarized light microscopy (CPLM)</w:t>
      </w:r>
      <w:bookmarkEnd w:id="204"/>
    </w:p>
    <w:p w14:paraId="5FC4C355" w14:textId="3529CE2D" w:rsidR="00895B91" w:rsidRPr="006D631C" w:rsidRDefault="002B0ACA" w:rsidP="00895B91">
      <w:pPr>
        <w:ind w:firstLine="360"/>
        <w:rPr>
          <w:color w:val="020202"/>
        </w:rPr>
      </w:pPr>
      <w:r w:rsidRPr="006D631C">
        <w:rPr>
          <w:rFonts w:asciiTheme="majorBidi" w:hAnsiTheme="majorBidi" w:cstheme="majorBidi"/>
        </w:rPr>
        <w:t>To assess the birefringence of the H</w:t>
      </w:r>
      <w:r w:rsidRPr="006D631C">
        <w:rPr>
          <w:rFonts w:asciiTheme="majorBidi" w:hAnsiTheme="majorBidi" w:cstheme="majorBidi"/>
          <w:vertAlign w:val="subscript"/>
        </w:rPr>
        <w:t>1</w:t>
      </w:r>
      <w:r w:rsidRPr="006D631C">
        <w:rPr>
          <w:rFonts w:asciiTheme="majorBidi" w:hAnsiTheme="majorBidi" w:cstheme="majorBidi"/>
        </w:rPr>
        <w:t xml:space="preserve">-structured sample before and after polymerization, a cross-polarized Nikon microscope (model LABOPHOT2-POL) equipped with a digital camera was utilized. For CPLM analysis, approximately 0.2 g of the mesophase gel was placed between a glass slide and a glass cover slip. To polymerize the LLC, the sandwiched sample was cured for </w:t>
      </w:r>
      <w:r w:rsidRPr="006D631C">
        <w:rPr>
          <w:rFonts w:asciiTheme="majorBidi" w:hAnsiTheme="majorBidi" w:cstheme="majorBidi"/>
        </w:rPr>
        <w:lastRenderedPageBreak/>
        <w:t xml:space="preserve">40 seconds using UV radiation (via the </w:t>
      </w:r>
      <w:proofErr w:type="spellStart"/>
      <w:r w:rsidRPr="006D631C">
        <w:rPr>
          <w:rFonts w:asciiTheme="majorBidi" w:hAnsiTheme="majorBidi" w:cstheme="majorBidi"/>
        </w:rPr>
        <w:t>Uvitron</w:t>
      </w:r>
      <w:proofErr w:type="spellEnd"/>
      <w:r w:rsidRPr="006D631C">
        <w:rPr>
          <w:rFonts w:asciiTheme="majorBidi" w:hAnsiTheme="majorBidi" w:cstheme="majorBidi"/>
        </w:rPr>
        <w:t xml:space="preserve"> Sunray 600 SM curing system equipped with a 600 W UV flood lamp</w:t>
      </w:r>
      <w:r w:rsidR="006E2A19" w:rsidRPr="006D631C">
        <w:t xml:space="preserve"> </w:t>
      </w:r>
      <w:r w:rsidR="006E2A19" w:rsidRPr="006D631C">
        <w:rPr>
          <w:rFonts w:asciiTheme="majorBidi" w:hAnsiTheme="majorBidi" w:cstheme="majorBidi"/>
        </w:rPr>
        <w:t>having 15 cm distance from the sample</w:t>
      </w:r>
      <w:r w:rsidRPr="006D631C">
        <w:rPr>
          <w:rFonts w:asciiTheme="majorBidi" w:hAnsiTheme="majorBidi" w:cstheme="majorBidi"/>
        </w:rPr>
        <w:t>).</w:t>
      </w:r>
      <w:r w:rsidR="00D63F1C" w:rsidRPr="006D631C">
        <w:rPr>
          <w:rFonts w:asciiTheme="majorBidi" w:hAnsiTheme="majorBidi" w:cstheme="majorBidi"/>
        </w:rPr>
        <w:t xml:space="preserve"> The structure of the polymerized LLC is illustrated schematically in Figure 5-1f.</w:t>
      </w:r>
    </w:p>
    <w:p w14:paraId="1A8688FF" w14:textId="3465E7E9" w:rsidR="00895B91" w:rsidRPr="006D631C" w:rsidRDefault="001D4EFC" w:rsidP="00895B91">
      <w:pPr>
        <w:pStyle w:val="Heading4"/>
      </w:pPr>
      <w:bookmarkStart w:id="205" w:name="_Toc148175872"/>
      <w:r w:rsidRPr="006D631C">
        <w:t>5</w:t>
      </w:r>
      <w:r w:rsidR="00895B91" w:rsidRPr="006D631C">
        <w:t>.2.4.2 Small angle X-ray scattering (SAXS)</w:t>
      </w:r>
      <w:bookmarkEnd w:id="205"/>
    </w:p>
    <w:p w14:paraId="6B573675" w14:textId="1CD7E891" w:rsidR="00257130" w:rsidRPr="006D631C" w:rsidRDefault="00257130" w:rsidP="00EA5AA7">
      <w:pPr>
        <w:ind w:firstLine="360"/>
        <w:rPr>
          <w:rFonts w:asciiTheme="majorBidi" w:hAnsiTheme="majorBidi" w:cstheme="majorBidi"/>
        </w:rPr>
      </w:pPr>
      <w:r w:rsidRPr="006D631C">
        <w:rPr>
          <w:rFonts w:asciiTheme="majorBidi" w:hAnsiTheme="majorBidi" w:cstheme="majorBidi"/>
        </w:rPr>
        <w:t xml:space="preserve">SAXS was used to evaluate the structure of samples and obtain the formulation of desired structure. Quartz capillary tubes with a nominal diameter of 1.5 mm (Charles Supper Company, Natick, MA) were used for sample preparation following the procedure described in </w:t>
      </w:r>
      <w:r w:rsidR="00EA5AA7" w:rsidRPr="006D631C">
        <w:rPr>
          <w:rFonts w:asciiTheme="majorBidi" w:hAnsiTheme="majorBidi" w:cstheme="majorBidi"/>
        </w:rPr>
        <w:t xml:space="preserve">Chapter </w:t>
      </w:r>
      <w:r w:rsidR="004156A1" w:rsidRPr="006D631C">
        <w:rPr>
          <w:rFonts w:asciiTheme="majorBidi" w:hAnsiTheme="majorBidi" w:cstheme="majorBidi"/>
        </w:rPr>
        <w:t>4.</w:t>
      </w:r>
      <w:r w:rsidRPr="006D631C">
        <w:rPr>
          <w:rFonts w:asciiTheme="majorBidi" w:hAnsiTheme="majorBidi" w:cstheme="majorBidi"/>
        </w:rPr>
        <w:t xml:space="preserve"> Azimuthal integration of 2D scattering patterns using a Bruker </w:t>
      </w:r>
      <w:proofErr w:type="spellStart"/>
      <w:r w:rsidRPr="006D631C">
        <w:rPr>
          <w:rFonts w:asciiTheme="majorBidi" w:hAnsiTheme="majorBidi" w:cstheme="majorBidi"/>
        </w:rPr>
        <w:t>Nanostar</w:t>
      </w:r>
      <w:proofErr w:type="spellEnd"/>
      <w:r w:rsidRPr="006D631C">
        <w:rPr>
          <w:rFonts w:asciiTheme="majorBidi" w:hAnsiTheme="majorBidi" w:cstheme="majorBidi"/>
        </w:rPr>
        <w:t xml:space="preserve"> X-ray scattering system equipped with a monochromatic Cu Kα radiation source (X-ray wavelength of 1.541 Å) was used to obtain 1D scattering profiles. SAXS analysis was carried out at various temperatures for LLC gels and water-swollen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to investigate any structural changes caused by temperature variation. Moreover,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swollen by water at pH of 4, 6 and 9 were analyzed via SAXS to examine any probable structural changes with pH.</w:t>
      </w:r>
    </w:p>
    <w:p w14:paraId="28C81A8C" w14:textId="3C20394F" w:rsidR="00895B91" w:rsidRPr="006D631C" w:rsidRDefault="00554BA4" w:rsidP="00895B91">
      <w:pPr>
        <w:pStyle w:val="Heading4"/>
      </w:pPr>
      <w:bookmarkStart w:id="206" w:name="_Toc148175873"/>
      <w:r w:rsidRPr="006D631C">
        <w:t>5</w:t>
      </w:r>
      <w:r w:rsidR="00895B91" w:rsidRPr="006D631C">
        <w:t>.2.4.3 Differential scanning calorimetry (DSC)</w:t>
      </w:r>
      <w:bookmarkEnd w:id="206"/>
    </w:p>
    <w:p w14:paraId="1FAF2A01" w14:textId="36AD2F89" w:rsidR="00895B91" w:rsidRPr="006D631C" w:rsidRDefault="00DE23DF" w:rsidP="00156B8B">
      <w:pPr>
        <w:ind w:firstLine="360"/>
        <w:rPr>
          <w:rFonts w:asciiTheme="majorBidi" w:hAnsiTheme="majorBidi" w:cstheme="majorBidi"/>
        </w:rPr>
      </w:pPr>
      <w:r w:rsidRPr="006D631C">
        <w:rPr>
          <w:rFonts w:asciiTheme="majorBidi" w:hAnsiTheme="majorBidi" w:cstheme="majorBidi"/>
        </w:rPr>
        <w:t xml:space="preserve">DSC (Q2500, TA Instruments, </w:t>
      </w:r>
      <w:proofErr w:type="gramStart"/>
      <w:r w:rsidRPr="006D631C">
        <w:rPr>
          <w:rFonts w:asciiTheme="majorBidi" w:hAnsiTheme="majorBidi" w:cstheme="majorBidi"/>
        </w:rPr>
        <w:t>New</w:t>
      </w:r>
      <w:proofErr w:type="gramEnd"/>
      <w:r w:rsidRPr="006D631C">
        <w:rPr>
          <w:rFonts w:asciiTheme="majorBidi" w:hAnsiTheme="majorBidi" w:cstheme="majorBidi"/>
        </w:rPr>
        <w:t xml:space="preserve"> Castle, DE) was used to analyze various samples, including pure P84DA, water-swollen polyLLC, and dried polyLLC (the water-swollen polyLLC sample was dried under vacuum for at least 72 hours). Approximately, 10 mg of the desired sample was placed in an aluminum pan (PerkinElmer, Inc.) and sealed with a hermetic lid. Thermal analysis was performed with a 1 °C/min ramp from 0 to 60 °C (and vice versa). The cycle was repeated twice, and the second cycle was used for analysis after erasing the thermal history of the samples.</w:t>
      </w:r>
    </w:p>
    <w:p w14:paraId="5B1DF17C" w14:textId="68EDA4B7" w:rsidR="00294517" w:rsidRPr="006D631C" w:rsidRDefault="00BF0B7F" w:rsidP="00861405">
      <w:pPr>
        <w:pStyle w:val="TOC1"/>
        <w:rPr>
          <w:noProof w:val="0"/>
        </w:rPr>
      </w:pPr>
      <w:r w:rsidRPr="006D631C">
        <w:rPr>
          <w:rFonts w:asciiTheme="majorBidi" w:hAnsiTheme="majorBidi" w:cstheme="majorBidi"/>
          <w:szCs w:val="24"/>
        </w:rPr>
        <w:lastRenderedPageBreak/>
        <w:drawing>
          <wp:inline distT="0" distB="0" distL="0" distR="0" wp14:anchorId="7FD4E6AE" wp14:editId="25A29820">
            <wp:extent cx="5940000" cy="4554054"/>
            <wp:effectExtent l="0" t="0" r="381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940000" cy="4554054"/>
                    </a:xfrm>
                    <a:prstGeom prst="rect">
                      <a:avLst/>
                    </a:prstGeom>
                    <a:noFill/>
                  </pic:spPr>
                </pic:pic>
              </a:graphicData>
            </a:graphic>
          </wp:inline>
        </w:drawing>
      </w:r>
    </w:p>
    <w:p w14:paraId="013B01A8" w14:textId="0C0559E0" w:rsidR="00294517" w:rsidRPr="006D631C" w:rsidRDefault="00294517" w:rsidP="00B33681">
      <w:pPr>
        <w:pStyle w:val="Caption"/>
        <w:jc w:val="center"/>
        <w:rPr>
          <w:sz w:val="22"/>
          <w:szCs w:val="22"/>
        </w:rPr>
      </w:pPr>
      <w:bookmarkStart w:id="207" w:name="_Toc148175955"/>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5</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w:t>
      </w:r>
      <w:r w:rsidR="00B55F32" w:rsidRPr="006D631C">
        <w:rPr>
          <w:sz w:val="22"/>
          <w:szCs w:val="22"/>
        </w:rPr>
        <w:fldChar w:fldCharType="end"/>
      </w:r>
      <w:r w:rsidRPr="006D631C">
        <w:rPr>
          <w:sz w:val="22"/>
          <w:szCs w:val="22"/>
        </w:rPr>
        <w:t xml:space="preserve">. </w:t>
      </w:r>
      <w:r w:rsidR="00BA1FAB" w:rsidRPr="006D631C">
        <w:rPr>
          <w:rFonts w:asciiTheme="majorBidi" w:hAnsiTheme="majorBidi" w:cstheme="majorBidi"/>
          <w:sz w:val="22"/>
          <w:szCs w:val="22"/>
        </w:rPr>
        <w:t xml:space="preserve">Molecular structure of (a) </w:t>
      </w:r>
      <w:proofErr w:type="spellStart"/>
      <w:r w:rsidR="00BA1FAB" w:rsidRPr="006D631C">
        <w:rPr>
          <w:rFonts w:asciiTheme="majorBidi" w:hAnsiTheme="majorBidi" w:cstheme="majorBidi"/>
          <w:sz w:val="22"/>
          <w:szCs w:val="22"/>
        </w:rPr>
        <w:t>AAc</w:t>
      </w:r>
      <w:proofErr w:type="spellEnd"/>
      <w:r w:rsidR="00BA1FAB" w:rsidRPr="006D631C">
        <w:rPr>
          <w:rFonts w:asciiTheme="majorBidi" w:hAnsiTheme="majorBidi" w:cstheme="majorBidi"/>
          <w:sz w:val="22"/>
          <w:szCs w:val="22"/>
        </w:rPr>
        <w:t>, (b) P84DA, (c) HDDA, (d) [BMIM][BF</w:t>
      </w:r>
      <w:r w:rsidR="00BA1FAB" w:rsidRPr="006D631C">
        <w:rPr>
          <w:rFonts w:asciiTheme="majorBidi" w:hAnsiTheme="majorBidi" w:cstheme="majorBidi"/>
          <w:sz w:val="22"/>
          <w:szCs w:val="22"/>
          <w:vertAlign w:val="subscript"/>
        </w:rPr>
        <w:t>4</w:t>
      </w:r>
      <w:r w:rsidR="00BA1FAB" w:rsidRPr="006D631C">
        <w:rPr>
          <w:rFonts w:asciiTheme="majorBidi" w:hAnsiTheme="majorBidi" w:cstheme="majorBidi"/>
          <w:sz w:val="22"/>
          <w:szCs w:val="22"/>
        </w:rPr>
        <w:t xml:space="preserve">] and (e) HCPK. Schematic illustration of </w:t>
      </w:r>
      <w:proofErr w:type="spellStart"/>
      <w:r w:rsidR="00BA1FAB" w:rsidRPr="006D631C">
        <w:rPr>
          <w:rFonts w:asciiTheme="majorBidi" w:hAnsiTheme="majorBidi" w:cstheme="majorBidi"/>
          <w:sz w:val="22"/>
          <w:szCs w:val="22"/>
        </w:rPr>
        <w:t>AAc</w:t>
      </w:r>
      <w:proofErr w:type="spellEnd"/>
      <w:r w:rsidR="00BA1FAB" w:rsidRPr="006D631C">
        <w:rPr>
          <w:rFonts w:asciiTheme="majorBidi" w:hAnsiTheme="majorBidi" w:cstheme="majorBidi"/>
          <w:sz w:val="22"/>
          <w:szCs w:val="22"/>
        </w:rPr>
        <w:t>, P84DA and HDDA have also been shown in panel a, b and c, respectively. (f) A schematic depiction of an H</w:t>
      </w:r>
      <w:r w:rsidR="00BA1FAB" w:rsidRPr="006D631C">
        <w:rPr>
          <w:rFonts w:asciiTheme="majorBidi" w:hAnsiTheme="majorBidi" w:cstheme="majorBidi"/>
          <w:sz w:val="22"/>
          <w:szCs w:val="22"/>
          <w:vertAlign w:val="subscript"/>
        </w:rPr>
        <w:t>1</w:t>
      </w:r>
      <w:r w:rsidR="00BA1FAB" w:rsidRPr="006D631C">
        <w:rPr>
          <w:rFonts w:asciiTheme="majorBidi" w:hAnsiTheme="majorBidi" w:cstheme="majorBidi"/>
          <w:sz w:val="22"/>
          <w:szCs w:val="22"/>
        </w:rPr>
        <w:t>-structured LLC obtained by blending various components, wherein the micelles are enveloped by a mixture of [BMIM</w:t>
      </w:r>
      <w:proofErr w:type="gramStart"/>
      <w:r w:rsidR="00BA1FAB" w:rsidRPr="006D631C">
        <w:rPr>
          <w:rFonts w:asciiTheme="majorBidi" w:hAnsiTheme="majorBidi" w:cstheme="majorBidi"/>
          <w:sz w:val="22"/>
          <w:szCs w:val="22"/>
        </w:rPr>
        <w:t>][</w:t>
      </w:r>
      <w:proofErr w:type="gramEnd"/>
      <w:r w:rsidR="00BA1FAB" w:rsidRPr="006D631C">
        <w:rPr>
          <w:rFonts w:asciiTheme="majorBidi" w:hAnsiTheme="majorBidi" w:cstheme="majorBidi"/>
          <w:sz w:val="22"/>
          <w:szCs w:val="22"/>
        </w:rPr>
        <w:t>BF</w:t>
      </w:r>
      <w:r w:rsidR="00BA1FAB" w:rsidRPr="006D631C">
        <w:rPr>
          <w:rFonts w:asciiTheme="majorBidi" w:hAnsiTheme="majorBidi" w:cstheme="majorBidi"/>
          <w:sz w:val="22"/>
          <w:szCs w:val="22"/>
          <w:vertAlign w:val="subscript"/>
        </w:rPr>
        <w:t>4</w:t>
      </w:r>
      <w:r w:rsidR="00BA1FAB" w:rsidRPr="006D631C">
        <w:rPr>
          <w:rFonts w:asciiTheme="majorBidi" w:hAnsiTheme="majorBidi" w:cstheme="majorBidi"/>
          <w:sz w:val="22"/>
          <w:szCs w:val="22"/>
        </w:rPr>
        <w:t xml:space="preserve">] and </w:t>
      </w:r>
      <w:proofErr w:type="spellStart"/>
      <w:r w:rsidR="00BA1FAB" w:rsidRPr="006D631C">
        <w:rPr>
          <w:rFonts w:asciiTheme="majorBidi" w:hAnsiTheme="majorBidi" w:cstheme="majorBidi"/>
          <w:sz w:val="22"/>
          <w:szCs w:val="22"/>
        </w:rPr>
        <w:t>AAc</w:t>
      </w:r>
      <w:proofErr w:type="spellEnd"/>
      <w:r w:rsidR="00BA1FAB" w:rsidRPr="006D631C">
        <w:rPr>
          <w:rFonts w:asciiTheme="majorBidi" w:hAnsiTheme="majorBidi" w:cstheme="majorBidi"/>
          <w:sz w:val="22"/>
          <w:szCs w:val="22"/>
        </w:rPr>
        <w:t xml:space="preserve">. Important structural parameters have also been shown in the schematic. The apolar domain consists of PPO block and HDDA. A chemically bound polymer network is formed </w:t>
      </w:r>
      <w:r w:rsidR="00B33681" w:rsidRPr="006D631C">
        <w:rPr>
          <w:rFonts w:asciiTheme="majorBidi" w:hAnsiTheme="majorBidi" w:cstheme="majorBidi"/>
          <w:sz w:val="22"/>
          <w:szCs w:val="22"/>
        </w:rPr>
        <w:t>from reaction of</w:t>
      </w:r>
      <w:r w:rsidR="00BA1FAB" w:rsidRPr="006D631C">
        <w:rPr>
          <w:rFonts w:asciiTheme="majorBidi" w:hAnsiTheme="majorBidi" w:cstheme="majorBidi"/>
          <w:sz w:val="22"/>
          <w:szCs w:val="22"/>
        </w:rPr>
        <w:t xml:space="preserve"> acrylate groups of P84DA, HDDA, and </w:t>
      </w:r>
      <w:proofErr w:type="spellStart"/>
      <w:r w:rsidR="00BA1FAB" w:rsidRPr="006D631C">
        <w:rPr>
          <w:rFonts w:asciiTheme="majorBidi" w:hAnsiTheme="majorBidi" w:cstheme="majorBidi"/>
          <w:sz w:val="22"/>
          <w:szCs w:val="22"/>
        </w:rPr>
        <w:t>AAc</w:t>
      </w:r>
      <w:proofErr w:type="spellEnd"/>
      <w:r w:rsidR="00BA1FAB" w:rsidRPr="006D631C">
        <w:rPr>
          <w:rFonts w:asciiTheme="majorBidi" w:hAnsiTheme="majorBidi" w:cstheme="majorBidi"/>
          <w:sz w:val="22"/>
          <w:szCs w:val="22"/>
        </w:rPr>
        <w:t>. To achieve a well-integrated H</w:t>
      </w:r>
      <w:r w:rsidR="00BA1FAB" w:rsidRPr="006D631C">
        <w:rPr>
          <w:rFonts w:asciiTheme="majorBidi" w:hAnsiTheme="majorBidi" w:cstheme="majorBidi"/>
          <w:sz w:val="22"/>
          <w:szCs w:val="22"/>
          <w:vertAlign w:val="subscript"/>
        </w:rPr>
        <w:t>1</w:t>
      </w:r>
      <w:r w:rsidR="00BA1FAB" w:rsidRPr="006D631C">
        <w:rPr>
          <w:rFonts w:asciiTheme="majorBidi" w:hAnsiTheme="majorBidi" w:cstheme="majorBidi"/>
          <w:sz w:val="22"/>
          <w:szCs w:val="22"/>
        </w:rPr>
        <w:t xml:space="preserve">-structured membrane, it </w:t>
      </w:r>
      <w:r w:rsidR="00B33681" w:rsidRPr="006D631C">
        <w:rPr>
          <w:rFonts w:asciiTheme="majorBidi" w:hAnsiTheme="majorBidi" w:cstheme="majorBidi"/>
          <w:sz w:val="22"/>
          <w:szCs w:val="22"/>
        </w:rPr>
        <w:t>is</w:t>
      </w:r>
      <w:r w:rsidR="00BA1FAB" w:rsidRPr="006D631C">
        <w:rPr>
          <w:rFonts w:asciiTheme="majorBidi" w:hAnsiTheme="majorBidi" w:cstheme="majorBidi"/>
          <w:sz w:val="22"/>
          <w:szCs w:val="22"/>
        </w:rPr>
        <w:t xml:space="preserve"> crucial to have intermicellar bridges, which are formed </w:t>
      </w:r>
      <w:r w:rsidR="00B33681" w:rsidRPr="006D631C">
        <w:rPr>
          <w:rFonts w:asciiTheme="majorBidi" w:hAnsiTheme="majorBidi" w:cstheme="majorBidi"/>
          <w:sz w:val="22"/>
          <w:szCs w:val="22"/>
        </w:rPr>
        <w:t>from reaction of</w:t>
      </w:r>
      <w:r w:rsidR="00BA1FAB" w:rsidRPr="006D631C">
        <w:rPr>
          <w:rFonts w:asciiTheme="majorBidi" w:hAnsiTheme="majorBidi" w:cstheme="majorBidi"/>
          <w:sz w:val="22"/>
          <w:szCs w:val="22"/>
        </w:rPr>
        <w:t xml:space="preserve"> acrylate groups of extended PEO blocks.</w:t>
      </w:r>
      <w:r w:rsidR="00BA1FAB" w:rsidRPr="006D631C">
        <w:rPr>
          <w:rFonts w:asciiTheme="majorBidi" w:hAnsiTheme="majorBidi" w:cstheme="majorBidi"/>
          <w:sz w:val="22"/>
          <w:szCs w:val="22"/>
        </w:rPr>
        <w:fldChar w:fldCharType="begin" w:fldLock="1"/>
      </w:r>
      <w:r w:rsidR="00372897" w:rsidRPr="006D631C">
        <w:rPr>
          <w:rFonts w:asciiTheme="majorBidi" w:hAnsiTheme="majorBidi" w:cstheme="majorBidi"/>
          <w:sz w:val="22"/>
          <w:szCs w:val="22"/>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00BA1FAB" w:rsidRPr="006D631C">
        <w:rPr>
          <w:rFonts w:asciiTheme="majorBidi" w:hAnsiTheme="majorBidi" w:cstheme="majorBidi"/>
          <w:sz w:val="22"/>
          <w:szCs w:val="22"/>
        </w:rPr>
        <w:fldChar w:fldCharType="separate"/>
      </w:r>
      <w:r w:rsidR="00283A74" w:rsidRPr="006D631C">
        <w:rPr>
          <w:rFonts w:asciiTheme="majorBidi" w:hAnsiTheme="majorBidi" w:cstheme="majorBidi"/>
          <w:noProof/>
          <w:sz w:val="22"/>
          <w:szCs w:val="22"/>
          <w:vertAlign w:val="superscript"/>
        </w:rPr>
        <w:t>31</w:t>
      </w:r>
      <w:bookmarkEnd w:id="207"/>
      <w:r w:rsidR="00BA1FAB" w:rsidRPr="006D631C">
        <w:rPr>
          <w:rFonts w:asciiTheme="majorBidi" w:hAnsiTheme="majorBidi" w:cstheme="majorBidi"/>
          <w:sz w:val="22"/>
          <w:szCs w:val="22"/>
        </w:rPr>
        <w:fldChar w:fldCharType="end"/>
      </w:r>
    </w:p>
    <w:p w14:paraId="1DEB243C" w14:textId="078C7A84" w:rsidR="00895B91" w:rsidRPr="006D631C" w:rsidRDefault="00554BA4" w:rsidP="00F94537">
      <w:pPr>
        <w:pStyle w:val="Heading4"/>
      </w:pPr>
      <w:bookmarkStart w:id="208" w:name="_Toc148175874"/>
      <w:r w:rsidRPr="006D631C">
        <w:t>5</w:t>
      </w:r>
      <w:r w:rsidR="00895B91" w:rsidRPr="006D631C">
        <w:t xml:space="preserve">.2.4.4 Swelling </w:t>
      </w:r>
      <w:r w:rsidR="00F94537" w:rsidRPr="006D631C">
        <w:t xml:space="preserve">characteristics </w:t>
      </w:r>
      <w:r w:rsidR="00895B91" w:rsidRPr="006D631C">
        <w:t>of the polyLLC</w:t>
      </w:r>
      <w:bookmarkEnd w:id="208"/>
    </w:p>
    <w:p w14:paraId="1A37C38E" w14:textId="6D28F0FD" w:rsidR="00895B91" w:rsidRPr="006D631C" w:rsidRDefault="001F4705" w:rsidP="00EA5AA7">
      <w:pPr>
        <w:ind w:firstLine="360"/>
      </w:pPr>
      <w:r w:rsidRPr="006D631C">
        <w:rPr>
          <w:rFonts w:asciiTheme="majorBidi" w:hAnsiTheme="majorBidi" w:cstheme="majorBidi"/>
        </w:rPr>
        <w:t xml:space="preserve">Temperature-dependent swelling capacity of the water-swollen polyLLC was evaluated using the procedure described in </w:t>
      </w:r>
      <w:r w:rsidR="00EA5AA7" w:rsidRPr="006D631C">
        <w:rPr>
          <w:rFonts w:asciiTheme="majorBidi" w:hAnsiTheme="majorBidi" w:cstheme="majorBidi"/>
        </w:rPr>
        <w:t xml:space="preserve">Chapter </w:t>
      </w:r>
      <w:r w:rsidRPr="006D631C">
        <w:rPr>
          <w:rFonts w:asciiTheme="majorBidi" w:hAnsiTheme="majorBidi" w:cstheme="majorBidi"/>
        </w:rPr>
        <w:t>1.</w:t>
      </w:r>
      <w:r w:rsidR="00933E25" w:rsidRPr="006D631C">
        <w:rPr>
          <w:rFonts w:asciiTheme="majorBidi" w:hAnsiTheme="majorBidi" w:cstheme="majorBidi"/>
        </w:rPr>
        <w:t xml:space="preserve"> </w:t>
      </w:r>
      <w:r w:rsidR="004B3DF4" w:rsidRPr="006D631C">
        <w:rPr>
          <w:rFonts w:asciiTheme="majorBidi" w:hAnsiTheme="majorBidi" w:cstheme="majorBidi"/>
        </w:rPr>
        <w:t>To evaluate the salt-dependent swelling behavior of polyLLC, the polymer was swollen in aqueous solutions of K</w:t>
      </w:r>
      <w:r w:rsidR="004B3DF4" w:rsidRPr="006D631C">
        <w:rPr>
          <w:rFonts w:asciiTheme="majorBidi" w:hAnsiTheme="majorBidi" w:cstheme="majorBidi"/>
          <w:vertAlign w:val="subscript"/>
        </w:rPr>
        <w:t>2</w:t>
      </w:r>
      <w:r w:rsidR="004B3DF4" w:rsidRPr="006D631C">
        <w:rPr>
          <w:rFonts w:asciiTheme="majorBidi" w:hAnsiTheme="majorBidi" w:cstheme="majorBidi"/>
        </w:rPr>
        <w:t>SO</w:t>
      </w:r>
      <w:r w:rsidR="004B3DF4" w:rsidRPr="006D631C">
        <w:rPr>
          <w:rFonts w:asciiTheme="majorBidi" w:hAnsiTheme="majorBidi" w:cstheme="majorBidi"/>
          <w:vertAlign w:val="subscript"/>
        </w:rPr>
        <w:t>4</w:t>
      </w:r>
      <w:r w:rsidR="004B3DF4" w:rsidRPr="006D631C">
        <w:rPr>
          <w:rFonts w:asciiTheme="majorBidi" w:hAnsiTheme="majorBidi" w:cstheme="majorBidi"/>
        </w:rPr>
        <w:t xml:space="preserve"> at different ionic strengths (1, </w:t>
      </w:r>
      <w:r w:rsidR="004B3DF4" w:rsidRPr="006D631C">
        <w:rPr>
          <w:rFonts w:asciiTheme="majorBidi" w:hAnsiTheme="majorBidi" w:cstheme="majorBidi"/>
        </w:rPr>
        <w:lastRenderedPageBreak/>
        <w:t xml:space="preserve">5, 10, 50, and 100 </w:t>
      </w:r>
      <w:proofErr w:type="spellStart"/>
      <w:r w:rsidR="004B3DF4" w:rsidRPr="006D631C">
        <w:rPr>
          <w:rFonts w:asciiTheme="majorBidi" w:hAnsiTheme="majorBidi" w:cstheme="majorBidi"/>
        </w:rPr>
        <w:t>mM</w:t>
      </w:r>
      <w:proofErr w:type="spellEnd"/>
      <w:r w:rsidR="004B3DF4" w:rsidRPr="006D631C">
        <w:rPr>
          <w:rFonts w:asciiTheme="majorBidi" w:hAnsiTheme="majorBidi" w:cstheme="majorBidi"/>
        </w:rPr>
        <w:t>) at 25 and 45 °C. Additionally, the swelling capacity of polyLLC was measured at different pH values ranging from 3 to 9 to investigate the effect of pH on the polymer's swelling behavior.</w:t>
      </w:r>
    </w:p>
    <w:p w14:paraId="0D2C766F" w14:textId="437DDDB4" w:rsidR="00895B91" w:rsidRPr="006D631C" w:rsidRDefault="00D66EB5" w:rsidP="00594943">
      <w:pPr>
        <w:pStyle w:val="Heading3"/>
      </w:pPr>
      <w:bookmarkStart w:id="209" w:name="_Toc148175875"/>
      <w:r w:rsidRPr="006D631C">
        <w:t>5</w:t>
      </w:r>
      <w:r w:rsidR="00895B91" w:rsidRPr="006D631C">
        <w:t xml:space="preserve">.2.5 </w:t>
      </w:r>
      <w:r w:rsidR="00594943" w:rsidRPr="006D631C">
        <w:t>Manufacturing of the supported polyLLC membrane</w:t>
      </w:r>
      <w:bookmarkEnd w:id="209"/>
    </w:p>
    <w:p w14:paraId="386E4ED1" w14:textId="5B3C5974" w:rsidR="005A2D83" w:rsidRPr="006D631C" w:rsidRDefault="005A2D83" w:rsidP="00EA5AA7">
      <w:pPr>
        <w:ind w:firstLine="360"/>
        <w:rPr>
          <w:rFonts w:asciiTheme="majorBidi" w:hAnsiTheme="majorBidi" w:cstheme="majorBidi"/>
        </w:rPr>
      </w:pPr>
      <w:r w:rsidRPr="006D631C">
        <w:rPr>
          <w:rFonts w:asciiTheme="majorBidi" w:hAnsiTheme="majorBidi" w:cstheme="majorBidi"/>
        </w:rPr>
        <w:t xml:space="preserve">Based on the findings from SAXS analysis, the obtained mesophase exhibits reversible structural transitions when heated to 45°C (refer to section </w:t>
      </w:r>
      <w:r w:rsidR="0090028E" w:rsidRPr="006D631C">
        <w:rPr>
          <w:rFonts w:asciiTheme="majorBidi" w:hAnsiTheme="majorBidi" w:cstheme="majorBidi"/>
        </w:rPr>
        <w:t xml:space="preserve">Appendix </w:t>
      </w:r>
      <w:r w:rsidRPr="006D631C">
        <w:rPr>
          <w:rFonts w:asciiTheme="majorBidi" w:hAnsiTheme="majorBidi" w:cstheme="majorBidi"/>
        </w:rPr>
        <w:t xml:space="preserve">F). As mentioned in </w:t>
      </w:r>
      <w:r w:rsidR="00EA5AA7" w:rsidRPr="006D631C">
        <w:rPr>
          <w:rFonts w:asciiTheme="majorBidi" w:hAnsiTheme="majorBidi" w:cstheme="majorBidi"/>
        </w:rPr>
        <w:t xml:space="preserve">Chapter </w:t>
      </w:r>
      <w:r w:rsidR="00F724C4" w:rsidRPr="006D631C">
        <w:rPr>
          <w:rFonts w:asciiTheme="majorBidi" w:hAnsiTheme="majorBidi" w:cstheme="majorBidi"/>
        </w:rPr>
        <w:t>4</w:t>
      </w:r>
      <w:r w:rsidRPr="006D631C">
        <w:rPr>
          <w:rFonts w:asciiTheme="majorBidi" w:hAnsiTheme="majorBidi" w:cstheme="majorBidi"/>
        </w:rPr>
        <w:t xml:space="preserve">, these transitions can reduce the mesophase viscosity, facilitating the use of knife coating to apply the mesophase onto a polyester support sheet, followed by UV polymerization to create the supported polyLLC membrane. Further information regarding the membrane fabrication process is available in </w:t>
      </w:r>
      <w:r w:rsidR="00EA5AA7" w:rsidRPr="006D631C">
        <w:rPr>
          <w:rFonts w:asciiTheme="majorBidi" w:hAnsiTheme="majorBidi" w:cstheme="majorBidi"/>
        </w:rPr>
        <w:t xml:space="preserve">Chapter </w:t>
      </w:r>
      <w:r w:rsidR="00784491" w:rsidRPr="006D631C">
        <w:rPr>
          <w:rFonts w:asciiTheme="majorBidi" w:hAnsiTheme="majorBidi" w:cstheme="majorBidi"/>
        </w:rPr>
        <w:t>4</w:t>
      </w:r>
      <w:r w:rsidRPr="006D631C">
        <w:rPr>
          <w:rFonts w:asciiTheme="majorBidi" w:hAnsiTheme="majorBidi" w:cstheme="majorBidi"/>
        </w:rPr>
        <w:t xml:space="preserve">. The thickness of the polyLLC coated layer was determined using a </w:t>
      </w:r>
      <w:r w:rsidR="0029599E" w:rsidRPr="006D631C">
        <w:rPr>
          <w:rFonts w:asciiTheme="majorBidi" w:hAnsiTheme="majorBidi" w:cstheme="majorBidi"/>
        </w:rPr>
        <w:t>SEM</w:t>
      </w:r>
      <w:r w:rsidRPr="006D631C">
        <w:rPr>
          <w:rFonts w:asciiTheme="majorBidi" w:hAnsiTheme="majorBidi" w:cstheme="majorBidi"/>
        </w:rPr>
        <w:t xml:space="preserve"> (</w:t>
      </w:r>
      <w:proofErr w:type="spellStart"/>
      <w:r w:rsidRPr="006D631C">
        <w:rPr>
          <w:rFonts w:asciiTheme="majorBidi" w:hAnsiTheme="majorBidi" w:cstheme="majorBidi"/>
        </w:rPr>
        <w:t>ThermoFisher</w:t>
      </w:r>
      <w:proofErr w:type="spellEnd"/>
      <w:r w:rsidRPr="006D631C">
        <w:rPr>
          <w:rFonts w:asciiTheme="majorBidi" w:hAnsiTheme="majorBidi" w:cstheme="majorBidi"/>
        </w:rPr>
        <w:t xml:space="preserve"> Quattro S field emission environmental SEM).</w:t>
      </w:r>
    </w:p>
    <w:p w14:paraId="051909E8" w14:textId="5B5FF8BD" w:rsidR="00895B91" w:rsidRPr="006D631C" w:rsidRDefault="007E742D" w:rsidP="005A2D83">
      <w:pPr>
        <w:ind w:firstLine="360"/>
        <w:rPr>
          <w:rFonts w:asciiTheme="majorBidi" w:hAnsiTheme="majorBidi" w:cstheme="majorBidi"/>
        </w:rPr>
      </w:pPr>
      <w:r w:rsidRPr="006D631C">
        <w:rPr>
          <w:rFonts w:asciiTheme="majorBidi" w:hAnsiTheme="majorBidi" w:cstheme="majorBidi"/>
        </w:rPr>
        <w:t>To replace the IL with water, the manufactured membranes were submerged in water for a minimum of one week before being tested.</w:t>
      </w:r>
    </w:p>
    <w:p w14:paraId="2C9DBBDC" w14:textId="1533A6A2" w:rsidR="00895B91" w:rsidRPr="006D631C" w:rsidRDefault="00BD6A09" w:rsidP="00524099">
      <w:pPr>
        <w:pStyle w:val="Heading3"/>
      </w:pPr>
      <w:bookmarkStart w:id="210" w:name="_Toc148175876"/>
      <w:r w:rsidRPr="006D631C">
        <w:t>5</w:t>
      </w:r>
      <w:r w:rsidR="00895B91" w:rsidRPr="006D631C">
        <w:t xml:space="preserve">.2.6 </w:t>
      </w:r>
      <w:r w:rsidR="00524099" w:rsidRPr="006D631C">
        <w:t>Analysis of the polyLLC membrane performance</w:t>
      </w:r>
      <w:bookmarkEnd w:id="210"/>
    </w:p>
    <w:p w14:paraId="3A3CB1B3" w14:textId="07C88CFE" w:rsidR="00895B91" w:rsidRPr="006D631C" w:rsidRDefault="00524099" w:rsidP="00895B91">
      <w:pPr>
        <w:pStyle w:val="Heading4"/>
      </w:pPr>
      <w:bookmarkStart w:id="211" w:name="_Toc148175877"/>
      <w:r w:rsidRPr="006D631C">
        <w:t>5</w:t>
      </w:r>
      <w:r w:rsidR="00895B91" w:rsidRPr="006D631C">
        <w:t>.2.6.1 Water flux and permeability</w:t>
      </w:r>
      <w:bookmarkEnd w:id="211"/>
    </w:p>
    <w:p w14:paraId="7F31FB74" w14:textId="3E98FC16" w:rsidR="00A91509" w:rsidRPr="006D631C" w:rsidRDefault="000D5A9E" w:rsidP="00372897">
      <w:pPr>
        <w:ind w:firstLine="360"/>
        <w:rPr>
          <w:rFonts w:asciiTheme="majorBidi" w:hAnsiTheme="majorBidi" w:cstheme="majorBidi"/>
        </w:rPr>
      </w:pPr>
      <w:r w:rsidRPr="006D631C">
        <w:rPr>
          <w:rFonts w:asciiTheme="majorBidi" w:hAnsiTheme="majorBidi" w:cstheme="majorBidi"/>
        </w:rPr>
        <w:t xml:space="preserve">The </w:t>
      </w:r>
      <w:proofErr w:type="spellStart"/>
      <w:r w:rsidRPr="006D631C">
        <w:rPr>
          <w:rFonts w:asciiTheme="majorBidi" w:hAnsiTheme="majorBidi" w:cstheme="majorBidi"/>
        </w:rPr>
        <w:t>Sterlitech</w:t>
      </w:r>
      <w:proofErr w:type="spellEnd"/>
      <w:r w:rsidRPr="006D631C">
        <w:rPr>
          <w:rFonts w:asciiTheme="majorBidi" w:hAnsiTheme="majorBidi" w:cstheme="majorBidi"/>
        </w:rPr>
        <w:t xml:space="preserve"> HP4750 high-pressure stirred cell (a dead-end filtration system) was employed to assess the performance of the membranes, with an effective area of 14.6 cm</w:t>
      </w:r>
      <w:r w:rsidRPr="006D631C">
        <w:rPr>
          <w:rFonts w:asciiTheme="majorBidi" w:hAnsiTheme="majorBidi" w:cstheme="majorBidi"/>
          <w:vertAlign w:val="superscript"/>
        </w:rPr>
        <w:t>2</w:t>
      </w:r>
      <w:r w:rsidRPr="006D631C">
        <w:rPr>
          <w:rFonts w:asciiTheme="majorBidi" w:hAnsiTheme="majorBidi" w:cstheme="majorBidi"/>
        </w:rPr>
        <w:t>, operating under stirring at 750 rpm using a magnetic stirrer and a pressure of 30 psi (2.07×10</w:t>
      </w:r>
      <w:r w:rsidRPr="006D631C">
        <w:rPr>
          <w:rFonts w:asciiTheme="majorBidi" w:hAnsiTheme="majorBidi" w:cstheme="majorBidi"/>
          <w:vertAlign w:val="superscript"/>
        </w:rPr>
        <w:t>5</w:t>
      </w:r>
      <w:r w:rsidRPr="006D631C">
        <w:rPr>
          <w:rFonts w:asciiTheme="majorBidi" w:hAnsiTheme="majorBidi" w:cstheme="majorBidi"/>
        </w:rPr>
        <w:t xml:space="preserve"> Pa). The thickness-normalized flux of the membranes, reported as liters m</w:t>
      </w:r>
      <w:r w:rsidRPr="006D631C">
        <w:rPr>
          <w:rFonts w:asciiTheme="majorBidi" w:hAnsiTheme="majorBidi" w:cstheme="majorBidi"/>
          <w:vertAlign w:val="superscript"/>
        </w:rPr>
        <w:t>−2</w:t>
      </w:r>
      <w:r w:rsidRPr="006D631C">
        <w:rPr>
          <w:rFonts w:asciiTheme="majorBidi" w:hAnsiTheme="majorBidi" w:cstheme="majorBidi"/>
        </w:rPr>
        <w:t xml:space="preserve"> hour</w:t>
      </w:r>
      <w:r w:rsidRPr="006D631C">
        <w:rPr>
          <w:rFonts w:asciiTheme="majorBidi" w:hAnsiTheme="majorBidi" w:cstheme="majorBidi"/>
          <w:vertAlign w:val="superscript"/>
        </w:rPr>
        <w:t>−1</w:t>
      </w:r>
      <w:r w:rsidRPr="006D631C">
        <w:rPr>
          <w:rFonts w:asciiTheme="majorBidi" w:hAnsiTheme="majorBidi" w:cstheme="majorBidi"/>
        </w:rPr>
        <w:t xml:space="preserve"> µm, was measured at both 25 and 45 °C. To measure the flux at an elevated temperature, the filtration cell containing the membrane was placed in a water bath set to 45 ± 0.1 °C. The permeate collection was initiated only after verifying the isothermal conditions at the membrane level and obtaining a stable flux. All </w:t>
      </w:r>
      <w:r w:rsidRPr="006D631C">
        <w:rPr>
          <w:rFonts w:asciiTheme="majorBidi" w:hAnsiTheme="majorBidi" w:cstheme="majorBidi"/>
        </w:rPr>
        <w:lastRenderedPageBreak/>
        <w:t>measurements were conducted on three separate membranes.</w:t>
      </w:r>
      <w:r w:rsidR="00A91509" w:rsidRPr="006D631C">
        <w:rPr>
          <w:rFonts w:asciiTheme="majorBidi" w:hAnsiTheme="majorBidi" w:cstheme="majorBidi"/>
        </w:rPr>
        <w:t xml:space="preserve"> </w:t>
      </w:r>
      <w:r w:rsidR="00372897" w:rsidRPr="006D631C">
        <w:rPr>
          <w:rFonts w:asciiTheme="majorBidi" w:hAnsiTheme="majorBidi" w:cstheme="majorBidi"/>
        </w:rPr>
        <w:t>Permeability of the membrane was calculated based on Darcy's law</w:t>
      </w:r>
      <w:r w:rsidR="00372897" w:rsidRPr="006D631C">
        <w:rPr>
          <w:rFonts w:asciiTheme="majorBidi" w:hAnsiTheme="majorBidi" w:cstheme="majorBidi"/>
        </w:rPr>
        <w:fldChar w:fldCharType="begin" w:fldLock="1"/>
      </w:r>
      <w:r w:rsidR="00F53030"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mendeley":{"formattedCitation":"&lt;sup&gt;32&lt;/sup&gt;","plainTextFormattedCitation":"32","previouslyFormattedCitation":"&lt;sup&gt;32&lt;/sup&gt;"},"properties":{"noteIndex":0},"schema":"https://github.com/citation-style-language/schema/raw/master/csl-citation.json"}</w:instrText>
      </w:r>
      <w:r w:rsidR="00372897" w:rsidRPr="006D631C">
        <w:rPr>
          <w:rFonts w:asciiTheme="majorBidi" w:hAnsiTheme="majorBidi" w:cstheme="majorBidi"/>
        </w:rPr>
        <w:fldChar w:fldCharType="separate"/>
      </w:r>
      <w:r w:rsidR="00372897" w:rsidRPr="006D631C">
        <w:rPr>
          <w:rFonts w:asciiTheme="majorBidi" w:hAnsiTheme="majorBidi" w:cstheme="majorBidi"/>
          <w:noProof/>
          <w:vertAlign w:val="superscript"/>
        </w:rPr>
        <w:t>32</w:t>
      </w:r>
      <w:r w:rsidR="00372897" w:rsidRPr="006D631C">
        <w:rPr>
          <w:rFonts w:asciiTheme="majorBidi" w:hAnsiTheme="majorBidi" w:cstheme="majorBidi"/>
        </w:rPr>
        <w:fldChar w:fldCharType="end"/>
      </w:r>
      <w:r w:rsidR="00372897" w:rsidRPr="006D631C">
        <w:rPr>
          <w:rFonts w:asciiTheme="majorBidi" w:hAnsiTheme="majorBidi" w:cstheme="majorBidi"/>
        </w:rPr>
        <w:t xml:space="preserve"> </w:t>
      </w:r>
      <w:r w:rsidR="00A91509" w:rsidRPr="006D631C">
        <w:rPr>
          <w:rFonts w:asciiTheme="majorBidi" w:hAnsiTheme="majorBidi" w:cstheme="majorBidi"/>
        </w:rPr>
        <w:t>(Eq. 3-1).</w:t>
      </w:r>
    </w:p>
    <w:p w14:paraId="750BB8F4" w14:textId="2E2881A3" w:rsidR="00895B91" w:rsidRPr="006D631C" w:rsidRDefault="0062507A" w:rsidP="00836A22">
      <w:pPr>
        <w:pStyle w:val="Heading4"/>
      </w:pPr>
      <w:bookmarkStart w:id="212" w:name="_Toc148175878"/>
      <w:r w:rsidRPr="006D631C">
        <w:t>5</w:t>
      </w:r>
      <w:r w:rsidR="00895B91" w:rsidRPr="006D631C">
        <w:t xml:space="preserve">.2.6.2 </w:t>
      </w:r>
      <w:r w:rsidR="00836A22" w:rsidRPr="006D631C">
        <w:t>MWCO, protein, single salt and dye rejection measurements</w:t>
      </w:r>
      <w:bookmarkEnd w:id="212"/>
    </w:p>
    <w:p w14:paraId="5DC35EA7" w14:textId="0B114702" w:rsidR="00895B91" w:rsidRPr="006D631C" w:rsidRDefault="00EC7AF6" w:rsidP="00F53030">
      <w:pPr>
        <w:ind w:firstLine="360"/>
        <w:rPr>
          <w:rFonts w:asciiTheme="majorBidi" w:hAnsiTheme="majorBidi" w:cstheme="majorBidi"/>
        </w:rPr>
      </w:pPr>
      <w:r w:rsidRPr="006D631C">
        <w:rPr>
          <w:color w:val="020202"/>
        </w:rPr>
        <w:t xml:space="preserve">To measure the MWCO, we filtered 1 mg/mL aqueous solutions of PEG with varying molecular weights (ranging from 1 to 10 </w:t>
      </w:r>
      <w:proofErr w:type="spellStart"/>
      <w:r w:rsidRPr="006D631C">
        <w:rPr>
          <w:color w:val="020202"/>
        </w:rPr>
        <w:t>kDa</w:t>
      </w:r>
      <w:proofErr w:type="spellEnd"/>
      <w:r w:rsidRPr="006D631C">
        <w:rPr>
          <w:color w:val="020202"/>
        </w:rPr>
        <w:t>) using one membrane. For each analysis, we collected at least 5 mL of permeate. In 0.3 mL of the collected permeate, we added 3 mL of a reagent</w:t>
      </w:r>
      <w:r w:rsidRPr="006D631C">
        <w:rPr>
          <w:color w:val="020202"/>
        </w:rPr>
        <w:fldChar w:fldCharType="begin" w:fldLock="1"/>
      </w:r>
      <w:r w:rsidR="005429EC" w:rsidRPr="006D631C">
        <w:rPr>
          <w:color w:val="020202"/>
        </w:rPr>
        <w:instrText>ADDIN CSL_CITATION {"citationItems":[{"id":"ITEM-1","itemData":{"DOI":"10.1007/BF02912573","ISSN":"0003021X","author":[{"dropping-particle":"","family":"Chang","given":"Jung-Hung","non-dropping-particle":"","parse-names":false,"suffix":""},{"dropping-particle":"","family":"Ohno","given":"Makoto","non-dropping-particle":"","parse-names":false,"suffix":""},{"dropping-particle":"","family":"Esumi","given":"Kunio","non-dropping-particle":"","parse-names":false,"suffix":""},{"dropping-particle":"","family":"Meguro","given":"Kenjiro","non-dropping-particle":"","parse-names":false,"suffix":""}],"container-title":"Journal of the American Oil Chemists' Society","id":"ITEM-1","issue":"10","issued":{"date-parts":[["1988","10"]]},"page":"1664-1668","title":"Interaction of lodine with nonionic surfactant and polyethylene glycol in aqueous potassium lodide solution","type":"article-journal","volume":"65"},"uris":["http://www.mendeley.com/documents/?uuid=d9a54640-4057-406c-bd79-6f85eda5806f"]}],"mendeley":{"formattedCitation":"&lt;sup&gt;267&lt;/sup&gt;","plainTextFormattedCitation":"267","previouslyFormattedCitation":"&lt;sup&gt;267&lt;/sup&gt;"},"properties":{"noteIndex":0},"schema":"https://github.com/citation-style-language/schema/raw/master/csl-citation.json"}</w:instrText>
      </w:r>
      <w:r w:rsidRPr="006D631C">
        <w:rPr>
          <w:color w:val="020202"/>
        </w:rPr>
        <w:fldChar w:fldCharType="separate"/>
      </w:r>
      <w:r w:rsidR="00F53030" w:rsidRPr="006D631C">
        <w:rPr>
          <w:noProof/>
          <w:color w:val="020202"/>
          <w:vertAlign w:val="superscript"/>
        </w:rPr>
        <w:t>267</w:t>
      </w:r>
      <w:r w:rsidRPr="006D631C">
        <w:rPr>
          <w:color w:val="020202"/>
        </w:rPr>
        <w:fldChar w:fldCharType="end"/>
      </w:r>
      <w:r w:rsidRPr="006D631C">
        <w:rPr>
          <w:color w:val="020202"/>
        </w:rPr>
        <w:t xml:space="preserve"> consisting of potassium iodide (2 g), iodine (1.27 g), and water (100 mL). Within 15 minutes of sample preparation, we employed UV-Vis spectroscopy (</w:t>
      </w:r>
      <w:proofErr w:type="spellStart"/>
      <w:r w:rsidRPr="006D631C">
        <w:rPr>
          <w:color w:val="020202"/>
        </w:rPr>
        <w:t>Thermo</w:t>
      </w:r>
      <w:proofErr w:type="spellEnd"/>
      <w:r w:rsidRPr="006D631C">
        <w:rPr>
          <w:color w:val="020202"/>
        </w:rPr>
        <w:t xml:space="preserve"> Scientific™ GENESYS™ UV-Vis Spectrophotometer) to determine the concentration of PEG in </w:t>
      </w:r>
      <w:proofErr w:type="gramStart"/>
      <w:r w:rsidRPr="006D631C">
        <w:rPr>
          <w:color w:val="020202"/>
        </w:rPr>
        <w:t>the permeate</w:t>
      </w:r>
      <w:proofErr w:type="gramEnd"/>
      <w:r w:rsidRPr="006D631C">
        <w:rPr>
          <w:color w:val="020202"/>
        </w:rPr>
        <w:t>.</w:t>
      </w:r>
      <w:r w:rsidR="00895B91" w:rsidRPr="006D631C">
        <w:rPr>
          <w:color w:val="020202"/>
        </w:rPr>
        <w:t xml:space="preserve"> Eq. (3-5) was used to calculate PEG rejection.</w:t>
      </w:r>
    </w:p>
    <w:p w14:paraId="1A2F622B" w14:textId="02D41156" w:rsidR="00BA6F38" w:rsidRPr="006D631C" w:rsidRDefault="005C209D" w:rsidP="00BA6F38">
      <w:pPr>
        <w:ind w:firstLine="360"/>
        <w:rPr>
          <w:color w:val="020202"/>
        </w:rPr>
      </w:pPr>
      <w:r w:rsidRPr="006D631C">
        <w:rPr>
          <w:color w:val="020202"/>
        </w:rPr>
        <w:t>The aqueous solutions of following components were used to evaluate the membrane performance in terms of the rejection of protein, dye, and single salt. A fresh membrane was employed for each experiment.</w:t>
      </w:r>
    </w:p>
    <w:p w14:paraId="1F2E8166" w14:textId="77777777" w:rsidR="005C209D" w:rsidRPr="006D631C" w:rsidRDefault="005C209D" w:rsidP="005C209D">
      <w:pPr>
        <w:pStyle w:val="TAMainText"/>
        <w:numPr>
          <w:ilvl w:val="0"/>
          <w:numId w:val="30"/>
        </w:numPr>
        <w:rPr>
          <w:color w:val="020202"/>
          <w:szCs w:val="24"/>
        </w:rPr>
      </w:pPr>
      <w:r w:rsidRPr="006D631C">
        <w:rPr>
          <w:color w:val="020202"/>
          <w:szCs w:val="24"/>
        </w:rPr>
        <w:t>BSA and lysozyme proteins with a concentration of 1 mg/ml.</w:t>
      </w:r>
    </w:p>
    <w:p w14:paraId="5626E166" w14:textId="77777777" w:rsidR="005C209D" w:rsidRPr="006D631C" w:rsidRDefault="005C209D" w:rsidP="005C209D">
      <w:pPr>
        <w:pStyle w:val="TAMainText"/>
        <w:numPr>
          <w:ilvl w:val="0"/>
          <w:numId w:val="30"/>
        </w:numPr>
        <w:rPr>
          <w:color w:val="020202"/>
          <w:szCs w:val="24"/>
        </w:rPr>
      </w:pPr>
      <w:r w:rsidRPr="006D631C">
        <w:rPr>
          <w:color w:val="020202"/>
          <w:szCs w:val="24"/>
        </w:rPr>
        <w:t>DR23, DR80, OG, AF, and AR1 dyes with a concentration of 0.5 mg/ml.</w:t>
      </w:r>
    </w:p>
    <w:p w14:paraId="0516F3E4" w14:textId="2CA1DA80" w:rsidR="00BA6F38" w:rsidRPr="006D631C" w:rsidRDefault="005C209D" w:rsidP="005C209D">
      <w:pPr>
        <w:pStyle w:val="TAMainText"/>
        <w:numPr>
          <w:ilvl w:val="0"/>
          <w:numId w:val="30"/>
        </w:numPr>
        <w:rPr>
          <w:color w:val="020202"/>
          <w:szCs w:val="24"/>
        </w:rPr>
      </w:pPr>
      <w:r w:rsidRPr="006D631C">
        <w:rPr>
          <w:rFonts w:asciiTheme="majorBidi" w:hAnsiTheme="majorBidi" w:cstheme="majorBidi"/>
          <w:szCs w:val="24"/>
        </w:rPr>
        <w:t>K</w:t>
      </w:r>
      <w:r w:rsidRPr="006D631C">
        <w:rPr>
          <w:rFonts w:asciiTheme="majorBidi" w:hAnsiTheme="majorBidi" w:cstheme="majorBidi"/>
          <w:szCs w:val="24"/>
          <w:vertAlign w:val="subscript"/>
        </w:rPr>
        <w:t>3</w:t>
      </w:r>
      <w:r w:rsidRPr="006D631C">
        <w:rPr>
          <w:rFonts w:asciiTheme="majorBidi" w:hAnsiTheme="majorBidi" w:cstheme="majorBidi"/>
          <w:szCs w:val="24"/>
        </w:rPr>
        <w:t>PO</w:t>
      </w:r>
      <w:r w:rsidRPr="006D631C">
        <w:rPr>
          <w:rFonts w:asciiTheme="majorBidi" w:hAnsiTheme="majorBidi" w:cstheme="majorBidi"/>
          <w:szCs w:val="24"/>
          <w:vertAlign w:val="subscript"/>
        </w:rPr>
        <w:t>4</w:t>
      </w:r>
      <w:r w:rsidRPr="006D631C">
        <w:rPr>
          <w:rFonts w:asciiTheme="majorBidi" w:hAnsiTheme="majorBidi" w:cstheme="majorBidi"/>
          <w:szCs w:val="24"/>
        </w:rPr>
        <w:t>, Na</w:t>
      </w:r>
      <w:r w:rsidRPr="006D631C">
        <w:rPr>
          <w:rFonts w:asciiTheme="majorBidi" w:hAnsiTheme="majorBidi" w:cstheme="majorBidi"/>
          <w:szCs w:val="24"/>
          <w:vertAlign w:val="subscript"/>
        </w:rPr>
        <w:t>3</w:t>
      </w:r>
      <w:r w:rsidRPr="006D631C">
        <w:rPr>
          <w:rFonts w:asciiTheme="majorBidi" w:hAnsiTheme="majorBidi" w:cstheme="majorBidi"/>
          <w:szCs w:val="24"/>
        </w:rPr>
        <w:t>PO</w:t>
      </w:r>
      <w:r w:rsidRPr="006D631C">
        <w:rPr>
          <w:rFonts w:asciiTheme="majorBidi" w:hAnsiTheme="majorBidi" w:cstheme="majorBidi"/>
          <w:szCs w:val="24"/>
          <w:vertAlign w:val="subscript"/>
        </w:rPr>
        <w:t>4</w:t>
      </w:r>
      <w:r w:rsidRPr="006D631C">
        <w:rPr>
          <w:rFonts w:asciiTheme="majorBidi" w:hAnsiTheme="majorBidi" w:cstheme="majorBidi"/>
          <w:szCs w:val="24"/>
        </w:rPr>
        <w:t>, Na</w:t>
      </w:r>
      <w:r w:rsidRPr="006D631C">
        <w:rPr>
          <w:rFonts w:asciiTheme="majorBidi" w:hAnsiTheme="majorBidi" w:cstheme="majorBidi"/>
          <w:szCs w:val="24"/>
          <w:vertAlign w:val="subscript"/>
        </w:rPr>
        <w:t>2</w:t>
      </w:r>
      <w:r w:rsidRPr="006D631C">
        <w:rPr>
          <w:rFonts w:asciiTheme="majorBidi" w:hAnsiTheme="majorBidi" w:cstheme="majorBidi"/>
          <w:szCs w:val="24"/>
        </w:rPr>
        <w:t>HPO</w:t>
      </w:r>
      <w:r w:rsidRPr="006D631C">
        <w:rPr>
          <w:rFonts w:asciiTheme="majorBidi" w:hAnsiTheme="majorBidi" w:cstheme="majorBidi"/>
          <w:szCs w:val="24"/>
          <w:vertAlign w:val="subscript"/>
        </w:rPr>
        <w:t>4</w:t>
      </w:r>
      <w:r w:rsidRPr="006D631C">
        <w:rPr>
          <w:rFonts w:asciiTheme="majorBidi" w:hAnsiTheme="majorBidi" w:cstheme="majorBidi"/>
          <w:szCs w:val="24"/>
        </w:rPr>
        <w:t>, Na</w:t>
      </w:r>
      <w:r w:rsidRPr="006D631C">
        <w:rPr>
          <w:rFonts w:asciiTheme="majorBidi" w:hAnsiTheme="majorBidi" w:cstheme="majorBidi"/>
          <w:szCs w:val="24"/>
          <w:vertAlign w:val="subscript"/>
        </w:rPr>
        <w:t>2</w:t>
      </w:r>
      <w:r w:rsidRPr="006D631C">
        <w:rPr>
          <w:rFonts w:asciiTheme="majorBidi" w:hAnsiTheme="majorBidi" w:cstheme="majorBidi"/>
          <w:szCs w:val="24"/>
        </w:rPr>
        <w:t>SO</w:t>
      </w:r>
      <w:r w:rsidRPr="006D631C">
        <w:rPr>
          <w:rFonts w:asciiTheme="majorBidi" w:hAnsiTheme="majorBidi" w:cstheme="majorBidi"/>
          <w:szCs w:val="24"/>
          <w:vertAlign w:val="subscript"/>
        </w:rPr>
        <w:t>4</w:t>
      </w:r>
      <w:r w:rsidRPr="006D631C">
        <w:rPr>
          <w:rFonts w:asciiTheme="majorBidi" w:hAnsiTheme="majorBidi" w:cstheme="majorBidi"/>
          <w:szCs w:val="24"/>
        </w:rPr>
        <w:t>, K</w:t>
      </w:r>
      <w:r w:rsidRPr="006D631C">
        <w:rPr>
          <w:rFonts w:asciiTheme="majorBidi" w:hAnsiTheme="majorBidi" w:cstheme="majorBidi"/>
          <w:szCs w:val="24"/>
          <w:vertAlign w:val="subscript"/>
        </w:rPr>
        <w:t>2</w:t>
      </w:r>
      <w:r w:rsidRPr="006D631C">
        <w:rPr>
          <w:rFonts w:asciiTheme="majorBidi" w:hAnsiTheme="majorBidi" w:cstheme="majorBidi"/>
          <w:szCs w:val="24"/>
        </w:rPr>
        <w:t>SO</w:t>
      </w:r>
      <w:r w:rsidRPr="006D631C">
        <w:rPr>
          <w:rFonts w:asciiTheme="majorBidi" w:hAnsiTheme="majorBidi" w:cstheme="majorBidi"/>
          <w:szCs w:val="24"/>
          <w:vertAlign w:val="subscript"/>
        </w:rPr>
        <w:t>4</w:t>
      </w:r>
      <w:r w:rsidRPr="006D631C">
        <w:rPr>
          <w:rFonts w:asciiTheme="majorBidi" w:hAnsiTheme="majorBidi" w:cstheme="majorBidi"/>
          <w:szCs w:val="24"/>
        </w:rPr>
        <w:t>, MgSO</w:t>
      </w:r>
      <w:r w:rsidRPr="006D631C">
        <w:rPr>
          <w:rFonts w:asciiTheme="majorBidi" w:hAnsiTheme="majorBidi" w:cstheme="majorBidi"/>
          <w:szCs w:val="24"/>
          <w:vertAlign w:val="subscript"/>
        </w:rPr>
        <w:t>4</w:t>
      </w:r>
      <w:r w:rsidRPr="006D631C">
        <w:rPr>
          <w:rFonts w:asciiTheme="majorBidi" w:hAnsiTheme="majorBidi" w:cstheme="majorBidi"/>
          <w:szCs w:val="24"/>
        </w:rPr>
        <w:t>, Na</w:t>
      </w:r>
      <w:r w:rsidRPr="006D631C">
        <w:rPr>
          <w:rFonts w:asciiTheme="majorBidi" w:hAnsiTheme="majorBidi" w:cstheme="majorBidi"/>
          <w:szCs w:val="24"/>
          <w:vertAlign w:val="subscript"/>
        </w:rPr>
        <w:t>2</w:t>
      </w:r>
      <w:r w:rsidRPr="006D631C">
        <w:rPr>
          <w:rFonts w:asciiTheme="majorBidi" w:hAnsiTheme="majorBidi" w:cstheme="majorBidi"/>
          <w:szCs w:val="24"/>
        </w:rPr>
        <w:t>CO</w:t>
      </w:r>
      <w:r w:rsidRPr="006D631C">
        <w:rPr>
          <w:rFonts w:asciiTheme="majorBidi" w:hAnsiTheme="majorBidi" w:cstheme="majorBidi"/>
          <w:szCs w:val="24"/>
          <w:vertAlign w:val="subscript"/>
        </w:rPr>
        <w:t>3</w:t>
      </w:r>
      <w:r w:rsidRPr="006D631C">
        <w:rPr>
          <w:rFonts w:asciiTheme="majorBidi" w:hAnsiTheme="majorBidi" w:cstheme="majorBidi"/>
          <w:szCs w:val="24"/>
        </w:rPr>
        <w:t>, NaH</w:t>
      </w:r>
      <w:r w:rsidRPr="006D631C">
        <w:rPr>
          <w:rFonts w:asciiTheme="majorBidi" w:hAnsiTheme="majorBidi" w:cstheme="majorBidi"/>
          <w:szCs w:val="24"/>
          <w:vertAlign w:val="subscript"/>
        </w:rPr>
        <w:t>2</w:t>
      </w:r>
      <w:r w:rsidRPr="006D631C">
        <w:rPr>
          <w:rFonts w:asciiTheme="majorBidi" w:hAnsiTheme="majorBidi" w:cstheme="majorBidi"/>
          <w:szCs w:val="24"/>
        </w:rPr>
        <w:t>PO</w:t>
      </w:r>
      <w:r w:rsidRPr="006D631C">
        <w:rPr>
          <w:rFonts w:asciiTheme="majorBidi" w:hAnsiTheme="majorBidi" w:cstheme="majorBidi"/>
          <w:szCs w:val="24"/>
          <w:vertAlign w:val="subscript"/>
        </w:rPr>
        <w:t>4</w:t>
      </w:r>
      <w:r w:rsidRPr="006D631C">
        <w:rPr>
          <w:rFonts w:asciiTheme="majorBidi" w:hAnsiTheme="majorBidi" w:cstheme="majorBidi"/>
          <w:szCs w:val="24"/>
        </w:rPr>
        <w:t>, KNO</w:t>
      </w:r>
      <w:r w:rsidRPr="006D631C">
        <w:rPr>
          <w:rFonts w:asciiTheme="majorBidi" w:hAnsiTheme="majorBidi" w:cstheme="majorBidi"/>
          <w:szCs w:val="24"/>
          <w:vertAlign w:val="subscript"/>
        </w:rPr>
        <w:t>3</w:t>
      </w:r>
      <w:r w:rsidRPr="006D631C">
        <w:rPr>
          <w:rFonts w:asciiTheme="majorBidi" w:hAnsiTheme="majorBidi" w:cstheme="majorBidi"/>
          <w:szCs w:val="24"/>
        </w:rPr>
        <w:t>, MgCl</w:t>
      </w:r>
      <w:r w:rsidRPr="006D631C">
        <w:rPr>
          <w:rFonts w:asciiTheme="majorBidi" w:hAnsiTheme="majorBidi" w:cstheme="majorBidi"/>
          <w:szCs w:val="24"/>
          <w:vertAlign w:val="subscript"/>
        </w:rPr>
        <w:t>2</w:t>
      </w:r>
      <w:r w:rsidRPr="006D631C">
        <w:rPr>
          <w:rFonts w:asciiTheme="majorBidi" w:hAnsiTheme="majorBidi" w:cstheme="majorBidi"/>
          <w:szCs w:val="24"/>
        </w:rPr>
        <w:t>, CaCl</w:t>
      </w:r>
      <w:r w:rsidRPr="006D631C">
        <w:rPr>
          <w:rFonts w:asciiTheme="majorBidi" w:hAnsiTheme="majorBidi" w:cstheme="majorBidi"/>
          <w:szCs w:val="24"/>
          <w:vertAlign w:val="subscript"/>
        </w:rPr>
        <w:t>2</w:t>
      </w:r>
      <w:r w:rsidRPr="006D631C">
        <w:rPr>
          <w:rFonts w:asciiTheme="majorBidi" w:hAnsiTheme="majorBidi" w:cstheme="majorBidi"/>
          <w:szCs w:val="24"/>
        </w:rPr>
        <w:t xml:space="preserve">, </w:t>
      </w:r>
      <w:proofErr w:type="spellStart"/>
      <w:r w:rsidRPr="006D631C">
        <w:rPr>
          <w:rFonts w:asciiTheme="majorBidi" w:hAnsiTheme="majorBidi" w:cstheme="majorBidi"/>
          <w:szCs w:val="24"/>
        </w:rPr>
        <w:t>NaCl</w:t>
      </w:r>
      <w:proofErr w:type="spellEnd"/>
      <w:r w:rsidRPr="006D631C">
        <w:rPr>
          <w:rFonts w:asciiTheme="majorBidi" w:hAnsiTheme="majorBidi" w:cstheme="majorBidi"/>
          <w:szCs w:val="24"/>
        </w:rPr>
        <w:t xml:space="preserve">, </w:t>
      </w:r>
      <w:proofErr w:type="spellStart"/>
      <w:r w:rsidRPr="006D631C">
        <w:rPr>
          <w:rFonts w:asciiTheme="majorBidi" w:hAnsiTheme="majorBidi" w:cstheme="majorBidi"/>
          <w:szCs w:val="24"/>
        </w:rPr>
        <w:t>KCl</w:t>
      </w:r>
      <w:proofErr w:type="spellEnd"/>
      <w:r w:rsidRPr="006D631C">
        <w:rPr>
          <w:rFonts w:asciiTheme="majorBidi" w:hAnsiTheme="majorBidi" w:cstheme="majorBidi"/>
          <w:szCs w:val="24"/>
        </w:rPr>
        <w:t xml:space="preserve">, and </w:t>
      </w:r>
      <w:proofErr w:type="spellStart"/>
      <w:r w:rsidRPr="006D631C">
        <w:rPr>
          <w:rFonts w:asciiTheme="majorBidi" w:hAnsiTheme="majorBidi" w:cstheme="majorBidi"/>
          <w:szCs w:val="24"/>
        </w:rPr>
        <w:t>LiCl</w:t>
      </w:r>
      <w:proofErr w:type="spellEnd"/>
      <w:r w:rsidRPr="006D631C">
        <w:rPr>
          <w:color w:val="020202"/>
          <w:szCs w:val="24"/>
        </w:rPr>
        <w:t xml:space="preserve"> salts having different ionic strengths (1, 5, 10, 50 and 100 </w:t>
      </w:r>
      <w:proofErr w:type="spellStart"/>
      <w:r w:rsidRPr="006D631C">
        <w:rPr>
          <w:color w:val="020202"/>
          <w:szCs w:val="24"/>
        </w:rPr>
        <w:t>mM</w:t>
      </w:r>
      <w:proofErr w:type="spellEnd"/>
      <w:r w:rsidRPr="006D631C">
        <w:rPr>
          <w:color w:val="020202"/>
          <w:szCs w:val="24"/>
        </w:rPr>
        <w:t>).</w:t>
      </w:r>
    </w:p>
    <w:p w14:paraId="5C971305" w14:textId="48C72E17" w:rsidR="00BA6F38" w:rsidRPr="006D631C" w:rsidRDefault="009A6DCF" w:rsidP="003A271A">
      <w:pPr>
        <w:ind w:firstLine="360"/>
        <w:rPr>
          <w:color w:val="020202"/>
        </w:rPr>
      </w:pPr>
      <w:r w:rsidRPr="006D631C">
        <w:rPr>
          <w:color w:val="020202"/>
        </w:rPr>
        <w:t xml:space="preserve">To determine the contents of proteins and dyes in </w:t>
      </w:r>
      <w:proofErr w:type="gramStart"/>
      <w:r w:rsidRPr="006D631C">
        <w:rPr>
          <w:color w:val="020202"/>
        </w:rPr>
        <w:t>the permeate</w:t>
      </w:r>
      <w:proofErr w:type="gramEnd"/>
      <w:r w:rsidRPr="006D631C">
        <w:rPr>
          <w:color w:val="020202"/>
        </w:rPr>
        <w:t xml:space="preserve">, UV-Vis spectroscopy was utilized. The conductivity measurement via </w:t>
      </w:r>
      <w:proofErr w:type="spellStart"/>
      <w:r w:rsidRPr="006D631C">
        <w:rPr>
          <w:color w:val="020202"/>
        </w:rPr>
        <w:t>Fisherbrand</w:t>
      </w:r>
      <w:proofErr w:type="spellEnd"/>
      <w:r w:rsidRPr="006D631C">
        <w:rPr>
          <w:color w:val="020202"/>
        </w:rPr>
        <w:t xml:space="preserve">™ </w:t>
      </w:r>
      <w:proofErr w:type="spellStart"/>
      <w:r w:rsidRPr="006D631C">
        <w:rPr>
          <w:color w:val="020202"/>
        </w:rPr>
        <w:t>accumet</w:t>
      </w:r>
      <w:proofErr w:type="spellEnd"/>
      <w:r w:rsidRPr="006D631C">
        <w:rPr>
          <w:color w:val="020202"/>
        </w:rPr>
        <w:t xml:space="preserve">™ XL200 pH/conductivity meter was used to measure the salt concentration in </w:t>
      </w:r>
      <w:proofErr w:type="gramStart"/>
      <w:r w:rsidRPr="006D631C">
        <w:rPr>
          <w:color w:val="020202"/>
        </w:rPr>
        <w:t>the permeate</w:t>
      </w:r>
      <w:proofErr w:type="gramEnd"/>
      <w:r w:rsidRPr="006D631C">
        <w:rPr>
          <w:color w:val="020202"/>
        </w:rPr>
        <w:t>.</w:t>
      </w:r>
      <w:r w:rsidR="00BA6F38" w:rsidRPr="006D631C">
        <w:rPr>
          <w:color w:val="020202"/>
        </w:rPr>
        <w:t xml:space="preserve"> </w:t>
      </w:r>
      <w:r w:rsidR="003A271A" w:rsidRPr="006D631C">
        <w:rPr>
          <w:color w:val="020202"/>
        </w:rPr>
        <w:t>Eq. (3-5)</w:t>
      </w:r>
      <w:r w:rsidR="00BA6F38" w:rsidRPr="006D631C">
        <w:rPr>
          <w:color w:val="020202"/>
        </w:rPr>
        <w:t xml:space="preserve"> was applied to calculate the rejection rate of various species.      </w:t>
      </w:r>
    </w:p>
    <w:p w14:paraId="146BF536" w14:textId="463F2614" w:rsidR="00895B91" w:rsidRPr="006D631C" w:rsidRDefault="00C7008F" w:rsidP="00BA6F38">
      <w:pPr>
        <w:ind w:firstLine="360"/>
        <w:rPr>
          <w:color w:val="020202"/>
        </w:rPr>
      </w:pPr>
      <w:r w:rsidRPr="006D631C">
        <w:rPr>
          <w:color w:val="020202"/>
        </w:rPr>
        <w:lastRenderedPageBreak/>
        <w:t>Thermoresponsive properties of the membrane were evaluated at two different temperatures, 25 and 45 °C. To do so, the experiment was first performed at 25 °C and then at 45 °C with the same membrane. The reversibility of the thermoresponsiveness was evaluated by cooling the same membrane back to 25 °C and repeating the rejection experiment. To determine the selectivity of the membrane for ionic species as a function of pH, the rejection rate of Na</w:t>
      </w:r>
      <w:r w:rsidRPr="006D631C">
        <w:rPr>
          <w:color w:val="020202"/>
          <w:vertAlign w:val="subscript"/>
        </w:rPr>
        <w:t>2</w:t>
      </w:r>
      <w:r w:rsidRPr="006D631C">
        <w:rPr>
          <w:color w:val="020202"/>
        </w:rPr>
        <w:t>SO</w:t>
      </w:r>
      <w:r w:rsidRPr="006D631C">
        <w:rPr>
          <w:color w:val="020202"/>
          <w:vertAlign w:val="subscript"/>
        </w:rPr>
        <w:t>4</w:t>
      </w:r>
      <w:r w:rsidRPr="006D631C">
        <w:rPr>
          <w:color w:val="020202"/>
        </w:rPr>
        <w:t>, K</w:t>
      </w:r>
      <w:r w:rsidRPr="006D631C">
        <w:rPr>
          <w:color w:val="020202"/>
          <w:vertAlign w:val="subscript"/>
        </w:rPr>
        <w:t>2</w:t>
      </w:r>
      <w:r w:rsidRPr="006D631C">
        <w:rPr>
          <w:color w:val="020202"/>
        </w:rPr>
        <w:t>SO</w:t>
      </w:r>
      <w:r w:rsidRPr="006D631C">
        <w:rPr>
          <w:color w:val="020202"/>
          <w:vertAlign w:val="subscript"/>
        </w:rPr>
        <w:t>4</w:t>
      </w:r>
      <w:r w:rsidRPr="006D631C">
        <w:rPr>
          <w:color w:val="020202"/>
        </w:rPr>
        <w:t>, MgSO</w:t>
      </w:r>
      <w:r w:rsidRPr="006D631C">
        <w:rPr>
          <w:color w:val="020202"/>
          <w:vertAlign w:val="subscript"/>
        </w:rPr>
        <w:t>4</w:t>
      </w:r>
      <w:r w:rsidRPr="006D631C">
        <w:rPr>
          <w:color w:val="020202"/>
        </w:rPr>
        <w:t xml:space="preserve">, OG, AF, and AR1 was measured at different pH values ranging from 3 to 9. For comparison purpose, we evaluated the pH-dependent rejection of OG using a commercially available NF270 membrane as well. The pH of the aqueous solutions was adjusted by </w:t>
      </w:r>
      <w:proofErr w:type="spellStart"/>
      <w:r w:rsidRPr="006D631C">
        <w:rPr>
          <w:color w:val="020202"/>
        </w:rPr>
        <w:t>HCl</w:t>
      </w:r>
      <w:proofErr w:type="spellEnd"/>
      <w:r w:rsidRPr="006D631C">
        <w:rPr>
          <w:color w:val="020202"/>
        </w:rPr>
        <w:t xml:space="preserve"> and </w:t>
      </w:r>
      <w:proofErr w:type="spellStart"/>
      <w:r w:rsidRPr="006D631C">
        <w:rPr>
          <w:color w:val="020202"/>
        </w:rPr>
        <w:t>NaOH</w:t>
      </w:r>
      <w:proofErr w:type="spellEnd"/>
      <w:r w:rsidRPr="006D631C">
        <w:rPr>
          <w:color w:val="020202"/>
        </w:rPr>
        <w:t xml:space="preserve"> having 0.1 M concentration.</w:t>
      </w:r>
    </w:p>
    <w:p w14:paraId="7EBD259E" w14:textId="0BF75EB9" w:rsidR="00323893" w:rsidRPr="006D631C" w:rsidRDefault="00D8341E" w:rsidP="00323893">
      <w:pPr>
        <w:ind w:firstLine="360"/>
        <w:rPr>
          <w:color w:val="020202"/>
        </w:rPr>
      </w:pPr>
      <w:r w:rsidRPr="006D631C">
        <w:rPr>
          <w:color w:val="020202"/>
        </w:rPr>
        <w:t>All of the membrane performance experiments</w:t>
      </w:r>
      <w:r w:rsidR="003714A3" w:rsidRPr="006D631C">
        <w:rPr>
          <w:color w:val="020202"/>
        </w:rPr>
        <w:t xml:space="preserve"> were conducted with three different membranes, and the reported results represent the average value and calculated standard deviation.</w:t>
      </w:r>
    </w:p>
    <w:p w14:paraId="0CAAD623" w14:textId="481565C0" w:rsidR="00895B91" w:rsidRPr="006D631C" w:rsidRDefault="0062507A" w:rsidP="00895B91">
      <w:pPr>
        <w:pStyle w:val="Heading4"/>
      </w:pPr>
      <w:bookmarkStart w:id="213" w:name="_Toc148175879"/>
      <w:r w:rsidRPr="006D631C">
        <w:t>5</w:t>
      </w:r>
      <w:r w:rsidR="00895B91" w:rsidRPr="006D631C">
        <w:t>.2.6.3 Contact angle and fouling resistance</w:t>
      </w:r>
      <w:bookmarkEnd w:id="213"/>
    </w:p>
    <w:p w14:paraId="6733CBCD" w14:textId="2F259934" w:rsidR="001057EF" w:rsidRPr="006D631C" w:rsidRDefault="00955E84" w:rsidP="00895B91">
      <w:pPr>
        <w:ind w:firstLine="360"/>
        <w:rPr>
          <w:color w:val="020202"/>
        </w:rPr>
      </w:pPr>
      <w:r w:rsidRPr="006D631C">
        <w:rPr>
          <w:color w:val="020202"/>
        </w:rPr>
        <w:t xml:space="preserve">The contact angle of the membranes was measured using an optical </w:t>
      </w:r>
      <w:proofErr w:type="spellStart"/>
      <w:r w:rsidRPr="006D631C">
        <w:rPr>
          <w:color w:val="020202"/>
        </w:rPr>
        <w:t>tensiometer</w:t>
      </w:r>
      <w:proofErr w:type="spellEnd"/>
      <w:r w:rsidRPr="006D631C">
        <w:rPr>
          <w:color w:val="020202"/>
        </w:rPr>
        <w:t xml:space="preserve"> from </w:t>
      </w:r>
      <w:proofErr w:type="spellStart"/>
      <w:r w:rsidRPr="006D631C">
        <w:rPr>
          <w:color w:val="020202"/>
        </w:rPr>
        <w:t>Biolin</w:t>
      </w:r>
      <w:proofErr w:type="spellEnd"/>
      <w:r w:rsidRPr="006D631C">
        <w:rPr>
          <w:color w:val="020202"/>
        </w:rPr>
        <w:t xml:space="preserve"> Scientific. The fouling resistance of the membranes was evaluated by filtering aqueous dispersions of PEG (10 </w:t>
      </w:r>
      <w:proofErr w:type="spellStart"/>
      <w:r w:rsidRPr="006D631C">
        <w:rPr>
          <w:color w:val="020202"/>
        </w:rPr>
        <w:t>kDa</w:t>
      </w:r>
      <w:proofErr w:type="spellEnd"/>
      <w:r w:rsidRPr="006D631C">
        <w:rPr>
          <w:color w:val="020202"/>
        </w:rPr>
        <w:t>), BSA, and DR80 at a concentration of 1 mg/</w:t>
      </w:r>
      <w:proofErr w:type="spellStart"/>
      <w:r w:rsidRPr="006D631C">
        <w:rPr>
          <w:color w:val="020202"/>
        </w:rPr>
        <w:t>mL.</w:t>
      </w:r>
      <w:proofErr w:type="spellEnd"/>
      <w:r w:rsidRPr="006D631C">
        <w:rPr>
          <w:color w:val="020202"/>
        </w:rPr>
        <w:t xml:space="preserve"> The filtration cell was initially filled with approximately 250 mL of solution, and 5-8 mL of permeate was collected every 12 h. The test was conducted over 60 h, and the membrane flux and rejection were measured at 12-h time intervals.</w:t>
      </w:r>
    </w:p>
    <w:p w14:paraId="6121E131" w14:textId="61AFDDB3" w:rsidR="00AE60FD" w:rsidRPr="006D631C" w:rsidRDefault="00AE60FD" w:rsidP="00AE60FD">
      <w:pPr>
        <w:pStyle w:val="Heading2"/>
      </w:pPr>
      <w:bookmarkStart w:id="214" w:name="_Toc148175880"/>
      <w:r w:rsidRPr="006D631C">
        <w:t>5.3 Results and discussions</w:t>
      </w:r>
      <w:bookmarkEnd w:id="214"/>
    </w:p>
    <w:p w14:paraId="6BC900D8" w14:textId="0ABBBF2A" w:rsidR="00AE60FD" w:rsidRPr="006D631C" w:rsidRDefault="00AE60FD" w:rsidP="00AE60FD">
      <w:pPr>
        <w:pStyle w:val="Heading3"/>
      </w:pPr>
      <w:bookmarkStart w:id="215" w:name="_Toc148175881"/>
      <w:r w:rsidRPr="006D631C">
        <w:t>5.3.1 Characterization of LLC and polyLLC</w:t>
      </w:r>
      <w:bookmarkEnd w:id="215"/>
    </w:p>
    <w:p w14:paraId="491E6D2F" w14:textId="69C5A77A" w:rsidR="001057EF" w:rsidRPr="006D631C" w:rsidRDefault="00852B85" w:rsidP="002E14E4">
      <w:pPr>
        <w:ind w:firstLine="360"/>
      </w:pPr>
      <w:r w:rsidRPr="006D631C">
        <w:rPr>
          <w:rFonts w:asciiTheme="majorBidi" w:hAnsiTheme="majorBidi" w:cstheme="majorBidi"/>
        </w:rPr>
        <w:t>The structural analysis of LLC and polyLLC was conducted through CPLM and SAXS techniques. After preparation and screening of several samples, LLC with P84DA</w:t>
      </w:r>
      <w:proofErr w:type="gramStart"/>
      <w:r w:rsidRPr="006D631C">
        <w:rPr>
          <w:rFonts w:asciiTheme="majorBidi" w:hAnsiTheme="majorBidi" w:cstheme="majorBidi"/>
        </w:rPr>
        <w:t>/[</w:t>
      </w:r>
      <w:proofErr w:type="gramEnd"/>
      <w:r w:rsidRPr="006D631C">
        <w:rPr>
          <w:rFonts w:asciiTheme="majorBidi" w:hAnsiTheme="majorBidi" w:cstheme="majorBidi"/>
        </w:rPr>
        <w:t>BMIM][BF</w:t>
      </w:r>
      <w:r w:rsidRPr="006D631C">
        <w:rPr>
          <w:rFonts w:asciiTheme="majorBidi" w:hAnsiTheme="majorBidi" w:cstheme="majorBidi"/>
          <w:vertAlign w:val="subscript"/>
        </w:rPr>
        <w:t>4</w:t>
      </w:r>
      <w:r w:rsidRPr="006D631C">
        <w:rPr>
          <w:rFonts w:asciiTheme="majorBidi" w:hAnsiTheme="majorBidi" w:cstheme="majorBidi"/>
        </w:rPr>
        <w:t>]/</w:t>
      </w:r>
      <w:proofErr w:type="spellStart"/>
      <w:r w:rsidRPr="006D631C">
        <w:rPr>
          <w:rFonts w:asciiTheme="majorBidi" w:hAnsiTheme="majorBidi" w:cstheme="majorBidi"/>
        </w:rPr>
        <w:t>AAc</w:t>
      </w:r>
      <w:proofErr w:type="spellEnd"/>
      <w:r w:rsidRPr="006D631C">
        <w:rPr>
          <w:rFonts w:asciiTheme="majorBidi" w:hAnsiTheme="majorBidi" w:cstheme="majorBidi"/>
        </w:rPr>
        <w:t>/HDDA</w:t>
      </w:r>
      <w:r w:rsidRPr="006D631C" w:rsidDel="004E5E15">
        <w:rPr>
          <w:rFonts w:asciiTheme="majorBidi" w:hAnsiTheme="majorBidi" w:cstheme="majorBidi"/>
        </w:rPr>
        <w:t xml:space="preserve"> </w:t>
      </w:r>
      <w:r w:rsidRPr="006D631C">
        <w:rPr>
          <w:rFonts w:asciiTheme="majorBidi" w:hAnsiTheme="majorBidi" w:cstheme="majorBidi"/>
        </w:rPr>
        <w:t xml:space="preserve">48.8/48.8/0.5/1.9 w/w/w/w composition was selected since it </w:t>
      </w:r>
      <w:r w:rsidRPr="006D631C">
        <w:rPr>
          <w:rFonts w:asciiTheme="majorBidi" w:hAnsiTheme="majorBidi" w:cstheme="majorBidi"/>
        </w:rPr>
        <w:lastRenderedPageBreak/>
        <w:t>has the desired structure before and after polymerization as well as after exchange of IL with water. The CPLM results, depicted in Fig</w:t>
      </w:r>
      <w:r w:rsidR="005429EC" w:rsidRPr="006D631C">
        <w:rPr>
          <w:rFonts w:asciiTheme="majorBidi" w:hAnsiTheme="majorBidi" w:cstheme="majorBidi"/>
        </w:rPr>
        <w:t>ure 5-2</w:t>
      </w:r>
      <w:r w:rsidRPr="006D631C">
        <w:rPr>
          <w:rFonts w:asciiTheme="majorBidi" w:hAnsiTheme="majorBidi" w:cstheme="majorBidi"/>
        </w:rPr>
        <w:t>a-c, indicate that the LLC, polyLLC, and water-swollen polyLLC exhibit the birefringent characteristic of hexagonal mesophases.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{"citationItems":[{"id":"ITEM-1","itemData":{"DOI":"10.1021/ma030037e","ISSN":"00249297","abstract":"Nanostructured polymers are of significant interest due to their potential use in applications ranging from ultrafiltration membranes to catalysis supports. To date, much research has focused on using small molecular weight surfactants that form lyotropic liquid crystals (LLCs) as polymerization templates or polymerizing reactive LLCs to form such nanostructure in polymers. LLC phases formed from small molecular weight surfactants, however, are in and of themselves neither thermally nor mechanically stable, often rendering it difficult to preserve the LLC structure throughout polymerization. A relatively new class of surfactant molecules, Pluronic block copolymers, may afford increased flexibility in nanostructure development when used as polymerization templates. This work has focused on the photopolymerization of water and oil-soluble monomers in Pluronic lyotropic liquid crystals. In particular, the effect that LLC order and monomer segregation behavior has on monomer polymerization rate has been examined. The order of the LLC mesophase has a significant impact on polymerization rate with faster polymerization occurring in the normal phases for the oil-soluble monomer hexanediol diacrylate (HDDA) and in the inverse phases for the water-soluble monomer poly(ethylene glycol) diacrylate (PEG-400-DA). In addition, the effect of monomer addition and polymerization on LLC order has been characterized, with retention of LLC order before and after photopolymerization. Mesophase thermal stability, or the persistence of an LC phase at elevated temperatures, has also been examined for the polymer/LLC hydrogels to determine how polymer nanostructure differences affect fundamental LLC properties. Interestingly, when PEG-400-DA is polymerized in the continuous domains of the hexagonal mesophase, the clearing point is increased more than 40°C. However, when HDDA is polymerized in the discontinuous domains of hexagonal phase, the mesophase thermal stability increases only 25°C. Conversely, when HDDA is polymerized in the continuous region of the inverse hexagonal phase, the clearing point increases more than 60°C. The difference in polymer nanostructure that evolves during the polymerizations directly impacts the mesophase thermal stability. The LLC polymerization also affects the physical properties of polymer/Pluronic hydrogels with significant differences in compressive modulus observed based on the LLC phase in which the nanostructured polymer is generated.","author":[{"dropping-particle":"","family":"McCormick","given":"Demetrius T.","non-dropping-particle":"","parse-names":false,"suffix":""},{"dropping-particle":"","family":"Stovall","given":"Kalena D.","non-dropping-particle":"","parse-names":false,"suffix":""},{"dropping-particle":"","family":"Guymon","given":"C. Allan","non-dropping-particle":"","parse-names":false,"suffix":""}],"container-title":"Macromolecules","id":"ITEM-1","issue":"17","issued":{"date-parts":[["2003","8"]]},"page":"6549-6558","title":"Photopolymerization in pluronic lyotropic liquid crystals: Induced mesophase thermal stability","type":"article-journal","volume":"36"},"uris":["http://www.mendeley.com/documents/?uuid=ae7754a0-e1c1-4349-91b8-e716989d935f"]}],"mendeley":{"formattedCitation":"&lt;sup&gt;45&lt;/sup&gt;","plainTextFormattedCitation":"45","previouslyFormattedCitation":"&lt;sup&gt;45&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45</w:t>
      </w:r>
      <w:r w:rsidRPr="006D631C">
        <w:rPr>
          <w:rFonts w:asciiTheme="majorBidi" w:hAnsiTheme="majorBidi" w:cstheme="majorBidi"/>
        </w:rPr>
        <w:fldChar w:fldCharType="end"/>
      </w:r>
      <w:r w:rsidRPr="006D631C">
        <w:rPr>
          <w:rFonts w:asciiTheme="majorBidi" w:hAnsiTheme="majorBidi" w:cstheme="majorBidi"/>
        </w:rPr>
        <w:t xml:space="preserve"> This indicates that the </w:t>
      </w:r>
      <w:r w:rsidR="00515FF3" w:rsidRPr="006D631C">
        <w:rPr>
          <w:rFonts w:asciiTheme="majorBidi" w:hAnsiTheme="majorBidi" w:cstheme="majorBidi"/>
        </w:rPr>
        <w:t>original</w:t>
      </w:r>
      <w:r w:rsidRPr="006D631C">
        <w:rPr>
          <w:rFonts w:asciiTheme="majorBidi" w:hAnsiTheme="majorBidi" w:cstheme="majorBidi"/>
        </w:rPr>
        <w:t xml:space="preserve"> LLC structure remains intact even after polymerization and solvent exchange. </w:t>
      </w:r>
      <w:r w:rsidR="0014307A" w:rsidRPr="006D631C">
        <w:rPr>
          <w:rFonts w:asciiTheme="majorBidi" w:hAnsiTheme="majorBidi" w:cstheme="majorBidi"/>
        </w:rPr>
        <w:t>Figure</w:t>
      </w:r>
      <w:r w:rsidRPr="006D631C">
        <w:rPr>
          <w:rFonts w:asciiTheme="majorBidi" w:hAnsiTheme="majorBidi" w:cstheme="majorBidi"/>
        </w:rPr>
        <w:t xml:space="preserve"> </w:t>
      </w:r>
      <w:r w:rsidR="0014307A" w:rsidRPr="006D631C">
        <w:rPr>
          <w:rFonts w:asciiTheme="majorBidi" w:hAnsiTheme="majorBidi" w:cstheme="majorBidi"/>
        </w:rPr>
        <w:t>5-</w:t>
      </w:r>
      <w:r w:rsidRPr="006D631C">
        <w:rPr>
          <w:rFonts w:asciiTheme="majorBidi" w:hAnsiTheme="majorBidi" w:cstheme="majorBidi"/>
        </w:rPr>
        <w:t>2d displays the obtained 1D SAXS profiles, which support the findings from CPLM. The presence of Bragg peaks with 1:</w:t>
      </w:r>
      <m:oMath>
        <m:rad>
          <m:radPr>
            <m:degHide m:val="1"/>
            <m:ctrlPr>
              <w:rPr>
                <w:rFonts w:ascii="Cambria Math" w:hAnsi="Cambria Math" w:cstheme="majorBidi"/>
                <w:i/>
              </w:rPr>
            </m:ctrlPr>
          </m:radPr>
          <m:deg/>
          <m:e>
            <m:r>
              <m:rPr>
                <m:nor/>
              </m:rPr>
              <w:rPr>
                <w:rFonts w:ascii="Cambria Math" w:hAnsi="Cambria Math" w:cstheme="majorBidi"/>
              </w:rPr>
              <m:t>3</m:t>
            </m:r>
          </m:e>
        </m:rad>
      </m:oMath>
      <w:r w:rsidRPr="006D631C">
        <w:rPr>
          <w:rFonts w:asciiTheme="majorBidi" w:eastAsiaTheme="minorEastAsia" w:hAnsiTheme="majorBidi" w:cstheme="majorBidi"/>
        </w:rPr>
        <w:t>:</w:t>
      </w:r>
      <m:oMath>
        <m:rad>
          <m:radPr>
            <m:degHide m:val="1"/>
            <m:ctrlPr>
              <w:rPr>
                <w:rFonts w:ascii="Cambria Math" w:hAnsi="Cambria Math" w:cstheme="majorBidi"/>
                <w:i/>
              </w:rPr>
            </m:ctrlPr>
          </m:radPr>
          <m:deg/>
          <m:e>
            <m:r>
              <m:rPr>
                <m:nor/>
              </m:rPr>
              <w:rPr>
                <w:rFonts w:ascii="Cambria Math" w:hAnsi="Cambria Math" w:cstheme="majorBidi"/>
              </w:rPr>
              <m:t>7</m:t>
            </m:r>
          </m:e>
        </m:rad>
      </m:oMath>
      <w:r w:rsidRPr="006D631C">
        <w:rPr>
          <w:rFonts w:asciiTheme="majorBidi" w:eastAsiaTheme="minorEastAsia" w:hAnsiTheme="majorBidi" w:cstheme="majorBidi"/>
        </w:rPr>
        <w:t xml:space="preserve"> </w:t>
      </w:r>
      <w:r w:rsidRPr="006D631C">
        <w:rPr>
          <w:rFonts w:asciiTheme="majorBidi" w:hAnsiTheme="majorBidi" w:cstheme="majorBidi"/>
          <w:i/>
          <w:iCs/>
        </w:rPr>
        <w:t>q/q</w:t>
      </w:r>
      <w:r w:rsidRPr="006D631C">
        <w:rPr>
          <w:rFonts w:asciiTheme="majorBidi" w:hAnsiTheme="majorBidi" w:cstheme="majorBidi"/>
          <w:i/>
          <w:iCs/>
          <w:vertAlign w:val="superscript"/>
        </w:rPr>
        <w:t>*</w:t>
      </w:r>
      <w:r w:rsidRPr="006D631C">
        <w:rPr>
          <w:rFonts w:asciiTheme="majorBidi" w:eastAsiaTheme="minorEastAsia" w:hAnsiTheme="majorBidi" w:cstheme="majorBidi"/>
        </w:rPr>
        <w:t xml:space="preserve"> </w:t>
      </w:r>
      <w:r w:rsidRPr="006D631C">
        <w:rPr>
          <w:rFonts w:asciiTheme="majorBidi" w:hAnsiTheme="majorBidi" w:cstheme="majorBidi"/>
        </w:rPr>
        <w:t xml:space="preserve">ratios for the LLC is observed in the data, where </w:t>
      </w:r>
      <w:r w:rsidRPr="006D631C">
        <w:rPr>
          <w:rFonts w:asciiTheme="majorBidi" w:hAnsiTheme="majorBidi" w:cstheme="majorBidi"/>
          <w:i/>
          <w:iCs/>
        </w:rPr>
        <w:t>q</w:t>
      </w:r>
      <w:r w:rsidRPr="006D631C">
        <w:rPr>
          <w:rFonts w:asciiTheme="majorBidi" w:hAnsiTheme="majorBidi" w:cstheme="majorBidi"/>
        </w:rPr>
        <w:t xml:space="preserve"> represents the scattering vector and </w:t>
      </w:r>
      <w:r w:rsidRPr="006D631C">
        <w:rPr>
          <w:rFonts w:asciiTheme="majorBidi" w:hAnsiTheme="majorBidi" w:cstheme="majorBidi"/>
          <w:i/>
          <w:iCs/>
        </w:rPr>
        <w:t>q*</w:t>
      </w:r>
      <w:r w:rsidRPr="006D631C">
        <w:rPr>
          <w:rFonts w:asciiTheme="majorBidi" w:hAnsiTheme="majorBidi" w:cstheme="majorBidi"/>
        </w:rPr>
        <w:t xml:space="preserve"> represents the primary peak position in each curve. Thus, the LLC has an H</w:t>
      </w:r>
      <w:r w:rsidRPr="006D631C">
        <w:rPr>
          <w:rFonts w:asciiTheme="majorBidi" w:hAnsiTheme="majorBidi" w:cstheme="majorBidi"/>
          <w:vertAlign w:val="subscript"/>
        </w:rPr>
        <w:t>1</w:t>
      </w:r>
      <w:r w:rsidRPr="006D631C">
        <w:rPr>
          <w:rFonts w:asciiTheme="majorBidi" w:hAnsiTheme="majorBidi" w:cstheme="majorBidi"/>
        </w:rPr>
        <w:t xml:space="preserve"> structure.</w:t>
      </w:r>
      <w:r w:rsidR="0026231C" w:rsidRPr="006D631C">
        <w:rPr>
          <w:rFonts w:asciiTheme="majorBidi" w:hAnsiTheme="majorBidi" w:cstheme="majorBidi"/>
        </w:rPr>
        <w:t xml:space="preserve"> Similar Brag peaks ratios have been reported for LLCs with H</w:t>
      </w:r>
      <w:r w:rsidR="0026231C" w:rsidRPr="006D631C">
        <w:rPr>
          <w:rFonts w:asciiTheme="majorBidi" w:hAnsiTheme="majorBidi" w:cstheme="majorBidi"/>
          <w:vertAlign w:val="subscript"/>
        </w:rPr>
        <w:t>1</w:t>
      </w:r>
      <w:r w:rsidR="0026231C" w:rsidRPr="006D631C">
        <w:rPr>
          <w:rFonts w:asciiTheme="majorBidi" w:hAnsiTheme="majorBidi" w:cstheme="majorBidi"/>
        </w:rPr>
        <w:t xml:space="preserve"> structure.</w:t>
      </w:r>
      <w:r w:rsidR="0026231C" w:rsidRPr="006D631C">
        <w:rPr>
          <w:rFonts w:asciiTheme="majorBidi" w:hAnsiTheme="majorBidi" w:cstheme="majorBidi"/>
        </w:rPr>
        <w:fldChar w:fldCharType="begin" w:fldLock="1"/>
      </w:r>
      <w:r w:rsidR="002322C8"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id":"ITEM-2","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Nano","id":"ITEM-2","issued":{"date-parts":[["2021","3","17"]]},"page":"acsnano.1c00722","title":"Rapid Fabrication by Lyotropic Self-Assembly of Thin Nanofiltration Membranes with Uniform 1 Nanometer Pores","type":"article-journal"},"uris":["http://www.mendeley.com/documents/?uuid=9a8f95cc-c536-4af0-a6e3-e51388d61691"]},{"id":"ITEM-3","itemData":{"DOI":"10.1126/sciadv.abm5899","ISSN":"2375-2548","abstract":"Organic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Advances","id":"ITEM-3","issue":"11","issued":{"date-parts":[["2022","3","18"]]},"title":"Tunable organic solvent nanofiltration in self-assembled membranes at the sub–1 nm scale","type":"article-journal","volume":"8"},"uris":["http://www.mendeley.com/documents/?uuid=f4e7114e-b599-410a-a180-ef737c4d9ca1"]}],"mendeley":{"formattedCitation":"&lt;sup&gt;31,123,125&lt;/sup&gt;","plainTextFormattedCitation":"31,123,125","previouslyFormattedCitation":"&lt;sup&gt;31,123,125&lt;/sup&gt;"},"properties":{"noteIndex":0},"schema":"https://github.com/citation-style-language/schema/raw/master/csl-citation.json"}</w:instrText>
      </w:r>
      <w:r w:rsidR="0026231C" w:rsidRPr="006D631C">
        <w:rPr>
          <w:rFonts w:asciiTheme="majorBidi" w:hAnsiTheme="majorBidi" w:cstheme="majorBidi"/>
        </w:rPr>
        <w:fldChar w:fldCharType="separate"/>
      </w:r>
      <w:r w:rsidR="004137D3" w:rsidRPr="006D631C">
        <w:rPr>
          <w:rFonts w:asciiTheme="majorBidi" w:hAnsiTheme="majorBidi" w:cstheme="majorBidi"/>
          <w:noProof/>
          <w:vertAlign w:val="superscript"/>
        </w:rPr>
        <w:t>31,123,125</w:t>
      </w:r>
      <w:r w:rsidR="0026231C" w:rsidRPr="006D631C">
        <w:rPr>
          <w:rFonts w:asciiTheme="majorBidi" w:hAnsiTheme="majorBidi" w:cstheme="majorBidi"/>
        </w:rPr>
        <w:fldChar w:fldCharType="end"/>
      </w:r>
      <w:r w:rsidRPr="006D631C">
        <w:rPr>
          <w:rFonts w:asciiTheme="majorBidi" w:hAnsiTheme="majorBidi" w:cstheme="majorBidi"/>
        </w:rPr>
        <w:t xml:space="preserve"> Additionally, the</w:t>
      </w:r>
      <w:r w:rsidRPr="006D631C">
        <w:rPr>
          <w:rFonts w:asciiTheme="majorBidi" w:eastAsiaTheme="minorEastAsia" w:hAnsiTheme="majorBidi" w:cstheme="majorBidi"/>
        </w:rPr>
        <w:t xml:space="preserve"> presence of the typical birefringence associated with the H</w:t>
      </w:r>
      <w:r w:rsidRPr="006D631C">
        <w:rPr>
          <w:rFonts w:asciiTheme="majorBidi" w:eastAsiaTheme="minorEastAsia" w:hAnsiTheme="majorBidi" w:cstheme="majorBidi"/>
          <w:vertAlign w:val="subscript"/>
        </w:rPr>
        <w:t>1</w:t>
      </w:r>
      <w:r w:rsidRPr="006D631C">
        <w:rPr>
          <w:rFonts w:asciiTheme="majorBidi" w:eastAsiaTheme="minorEastAsia" w:hAnsiTheme="majorBidi" w:cstheme="majorBidi"/>
        </w:rPr>
        <w:t xml:space="preserve"> structure and the retention of the distinct SAXS peaks confirm that the structure is preserved following polymerization and solvent exchange (i.e., exchange of IL with water in polyLLC).</w:t>
      </w:r>
    </w:p>
    <w:p w14:paraId="2F4F8BA0" w14:textId="71D21B7C" w:rsidR="001057EF" w:rsidRPr="006D631C" w:rsidRDefault="009B100B" w:rsidP="00EA5AA7">
      <w:pPr>
        <w:ind w:firstLine="360"/>
        <w:rPr>
          <w:rFonts w:asciiTheme="majorBidi" w:hAnsiTheme="majorBidi" w:cstheme="majorBidi"/>
        </w:rPr>
      </w:pPr>
      <w:r w:rsidRPr="006D631C">
        <w:rPr>
          <w:rFonts w:asciiTheme="majorBidi" w:hAnsiTheme="majorBidi" w:cstheme="majorBidi"/>
        </w:rPr>
        <w:t>From the SAXS data</w:t>
      </w:r>
      <w:r w:rsidR="009A76F6" w:rsidRPr="006D631C">
        <w:rPr>
          <w:rFonts w:asciiTheme="majorBidi" w:hAnsiTheme="majorBidi" w:cstheme="majorBidi"/>
        </w:rPr>
        <w:t xml:space="preserve"> and using the equations presented in </w:t>
      </w:r>
      <w:r w:rsidR="00EA5AA7" w:rsidRPr="006D631C">
        <w:rPr>
          <w:rFonts w:asciiTheme="majorBidi" w:hAnsiTheme="majorBidi" w:cstheme="majorBidi"/>
        </w:rPr>
        <w:t xml:space="preserve">Chapter </w:t>
      </w:r>
      <w:r w:rsidR="009A76F6" w:rsidRPr="006D631C">
        <w:rPr>
          <w:rFonts w:asciiTheme="majorBidi" w:hAnsiTheme="majorBidi" w:cstheme="majorBidi"/>
        </w:rPr>
        <w:t>4</w:t>
      </w:r>
      <w:r w:rsidR="006C45CC" w:rsidRPr="006D631C">
        <w:rPr>
          <w:rFonts w:asciiTheme="majorBidi" w:hAnsiTheme="majorBidi" w:cstheme="majorBidi"/>
        </w:rPr>
        <w:t xml:space="preserve"> (Eq. 4-2 to 4-6)</w:t>
      </w:r>
      <w:r w:rsidRPr="006D631C">
        <w:rPr>
          <w:rFonts w:asciiTheme="majorBidi" w:hAnsiTheme="majorBidi" w:cstheme="majorBidi"/>
        </w:rPr>
        <w:t>, structural parameters such as intermicellar distance (which determines the pore size), lattice parameter, apolar domain size, micelle size, and grain size can be estimated. A schematic representation of these parameters is shown in Fig</w:t>
      </w:r>
      <w:r w:rsidR="00DE71A4" w:rsidRPr="006D631C">
        <w:rPr>
          <w:rFonts w:asciiTheme="majorBidi" w:hAnsiTheme="majorBidi" w:cstheme="majorBidi"/>
        </w:rPr>
        <w:t>ure</w:t>
      </w:r>
      <w:r w:rsidRPr="006D631C">
        <w:rPr>
          <w:rFonts w:asciiTheme="majorBidi" w:hAnsiTheme="majorBidi" w:cstheme="majorBidi"/>
        </w:rPr>
        <w:t xml:space="preserve"> </w:t>
      </w:r>
      <w:r w:rsidR="00DE71A4" w:rsidRPr="006D631C">
        <w:rPr>
          <w:rFonts w:asciiTheme="majorBidi" w:hAnsiTheme="majorBidi" w:cstheme="majorBidi"/>
        </w:rPr>
        <w:t>5-</w:t>
      </w:r>
      <w:r w:rsidRPr="006D631C">
        <w:rPr>
          <w:rFonts w:asciiTheme="majorBidi" w:hAnsiTheme="majorBidi" w:cstheme="majorBidi"/>
        </w:rPr>
        <w:t>1f.</w:t>
      </w:r>
    </w:p>
    <w:p w14:paraId="06FE503D" w14:textId="0E246117" w:rsidR="00E706BE" w:rsidRPr="006D631C" w:rsidRDefault="00E706BE" w:rsidP="00EA5AA7">
      <w:pPr>
        <w:ind w:firstLine="360"/>
        <w:rPr>
          <w:rFonts w:asciiTheme="majorBidi" w:hAnsiTheme="majorBidi" w:cstheme="majorBidi"/>
        </w:rPr>
      </w:pPr>
      <w:r w:rsidRPr="006D631C">
        <w:rPr>
          <w:rFonts w:asciiTheme="majorBidi" w:hAnsiTheme="majorBidi" w:cstheme="majorBidi"/>
        </w:rPr>
        <w:t xml:space="preserve">As discussed in </w:t>
      </w:r>
      <w:r w:rsidR="00EA5AA7" w:rsidRPr="006D631C">
        <w:rPr>
          <w:rFonts w:asciiTheme="majorBidi" w:hAnsiTheme="majorBidi" w:cstheme="majorBidi"/>
        </w:rPr>
        <w:t xml:space="preserve">Chapter </w:t>
      </w:r>
      <w:r w:rsidRPr="006D631C">
        <w:rPr>
          <w:rFonts w:asciiTheme="majorBidi" w:hAnsiTheme="majorBidi" w:cstheme="majorBidi"/>
        </w:rPr>
        <w:t>4,</w:t>
      </w:r>
      <w:r w:rsidRPr="006D631C">
        <w:rPr>
          <w:rFonts w:asciiTheme="majorBidi" w:hAnsiTheme="majorBidi" w:cstheme="majorBidi"/>
        </w:rPr>
        <w:fldChar w:fldCharType="begin" w:fldLock="1"/>
      </w:r>
      <w:r w:rsidR="006759E7" w:rsidRPr="006D631C">
        <w:rPr>
          <w:rFonts w:asciiTheme="majorBidi" w:hAnsiTheme="majorBidi" w:cstheme="majorBidi"/>
        </w:rPr>
        <w:instrText>ADDIN CSL_CITATION {"citationItems":[{"id":"ITEM-1","itemData":{"DOI":"10.1039/c9sm01565e","ISSN":"17446848","abstract":"This work describes the kinetics of thermal polymerization in nanoconfined domains of lyotropic liquid crystal (LLC) templates by using chemorheological studies at different temperatures. We investigate lamellar and reverse hexagonal LLC phases with the same concentration of the monomeric phase. Results show that the mesophase structures remain intact during thermal polymerization with very slight changes in the domain size. The polymerization rate decreases in the nanoconfined structure compared to the bulk state due to the segregation effect, which increases the local monomer concentration and enhances the termination rate. Additionally, the polymerization rate is faster in the studied reverse hexagonal systems compared to the lamellar ones due to their lower degree of confinement. A higher degree of confinement also induces a lower monomer conversion. Differential scanning calorimetry confirms the obtained results from chemorheology.","author":[{"dropping-particle":"","family":"Qavi","given":"Sahar","non-dropping-particle":"","parse-names":false,"suffix":""},{"dropping-particle":"","family":"Bandegi","given":"Alireza","non-dropping-particle":"","parse-names":false,"suffix":""},{"dropping-particle":"","family":"Firestone","given":"Millicent","non-dropping-particle":"","parse-names":false,"suffix":""},{"dropping-particle":"","family":"Foudazi","given":"Reza","non-dropping-particle":"","parse-names":false,"suffix":""}],"container-title":"Soft Matter","id":"ITEM-1","issue":"41","issued":{"date-parts":[["2019"]]},"page":"8238-8250","title":"Polymerization in soft nanoconfinement of lamellar and reverse hexagonal mesophases","type":"article-journal","volume":"15"},"uris":["http://www.mendeley.com/documents/?uuid=5a774487-acd6-4203-928f-13a0a6b06e6b"]},{"id":"ITEM-2","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Science","id":"ITEM-2","issued":{"date-parts":[["2023","10"]]},"page":"121861","title":"Thermoresponsive antifouling ultrafiltration membranes from mesophase templating","type":"article-journal","volume":"684"},"uris":["http://www.mendeley.com/documents/?uuid=87bbcaa1-2ae4-4844-96e9-e1ea8cc616de"]}],"mendeley":{"formattedCitation":"&lt;sup&gt;56,289&lt;/sup&gt;","plainTextFormattedCitation":"56,289","previouslyFormattedCitation":"&lt;sup&gt;56,289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56,289</w:t>
      </w:r>
      <w:r w:rsidRPr="006D631C">
        <w:rPr>
          <w:rFonts w:asciiTheme="majorBidi" w:hAnsiTheme="majorBidi" w:cstheme="majorBidi"/>
        </w:rPr>
        <w:fldChar w:fldCharType="end"/>
      </w:r>
      <w:r w:rsidRPr="006D631C">
        <w:rPr>
          <w:rFonts w:asciiTheme="majorBidi" w:hAnsiTheme="majorBidi" w:cstheme="majorBidi"/>
        </w:rPr>
        <w:t xml:space="preserve"> it is assumed that the solvent (either [BMIM][BF</w:t>
      </w:r>
      <w:r w:rsidRPr="006D631C">
        <w:rPr>
          <w:rFonts w:asciiTheme="majorBidi" w:hAnsiTheme="majorBidi" w:cstheme="majorBidi"/>
          <w:vertAlign w:val="subscript"/>
        </w:rPr>
        <w:t>4</w:t>
      </w:r>
      <w:r w:rsidRPr="006D631C">
        <w:rPr>
          <w:rFonts w:asciiTheme="majorBidi" w:hAnsiTheme="majorBidi" w:cstheme="majorBidi"/>
        </w:rPr>
        <w:t>]+</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or water), PEO, PPO, and HDDA are completely segregated and each domain is characterized by a bulk density.</w:t>
      </w:r>
      <w:r w:rsidRPr="006D631C">
        <w:rPr>
          <w:rFonts w:asciiTheme="majorBidi" w:hAnsiTheme="majorBidi" w:cstheme="majorBidi"/>
        </w:rPr>
        <w:fldChar w:fldCharType="begin" w:fldLock="1"/>
      </w:r>
      <w:r w:rsidR="006759E7" w:rsidRPr="006D631C">
        <w:rPr>
          <w:rFonts w:asciiTheme="majorBidi" w:hAnsiTheme="majorBidi" w:cstheme="majorBidi"/>
        </w:rPr>
        <w:instrText>ADDIN CSL_CITATION {"citationItems":[{"id":"ITEM-1","itemData":{"DOI":"10.1021/ma00127a016","ISSN":"0024-9297","abstract":"The self-assembly of a poly(ethy1ene oxidel-block-poly(propy1ene oxide)-block-poly(ethy1ene oxide) copolymer (Pluronic L64, (E O) I ~ (P O) ~ O (E O) ~ ~) in the presence of water andp-xylene was investigated. The phase boundaries were identified using 2H NMR of heavy water (2Hz0) and inspection under polarized light. Small-angle X-ray scattering was employed to ascertain the structure of the various liquid crystalline phases formed and to determine the structural lengths involved. A rich phase behavior with normal hexagonal, lamellar, bicontinuous cubic, and reverse hexagonal liquid crystalline regions, in addition to three separate liquid phases, was observed at 25 \"C. The cubic phase was identified as having a structure associated with the Gyroid minimal surface. A very small liquid region, found between the normal hexagonal and lamellar phases on the binary water-polymer axis, is identified as a melted analogue of a bicontinuous cubic phase often present in this part of the phase diagram. The pure polymer exists at 25 \"C as a disordered melt. Structure and segregation are induced by the addition of water. p-Xylene is soluble in the polymer melt but does not induce structure when added alone. For polymer concentrations above-50%, a sequence of liquid crystalline phases is observed when the water-to-oil ratio is varied. Here we can identify the volume fraction of apolar components, given by the sum of the PPO and oil volume fractions, as the major parameter governing the phase behavior.","author":[{"dropping-particle":"","family":"Alexandridis","given":"Paschalis","non-dropping-particle":"","parse-names":false,"suffix":""},{"dropping-particle":"","family":"Olsson","given":"Ulf","non-dropping-particle":"","parse-names":false,"suffix":""},{"dropping-particle":"","family":"Lindman","given":"Bjoern","non-dropping-particle":"","parse-names":false,"suffix":""}],"container-title":"Macromolecules","id":"ITEM-1","issue":"23","issued":{"date-parts":[["1995","11"]]},"page":"7700-7710","title":"Self-Assembly of Amphiphilic Block Copolymers: The (EO)13(PO)30(EO)13-Water-p-Xylene System","type":"article-journal","volume":"28"},"uris":["http://www.mendeley.com/documents/?uuid=53841adf-ace3-4998-9fe3-1cb531b34104"]}],"mendeley":{"formattedCitation":"&lt;sup&gt;215&lt;/sup&gt;","plainTextFormattedCitation":"215","previouslyFormattedCitation":"&lt;sup&gt;215&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215</w:t>
      </w:r>
      <w:r w:rsidRPr="006D631C">
        <w:rPr>
          <w:rFonts w:asciiTheme="majorBidi" w:hAnsiTheme="majorBidi" w:cstheme="majorBidi"/>
        </w:rPr>
        <w:fldChar w:fldCharType="end"/>
      </w:r>
      <w:r w:rsidRPr="006D631C">
        <w:rPr>
          <w:rFonts w:asciiTheme="majorBidi" w:hAnsiTheme="majorBidi" w:cstheme="majorBidi"/>
        </w:rPr>
        <w:t xml:space="preserve"> It is important to note, however, that in the case of water-swollen samples, the polymer and water are not entirely segregated, as the polymer network can absorb significant amounts of water. Furthermore, partitioning of the PEO and PPO blocks in the solvent and HDDA phases makes the calculations somewhat imprecise.</w:t>
      </w:r>
      <w:r w:rsidRPr="006D631C">
        <w:rPr>
          <w:rFonts w:asciiTheme="majorBidi" w:hAnsiTheme="majorBidi" w:cstheme="majorBidi"/>
        </w:rPr>
        <w:fldChar w:fldCharType="begin" w:fldLock="1"/>
      </w:r>
      <w:r w:rsidR="006759E7" w:rsidRPr="006D631C">
        <w:rPr>
          <w:rFonts w:asciiTheme="majorBidi" w:hAnsiTheme="majorBidi" w:cstheme="majorBidi"/>
        </w:rPr>
        <w:instrText>ADDIN CSL_CITATION {"citationItems":[{"id":"ITEM-1","itemData":{"DOI":"10.1007/s00397-019-01162-y","ISSN":"0035-4511","abstract":"Self-assembly of block copolymers in the presence of solvents forms ordered mesophase structures, also known as lyotropic liquid crystals (LLCs). The aim of this work is to investigate the rheological properties of Pluronic block copolymer/water/oil mesophases with lamellar and hexagonal structures. The flow behavior of lamellar and hexagonal mesophases indicates that they have yield stress. Oscillatory shear experiments show that mesophases have solid-like behavior and exhibit type III non-linear behavior. The elastic modulus of mesophases is probably controlled by the van der Waals interaction between micelles. We suggest that at relatively low frequencies, defects control the rheological behavior of LLCs, while at high frequencies, the contributions in micellar scale are dominant. Applying high strains on the LLCs induces two relaxation times after cessation of flow, decreases the storage modulus in the whole frequency range, and decreases the loss modulus in small-frequency regime with negligible effect at high frequencies. The decrease in moduli is reversible and the system relaxes back to its original elastic modulus at rest. The observed behavior can be attributed to the elimination of defects under high strains and their re-formation during long enough rest times.","author":[{"dropping-particle":"","family":"Qavi","given":"Sahar","non-dropping-particle":"","parse-names":false,"suffix":""},{"dropping-particle":"","family":"Foudazi","given":"Reza","non-dropping-particle":"","parse-names":false,"suffix":""}],"container-title":"Rheologica Acta","id":"ITEM-1","issue":"8","issued":{"date-parts":[["2019","8","31"]]},"page":"483-498","title":"Rheological characteristics of mesophases of block copolymer solutions","type":"article-journal","volume":"58"},"uris":["http://www.mendeley.com/documents/?uuid=c97ded4e-5292-4962-b3cb-d3d5b2bd061e"]}],"mendeley":{"formattedCitation":"&lt;sup&gt;178&lt;/sup&gt;","plainTextFormattedCitation":"178","previouslyFormattedCitation":"&lt;sup&gt;178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178</w:t>
      </w:r>
      <w:r w:rsidRPr="006D631C">
        <w:rPr>
          <w:rFonts w:asciiTheme="majorBidi" w:hAnsiTheme="majorBidi" w:cstheme="majorBidi"/>
        </w:rPr>
        <w:fldChar w:fldCharType="end"/>
      </w:r>
      <w:r w:rsidRPr="006D631C">
        <w:rPr>
          <w:rFonts w:asciiTheme="majorBidi" w:hAnsiTheme="majorBidi" w:cstheme="majorBidi"/>
        </w:rPr>
        <w:t xml:space="preserve"> Nevertheless, we have shown that the this geometric calculation provides a good agreement with the pore size measured from MWCO.</w:t>
      </w:r>
      <w:r w:rsidRPr="006D631C">
        <w:rPr>
          <w:rFonts w:asciiTheme="majorBidi" w:hAnsiTheme="majorBidi" w:cstheme="majorBidi"/>
        </w:rPr>
        <w:fldChar w:fldCharType="begin" w:fldLock="1"/>
      </w:r>
      <w:r w:rsidR="006759E7"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id":"ITEM-2","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Science","id":"ITEM-2","issued":{"date-parts":[["2023","10"]]},"page":"121861","title":"Thermoresponsive antifouling ultrafiltration membranes from mesophase templating","type":"article-journal","volume":"684"},"uris":["http://www.mendeley.com/documents/?uuid=87bbcaa1-2ae4-4844-96e9-e1ea8cc616de"]}],"mendeley":{"formattedCitation":"&lt;sup&gt;32,289&lt;/sup&gt;","plainTextFormattedCitation":"32,289","previouslyFormattedCitation":"&lt;sup&gt;32,289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32,289</w:t>
      </w:r>
      <w:r w:rsidRPr="006D631C">
        <w:rPr>
          <w:rFonts w:asciiTheme="majorBidi" w:hAnsiTheme="majorBidi" w:cstheme="majorBidi"/>
        </w:rPr>
        <w:fldChar w:fldCharType="end"/>
      </w:r>
      <w:r w:rsidRPr="006D631C">
        <w:rPr>
          <w:rFonts w:asciiTheme="majorBidi" w:hAnsiTheme="majorBidi" w:cstheme="majorBidi"/>
        </w:rPr>
        <w:t xml:space="preserve"> </w:t>
      </w:r>
      <w:r w:rsidRPr="006D631C">
        <w:rPr>
          <w:rFonts w:asciiTheme="majorBidi" w:hAnsiTheme="majorBidi" w:cstheme="majorBidi"/>
        </w:rPr>
        <w:lastRenderedPageBreak/>
        <w:t>In this method, the size of the IL or water domain is assumed to be equal to the pore size of the polyLLC membrane.</w:t>
      </w:r>
    </w:p>
    <w:p w14:paraId="31627A21" w14:textId="156A8BC4" w:rsidR="00440281" w:rsidRPr="006D631C" w:rsidRDefault="00947C38" w:rsidP="00861405">
      <w:pPr>
        <w:pStyle w:val="TOC1"/>
        <w:rPr>
          <w:noProof w:val="0"/>
        </w:rPr>
      </w:pPr>
      <w:r w:rsidRPr="006D631C">
        <w:rPr>
          <w:rFonts w:asciiTheme="majorBidi" w:hAnsiTheme="majorBidi" w:cstheme="majorBidi"/>
          <w:sz w:val="24"/>
          <w:szCs w:val="24"/>
        </w:rPr>
        <w:drawing>
          <wp:inline distT="0" distB="0" distL="0" distR="0" wp14:anchorId="3380A83C" wp14:editId="720C7413">
            <wp:extent cx="5040000" cy="4389904"/>
            <wp:effectExtent l="0" t="0" r="825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040000" cy="4389904"/>
                    </a:xfrm>
                    <a:prstGeom prst="rect">
                      <a:avLst/>
                    </a:prstGeom>
                    <a:noFill/>
                  </pic:spPr>
                </pic:pic>
              </a:graphicData>
            </a:graphic>
          </wp:inline>
        </w:drawing>
      </w:r>
    </w:p>
    <w:p w14:paraId="498A208F" w14:textId="785A219D" w:rsidR="00440281" w:rsidRPr="006D631C" w:rsidRDefault="00782C08" w:rsidP="00782C08">
      <w:pPr>
        <w:pStyle w:val="Caption"/>
        <w:jc w:val="center"/>
        <w:rPr>
          <w:rFonts w:asciiTheme="majorBidi" w:hAnsiTheme="majorBidi" w:cstheme="majorBidi"/>
        </w:rPr>
      </w:pPr>
      <w:bookmarkStart w:id="216" w:name="_Toc148175956"/>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5</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2</w:t>
      </w:r>
      <w:r w:rsidR="00B55F32" w:rsidRPr="006D631C">
        <w:rPr>
          <w:sz w:val="22"/>
          <w:szCs w:val="22"/>
        </w:rPr>
        <w:fldChar w:fldCharType="end"/>
      </w:r>
      <w:r w:rsidR="00440281" w:rsidRPr="006D631C">
        <w:rPr>
          <w:sz w:val="22"/>
          <w:szCs w:val="22"/>
        </w:rPr>
        <w:t>. The images taken using CPLM display the samples in three different stages: (a) their original state (LLC), (b) after undergoing a reaction, and (c) after swelling with water. (d) 1D SAXS profile, in which plots are shifted vertically to enhance comparison.</w:t>
      </w:r>
      <w:bookmarkEnd w:id="216"/>
    </w:p>
    <w:p w14:paraId="4D9E5E3B" w14:textId="166A0C6F" w:rsidR="00440281" w:rsidRPr="006D631C" w:rsidRDefault="00D8527B" w:rsidP="00D8527B">
      <w:pPr>
        <w:ind w:firstLine="360"/>
        <w:rPr>
          <w:rFonts w:asciiTheme="majorBidi" w:hAnsiTheme="majorBidi" w:cstheme="majorBidi"/>
        </w:rPr>
      </w:pPr>
      <w:r w:rsidRPr="006D631C">
        <w:rPr>
          <w:rFonts w:asciiTheme="majorBidi" w:hAnsiTheme="majorBidi" w:cstheme="majorBidi"/>
        </w:rPr>
        <w:t xml:space="preserve">The calculated structural parameters are presented in Table </w:t>
      </w:r>
      <w:r w:rsidR="00A71F86" w:rsidRPr="006D631C">
        <w:rPr>
          <w:rFonts w:asciiTheme="majorBidi" w:hAnsiTheme="majorBidi" w:cstheme="majorBidi"/>
        </w:rPr>
        <w:t>5-</w:t>
      </w:r>
      <w:r w:rsidRPr="006D631C">
        <w:rPr>
          <w:rFonts w:asciiTheme="majorBidi" w:hAnsiTheme="majorBidi" w:cstheme="majorBidi"/>
        </w:rPr>
        <w:t xml:space="preserve">1. It is evident that the estimated intermicellar distance (pore size) is approximately 2.7 nm for both the LLC and polyLLC samples. However, this value increases to around 4.2 nm for the water-swollen sample at 25 °C and pH of 6. The MWCO experiment can be utilized to achieve a more precise measurement of the pore size. Further details regarding the MWCO experiment will be provided in section </w:t>
      </w:r>
      <w:r w:rsidR="00D379EA" w:rsidRPr="006D631C">
        <w:rPr>
          <w:rFonts w:asciiTheme="majorBidi" w:hAnsiTheme="majorBidi" w:cstheme="majorBidi"/>
        </w:rPr>
        <w:t>5.</w:t>
      </w:r>
      <w:r w:rsidRPr="006D631C">
        <w:rPr>
          <w:rFonts w:asciiTheme="majorBidi" w:hAnsiTheme="majorBidi" w:cstheme="majorBidi"/>
        </w:rPr>
        <w:t xml:space="preserve">3.2.2. As control sample, we have included the calculated parameter for the water-swollen polyLLC at 45 °C and </w:t>
      </w:r>
      <w:r w:rsidRPr="006D631C">
        <w:rPr>
          <w:rFonts w:asciiTheme="majorBidi" w:hAnsiTheme="majorBidi" w:cstheme="majorBidi"/>
        </w:rPr>
        <w:lastRenderedPageBreak/>
        <w:t xml:space="preserve">pH of 6 in Table </w:t>
      </w:r>
      <w:r w:rsidR="00D379EA" w:rsidRPr="006D631C">
        <w:rPr>
          <w:rFonts w:asciiTheme="majorBidi" w:hAnsiTheme="majorBidi" w:cstheme="majorBidi"/>
        </w:rPr>
        <w:t>5-</w:t>
      </w:r>
      <w:r w:rsidRPr="006D631C">
        <w:rPr>
          <w:rFonts w:asciiTheme="majorBidi" w:hAnsiTheme="majorBidi" w:cstheme="majorBidi"/>
        </w:rPr>
        <w:t>1. Fig</w:t>
      </w:r>
      <w:r w:rsidR="00D379EA" w:rsidRPr="006D631C">
        <w:rPr>
          <w:rFonts w:asciiTheme="majorBidi" w:hAnsiTheme="majorBidi" w:cstheme="majorBidi"/>
        </w:rPr>
        <w:t>ure</w:t>
      </w:r>
      <w:r w:rsidRPr="006D631C">
        <w:rPr>
          <w:rFonts w:asciiTheme="majorBidi" w:hAnsiTheme="majorBidi" w:cstheme="majorBidi"/>
        </w:rPr>
        <w:t xml:space="preserve"> </w:t>
      </w:r>
      <w:r w:rsidR="00D379EA" w:rsidRPr="006D631C">
        <w:rPr>
          <w:rFonts w:asciiTheme="majorBidi" w:hAnsiTheme="majorBidi" w:cstheme="majorBidi"/>
        </w:rPr>
        <w:t>5-</w:t>
      </w:r>
      <w:r w:rsidRPr="006D631C">
        <w:rPr>
          <w:rFonts w:asciiTheme="majorBidi" w:hAnsiTheme="majorBidi" w:cstheme="majorBidi"/>
        </w:rPr>
        <w:t xml:space="preserve">5 displays the corresponding SAXS data for this specific sample. The calculated data for this particular sample will be discussed in detail in section </w:t>
      </w:r>
      <w:r w:rsidR="003B01BC" w:rsidRPr="006D631C">
        <w:rPr>
          <w:rFonts w:asciiTheme="majorBidi" w:hAnsiTheme="majorBidi" w:cstheme="majorBidi"/>
        </w:rPr>
        <w:t>5.</w:t>
      </w:r>
      <w:r w:rsidRPr="006D631C">
        <w:rPr>
          <w:rFonts w:asciiTheme="majorBidi" w:hAnsiTheme="majorBidi" w:cstheme="majorBidi"/>
        </w:rPr>
        <w:t>3.2.2.</w:t>
      </w:r>
    </w:p>
    <w:p w14:paraId="5F3D5DB0" w14:textId="04E5E3AB" w:rsidR="0093296F" w:rsidRPr="006D631C" w:rsidRDefault="0093296F" w:rsidP="0093296F">
      <w:pPr>
        <w:pStyle w:val="Caption"/>
        <w:jc w:val="center"/>
        <w:rPr>
          <w:rFonts w:cs="Times New Roman"/>
          <w:sz w:val="22"/>
          <w:szCs w:val="22"/>
        </w:rPr>
      </w:pPr>
      <w:bookmarkStart w:id="217" w:name="_Toc148175973"/>
      <w:r w:rsidRPr="006D631C">
        <w:rPr>
          <w:rFonts w:cs="Times New Roman"/>
          <w:sz w:val="22"/>
          <w:szCs w:val="22"/>
        </w:rPr>
        <w:t xml:space="preserve">Table </w:t>
      </w:r>
      <w:r w:rsidRPr="006D631C">
        <w:rPr>
          <w:rFonts w:cs="Times New Roman"/>
          <w:sz w:val="22"/>
          <w:szCs w:val="22"/>
        </w:rPr>
        <w:fldChar w:fldCharType="begin"/>
      </w:r>
      <w:r w:rsidRPr="006D631C">
        <w:rPr>
          <w:rFonts w:cs="Times New Roman"/>
          <w:sz w:val="22"/>
          <w:szCs w:val="22"/>
        </w:rPr>
        <w:instrText xml:space="preserve"> STYLEREF 1 \s </w:instrText>
      </w:r>
      <w:r w:rsidRPr="006D631C">
        <w:rPr>
          <w:rFonts w:cs="Times New Roman"/>
          <w:sz w:val="22"/>
          <w:szCs w:val="22"/>
        </w:rPr>
        <w:fldChar w:fldCharType="separate"/>
      </w:r>
      <w:r w:rsidRPr="006D631C">
        <w:rPr>
          <w:rFonts w:cs="Times New Roman"/>
          <w:sz w:val="22"/>
          <w:szCs w:val="22"/>
          <w:cs/>
        </w:rPr>
        <w:t>‎</w:t>
      </w:r>
      <w:r w:rsidRPr="006D631C">
        <w:rPr>
          <w:rFonts w:cs="Times New Roman"/>
          <w:sz w:val="22"/>
          <w:szCs w:val="22"/>
        </w:rPr>
        <w:t>5</w:t>
      </w:r>
      <w:r w:rsidRPr="006D631C">
        <w:rPr>
          <w:rFonts w:cs="Times New Roman"/>
          <w:sz w:val="22"/>
          <w:szCs w:val="22"/>
        </w:rPr>
        <w:fldChar w:fldCharType="end"/>
      </w:r>
      <w:r w:rsidRPr="006D631C">
        <w:rPr>
          <w:rFonts w:cs="Times New Roman"/>
          <w:sz w:val="22"/>
          <w:szCs w:val="22"/>
        </w:rPr>
        <w:noBreakHyphen/>
      </w:r>
      <w:r w:rsidRPr="006D631C">
        <w:rPr>
          <w:rFonts w:cs="Times New Roman"/>
          <w:sz w:val="22"/>
          <w:szCs w:val="22"/>
        </w:rPr>
        <w:fldChar w:fldCharType="begin"/>
      </w:r>
      <w:r w:rsidRPr="006D631C">
        <w:rPr>
          <w:rFonts w:cs="Times New Roman"/>
          <w:sz w:val="22"/>
          <w:szCs w:val="22"/>
        </w:rPr>
        <w:instrText xml:space="preserve"> SEQ Table \* ARABIC \s 1 </w:instrText>
      </w:r>
      <w:r w:rsidRPr="006D631C">
        <w:rPr>
          <w:rFonts w:cs="Times New Roman"/>
          <w:sz w:val="22"/>
          <w:szCs w:val="22"/>
        </w:rPr>
        <w:fldChar w:fldCharType="separate"/>
      </w:r>
      <w:r w:rsidRPr="006D631C">
        <w:rPr>
          <w:rFonts w:cs="Times New Roman"/>
          <w:sz w:val="22"/>
          <w:szCs w:val="22"/>
        </w:rPr>
        <w:t>1</w:t>
      </w:r>
      <w:r w:rsidRPr="006D631C">
        <w:rPr>
          <w:rFonts w:cs="Times New Roman"/>
          <w:sz w:val="22"/>
          <w:szCs w:val="22"/>
        </w:rPr>
        <w:fldChar w:fldCharType="end"/>
      </w:r>
      <w:r w:rsidRPr="006D631C">
        <w:rPr>
          <w:rFonts w:cs="Times New Roman"/>
          <w:sz w:val="22"/>
          <w:szCs w:val="22"/>
        </w:rPr>
        <w:t>. Calculated structural parameters for different species based on SAXS data.</w:t>
      </w:r>
      <w:bookmarkEnd w:id="217"/>
    </w:p>
    <w:tbl>
      <w:tblPr>
        <w:tblW w:w="9072" w:type="dxa"/>
        <w:jc w:val="center"/>
        <w:tblLayout w:type="fixed"/>
        <w:tblLook w:val="04A0" w:firstRow="1" w:lastRow="0" w:firstColumn="1" w:lastColumn="0" w:noHBand="0" w:noVBand="1"/>
      </w:tblPr>
      <w:tblGrid>
        <w:gridCol w:w="1844"/>
        <w:gridCol w:w="845"/>
        <w:gridCol w:w="856"/>
        <w:gridCol w:w="850"/>
        <w:gridCol w:w="987"/>
        <w:gridCol w:w="856"/>
        <w:gridCol w:w="708"/>
        <w:gridCol w:w="709"/>
        <w:gridCol w:w="709"/>
        <w:gridCol w:w="708"/>
      </w:tblGrid>
      <w:tr w:rsidR="0093296F" w:rsidRPr="006D631C" w14:paraId="69616F6D" w14:textId="77777777" w:rsidTr="00E17C43">
        <w:trPr>
          <w:trHeight w:val="676"/>
          <w:jc w:val="center"/>
        </w:trPr>
        <w:tc>
          <w:tcPr>
            <w:tcW w:w="1844" w:type="dxa"/>
            <w:tcBorders>
              <w:top w:val="single" w:sz="4" w:space="0" w:color="auto"/>
              <w:bottom w:val="single" w:sz="4" w:space="0" w:color="auto"/>
            </w:tcBorders>
            <w:shd w:val="clear" w:color="auto" w:fill="auto"/>
            <w:noWrap/>
            <w:vAlign w:val="center"/>
            <w:hideMark/>
          </w:tcPr>
          <w:p w14:paraId="504015BC" w14:textId="77777777" w:rsidR="0093296F" w:rsidRPr="006D631C" w:rsidRDefault="0093296F" w:rsidP="00E17C43">
            <w:pPr>
              <w:widowControl w:val="0"/>
              <w:spacing w:line="240" w:lineRule="auto"/>
              <w:jc w:val="center"/>
              <w:rPr>
                <w:color w:val="000000"/>
                <w:sz w:val="22"/>
                <w:szCs w:val="22"/>
              </w:rPr>
            </w:pPr>
            <w:r w:rsidRPr="006D631C">
              <w:rPr>
                <w:color w:val="000000"/>
                <w:sz w:val="22"/>
                <w:szCs w:val="22"/>
              </w:rPr>
              <w:t>Sample</w:t>
            </w:r>
          </w:p>
        </w:tc>
        <w:tc>
          <w:tcPr>
            <w:tcW w:w="845" w:type="dxa"/>
            <w:tcBorders>
              <w:top w:val="single" w:sz="4" w:space="0" w:color="auto"/>
              <w:bottom w:val="single" w:sz="4" w:space="0" w:color="auto"/>
            </w:tcBorders>
            <w:shd w:val="clear" w:color="auto" w:fill="auto"/>
            <w:noWrap/>
            <w:vAlign w:val="center"/>
            <w:hideMark/>
          </w:tcPr>
          <w:p w14:paraId="458E9D3F" w14:textId="77777777" w:rsidR="0093296F" w:rsidRPr="006D631C" w:rsidRDefault="0093296F" w:rsidP="00E17C43">
            <w:pPr>
              <w:widowControl w:val="0"/>
              <w:spacing w:line="240" w:lineRule="auto"/>
              <w:jc w:val="center"/>
              <w:rPr>
                <w:i/>
                <w:iCs/>
                <w:color w:val="000000"/>
                <w:sz w:val="22"/>
                <w:szCs w:val="22"/>
              </w:rPr>
            </w:pPr>
            <w:r w:rsidRPr="006D631C">
              <w:rPr>
                <w:i/>
                <w:iCs/>
                <w:color w:val="000000"/>
                <w:sz w:val="22"/>
                <w:szCs w:val="22"/>
              </w:rPr>
              <w:t>q</w:t>
            </w:r>
            <w:r w:rsidRPr="006D631C">
              <w:rPr>
                <w:i/>
                <w:iCs/>
                <w:color w:val="000000"/>
                <w:sz w:val="22"/>
                <w:szCs w:val="22"/>
                <w:vertAlign w:val="superscript"/>
              </w:rPr>
              <w:t>*</w:t>
            </w:r>
          </w:p>
          <w:p w14:paraId="0B334C76" w14:textId="77777777" w:rsidR="0093296F" w:rsidRPr="006D631C" w:rsidRDefault="0093296F" w:rsidP="00E17C43">
            <w:pPr>
              <w:widowControl w:val="0"/>
              <w:spacing w:line="240" w:lineRule="auto"/>
              <w:jc w:val="center"/>
              <w:rPr>
                <w:color w:val="000000"/>
                <w:sz w:val="22"/>
                <w:szCs w:val="22"/>
              </w:rPr>
            </w:pPr>
            <w:r w:rsidRPr="006D631C">
              <w:rPr>
                <w:color w:val="000000"/>
                <w:sz w:val="22"/>
                <w:szCs w:val="22"/>
              </w:rPr>
              <w:t>(nm</w:t>
            </w:r>
            <w:r w:rsidRPr="006D631C">
              <w:rPr>
                <w:color w:val="000000"/>
                <w:sz w:val="22"/>
                <w:szCs w:val="22"/>
                <w:vertAlign w:val="superscript"/>
              </w:rPr>
              <w:t>-1</w:t>
            </w:r>
            <w:r w:rsidRPr="006D631C">
              <w:rPr>
                <w:color w:val="000000"/>
                <w:sz w:val="22"/>
                <w:szCs w:val="22"/>
              </w:rPr>
              <w:t>)</w:t>
            </w:r>
          </w:p>
        </w:tc>
        <w:tc>
          <w:tcPr>
            <w:tcW w:w="856" w:type="dxa"/>
            <w:tcBorders>
              <w:top w:val="single" w:sz="4" w:space="0" w:color="auto"/>
              <w:bottom w:val="single" w:sz="4" w:space="0" w:color="auto"/>
            </w:tcBorders>
            <w:shd w:val="clear" w:color="auto" w:fill="auto"/>
            <w:noWrap/>
            <w:vAlign w:val="center"/>
          </w:tcPr>
          <w:p w14:paraId="4A0904C9" w14:textId="77777777" w:rsidR="0093296F" w:rsidRPr="006D631C" w:rsidRDefault="0093296F" w:rsidP="00E17C43">
            <w:pPr>
              <w:widowControl w:val="0"/>
              <w:spacing w:line="240" w:lineRule="auto"/>
              <w:jc w:val="center"/>
              <w:rPr>
                <w:color w:val="000000"/>
                <w:sz w:val="22"/>
                <w:szCs w:val="22"/>
                <w:vertAlign w:val="superscript"/>
              </w:rPr>
            </w:pPr>
            <w:proofErr w:type="spellStart"/>
            <w:r w:rsidRPr="006D631C">
              <w:rPr>
                <w:rFonts w:asciiTheme="majorBidi" w:hAnsiTheme="majorBidi" w:cstheme="majorBidi"/>
                <w:i/>
                <w:iCs/>
                <w:sz w:val="22"/>
                <w:szCs w:val="22"/>
              </w:rPr>
              <w:t>ϕ</w:t>
            </w:r>
            <w:r w:rsidRPr="006D631C">
              <w:rPr>
                <w:rFonts w:asciiTheme="majorBidi" w:hAnsiTheme="majorBidi" w:cstheme="majorBidi"/>
                <w:i/>
                <w:iCs/>
                <w:sz w:val="22"/>
                <w:szCs w:val="22"/>
                <w:vertAlign w:val="subscript"/>
              </w:rPr>
              <w:t>PPO</w:t>
            </w:r>
            <w:proofErr w:type="spellEnd"/>
            <w:r w:rsidRPr="006D631C">
              <w:rPr>
                <w:sz w:val="22"/>
                <w:szCs w:val="22"/>
                <w:vertAlign w:val="superscript"/>
              </w:rPr>
              <w:t xml:space="preserve"> a</w:t>
            </w:r>
          </w:p>
        </w:tc>
        <w:tc>
          <w:tcPr>
            <w:tcW w:w="850" w:type="dxa"/>
            <w:tcBorders>
              <w:top w:val="single" w:sz="4" w:space="0" w:color="auto"/>
              <w:bottom w:val="single" w:sz="4" w:space="0" w:color="auto"/>
            </w:tcBorders>
            <w:shd w:val="clear" w:color="auto" w:fill="auto"/>
            <w:noWrap/>
            <w:vAlign w:val="center"/>
          </w:tcPr>
          <w:p w14:paraId="57097C84" w14:textId="77777777" w:rsidR="0093296F" w:rsidRPr="006D631C" w:rsidRDefault="0093296F" w:rsidP="00E17C43">
            <w:pPr>
              <w:widowControl w:val="0"/>
              <w:spacing w:line="240" w:lineRule="auto"/>
              <w:jc w:val="center"/>
              <w:rPr>
                <w:color w:val="000000"/>
                <w:sz w:val="22"/>
                <w:szCs w:val="22"/>
              </w:rPr>
            </w:pPr>
            <w:proofErr w:type="spellStart"/>
            <w:r w:rsidRPr="006D631C">
              <w:rPr>
                <w:rFonts w:asciiTheme="majorBidi" w:hAnsiTheme="majorBidi" w:cstheme="majorBidi"/>
                <w:i/>
                <w:iCs/>
                <w:sz w:val="22"/>
                <w:szCs w:val="22"/>
              </w:rPr>
              <w:t>ϕ</w:t>
            </w:r>
            <w:r w:rsidRPr="006D631C">
              <w:rPr>
                <w:rFonts w:asciiTheme="majorBidi" w:hAnsiTheme="majorBidi" w:cstheme="majorBidi"/>
                <w:i/>
                <w:iCs/>
                <w:sz w:val="22"/>
                <w:szCs w:val="22"/>
                <w:vertAlign w:val="subscript"/>
              </w:rPr>
              <w:t>HDDA</w:t>
            </w:r>
            <w:proofErr w:type="spellEnd"/>
          </w:p>
        </w:tc>
        <w:tc>
          <w:tcPr>
            <w:tcW w:w="987" w:type="dxa"/>
            <w:tcBorders>
              <w:top w:val="single" w:sz="4" w:space="0" w:color="auto"/>
              <w:bottom w:val="single" w:sz="4" w:space="0" w:color="auto"/>
            </w:tcBorders>
            <w:shd w:val="clear" w:color="auto" w:fill="auto"/>
            <w:noWrap/>
            <w:vAlign w:val="center"/>
          </w:tcPr>
          <w:p w14:paraId="21FACA91" w14:textId="77777777" w:rsidR="0093296F" w:rsidRPr="006D631C" w:rsidRDefault="0093296F" w:rsidP="00E17C43">
            <w:pPr>
              <w:widowControl w:val="0"/>
              <w:spacing w:line="240" w:lineRule="auto"/>
              <w:jc w:val="center"/>
              <w:rPr>
                <w:color w:val="000000"/>
                <w:sz w:val="22"/>
                <w:szCs w:val="22"/>
              </w:rPr>
            </w:pPr>
            <w:proofErr w:type="spellStart"/>
            <w:r w:rsidRPr="006D631C">
              <w:rPr>
                <w:rFonts w:asciiTheme="majorBidi" w:hAnsiTheme="majorBidi" w:cstheme="majorBidi"/>
                <w:i/>
                <w:iCs/>
                <w:sz w:val="22"/>
                <w:szCs w:val="22"/>
              </w:rPr>
              <w:t>ϕ</w:t>
            </w:r>
            <w:r w:rsidRPr="006D631C">
              <w:rPr>
                <w:rFonts w:asciiTheme="majorBidi" w:hAnsiTheme="majorBidi" w:cstheme="majorBidi"/>
                <w:i/>
                <w:iCs/>
                <w:sz w:val="22"/>
                <w:szCs w:val="22"/>
                <w:vertAlign w:val="subscript"/>
              </w:rPr>
              <w:t>Pluronic</w:t>
            </w:r>
            <w:proofErr w:type="spellEnd"/>
          </w:p>
        </w:tc>
        <w:tc>
          <w:tcPr>
            <w:tcW w:w="856" w:type="dxa"/>
            <w:tcBorders>
              <w:top w:val="single" w:sz="4" w:space="0" w:color="auto"/>
              <w:bottom w:val="single" w:sz="4" w:space="0" w:color="auto"/>
            </w:tcBorders>
            <w:vAlign w:val="center"/>
          </w:tcPr>
          <w:p w14:paraId="2D39E4C2" w14:textId="77777777" w:rsidR="0093296F" w:rsidRPr="006D631C" w:rsidRDefault="0093296F" w:rsidP="00E17C43">
            <w:pPr>
              <w:widowControl w:val="0"/>
              <w:spacing w:line="240" w:lineRule="auto"/>
              <w:jc w:val="center"/>
              <w:rPr>
                <w:rFonts w:asciiTheme="majorBidi" w:hAnsiTheme="majorBidi" w:cstheme="majorBidi"/>
                <w:i/>
                <w:iCs/>
                <w:sz w:val="22"/>
                <w:szCs w:val="22"/>
              </w:rPr>
            </w:pPr>
            <w:r w:rsidRPr="006D631C">
              <w:rPr>
                <w:rFonts w:asciiTheme="majorBidi" w:hAnsiTheme="majorBidi" w:cstheme="majorBidi"/>
                <w:i/>
                <w:iCs/>
                <w:sz w:val="22"/>
                <w:szCs w:val="22"/>
              </w:rPr>
              <w:t>ϕ</w:t>
            </w:r>
          </w:p>
        </w:tc>
        <w:tc>
          <w:tcPr>
            <w:tcW w:w="708" w:type="dxa"/>
            <w:tcBorders>
              <w:top w:val="single" w:sz="4" w:space="0" w:color="auto"/>
              <w:bottom w:val="single" w:sz="4" w:space="0" w:color="auto"/>
            </w:tcBorders>
            <w:vAlign w:val="center"/>
          </w:tcPr>
          <w:p w14:paraId="2109B647" w14:textId="77777777" w:rsidR="0093296F" w:rsidRPr="006D631C" w:rsidRDefault="0093296F" w:rsidP="00E17C43">
            <w:pPr>
              <w:widowControl w:val="0"/>
              <w:spacing w:line="240" w:lineRule="auto"/>
              <w:jc w:val="center"/>
              <w:rPr>
                <w:rFonts w:asciiTheme="majorBidi" w:hAnsiTheme="majorBidi" w:cstheme="majorBidi"/>
                <w:i/>
                <w:iCs/>
                <w:sz w:val="22"/>
                <w:szCs w:val="22"/>
              </w:rPr>
            </w:pPr>
            <w:r w:rsidRPr="006D631C">
              <w:rPr>
                <w:rFonts w:asciiTheme="majorBidi" w:hAnsiTheme="majorBidi" w:cstheme="majorBidi"/>
                <w:i/>
                <w:iCs/>
                <w:sz w:val="22"/>
                <w:szCs w:val="22"/>
              </w:rPr>
              <w:t>a</w:t>
            </w:r>
          </w:p>
          <w:p w14:paraId="0CA2866E" w14:textId="77777777" w:rsidR="0093296F" w:rsidRPr="006D631C" w:rsidRDefault="0093296F" w:rsidP="00E17C43">
            <w:pPr>
              <w:widowControl w:val="0"/>
              <w:spacing w:line="240" w:lineRule="auto"/>
              <w:jc w:val="center"/>
              <w:rPr>
                <w:rFonts w:asciiTheme="majorBidi" w:hAnsiTheme="majorBidi" w:cstheme="majorBidi"/>
                <w:sz w:val="22"/>
                <w:szCs w:val="22"/>
              </w:rPr>
            </w:pPr>
            <w:r w:rsidRPr="006D631C">
              <w:rPr>
                <w:rFonts w:asciiTheme="majorBidi" w:hAnsiTheme="majorBidi" w:cstheme="majorBidi"/>
                <w:sz w:val="22"/>
                <w:szCs w:val="22"/>
              </w:rPr>
              <w:t>(nm)</w:t>
            </w:r>
          </w:p>
        </w:tc>
        <w:tc>
          <w:tcPr>
            <w:tcW w:w="709" w:type="dxa"/>
            <w:tcBorders>
              <w:top w:val="single" w:sz="4" w:space="0" w:color="auto"/>
              <w:bottom w:val="single" w:sz="4" w:space="0" w:color="auto"/>
            </w:tcBorders>
            <w:vAlign w:val="center"/>
          </w:tcPr>
          <w:p w14:paraId="520BEC1F" w14:textId="77777777" w:rsidR="0093296F" w:rsidRPr="006D631C" w:rsidRDefault="0093296F" w:rsidP="00E17C43">
            <w:pPr>
              <w:widowControl w:val="0"/>
              <w:spacing w:line="240" w:lineRule="auto"/>
              <w:jc w:val="center"/>
              <w:rPr>
                <w:rFonts w:asciiTheme="majorBidi" w:hAnsiTheme="majorBidi" w:cstheme="majorBidi"/>
                <w:i/>
                <w:iCs/>
                <w:sz w:val="22"/>
                <w:szCs w:val="22"/>
                <w:vertAlign w:val="subscript"/>
              </w:rPr>
            </w:pPr>
            <w:proofErr w:type="spellStart"/>
            <w:r w:rsidRPr="006D631C">
              <w:rPr>
                <w:rFonts w:asciiTheme="majorBidi" w:hAnsiTheme="majorBidi" w:cstheme="majorBidi"/>
                <w:i/>
                <w:iCs/>
                <w:sz w:val="22"/>
                <w:szCs w:val="22"/>
              </w:rPr>
              <w:t>R</w:t>
            </w:r>
            <w:r w:rsidRPr="006D631C">
              <w:rPr>
                <w:rFonts w:asciiTheme="majorBidi" w:hAnsiTheme="majorBidi" w:cstheme="majorBidi"/>
                <w:i/>
                <w:iCs/>
                <w:sz w:val="22"/>
                <w:szCs w:val="22"/>
                <w:vertAlign w:val="subscript"/>
              </w:rPr>
              <w:t>c</w:t>
            </w:r>
            <w:proofErr w:type="spellEnd"/>
            <w:r w:rsidRPr="006D631C">
              <w:rPr>
                <w:rFonts w:asciiTheme="majorBidi" w:hAnsiTheme="majorBidi" w:cstheme="majorBidi"/>
                <w:sz w:val="22"/>
                <w:szCs w:val="22"/>
              </w:rPr>
              <w:t xml:space="preserve"> (nm)</w:t>
            </w:r>
          </w:p>
        </w:tc>
        <w:tc>
          <w:tcPr>
            <w:tcW w:w="709" w:type="dxa"/>
            <w:tcBorders>
              <w:top w:val="single" w:sz="4" w:space="0" w:color="auto"/>
              <w:bottom w:val="single" w:sz="4" w:space="0" w:color="auto"/>
            </w:tcBorders>
            <w:vAlign w:val="center"/>
          </w:tcPr>
          <w:p w14:paraId="2E6E4A03" w14:textId="77777777" w:rsidR="0093296F" w:rsidRPr="006D631C" w:rsidRDefault="0093296F" w:rsidP="00E17C43">
            <w:pPr>
              <w:widowControl w:val="0"/>
              <w:spacing w:line="240" w:lineRule="auto"/>
              <w:jc w:val="center"/>
              <w:rPr>
                <w:rFonts w:asciiTheme="majorBidi" w:hAnsiTheme="majorBidi" w:cstheme="majorBidi"/>
                <w:i/>
                <w:iCs/>
                <w:sz w:val="22"/>
                <w:szCs w:val="22"/>
                <w:vertAlign w:val="subscript"/>
              </w:rPr>
            </w:pPr>
            <w:r w:rsidRPr="006D631C">
              <w:rPr>
                <w:rFonts w:asciiTheme="majorBidi" w:hAnsiTheme="majorBidi" w:cstheme="majorBidi"/>
                <w:i/>
                <w:iCs/>
                <w:sz w:val="22"/>
                <w:szCs w:val="22"/>
              </w:rPr>
              <w:t>R</w:t>
            </w:r>
            <w:r w:rsidRPr="006D631C">
              <w:rPr>
                <w:rFonts w:asciiTheme="majorBidi" w:hAnsiTheme="majorBidi" w:cstheme="majorBidi"/>
                <w:i/>
                <w:iCs/>
                <w:sz w:val="22"/>
                <w:szCs w:val="22"/>
                <w:vertAlign w:val="subscript"/>
              </w:rPr>
              <w:t>m</w:t>
            </w:r>
          </w:p>
          <w:p w14:paraId="581A2C61" w14:textId="77777777" w:rsidR="0093296F" w:rsidRPr="006D631C" w:rsidRDefault="0093296F" w:rsidP="00E17C43">
            <w:pPr>
              <w:widowControl w:val="0"/>
              <w:spacing w:line="240" w:lineRule="auto"/>
              <w:jc w:val="center"/>
              <w:rPr>
                <w:rFonts w:ascii="Cambria Math" w:hAnsi="Cambria Math" w:cs="Cambria Math"/>
                <w:sz w:val="22"/>
                <w:szCs w:val="22"/>
              </w:rPr>
            </w:pPr>
            <w:r w:rsidRPr="006D631C">
              <w:rPr>
                <w:rFonts w:asciiTheme="majorBidi" w:hAnsiTheme="majorBidi" w:cstheme="majorBidi"/>
                <w:sz w:val="22"/>
                <w:szCs w:val="22"/>
              </w:rPr>
              <w:t>(nm)</w:t>
            </w:r>
          </w:p>
        </w:tc>
        <w:tc>
          <w:tcPr>
            <w:tcW w:w="708" w:type="dxa"/>
            <w:tcBorders>
              <w:top w:val="single" w:sz="4" w:space="0" w:color="auto"/>
              <w:bottom w:val="single" w:sz="4" w:space="0" w:color="auto"/>
            </w:tcBorders>
            <w:vAlign w:val="center"/>
          </w:tcPr>
          <w:p w14:paraId="7F257687" w14:textId="77777777" w:rsidR="0093296F" w:rsidRPr="006D631C" w:rsidRDefault="0093296F" w:rsidP="00E17C43">
            <w:pPr>
              <w:widowControl w:val="0"/>
              <w:spacing w:line="240" w:lineRule="auto"/>
              <w:jc w:val="center"/>
              <w:rPr>
                <w:rFonts w:asciiTheme="majorBidi" w:hAnsiTheme="majorBidi" w:cstheme="majorBidi"/>
                <w:i/>
                <w:iCs/>
                <w:sz w:val="22"/>
                <w:szCs w:val="22"/>
                <w:vertAlign w:val="subscript"/>
              </w:rPr>
            </w:pPr>
            <w:proofErr w:type="spellStart"/>
            <w:r w:rsidRPr="006D631C">
              <w:rPr>
                <w:rFonts w:asciiTheme="majorBidi" w:hAnsiTheme="majorBidi" w:cstheme="majorBidi"/>
                <w:i/>
                <w:iCs/>
                <w:sz w:val="22"/>
                <w:szCs w:val="22"/>
              </w:rPr>
              <w:t>D</w:t>
            </w:r>
            <w:r w:rsidRPr="006D631C">
              <w:rPr>
                <w:rFonts w:asciiTheme="majorBidi" w:hAnsiTheme="majorBidi" w:cstheme="majorBidi"/>
                <w:i/>
                <w:iCs/>
                <w:sz w:val="22"/>
                <w:szCs w:val="22"/>
                <w:vertAlign w:val="subscript"/>
              </w:rPr>
              <w:t>m</w:t>
            </w:r>
            <w:proofErr w:type="spellEnd"/>
          </w:p>
          <w:p w14:paraId="5B410B75" w14:textId="77777777" w:rsidR="0093296F" w:rsidRPr="006D631C" w:rsidRDefault="0093296F" w:rsidP="00E17C43">
            <w:pPr>
              <w:widowControl w:val="0"/>
              <w:spacing w:line="240" w:lineRule="auto"/>
              <w:jc w:val="center"/>
              <w:rPr>
                <w:rFonts w:ascii="Cambria Math" w:hAnsi="Cambria Math" w:cs="Cambria Math"/>
                <w:sz w:val="22"/>
                <w:szCs w:val="22"/>
              </w:rPr>
            </w:pPr>
            <w:r w:rsidRPr="006D631C">
              <w:rPr>
                <w:rFonts w:asciiTheme="majorBidi" w:hAnsiTheme="majorBidi" w:cstheme="majorBidi"/>
                <w:sz w:val="22"/>
                <w:szCs w:val="22"/>
              </w:rPr>
              <w:t>(nm)</w:t>
            </w:r>
          </w:p>
        </w:tc>
      </w:tr>
      <w:tr w:rsidR="007E4275" w:rsidRPr="006D631C" w14:paraId="3EDF0E9B" w14:textId="77777777" w:rsidTr="00E17C43">
        <w:trPr>
          <w:trHeight w:val="700"/>
          <w:jc w:val="center"/>
        </w:trPr>
        <w:tc>
          <w:tcPr>
            <w:tcW w:w="1844" w:type="dxa"/>
            <w:tcBorders>
              <w:top w:val="single" w:sz="4" w:space="0" w:color="auto"/>
            </w:tcBorders>
            <w:shd w:val="clear" w:color="auto" w:fill="auto"/>
            <w:noWrap/>
            <w:vAlign w:val="center"/>
          </w:tcPr>
          <w:p w14:paraId="59FCA653" w14:textId="5B3B8BE7" w:rsidR="007E4275" w:rsidRPr="006D631C" w:rsidRDefault="007E4275" w:rsidP="007E4275">
            <w:pPr>
              <w:widowControl w:val="0"/>
              <w:spacing w:line="240" w:lineRule="auto"/>
              <w:jc w:val="center"/>
              <w:rPr>
                <w:color w:val="000000"/>
                <w:sz w:val="22"/>
                <w:szCs w:val="22"/>
              </w:rPr>
            </w:pPr>
            <w:r w:rsidRPr="006D631C">
              <w:rPr>
                <w:color w:val="000000"/>
                <w:sz w:val="22"/>
                <w:szCs w:val="22"/>
              </w:rPr>
              <w:t>LLC</w:t>
            </w:r>
          </w:p>
        </w:tc>
        <w:tc>
          <w:tcPr>
            <w:tcW w:w="845" w:type="dxa"/>
            <w:tcBorders>
              <w:top w:val="single" w:sz="4" w:space="0" w:color="auto"/>
            </w:tcBorders>
            <w:shd w:val="clear" w:color="auto" w:fill="auto"/>
            <w:noWrap/>
            <w:vAlign w:val="center"/>
          </w:tcPr>
          <w:p w14:paraId="4C85B669" w14:textId="4EEB71A4" w:rsidR="007E4275" w:rsidRPr="006D631C" w:rsidRDefault="007E4275" w:rsidP="007E4275">
            <w:pPr>
              <w:widowControl w:val="0"/>
              <w:spacing w:line="240" w:lineRule="auto"/>
              <w:jc w:val="center"/>
              <w:rPr>
                <w:color w:val="000000"/>
                <w:sz w:val="22"/>
                <w:szCs w:val="22"/>
              </w:rPr>
            </w:pPr>
            <w:r w:rsidRPr="006D631C">
              <w:rPr>
                <w:color w:val="000000"/>
                <w:sz w:val="22"/>
                <w:szCs w:val="22"/>
              </w:rPr>
              <w:t>0.59</w:t>
            </w:r>
          </w:p>
        </w:tc>
        <w:tc>
          <w:tcPr>
            <w:tcW w:w="856" w:type="dxa"/>
            <w:tcBorders>
              <w:top w:val="single" w:sz="4" w:space="0" w:color="auto"/>
            </w:tcBorders>
            <w:shd w:val="clear" w:color="auto" w:fill="auto"/>
            <w:noWrap/>
            <w:vAlign w:val="center"/>
          </w:tcPr>
          <w:p w14:paraId="40B3C870" w14:textId="2111CB2E" w:rsidR="007E4275" w:rsidRPr="006D631C" w:rsidRDefault="007E4275" w:rsidP="007E4275">
            <w:pPr>
              <w:widowControl w:val="0"/>
              <w:spacing w:line="240" w:lineRule="auto"/>
              <w:jc w:val="center"/>
              <w:rPr>
                <w:color w:val="000000"/>
                <w:sz w:val="22"/>
                <w:szCs w:val="22"/>
              </w:rPr>
            </w:pPr>
            <w:r w:rsidRPr="006D631C">
              <w:rPr>
                <w:color w:val="000000"/>
                <w:sz w:val="22"/>
                <w:szCs w:val="22"/>
              </w:rPr>
              <w:t>0.66</w:t>
            </w:r>
          </w:p>
        </w:tc>
        <w:tc>
          <w:tcPr>
            <w:tcW w:w="850" w:type="dxa"/>
            <w:tcBorders>
              <w:top w:val="single" w:sz="4" w:space="0" w:color="auto"/>
            </w:tcBorders>
            <w:shd w:val="clear" w:color="auto" w:fill="auto"/>
            <w:noWrap/>
            <w:vAlign w:val="center"/>
          </w:tcPr>
          <w:p w14:paraId="4C1D58EA" w14:textId="6A2C0C00" w:rsidR="007E4275" w:rsidRPr="006D631C" w:rsidRDefault="007E4275" w:rsidP="007E4275">
            <w:pPr>
              <w:widowControl w:val="0"/>
              <w:spacing w:line="240" w:lineRule="auto"/>
              <w:jc w:val="center"/>
              <w:rPr>
                <w:color w:val="000000"/>
                <w:sz w:val="22"/>
                <w:szCs w:val="22"/>
              </w:rPr>
            </w:pPr>
            <w:r w:rsidRPr="006D631C">
              <w:rPr>
                <w:color w:val="000000"/>
                <w:sz w:val="22"/>
                <w:szCs w:val="22"/>
              </w:rPr>
              <w:t>0.021</w:t>
            </w:r>
          </w:p>
        </w:tc>
        <w:tc>
          <w:tcPr>
            <w:tcW w:w="987" w:type="dxa"/>
            <w:tcBorders>
              <w:top w:val="single" w:sz="4" w:space="0" w:color="auto"/>
            </w:tcBorders>
            <w:shd w:val="clear" w:color="auto" w:fill="auto"/>
            <w:noWrap/>
            <w:vAlign w:val="center"/>
          </w:tcPr>
          <w:p w14:paraId="1CE8D5E3" w14:textId="31F44BED" w:rsidR="007E4275" w:rsidRPr="006D631C" w:rsidRDefault="007E4275" w:rsidP="007E4275">
            <w:pPr>
              <w:widowControl w:val="0"/>
              <w:spacing w:line="240" w:lineRule="auto"/>
              <w:jc w:val="center"/>
              <w:rPr>
                <w:color w:val="000000"/>
                <w:sz w:val="22"/>
                <w:szCs w:val="22"/>
              </w:rPr>
            </w:pPr>
            <w:r w:rsidRPr="006D631C">
              <w:rPr>
                <w:color w:val="000000"/>
                <w:sz w:val="22"/>
                <w:szCs w:val="22"/>
              </w:rPr>
              <w:t>0.53</w:t>
            </w:r>
          </w:p>
        </w:tc>
        <w:tc>
          <w:tcPr>
            <w:tcW w:w="856" w:type="dxa"/>
            <w:tcBorders>
              <w:top w:val="single" w:sz="4" w:space="0" w:color="auto"/>
            </w:tcBorders>
            <w:vAlign w:val="center"/>
          </w:tcPr>
          <w:p w14:paraId="2B6226E1" w14:textId="317C8358" w:rsidR="007E4275" w:rsidRPr="006D631C" w:rsidRDefault="007E4275" w:rsidP="007E4275">
            <w:pPr>
              <w:widowControl w:val="0"/>
              <w:spacing w:line="240" w:lineRule="auto"/>
              <w:jc w:val="center"/>
              <w:rPr>
                <w:color w:val="000000"/>
                <w:sz w:val="22"/>
                <w:szCs w:val="22"/>
              </w:rPr>
            </w:pPr>
            <w:r w:rsidRPr="006D631C">
              <w:rPr>
                <w:color w:val="000000"/>
                <w:sz w:val="22"/>
                <w:szCs w:val="22"/>
              </w:rPr>
              <w:t>0.37</w:t>
            </w:r>
          </w:p>
        </w:tc>
        <w:tc>
          <w:tcPr>
            <w:tcW w:w="708" w:type="dxa"/>
            <w:tcBorders>
              <w:top w:val="single" w:sz="4" w:space="0" w:color="auto"/>
            </w:tcBorders>
            <w:vAlign w:val="center"/>
          </w:tcPr>
          <w:p w14:paraId="6F7A4F2A" w14:textId="558DB594" w:rsidR="007E4275" w:rsidRPr="006D631C" w:rsidRDefault="007E4275" w:rsidP="007E4275">
            <w:pPr>
              <w:widowControl w:val="0"/>
              <w:spacing w:line="240" w:lineRule="auto"/>
              <w:jc w:val="center"/>
              <w:rPr>
                <w:color w:val="000000"/>
                <w:sz w:val="22"/>
                <w:szCs w:val="22"/>
              </w:rPr>
            </w:pPr>
            <w:r w:rsidRPr="006D631C">
              <w:rPr>
                <w:color w:val="000000"/>
                <w:sz w:val="22"/>
                <w:szCs w:val="22"/>
              </w:rPr>
              <w:t>12.4</w:t>
            </w:r>
          </w:p>
        </w:tc>
        <w:tc>
          <w:tcPr>
            <w:tcW w:w="709" w:type="dxa"/>
            <w:tcBorders>
              <w:top w:val="single" w:sz="4" w:space="0" w:color="auto"/>
            </w:tcBorders>
            <w:vAlign w:val="center"/>
          </w:tcPr>
          <w:p w14:paraId="423BFEC3" w14:textId="7F4D39AB" w:rsidR="007E4275" w:rsidRPr="006D631C" w:rsidRDefault="007E4275" w:rsidP="007E4275">
            <w:pPr>
              <w:widowControl w:val="0"/>
              <w:spacing w:line="240" w:lineRule="auto"/>
              <w:jc w:val="center"/>
              <w:rPr>
                <w:color w:val="000000"/>
                <w:sz w:val="22"/>
                <w:szCs w:val="22"/>
              </w:rPr>
            </w:pPr>
            <w:r w:rsidRPr="006D631C">
              <w:rPr>
                <w:color w:val="000000"/>
                <w:sz w:val="22"/>
                <w:szCs w:val="22"/>
              </w:rPr>
              <w:t>3.9</w:t>
            </w:r>
          </w:p>
        </w:tc>
        <w:tc>
          <w:tcPr>
            <w:tcW w:w="709" w:type="dxa"/>
            <w:tcBorders>
              <w:top w:val="single" w:sz="4" w:space="0" w:color="auto"/>
            </w:tcBorders>
            <w:vAlign w:val="center"/>
          </w:tcPr>
          <w:p w14:paraId="12A9461A" w14:textId="2FF475C8" w:rsidR="007E4275" w:rsidRPr="006D631C" w:rsidRDefault="007E4275" w:rsidP="007E4275">
            <w:pPr>
              <w:widowControl w:val="0"/>
              <w:spacing w:line="240" w:lineRule="auto"/>
              <w:jc w:val="center"/>
              <w:rPr>
                <w:color w:val="000000"/>
                <w:sz w:val="22"/>
                <w:szCs w:val="22"/>
              </w:rPr>
            </w:pPr>
            <w:r w:rsidRPr="006D631C">
              <w:rPr>
                <w:color w:val="000000"/>
                <w:sz w:val="22"/>
                <w:szCs w:val="22"/>
              </w:rPr>
              <w:t>4.8</w:t>
            </w:r>
          </w:p>
        </w:tc>
        <w:tc>
          <w:tcPr>
            <w:tcW w:w="708" w:type="dxa"/>
            <w:tcBorders>
              <w:top w:val="single" w:sz="4" w:space="0" w:color="auto"/>
            </w:tcBorders>
            <w:vAlign w:val="center"/>
          </w:tcPr>
          <w:p w14:paraId="02F2FCF6" w14:textId="40536A82" w:rsidR="007E4275" w:rsidRPr="006D631C" w:rsidRDefault="007E4275" w:rsidP="007E4275">
            <w:pPr>
              <w:widowControl w:val="0"/>
              <w:spacing w:line="240" w:lineRule="auto"/>
              <w:jc w:val="center"/>
              <w:rPr>
                <w:color w:val="000000"/>
                <w:sz w:val="22"/>
                <w:szCs w:val="22"/>
              </w:rPr>
            </w:pPr>
            <w:r w:rsidRPr="006D631C">
              <w:rPr>
                <w:color w:val="000000"/>
                <w:sz w:val="22"/>
                <w:szCs w:val="22"/>
              </w:rPr>
              <w:t>2.7</w:t>
            </w:r>
          </w:p>
        </w:tc>
      </w:tr>
      <w:tr w:rsidR="007E4275" w:rsidRPr="006D631C" w14:paraId="6567C21C" w14:textId="77777777" w:rsidTr="00E17C43">
        <w:trPr>
          <w:trHeight w:val="844"/>
          <w:jc w:val="center"/>
        </w:trPr>
        <w:tc>
          <w:tcPr>
            <w:tcW w:w="1844" w:type="dxa"/>
            <w:shd w:val="clear" w:color="auto" w:fill="auto"/>
            <w:noWrap/>
            <w:vAlign w:val="center"/>
            <w:hideMark/>
          </w:tcPr>
          <w:p w14:paraId="0E4034B8" w14:textId="54B053CB" w:rsidR="007E4275" w:rsidRPr="006D631C" w:rsidRDefault="007E4275" w:rsidP="007E4275">
            <w:pPr>
              <w:widowControl w:val="0"/>
              <w:spacing w:line="240" w:lineRule="auto"/>
              <w:jc w:val="center"/>
              <w:rPr>
                <w:color w:val="000000"/>
                <w:sz w:val="22"/>
                <w:szCs w:val="22"/>
              </w:rPr>
            </w:pPr>
            <w:r w:rsidRPr="006D631C">
              <w:rPr>
                <w:color w:val="000000"/>
                <w:sz w:val="22"/>
                <w:szCs w:val="22"/>
              </w:rPr>
              <w:t>PolyLLC</w:t>
            </w:r>
          </w:p>
        </w:tc>
        <w:tc>
          <w:tcPr>
            <w:tcW w:w="845" w:type="dxa"/>
            <w:shd w:val="clear" w:color="auto" w:fill="auto"/>
            <w:noWrap/>
            <w:vAlign w:val="center"/>
          </w:tcPr>
          <w:p w14:paraId="50332A3E" w14:textId="6F6E95DF" w:rsidR="007E4275" w:rsidRPr="006D631C" w:rsidRDefault="007E4275" w:rsidP="007E4275">
            <w:pPr>
              <w:widowControl w:val="0"/>
              <w:spacing w:line="240" w:lineRule="auto"/>
              <w:jc w:val="center"/>
              <w:rPr>
                <w:color w:val="000000"/>
                <w:sz w:val="22"/>
                <w:szCs w:val="22"/>
              </w:rPr>
            </w:pPr>
            <w:r w:rsidRPr="006D631C">
              <w:rPr>
                <w:color w:val="000000"/>
                <w:sz w:val="22"/>
                <w:szCs w:val="22"/>
              </w:rPr>
              <w:t>0.58</w:t>
            </w:r>
          </w:p>
        </w:tc>
        <w:tc>
          <w:tcPr>
            <w:tcW w:w="856" w:type="dxa"/>
            <w:shd w:val="clear" w:color="auto" w:fill="auto"/>
            <w:noWrap/>
            <w:vAlign w:val="center"/>
          </w:tcPr>
          <w:p w14:paraId="55E87D97" w14:textId="28E1EB99" w:rsidR="007E4275" w:rsidRPr="006D631C" w:rsidRDefault="007E4275" w:rsidP="007E4275">
            <w:pPr>
              <w:widowControl w:val="0"/>
              <w:spacing w:line="240" w:lineRule="auto"/>
              <w:jc w:val="center"/>
              <w:rPr>
                <w:color w:val="000000"/>
                <w:sz w:val="22"/>
                <w:szCs w:val="22"/>
              </w:rPr>
            </w:pPr>
            <w:r w:rsidRPr="006D631C">
              <w:rPr>
                <w:color w:val="000000"/>
                <w:sz w:val="22"/>
                <w:szCs w:val="22"/>
              </w:rPr>
              <w:t>0.66</w:t>
            </w:r>
          </w:p>
        </w:tc>
        <w:tc>
          <w:tcPr>
            <w:tcW w:w="850" w:type="dxa"/>
            <w:shd w:val="clear" w:color="auto" w:fill="auto"/>
            <w:noWrap/>
            <w:vAlign w:val="center"/>
          </w:tcPr>
          <w:p w14:paraId="5326E75D" w14:textId="7CC69A17" w:rsidR="007E4275" w:rsidRPr="006D631C" w:rsidRDefault="007E4275" w:rsidP="007E4275">
            <w:pPr>
              <w:widowControl w:val="0"/>
              <w:spacing w:line="240" w:lineRule="auto"/>
              <w:jc w:val="center"/>
              <w:rPr>
                <w:color w:val="000000"/>
                <w:sz w:val="22"/>
                <w:szCs w:val="22"/>
              </w:rPr>
            </w:pPr>
            <w:r w:rsidRPr="006D631C">
              <w:rPr>
                <w:color w:val="000000"/>
                <w:sz w:val="22"/>
                <w:szCs w:val="22"/>
              </w:rPr>
              <w:t>0.021</w:t>
            </w:r>
          </w:p>
        </w:tc>
        <w:tc>
          <w:tcPr>
            <w:tcW w:w="987" w:type="dxa"/>
            <w:shd w:val="clear" w:color="auto" w:fill="auto"/>
            <w:noWrap/>
            <w:vAlign w:val="center"/>
          </w:tcPr>
          <w:p w14:paraId="1686CF00" w14:textId="5CE26821" w:rsidR="007E4275" w:rsidRPr="006D631C" w:rsidRDefault="007E4275" w:rsidP="007E4275">
            <w:pPr>
              <w:widowControl w:val="0"/>
              <w:spacing w:line="240" w:lineRule="auto"/>
              <w:jc w:val="center"/>
              <w:rPr>
                <w:color w:val="000000"/>
                <w:sz w:val="22"/>
                <w:szCs w:val="22"/>
              </w:rPr>
            </w:pPr>
            <w:r w:rsidRPr="006D631C">
              <w:rPr>
                <w:color w:val="000000"/>
                <w:sz w:val="22"/>
                <w:szCs w:val="22"/>
              </w:rPr>
              <w:t>0.53</w:t>
            </w:r>
          </w:p>
        </w:tc>
        <w:tc>
          <w:tcPr>
            <w:tcW w:w="856" w:type="dxa"/>
            <w:vAlign w:val="center"/>
          </w:tcPr>
          <w:p w14:paraId="4CC00246" w14:textId="4222D43F" w:rsidR="007E4275" w:rsidRPr="006D631C" w:rsidRDefault="007E4275" w:rsidP="007E4275">
            <w:pPr>
              <w:widowControl w:val="0"/>
              <w:spacing w:line="240" w:lineRule="auto"/>
              <w:jc w:val="center"/>
              <w:rPr>
                <w:color w:val="000000"/>
                <w:sz w:val="22"/>
                <w:szCs w:val="22"/>
              </w:rPr>
            </w:pPr>
            <w:r w:rsidRPr="006D631C">
              <w:rPr>
                <w:color w:val="000000"/>
                <w:sz w:val="22"/>
                <w:szCs w:val="22"/>
              </w:rPr>
              <w:t>0.37</w:t>
            </w:r>
          </w:p>
        </w:tc>
        <w:tc>
          <w:tcPr>
            <w:tcW w:w="708" w:type="dxa"/>
            <w:vAlign w:val="center"/>
          </w:tcPr>
          <w:p w14:paraId="7D241802" w14:textId="11F47D6B" w:rsidR="007E4275" w:rsidRPr="006D631C" w:rsidRDefault="007E4275" w:rsidP="007E4275">
            <w:pPr>
              <w:widowControl w:val="0"/>
              <w:spacing w:line="240" w:lineRule="auto"/>
              <w:jc w:val="center"/>
              <w:rPr>
                <w:color w:val="000000"/>
                <w:sz w:val="22"/>
                <w:szCs w:val="22"/>
              </w:rPr>
            </w:pPr>
            <w:r w:rsidRPr="006D631C">
              <w:rPr>
                <w:color w:val="000000"/>
                <w:sz w:val="22"/>
                <w:szCs w:val="22"/>
              </w:rPr>
              <w:t>12.5</w:t>
            </w:r>
          </w:p>
        </w:tc>
        <w:tc>
          <w:tcPr>
            <w:tcW w:w="709" w:type="dxa"/>
            <w:vAlign w:val="center"/>
          </w:tcPr>
          <w:p w14:paraId="6CBA0A19" w14:textId="13AEE4A5" w:rsidR="007E4275" w:rsidRPr="006D631C" w:rsidRDefault="007E4275" w:rsidP="007E4275">
            <w:pPr>
              <w:widowControl w:val="0"/>
              <w:spacing w:line="240" w:lineRule="auto"/>
              <w:jc w:val="center"/>
              <w:rPr>
                <w:color w:val="000000"/>
                <w:sz w:val="22"/>
                <w:szCs w:val="22"/>
              </w:rPr>
            </w:pPr>
            <w:r w:rsidRPr="006D631C">
              <w:rPr>
                <w:color w:val="000000"/>
                <w:sz w:val="22"/>
                <w:szCs w:val="22"/>
              </w:rPr>
              <w:t>4.0</w:t>
            </w:r>
          </w:p>
        </w:tc>
        <w:tc>
          <w:tcPr>
            <w:tcW w:w="709" w:type="dxa"/>
            <w:vAlign w:val="center"/>
          </w:tcPr>
          <w:p w14:paraId="38224736" w14:textId="384E4C17" w:rsidR="007E4275" w:rsidRPr="006D631C" w:rsidRDefault="007E4275" w:rsidP="007E4275">
            <w:pPr>
              <w:widowControl w:val="0"/>
              <w:spacing w:line="240" w:lineRule="auto"/>
              <w:jc w:val="center"/>
              <w:rPr>
                <w:color w:val="000000"/>
                <w:sz w:val="22"/>
                <w:szCs w:val="22"/>
              </w:rPr>
            </w:pPr>
            <w:r w:rsidRPr="006D631C">
              <w:rPr>
                <w:color w:val="000000"/>
                <w:sz w:val="22"/>
                <w:szCs w:val="22"/>
              </w:rPr>
              <w:t>4.9</w:t>
            </w:r>
          </w:p>
        </w:tc>
        <w:tc>
          <w:tcPr>
            <w:tcW w:w="708" w:type="dxa"/>
            <w:vAlign w:val="center"/>
          </w:tcPr>
          <w:p w14:paraId="1612AC46" w14:textId="12425ED3" w:rsidR="007E4275" w:rsidRPr="006D631C" w:rsidRDefault="007E4275" w:rsidP="007E4275">
            <w:pPr>
              <w:widowControl w:val="0"/>
              <w:spacing w:line="240" w:lineRule="auto"/>
              <w:jc w:val="center"/>
              <w:rPr>
                <w:color w:val="000000"/>
                <w:sz w:val="22"/>
                <w:szCs w:val="22"/>
              </w:rPr>
            </w:pPr>
            <w:r w:rsidRPr="006D631C">
              <w:rPr>
                <w:color w:val="000000"/>
                <w:sz w:val="22"/>
                <w:szCs w:val="22"/>
              </w:rPr>
              <w:t>2.7</w:t>
            </w:r>
          </w:p>
        </w:tc>
      </w:tr>
      <w:tr w:rsidR="007E4275" w:rsidRPr="006D631C" w14:paraId="3A3DD707" w14:textId="77777777" w:rsidTr="00E17C43">
        <w:trPr>
          <w:trHeight w:val="985"/>
          <w:jc w:val="center"/>
        </w:trPr>
        <w:tc>
          <w:tcPr>
            <w:tcW w:w="1844" w:type="dxa"/>
            <w:shd w:val="clear" w:color="auto" w:fill="auto"/>
            <w:noWrap/>
            <w:vAlign w:val="center"/>
            <w:hideMark/>
          </w:tcPr>
          <w:p w14:paraId="588E8D5A" w14:textId="7F3063E5" w:rsidR="007E4275" w:rsidRPr="006D631C" w:rsidRDefault="007E4275" w:rsidP="007E4275">
            <w:pPr>
              <w:widowControl w:val="0"/>
              <w:spacing w:line="240" w:lineRule="auto"/>
              <w:jc w:val="center"/>
              <w:rPr>
                <w:color w:val="000000"/>
                <w:sz w:val="22"/>
                <w:szCs w:val="22"/>
              </w:rPr>
            </w:pPr>
            <w:r w:rsidRPr="006D631C">
              <w:rPr>
                <w:color w:val="000000"/>
                <w:sz w:val="22"/>
                <w:szCs w:val="22"/>
              </w:rPr>
              <w:t>Water-swollen polyLLC at 25 °C and pH of 6</w:t>
            </w:r>
          </w:p>
        </w:tc>
        <w:tc>
          <w:tcPr>
            <w:tcW w:w="845" w:type="dxa"/>
            <w:shd w:val="clear" w:color="auto" w:fill="auto"/>
            <w:noWrap/>
            <w:vAlign w:val="center"/>
          </w:tcPr>
          <w:p w14:paraId="6FD1A616" w14:textId="04A2E9A2" w:rsidR="007E4275" w:rsidRPr="006D631C" w:rsidRDefault="007E4275" w:rsidP="007E4275">
            <w:pPr>
              <w:widowControl w:val="0"/>
              <w:spacing w:line="240" w:lineRule="auto"/>
              <w:jc w:val="center"/>
              <w:rPr>
                <w:color w:val="000000"/>
                <w:sz w:val="22"/>
                <w:szCs w:val="22"/>
              </w:rPr>
            </w:pPr>
            <w:r w:rsidRPr="006D631C">
              <w:rPr>
                <w:color w:val="000000"/>
                <w:sz w:val="22"/>
                <w:szCs w:val="22"/>
              </w:rPr>
              <w:t>0.60</w:t>
            </w:r>
          </w:p>
        </w:tc>
        <w:tc>
          <w:tcPr>
            <w:tcW w:w="856" w:type="dxa"/>
            <w:shd w:val="clear" w:color="auto" w:fill="auto"/>
            <w:noWrap/>
            <w:vAlign w:val="center"/>
          </w:tcPr>
          <w:p w14:paraId="58DD8583" w14:textId="33368659" w:rsidR="007E4275" w:rsidRPr="006D631C" w:rsidRDefault="007E4275" w:rsidP="007E4275">
            <w:pPr>
              <w:widowControl w:val="0"/>
              <w:spacing w:line="240" w:lineRule="auto"/>
              <w:jc w:val="center"/>
              <w:rPr>
                <w:color w:val="000000"/>
                <w:sz w:val="22"/>
                <w:szCs w:val="22"/>
              </w:rPr>
            </w:pPr>
            <w:r w:rsidRPr="006D631C">
              <w:rPr>
                <w:color w:val="000000"/>
                <w:sz w:val="22"/>
                <w:szCs w:val="22"/>
              </w:rPr>
              <w:t>0.66</w:t>
            </w:r>
          </w:p>
        </w:tc>
        <w:tc>
          <w:tcPr>
            <w:tcW w:w="850" w:type="dxa"/>
            <w:shd w:val="clear" w:color="auto" w:fill="auto"/>
            <w:noWrap/>
            <w:vAlign w:val="center"/>
          </w:tcPr>
          <w:p w14:paraId="4557E59B" w14:textId="44D92DA9" w:rsidR="007E4275" w:rsidRPr="006D631C" w:rsidRDefault="007E4275" w:rsidP="007E4275">
            <w:pPr>
              <w:widowControl w:val="0"/>
              <w:spacing w:line="240" w:lineRule="auto"/>
              <w:jc w:val="center"/>
              <w:rPr>
                <w:color w:val="000000"/>
                <w:sz w:val="22"/>
                <w:szCs w:val="22"/>
              </w:rPr>
            </w:pPr>
            <w:r w:rsidRPr="006D631C">
              <w:rPr>
                <w:color w:val="000000"/>
                <w:sz w:val="22"/>
                <w:szCs w:val="22"/>
              </w:rPr>
              <w:t>0.014</w:t>
            </w:r>
          </w:p>
        </w:tc>
        <w:tc>
          <w:tcPr>
            <w:tcW w:w="987" w:type="dxa"/>
            <w:shd w:val="clear" w:color="auto" w:fill="auto"/>
            <w:noWrap/>
            <w:vAlign w:val="center"/>
          </w:tcPr>
          <w:p w14:paraId="58103E2E" w14:textId="19DB436C" w:rsidR="007E4275" w:rsidRPr="006D631C" w:rsidRDefault="007E4275" w:rsidP="007E4275">
            <w:pPr>
              <w:widowControl w:val="0"/>
              <w:spacing w:line="240" w:lineRule="auto"/>
              <w:jc w:val="center"/>
              <w:rPr>
                <w:color w:val="000000"/>
                <w:sz w:val="22"/>
                <w:szCs w:val="22"/>
              </w:rPr>
            </w:pPr>
            <w:r w:rsidRPr="006D631C">
              <w:rPr>
                <w:color w:val="000000"/>
                <w:sz w:val="22"/>
                <w:szCs w:val="22"/>
              </w:rPr>
              <w:t>0.37</w:t>
            </w:r>
          </w:p>
        </w:tc>
        <w:tc>
          <w:tcPr>
            <w:tcW w:w="856" w:type="dxa"/>
            <w:vAlign w:val="center"/>
          </w:tcPr>
          <w:p w14:paraId="022E4082" w14:textId="68695171" w:rsidR="007E4275" w:rsidRPr="006D631C" w:rsidRDefault="007E4275" w:rsidP="007E4275">
            <w:pPr>
              <w:widowControl w:val="0"/>
              <w:spacing w:line="240" w:lineRule="auto"/>
              <w:jc w:val="center"/>
              <w:rPr>
                <w:color w:val="000000"/>
                <w:sz w:val="22"/>
                <w:szCs w:val="22"/>
                <w:vertAlign w:val="superscript"/>
              </w:rPr>
            </w:pPr>
            <w:r w:rsidRPr="006D631C">
              <w:rPr>
                <w:color w:val="000000"/>
                <w:sz w:val="22"/>
                <w:szCs w:val="22"/>
              </w:rPr>
              <w:t>0.26</w:t>
            </w:r>
            <w:r w:rsidRPr="006D631C">
              <w:rPr>
                <w:color w:val="000000"/>
                <w:sz w:val="22"/>
                <w:szCs w:val="22"/>
                <w:vertAlign w:val="superscript"/>
              </w:rPr>
              <w:t>b</w:t>
            </w:r>
          </w:p>
        </w:tc>
        <w:tc>
          <w:tcPr>
            <w:tcW w:w="708" w:type="dxa"/>
            <w:vAlign w:val="center"/>
          </w:tcPr>
          <w:p w14:paraId="436D6DE1" w14:textId="101944DC" w:rsidR="007E4275" w:rsidRPr="006D631C" w:rsidRDefault="007E4275" w:rsidP="007E4275">
            <w:pPr>
              <w:widowControl w:val="0"/>
              <w:spacing w:line="240" w:lineRule="auto"/>
              <w:jc w:val="center"/>
              <w:rPr>
                <w:color w:val="000000"/>
                <w:sz w:val="22"/>
                <w:szCs w:val="22"/>
              </w:rPr>
            </w:pPr>
            <w:r w:rsidRPr="006D631C">
              <w:rPr>
                <w:color w:val="000000"/>
                <w:sz w:val="22"/>
                <w:szCs w:val="22"/>
              </w:rPr>
              <w:t>12.0</w:t>
            </w:r>
          </w:p>
        </w:tc>
        <w:tc>
          <w:tcPr>
            <w:tcW w:w="709" w:type="dxa"/>
            <w:vAlign w:val="center"/>
          </w:tcPr>
          <w:p w14:paraId="581D227C" w14:textId="48C3A1DD" w:rsidR="007E4275" w:rsidRPr="006D631C" w:rsidRDefault="007E4275" w:rsidP="007E4275">
            <w:pPr>
              <w:widowControl w:val="0"/>
              <w:spacing w:line="240" w:lineRule="auto"/>
              <w:jc w:val="center"/>
              <w:rPr>
                <w:color w:val="000000"/>
                <w:sz w:val="22"/>
                <w:szCs w:val="22"/>
              </w:rPr>
            </w:pPr>
            <w:r w:rsidRPr="006D631C">
              <w:rPr>
                <w:color w:val="000000"/>
                <w:sz w:val="22"/>
                <w:szCs w:val="22"/>
              </w:rPr>
              <w:t>3.2</w:t>
            </w:r>
          </w:p>
        </w:tc>
        <w:tc>
          <w:tcPr>
            <w:tcW w:w="709" w:type="dxa"/>
            <w:vAlign w:val="center"/>
          </w:tcPr>
          <w:p w14:paraId="70C0E668" w14:textId="7E7DC21A" w:rsidR="007E4275" w:rsidRPr="006D631C" w:rsidRDefault="007E4275" w:rsidP="007E4275">
            <w:pPr>
              <w:widowControl w:val="0"/>
              <w:spacing w:line="240" w:lineRule="auto"/>
              <w:jc w:val="center"/>
              <w:rPr>
                <w:color w:val="000000"/>
                <w:sz w:val="22"/>
                <w:szCs w:val="22"/>
              </w:rPr>
            </w:pPr>
            <w:r w:rsidRPr="006D631C">
              <w:rPr>
                <w:color w:val="000000"/>
                <w:sz w:val="22"/>
                <w:szCs w:val="22"/>
              </w:rPr>
              <w:t>3.9</w:t>
            </w:r>
          </w:p>
        </w:tc>
        <w:tc>
          <w:tcPr>
            <w:tcW w:w="708" w:type="dxa"/>
            <w:vAlign w:val="center"/>
          </w:tcPr>
          <w:p w14:paraId="33540B2F" w14:textId="56C5D181" w:rsidR="007E4275" w:rsidRPr="006D631C" w:rsidRDefault="007E4275" w:rsidP="007E4275">
            <w:pPr>
              <w:widowControl w:val="0"/>
              <w:spacing w:line="240" w:lineRule="auto"/>
              <w:jc w:val="center"/>
              <w:rPr>
                <w:color w:val="000000"/>
                <w:sz w:val="22"/>
                <w:szCs w:val="22"/>
              </w:rPr>
            </w:pPr>
            <w:r w:rsidRPr="006D631C">
              <w:rPr>
                <w:color w:val="000000"/>
                <w:sz w:val="22"/>
                <w:szCs w:val="22"/>
              </w:rPr>
              <w:t>4.2</w:t>
            </w:r>
          </w:p>
        </w:tc>
      </w:tr>
      <w:tr w:rsidR="007E4275" w:rsidRPr="006D631C" w14:paraId="7F2E0BAD" w14:textId="77777777" w:rsidTr="00E17C43">
        <w:trPr>
          <w:trHeight w:val="985"/>
          <w:jc w:val="center"/>
        </w:trPr>
        <w:tc>
          <w:tcPr>
            <w:tcW w:w="1844" w:type="dxa"/>
            <w:tcBorders>
              <w:bottom w:val="single" w:sz="4" w:space="0" w:color="auto"/>
            </w:tcBorders>
            <w:shd w:val="clear" w:color="auto" w:fill="auto"/>
            <w:noWrap/>
            <w:vAlign w:val="center"/>
          </w:tcPr>
          <w:p w14:paraId="716EEFEC" w14:textId="7133E15E" w:rsidR="007E4275" w:rsidRPr="006D631C" w:rsidRDefault="007E4275" w:rsidP="007E4275">
            <w:pPr>
              <w:widowControl w:val="0"/>
              <w:spacing w:line="240" w:lineRule="auto"/>
              <w:jc w:val="center"/>
              <w:rPr>
                <w:color w:val="000000"/>
                <w:sz w:val="22"/>
                <w:szCs w:val="22"/>
              </w:rPr>
            </w:pPr>
            <w:r w:rsidRPr="006D631C">
              <w:rPr>
                <w:color w:val="000000"/>
                <w:sz w:val="22"/>
                <w:szCs w:val="22"/>
              </w:rPr>
              <w:t>Water-swollen</w:t>
            </w:r>
            <w:r w:rsidRPr="006D631C">
              <w:rPr>
                <w:color w:val="000000"/>
                <w:sz w:val="22"/>
                <w:szCs w:val="22"/>
                <w:vertAlign w:val="superscript"/>
              </w:rPr>
              <w:t xml:space="preserve"> c</w:t>
            </w:r>
            <w:r w:rsidRPr="006D631C">
              <w:rPr>
                <w:color w:val="000000"/>
                <w:sz w:val="22"/>
                <w:szCs w:val="22"/>
              </w:rPr>
              <w:t xml:space="preserve"> polyLLC at 45 °C and pH of 6</w:t>
            </w:r>
          </w:p>
        </w:tc>
        <w:tc>
          <w:tcPr>
            <w:tcW w:w="845" w:type="dxa"/>
            <w:tcBorders>
              <w:bottom w:val="single" w:sz="4" w:space="0" w:color="auto"/>
            </w:tcBorders>
            <w:shd w:val="clear" w:color="auto" w:fill="auto"/>
            <w:noWrap/>
            <w:vAlign w:val="center"/>
          </w:tcPr>
          <w:p w14:paraId="47F71C68" w14:textId="57284720" w:rsidR="007E4275" w:rsidRPr="006D631C" w:rsidRDefault="007E4275" w:rsidP="007E4275">
            <w:pPr>
              <w:widowControl w:val="0"/>
              <w:spacing w:line="240" w:lineRule="auto"/>
              <w:jc w:val="center"/>
              <w:rPr>
                <w:color w:val="000000"/>
                <w:sz w:val="22"/>
                <w:szCs w:val="22"/>
              </w:rPr>
            </w:pPr>
            <w:r w:rsidRPr="006D631C">
              <w:rPr>
                <w:color w:val="000000"/>
                <w:sz w:val="22"/>
                <w:szCs w:val="22"/>
              </w:rPr>
              <w:t>0.60</w:t>
            </w:r>
          </w:p>
        </w:tc>
        <w:tc>
          <w:tcPr>
            <w:tcW w:w="856" w:type="dxa"/>
            <w:tcBorders>
              <w:bottom w:val="single" w:sz="4" w:space="0" w:color="auto"/>
            </w:tcBorders>
            <w:shd w:val="clear" w:color="auto" w:fill="auto"/>
            <w:noWrap/>
            <w:vAlign w:val="center"/>
          </w:tcPr>
          <w:p w14:paraId="6E099C5E" w14:textId="3224A182" w:rsidR="007E4275" w:rsidRPr="006D631C" w:rsidRDefault="007E4275" w:rsidP="007E4275">
            <w:pPr>
              <w:widowControl w:val="0"/>
              <w:spacing w:line="240" w:lineRule="auto"/>
              <w:jc w:val="center"/>
              <w:rPr>
                <w:color w:val="000000"/>
                <w:sz w:val="22"/>
                <w:szCs w:val="22"/>
              </w:rPr>
            </w:pPr>
            <w:r w:rsidRPr="006D631C">
              <w:rPr>
                <w:color w:val="000000"/>
                <w:sz w:val="22"/>
                <w:szCs w:val="22"/>
              </w:rPr>
              <w:t>0.66</w:t>
            </w:r>
          </w:p>
        </w:tc>
        <w:tc>
          <w:tcPr>
            <w:tcW w:w="850" w:type="dxa"/>
            <w:tcBorders>
              <w:bottom w:val="single" w:sz="4" w:space="0" w:color="auto"/>
            </w:tcBorders>
            <w:shd w:val="clear" w:color="auto" w:fill="auto"/>
            <w:noWrap/>
            <w:vAlign w:val="center"/>
          </w:tcPr>
          <w:p w14:paraId="01C0B325" w14:textId="49E0B54C" w:rsidR="007E4275" w:rsidRPr="006D631C" w:rsidRDefault="007E4275" w:rsidP="007E4275">
            <w:pPr>
              <w:widowControl w:val="0"/>
              <w:spacing w:line="240" w:lineRule="auto"/>
              <w:jc w:val="center"/>
              <w:rPr>
                <w:color w:val="000000"/>
                <w:sz w:val="22"/>
                <w:szCs w:val="22"/>
              </w:rPr>
            </w:pPr>
            <w:r w:rsidRPr="006D631C">
              <w:rPr>
                <w:color w:val="000000"/>
                <w:sz w:val="22"/>
                <w:szCs w:val="22"/>
              </w:rPr>
              <w:t>0.019</w:t>
            </w:r>
          </w:p>
        </w:tc>
        <w:tc>
          <w:tcPr>
            <w:tcW w:w="987" w:type="dxa"/>
            <w:tcBorders>
              <w:bottom w:val="single" w:sz="4" w:space="0" w:color="auto"/>
            </w:tcBorders>
            <w:shd w:val="clear" w:color="auto" w:fill="auto"/>
            <w:noWrap/>
            <w:vAlign w:val="center"/>
          </w:tcPr>
          <w:p w14:paraId="58A5429E" w14:textId="7EF508D7" w:rsidR="007E4275" w:rsidRPr="006D631C" w:rsidRDefault="007E4275" w:rsidP="007E4275">
            <w:pPr>
              <w:widowControl w:val="0"/>
              <w:spacing w:line="240" w:lineRule="auto"/>
              <w:jc w:val="center"/>
              <w:rPr>
                <w:color w:val="000000"/>
                <w:sz w:val="22"/>
                <w:szCs w:val="22"/>
              </w:rPr>
            </w:pPr>
            <w:r w:rsidRPr="006D631C">
              <w:rPr>
                <w:color w:val="000000"/>
                <w:sz w:val="22"/>
                <w:szCs w:val="22"/>
              </w:rPr>
              <w:t>0.48</w:t>
            </w:r>
          </w:p>
        </w:tc>
        <w:tc>
          <w:tcPr>
            <w:tcW w:w="856" w:type="dxa"/>
            <w:tcBorders>
              <w:bottom w:val="single" w:sz="4" w:space="0" w:color="auto"/>
            </w:tcBorders>
            <w:vAlign w:val="center"/>
          </w:tcPr>
          <w:p w14:paraId="56F99FBC" w14:textId="3F29BC8C" w:rsidR="007E4275" w:rsidRPr="006D631C" w:rsidRDefault="007E4275" w:rsidP="007E4275">
            <w:pPr>
              <w:widowControl w:val="0"/>
              <w:spacing w:line="240" w:lineRule="auto"/>
              <w:jc w:val="center"/>
              <w:rPr>
                <w:color w:val="000000"/>
                <w:sz w:val="22"/>
                <w:szCs w:val="22"/>
              </w:rPr>
            </w:pPr>
            <w:r w:rsidRPr="006D631C">
              <w:rPr>
                <w:color w:val="000000"/>
                <w:sz w:val="22"/>
                <w:szCs w:val="22"/>
              </w:rPr>
              <w:t>0.33</w:t>
            </w:r>
            <w:r w:rsidRPr="006D631C">
              <w:rPr>
                <w:color w:val="000000"/>
                <w:sz w:val="22"/>
                <w:szCs w:val="22"/>
                <w:vertAlign w:val="superscript"/>
              </w:rPr>
              <w:t>b</w:t>
            </w:r>
          </w:p>
        </w:tc>
        <w:tc>
          <w:tcPr>
            <w:tcW w:w="708" w:type="dxa"/>
            <w:tcBorders>
              <w:bottom w:val="single" w:sz="4" w:space="0" w:color="auto"/>
            </w:tcBorders>
            <w:vAlign w:val="center"/>
          </w:tcPr>
          <w:p w14:paraId="4171D533" w14:textId="2920D1B1" w:rsidR="007E4275" w:rsidRPr="006D631C" w:rsidRDefault="007E4275" w:rsidP="007E4275">
            <w:pPr>
              <w:widowControl w:val="0"/>
              <w:spacing w:line="240" w:lineRule="auto"/>
              <w:jc w:val="center"/>
              <w:rPr>
                <w:color w:val="000000"/>
                <w:sz w:val="22"/>
                <w:szCs w:val="22"/>
              </w:rPr>
            </w:pPr>
            <w:r w:rsidRPr="006D631C">
              <w:rPr>
                <w:color w:val="000000"/>
                <w:sz w:val="22"/>
                <w:szCs w:val="22"/>
              </w:rPr>
              <w:t>12.0</w:t>
            </w:r>
          </w:p>
        </w:tc>
        <w:tc>
          <w:tcPr>
            <w:tcW w:w="709" w:type="dxa"/>
            <w:tcBorders>
              <w:bottom w:val="single" w:sz="4" w:space="0" w:color="auto"/>
            </w:tcBorders>
            <w:vAlign w:val="center"/>
          </w:tcPr>
          <w:p w14:paraId="470CE091" w14:textId="4013C4E7" w:rsidR="007E4275" w:rsidRPr="006D631C" w:rsidRDefault="007E4275" w:rsidP="007E4275">
            <w:pPr>
              <w:widowControl w:val="0"/>
              <w:spacing w:line="240" w:lineRule="auto"/>
              <w:jc w:val="center"/>
              <w:rPr>
                <w:color w:val="000000"/>
                <w:sz w:val="22"/>
                <w:szCs w:val="22"/>
              </w:rPr>
            </w:pPr>
            <w:r w:rsidRPr="006D631C">
              <w:rPr>
                <w:color w:val="000000"/>
                <w:sz w:val="22"/>
                <w:szCs w:val="22"/>
              </w:rPr>
              <w:t>3.6</w:t>
            </w:r>
          </w:p>
        </w:tc>
        <w:tc>
          <w:tcPr>
            <w:tcW w:w="709" w:type="dxa"/>
            <w:tcBorders>
              <w:bottom w:val="single" w:sz="4" w:space="0" w:color="auto"/>
            </w:tcBorders>
            <w:vAlign w:val="center"/>
          </w:tcPr>
          <w:p w14:paraId="540FE8C0" w14:textId="2B19F9D7" w:rsidR="007E4275" w:rsidRPr="006D631C" w:rsidRDefault="007E4275" w:rsidP="007E4275">
            <w:pPr>
              <w:widowControl w:val="0"/>
              <w:spacing w:line="240" w:lineRule="auto"/>
              <w:jc w:val="center"/>
              <w:rPr>
                <w:color w:val="000000"/>
                <w:sz w:val="22"/>
                <w:szCs w:val="22"/>
              </w:rPr>
            </w:pPr>
            <w:r w:rsidRPr="006D631C">
              <w:rPr>
                <w:color w:val="000000"/>
                <w:sz w:val="22"/>
                <w:szCs w:val="22"/>
              </w:rPr>
              <w:t>4.4</w:t>
            </w:r>
          </w:p>
        </w:tc>
        <w:tc>
          <w:tcPr>
            <w:tcW w:w="708" w:type="dxa"/>
            <w:tcBorders>
              <w:bottom w:val="single" w:sz="4" w:space="0" w:color="auto"/>
            </w:tcBorders>
            <w:vAlign w:val="center"/>
          </w:tcPr>
          <w:p w14:paraId="0160F1EF" w14:textId="7205B4FC" w:rsidR="007E4275" w:rsidRPr="006D631C" w:rsidRDefault="007E4275" w:rsidP="007E4275">
            <w:pPr>
              <w:widowControl w:val="0"/>
              <w:spacing w:line="240" w:lineRule="auto"/>
              <w:jc w:val="center"/>
              <w:rPr>
                <w:color w:val="000000"/>
                <w:sz w:val="22"/>
                <w:szCs w:val="22"/>
              </w:rPr>
            </w:pPr>
            <w:r w:rsidRPr="006D631C">
              <w:rPr>
                <w:color w:val="000000"/>
                <w:sz w:val="22"/>
                <w:szCs w:val="22"/>
              </w:rPr>
              <w:t>3.1</w:t>
            </w:r>
          </w:p>
        </w:tc>
      </w:tr>
    </w:tbl>
    <w:p w14:paraId="6BBC85D3" w14:textId="77777777" w:rsidR="00E25D65" w:rsidRPr="006D631C" w:rsidRDefault="00E25D65" w:rsidP="00E25D65">
      <w:pPr>
        <w:widowControl w:val="0"/>
        <w:spacing w:line="276" w:lineRule="auto"/>
        <w:jc w:val="lowKashida"/>
        <w:rPr>
          <w:rFonts w:eastAsia="Calibri"/>
        </w:rPr>
      </w:pPr>
      <w:proofErr w:type="spellStart"/>
      <w:proofErr w:type="gramStart"/>
      <w:r w:rsidRPr="006D631C">
        <w:rPr>
          <w:rFonts w:eastAsia="Calibri"/>
          <w:sz w:val="22"/>
          <w:szCs w:val="22"/>
          <w:vertAlign w:val="superscript"/>
        </w:rPr>
        <w:t>a</w:t>
      </w:r>
      <w:proofErr w:type="spellEnd"/>
      <w:proofErr w:type="gramEnd"/>
      <w:r w:rsidRPr="006D631C">
        <w:rPr>
          <w:rFonts w:eastAsia="Calibri"/>
          <w:sz w:val="26"/>
          <w:szCs w:val="26"/>
          <w:vertAlign w:val="superscript"/>
        </w:rPr>
        <w:t xml:space="preserve"> </w:t>
      </w:r>
      <w:r w:rsidRPr="006D631C">
        <w:rPr>
          <w:rFonts w:eastAsia="Calibri"/>
          <w:sz w:val="22"/>
          <w:szCs w:val="22"/>
        </w:rPr>
        <w:t xml:space="preserve">The volume fraction of the PPO block in the Pluronic block copolymer is denoted as </w:t>
      </w:r>
      <m:oMath>
        <m:sSub>
          <m:sSubPr>
            <m:ctrlPr>
              <w:rPr>
                <w:rFonts w:ascii="Cambria Math" w:eastAsia="Calibri" w:hAnsi="Cambria Math"/>
                <w:i/>
              </w:rPr>
            </m:ctrlPr>
          </m:sSubPr>
          <m:e>
            <m:r>
              <w:rPr>
                <w:rFonts w:ascii="Cambria Math" w:eastAsia="Calibri" w:hAnsi="Cambria Math"/>
              </w:rPr>
              <m:t>ϕ</m:t>
            </m:r>
          </m:e>
          <m:sub>
            <m:r>
              <w:rPr>
                <w:rFonts w:ascii="Cambria Math" w:eastAsia="Calibri" w:hAnsi="Cambria Math"/>
              </w:rPr>
              <m:t>PPO</m:t>
            </m:r>
          </m:sub>
        </m:sSub>
      </m:oMath>
      <w:r w:rsidRPr="006D631C">
        <w:rPr>
          <w:rFonts w:eastAsia="Calibri"/>
          <w:sz w:val="22"/>
          <w:szCs w:val="22"/>
        </w:rPr>
        <w:t>.</w:t>
      </w:r>
      <w:r w:rsidRPr="006D631C">
        <w:rPr>
          <w:rFonts w:eastAsia="Calibri"/>
        </w:rPr>
        <w:t xml:space="preserve"> </w:t>
      </w:r>
    </w:p>
    <w:p w14:paraId="3A66E777" w14:textId="77777777" w:rsidR="00E25D65" w:rsidRPr="006D631C" w:rsidRDefault="00E25D65" w:rsidP="00E25D65">
      <w:pPr>
        <w:widowControl w:val="0"/>
        <w:spacing w:line="276" w:lineRule="auto"/>
        <w:jc w:val="lowKashida"/>
        <w:rPr>
          <w:rFonts w:eastAsia="Calibri"/>
        </w:rPr>
      </w:pPr>
      <w:r w:rsidRPr="006D631C">
        <w:rPr>
          <w:rFonts w:eastAsia="Calibri"/>
          <w:sz w:val="22"/>
          <w:szCs w:val="22"/>
          <w:vertAlign w:val="superscript"/>
        </w:rPr>
        <w:t>b</w:t>
      </w:r>
      <w:r w:rsidRPr="006D631C">
        <w:rPr>
          <w:rFonts w:eastAsia="Calibri"/>
          <w:sz w:val="22"/>
          <w:szCs w:val="22"/>
        </w:rPr>
        <w:t xml:space="preserve"> The volume fraction of the apolar domain in the water-swollen polyLLC was determined by considering the swelling capacity of the polymer at 25 °C and 45 °C, which corresponded to 160% and 100% respectively, as shown in Fig. 4a.</w:t>
      </w:r>
      <w:r w:rsidRPr="006D631C">
        <w:rPr>
          <w:rFonts w:eastAsia="Calibri"/>
        </w:rPr>
        <w:t xml:space="preserve"> </w:t>
      </w:r>
    </w:p>
    <w:p w14:paraId="18CA84CB" w14:textId="00705BBA" w:rsidR="00E25D65" w:rsidRPr="006D631C" w:rsidRDefault="00E25D65" w:rsidP="005F63BB">
      <w:pPr>
        <w:widowControl w:val="0"/>
        <w:spacing w:after="200" w:line="276" w:lineRule="auto"/>
        <w:jc w:val="lowKashida"/>
        <w:rPr>
          <w:rFonts w:eastAsia="Calibri"/>
        </w:rPr>
      </w:pPr>
      <w:proofErr w:type="gramStart"/>
      <w:r w:rsidRPr="006D631C">
        <w:rPr>
          <w:rFonts w:eastAsia="Calibri"/>
          <w:sz w:val="22"/>
          <w:szCs w:val="22"/>
          <w:vertAlign w:val="superscript"/>
        </w:rPr>
        <w:t>c</w:t>
      </w:r>
      <w:proofErr w:type="gramEnd"/>
      <w:r w:rsidRPr="006D631C">
        <w:rPr>
          <w:rFonts w:eastAsia="Calibri"/>
          <w:sz w:val="22"/>
          <w:szCs w:val="22"/>
        </w:rPr>
        <w:t xml:space="preserve"> Fi</w:t>
      </w:r>
      <w:r w:rsidR="005F63BB" w:rsidRPr="006D631C">
        <w:rPr>
          <w:rFonts w:eastAsia="Calibri"/>
          <w:sz w:val="22"/>
          <w:szCs w:val="22"/>
        </w:rPr>
        <w:t>gure</w:t>
      </w:r>
      <w:r w:rsidRPr="006D631C">
        <w:rPr>
          <w:rFonts w:eastAsia="Calibri"/>
          <w:sz w:val="22"/>
          <w:szCs w:val="22"/>
        </w:rPr>
        <w:t xml:space="preserve"> </w:t>
      </w:r>
      <w:r w:rsidR="005F63BB" w:rsidRPr="006D631C">
        <w:rPr>
          <w:rFonts w:eastAsia="Calibri"/>
          <w:sz w:val="22"/>
          <w:szCs w:val="22"/>
        </w:rPr>
        <w:t>5-5</w:t>
      </w:r>
      <w:r w:rsidRPr="006D631C">
        <w:rPr>
          <w:rFonts w:eastAsia="Calibri"/>
          <w:sz w:val="22"/>
          <w:szCs w:val="22"/>
        </w:rPr>
        <w:t xml:space="preserve"> presents the SAXS data for the water-swollen polyLLC at temperature of 45 °C and pH of 6.</w:t>
      </w:r>
    </w:p>
    <w:p w14:paraId="10511FF8" w14:textId="4D3DBBDF" w:rsidR="00E706BE" w:rsidRPr="006D631C" w:rsidRDefault="00D94CA5" w:rsidP="00D94CA5">
      <w:pPr>
        <w:ind w:firstLine="360"/>
        <w:rPr>
          <w:rFonts w:asciiTheme="majorBidi" w:hAnsiTheme="majorBidi" w:cstheme="majorBidi"/>
        </w:rPr>
      </w:pPr>
      <w:r w:rsidRPr="006D631C">
        <w:rPr>
          <w:rFonts w:asciiTheme="majorBidi" w:hAnsiTheme="majorBidi" w:cstheme="majorBidi"/>
        </w:rPr>
        <w:t>DSC was used to analyze the thermoresponsiveness of the water-swollen polyLLC in comparison to pure P84DA and dried polyLLC as control samples. The obtained results are shown in Figure 5-3. A thermal transition in 5–32 °C range is seen for the water-swollen polyLLC due to LCST of the Pluronic in water.</w:t>
      </w:r>
      <w:r w:rsidRPr="006D631C">
        <w:rPr>
          <w:rFonts w:asciiTheme="majorBidi" w:hAnsiTheme="majorBidi" w:cstheme="majorBidi"/>
        </w:rPr>
        <w:fldChar w:fldCharType="begin" w:fldLock="1"/>
      </w:r>
      <w:r w:rsidR="005218B8" w:rsidRPr="006D631C">
        <w:rPr>
          <w:rFonts w:asciiTheme="majorBidi" w:hAnsiTheme="majorBidi" w:cstheme="majorBidi"/>
        </w:rPr>
        <w:instrText>ADDIN CSL_CITATION {"citationItems":[{"id":"ITEM-1","itemData":{"DOI":"10.1021/acsabm.1c00046","ISSN":"2576-6422","author":[{"dropping-particle":"","family":"Kushan","given":"Eren","non-dropping-particle":"","parse-names":false,"suffix":""},{"dropping-particle":"","family":"Senses","given":"Erkan","non-dropping-particle":"","parse-names":false,"suffix":""}],"container-title":"ACS Applied Bio Materials","id":"ITEM-1","issue":"4","issued":{"date-parts":[["2021","4","19"]]},"page":"3507-3517","title":"Thermoresponsive and Injectable Composite Hydrogels of Cellulose Nanocrystals and Pluronic F127","type":"article-journal","volume":"4"},"uris":["http://www.mendeley.com/documents/?uuid=7a401788-92e3-4ccb-939e-5698c8d6e51e"]},{"id":"ITEM-2","itemData":{"DOI":"10.1038/s41598-019-48254-6","ISSN":"2045-2322","author":[{"dropping-particle":"","family":"Chatterjee","given":"Sudipta","non-dropping-particle":"","parse-names":false,"suffix":""},{"dropping-particle":"","family":"Hui","given":"Patrick Chi-leung","non-dropping-particle":"","parse-names":false,"suffix":""},{"dropping-particle":"","family":"Kan","given":"Chi-wai","non-dropping-particle":"","parse-names":false,"suffix":""},{"dropping-particle":"","family":"Wang","given":"Wenyi","non-dropping-particle":"","parse-names":false,"suffix":""}],"container-title":"Scientific Reports","id":"ITEM-2","issue":"1","issued":{"date-parts":[["2019","12","12"]]},"page":"11658","title":"Dual-responsive (pH/temperature) Pluronic F-127 hydrogel drug delivery system for textile-based transdermal therapy","type":"article-journal","volume":"9"},"uris":["http://www.mendeley.com/documents/?uuid=9e3098be-5070-47f2-bb47-66c167318628"]}],"mendeley":{"formattedCitation":"&lt;sup&gt;248,268&lt;/sup&gt;","plainTextFormattedCitation":"248,268","previouslyFormattedCitation":"&lt;sup&gt;248,268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248,268</w:t>
      </w:r>
      <w:r w:rsidRPr="006D631C">
        <w:rPr>
          <w:rFonts w:asciiTheme="majorBidi" w:hAnsiTheme="majorBidi" w:cstheme="majorBidi"/>
        </w:rPr>
        <w:fldChar w:fldCharType="end"/>
      </w:r>
      <w:r w:rsidRPr="006D631C">
        <w:rPr>
          <w:rFonts w:asciiTheme="majorBidi" w:hAnsiTheme="majorBidi" w:cstheme="majorBidi"/>
        </w:rPr>
        <w:t xml:space="preserve"> When the temperature reaches the LCST, the PPO block undergoes a significant increase in hydrophobicity, leading to a reduced water solubility of the block copolymer.</w:t>
      </w:r>
      <w:r w:rsidRPr="006D631C">
        <w:rPr>
          <w:rFonts w:asciiTheme="majorBidi" w:hAnsiTheme="majorBidi" w:cstheme="majorBidi"/>
        </w:rPr>
        <w:fldChar w:fldCharType="begin" w:fldLock="1"/>
      </w:r>
      <w:r w:rsidR="005218B8" w:rsidRPr="006D631C">
        <w:rPr>
          <w:rFonts w:asciiTheme="majorBidi" w:hAnsiTheme="majorBidi" w:cstheme="majorBidi"/>
        </w:rPr>
        <w:instrText>ADDIN CSL_CITATION {"citationItems":[{"id":"ITEM-1","itemData":{"DOI":"10.1007/s10904-019-01346-2","ISSN":"1574-1443","author":[{"dropping-particle":"","family":"Deliormanlı","given":"Aylin M.","non-dropping-particle":"","parse-names":false,"suffix":""},{"dropping-particle":"","family":"Türk","given":"Mert","non-dropping-particle":"","parse-names":false,"suffix":""}],"container-title":"Journal of Inorganic and Organometallic Polymers and Materials","id":"ITEM-1","issue":"4","issued":{"date-parts":[["2020","4","24"]]},"page":"1184-1196","title":"Flow Behavior and Drug Release Study of Injectable Pluronic F-127 Hydrogels containing Bioactive Glass and Carbon-Based Nanopowders","type":"article-journal","volume":"30"},"uris":["http://www.mendeley.com/documents/?uuid=db8185aa-edb4-4979-9217-b0d297521189"]}],"mendeley":{"formattedCitation":"&lt;sup&gt;258&lt;/sup&gt;","plainTextFormattedCitation":"258","previouslyFormattedCitation":"&lt;sup&gt;258&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258</w:t>
      </w:r>
      <w:r w:rsidRPr="006D631C">
        <w:rPr>
          <w:rFonts w:asciiTheme="majorBidi" w:hAnsiTheme="majorBidi" w:cstheme="majorBidi"/>
        </w:rPr>
        <w:fldChar w:fldCharType="end"/>
      </w:r>
      <w:r w:rsidRPr="006D631C">
        <w:rPr>
          <w:rFonts w:asciiTheme="majorBidi" w:hAnsiTheme="majorBidi" w:cstheme="majorBidi"/>
        </w:rPr>
        <w:t xml:space="preserve"> On the other hand, pure P84DA exhibits a melting point within the 20-47 °C range, which can be attributed to the melting of the crystalline regions created by the PEO block.</w:t>
      </w:r>
      <w:r w:rsidRPr="006D631C">
        <w:rPr>
          <w:rFonts w:asciiTheme="majorBidi" w:hAnsiTheme="majorBidi" w:cstheme="majorBidi"/>
        </w:rPr>
        <w:fldChar w:fldCharType="begin" w:fldLock="1"/>
      </w:r>
      <w:r w:rsidR="005218B8" w:rsidRPr="006D631C">
        <w:rPr>
          <w:rFonts w:asciiTheme="majorBidi" w:hAnsiTheme="majorBidi" w:cstheme="majorBidi"/>
        </w:rPr>
        <w:instrText>ADDIN CSL_CITATION {"citationItems":[{"id":"ITEM-1","itemData":{"DOI":"10.3390/polym10010105","ISSN":"2073-4360","author":[{"dropping-particle":"","family":"Lee","given":"Chin-Fen","non-dropping-particle":"","parse-names":false,"suffix":""},{"dropping-particle":"","family":"Tseng","given":"Hsueh-Wen","non-dropping-particle":"","parse-names":false,"suffix":""},{"dropping-particle":"","family":"Bahadur","given":"Pratap","non-dropping-particle":"","parse-names":false,"suffix":""},{"dropping-particle":"","family":"Chen","given":"Li-Jen","non-dropping-particle":"","parse-names":false,"suffix":""}],"container-title":"Polymers","id":"ITEM-1","issue":"1","issued":{"date-parts":[["2018","1","22"]]},"page":"105","title":"Synergistic Effect of Binary Mixed-Pluronic Systems on Temperature Dependent Self-assembly Process and Drug Solubility","type":"article-journal","volume":"10"},"uris":["http://www.mendeley.com/documents/?uuid=00677923-0cdb-49fa-b157-386b704ab07a"]}],"mendeley":{"formattedCitation":"&lt;sup&gt;269&lt;/sup&gt;","plainTextFormattedCitation":"269","previouslyFormattedCitation":"&lt;sup&gt;269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269</w:t>
      </w:r>
      <w:r w:rsidRPr="006D631C">
        <w:rPr>
          <w:rFonts w:asciiTheme="majorBidi" w:hAnsiTheme="majorBidi" w:cstheme="majorBidi"/>
        </w:rPr>
        <w:fldChar w:fldCharType="end"/>
      </w:r>
      <w:r w:rsidRPr="006D631C">
        <w:rPr>
          <w:rFonts w:asciiTheme="majorBidi" w:hAnsiTheme="majorBidi" w:cstheme="majorBidi"/>
        </w:rPr>
        <w:t xml:space="preserve"> We can infer that the formation of polyLLC inhibits the crystallization of the PEO block since </w:t>
      </w:r>
      <w:r w:rsidRPr="006D631C">
        <w:rPr>
          <w:rFonts w:asciiTheme="majorBidi" w:hAnsiTheme="majorBidi" w:cstheme="majorBidi"/>
        </w:rPr>
        <w:lastRenderedPageBreak/>
        <w:t>dried polyLLC does not exhibit any thermal transition. Therefore, the thermal response observed in the water-swollen polyLLC can be attributed to the LCST of the block copolymer surfactant.</w:t>
      </w:r>
    </w:p>
    <w:p w14:paraId="2A1D4B7D" w14:textId="10E08ECD" w:rsidR="00D94CA5" w:rsidRPr="006D631C" w:rsidRDefault="002512EC" w:rsidP="002512EC">
      <w:pPr>
        <w:ind w:firstLine="360"/>
        <w:jc w:val="center"/>
      </w:pPr>
      <w:r w:rsidRPr="006D631C">
        <w:rPr>
          <w:rFonts w:asciiTheme="majorBidi" w:hAnsiTheme="majorBidi" w:cstheme="majorBidi"/>
          <w:noProof/>
        </w:rPr>
        <w:drawing>
          <wp:inline distT="0" distB="0" distL="0" distR="0" wp14:anchorId="4591F099" wp14:editId="0AC7F9AC">
            <wp:extent cx="4824000" cy="645287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824000" cy="6452876"/>
                    </a:xfrm>
                    <a:prstGeom prst="rect">
                      <a:avLst/>
                    </a:prstGeom>
                    <a:noFill/>
                  </pic:spPr>
                </pic:pic>
              </a:graphicData>
            </a:graphic>
          </wp:inline>
        </w:drawing>
      </w:r>
    </w:p>
    <w:p w14:paraId="3848354F" w14:textId="1035E079" w:rsidR="002512EC" w:rsidRPr="006D631C" w:rsidRDefault="002512EC" w:rsidP="002512EC">
      <w:pPr>
        <w:pStyle w:val="Caption"/>
        <w:jc w:val="center"/>
        <w:rPr>
          <w:iCs w:val="0"/>
          <w:sz w:val="22"/>
          <w:szCs w:val="22"/>
        </w:rPr>
      </w:pPr>
      <w:bookmarkStart w:id="218" w:name="_Toc148175957"/>
      <w:r w:rsidRPr="006D631C">
        <w:rPr>
          <w:iCs w:val="0"/>
          <w:sz w:val="22"/>
          <w:szCs w:val="22"/>
        </w:rPr>
        <w:t xml:space="preserve">Figure </w:t>
      </w:r>
      <w:r w:rsidR="00B55F32" w:rsidRPr="006D631C">
        <w:rPr>
          <w:iCs w:val="0"/>
          <w:sz w:val="22"/>
          <w:szCs w:val="22"/>
        </w:rPr>
        <w:fldChar w:fldCharType="begin"/>
      </w:r>
      <w:r w:rsidR="00B55F32" w:rsidRPr="006D631C">
        <w:rPr>
          <w:iCs w:val="0"/>
          <w:sz w:val="22"/>
          <w:szCs w:val="22"/>
        </w:rPr>
        <w:instrText xml:space="preserve"> STYLEREF 1 \s </w:instrText>
      </w:r>
      <w:r w:rsidR="00B55F32" w:rsidRPr="006D631C">
        <w:rPr>
          <w:iCs w:val="0"/>
          <w:sz w:val="22"/>
          <w:szCs w:val="22"/>
        </w:rPr>
        <w:fldChar w:fldCharType="separate"/>
      </w:r>
      <w:r w:rsidR="00B55F32" w:rsidRPr="006D631C">
        <w:rPr>
          <w:iCs w:val="0"/>
          <w:sz w:val="22"/>
          <w:szCs w:val="22"/>
          <w:cs/>
        </w:rPr>
        <w:t>‎</w:t>
      </w:r>
      <w:r w:rsidR="00B55F32" w:rsidRPr="006D631C">
        <w:rPr>
          <w:iCs w:val="0"/>
          <w:sz w:val="22"/>
          <w:szCs w:val="22"/>
        </w:rPr>
        <w:t>5</w:t>
      </w:r>
      <w:r w:rsidR="00B55F32" w:rsidRPr="006D631C">
        <w:rPr>
          <w:iCs w:val="0"/>
          <w:sz w:val="22"/>
          <w:szCs w:val="22"/>
        </w:rPr>
        <w:fldChar w:fldCharType="end"/>
      </w:r>
      <w:r w:rsidR="00B55F32" w:rsidRPr="006D631C">
        <w:rPr>
          <w:iCs w:val="0"/>
          <w:sz w:val="22"/>
          <w:szCs w:val="22"/>
        </w:rPr>
        <w:noBreakHyphen/>
      </w:r>
      <w:r w:rsidR="00B55F32" w:rsidRPr="006D631C">
        <w:rPr>
          <w:iCs w:val="0"/>
          <w:sz w:val="22"/>
          <w:szCs w:val="22"/>
        </w:rPr>
        <w:fldChar w:fldCharType="begin"/>
      </w:r>
      <w:r w:rsidR="00B55F32" w:rsidRPr="006D631C">
        <w:rPr>
          <w:iCs w:val="0"/>
          <w:sz w:val="22"/>
          <w:szCs w:val="22"/>
        </w:rPr>
        <w:instrText xml:space="preserve"> SEQ Figure \* ARABIC \s 1 </w:instrText>
      </w:r>
      <w:r w:rsidR="00B55F32" w:rsidRPr="006D631C">
        <w:rPr>
          <w:iCs w:val="0"/>
          <w:sz w:val="22"/>
          <w:szCs w:val="22"/>
        </w:rPr>
        <w:fldChar w:fldCharType="separate"/>
      </w:r>
      <w:r w:rsidR="00B55F32" w:rsidRPr="006D631C">
        <w:rPr>
          <w:iCs w:val="0"/>
          <w:sz w:val="22"/>
          <w:szCs w:val="22"/>
        </w:rPr>
        <w:t>3</w:t>
      </w:r>
      <w:r w:rsidR="00B55F32" w:rsidRPr="006D631C">
        <w:rPr>
          <w:iCs w:val="0"/>
          <w:sz w:val="22"/>
          <w:szCs w:val="22"/>
        </w:rPr>
        <w:fldChar w:fldCharType="end"/>
      </w:r>
      <w:r w:rsidRPr="006D631C">
        <w:rPr>
          <w:iCs w:val="0"/>
          <w:sz w:val="22"/>
          <w:szCs w:val="22"/>
        </w:rPr>
        <w:t>. The DSC data for pure P84DA, water-swollen polyLLC, and dried polyLLC.</w:t>
      </w:r>
      <w:bookmarkEnd w:id="218"/>
    </w:p>
    <w:p w14:paraId="11D31BA7" w14:textId="5756D54A" w:rsidR="002512EC" w:rsidRPr="006D631C" w:rsidRDefault="009E0D2C" w:rsidP="00EA5AA7">
      <w:pPr>
        <w:ind w:firstLine="360"/>
        <w:rPr>
          <w:rFonts w:asciiTheme="majorBidi" w:hAnsiTheme="majorBidi" w:cstheme="majorBidi"/>
        </w:rPr>
      </w:pPr>
      <w:r w:rsidRPr="006D631C">
        <w:rPr>
          <w:rFonts w:asciiTheme="majorBidi" w:hAnsiTheme="majorBidi" w:cstheme="majorBidi"/>
        </w:rPr>
        <w:lastRenderedPageBreak/>
        <w:t>The swelling capacity analysis of the polyLLC sample (using pieces with dimensions of approximately 2 cm × 2 cm and a thickness of 500 µm) is shown in Figure 5-4.</w:t>
      </w:r>
      <w:r w:rsidR="00AE2AB0" w:rsidRPr="006D631C">
        <w:rPr>
          <w:rFonts w:asciiTheme="majorBidi" w:hAnsiTheme="majorBidi" w:cstheme="majorBidi"/>
        </w:rPr>
        <w:t xml:space="preserve"> </w:t>
      </w:r>
      <w:r w:rsidRPr="006D631C">
        <w:rPr>
          <w:rFonts w:asciiTheme="majorBidi" w:hAnsiTheme="majorBidi" w:cstheme="majorBidi"/>
        </w:rPr>
        <w:t>The swelling capacity decreases from around 390% to approximately 100% upon heating the samples from 5 to 45 °C as a result of the LCST of the polymer, in agreement with the DSC measurements. Moreover, our analysis indicates that the thermal response is rapid, occurring within 5 minutes, and fully reversible throughout several heating-cooling cycles. In our earlier study</w:t>
      </w:r>
      <w:r w:rsidR="005218B8" w:rsidRPr="006D631C">
        <w:rPr>
          <w:rFonts w:asciiTheme="majorBidi" w:hAnsiTheme="majorBidi" w:cstheme="majorBidi"/>
        </w:rPr>
        <w:t xml:space="preserve"> (</w:t>
      </w:r>
      <w:r w:rsidR="00EA5AA7" w:rsidRPr="006D631C">
        <w:rPr>
          <w:rFonts w:asciiTheme="majorBidi" w:hAnsiTheme="majorBidi" w:cstheme="majorBidi"/>
        </w:rPr>
        <w:t xml:space="preserve">Chapter </w:t>
      </w:r>
      <w:r w:rsidR="005218B8" w:rsidRPr="006D631C">
        <w:rPr>
          <w:rFonts w:asciiTheme="majorBidi" w:hAnsiTheme="majorBidi" w:cstheme="majorBidi"/>
        </w:rPr>
        <w:t>4)</w:t>
      </w:r>
      <w:r w:rsidRPr="006D631C">
        <w:rPr>
          <w:rFonts w:asciiTheme="majorBidi" w:hAnsiTheme="majorBidi" w:cstheme="majorBidi"/>
        </w:rPr>
        <w:t>,</w:t>
      </w:r>
      <w:r w:rsidRPr="006D631C">
        <w:rPr>
          <w:rFonts w:asciiTheme="majorBidi" w:hAnsiTheme="majorBidi" w:cstheme="majorBidi"/>
        </w:rPr>
        <w:fldChar w:fldCharType="begin" w:fldLock="1"/>
      </w:r>
      <w:r w:rsidR="005218B8"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Pr="006D631C">
        <w:rPr>
          <w:rFonts w:asciiTheme="majorBidi" w:hAnsiTheme="majorBidi" w:cstheme="majorBidi"/>
        </w:rPr>
        <w:fldChar w:fldCharType="separate"/>
      </w:r>
      <w:r w:rsidR="005218B8" w:rsidRPr="006D631C">
        <w:rPr>
          <w:rFonts w:asciiTheme="majorBidi" w:hAnsiTheme="majorBidi" w:cstheme="majorBidi"/>
          <w:noProof/>
          <w:vertAlign w:val="superscript"/>
        </w:rPr>
        <w:t>289</w:t>
      </w:r>
      <w:r w:rsidRPr="006D631C">
        <w:rPr>
          <w:rFonts w:asciiTheme="majorBidi" w:hAnsiTheme="majorBidi" w:cstheme="majorBidi"/>
        </w:rPr>
        <w:fldChar w:fldCharType="end"/>
      </w:r>
      <w:r w:rsidRPr="006D631C">
        <w:rPr>
          <w:rFonts w:asciiTheme="majorBidi" w:hAnsiTheme="majorBidi" w:cstheme="majorBidi"/>
        </w:rPr>
        <w:t xml:space="preserve"> we found that </w:t>
      </w:r>
      <w:proofErr w:type="spellStart"/>
      <w:r w:rsidRPr="006D631C">
        <w:rPr>
          <w:rFonts w:asciiTheme="majorBidi" w:hAnsiTheme="majorBidi" w:cstheme="majorBidi"/>
        </w:rPr>
        <w:t>polyLLCs</w:t>
      </w:r>
      <w:proofErr w:type="spellEnd"/>
      <w:r w:rsidRPr="006D631C">
        <w:rPr>
          <w:rFonts w:asciiTheme="majorBidi" w:hAnsiTheme="majorBidi" w:cstheme="majorBidi"/>
        </w:rPr>
        <w:t xml:space="preserve"> without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exhibited a swelling capacity of 600% at 5 °C, which decreased to 120% when the temperature was raised to 45 °C. The reduction in swelling capacity upon the addition of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to the formulation can be considered as a direct effect of inclusion of this specie in the chemically cross-linked polymer network.</w:t>
      </w:r>
    </w:p>
    <w:p w14:paraId="19AC5404" w14:textId="310E087A" w:rsidR="001057EF" w:rsidRPr="006D631C" w:rsidRDefault="00B408F8" w:rsidP="00AE7A2D">
      <w:pPr>
        <w:ind w:firstLine="360"/>
      </w:pPr>
      <w:r w:rsidRPr="006D631C">
        <w:rPr>
          <w:rFonts w:asciiTheme="majorBidi" w:hAnsiTheme="majorBidi" w:cstheme="majorBidi"/>
        </w:rPr>
        <w:t>We evaluated the swelling capacity at different pH values and ionic strengths. The ionic strength was altered by using different contents of K</w:t>
      </w:r>
      <w:r w:rsidRPr="006D631C">
        <w:rPr>
          <w:rFonts w:asciiTheme="majorBidi" w:hAnsiTheme="majorBidi" w:cstheme="majorBidi"/>
          <w:vertAlign w:val="subscript"/>
        </w:rPr>
        <w:t>2</w:t>
      </w:r>
      <w:r w:rsidRPr="006D631C">
        <w:rPr>
          <w:rFonts w:asciiTheme="majorBidi" w:hAnsiTheme="majorBidi" w:cstheme="majorBidi"/>
        </w:rPr>
        <w:t>SO</w:t>
      </w:r>
      <w:r w:rsidRPr="006D631C">
        <w:rPr>
          <w:rFonts w:asciiTheme="majorBidi" w:hAnsiTheme="majorBidi" w:cstheme="majorBidi"/>
          <w:vertAlign w:val="subscript"/>
        </w:rPr>
        <w:t>4</w:t>
      </w:r>
      <w:r w:rsidRPr="006D631C">
        <w:rPr>
          <w:rFonts w:asciiTheme="majorBidi" w:hAnsiTheme="majorBidi" w:cstheme="majorBidi"/>
        </w:rPr>
        <w:t xml:space="preserve">. </w:t>
      </w:r>
      <w:r w:rsidR="00985486" w:rsidRPr="006D631C">
        <w:rPr>
          <w:rFonts w:asciiTheme="majorBidi" w:hAnsiTheme="majorBidi" w:cstheme="majorBidi"/>
        </w:rPr>
        <w:t>Figure</w:t>
      </w:r>
      <w:r w:rsidRPr="006D631C">
        <w:rPr>
          <w:rFonts w:asciiTheme="majorBidi" w:hAnsiTheme="majorBidi" w:cstheme="majorBidi"/>
        </w:rPr>
        <w:t xml:space="preserve"> </w:t>
      </w:r>
      <w:r w:rsidR="00985486" w:rsidRPr="006D631C">
        <w:rPr>
          <w:rFonts w:asciiTheme="majorBidi" w:hAnsiTheme="majorBidi" w:cstheme="majorBidi"/>
        </w:rPr>
        <w:t>5-</w:t>
      </w:r>
      <w:r w:rsidRPr="006D631C">
        <w:rPr>
          <w:rFonts w:asciiTheme="majorBidi" w:hAnsiTheme="majorBidi" w:cstheme="majorBidi"/>
        </w:rPr>
        <w:t>4</w:t>
      </w:r>
      <w:r w:rsidR="00AE7A2D" w:rsidRPr="006D631C">
        <w:rPr>
          <w:rFonts w:asciiTheme="majorBidi" w:hAnsiTheme="majorBidi" w:cstheme="majorBidi"/>
        </w:rPr>
        <w:t>c</w:t>
      </w:r>
      <w:r w:rsidRPr="006D631C">
        <w:rPr>
          <w:rFonts w:asciiTheme="majorBidi" w:hAnsiTheme="majorBidi" w:cstheme="majorBidi"/>
        </w:rPr>
        <w:t xml:space="preserve"> demonstrates that the polyLLC </w:t>
      </w:r>
      <w:r w:rsidR="00A5093D" w:rsidRPr="006D631C">
        <w:rPr>
          <w:rFonts w:asciiTheme="majorBidi" w:hAnsiTheme="majorBidi" w:cstheme="majorBidi"/>
        </w:rPr>
        <w:t xml:space="preserve">still </w:t>
      </w:r>
      <w:r w:rsidRPr="006D631C">
        <w:rPr>
          <w:rFonts w:asciiTheme="majorBidi" w:hAnsiTheme="majorBidi" w:cstheme="majorBidi"/>
        </w:rPr>
        <w:t>exhibit</w:t>
      </w:r>
      <w:r w:rsidR="00A5093D" w:rsidRPr="006D631C">
        <w:rPr>
          <w:rFonts w:asciiTheme="majorBidi" w:hAnsiTheme="majorBidi" w:cstheme="majorBidi"/>
        </w:rPr>
        <w:t>s</w:t>
      </w:r>
      <w:r w:rsidRPr="006D631C">
        <w:rPr>
          <w:rFonts w:asciiTheme="majorBidi" w:hAnsiTheme="majorBidi" w:cstheme="majorBidi"/>
        </w:rPr>
        <w:t xml:space="preserve"> thermoresponsiveness, albeit with a slightly reduced swelling capacity and extent of thermal response (change in swelling capacity upon heating from 25 to 45 °C) at higher salt concentrations. This reduction in swelling capacity is a well-known phenomenon that has been observed in hydrogels when exposed to high salt concentrations. This is due to the high osmotic pressure in the saline water, which causes water to be desorbed from the hydrogel.</w:t>
      </w:r>
      <w:r w:rsidRPr="006D631C">
        <w:rPr>
          <w:rFonts w:asciiTheme="majorBidi" w:hAnsiTheme="majorBidi" w:cstheme="majorBidi"/>
        </w:rPr>
        <w:fldChar w:fldCharType="begin" w:fldLock="1"/>
      </w:r>
      <w:r w:rsidR="003F1CF2" w:rsidRPr="006D631C">
        <w:rPr>
          <w:rFonts w:asciiTheme="majorBidi" w:hAnsiTheme="majorBidi" w:cstheme="majorBidi"/>
        </w:rPr>
        <w:instrText>ADDIN CSL_CITATION {"citationItems":[{"id":"ITEM-1","itemData":{"DOI":"10.3390/polym13193274","ISSN":"2073-4360","abstract":"This study describes the development of a renewable and biodegradable biopolymer-based hydrogel for application in agriculture and horticulture as a soil conditioning agent and for release of a nutrient or fertilizer. The novel product is based on a combination of cellulose derivatives (carboxymethylcellulose and hydroxyethylcellulose) cross-linked with citric acid, as tested at various concentrations, with acid whey as a medium for hydrogel synthesis in order to utilize the almost unusable by-product of the dairy industry. The water uptake of the hydrogel was evaluated by swelling tests under variations in pH, temperature and ion concentration. Its swelling capacity, water retention and biodegradability were investigated in soil to simulate real-world conditions, the latter being monitored by the production of carbon dioxide during the biodegradation process by gas chromatography. Changes in the chemical structure and morphology of the hydrogels during biodegradation were assessed using Fourier transform infrared spectroscopy and scanning electron microscopy. The ability of the hydrogel to hold and release fertilizers was studied with urea and KNO3 as model substances. The results not only demonstrate the potential of the hydrogel to enhance the quality of soil, but also how acid whey can be employed in the development of a soil conditioning agent and nutrient release products.","author":[{"dropping-particle":"","family":"Durpekova","given":"Silvie","non-dropping-particle":"","parse-names":false,"suffix":""},{"dropping-particle":"","family":"Martino","given":"Antonio","non-dropping-particle":"Di","parse-names":false,"suffix":""},{"dropping-particle":"","family":"Dusankova","given":"Miroslava","non-dropping-particle":"","parse-names":false,"suffix":""},{"dropping-particle":"","family":"Drohsler","given":"Petra","non-dropping-particle":"","parse-names":false,"suffix":""},{"dropping-particle":"","family":"Sedlarik","given":"Vladimir","non-dropping-particle":"","parse-names":false,"suffix":""}],"container-title":"Polymers","id":"ITEM-1","issue":"19","issued":{"date-parts":[["2021","9","25"]]},"page":"3274","title":"Biopolymer Hydrogel Based on Acid Whey and Cellulose Derivatives for Enhancement Water Retention Capacity of Soil and Slow Release of Fertilizers","type":"article-journal","volume":"13"},"uris":["http://www.mendeley.com/documents/?uuid=3dadfe53-4db7-40cd-a201-6cd359b7fdc7"]}],"mendeley":{"formattedCitation":"&lt;sup&gt;290&lt;/sup&gt;","plainTextFormattedCitation":"290","previouslyFormattedCitation":"&lt;sup&gt;290&lt;/sup&gt;"},"properties":{"noteIndex":0},"schema":"https://github.com/citation-style-language/schema/raw/master/csl-citation.json"}</w:instrText>
      </w:r>
      <w:r w:rsidRPr="006D631C">
        <w:rPr>
          <w:rFonts w:asciiTheme="majorBidi" w:hAnsiTheme="majorBidi" w:cstheme="majorBidi"/>
        </w:rPr>
        <w:fldChar w:fldCharType="separate"/>
      </w:r>
      <w:r w:rsidR="00985486" w:rsidRPr="006D631C">
        <w:rPr>
          <w:rFonts w:asciiTheme="majorBidi" w:hAnsiTheme="majorBidi" w:cstheme="majorBidi"/>
          <w:noProof/>
          <w:vertAlign w:val="superscript"/>
        </w:rPr>
        <w:t>290</w:t>
      </w:r>
      <w:r w:rsidRPr="006D631C">
        <w:rPr>
          <w:rFonts w:asciiTheme="majorBidi" w:hAnsiTheme="majorBidi" w:cstheme="majorBidi"/>
        </w:rPr>
        <w:fldChar w:fldCharType="end"/>
      </w:r>
      <w:r w:rsidRPr="006D631C">
        <w:rPr>
          <w:rFonts w:asciiTheme="majorBidi" w:hAnsiTheme="majorBidi" w:cstheme="majorBidi"/>
        </w:rPr>
        <w:t xml:space="preserve"> </w:t>
      </w:r>
      <w:r w:rsidR="00985486" w:rsidRPr="006D631C">
        <w:rPr>
          <w:rFonts w:asciiTheme="majorBidi" w:hAnsiTheme="majorBidi" w:cstheme="majorBidi"/>
        </w:rPr>
        <w:t>Additionally, Figure</w:t>
      </w:r>
      <w:r w:rsidRPr="006D631C">
        <w:rPr>
          <w:rFonts w:asciiTheme="majorBidi" w:hAnsiTheme="majorBidi" w:cstheme="majorBidi"/>
        </w:rPr>
        <w:t xml:space="preserve"> </w:t>
      </w:r>
      <w:r w:rsidR="00985486" w:rsidRPr="006D631C">
        <w:rPr>
          <w:rFonts w:asciiTheme="majorBidi" w:hAnsiTheme="majorBidi" w:cstheme="majorBidi"/>
        </w:rPr>
        <w:t>5-</w:t>
      </w:r>
      <w:r w:rsidRPr="006D631C">
        <w:rPr>
          <w:rFonts w:asciiTheme="majorBidi" w:hAnsiTheme="majorBidi" w:cstheme="majorBidi"/>
        </w:rPr>
        <w:t>4</w:t>
      </w:r>
      <w:r w:rsidR="00AE7A2D" w:rsidRPr="006D631C">
        <w:rPr>
          <w:rFonts w:asciiTheme="majorBidi" w:hAnsiTheme="majorBidi" w:cstheme="majorBidi"/>
        </w:rPr>
        <w:t>d</w:t>
      </w:r>
      <w:r w:rsidRPr="006D631C">
        <w:rPr>
          <w:rFonts w:asciiTheme="majorBidi" w:hAnsiTheme="majorBidi" w:cstheme="majorBidi"/>
        </w:rPr>
        <w:t xml:space="preserve"> reveals that there are no significant changes in swelling capacity at 25 °C when the pH is altered from 3 to 9.</w:t>
      </w:r>
    </w:p>
    <w:p w14:paraId="031FDD99" w14:textId="0C05A353" w:rsidR="001057EF" w:rsidRPr="006D631C" w:rsidRDefault="00136981" w:rsidP="00EA5AA7">
      <w:pPr>
        <w:ind w:firstLine="360"/>
        <w:rPr>
          <w:rFonts w:cstheme="minorBidi"/>
        </w:rPr>
      </w:pPr>
      <w:r w:rsidRPr="006D631C">
        <w:rPr>
          <w:rFonts w:asciiTheme="majorBidi" w:hAnsiTheme="majorBidi" w:cstheme="majorBidi"/>
        </w:rPr>
        <w:t xml:space="preserve">As depicted in Figure 5-5, </w:t>
      </w:r>
      <w:r w:rsidR="003F1CF2" w:rsidRPr="006D631C">
        <w:rPr>
          <w:rFonts w:asciiTheme="majorBidi" w:hAnsiTheme="majorBidi" w:cstheme="majorBidi"/>
        </w:rPr>
        <w:t>CPLM and SAXS were employed to investigate the impact of temperature and pH on the structural changes</w:t>
      </w:r>
      <w:r w:rsidRPr="006D631C">
        <w:rPr>
          <w:rFonts w:asciiTheme="majorBidi" w:hAnsiTheme="majorBidi" w:cstheme="majorBidi"/>
        </w:rPr>
        <w:t xml:space="preserve"> of the water-swollen polymer</w:t>
      </w:r>
      <w:r w:rsidR="003F1CF2" w:rsidRPr="006D631C">
        <w:rPr>
          <w:rFonts w:asciiTheme="majorBidi" w:hAnsiTheme="majorBidi" w:cstheme="majorBidi"/>
        </w:rPr>
        <w:t xml:space="preserve">. </w:t>
      </w:r>
      <w:r w:rsidRPr="006D631C">
        <w:rPr>
          <w:rFonts w:asciiTheme="majorBidi" w:hAnsiTheme="majorBidi" w:cstheme="majorBidi"/>
        </w:rPr>
        <w:t>T</w:t>
      </w:r>
      <w:r w:rsidR="003F1CF2" w:rsidRPr="006D631C">
        <w:rPr>
          <w:rFonts w:asciiTheme="majorBidi" w:hAnsiTheme="majorBidi" w:cstheme="majorBidi"/>
        </w:rPr>
        <w:t xml:space="preserve">he structure of the polymer remains unaffected by changes in pH, as evidenced by the consistent CPLM and SAXS results obtained at various pH values. However, irrespective of the pH values, the results indicate </w:t>
      </w:r>
      <w:r w:rsidR="003F1CF2" w:rsidRPr="006D631C">
        <w:rPr>
          <w:rFonts w:asciiTheme="majorBidi" w:hAnsiTheme="majorBidi" w:cstheme="majorBidi"/>
        </w:rPr>
        <w:lastRenderedPageBreak/>
        <w:t>that when the polymer is cooled to 10 °C, it exhibits a weakly ordered structure. This is evident from the absence of any discernible texture in CPLM and the presence of very weak peaks (or almost no peaks) in SAXS. This finding is aligned with our recently published research</w:t>
      </w:r>
      <w:r w:rsidR="0010282D" w:rsidRPr="006D631C">
        <w:rPr>
          <w:rFonts w:asciiTheme="majorBidi" w:hAnsiTheme="majorBidi" w:cstheme="majorBidi"/>
        </w:rPr>
        <w:t xml:space="preserve"> (</w:t>
      </w:r>
      <w:r w:rsidR="00EA5AA7" w:rsidRPr="006D631C">
        <w:rPr>
          <w:rFonts w:asciiTheme="majorBidi" w:hAnsiTheme="majorBidi" w:cstheme="majorBidi"/>
        </w:rPr>
        <w:t xml:space="preserve">Chapter </w:t>
      </w:r>
      <w:r w:rsidR="0010282D" w:rsidRPr="006D631C">
        <w:rPr>
          <w:rFonts w:asciiTheme="majorBidi" w:hAnsiTheme="majorBidi" w:cstheme="majorBidi"/>
        </w:rPr>
        <w:t>4)</w:t>
      </w:r>
      <w:r w:rsidR="003F1CF2" w:rsidRPr="006D631C">
        <w:rPr>
          <w:rFonts w:asciiTheme="majorBidi" w:hAnsiTheme="majorBidi" w:cstheme="majorBidi"/>
        </w:rPr>
        <w:fldChar w:fldCharType="begin" w:fldLock="1"/>
      </w:r>
      <w:r w:rsidR="00B87F2F"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003F1CF2" w:rsidRPr="006D631C">
        <w:rPr>
          <w:rFonts w:asciiTheme="majorBidi" w:hAnsiTheme="majorBidi" w:cstheme="majorBidi"/>
        </w:rPr>
        <w:fldChar w:fldCharType="separate"/>
      </w:r>
      <w:r w:rsidR="00D87F37" w:rsidRPr="006D631C">
        <w:rPr>
          <w:rFonts w:asciiTheme="majorBidi" w:hAnsiTheme="majorBidi" w:cstheme="majorBidi"/>
          <w:noProof/>
          <w:vertAlign w:val="superscript"/>
        </w:rPr>
        <w:t>289</w:t>
      </w:r>
      <w:r w:rsidR="003F1CF2" w:rsidRPr="006D631C">
        <w:rPr>
          <w:rFonts w:asciiTheme="majorBidi" w:hAnsiTheme="majorBidi" w:cstheme="majorBidi"/>
        </w:rPr>
        <w:fldChar w:fldCharType="end"/>
      </w:r>
      <w:r w:rsidR="003F1CF2" w:rsidRPr="006D631C">
        <w:rPr>
          <w:rFonts w:asciiTheme="majorBidi" w:hAnsiTheme="majorBidi" w:cstheme="majorBidi"/>
        </w:rPr>
        <w:t xml:space="preserve"> and can be attributed to the disruption of PEO and PPO segregation within the water domain. This disruption occurs due to the increased miscibility of PEO and PPO with water, which is a result of PPO becoming hydrophilic at temperatures below LCST of the Pluronic.</w:t>
      </w:r>
      <w:r w:rsidR="003F1CF2" w:rsidRPr="006D631C">
        <w:rPr>
          <w:rFonts w:asciiTheme="majorBidi" w:hAnsiTheme="majorBidi" w:cstheme="majorBidi"/>
        </w:rPr>
        <w:fldChar w:fldCharType="begin" w:fldLock="1"/>
      </w:r>
      <w:r w:rsidR="00B87F2F" w:rsidRPr="006D631C">
        <w:rPr>
          <w:rFonts w:asciiTheme="majorBidi" w:hAnsiTheme="majorBidi" w:cstheme="majorBidi"/>
        </w:rPr>
        <w:instrText>ADDIN CSL_CITATION {"citationItems":[{"id":"ITEM-1","itemData":{"DOI":"10.1007/s10904-019-01346-2","ISSN":"1574-1443","author":[{"dropping-particle":"","family":"Deliormanlı","given":"Aylin M.","non-dropping-particle":"","parse-names":false,"suffix":""},{"dropping-particle":"","family":"Türk","given":"Mert","non-dropping-particle":"","parse-names":false,"suffix":""}],"container-title":"Journal of Inorganic and Organometallic Polymers and Materials","id":"ITEM-1","issue":"4","issued":{"date-parts":[["2020","4","24"]]},"page":"1184-1196","title":"Flow Behavior and Drug Release Study of Injectable Pluronic F-127 Hydrogels containing Bioactive Glass and Carbon-Based Nanopowders","type":"article-journal","volume":"30"},"uris":["http://www.mendeley.com/documents/?uuid=db8185aa-edb4-4979-9217-b0d297521189"]},{"id":"ITEM-2","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Materials","id":"ITEM-2","issue":"11","issued":{"date-parts":[["2022","11","11"]]},"page":"8156-8165","title":"Two-Step Thermoresponsive Ultrafiltration Membranes from Polymerization of Lyotropic Liquid Crystals","type":"article-journal","volume":"4"},"uris":["http://www.mendeley.com/documents/?uuid=4eee7cf8-e804-4309-8e0d-bec6bee52d4f"]}],"mendeley":{"formattedCitation":"&lt;sup&gt;258,263&lt;/sup&gt;","plainTextFormattedCitation":"258,263","previouslyFormattedCitation":"&lt;sup&gt;258,263&lt;/sup&gt;"},"properties":{"noteIndex":0},"schema":"https://github.com/citation-style-language/schema/raw/master/csl-citation.json"}</w:instrText>
      </w:r>
      <w:r w:rsidR="003F1CF2" w:rsidRPr="006D631C">
        <w:rPr>
          <w:rFonts w:asciiTheme="majorBidi" w:hAnsiTheme="majorBidi" w:cstheme="majorBidi"/>
        </w:rPr>
        <w:fldChar w:fldCharType="separate"/>
      </w:r>
      <w:r w:rsidR="00D87F37" w:rsidRPr="006D631C">
        <w:rPr>
          <w:rFonts w:asciiTheme="majorBidi" w:hAnsiTheme="majorBidi" w:cstheme="majorBidi"/>
          <w:noProof/>
          <w:vertAlign w:val="superscript"/>
        </w:rPr>
        <w:t>258,263</w:t>
      </w:r>
      <w:r w:rsidR="003F1CF2" w:rsidRPr="006D631C">
        <w:rPr>
          <w:rFonts w:asciiTheme="majorBidi" w:hAnsiTheme="majorBidi" w:cstheme="majorBidi"/>
        </w:rPr>
        <w:fldChar w:fldCharType="end"/>
      </w:r>
      <w:r w:rsidR="003F1CF2" w:rsidRPr="006D631C">
        <w:rPr>
          <w:rFonts w:asciiTheme="majorBidi" w:hAnsiTheme="majorBidi" w:cstheme="majorBidi"/>
        </w:rPr>
        <w:t xml:space="preserve"> Under such condition, the micelles adhere to each other because of significant swelling with water, leading to the formation of a weakly porous polymer that lacks any noticeable structure. Such structural alteration is reversible via deswelling the polymer upon heating it to 65 °C, as confirmed by the reappearance of texture in CPLM and the emergence of strong H</w:t>
      </w:r>
      <w:r w:rsidR="003F1CF2" w:rsidRPr="006D631C">
        <w:rPr>
          <w:rFonts w:asciiTheme="majorBidi" w:hAnsiTheme="majorBidi" w:cstheme="majorBidi"/>
          <w:vertAlign w:val="subscript"/>
        </w:rPr>
        <w:t>1</w:t>
      </w:r>
      <w:r w:rsidR="003F1CF2" w:rsidRPr="006D631C">
        <w:rPr>
          <w:rFonts w:asciiTheme="majorBidi" w:hAnsiTheme="majorBidi" w:cstheme="majorBidi"/>
        </w:rPr>
        <w:t xml:space="preserve"> Bragg peaks in the SAXS profile.</w:t>
      </w:r>
    </w:p>
    <w:p w14:paraId="7884D646" w14:textId="6A75F533" w:rsidR="001057EF" w:rsidRPr="006D631C" w:rsidRDefault="0024473C" w:rsidP="00B87BAA">
      <w:pPr>
        <w:spacing w:line="360" w:lineRule="auto"/>
        <w:jc w:val="center"/>
        <w:rPr>
          <w:rFonts w:cstheme="minorBidi"/>
        </w:rPr>
      </w:pPr>
      <w:r w:rsidRPr="006D631C">
        <w:rPr>
          <w:rFonts w:asciiTheme="majorBidi" w:hAnsiTheme="majorBidi" w:cstheme="majorBidi"/>
          <w:noProof/>
        </w:rPr>
        <w:lastRenderedPageBreak/>
        <w:drawing>
          <wp:inline distT="0" distB="0" distL="0" distR="0" wp14:anchorId="4A4C8390" wp14:editId="74600393">
            <wp:extent cx="5940000" cy="463400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940000" cy="4634003"/>
                    </a:xfrm>
                    <a:prstGeom prst="rect">
                      <a:avLst/>
                    </a:prstGeom>
                    <a:noFill/>
                  </pic:spPr>
                </pic:pic>
              </a:graphicData>
            </a:graphic>
          </wp:inline>
        </w:drawing>
      </w:r>
    </w:p>
    <w:p w14:paraId="18CABFBF" w14:textId="32299F25" w:rsidR="00B74AFA" w:rsidRPr="006D631C" w:rsidRDefault="00B74AFA" w:rsidP="0024473C">
      <w:pPr>
        <w:pStyle w:val="Caption"/>
        <w:jc w:val="center"/>
        <w:rPr>
          <w:iCs w:val="0"/>
          <w:sz w:val="22"/>
          <w:szCs w:val="22"/>
        </w:rPr>
      </w:pPr>
      <w:bookmarkStart w:id="219" w:name="_Toc148175958"/>
      <w:r w:rsidRPr="006D631C">
        <w:rPr>
          <w:iCs w:val="0"/>
          <w:sz w:val="22"/>
          <w:szCs w:val="22"/>
        </w:rPr>
        <w:t xml:space="preserve">Figure </w:t>
      </w:r>
      <w:r w:rsidR="00B55F32" w:rsidRPr="006D631C">
        <w:rPr>
          <w:iCs w:val="0"/>
          <w:sz w:val="22"/>
          <w:szCs w:val="22"/>
        </w:rPr>
        <w:fldChar w:fldCharType="begin"/>
      </w:r>
      <w:r w:rsidR="00B55F32" w:rsidRPr="006D631C">
        <w:rPr>
          <w:iCs w:val="0"/>
          <w:sz w:val="22"/>
          <w:szCs w:val="22"/>
        </w:rPr>
        <w:instrText xml:space="preserve"> STYLEREF 1 \s </w:instrText>
      </w:r>
      <w:r w:rsidR="00B55F32" w:rsidRPr="006D631C">
        <w:rPr>
          <w:iCs w:val="0"/>
          <w:sz w:val="22"/>
          <w:szCs w:val="22"/>
        </w:rPr>
        <w:fldChar w:fldCharType="separate"/>
      </w:r>
      <w:r w:rsidR="00B55F32" w:rsidRPr="006D631C">
        <w:rPr>
          <w:iCs w:val="0"/>
          <w:sz w:val="22"/>
          <w:szCs w:val="22"/>
          <w:cs/>
        </w:rPr>
        <w:t>‎</w:t>
      </w:r>
      <w:r w:rsidR="00B55F32" w:rsidRPr="006D631C">
        <w:rPr>
          <w:iCs w:val="0"/>
          <w:sz w:val="22"/>
          <w:szCs w:val="22"/>
        </w:rPr>
        <w:t>5</w:t>
      </w:r>
      <w:r w:rsidR="00B55F32" w:rsidRPr="006D631C">
        <w:rPr>
          <w:iCs w:val="0"/>
          <w:sz w:val="22"/>
          <w:szCs w:val="22"/>
        </w:rPr>
        <w:fldChar w:fldCharType="end"/>
      </w:r>
      <w:r w:rsidR="00B55F32" w:rsidRPr="006D631C">
        <w:rPr>
          <w:iCs w:val="0"/>
          <w:sz w:val="22"/>
          <w:szCs w:val="22"/>
        </w:rPr>
        <w:noBreakHyphen/>
      </w:r>
      <w:r w:rsidR="00B55F32" w:rsidRPr="006D631C">
        <w:rPr>
          <w:iCs w:val="0"/>
          <w:sz w:val="22"/>
          <w:szCs w:val="22"/>
        </w:rPr>
        <w:fldChar w:fldCharType="begin"/>
      </w:r>
      <w:r w:rsidR="00B55F32" w:rsidRPr="006D631C">
        <w:rPr>
          <w:iCs w:val="0"/>
          <w:sz w:val="22"/>
          <w:szCs w:val="22"/>
        </w:rPr>
        <w:instrText xml:space="preserve"> SEQ Figure \* ARABIC \s 1 </w:instrText>
      </w:r>
      <w:r w:rsidR="00B55F32" w:rsidRPr="006D631C">
        <w:rPr>
          <w:iCs w:val="0"/>
          <w:sz w:val="22"/>
          <w:szCs w:val="22"/>
        </w:rPr>
        <w:fldChar w:fldCharType="separate"/>
      </w:r>
      <w:r w:rsidR="00B55F32" w:rsidRPr="006D631C">
        <w:rPr>
          <w:iCs w:val="0"/>
          <w:sz w:val="22"/>
          <w:szCs w:val="22"/>
        </w:rPr>
        <w:t>4</w:t>
      </w:r>
      <w:r w:rsidR="00B55F32" w:rsidRPr="006D631C">
        <w:rPr>
          <w:iCs w:val="0"/>
          <w:sz w:val="22"/>
          <w:szCs w:val="22"/>
        </w:rPr>
        <w:fldChar w:fldCharType="end"/>
      </w:r>
      <w:r w:rsidRPr="006D631C">
        <w:rPr>
          <w:iCs w:val="0"/>
          <w:sz w:val="22"/>
          <w:szCs w:val="22"/>
        </w:rPr>
        <w:t xml:space="preserve">. </w:t>
      </w:r>
      <w:r w:rsidR="0024473C" w:rsidRPr="006D631C">
        <w:rPr>
          <w:iCs w:val="0"/>
          <w:sz w:val="22"/>
          <w:szCs w:val="22"/>
        </w:rPr>
        <w:t>(a) Variation of polyLLC swelling capacity with temperature (reversibility of the polyLLC thermoresponsiveness is shown as inset). (b) Kinetics of thermal response when the temperature changes from 25 to 45 °C. (c) Changes in swelling capacity with ionic strength at 25 and 45 °C. (d) Variation of the swelling capacity with pH.</w:t>
      </w:r>
      <w:bookmarkEnd w:id="219"/>
    </w:p>
    <w:p w14:paraId="5ECAA604" w14:textId="41E3BCC0" w:rsidR="0068105F" w:rsidRPr="006D631C" w:rsidRDefault="0047165B" w:rsidP="00B87BAA">
      <w:pPr>
        <w:jc w:val="center"/>
      </w:pPr>
      <w:r w:rsidRPr="006D631C">
        <w:rPr>
          <w:rFonts w:asciiTheme="majorBidi" w:hAnsiTheme="majorBidi" w:cstheme="majorBidi"/>
          <w:noProof/>
        </w:rPr>
        <w:lastRenderedPageBreak/>
        <w:drawing>
          <wp:inline distT="0" distB="0" distL="0" distR="0" wp14:anchorId="58CCE42C" wp14:editId="475A3E55">
            <wp:extent cx="5940000" cy="3414113"/>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40000" cy="3414113"/>
                    </a:xfrm>
                    <a:prstGeom prst="rect">
                      <a:avLst/>
                    </a:prstGeom>
                    <a:noFill/>
                  </pic:spPr>
                </pic:pic>
              </a:graphicData>
            </a:graphic>
          </wp:inline>
        </w:drawing>
      </w:r>
    </w:p>
    <w:p w14:paraId="5B9892B8" w14:textId="5CF915F9" w:rsidR="00B87BAA" w:rsidRPr="006D631C" w:rsidRDefault="00B87BAA" w:rsidP="00B87BAA">
      <w:pPr>
        <w:pStyle w:val="Caption"/>
        <w:jc w:val="center"/>
        <w:rPr>
          <w:rFonts w:asciiTheme="majorBidi" w:hAnsiTheme="majorBidi" w:cstheme="majorBidi"/>
          <w:sz w:val="22"/>
          <w:szCs w:val="16"/>
        </w:rPr>
      </w:pPr>
      <w:bookmarkStart w:id="220" w:name="_Toc148175959"/>
      <w:r w:rsidRPr="006D631C">
        <w:rPr>
          <w:rFonts w:asciiTheme="majorBidi" w:hAnsiTheme="majorBidi" w:cstheme="majorBidi"/>
          <w:sz w:val="22"/>
          <w:szCs w:val="16"/>
        </w:rPr>
        <w:t xml:space="preserve">Figure </w:t>
      </w:r>
      <w:r w:rsidR="00B55F32" w:rsidRPr="006D631C">
        <w:rPr>
          <w:rFonts w:asciiTheme="majorBidi" w:hAnsiTheme="majorBidi" w:cstheme="majorBidi"/>
          <w:sz w:val="22"/>
          <w:szCs w:val="16"/>
        </w:rPr>
        <w:fldChar w:fldCharType="begin"/>
      </w:r>
      <w:r w:rsidR="00B55F32" w:rsidRPr="006D631C">
        <w:rPr>
          <w:rFonts w:asciiTheme="majorBidi" w:hAnsiTheme="majorBidi" w:cstheme="majorBidi"/>
          <w:sz w:val="22"/>
          <w:szCs w:val="16"/>
        </w:rPr>
        <w:instrText xml:space="preserve"> STYLEREF 1 \s </w:instrText>
      </w:r>
      <w:r w:rsidR="00B55F32" w:rsidRPr="006D631C">
        <w:rPr>
          <w:rFonts w:asciiTheme="majorBidi" w:hAnsiTheme="majorBidi" w:cstheme="majorBidi"/>
          <w:sz w:val="22"/>
          <w:szCs w:val="16"/>
        </w:rPr>
        <w:fldChar w:fldCharType="separate"/>
      </w:r>
      <w:r w:rsidR="00B55F32" w:rsidRPr="006D631C">
        <w:rPr>
          <w:rFonts w:asciiTheme="majorBidi" w:hAnsiTheme="majorBidi" w:cstheme="majorBidi"/>
          <w:sz w:val="22"/>
          <w:szCs w:val="16"/>
          <w:cs/>
        </w:rPr>
        <w:t>‎</w:t>
      </w:r>
      <w:r w:rsidR="00B55F32" w:rsidRPr="006D631C">
        <w:rPr>
          <w:rFonts w:asciiTheme="majorBidi" w:hAnsiTheme="majorBidi" w:cstheme="majorBidi"/>
          <w:sz w:val="22"/>
          <w:szCs w:val="16"/>
        </w:rPr>
        <w:t>5</w:t>
      </w:r>
      <w:r w:rsidR="00B55F32" w:rsidRPr="006D631C">
        <w:rPr>
          <w:rFonts w:asciiTheme="majorBidi" w:hAnsiTheme="majorBidi" w:cstheme="majorBidi"/>
          <w:sz w:val="22"/>
          <w:szCs w:val="16"/>
        </w:rPr>
        <w:fldChar w:fldCharType="end"/>
      </w:r>
      <w:r w:rsidR="00B55F32" w:rsidRPr="006D631C">
        <w:rPr>
          <w:rFonts w:asciiTheme="majorBidi" w:hAnsiTheme="majorBidi" w:cstheme="majorBidi"/>
          <w:sz w:val="22"/>
          <w:szCs w:val="16"/>
        </w:rPr>
        <w:noBreakHyphen/>
      </w:r>
      <w:r w:rsidR="00B55F32" w:rsidRPr="006D631C">
        <w:rPr>
          <w:rFonts w:asciiTheme="majorBidi" w:hAnsiTheme="majorBidi" w:cstheme="majorBidi"/>
          <w:sz w:val="22"/>
          <w:szCs w:val="16"/>
        </w:rPr>
        <w:fldChar w:fldCharType="begin"/>
      </w:r>
      <w:r w:rsidR="00B55F32" w:rsidRPr="006D631C">
        <w:rPr>
          <w:rFonts w:asciiTheme="majorBidi" w:hAnsiTheme="majorBidi" w:cstheme="majorBidi"/>
          <w:sz w:val="22"/>
          <w:szCs w:val="16"/>
        </w:rPr>
        <w:instrText xml:space="preserve"> SEQ Figure \* ARABIC \s 1 </w:instrText>
      </w:r>
      <w:r w:rsidR="00B55F32" w:rsidRPr="006D631C">
        <w:rPr>
          <w:rFonts w:asciiTheme="majorBidi" w:hAnsiTheme="majorBidi" w:cstheme="majorBidi"/>
          <w:sz w:val="22"/>
          <w:szCs w:val="16"/>
        </w:rPr>
        <w:fldChar w:fldCharType="separate"/>
      </w:r>
      <w:r w:rsidR="00B55F32" w:rsidRPr="006D631C">
        <w:rPr>
          <w:rFonts w:asciiTheme="majorBidi" w:hAnsiTheme="majorBidi" w:cstheme="majorBidi"/>
          <w:sz w:val="22"/>
          <w:szCs w:val="16"/>
        </w:rPr>
        <w:t>5</w:t>
      </w:r>
      <w:r w:rsidR="00B55F32" w:rsidRPr="006D631C">
        <w:rPr>
          <w:rFonts w:asciiTheme="majorBidi" w:hAnsiTheme="majorBidi" w:cstheme="majorBidi"/>
          <w:sz w:val="22"/>
          <w:szCs w:val="16"/>
        </w:rPr>
        <w:fldChar w:fldCharType="end"/>
      </w:r>
      <w:r w:rsidRPr="006D631C">
        <w:rPr>
          <w:rFonts w:asciiTheme="majorBidi" w:hAnsiTheme="majorBidi" w:cstheme="majorBidi"/>
          <w:sz w:val="22"/>
          <w:szCs w:val="16"/>
        </w:rPr>
        <w:t>. (</w:t>
      </w:r>
      <w:proofErr w:type="gramStart"/>
      <w:r w:rsidRPr="006D631C">
        <w:rPr>
          <w:rFonts w:asciiTheme="majorBidi" w:hAnsiTheme="majorBidi" w:cstheme="majorBidi"/>
          <w:sz w:val="22"/>
          <w:szCs w:val="16"/>
        </w:rPr>
        <w:t>a-l</w:t>
      </w:r>
      <w:proofErr w:type="gramEnd"/>
      <w:r w:rsidRPr="006D631C">
        <w:rPr>
          <w:rFonts w:asciiTheme="majorBidi" w:hAnsiTheme="majorBidi" w:cstheme="majorBidi"/>
          <w:sz w:val="22"/>
          <w:szCs w:val="16"/>
        </w:rPr>
        <w:t xml:space="preserve">) CPLM images of water-swollen polyLLC at temperature of (a, e, </w:t>
      </w:r>
      <w:proofErr w:type="spellStart"/>
      <w:r w:rsidRPr="006D631C">
        <w:rPr>
          <w:rFonts w:asciiTheme="majorBidi" w:hAnsiTheme="majorBidi" w:cstheme="majorBidi"/>
          <w:sz w:val="22"/>
          <w:szCs w:val="16"/>
        </w:rPr>
        <w:t>i</w:t>
      </w:r>
      <w:proofErr w:type="spellEnd"/>
      <w:r w:rsidRPr="006D631C">
        <w:rPr>
          <w:rFonts w:asciiTheme="majorBidi" w:hAnsiTheme="majorBidi" w:cstheme="majorBidi"/>
          <w:sz w:val="22"/>
          <w:szCs w:val="16"/>
        </w:rPr>
        <w:t>) 10, (b, f, j) 25, (c, g, k) 45, and (d, h, l) 65 °C and at pH of (a-d) 9, (e-h) 6, and (</w:t>
      </w:r>
      <w:proofErr w:type="spellStart"/>
      <w:r w:rsidRPr="006D631C">
        <w:rPr>
          <w:rFonts w:asciiTheme="majorBidi" w:hAnsiTheme="majorBidi" w:cstheme="majorBidi"/>
          <w:sz w:val="22"/>
          <w:szCs w:val="16"/>
        </w:rPr>
        <w:t>i</w:t>
      </w:r>
      <w:proofErr w:type="spellEnd"/>
      <w:r w:rsidRPr="006D631C">
        <w:rPr>
          <w:rFonts w:asciiTheme="majorBidi" w:hAnsiTheme="majorBidi" w:cstheme="majorBidi"/>
          <w:sz w:val="22"/>
          <w:szCs w:val="16"/>
        </w:rPr>
        <w:t>-l) 4. (m) 1D SAXS profile of the water-swollen polyLLC at different temperatures and pH values. To enhance comparison, the plots have been vertically shifted.</w:t>
      </w:r>
      <w:bookmarkEnd w:id="220"/>
    </w:p>
    <w:p w14:paraId="51243EC0" w14:textId="4F7446E2" w:rsidR="00DA4301" w:rsidRPr="006D631C" w:rsidRDefault="00DA4301" w:rsidP="00437596">
      <w:pPr>
        <w:pStyle w:val="Heading3"/>
      </w:pPr>
      <w:bookmarkStart w:id="221" w:name="_Toc148175882"/>
      <w:r w:rsidRPr="006D631C">
        <w:t xml:space="preserve">5.3.2 </w:t>
      </w:r>
      <w:r w:rsidR="00437596" w:rsidRPr="006D631C">
        <w:t>Analysis of the polyLLC membrane performance</w:t>
      </w:r>
      <w:bookmarkEnd w:id="221"/>
    </w:p>
    <w:p w14:paraId="536C1842" w14:textId="7F50480D" w:rsidR="0068105F" w:rsidRPr="006D631C" w:rsidRDefault="0086195C" w:rsidP="00EA5AA7">
      <w:pPr>
        <w:ind w:firstLine="360"/>
      </w:pPr>
      <w:r w:rsidRPr="006D631C">
        <w:rPr>
          <w:rFonts w:asciiTheme="majorBidi" w:hAnsiTheme="majorBidi" w:cstheme="majorBidi"/>
        </w:rPr>
        <w:t>We have demonstrated the fabrication of H</w:t>
      </w:r>
      <w:r w:rsidRPr="006D631C">
        <w:rPr>
          <w:rFonts w:asciiTheme="majorBidi" w:hAnsiTheme="majorBidi" w:cstheme="majorBidi"/>
          <w:vertAlign w:val="subscript"/>
        </w:rPr>
        <w:t>1</w:t>
      </w:r>
      <w:r w:rsidRPr="006D631C">
        <w:rPr>
          <w:rFonts w:asciiTheme="majorBidi" w:hAnsiTheme="majorBidi" w:cstheme="majorBidi"/>
        </w:rPr>
        <w:t>-structured membranes on a polyester support layer by applying a knife coating technique followed by UV curing</w:t>
      </w:r>
      <w:r w:rsidR="00D87F37" w:rsidRPr="006D631C">
        <w:rPr>
          <w:rFonts w:asciiTheme="majorBidi" w:hAnsiTheme="majorBidi" w:cstheme="majorBidi"/>
        </w:rPr>
        <w:t xml:space="preserve"> (see </w:t>
      </w:r>
      <w:r w:rsidR="00EA5AA7" w:rsidRPr="006D631C">
        <w:rPr>
          <w:rFonts w:asciiTheme="majorBidi" w:hAnsiTheme="majorBidi" w:cstheme="majorBidi"/>
        </w:rPr>
        <w:t xml:space="preserve">Chapter </w:t>
      </w:r>
      <w:r w:rsidR="00D87F37" w:rsidRPr="006D631C">
        <w:rPr>
          <w:rFonts w:asciiTheme="majorBidi" w:hAnsiTheme="majorBidi" w:cstheme="majorBidi"/>
        </w:rPr>
        <w:t>4)</w:t>
      </w:r>
      <w:r w:rsidRPr="006D631C">
        <w:rPr>
          <w:rFonts w:asciiTheme="majorBidi" w:hAnsiTheme="majorBidi" w:cstheme="majorBidi"/>
        </w:rPr>
        <w:fldChar w:fldCharType="begin" w:fldLock="1"/>
      </w:r>
      <w:r w:rsidR="00B87F2F"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Pr="006D631C">
        <w:rPr>
          <w:rFonts w:asciiTheme="majorBidi" w:hAnsiTheme="majorBidi" w:cstheme="majorBidi"/>
        </w:rPr>
        <w:fldChar w:fldCharType="separate"/>
      </w:r>
      <w:r w:rsidR="00D87F37" w:rsidRPr="006D631C">
        <w:rPr>
          <w:rFonts w:asciiTheme="majorBidi" w:hAnsiTheme="majorBidi" w:cstheme="majorBidi"/>
          <w:noProof/>
          <w:vertAlign w:val="superscript"/>
        </w:rPr>
        <w:t>289</w:t>
      </w:r>
      <w:r w:rsidRPr="006D631C">
        <w:rPr>
          <w:rFonts w:asciiTheme="majorBidi" w:hAnsiTheme="majorBidi" w:cstheme="majorBidi"/>
        </w:rPr>
        <w:fldChar w:fldCharType="end"/>
      </w:r>
      <w:r w:rsidRPr="006D631C">
        <w:rPr>
          <w:rFonts w:asciiTheme="majorBidi" w:hAnsiTheme="majorBidi" w:cstheme="majorBidi"/>
        </w:rPr>
        <w:t>. The same technique was employed to create the membranes discussed in the present study.</w:t>
      </w:r>
      <w:r w:rsidRPr="006D631C">
        <w:t xml:space="preserve"> </w:t>
      </w:r>
      <w:r w:rsidRPr="006D631C">
        <w:rPr>
          <w:rFonts w:asciiTheme="majorBidi" w:hAnsiTheme="majorBidi" w:cstheme="majorBidi"/>
        </w:rPr>
        <w:t>The circular cut and typical cross-sectional SEM image of the support</w:t>
      </w:r>
      <w:r w:rsidR="00D87F37" w:rsidRPr="006D631C">
        <w:rPr>
          <w:rFonts w:asciiTheme="majorBidi" w:hAnsiTheme="majorBidi" w:cstheme="majorBidi"/>
        </w:rPr>
        <w:t>ed membrane are depicted in Figure</w:t>
      </w:r>
      <w:r w:rsidRPr="006D631C">
        <w:rPr>
          <w:rFonts w:asciiTheme="majorBidi" w:hAnsiTheme="majorBidi" w:cstheme="majorBidi"/>
        </w:rPr>
        <w:t xml:space="preserve"> </w:t>
      </w:r>
      <w:r w:rsidR="00D87F37" w:rsidRPr="006D631C">
        <w:rPr>
          <w:rFonts w:asciiTheme="majorBidi" w:hAnsiTheme="majorBidi" w:cstheme="majorBidi"/>
        </w:rPr>
        <w:t>5-</w:t>
      </w:r>
      <w:r w:rsidRPr="006D631C">
        <w:rPr>
          <w:rFonts w:asciiTheme="majorBidi" w:hAnsiTheme="majorBidi" w:cstheme="majorBidi"/>
        </w:rPr>
        <w:t>6a and b, respectively. Based on image analysis, it can be determined that the membrane thickness is in 20-60 µm range with an average thickness of ~40 µm. Consequently, all membrane flux data are normalized by this average thickne</w:t>
      </w:r>
      <w:r w:rsidR="00FE0ABE" w:rsidRPr="006D631C">
        <w:rPr>
          <w:rFonts w:asciiTheme="majorBidi" w:hAnsiTheme="majorBidi" w:cstheme="majorBidi"/>
        </w:rPr>
        <w:t>ss to unit</w:t>
      </w:r>
      <w:r w:rsidRPr="006D631C">
        <w:rPr>
          <w:rFonts w:asciiTheme="majorBidi" w:hAnsiTheme="majorBidi" w:cstheme="majorBidi"/>
        </w:rPr>
        <w:t xml:space="preserve"> of liters m</w:t>
      </w:r>
      <w:r w:rsidRPr="006D631C">
        <w:rPr>
          <w:rFonts w:asciiTheme="majorBidi" w:hAnsiTheme="majorBidi" w:cstheme="majorBidi"/>
          <w:vertAlign w:val="superscript"/>
        </w:rPr>
        <w:t>−2</w:t>
      </w:r>
      <w:r w:rsidRPr="006D631C">
        <w:rPr>
          <w:rFonts w:asciiTheme="majorBidi" w:hAnsiTheme="majorBidi" w:cstheme="majorBidi"/>
        </w:rPr>
        <w:t xml:space="preserve"> hour</w:t>
      </w:r>
      <w:r w:rsidRPr="006D631C">
        <w:rPr>
          <w:rFonts w:asciiTheme="majorBidi" w:hAnsiTheme="majorBidi" w:cstheme="majorBidi"/>
          <w:vertAlign w:val="superscript"/>
        </w:rPr>
        <w:t>−1</w:t>
      </w:r>
      <w:r w:rsidRPr="006D631C">
        <w:rPr>
          <w:rFonts w:asciiTheme="majorBidi" w:hAnsiTheme="majorBidi" w:cstheme="majorBidi"/>
        </w:rPr>
        <w:t xml:space="preserve"> µm. The performance of the polyLLC membrane is assessed through various tests, and the ensuing sections detail the findings obtained from these tests.</w:t>
      </w:r>
    </w:p>
    <w:p w14:paraId="18F54893" w14:textId="5689F8B6" w:rsidR="004E473E" w:rsidRPr="006D631C" w:rsidRDefault="004E473E" w:rsidP="00A24736">
      <w:pPr>
        <w:pStyle w:val="Heading4"/>
      </w:pPr>
      <w:bookmarkStart w:id="222" w:name="_Toc148175883"/>
      <w:r w:rsidRPr="006D631C">
        <w:lastRenderedPageBreak/>
        <w:t xml:space="preserve">5.3.2.1 </w:t>
      </w:r>
      <w:r w:rsidR="00A24736" w:rsidRPr="006D631C">
        <w:t>Water flux and permeability</w:t>
      </w:r>
      <w:bookmarkEnd w:id="222"/>
    </w:p>
    <w:p w14:paraId="0BDF38E4" w14:textId="3FD2029D" w:rsidR="0068105F" w:rsidRPr="006D631C" w:rsidRDefault="00B87F2F" w:rsidP="00EA5AA7">
      <w:pPr>
        <w:ind w:firstLine="360"/>
      </w:pPr>
      <w:r w:rsidRPr="006D631C">
        <w:rPr>
          <w:rFonts w:asciiTheme="majorBidi" w:hAnsiTheme="majorBidi" w:cstheme="majorBidi"/>
        </w:rPr>
        <w:t>Figure 5-6 illustrates the measurement of membrane flux and permeability in multiple heating-cooling cycles at 25 and 45 °C. The obtained results indicate that both parameters increase in a reversible manner with temperature rise. As shown in our previous work (</w:t>
      </w:r>
      <w:r w:rsidR="00EA5AA7" w:rsidRPr="006D631C">
        <w:rPr>
          <w:rFonts w:asciiTheme="majorBidi" w:hAnsiTheme="majorBidi" w:cstheme="majorBidi"/>
        </w:rPr>
        <w:t xml:space="preserve">Chapter </w:t>
      </w:r>
      <w:r w:rsidRPr="006D631C">
        <w:rPr>
          <w:rFonts w:asciiTheme="majorBidi" w:hAnsiTheme="majorBidi" w:cstheme="majorBidi"/>
        </w:rPr>
        <w:t>4),</w:t>
      </w:r>
      <w:r w:rsidRPr="006D631C">
        <w:rPr>
          <w:rFonts w:asciiTheme="majorBidi" w:hAnsiTheme="majorBidi" w:cstheme="majorBidi"/>
        </w:rPr>
        <w:fldChar w:fldCharType="begin" w:fldLock="1"/>
      </w:r>
      <w:r w:rsidR="00FE0644"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289</w:t>
      </w:r>
      <w:r w:rsidRPr="006D631C">
        <w:rPr>
          <w:rFonts w:asciiTheme="majorBidi" w:hAnsiTheme="majorBidi" w:cstheme="majorBidi"/>
        </w:rPr>
        <w:fldChar w:fldCharType="end"/>
      </w:r>
      <w:r w:rsidRPr="006D631C">
        <w:rPr>
          <w:rFonts w:asciiTheme="majorBidi" w:hAnsiTheme="majorBidi" w:cstheme="majorBidi"/>
        </w:rPr>
        <w:t xml:space="preserve"> commercially available membranes lack this behavior, which further confirms the thermoresponsiveness of the polyLLC m</w:t>
      </w:r>
      <w:r w:rsidR="00E04C3B" w:rsidRPr="006D631C">
        <w:rPr>
          <w:rFonts w:asciiTheme="majorBidi" w:hAnsiTheme="majorBidi" w:cstheme="majorBidi"/>
        </w:rPr>
        <w:t>embranes. Notably, the membrane</w:t>
      </w:r>
      <w:r w:rsidRPr="006D631C">
        <w:rPr>
          <w:rFonts w:asciiTheme="majorBidi" w:hAnsiTheme="majorBidi" w:cstheme="majorBidi"/>
        </w:rPr>
        <w:t xml:space="preserve"> containing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exhibit lower permeability than </w:t>
      </w:r>
      <w:r w:rsidR="00E04C3B" w:rsidRPr="006D631C">
        <w:rPr>
          <w:rFonts w:asciiTheme="majorBidi" w:hAnsiTheme="majorBidi" w:cstheme="majorBidi"/>
        </w:rPr>
        <w:t>the one</w:t>
      </w:r>
      <w:r w:rsidRPr="006D631C">
        <w:rPr>
          <w:rFonts w:asciiTheme="majorBidi" w:hAnsiTheme="majorBidi" w:cstheme="majorBidi"/>
        </w:rPr>
        <w:t xml:space="preserve"> without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reported in our previous work,</w:t>
      </w:r>
      <w:r w:rsidRPr="006D631C">
        <w:rPr>
          <w:rFonts w:asciiTheme="majorBidi" w:hAnsiTheme="majorBidi" w:cstheme="majorBidi"/>
        </w:rPr>
        <w:fldChar w:fldCharType="begin" w:fldLock="1"/>
      </w:r>
      <w:r w:rsidR="00FE0644"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289</w:t>
      </w:r>
      <w:r w:rsidRPr="006D631C">
        <w:rPr>
          <w:rFonts w:asciiTheme="majorBidi" w:hAnsiTheme="majorBidi" w:cstheme="majorBidi"/>
        </w:rPr>
        <w:fldChar w:fldCharType="end"/>
      </w:r>
      <w:r w:rsidRPr="006D631C">
        <w:rPr>
          <w:rFonts w:asciiTheme="majorBidi" w:hAnsiTheme="majorBidi" w:cstheme="majorBidi"/>
        </w:rPr>
        <w:t xml:space="preserve"> suggesting smaller pore sizes due to the incorporation of this specie.</w:t>
      </w:r>
    </w:p>
    <w:p w14:paraId="553028D8" w14:textId="603C7C4C" w:rsidR="001C30B5" w:rsidRPr="006D631C" w:rsidRDefault="001C30B5" w:rsidP="0094330E">
      <w:pPr>
        <w:pStyle w:val="Heading4"/>
      </w:pPr>
      <w:bookmarkStart w:id="223" w:name="_Toc148175884"/>
      <w:r w:rsidRPr="006D631C">
        <w:t xml:space="preserve">5.3.2.2 </w:t>
      </w:r>
      <w:r w:rsidR="0094330E" w:rsidRPr="006D631C">
        <w:t>MWCO, protein, single salt</w:t>
      </w:r>
      <w:r w:rsidR="00D54AF6" w:rsidRPr="006D631C">
        <w:t>,</w:t>
      </w:r>
      <w:r w:rsidR="0094330E" w:rsidRPr="006D631C">
        <w:t xml:space="preserve"> and dye rejection measurements</w:t>
      </w:r>
      <w:bookmarkEnd w:id="223"/>
    </w:p>
    <w:p w14:paraId="54D6B537" w14:textId="59180A42" w:rsidR="0068105F" w:rsidRPr="006D631C" w:rsidRDefault="00763E2B" w:rsidP="00847CB1">
      <w:pPr>
        <w:ind w:firstLine="360"/>
        <w:rPr>
          <w:rFonts w:asciiTheme="majorBidi" w:hAnsiTheme="majorBidi" w:cstheme="majorBidi"/>
        </w:rPr>
      </w:pPr>
      <w:r w:rsidRPr="006D631C">
        <w:rPr>
          <w:rFonts w:asciiTheme="majorBidi" w:hAnsiTheme="majorBidi" w:cstheme="majorBidi"/>
        </w:rPr>
        <w:t>A fresh membrane was used to conduct the MWCO experiment at 25 °C, followed by conducting the same experiment at 45 °C using the same membrane. To assess the reversibility of the thermal response, the membrane was subsequently cooled down to 25 °C and the MWCO measurement was repeated. The MWCO data, which usually exhibits a sigmoidal trend, was fitted by using the Boltzmann sigmoidal equation, Eq.</w:t>
      </w:r>
      <w:r w:rsidR="00847CB1" w:rsidRPr="006D631C">
        <w:rPr>
          <w:rFonts w:asciiTheme="majorBidi" w:hAnsiTheme="majorBidi" w:cstheme="majorBidi"/>
        </w:rPr>
        <w:t xml:space="preserve"> (</w:t>
      </w:r>
      <w:r w:rsidRPr="006D631C">
        <w:rPr>
          <w:rFonts w:asciiTheme="majorBidi" w:hAnsiTheme="majorBidi" w:cstheme="majorBidi"/>
        </w:rPr>
        <w:t>3-7).</w:t>
      </w:r>
    </w:p>
    <w:p w14:paraId="14D42C53" w14:textId="57EC8C82" w:rsidR="00A80181" w:rsidRPr="006D631C" w:rsidRDefault="00A80181" w:rsidP="00EA5AA7">
      <w:pPr>
        <w:ind w:firstLine="360"/>
        <w:rPr>
          <w:rFonts w:asciiTheme="majorBidi" w:hAnsiTheme="majorBidi" w:cstheme="majorBidi"/>
        </w:rPr>
      </w:pPr>
      <w:r w:rsidRPr="006D631C">
        <w:rPr>
          <w:rFonts w:asciiTheme="majorBidi" w:hAnsiTheme="majorBidi" w:cstheme="majorBidi"/>
        </w:rPr>
        <w:t>As depicted in Figure 5-6, the MWCO of the membrane can be altered reversibly from 1</w:t>
      </w:r>
      <w:r w:rsidR="00D54AF6" w:rsidRPr="006D631C">
        <w:rPr>
          <w:rFonts w:asciiTheme="majorBidi" w:hAnsiTheme="majorBidi" w:cstheme="majorBidi"/>
        </w:rPr>
        <w:t>,</w:t>
      </w:r>
      <w:r w:rsidRPr="006D631C">
        <w:rPr>
          <w:rFonts w:asciiTheme="majorBidi" w:hAnsiTheme="majorBidi" w:cstheme="majorBidi"/>
        </w:rPr>
        <w:t>600 to 2</w:t>
      </w:r>
      <w:r w:rsidR="00D54AF6" w:rsidRPr="006D631C">
        <w:rPr>
          <w:rFonts w:asciiTheme="majorBidi" w:hAnsiTheme="majorBidi" w:cstheme="majorBidi"/>
        </w:rPr>
        <w:t>,</w:t>
      </w:r>
      <w:r w:rsidRPr="006D631C">
        <w:rPr>
          <w:rFonts w:asciiTheme="majorBidi" w:hAnsiTheme="majorBidi" w:cstheme="majorBidi"/>
        </w:rPr>
        <w:t>400 Da by increasing the temperature from 25 to 45 °C.</w:t>
      </w:r>
      <w:r w:rsidR="00847CB1" w:rsidRPr="006D631C">
        <w:rPr>
          <w:rFonts w:asciiTheme="majorBidi" w:hAnsiTheme="majorBidi" w:cstheme="majorBidi"/>
        </w:rPr>
        <w:t xml:space="preserve"> By considering the obtained MWCO values and using Eq. (4-7), therefore, the temperature </w:t>
      </w:r>
      <w:r w:rsidR="00D54AF6" w:rsidRPr="006D631C">
        <w:rPr>
          <w:rFonts w:asciiTheme="majorBidi" w:hAnsiTheme="majorBidi" w:cstheme="majorBidi"/>
        </w:rPr>
        <w:t>increases</w:t>
      </w:r>
      <w:r w:rsidR="00847CB1" w:rsidRPr="006D631C">
        <w:rPr>
          <w:rFonts w:asciiTheme="majorBidi" w:hAnsiTheme="majorBidi" w:cstheme="majorBidi"/>
        </w:rPr>
        <w:t xml:space="preserve"> from 25 to 45 °C results in a change in pore size from 2.2 to 2.6 nm. The obtained pore sizes are smaller than the ones obtained for polyLLC membranes without </w:t>
      </w:r>
      <w:proofErr w:type="spellStart"/>
      <w:r w:rsidR="00847CB1" w:rsidRPr="006D631C">
        <w:rPr>
          <w:rFonts w:asciiTheme="majorBidi" w:hAnsiTheme="majorBidi" w:cstheme="majorBidi"/>
        </w:rPr>
        <w:t>AAc</w:t>
      </w:r>
      <w:proofErr w:type="spellEnd"/>
      <w:r w:rsidR="00847CB1" w:rsidRPr="006D631C">
        <w:rPr>
          <w:rFonts w:asciiTheme="majorBidi" w:hAnsiTheme="majorBidi" w:cstheme="majorBidi"/>
        </w:rPr>
        <w:t xml:space="preserve"> in </w:t>
      </w:r>
      <w:r w:rsidR="00EA5AA7" w:rsidRPr="006D631C">
        <w:rPr>
          <w:rFonts w:asciiTheme="majorBidi" w:hAnsiTheme="majorBidi" w:cstheme="majorBidi"/>
        </w:rPr>
        <w:t xml:space="preserve">Chapter </w:t>
      </w:r>
      <w:r w:rsidR="00FE0644" w:rsidRPr="006D631C">
        <w:rPr>
          <w:rFonts w:asciiTheme="majorBidi" w:hAnsiTheme="majorBidi" w:cstheme="majorBidi"/>
        </w:rPr>
        <w:t>4</w:t>
      </w:r>
      <w:r w:rsidR="00847CB1" w:rsidRPr="006D631C">
        <w:rPr>
          <w:rFonts w:asciiTheme="majorBidi" w:hAnsiTheme="majorBidi" w:cstheme="majorBidi"/>
        </w:rPr>
        <w:t xml:space="preserve"> (2.5 and 3.2 nm at 25 and 45 °C, respectively),</w:t>
      </w:r>
      <w:r w:rsidR="00847CB1" w:rsidRPr="006D631C">
        <w:rPr>
          <w:rFonts w:asciiTheme="majorBidi" w:hAnsiTheme="majorBidi" w:cstheme="majorBidi"/>
        </w:rPr>
        <w:fldChar w:fldCharType="begin" w:fldLock="1"/>
      </w:r>
      <w:r w:rsidR="00953C21"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00847CB1" w:rsidRPr="006D631C">
        <w:rPr>
          <w:rFonts w:asciiTheme="majorBidi" w:hAnsiTheme="majorBidi" w:cstheme="majorBidi"/>
        </w:rPr>
        <w:fldChar w:fldCharType="separate"/>
      </w:r>
      <w:r w:rsidR="00FE0644" w:rsidRPr="006D631C">
        <w:rPr>
          <w:rFonts w:asciiTheme="majorBidi" w:hAnsiTheme="majorBidi" w:cstheme="majorBidi"/>
          <w:noProof/>
          <w:vertAlign w:val="superscript"/>
        </w:rPr>
        <w:t>289</w:t>
      </w:r>
      <w:r w:rsidR="00847CB1" w:rsidRPr="006D631C">
        <w:rPr>
          <w:rFonts w:asciiTheme="majorBidi" w:hAnsiTheme="majorBidi" w:cstheme="majorBidi"/>
        </w:rPr>
        <w:fldChar w:fldCharType="end"/>
      </w:r>
      <w:r w:rsidR="00847CB1" w:rsidRPr="006D631C">
        <w:rPr>
          <w:rFonts w:asciiTheme="majorBidi" w:hAnsiTheme="majorBidi" w:cstheme="majorBidi"/>
        </w:rPr>
        <w:t xml:space="preserve"> which correlates with the permeability results. As previously reported</w:t>
      </w:r>
      <w:r w:rsidR="00FE0644" w:rsidRPr="006D631C">
        <w:rPr>
          <w:rFonts w:asciiTheme="majorBidi" w:hAnsiTheme="majorBidi" w:cstheme="majorBidi"/>
        </w:rPr>
        <w:t xml:space="preserve"> in </w:t>
      </w:r>
      <w:r w:rsidR="00EA5AA7" w:rsidRPr="006D631C">
        <w:rPr>
          <w:rFonts w:asciiTheme="majorBidi" w:hAnsiTheme="majorBidi" w:cstheme="majorBidi"/>
        </w:rPr>
        <w:t xml:space="preserve">Chapter </w:t>
      </w:r>
      <w:r w:rsidR="00FE0644" w:rsidRPr="006D631C">
        <w:rPr>
          <w:rFonts w:asciiTheme="majorBidi" w:hAnsiTheme="majorBidi" w:cstheme="majorBidi"/>
        </w:rPr>
        <w:t>4</w:t>
      </w:r>
      <w:r w:rsidR="00847CB1" w:rsidRPr="006D631C">
        <w:rPr>
          <w:rFonts w:asciiTheme="majorBidi" w:hAnsiTheme="majorBidi" w:cstheme="majorBidi"/>
        </w:rPr>
        <w:t>,</w:t>
      </w:r>
      <w:r w:rsidR="00847CB1" w:rsidRPr="006D631C">
        <w:rPr>
          <w:rFonts w:asciiTheme="majorBidi" w:hAnsiTheme="majorBidi" w:cstheme="majorBidi"/>
        </w:rPr>
        <w:fldChar w:fldCharType="begin" w:fldLock="1"/>
      </w:r>
      <w:r w:rsidR="00953C21"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00847CB1" w:rsidRPr="006D631C">
        <w:rPr>
          <w:rFonts w:asciiTheme="majorBidi" w:hAnsiTheme="majorBidi" w:cstheme="majorBidi"/>
        </w:rPr>
        <w:fldChar w:fldCharType="separate"/>
      </w:r>
      <w:r w:rsidR="00FE0644" w:rsidRPr="006D631C">
        <w:rPr>
          <w:rFonts w:asciiTheme="majorBidi" w:hAnsiTheme="majorBidi" w:cstheme="majorBidi"/>
          <w:noProof/>
          <w:vertAlign w:val="superscript"/>
        </w:rPr>
        <w:t>289</w:t>
      </w:r>
      <w:r w:rsidR="00847CB1" w:rsidRPr="006D631C">
        <w:rPr>
          <w:rFonts w:asciiTheme="majorBidi" w:hAnsiTheme="majorBidi" w:cstheme="majorBidi"/>
        </w:rPr>
        <w:fldChar w:fldCharType="end"/>
      </w:r>
      <w:r w:rsidR="00847CB1" w:rsidRPr="006D631C">
        <w:rPr>
          <w:rFonts w:asciiTheme="majorBidi" w:hAnsiTheme="majorBidi" w:cstheme="majorBidi"/>
        </w:rPr>
        <w:t xml:space="preserve"> non-thermoresponsive commercial UF membranes with comparable pore size does not show alterations in MWCO upon increasing temperature. Additionally, the hydrodynamic radius of PEG within the investigated range of molecular weights (1-10 </w:t>
      </w:r>
      <w:proofErr w:type="spellStart"/>
      <w:r w:rsidR="00847CB1" w:rsidRPr="006D631C">
        <w:rPr>
          <w:rFonts w:asciiTheme="majorBidi" w:hAnsiTheme="majorBidi" w:cstheme="majorBidi"/>
        </w:rPr>
        <w:t>kDa</w:t>
      </w:r>
      <w:proofErr w:type="spellEnd"/>
      <w:r w:rsidR="00847CB1" w:rsidRPr="006D631C">
        <w:rPr>
          <w:rFonts w:asciiTheme="majorBidi" w:hAnsiTheme="majorBidi" w:cstheme="majorBidi"/>
        </w:rPr>
        <w:t xml:space="preserve">) displays insignificant changes upon being </w:t>
      </w:r>
      <w:r w:rsidR="00847CB1" w:rsidRPr="006D631C">
        <w:rPr>
          <w:rFonts w:asciiTheme="majorBidi" w:hAnsiTheme="majorBidi" w:cstheme="majorBidi"/>
        </w:rPr>
        <w:lastRenderedPageBreak/>
        <w:t>heated from 25 to 45 °C.</w:t>
      </w:r>
      <w:r w:rsidR="00847CB1" w:rsidRPr="006D631C">
        <w:rPr>
          <w:rFonts w:asciiTheme="majorBidi" w:hAnsiTheme="majorBidi" w:cstheme="majorBidi"/>
        </w:rPr>
        <w:fldChar w:fldCharType="begin" w:fldLock="1"/>
      </w:r>
      <w:r w:rsidR="00953C21" w:rsidRPr="006D631C">
        <w:rPr>
          <w:rFonts w:asciiTheme="majorBidi" w:hAnsiTheme="majorBidi" w:cstheme="majorBidi"/>
        </w:rPr>
        <w:instrText>ADDIN CSL_CITATION {"citationItems":[{"id":"ITEM-1","itemData":{"DOI":"10.1021/acs.jctc.7b00560","ISSN":"1549-9618","author":[{"dropping-particle":"","family":"Chudoba","given":"Richard","non-dropping-particle":"","parse-names":false,"suffix":""},{"dropping-particle":"","family":"Heyda","given":"Jan","non-dropping-particle":"","parse-names":false,"suffix":""},{"dropping-particle":"","family":"Dzubiella","given":"Joachim","non-dropping-particle":"","parse-names":false,"suffix":""}],"container-title":"Journal of Chemical Theory and Computation","id":"ITEM-1","issue":"12","issued":{"date-parts":[["2017","12","12"]]},"page":"6317-6327","title":"Temperature-Dependent Implicit-Solvent Model of Polyethylene Glycol in Aqueous Solution","type":"article-journal","volume":"13"},"uris":["http://www.mendeley.com/documents/?uuid=ec69d102-346b-463a-b6e0-bf20e882dc9a"]},{"id":"ITEM-2","itemData":{"DOI":"10.1002/app.23191","ISSN":"0021-8995","author":[{"dropping-particle":"","family":"Özdemir","given":"Cemile","non-dropping-particle":"","parse-names":false,"suffix":""},{"dropping-particle":"","family":"Güner","given":"Ali","non-dropping-particle":"","parse-names":false,"suffix":""}],"container-title":"Journal of Applied Polymer Science","id":"ITEM-2","issue":"1","issued":{"date-parts":[["2006","7","5"]]},"page":"203-216","title":"Solution thermodynamics of poly(ethylene glycol)/water systems","type":"article-journal","volume":"101"},"uris":["http://www.mendeley.com/documents/?uuid=ac7edd71-d64c-4889-8ef8-22f4af193407"]}],"mendeley":{"formattedCitation":"&lt;sup&gt;272,273&lt;/sup&gt;","plainTextFormattedCitation":"272,273","previouslyFormattedCitation":"&lt;sup&gt;272,273&lt;/sup&gt;"},"properties":{"noteIndex":0},"schema":"https://github.com/citation-style-language/schema/raw/master/csl-citation.json"}</w:instrText>
      </w:r>
      <w:r w:rsidR="00847CB1" w:rsidRPr="006D631C">
        <w:rPr>
          <w:rFonts w:asciiTheme="majorBidi" w:hAnsiTheme="majorBidi" w:cstheme="majorBidi"/>
        </w:rPr>
        <w:fldChar w:fldCharType="separate"/>
      </w:r>
      <w:r w:rsidR="00FE0644" w:rsidRPr="006D631C">
        <w:rPr>
          <w:rFonts w:asciiTheme="majorBidi" w:hAnsiTheme="majorBidi" w:cstheme="majorBidi"/>
          <w:noProof/>
          <w:vertAlign w:val="superscript"/>
        </w:rPr>
        <w:t>272,273</w:t>
      </w:r>
      <w:r w:rsidR="00847CB1" w:rsidRPr="006D631C">
        <w:rPr>
          <w:rFonts w:asciiTheme="majorBidi" w:hAnsiTheme="majorBidi" w:cstheme="majorBidi"/>
        </w:rPr>
        <w:fldChar w:fldCharType="end"/>
      </w:r>
      <w:r w:rsidR="00847CB1" w:rsidRPr="006D631C">
        <w:rPr>
          <w:rFonts w:asciiTheme="majorBidi" w:hAnsiTheme="majorBidi" w:cstheme="majorBidi"/>
        </w:rPr>
        <w:t xml:space="preserve"> Thus, the temperature-dependent MWCO of the polyLLC membrane can be attributed to its thermoresponsive nature.</w:t>
      </w:r>
    </w:p>
    <w:p w14:paraId="57D06B05" w14:textId="0B5A4C55" w:rsidR="00AD3F4C" w:rsidRPr="006D631C" w:rsidRDefault="00953C21" w:rsidP="00A41CC2">
      <w:pPr>
        <w:ind w:firstLine="360"/>
        <w:rPr>
          <w:rFonts w:cstheme="minorBidi"/>
        </w:rPr>
      </w:pPr>
      <w:r w:rsidRPr="006D631C">
        <w:rPr>
          <w:rFonts w:asciiTheme="majorBidi" w:hAnsiTheme="majorBidi" w:cstheme="majorBidi"/>
        </w:rPr>
        <w:t>The estimated pore size from MWCO analysis at 25 °C (2.2 nm) is smaller than the calculated intermicellar distance of 4.2 nm (see Table 5-1) determined from SAXS data of the water-swollen sample at the same temperature. A similar deviation is observed at 45 °C, with estimated pore sizes of 2.6 nm compared to the intermicellar distance of 3.1 nm. One reason for the difference is the assumptions made in our calculations based on SAXS data, especially complete segregation of water and the polymer, with water existing only within the pores. In other words, a significant portion of water is trapped between the polymer chains and is released when the membrane is heated, due to the LCST of the polymer. However, the role of this factor is not significant at 45 °C where most of the trapped water within polymer chains has already been released and water is mainly present in the pores. Therefore, there must be an additional factor contributing to this discrepancy. In our previous work presented in CHAPTER 4,</w:t>
      </w:r>
      <w:r w:rsidRPr="006D631C">
        <w:rPr>
          <w:rFonts w:asciiTheme="majorBidi" w:hAnsiTheme="majorBidi" w:cstheme="majorBidi"/>
        </w:rPr>
        <w:fldChar w:fldCharType="begin" w:fldLock="1"/>
      </w:r>
      <w:r w:rsidR="00C30B19"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289</w:t>
      </w:r>
      <w:r w:rsidRPr="006D631C">
        <w:rPr>
          <w:rFonts w:asciiTheme="majorBidi" w:hAnsiTheme="majorBidi" w:cstheme="majorBidi"/>
        </w:rPr>
        <w:fldChar w:fldCharType="end"/>
      </w:r>
      <w:r w:rsidRPr="006D631C">
        <w:rPr>
          <w:rFonts w:asciiTheme="majorBidi" w:hAnsiTheme="majorBidi" w:cstheme="majorBidi"/>
        </w:rPr>
        <w:t xml:space="preserve"> where we used a formulation without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we observed that the discrepancies in pore size estimation based on MWCO and SAXS were resolved by heating the polymer to 45 °C. This suggests that </w:t>
      </w:r>
      <w:r w:rsidR="00A41CC2" w:rsidRPr="006D631C">
        <w:rPr>
          <w:rFonts w:asciiTheme="majorBidi" w:hAnsiTheme="majorBidi" w:cstheme="majorBidi"/>
        </w:rPr>
        <w:t>the copolymerized</w:t>
      </w:r>
      <w:r w:rsidRPr="006D631C">
        <w:rPr>
          <w:rFonts w:asciiTheme="majorBidi" w:hAnsiTheme="majorBidi" w:cstheme="majorBidi"/>
        </w:rPr>
        <w:t xml:space="preserve">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in the polymer network could be </w:t>
      </w:r>
      <w:r w:rsidR="00A41CC2" w:rsidRPr="006D631C">
        <w:rPr>
          <w:rFonts w:asciiTheme="majorBidi" w:hAnsiTheme="majorBidi" w:cstheme="majorBidi"/>
        </w:rPr>
        <w:t>the other factor contributing to water holdup within polymer chains at 45 °C</w:t>
      </w:r>
      <w:proofErr w:type="gramStart"/>
      <w:r w:rsidR="00A41CC2" w:rsidRPr="006D631C">
        <w:rPr>
          <w:rFonts w:asciiTheme="majorBidi" w:hAnsiTheme="majorBidi" w:cstheme="majorBidi"/>
        </w:rPr>
        <w:t>.</w:t>
      </w:r>
      <w:r w:rsidRPr="006D631C">
        <w:rPr>
          <w:rFonts w:asciiTheme="majorBidi" w:hAnsiTheme="majorBidi" w:cstheme="majorBidi"/>
        </w:rPr>
        <w:t>.</w:t>
      </w:r>
      <w:proofErr w:type="gramEnd"/>
    </w:p>
    <w:p w14:paraId="7721D82B" w14:textId="3FE69328" w:rsidR="00B41442" w:rsidRPr="006D631C" w:rsidRDefault="00B41442" w:rsidP="00E17C43">
      <w:pPr>
        <w:rPr>
          <w:rFonts w:asciiTheme="majorBidi" w:hAnsiTheme="majorBidi" w:cstheme="majorBidi"/>
        </w:rPr>
      </w:pPr>
      <w:r w:rsidRPr="006D631C">
        <w:rPr>
          <w:rFonts w:asciiTheme="majorBidi" w:hAnsiTheme="majorBidi" w:cstheme="majorBidi"/>
        </w:rPr>
        <w:t>Figure 5-6 presents the rejection of BSA, l</w:t>
      </w:r>
      <w:r w:rsidR="00E17C43" w:rsidRPr="006D631C">
        <w:rPr>
          <w:rFonts w:asciiTheme="majorBidi" w:hAnsiTheme="majorBidi" w:cstheme="majorBidi"/>
        </w:rPr>
        <w:t xml:space="preserve">ysozyme, DR23, and DR80 for further </w:t>
      </w:r>
      <w:r w:rsidR="00D54AF6" w:rsidRPr="006D631C">
        <w:rPr>
          <w:rFonts w:asciiTheme="majorBidi" w:hAnsiTheme="majorBidi" w:cstheme="majorBidi"/>
        </w:rPr>
        <w:t>evaluation</w:t>
      </w:r>
      <w:r w:rsidR="00E17C43" w:rsidRPr="006D631C">
        <w:rPr>
          <w:rFonts w:asciiTheme="majorBidi" w:hAnsiTheme="majorBidi" w:cstheme="majorBidi"/>
        </w:rPr>
        <w:t xml:space="preserve"> of</w:t>
      </w:r>
      <w:r w:rsidRPr="006D631C">
        <w:rPr>
          <w:rFonts w:asciiTheme="majorBidi" w:hAnsiTheme="majorBidi" w:cstheme="majorBidi"/>
        </w:rPr>
        <w:t xml:space="preserve"> the thermoresponsi</w:t>
      </w:r>
      <w:r w:rsidR="00E1752E" w:rsidRPr="006D631C">
        <w:rPr>
          <w:rFonts w:asciiTheme="majorBidi" w:hAnsiTheme="majorBidi" w:cstheme="majorBidi"/>
        </w:rPr>
        <w:t>veness of the produced membrane</w:t>
      </w:r>
      <w:r w:rsidRPr="006D631C">
        <w:rPr>
          <w:rFonts w:asciiTheme="majorBidi" w:hAnsiTheme="majorBidi" w:cstheme="majorBidi"/>
        </w:rPr>
        <w:t>. A rejection of over ~85% is observed for BSA and lysozyme, with no significant variation in rejection upon changing temperature. This can be attributed to their large molecular size (~7 nm for BSA</w:t>
      </w:r>
      <w:r w:rsidRPr="006D631C">
        <w:rPr>
          <w:rFonts w:asciiTheme="majorBidi" w:hAnsiTheme="majorBidi" w:cstheme="majorBidi"/>
        </w:rPr>
        <w:fldChar w:fldCharType="begin" w:fldLock="1"/>
      </w:r>
      <w:r w:rsidR="00DE6CA6" w:rsidRPr="006D631C">
        <w:rPr>
          <w:rFonts w:asciiTheme="majorBidi" w:hAnsiTheme="majorBidi" w:cstheme="majorBidi"/>
        </w:rPr>
        <w:instrText>ADDIN CSL_CITATION {"citationItems":[{"id":"ITEM-1","itemData":{"DOI":"10.1002/bmb.2003.494031050261","ISSN":"14708175","author":[{"dropping-particle":"","family":"González Flecha","given":"F. Luis","non-dropping-particle":"","parse-names":false,"suffix":""},{"dropping-particle":"","family":"Levi","given":"Valeria","non-dropping-particle":"","parse-names":false,"suffix":""}],"container-title":"Biochemistry and Molecular Biology Education","id":"ITEM-1","issue":"5","issued":{"date-parts":[["2003","9"]]},"page":"319-322","title":"Determination of the molecular size of BSA by fluorescence anisotropy","type":"article-journal","volume":"31"},"uris":["http://www.mendeley.com/documents/?uuid=afb057e5-f15e-41d0-ba0b-4999b0737452"]}],"mendeley":{"formattedCitation":"&lt;sup&gt;274&lt;/sup&gt;","plainTextFormattedCitation":"274","previouslyFormattedCitation":"&lt;sup&gt;274&lt;/sup&gt;"},"properties":{"noteIndex":0},"schema":"https://github.com/citation-style-language/schema/raw/master/csl-citation.json"}</w:instrText>
      </w:r>
      <w:r w:rsidRPr="006D631C">
        <w:rPr>
          <w:rFonts w:asciiTheme="majorBidi" w:hAnsiTheme="majorBidi" w:cstheme="majorBidi"/>
        </w:rPr>
        <w:fldChar w:fldCharType="separate"/>
      </w:r>
      <w:r w:rsidR="00C30B19" w:rsidRPr="006D631C">
        <w:rPr>
          <w:rFonts w:asciiTheme="majorBidi" w:hAnsiTheme="majorBidi" w:cstheme="majorBidi"/>
          <w:noProof/>
          <w:vertAlign w:val="superscript"/>
        </w:rPr>
        <w:t>274</w:t>
      </w:r>
      <w:r w:rsidRPr="006D631C">
        <w:rPr>
          <w:rFonts w:asciiTheme="majorBidi" w:hAnsiTheme="majorBidi" w:cstheme="majorBidi"/>
        </w:rPr>
        <w:fldChar w:fldCharType="end"/>
      </w:r>
      <w:r w:rsidRPr="006D631C">
        <w:rPr>
          <w:rFonts w:asciiTheme="majorBidi" w:hAnsiTheme="majorBidi" w:cstheme="majorBidi"/>
        </w:rPr>
        <w:t xml:space="preserve"> and ~3.2 nm for lysozyme</w:t>
      </w:r>
      <w:r w:rsidRPr="006D631C">
        <w:rPr>
          <w:rFonts w:asciiTheme="majorBidi" w:hAnsiTheme="majorBidi" w:cstheme="majorBidi"/>
        </w:rPr>
        <w:fldChar w:fldCharType="begin" w:fldLock="1"/>
      </w:r>
      <w:r w:rsidR="00DE6CA6"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mendeley":{"formattedCitation":"&lt;sup&gt;31&lt;/sup&gt;","plainTextFormattedCitation":"31","previouslyFormattedCitation":"&lt;sup&gt;31&lt;/sup&gt;"},"properties":{"noteIndex":0},"schema":"https://github.com/citation-style-language/schema/raw/master/csl-citation.json"}</w:instrText>
      </w:r>
      <w:r w:rsidRPr="006D631C">
        <w:rPr>
          <w:rFonts w:asciiTheme="majorBidi" w:hAnsiTheme="majorBidi" w:cstheme="majorBidi"/>
        </w:rPr>
        <w:fldChar w:fldCharType="separate"/>
      </w:r>
      <w:r w:rsidR="00C30B19" w:rsidRPr="006D631C">
        <w:rPr>
          <w:rFonts w:asciiTheme="majorBidi" w:hAnsiTheme="majorBidi" w:cstheme="majorBidi"/>
          <w:noProof/>
          <w:vertAlign w:val="superscript"/>
        </w:rPr>
        <w:t>31</w:t>
      </w:r>
      <w:r w:rsidRPr="006D631C">
        <w:rPr>
          <w:rFonts w:asciiTheme="majorBidi" w:hAnsiTheme="majorBidi" w:cstheme="majorBidi"/>
        </w:rPr>
        <w:fldChar w:fldCharType="end"/>
      </w:r>
      <w:r w:rsidRPr="006D631C">
        <w:rPr>
          <w:rFonts w:asciiTheme="majorBidi" w:hAnsiTheme="majorBidi" w:cstheme="majorBidi"/>
        </w:rPr>
        <w:t>), which surpasses the pore size of the membrane at various temperatures.</w:t>
      </w:r>
    </w:p>
    <w:p w14:paraId="1248AE87" w14:textId="4FB8BC9F" w:rsidR="004E1C22" w:rsidRPr="006D631C" w:rsidRDefault="00C30B19" w:rsidP="00EA5AA7">
      <w:pPr>
        <w:ind w:firstLine="360"/>
        <w:rPr>
          <w:rFonts w:asciiTheme="majorBidi" w:hAnsiTheme="majorBidi" w:cstheme="majorBidi"/>
        </w:rPr>
      </w:pPr>
      <w:r w:rsidRPr="006D631C">
        <w:rPr>
          <w:rFonts w:asciiTheme="majorBidi" w:hAnsiTheme="majorBidi" w:cstheme="majorBidi"/>
        </w:rPr>
        <w:lastRenderedPageBreak/>
        <w:t>Figure</w:t>
      </w:r>
      <w:r w:rsidR="00B41442" w:rsidRPr="006D631C">
        <w:rPr>
          <w:rFonts w:asciiTheme="majorBidi" w:hAnsiTheme="majorBidi" w:cstheme="majorBidi"/>
        </w:rPr>
        <w:t xml:space="preserve"> </w:t>
      </w:r>
      <w:r w:rsidRPr="006D631C">
        <w:rPr>
          <w:rFonts w:asciiTheme="majorBidi" w:hAnsiTheme="majorBidi" w:cstheme="majorBidi"/>
        </w:rPr>
        <w:t>5-</w:t>
      </w:r>
      <w:r w:rsidR="00B41442" w:rsidRPr="006D631C">
        <w:rPr>
          <w:rFonts w:asciiTheme="majorBidi" w:hAnsiTheme="majorBidi" w:cstheme="majorBidi"/>
        </w:rPr>
        <w:t>6 illustrates that the membrane rejects over 90% of DR23 and DR80 at 25 °C. It is well-known that these dyes, which have a molecular size of ~1 nm, can form clusters larger than 1 nm in water.</w:t>
      </w:r>
      <w:r w:rsidR="00B41442" w:rsidRPr="006D631C">
        <w:rPr>
          <w:rFonts w:asciiTheme="majorBidi" w:hAnsiTheme="majorBidi" w:cstheme="majorBidi"/>
        </w:rPr>
        <w:fldChar w:fldCharType="begin" w:fldLock="1"/>
      </w:r>
      <w:r w:rsidR="00DE6CA6" w:rsidRPr="006D631C">
        <w:rPr>
          <w:rFonts w:asciiTheme="majorBidi" w:hAnsiTheme="majorBidi" w:cstheme="majorBidi"/>
        </w:rPr>
        <w:instrText>ADDIN CSL_CITATION {"citationItems":[{"id":"ITEM-1","itemData":{"DOI":"10.1016/j.memsci.2016.04.057","ISSN":"03767388","author":[{"dropping-particle":"","family":"Lin","given":"Jiuyang","non-dropping-particle":"","parse-names":false,"suffix":""},{"dropping-particle":"","family":"Ye","given":"Wenyuan","non-dropping-particle":"","parse-names":false,"suffix":""},{"dropping-particle":"","family":"Baltaru","given":"Marian-Cornel","non-dropping-particle":"","parse-names":false,"suffix":""},{"dropping-particle":"","family":"Tang","given":"Yu Pan","non-dropping-particle":"","parse-names":false,"suffix":""},{"dropping-particle":"","family":"Bernstein","given":"Nicole J.","non-dropping-particle":"","parse-names":false,"suffix":""},{"dropping-particle":"","family":"Gao","given":"Peng","non-dropping-particle":"","parse-names":false,"suffix":""},{"dropping-particle":"","family":"Balta","given":"Stefan","non-dropping-particle":"","parse-names":false,"suffix":""},{"dropping-particle":"","family":"Vlad","given":"Maria","non-dropping-particle":"","parse-names":false,"suffix":""},{"dropping-particle":"","family":"Volodin","given":"Alexander","non-dropping-particle":"","parse-names":false,"suffix":""},{"dropping-particle":"","family":"Sotto","given":"Arcadio","non-dropping-particle":"","parse-names":false,"suffix":""},{"dropping-particle":"","family":"Luis","given":"Patricia","non-dropping-particle":"","parse-names":false,"suffix":""},{"dropping-particle":"","family":"Zydney","given":"Andrew L.","non-dropping-particle":"","parse-names":false,"suffix":""},{"dropping-particle":"","family":"Bruggen","given":"Bart","non-dropping-particle":"Van der","parse-names":false,"suffix":""}],"container-title":"Journal of Membrane Science","id":"ITEM-1","issued":{"date-parts":[["2016","9"]]},"page":"217-228","title":"Tight ultrafiltration membranes for enhanced separation of dyes and Na2SO4 during textile wastewater treatment","type":"article-journal","volume":"514"},"uris":["http://www.mendeley.com/documents/?uuid=6cefb28f-b09a-41b2-a37d-213b2d051ec7"]}],"mendeley":{"formattedCitation":"&lt;sup&gt;275&lt;/sup&gt;","plainTextFormattedCitation":"275","previouslyFormattedCitation":"&lt;sup&gt;275&lt;/sup&gt;"},"properties":{"noteIndex":0},"schema":"https://github.com/citation-style-language/schema/raw/master/csl-citation.json"}</w:instrText>
      </w:r>
      <w:r w:rsidR="00B41442" w:rsidRPr="006D631C">
        <w:rPr>
          <w:rFonts w:asciiTheme="majorBidi" w:hAnsiTheme="majorBidi" w:cstheme="majorBidi"/>
        </w:rPr>
        <w:fldChar w:fldCharType="separate"/>
      </w:r>
      <w:r w:rsidRPr="006D631C">
        <w:rPr>
          <w:rFonts w:asciiTheme="majorBidi" w:hAnsiTheme="majorBidi" w:cstheme="majorBidi"/>
          <w:noProof/>
          <w:vertAlign w:val="superscript"/>
        </w:rPr>
        <w:t>275</w:t>
      </w:r>
      <w:r w:rsidR="00B41442" w:rsidRPr="006D631C">
        <w:rPr>
          <w:rFonts w:asciiTheme="majorBidi" w:hAnsiTheme="majorBidi" w:cstheme="majorBidi"/>
        </w:rPr>
        <w:fldChar w:fldCharType="end"/>
      </w:r>
      <w:r w:rsidR="00B41442" w:rsidRPr="006D631C">
        <w:rPr>
          <w:rFonts w:asciiTheme="majorBidi" w:hAnsiTheme="majorBidi" w:cstheme="majorBidi"/>
        </w:rPr>
        <w:t xml:space="preserve"> As such, the synthesized polyLLC membrane can efficiently reject them at 25 °C. </w:t>
      </w:r>
      <w:r w:rsidR="00F97777" w:rsidRPr="006D631C">
        <w:rPr>
          <w:rFonts w:asciiTheme="majorBidi" w:hAnsiTheme="majorBidi" w:cstheme="majorBidi"/>
        </w:rPr>
        <w:t>Due to the passage of dye clusters u</w:t>
      </w:r>
      <w:r w:rsidR="00B41442" w:rsidRPr="006D631C">
        <w:rPr>
          <w:rFonts w:asciiTheme="majorBidi" w:hAnsiTheme="majorBidi" w:cstheme="majorBidi"/>
        </w:rPr>
        <w:t>pon increasing the temperature to 45 °C, the rejection of DR23</w:t>
      </w:r>
      <w:r w:rsidR="00F97777" w:rsidRPr="006D631C">
        <w:rPr>
          <w:rFonts w:asciiTheme="majorBidi" w:hAnsiTheme="majorBidi" w:cstheme="majorBidi"/>
        </w:rPr>
        <w:t xml:space="preserve"> and DR80</w:t>
      </w:r>
      <w:r w:rsidR="00B41442" w:rsidRPr="006D631C">
        <w:rPr>
          <w:rFonts w:asciiTheme="majorBidi" w:hAnsiTheme="majorBidi" w:cstheme="majorBidi"/>
        </w:rPr>
        <w:t xml:space="preserve"> decreases to less than</w:t>
      </w:r>
      <w:r w:rsidR="00F97777" w:rsidRPr="006D631C">
        <w:rPr>
          <w:rFonts w:asciiTheme="majorBidi" w:hAnsiTheme="majorBidi" w:cstheme="majorBidi"/>
        </w:rPr>
        <w:t xml:space="preserve"> 80% and </w:t>
      </w:r>
      <w:r w:rsidR="00B41442" w:rsidRPr="006D631C">
        <w:rPr>
          <w:rFonts w:asciiTheme="majorBidi" w:hAnsiTheme="majorBidi" w:cstheme="majorBidi"/>
        </w:rPr>
        <w:t>85%</w:t>
      </w:r>
      <w:r w:rsidR="00F97777" w:rsidRPr="006D631C">
        <w:rPr>
          <w:rFonts w:asciiTheme="majorBidi" w:hAnsiTheme="majorBidi" w:cstheme="majorBidi"/>
        </w:rPr>
        <w:t>, respectively</w:t>
      </w:r>
      <w:r w:rsidR="00B41442" w:rsidRPr="006D631C">
        <w:rPr>
          <w:rFonts w:asciiTheme="majorBidi" w:hAnsiTheme="majorBidi" w:cstheme="majorBidi"/>
        </w:rPr>
        <w:t xml:space="preserve">. The temperature-dependent changes in the rejection rate of these dyes are less significant compared to the membranes without </w:t>
      </w:r>
      <w:proofErr w:type="spellStart"/>
      <w:r w:rsidR="00B41442" w:rsidRPr="006D631C">
        <w:rPr>
          <w:rFonts w:asciiTheme="majorBidi" w:hAnsiTheme="majorBidi" w:cstheme="majorBidi"/>
        </w:rPr>
        <w:t>AAc</w:t>
      </w:r>
      <w:proofErr w:type="spellEnd"/>
      <w:r w:rsidR="00B41442" w:rsidRPr="006D631C">
        <w:rPr>
          <w:rFonts w:asciiTheme="majorBidi" w:hAnsiTheme="majorBidi" w:cstheme="majorBidi"/>
        </w:rPr>
        <w:t xml:space="preserve"> in its formulation</w:t>
      </w:r>
      <w:r w:rsidR="009C64A8" w:rsidRPr="006D631C">
        <w:rPr>
          <w:rFonts w:asciiTheme="majorBidi" w:hAnsiTheme="majorBidi" w:cstheme="majorBidi"/>
        </w:rPr>
        <w:t xml:space="preserve"> (see </w:t>
      </w:r>
      <w:r w:rsidR="00EA5AA7" w:rsidRPr="006D631C">
        <w:rPr>
          <w:rFonts w:asciiTheme="majorBidi" w:hAnsiTheme="majorBidi" w:cstheme="majorBidi"/>
        </w:rPr>
        <w:t xml:space="preserve">Chapter </w:t>
      </w:r>
      <w:r w:rsidR="009C64A8" w:rsidRPr="006D631C">
        <w:rPr>
          <w:rFonts w:asciiTheme="majorBidi" w:hAnsiTheme="majorBidi" w:cstheme="majorBidi"/>
        </w:rPr>
        <w:t>4)</w:t>
      </w:r>
      <w:r w:rsidR="00B41442" w:rsidRPr="006D631C">
        <w:rPr>
          <w:rFonts w:asciiTheme="majorBidi" w:hAnsiTheme="majorBidi" w:cstheme="majorBidi"/>
        </w:rPr>
        <w:t>,</w:t>
      </w:r>
      <w:r w:rsidR="00B41442" w:rsidRPr="006D631C">
        <w:rPr>
          <w:rFonts w:asciiTheme="majorBidi" w:hAnsiTheme="majorBidi" w:cstheme="majorBidi"/>
        </w:rPr>
        <w:fldChar w:fldCharType="begin" w:fldLock="1"/>
      </w:r>
      <w:r w:rsidR="00DE6CA6"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00B41442" w:rsidRPr="006D631C">
        <w:rPr>
          <w:rFonts w:asciiTheme="majorBidi" w:hAnsiTheme="majorBidi" w:cstheme="majorBidi"/>
        </w:rPr>
        <w:fldChar w:fldCharType="separate"/>
      </w:r>
      <w:r w:rsidRPr="006D631C">
        <w:rPr>
          <w:rFonts w:asciiTheme="majorBidi" w:hAnsiTheme="majorBidi" w:cstheme="majorBidi"/>
          <w:noProof/>
          <w:vertAlign w:val="superscript"/>
        </w:rPr>
        <w:t>289</w:t>
      </w:r>
      <w:r w:rsidR="00B41442" w:rsidRPr="006D631C">
        <w:rPr>
          <w:rFonts w:asciiTheme="majorBidi" w:hAnsiTheme="majorBidi" w:cstheme="majorBidi"/>
        </w:rPr>
        <w:fldChar w:fldCharType="end"/>
      </w:r>
      <w:r w:rsidR="00B41442" w:rsidRPr="006D631C">
        <w:rPr>
          <w:rFonts w:asciiTheme="majorBidi" w:hAnsiTheme="majorBidi" w:cstheme="majorBidi"/>
        </w:rPr>
        <w:t xml:space="preserve"> which is attributed to the smaller pore size of the membranes containing </w:t>
      </w:r>
      <w:proofErr w:type="spellStart"/>
      <w:r w:rsidR="00B41442" w:rsidRPr="006D631C">
        <w:rPr>
          <w:rFonts w:asciiTheme="majorBidi" w:hAnsiTheme="majorBidi" w:cstheme="majorBidi"/>
        </w:rPr>
        <w:t>AAc</w:t>
      </w:r>
      <w:proofErr w:type="spellEnd"/>
      <w:r w:rsidR="00B41442" w:rsidRPr="006D631C">
        <w:rPr>
          <w:rFonts w:asciiTheme="majorBidi" w:hAnsiTheme="majorBidi" w:cstheme="majorBidi"/>
        </w:rPr>
        <w:t xml:space="preserve"> at 45 °C. The presence of electrostatic repulsions between the </w:t>
      </w:r>
      <w:r w:rsidR="00E03B96" w:rsidRPr="006D631C">
        <w:rPr>
          <w:rFonts w:asciiTheme="majorBidi" w:hAnsiTheme="majorBidi" w:cstheme="majorBidi"/>
        </w:rPr>
        <w:t>COO</w:t>
      </w:r>
      <w:r w:rsidR="00E03B96" w:rsidRPr="006D631C">
        <w:rPr>
          <w:rFonts w:asciiTheme="majorBidi" w:hAnsiTheme="majorBidi" w:cstheme="majorBidi"/>
          <w:vertAlign w:val="superscript"/>
        </w:rPr>
        <w:t xml:space="preserve">─ </w:t>
      </w:r>
      <w:r w:rsidR="00B41442" w:rsidRPr="006D631C">
        <w:rPr>
          <w:rFonts w:asciiTheme="majorBidi" w:hAnsiTheme="majorBidi" w:cstheme="majorBidi"/>
        </w:rPr>
        <w:t xml:space="preserve">group on copolymerized </w:t>
      </w:r>
      <w:proofErr w:type="spellStart"/>
      <w:r w:rsidR="00B41442" w:rsidRPr="006D631C">
        <w:rPr>
          <w:rFonts w:asciiTheme="majorBidi" w:hAnsiTheme="majorBidi" w:cstheme="majorBidi"/>
        </w:rPr>
        <w:t>AAc</w:t>
      </w:r>
      <w:proofErr w:type="spellEnd"/>
      <w:r w:rsidR="00B41442" w:rsidRPr="006D631C">
        <w:rPr>
          <w:rFonts w:asciiTheme="majorBidi" w:hAnsiTheme="majorBidi" w:cstheme="majorBidi"/>
        </w:rPr>
        <w:t xml:space="preserve"> and the sulfate groups of the dyes may also contribute to the observed differences in rejection rates. Overall, the studied polyLLC membranes, both with and without </w:t>
      </w:r>
      <w:proofErr w:type="spellStart"/>
      <w:r w:rsidR="00B41442" w:rsidRPr="006D631C">
        <w:rPr>
          <w:rFonts w:asciiTheme="majorBidi" w:hAnsiTheme="majorBidi" w:cstheme="majorBidi"/>
        </w:rPr>
        <w:t>AAc</w:t>
      </w:r>
      <w:proofErr w:type="spellEnd"/>
      <w:r w:rsidR="00B41442" w:rsidRPr="006D631C">
        <w:rPr>
          <w:rFonts w:asciiTheme="majorBidi" w:hAnsiTheme="majorBidi" w:cstheme="majorBidi"/>
        </w:rPr>
        <w:t xml:space="preserve"> in formulation,</w:t>
      </w:r>
      <w:r w:rsidR="00B41442" w:rsidRPr="006D631C">
        <w:rPr>
          <w:rFonts w:asciiTheme="majorBidi" w:hAnsiTheme="majorBidi" w:cstheme="majorBidi"/>
        </w:rPr>
        <w:fldChar w:fldCharType="begin" w:fldLock="1"/>
      </w:r>
      <w:r w:rsidR="00DE6CA6"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00B41442" w:rsidRPr="006D631C">
        <w:rPr>
          <w:rFonts w:asciiTheme="majorBidi" w:hAnsiTheme="majorBidi" w:cstheme="majorBidi"/>
        </w:rPr>
        <w:fldChar w:fldCharType="separate"/>
      </w:r>
      <w:r w:rsidRPr="006D631C">
        <w:rPr>
          <w:rFonts w:asciiTheme="majorBidi" w:hAnsiTheme="majorBidi" w:cstheme="majorBidi"/>
          <w:noProof/>
          <w:vertAlign w:val="superscript"/>
        </w:rPr>
        <w:t>289</w:t>
      </w:r>
      <w:r w:rsidR="00B41442" w:rsidRPr="006D631C">
        <w:rPr>
          <w:rFonts w:asciiTheme="majorBidi" w:hAnsiTheme="majorBidi" w:cstheme="majorBidi"/>
        </w:rPr>
        <w:fldChar w:fldCharType="end"/>
      </w:r>
      <w:r w:rsidR="00B41442" w:rsidRPr="006D631C">
        <w:rPr>
          <w:rFonts w:asciiTheme="majorBidi" w:hAnsiTheme="majorBidi" w:cstheme="majorBidi"/>
        </w:rPr>
        <w:t xml:space="preserve"> are capable of expanding their pores at higher temperatures, which allows the passage of dye clusters,</w:t>
      </w:r>
      <w:r w:rsidR="00B41442" w:rsidRPr="006D631C">
        <w:rPr>
          <w:rFonts w:asciiTheme="majorBidi" w:hAnsiTheme="majorBidi" w:cstheme="majorBidi"/>
        </w:rPr>
        <w:fldChar w:fldCharType="begin" w:fldLock="1"/>
      </w:r>
      <w:r w:rsidR="00DE6CA6" w:rsidRPr="006D631C">
        <w:rPr>
          <w:rFonts w:asciiTheme="majorBidi" w:hAnsiTheme="majorBidi" w:cstheme="majorBidi"/>
        </w:rPr>
        <w:instrText>ADDIN CSL_CITATION {"citationItems":[{"id":"ITEM-1","itemData":{"DOI":"10.1016/j.memsci.2016.04.057","ISSN":"03767388","author":[{"dropping-particle":"","family":"Lin","given":"Jiuyang","non-dropping-particle":"","parse-names":false,"suffix":""},{"dropping-particle":"","family":"Ye","given":"Wenyuan","non-dropping-particle":"","parse-names":false,"suffix":""},{"dropping-particle":"","family":"Baltaru","given":"Marian-Cornel","non-dropping-particle":"","parse-names":false,"suffix":""},{"dropping-particle":"","family":"Tang","given":"Yu Pan","non-dropping-particle":"","parse-names":false,"suffix":""},{"dropping-particle":"","family":"Bernstein","given":"Nicole J.","non-dropping-particle":"","parse-names":false,"suffix":""},{"dropping-particle":"","family":"Gao","given":"Peng","non-dropping-particle":"","parse-names":false,"suffix":""},{"dropping-particle":"","family":"Balta","given":"Stefan","non-dropping-particle":"","parse-names":false,"suffix":""},{"dropping-particle":"","family":"Vlad","given":"Maria","non-dropping-particle":"","parse-names":false,"suffix":""},{"dropping-particle":"","family":"Volodin","given":"Alexander","non-dropping-particle":"","parse-names":false,"suffix":""},{"dropping-particle":"","family":"Sotto","given":"Arcadio","non-dropping-particle":"","parse-names":false,"suffix":""},{"dropping-particle":"","family":"Luis","given":"Patricia","non-dropping-particle":"","parse-names":false,"suffix":""},{"dropping-particle":"","family":"Zydney","given":"Andrew L.","non-dropping-particle":"","parse-names":false,"suffix":""},{"dropping-particle":"","family":"Bruggen","given":"Bart","non-dropping-particle":"Van der","parse-names":false,"suffix":""}],"container-title":"Journal of Membrane Science","id":"ITEM-1","issued":{"date-parts":[["2016","9"]]},"page":"217-228","title":"Tight ultrafiltration membranes for enhanced separation of dyes and Na2SO4 during textile wastewater treatment","type":"article-journal","volume":"514"},"uris":["http://www.mendeley.com/documents/?uuid=6cefb28f-b09a-41b2-a37d-213b2d051ec7"]}],"mendeley":{"formattedCitation":"&lt;sup&gt;275&lt;/sup&gt;","plainTextFormattedCitation":"275","previouslyFormattedCitation":"&lt;sup&gt;275&lt;/sup&gt;"},"properties":{"noteIndex":0},"schema":"https://github.com/citation-style-language/schema/raw/master/csl-citation.json"}</w:instrText>
      </w:r>
      <w:r w:rsidR="00B41442" w:rsidRPr="006D631C">
        <w:rPr>
          <w:rFonts w:asciiTheme="majorBidi" w:hAnsiTheme="majorBidi" w:cstheme="majorBidi"/>
        </w:rPr>
        <w:fldChar w:fldCharType="separate"/>
      </w:r>
      <w:r w:rsidRPr="006D631C">
        <w:rPr>
          <w:rFonts w:asciiTheme="majorBidi" w:hAnsiTheme="majorBidi" w:cstheme="majorBidi"/>
          <w:noProof/>
          <w:vertAlign w:val="superscript"/>
        </w:rPr>
        <w:t>275</w:t>
      </w:r>
      <w:r w:rsidR="00B41442" w:rsidRPr="006D631C">
        <w:rPr>
          <w:rFonts w:asciiTheme="majorBidi" w:hAnsiTheme="majorBidi" w:cstheme="majorBidi"/>
        </w:rPr>
        <w:fldChar w:fldCharType="end"/>
      </w:r>
      <w:r w:rsidR="00B41442" w:rsidRPr="006D631C">
        <w:rPr>
          <w:rFonts w:asciiTheme="majorBidi" w:hAnsiTheme="majorBidi" w:cstheme="majorBidi"/>
        </w:rPr>
        <w:t xml:space="preserve"> leading to lower rejection rates. The reversibility of the change in dye rejection can be observed in Fig</w:t>
      </w:r>
      <w:r w:rsidR="00EF4D80" w:rsidRPr="006D631C">
        <w:rPr>
          <w:rFonts w:asciiTheme="majorBidi" w:hAnsiTheme="majorBidi" w:cstheme="majorBidi"/>
        </w:rPr>
        <w:t>ure</w:t>
      </w:r>
      <w:r w:rsidR="00B41442" w:rsidRPr="006D631C">
        <w:rPr>
          <w:rFonts w:asciiTheme="majorBidi" w:hAnsiTheme="majorBidi" w:cstheme="majorBidi"/>
        </w:rPr>
        <w:t xml:space="preserve"> </w:t>
      </w:r>
      <w:r w:rsidR="00EF4D80" w:rsidRPr="006D631C">
        <w:rPr>
          <w:rFonts w:asciiTheme="majorBidi" w:hAnsiTheme="majorBidi" w:cstheme="majorBidi"/>
        </w:rPr>
        <w:t>5-</w:t>
      </w:r>
      <w:r w:rsidR="00B41442" w:rsidRPr="006D631C">
        <w:rPr>
          <w:rFonts w:asciiTheme="majorBidi" w:hAnsiTheme="majorBidi" w:cstheme="majorBidi"/>
        </w:rPr>
        <w:t>6.</w:t>
      </w:r>
    </w:p>
    <w:p w14:paraId="352FBEAD" w14:textId="12E34CA5" w:rsidR="004E1C22" w:rsidRPr="006D631C" w:rsidRDefault="004D765A" w:rsidP="004D765A">
      <w:pPr>
        <w:ind w:firstLine="360"/>
        <w:jc w:val="center"/>
      </w:pPr>
      <w:r w:rsidRPr="006D631C">
        <w:rPr>
          <w:rFonts w:asciiTheme="majorBidi" w:hAnsiTheme="majorBidi" w:cstheme="majorBidi"/>
          <w:noProof/>
        </w:rPr>
        <w:lastRenderedPageBreak/>
        <w:drawing>
          <wp:inline distT="0" distB="0" distL="0" distR="0" wp14:anchorId="1AB27F4D" wp14:editId="4CCA79EC">
            <wp:extent cx="5904000" cy="6010071"/>
            <wp:effectExtent l="0" t="0" r="190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904000" cy="6010071"/>
                    </a:xfrm>
                    <a:prstGeom prst="rect">
                      <a:avLst/>
                    </a:prstGeom>
                    <a:noFill/>
                  </pic:spPr>
                </pic:pic>
              </a:graphicData>
            </a:graphic>
          </wp:inline>
        </w:drawing>
      </w:r>
    </w:p>
    <w:p w14:paraId="6C0343AE" w14:textId="6921EC55" w:rsidR="004D765A" w:rsidRPr="006D631C" w:rsidRDefault="004D765A" w:rsidP="00D6421D">
      <w:pPr>
        <w:pStyle w:val="Caption"/>
        <w:jc w:val="center"/>
        <w:rPr>
          <w:rFonts w:asciiTheme="majorBidi" w:hAnsiTheme="majorBidi" w:cstheme="majorBidi"/>
          <w:sz w:val="22"/>
          <w:szCs w:val="22"/>
        </w:rPr>
      </w:pPr>
      <w:bookmarkStart w:id="224" w:name="_Toc148175960"/>
      <w:r w:rsidRPr="006D631C">
        <w:rPr>
          <w:rFonts w:asciiTheme="majorBidi" w:hAnsiTheme="majorBidi" w:cstheme="majorBidi"/>
          <w:sz w:val="22"/>
          <w:szCs w:val="22"/>
        </w:rPr>
        <w:t xml:space="preserve">Figure </w:t>
      </w:r>
      <w:r w:rsidR="00B55F32" w:rsidRPr="006D631C">
        <w:rPr>
          <w:rFonts w:asciiTheme="majorBidi" w:hAnsiTheme="majorBidi" w:cstheme="majorBidi"/>
          <w:sz w:val="22"/>
          <w:szCs w:val="22"/>
        </w:rPr>
        <w:fldChar w:fldCharType="begin"/>
      </w:r>
      <w:r w:rsidR="00B55F32" w:rsidRPr="006D631C">
        <w:rPr>
          <w:rFonts w:asciiTheme="majorBidi" w:hAnsiTheme="majorBidi" w:cstheme="majorBidi"/>
          <w:sz w:val="22"/>
          <w:szCs w:val="22"/>
        </w:rPr>
        <w:instrText xml:space="preserve"> STYLEREF 1 \s </w:instrText>
      </w:r>
      <w:r w:rsidR="00B55F32" w:rsidRPr="006D631C">
        <w:rPr>
          <w:rFonts w:asciiTheme="majorBidi" w:hAnsiTheme="majorBidi" w:cstheme="majorBidi"/>
          <w:sz w:val="22"/>
          <w:szCs w:val="22"/>
        </w:rPr>
        <w:fldChar w:fldCharType="separate"/>
      </w:r>
      <w:r w:rsidR="00B55F32" w:rsidRPr="006D631C">
        <w:rPr>
          <w:rFonts w:asciiTheme="majorBidi" w:hAnsiTheme="majorBidi" w:cstheme="majorBidi"/>
          <w:sz w:val="22"/>
          <w:szCs w:val="22"/>
          <w:cs/>
        </w:rPr>
        <w:t>‎</w:t>
      </w:r>
      <w:r w:rsidR="00B55F32" w:rsidRPr="006D631C">
        <w:rPr>
          <w:rFonts w:asciiTheme="majorBidi" w:hAnsiTheme="majorBidi" w:cstheme="majorBidi"/>
          <w:sz w:val="22"/>
          <w:szCs w:val="22"/>
        </w:rPr>
        <w:t>5</w:t>
      </w:r>
      <w:r w:rsidR="00B55F32" w:rsidRPr="006D631C">
        <w:rPr>
          <w:rFonts w:asciiTheme="majorBidi" w:hAnsiTheme="majorBidi" w:cstheme="majorBidi"/>
          <w:sz w:val="22"/>
          <w:szCs w:val="22"/>
        </w:rPr>
        <w:fldChar w:fldCharType="end"/>
      </w:r>
      <w:r w:rsidR="00B55F32" w:rsidRPr="006D631C">
        <w:rPr>
          <w:rFonts w:asciiTheme="majorBidi" w:hAnsiTheme="majorBidi" w:cstheme="majorBidi"/>
          <w:sz w:val="22"/>
          <w:szCs w:val="22"/>
        </w:rPr>
        <w:noBreakHyphen/>
      </w:r>
      <w:r w:rsidR="00B55F32" w:rsidRPr="006D631C">
        <w:rPr>
          <w:rFonts w:asciiTheme="majorBidi" w:hAnsiTheme="majorBidi" w:cstheme="majorBidi"/>
          <w:sz w:val="22"/>
          <w:szCs w:val="22"/>
        </w:rPr>
        <w:fldChar w:fldCharType="begin"/>
      </w:r>
      <w:r w:rsidR="00B55F32" w:rsidRPr="006D631C">
        <w:rPr>
          <w:rFonts w:asciiTheme="majorBidi" w:hAnsiTheme="majorBidi" w:cstheme="majorBidi"/>
          <w:sz w:val="22"/>
          <w:szCs w:val="22"/>
        </w:rPr>
        <w:instrText xml:space="preserve"> SEQ Figure \* ARABIC \s 1 </w:instrText>
      </w:r>
      <w:r w:rsidR="00B55F32" w:rsidRPr="006D631C">
        <w:rPr>
          <w:rFonts w:asciiTheme="majorBidi" w:hAnsiTheme="majorBidi" w:cstheme="majorBidi"/>
          <w:sz w:val="22"/>
          <w:szCs w:val="22"/>
        </w:rPr>
        <w:fldChar w:fldCharType="separate"/>
      </w:r>
      <w:r w:rsidR="00B55F32" w:rsidRPr="006D631C">
        <w:rPr>
          <w:rFonts w:asciiTheme="majorBidi" w:hAnsiTheme="majorBidi" w:cstheme="majorBidi"/>
          <w:sz w:val="22"/>
          <w:szCs w:val="22"/>
        </w:rPr>
        <w:t>6</w:t>
      </w:r>
      <w:r w:rsidR="00B55F32" w:rsidRPr="006D631C">
        <w:rPr>
          <w:rFonts w:asciiTheme="majorBidi" w:hAnsiTheme="majorBidi" w:cstheme="majorBidi"/>
          <w:sz w:val="22"/>
          <w:szCs w:val="22"/>
        </w:rPr>
        <w:fldChar w:fldCharType="end"/>
      </w:r>
      <w:r w:rsidRPr="006D631C">
        <w:rPr>
          <w:rFonts w:asciiTheme="majorBidi" w:hAnsiTheme="majorBidi" w:cstheme="majorBidi"/>
          <w:sz w:val="22"/>
          <w:szCs w:val="22"/>
        </w:rPr>
        <w:t>. (a) A supported polyLLC membrane with a circular cut and (b) typical cross-sectional SEM image of the membrane. Cyclical changes of (c) thickness-normalized flux and (d) permeability with changes in temperature. (e) MWCO and (f) rejection of BSA, lysozyme, DR23, and DR80 measured at 25 °C, after increasing the temperature to 45 °C, and after cooling back down to 25 °C.</w:t>
      </w:r>
      <w:bookmarkEnd w:id="224"/>
    </w:p>
    <w:p w14:paraId="16C08512" w14:textId="4D50ECD2" w:rsidR="00326E56" w:rsidRPr="006D631C" w:rsidRDefault="000C3681" w:rsidP="00C15505">
      <w:pPr>
        <w:ind w:firstLine="360"/>
        <w:rPr>
          <w:rFonts w:asciiTheme="majorBidi" w:hAnsiTheme="majorBidi" w:cstheme="majorBidi"/>
        </w:rPr>
      </w:pPr>
      <w:r w:rsidRPr="006D631C">
        <w:rPr>
          <w:rFonts w:asciiTheme="majorBidi" w:hAnsiTheme="majorBidi" w:cstheme="majorBidi"/>
        </w:rPr>
        <w:t>To evaluate the salt rejection capability of the H</w:t>
      </w:r>
      <w:r w:rsidRPr="006D631C">
        <w:rPr>
          <w:rFonts w:asciiTheme="majorBidi" w:hAnsiTheme="majorBidi" w:cstheme="majorBidi"/>
          <w:vertAlign w:val="subscript"/>
        </w:rPr>
        <w:t>1</w:t>
      </w:r>
      <w:r w:rsidRPr="006D631C">
        <w:rPr>
          <w:rFonts w:asciiTheme="majorBidi" w:hAnsiTheme="majorBidi" w:cstheme="majorBidi"/>
        </w:rPr>
        <w:t xml:space="preserve">-structured NF membrane, we performed a single salt rejection experiment using different salts containing monovalent, divalent, and trivalent </w:t>
      </w:r>
      <w:r w:rsidR="001B38D1" w:rsidRPr="006D631C">
        <w:rPr>
          <w:rFonts w:asciiTheme="majorBidi" w:hAnsiTheme="majorBidi" w:cstheme="majorBidi"/>
        </w:rPr>
        <w:lastRenderedPageBreak/>
        <w:t>an</w:t>
      </w:r>
      <w:r w:rsidRPr="006D631C">
        <w:rPr>
          <w:rFonts w:asciiTheme="majorBidi" w:hAnsiTheme="majorBidi" w:cstheme="majorBidi"/>
        </w:rPr>
        <w:t xml:space="preserve">ions. Aqueous solutions of these salts (without adjusting the pH) were prepared at ionic strengths of 1, 5, 10, 50, and 100 </w:t>
      </w:r>
      <w:proofErr w:type="spellStart"/>
      <w:r w:rsidRPr="006D631C">
        <w:rPr>
          <w:rFonts w:asciiTheme="majorBidi" w:hAnsiTheme="majorBidi" w:cstheme="majorBidi"/>
        </w:rPr>
        <w:t>mM</w:t>
      </w:r>
      <w:proofErr w:type="spellEnd"/>
      <w:r w:rsidRPr="006D631C">
        <w:rPr>
          <w:rFonts w:asciiTheme="majorBidi" w:hAnsiTheme="majorBidi" w:cstheme="majorBidi"/>
        </w:rPr>
        <w:t xml:space="preserve"> and were passed through the membrane. T</w:t>
      </w:r>
      <w:r w:rsidR="00DE6CA6" w:rsidRPr="006D631C">
        <w:rPr>
          <w:rFonts w:asciiTheme="majorBidi" w:hAnsiTheme="majorBidi" w:cstheme="majorBidi"/>
        </w:rPr>
        <w:t xml:space="preserve">he results are displayed in </w:t>
      </w:r>
      <w:r w:rsidR="00D54AF6" w:rsidRPr="006D631C">
        <w:rPr>
          <w:rFonts w:asciiTheme="majorBidi" w:hAnsiTheme="majorBidi" w:cstheme="majorBidi"/>
        </w:rPr>
        <w:t>Figure</w:t>
      </w:r>
      <w:r w:rsidRPr="006D631C">
        <w:rPr>
          <w:rFonts w:asciiTheme="majorBidi" w:hAnsiTheme="majorBidi" w:cstheme="majorBidi"/>
        </w:rPr>
        <w:t xml:space="preserve"> </w:t>
      </w:r>
      <w:r w:rsidR="00DE6CA6" w:rsidRPr="006D631C">
        <w:rPr>
          <w:rFonts w:asciiTheme="majorBidi" w:hAnsiTheme="majorBidi" w:cstheme="majorBidi"/>
        </w:rPr>
        <w:t>5-</w:t>
      </w:r>
      <w:r w:rsidRPr="006D631C">
        <w:rPr>
          <w:rFonts w:asciiTheme="majorBidi" w:hAnsiTheme="majorBidi" w:cstheme="majorBidi"/>
        </w:rPr>
        <w:t>7a, indicating that the membrane exhibits higher rejection rates for divalent and trivalent species compared to monovalent ones. Additionally, rejection rate decreases as the ionic strength is increased. The separation of ionic species by NF membranes is typically influenced by three primary mechanisms: size-exclusion, solution diffusion, and electrostatic interactions.</w:t>
      </w:r>
      <w:r w:rsidRPr="006D631C">
        <w:rPr>
          <w:color w:val="020202"/>
        </w:rPr>
        <w:fldChar w:fldCharType="begin" w:fldLock="1"/>
      </w:r>
      <w:r w:rsidR="00384140" w:rsidRPr="006D631C">
        <w:rPr>
          <w:color w:val="020202"/>
        </w:rPr>
        <w:instrText>ADDIN CSL_CITATION {"citationItems":[{"id":"ITEM-1","itemData":{"DOI":"10.1016/j.advmem.2022.100032","ISSN":"27728234","author":[{"dropping-particle":"","family":"Lu","given":"Dan","non-dropping-particle":"","parse-names":false,"suffix":""},{"dropping-particle":"","family":"Yao","given":"Zhikan","non-dropping-particle":"","parse-names":false,"suffix":""},{"dropping-particle":"","family":"Jiao","given":"Lei","non-dropping-particle":"","parse-names":false,"suffix":""},{"dropping-particle":"","family":"Waheed","given":"Misbah","non-dropping-particle":"","parse-names":false,"suffix":""},{"dropping-particle":"","family":"Sun","given":"Zhilin","non-dropping-particle":"","parse-names":false,"suffix":""},{"dropping-particle":"","family":"Zhang","given":"Lin","non-dropping-particle":"","parse-names":false,"suffix":""}],"container-title":"Advanced Membranes","id":"ITEM-1","issued":{"date-parts":[["2022"]]},"page":"100032","title":"Separation mechanism, selectivity enhancement strategies and advanced materials for mono-/multivalent ion-selective nanofiltration membrane","type":"article-journal","volume":"2"},"uris":["http://www.mendeley.com/documents/?uuid=c92d91fb-c45c-46b1-9fa4-8726a67c1c14"]}],"mendeley":{"formattedCitation":"&lt;sup&gt;281&lt;/sup&gt;","plainTextFormattedCitation":"281","previouslyFormattedCitation":"&lt;sup&gt;281&lt;/sup&gt;"},"properties":{"noteIndex":0},"schema":"https://github.com/citation-style-language/schema/raw/master/csl-citation.json"}</w:instrText>
      </w:r>
      <w:r w:rsidRPr="006D631C">
        <w:rPr>
          <w:color w:val="020202"/>
        </w:rPr>
        <w:fldChar w:fldCharType="separate"/>
      </w:r>
      <w:r w:rsidR="00DE6CA6" w:rsidRPr="006D631C">
        <w:rPr>
          <w:noProof/>
          <w:color w:val="020202"/>
          <w:vertAlign w:val="superscript"/>
        </w:rPr>
        <w:t>281</w:t>
      </w:r>
      <w:r w:rsidRPr="006D631C">
        <w:rPr>
          <w:color w:val="020202"/>
        </w:rPr>
        <w:fldChar w:fldCharType="end"/>
      </w:r>
      <w:r w:rsidRPr="006D631C">
        <w:rPr>
          <w:rFonts w:asciiTheme="majorBidi" w:hAnsiTheme="majorBidi" w:cstheme="majorBidi"/>
        </w:rPr>
        <w:t xml:space="preserve"> In membranes where the pore size is larger than the hydrated diameter of the ions, the primary controlling factor in separation is the electrostatic repulsion due to the electrical double layer being larger than the pore diameter.</w:t>
      </w:r>
      <w:r w:rsidRPr="006D631C">
        <w:rPr>
          <w:rFonts w:asciiTheme="majorBidi" w:hAnsiTheme="majorBidi" w:cstheme="majorBidi"/>
        </w:rPr>
        <w:fldChar w:fldCharType="begin" w:fldLock="1"/>
      </w:r>
      <w:r w:rsidR="00384140" w:rsidRPr="006D631C">
        <w:rPr>
          <w:rFonts w:asciiTheme="majorBidi" w:hAnsiTheme="majorBidi" w:cstheme="majorBidi"/>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Nano","id":"ITEM-1","issued":{"date-parts":[["2021","3","17"]]},"page":"acsnano.1c00722","title":"Rapid Fabrication by Lyotropic Self-Assembly of Thin Nanofiltration Membranes with Uniform 1 Nanometer Pores","type":"article-journal"},"uris":["http://www.mendeley.com/documents/?uuid=9a8f95cc-c536-4af0-a6e3-e51388d61691"]}],"mendeley":{"formattedCitation":"&lt;sup&gt;123&lt;/sup&gt;","plainTextFormattedCitation":"123","previouslyFormattedCitation":"&lt;sup&gt;123&lt;/sup&gt;"},"properties":{"noteIndex":0},"schema":"https://github.com/citation-style-language/schema/raw/master/csl-citation.json"}</w:instrText>
      </w:r>
      <w:r w:rsidRPr="006D631C">
        <w:rPr>
          <w:rFonts w:asciiTheme="majorBidi" w:hAnsiTheme="majorBidi" w:cstheme="majorBidi"/>
        </w:rPr>
        <w:fldChar w:fldCharType="separate"/>
      </w:r>
      <w:r w:rsidR="00DE6CA6" w:rsidRPr="006D631C">
        <w:rPr>
          <w:rFonts w:asciiTheme="majorBidi" w:hAnsiTheme="majorBidi" w:cstheme="majorBidi"/>
          <w:noProof/>
          <w:vertAlign w:val="superscript"/>
        </w:rPr>
        <w:t>123</w:t>
      </w:r>
      <w:r w:rsidRPr="006D631C">
        <w:rPr>
          <w:rFonts w:asciiTheme="majorBidi" w:hAnsiTheme="majorBidi" w:cstheme="majorBidi"/>
        </w:rPr>
        <w:fldChar w:fldCharType="end"/>
      </w:r>
      <w:r w:rsidRPr="006D631C">
        <w:rPr>
          <w:rFonts w:asciiTheme="majorBidi" w:hAnsiTheme="majorBidi" w:cstheme="majorBidi"/>
        </w:rPr>
        <w:t xml:space="preserve"> In our membrane, separation mainly occurs based on the electrostatic repulsions between the COO</w:t>
      </w:r>
      <w:r w:rsidRPr="006D631C">
        <w:rPr>
          <w:rFonts w:asciiTheme="majorBidi" w:hAnsiTheme="majorBidi" w:cstheme="majorBidi"/>
          <w:vertAlign w:val="superscript"/>
        </w:rPr>
        <w:t>─</w:t>
      </w:r>
      <w:r w:rsidRPr="006D631C">
        <w:rPr>
          <w:rFonts w:asciiTheme="majorBidi" w:hAnsiTheme="majorBidi" w:cstheme="majorBidi"/>
        </w:rPr>
        <w:t xml:space="preserve"> group of </w:t>
      </w:r>
      <w:r w:rsidR="00357E13" w:rsidRPr="006D631C">
        <w:rPr>
          <w:rFonts w:asciiTheme="majorBidi" w:hAnsiTheme="majorBidi" w:cstheme="majorBidi"/>
        </w:rPr>
        <w:t xml:space="preserve">copolymerized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and the anion of the salt. </w:t>
      </w:r>
      <w:r w:rsidR="00357E13" w:rsidRPr="006D631C">
        <w:rPr>
          <w:rFonts w:asciiTheme="majorBidi" w:hAnsiTheme="majorBidi" w:cstheme="majorBidi"/>
        </w:rPr>
        <w:t>B</w:t>
      </w:r>
      <w:r w:rsidRPr="006D631C">
        <w:rPr>
          <w:rFonts w:asciiTheme="majorBidi" w:hAnsiTheme="majorBidi" w:cstheme="majorBidi"/>
        </w:rPr>
        <w:t>ased on the electroneutrality principle,</w:t>
      </w:r>
      <w:r w:rsidR="00357E13" w:rsidRPr="006D631C">
        <w:rPr>
          <w:rFonts w:asciiTheme="majorBidi" w:hAnsiTheme="majorBidi" w:cstheme="majorBidi"/>
        </w:rPr>
        <w:t xml:space="preserve"> therefore,</w:t>
      </w:r>
      <w:r w:rsidRPr="006D631C">
        <w:rPr>
          <w:rFonts w:asciiTheme="majorBidi" w:hAnsiTheme="majorBidi" w:cstheme="majorBidi"/>
        </w:rPr>
        <w:t xml:space="preserve"> the cation of the salt is also rejected to maintain the neutral ionic conditions on both sides of the membrane. </w:t>
      </w:r>
      <w:r w:rsidR="00357E13" w:rsidRPr="006D631C">
        <w:rPr>
          <w:rFonts w:asciiTheme="majorBidi" w:hAnsiTheme="majorBidi" w:cstheme="majorBidi"/>
        </w:rPr>
        <w:t>Consequently</w:t>
      </w:r>
      <w:r w:rsidRPr="006D631C">
        <w:rPr>
          <w:rFonts w:asciiTheme="majorBidi" w:hAnsiTheme="majorBidi" w:cstheme="majorBidi"/>
        </w:rPr>
        <w:t xml:space="preserve">, the rejection rate is higher for divalent and trivalent species </w:t>
      </w:r>
      <w:r w:rsidR="00357E13" w:rsidRPr="006D631C">
        <w:rPr>
          <w:rFonts w:asciiTheme="majorBidi" w:hAnsiTheme="majorBidi" w:cstheme="majorBidi"/>
        </w:rPr>
        <w:t>since they induce stronger</w:t>
      </w:r>
      <w:r w:rsidRPr="006D631C">
        <w:rPr>
          <w:rFonts w:asciiTheme="majorBidi" w:hAnsiTheme="majorBidi" w:cstheme="majorBidi"/>
        </w:rPr>
        <w:t xml:space="preserve"> electrostatic interactions. With an increase in salt content (ionic strength), electrostatic screening reduces the electrical double layer thickness</w:t>
      </w:r>
      <w:r w:rsidR="006331D7" w:rsidRPr="006D631C">
        <w:rPr>
          <w:rFonts w:asciiTheme="majorBidi" w:hAnsiTheme="majorBidi" w:cstheme="majorBidi"/>
        </w:rPr>
        <w:t xml:space="preserve"> (Debye length)</w:t>
      </w:r>
      <w:r w:rsidRPr="006D631C">
        <w:rPr>
          <w:rFonts w:asciiTheme="majorBidi" w:hAnsiTheme="majorBidi" w:cstheme="majorBidi"/>
        </w:rPr>
        <w:t>, leading to lower rejection rates.</w:t>
      </w:r>
      <w:r w:rsidR="00CC76E4" w:rsidRPr="006D631C">
        <w:rPr>
          <w:rFonts w:asciiTheme="majorBidi" w:hAnsiTheme="majorBidi" w:cstheme="majorBidi"/>
        </w:rPr>
        <w:t xml:space="preserve"> Debye length</w:t>
      </w:r>
      <w:r w:rsidR="00B03C0E" w:rsidRPr="006D631C">
        <w:rPr>
          <w:rFonts w:asciiTheme="majorBidi" w:hAnsiTheme="majorBidi" w:cstheme="majorBidi"/>
        </w:rPr>
        <w:t>, κ</w:t>
      </w:r>
      <w:r w:rsidR="00B03C0E" w:rsidRPr="006D631C">
        <w:rPr>
          <w:rFonts w:asciiTheme="majorBidi" w:hAnsiTheme="majorBidi" w:cstheme="majorBidi"/>
          <w:vertAlign w:val="superscript"/>
        </w:rPr>
        <w:t>-1</w:t>
      </w:r>
      <w:r w:rsidR="00B03C0E" w:rsidRPr="006D631C">
        <w:rPr>
          <w:rFonts w:asciiTheme="majorBidi" w:hAnsiTheme="majorBidi" w:cstheme="majorBidi"/>
        </w:rPr>
        <w:t>,</w:t>
      </w:r>
      <w:r w:rsidR="00C15505" w:rsidRPr="006D631C">
        <w:rPr>
          <w:rFonts w:asciiTheme="majorBidi" w:hAnsiTheme="majorBidi" w:cstheme="majorBidi"/>
        </w:rPr>
        <w:t xml:space="preserve"> </w:t>
      </w:r>
      <w:r w:rsidR="00CC76E4" w:rsidRPr="006D631C">
        <w:rPr>
          <w:rFonts w:asciiTheme="majorBidi" w:hAnsiTheme="majorBidi" w:cstheme="majorBidi"/>
        </w:rPr>
        <w:t>can be calculated theoretically using following equation:</w:t>
      </w:r>
    </w:p>
    <w:p w14:paraId="20AC6126" w14:textId="2FA6ED6F" w:rsidR="00CC76E4" w:rsidRPr="006D631C" w:rsidRDefault="00B03C0E" w:rsidP="00CC76E4">
      <w:pPr>
        <w:pStyle w:val="Caption"/>
        <w:rPr>
          <w:color w:val="020202"/>
          <w:szCs w:val="24"/>
        </w:rPr>
      </w:pPr>
      <w:r w:rsidRPr="006D631C">
        <w:rPr>
          <w:color w:val="020202"/>
          <w:position w:val="-26"/>
          <w:szCs w:val="24"/>
        </w:rPr>
        <w:object w:dxaOrig="1540" w:dyaOrig="700" w14:anchorId="0DC38405">
          <v:shape id="_x0000_i1070" type="#_x0000_t75" style="width:75.6pt;height:34.2pt" o:ole="">
            <v:imagedata r:id="rId153" o:title=""/>
          </v:shape>
          <o:OLEObject Type="Embed" ProgID="Equation.DSMT4" ShapeID="_x0000_i1070" DrawAspect="Content" ObjectID="_1760013338" r:id="rId154"/>
        </w:object>
      </w:r>
      <w:r w:rsidR="00C15505" w:rsidRPr="006D631C">
        <w:rPr>
          <w:color w:val="020202"/>
          <w:szCs w:val="24"/>
        </w:rPr>
        <w:t xml:space="preserve"> </w:t>
      </w:r>
      <w:r w:rsidR="00C15505" w:rsidRPr="006D631C">
        <w:rPr>
          <w:color w:val="020202"/>
          <w:szCs w:val="24"/>
        </w:rPr>
        <w:tab/>
      </w:r>
      <w:r w:rsidR="00C15505" w:rsidRPr="006D631C">
        <w:rPr>
          <w:color w:val="020202"/>
          <w:szCs w:val="24"/>
        </w:rPr>
        <w:tab/>
        <w:t xml:space="preserve">                           </w:t>
      </w:r>
      <w:r w:rsidR="00CC76E4" w:rsidRPr="006D631C">
        <w:rPr>
          <w:color w:val="020202"/>
          <w:szCs w:val="24"/>
        </w:rPr>
        <w:tab/>
        <w:t xml:space="preserve">             </w:t>
      </w:r>
      <w:r w:rsidR="00CC76E4" w:rsidRPr="006D631C">
        <w:rPr>
          <w:color w:val="020202"/>
          <w:szCs w:val="24"/>
        </w:rPr>
        <w:tab/>
      </w:r>
      <w:r w:rsidR="009500F4" w:rsidRPr="006D631C">
        <w:rPr>
          <w:color w:val="020202"/>
          <w:szCs w:val="24"/>
        </w:rPr>
        <w:t xml:space="preserve">      </w:t>
      </w:r>
      <w:r w:rsidRPr="006D631C">
        <w:rPr>
          <w:color w:val="020202"/>
          <w:szCs w:val="24"/>
        </w:rPr>
        <w:t xml:space="preserve">    </w:t>
      </w:r>
      <w:r w:rsidR="009500F4" w:rsidRPr="006D631C">
        <w:rPr>
          <w:color w:val="020202"/>
          <w:szCs w:val="24"/>
        </w:rPr>
        <w:t xml:space="preserve">                </w:t>
      </w:r>
      <w:r w:rsidR="00CC76E4" w:rsidRPr="006D631C">
        <w:rPr>
          <w:color w:val="020202"/>
          <w:szCs w:val="24"/>
        </w:rPr>
        <w:tab/>
        <w:t>(</w:t>
      </w:r>
      <w:r w:rsidR="00CC76E4" w:rsidRPr="006D631C">
        <w:rPr>
          <w:color w:val="020202"/>
          <w:szCs w:val="24"/>
        </w:rPr>
        <w:fldChar w:fldCharType="begin"/>
      </w:r>
      <w:r w:rsidR="00CC76E4" w:rsidRPr="006D631C">
        <w:rPr>
          <w:color w:val="020202"/>
          <w:szCs w:val="24"/>
        </w:rPr>
        <w:instrText xml:space="preserve"> STYLEREF 1 \s </w:instrText>
      </w:r>
      <w:r w:rsidR="00CC76E4" w:rsidRPr="006D631C">
        <w:rPr>
          <w:color w:val="020202"/>
          <w:szCs w:val="24"/>
        </w:rPr>
        <w:fldChar w:fldCharType="separate"/>
      </w:r>
      <w:r w:rsidR="00CC76E4" w:rsidRPr="006D631C">
        <w:rPr>
          <w:noProof/>
          <w:color w:val="020202"/>
          <w:szCs w:val="24"/>
          <w:cs/>
        </w:rPr>
        <w:t>‎</w:t>
      </w:r>
      <w:r w:rsidR="00CC76E4" w:rsidRPr="006D631C">
        <w:rPr>
          <w:noProof/>
          <w:color w:val="020202"/>
          <w:szCs w:val="24"/>
        </w:rPr>
        <w:t>5</w:t>
      </w:r>
      <w:r w:rsidR="00CC76E4" w:rsidRPr="006D631C">
        <w:rPr>
          <w:color w:val="020202"/>
          <w:szCs w:val="24"/>
        </w:rPr>
        <w:fldChar w:fldCharType="end"/>
      </w:r>
      <w:r w:rsidR="00CC76E4" w:rsidRPr="006D631C">
        <w:rPr>
          <w:color w:val="020202"/>
          <w:szCs w:val="24"/>
        </w:rPr>
        <w:noBreakHyphen/>
      </w:r>
      <w:r w:rsidR="00CC76E4" w:rsidRPr="006D631C">
        <w:rPr>
          <w:color w:val="020202"/>
          <w:szCs w:val="24"/>
        </w:rPr>
        <w:fldChar w:fldCharType="begin"/>
      </w:r>
      <w:r w:rsidR="00CC76E4" w:rsidRPr="006D631C">
        <w:rPr>
          <w:color w:val="020202"/>
          <w:szCs w:val="24"/>
        </w:rPr>
        <w:instrText xml:space="preserve"> SEQ Equation \* ARABIC \s 1 </w:instrText>
      </w:r>
      <w:r w:rsidR="00CC76E4" w:rsidRPr="006D631C">
        <w:rPr>
          <w:color w:val="020202"/>
          <w:szCs w:val="24"/>
        </w:rPr>
        <w:fldChar w:fldCharType="separate"/>
      </w:r>
      <w:r w:rsidR="00CC76E4" w:rsidRPr="006D631C">
        <w:rPr>
          <w:noProof/>
          <w:color w:val="020202"/>
          <w:szCs w:val="24"/>
        </w:rPr>
        <w:t>1</w:t>
      </w:r>
      <w:r w:rsidR="00CC76E4" w:rsidRPr="006D631C">
        <w:rPr>
          <w:color w:val="020202"/>
          <w:szCs w:val="24"/>
        </w:rPr>
        <w:fldChar w:fldCharType="end"/>
      </w:r>
      <w:r w:rsidR="00CC76E4" w:rsidRPr="006D631C">
        <w:rPr>
          <w:color w:val="020202"/>
          <w:szCs w:val="24"/>
        </w:rPr>
        <w:t>)</w:t>
      </w:r>
    </w:p>
    <w:p w14:paraId="04197D8B" w14:textId="0EEFDDCF" w:rsidR="00DE712D" w:rsidRPr="006D631C" w:rsidRDefault="009670ED" w:rsidP="008D2526">
      <w:pPr>
        <w:ind w:firstLine="360"/>
        <w:rPr>
          <w:rFonts w:asciiTheme="majorBidi" w:hAnsiTheme="majorBidi" w:cstheme="majorBidi"/>
        </w:rPr>
      </w:pPr>
      <w:r w:rsidRPr="006D631C">
        <w:rPr>
          <w:rFonts w:asciiTheme="majorBidi" w:hAnsiTheme="majorBidi" w:cstheme="majorBidi"/>
        </w:rPr>
        <w:t xml:space="preserve">Where </w:t>
      </w:r>
      <w:proofErr w:type="spellStart"/>
      <w:r w:rsidR="00293C68" w:rsidRPr="006D631C">
        <w:rPr>
          <w:rFonts w:asciiTheme="majorBidi" w:hAnsiTheme="majorBidi" w:cstheme="majorBidi"/>
          <w:i/>
          <w:iCs/>
        </w:rPr>
        <w:t>ε</w:t>
      </w:r>
      <w:r w:rsidR="00293C68" w:rsidRPr="006D631C">
        <w:rPr>
          <w:rFonts w:asciiTheme="majorBidi" w:hAnsiTheme="majorBidi" w:cstheme="majorBidi"/>
          <w:i/>
          <w:iCs/>
          <w:vertAlign w:val="subscript"/>
        </w:rPr>
        <w:t>r</w:t>
      </w:r>
      <w:proofErr w:type="spellEnd"/>
      <w:r w:rsidR="00293C68" w:rsidRPr="006D631C">
        <w:rPr>
          <w:rFonts w:asciiTheme="majorBidi" w:hAnsiTheme="majorBidi" w:cstheme="majorBidi"/>
        </w:rPr>
        <w:t xml:space="preserve">, </w:t>
      </w:r>
      <w:r w:rsidR="00293C68" w:rsidRPr="006D631C">
        <w:rPr>
          <w:rFonts w:asciiTheme="majorBidi" w:hAnsiTheme="majorBidi" w:cstheme="majorBidi"/>
          <w:i/>
          <w:iCs/>
        </w:rPr>
        <w:t>ε</w:t>
      </w:r>
      <w:r w:rsidR="00293C68" w:rsidRPr="006D631C">
        <w:rPr>
          <w:rFonts w:asciiTheme="majorBidi" w:hAnsiTheme="majorBidi" w:cstheme="majorBidi"/>
          <w:i/>
          <w:iCs/>
          <w:vertAlign w:val="subscript"/>
        </w:rPr>
        <w:t>0</w:t>
      </w:r>
      <w:r w:rsidR="00293C68" w:rsidRPr="006D631C">
        <w:rPr>
          <w:rFonts w:asciiTheme="majorBidi" w:hAnsiTheme="majorBidi" w:cstheme="majorBidi"/>
        </w:rPr>
        <w:t xml:space="preserve">, </w:t>
      </w:r>
      <w:r w:rsidR="00293C68" w:rsidRPr="006D631C">
        <w:rPr>
          <w:rFonts w:asciiTheme="majorBidi" w:hAnsiTheme="majorBidi" w:cstheme="majorBidi"/>
          <w:i/>
          <w:iCs/>
        </w:rPr>
        <w:t>R</w:t>
      </w:r>
      <w:r w:rsidR="00293C68" w:rsidRPr="006D631C">
        <w:rPr>
          <w:rFonts w:asciiTheme="majorBidi" w:hAnsiTheme="majorBidi" w:cstheme="majorBidi"/>
        </w:rPr>
        <w:t xml:space="preserve">, </w:t>
      </w:r>
      <w:r w:rsidR="00293C68" w:rsidRPr="006D631C">
        <w:rPr>
          <w:rFonts w:asciiTheme="majorBidi" w:hAnsiTheme="majorBidi" w:cstheme="majorBidi"/>
          <w:i/>
          <w:iCs/>
        </w:rPr>
        <w:t>T</w:t>
      </w:r>
      <w:r w:rsidR="00293C68" w:rsidRPr="006D631C">
        <w:rPr>
          <w:rFonts w:asciiTheme="majorBidi" w:hAnsiTheme="majorBidi" w:cstheme="majorBidi"/>
        </w:rPr>
        <w:t xml:space="preserve">, </w:t>
      </w:r>
      <w:r w:rsidR="00293C68" w:rsidRPr="006D631C">
        <w:rPr>
          <w:rFonts w:asciiTheme="majorBidi" w:hAnsiTheme="majorBidi" w:cstheme="majorBidi"/>
          <w:i/>
          <w:iCs/>
        </w:rPr>
        <w:t>F</w:t>
      </w:r>
      <w:r w:rsidR="00293C68" w:rsidRPr="006D631C">
        <w:rPr>
          <w:rFonts w:asciiTheme="majorBidi" w:hAnsiTheme="majorBidi" w:cstheme="majorBidi"/>
        </w:rPr>
        <w:t xml:space="preserve"> and </w:t>
      </w:r>
      <w:r w:rsidR="00293C68" w:rsidRPr="006D631C">
        <w:rPr>
          <w:rFonts w:asciiTheme="majorBidi" w:hAnsiTheme="majorBidi" w:cstheme="majorBidi"/>
          <w:i/>
          <w:iCs/>
        </w:rPr>
        <w:t>I</w:t>
      </w:r>
      <w:r w:rsidR="00293C68" w:rsidRPr="006D631C">
        <w:rPr>
          <w:rFonts w:asciiTheme="majorBidi" w:hAnsiTheme="majorBidi" w:cstheme="majorBidi"/>
        </w:rPr>
        <w:t xml:space="preserve"> are </w:t>
      </w:r>
      <w:r w:rsidR="00C700D2" w:rsidRPr="006D631C">
        <w:rPr>
          <w:rFonts w:asciiTheme="majorBidi" w:hAnsiTheme="majorBidi" w:cstheme="majorBidi"/>
        </w:rPr>
        <w:t>dielectric constant</w:t>
      </w:r>
      <w:r w:rsidR="00D8798C" w:rsidRPr="006D631C">
        <w:rPr>
          <w:rFonts w:asciiTheme="majorBidi" w:hAnsiTheme="majorBidi" w:cstheme="majorBidi"/>
        </w:rPr>
        <w:t xml:space="preserve"> (</w:t>
      </w:r>
      <w:r w:rsidR="008D2526" w:rsidRPr="006D631C">
        <w:rPr>
          <w:rFonts w:asciiTheme="majorBidi" w:hAnsiTheme="majorBidi" w:cstheme="majorBidi"/>
        </w:rPr>
        <w:t xml:space="preserve">with a value of </w:t>
      </w:r>
      <w:r w:rsidR="00D8798C" w:rsidRPr="006D631C">
        <w:rPr>
          <w:rFonts w:asciiTheme="majorBidi" w:hAnsiTheme="majorBidi" w:cstheme="majorBidi"/>
        </w:rPr>
        <w:t>78.5)</w:t>
      </w:r>
      <w:r w:rsidR="00C700D2" w:rsidRPr="006D631C">
        <w:rPr>
          <w:rFonts w:asciiTheme="majorBidi" w:hAnsiTheme="majorBidi" w:cstheme="majorBidi"/>
        </w:rPr>
        <w:t>, permittivity of the vacuum</w:t>
      </w:r>
      <w:r w:rsidR="00D8798C" w:rsidRPr="006D631C">
        <w:rPr>
          <w:rFonts w:asciiTheme="majorBidi" w:hAnsiTheme="majorBidi" w:cstheme="majorBidi"/>
        </w:rPr>
        <w:t xml:space="preserve"> (</w:t>
      </w:r>
      <w:r w:rsidR="008D2526" w:rsidRPr="006D631C">
        <w:rPr>
          <w:rFonts w:asciiTheme="majorBidi" w:hAnsiTheme="majorBidi" w:cstheme="majorBidi"/>
        </w:rPr>
        <w:t xml:space="preserve">equal to </w:t>
      </w:r>
      <w:r w:rsidR="00D8798C" w:rsidRPr="006D631C">
        <w:rPr>
          <w:rFonts w:asciiTheme="majorBidi" w:hAnsiTheme="majorBidi" w:cstheme="majorBidi"/>
        </w:rPr>
        <w:t>8.85×10</w:t>
      </w:r>
      <w:r w:rsidR="00D8798C" w:rsidRPr="006D631C">
        <w:rPr>
          <w:rFonts w:asciiTheme="majorBidi" w:hAnsiTheme="majorBidi" w:cstheme="majorBidi"/>
          <w:vertAlign w:val="superscript"/>
        </w:rPr>
        <w:t>-12</w:t>
      </w:r>
      <w:r w:rsidR="00D8798C" w:rsidRPr="006D631C">
        <w:rPr>
          <w:rFonts w:asciiTheme="majorBidi" w:hAnsiTheme="majorBidi" w:cstheme="majorBidi"/>
        </w:rPr>
        <w:t xml:space="preserve"> C/</w:t>
      </w:r>
      <w:proofErr w:type="spellStart"/>
      <w:r w:rsidR="00D8798C" w:rsidRPr="006D631C">
        <w:rPr>
          <w:rFonts w:asciiTheme="majorBidi" w:hAnsiTheme="majorBidi" w:cstheme="majorBidi"/>
        </w:rPr>
        <w:t>V.m</w:t>
      </w:r>
      <w:proofErr w:type="spellEnd"/>
      <w:r w:rsidR="00D8798C" w:rsidRPr="006D631C">
        <w:rPr>
          <w:rFonts w:asciiTheme="majorBidi" w:hAnsiTheme="majorBidi" w:cstheme="majorBidi"/>
        </w:rPr>
        <w:t>)</w:t>
      </w:r>
      <w:r w:rsidR="00C700D2" w:rsidRPr="006D631C">
        <w:rPr>
          <w:rFonts w:asciiTheme="majorBidi" w:hAnsiTheme="majorBidi" w:cstheme="majorBidi"/>
        </w:rPr>
        <w:t>, gas constant</w:t>
      </w:r>
      <w:r w:rsidR="00D8798C" w:rsidRPr="006D631C">
        <w:rPr>
          <w:rFonts w:asciiTheme="majorBidi" w:hAnsiTheme="majorBidi" w:cstheme="majorBidi"/>
        </w:rPr>
        <w:t xml:space="preserve"> (</w:t>
      </w:r>
      <w:r w:rsidR="008D2526" w:rsidRPr="006D631C">
        <w:rPr>
          <w:rFonts w:asciiTheme="majorBidi" w:hAnsiTheme="majorBidi" w:cstheme="majorBidi"/>
        </w:rPr>
        <w:t xml:space="preserve">measuring </w:t>
      </w:r>
      <w:r w:rsidR="00D8798C" w:rsidRPr="006D631C">
        <w:rPr>
          <w:rFonts w:asciiTheme="majorBidi" w:hAnsiTheme="majorBidi" w:cstheme="majorBidi"/>
        </w:rPr>
        <w:t>8.314 C.V/</w:t>
      </w:r>
      <w:proofErr w:type="spellStart"/>
      <w:r w:rsidR="00D8798C" w:rsidRPr="006D631C">
        <w:rPr>
          <w:rFonts w:asciiTheme="majorBidi" w:hAnsiTheme="majorBidi" w:cstheme="majorBidi"/>
        </w:rPr>
        <w:t>mol.K</w:t>
      </w:r>
      <w:proofErr w:type="spellEnd"/>
      <w:r w:rsidR="00D8798C" w:rsidRPr="006D631C">
        <w:rPr>
          <w:rFonts w:asciiTheme="majorBidi" w:hAnsiTheme="majorBidi" w:cstheme="majorBidi"/>
        </w:rPr>
        <w:t>)</w:t>
      </w:r>
      <w:r w:rsidR="00C700D2" w:rsidRPr="006D631C">
        <w:rPr>
          <w:rFonts w:asciiTheme="majorBidi" w:hAnsiTheme="majorBidi" w:cstheme="majorBidi"/>
        </w:rPr>
        <w:t>, absolute temperature</w:t>
      </w:r>
      <w:r w:rsidR="00DE712D" w:rsidRPr="006D631C">
        <w:rPr>
          <w:rFonts w:asciiTheme="majorBidi" w:hAnsiTheme="majorBidi" w:cstheme="majorBidi"/>
        </w:rPr>
        <w:t xml:space="preserve"> (</w:t>
      </w:r>
      <w:r w:rsidR="008D2526" w:rsidRPr="006D631C">
        <w:rPr>
          <w:rFonts w:asciiTheme="majorBidi" w:hAnsiTheme="majorBidi" w:cstheme="majorBidi"/>
        </w:rPr>
        <w:t xml:space="preserve">at </w:t>
      </w:r>
      <w:r w:rsidR="00DE712D" w:rsidRPr="006D631C">
        <w:rPr>
          <w:rFonts w:asciiTheme="majorBidi" w:hAnsiTheme="majorBidi" w:cstheme="majorBidi"/>
        </w:rPr>
        <w:t>298 K)</w:t>
      </w:r>
      <w:r w:rsidR="00C700D2" w:rsidRPr="006D631C">
        <w:rPr>
          <w:rFonts w:asciiTheme="majorBidi" w:hAnsiTheme="majorBidi" w:cstheme="majorBidi"/>
        </w:rPr>
        <w:t>, Faraday constant</w:t>
      </w:r>
      <w:r w:rsidR="00DE712D" w:rsidRPr="006D631C">
        <w:rPr>
          <w:rFonts w:asciiTheme="majorBidi" w:hAnsiTheme="majorBidi" w:cstheme="majorBidi"/>
        </w:rPr>
        <w:t xml:space="preserve"> (</w:t>
      </w:r>
      <w:r w:rsidR="008D2526" w:rsidRPr="006D631C">
        <w:rPr>
          <w:rFonts w:asciiTheme="majorBidi" w:hAnsiTheme="majorBidi" w:cstheme="majorBidi"/>
        </w:rPr>
        <w:t xml:space="preserve">at </w:t>
      </w:r>
      <w:r w:rsidR="00DE712D" w:rsidRPr="006D631C">
        <w:rPr>
          <w:rFonts w:asciiTheme="majorBidi" w:hAnsiTheme="majorBidi" w:cstheme="majorBidi"/>
        </w:rPr>
        <w:t>9.65×10</w:t>
      </w:r>
      <w:r w:rsidR="00DE712D" w:rsidRPr="006D631C">
        <w:rPr>
          <w:rFonts w:asciiTheme="majorBidi" w:hAnsiTheme="majorBidi" w:cstheme="majorBidi"/>
          <w:vertAlign w:val="superscript"/>
        </w:rPr>
        <w:t>4</w:t>
      </w:r>
      <w:r w:rsidR="00BE0F16" w:rsidRPr="006D631C">
        <w:rPr>
          <w:rFonts w:asciiTheme="majorBidi" w:hAnsiTheme="majorBidi" w:cstheme="majorBidi"/>
        </w:rPr>
        <w:t xml:space="preserve"> C/</w:t>
      </w:r>
      <w:proofErr w:type="spellStart"/>
      <w:r w:rsidR="00BE0F16" w:rsidRPr="006D631C">
        <w:rPr>
          <w:rFonts w:asciiTheme="majorBidi" w:hAnsiTheme="majorBidi" w:cstheme="majorBidi"/>
        </w:rPr>
        <w:t>mol</w:t>
      </w:r>
      <w:proofErr w:type="spellEnd"/>
      <w:r w:rsidR="00DE712D" w:rsidRPr="006D631C">
        <w:rPr>
          <w:rFonts w:asciiTheme="majorBidi" w:hAnsiTheme="majorBidi" w:cstheme="majorBidi"/>
        </w:rPr>
        <w:t>)</w:t>
      </w:r>
      <w:r w:rsidR="00C700D2" w:rsidRPr="006D631C">
        <w:rPr>
          <w:rFonts w:asciiTheme="majorBidi" w:hAnsiTheme="majorBidi" w:cstheme="majorBidi"/>
        </w:rPr>
        <w:t xml:space="preserve"> and ionic strength of the solution, respectively.</w:t>
      </w:r>
      <w:r w:rsidR="00D8798C" w:rsidRPr="006D631C">
        <w:rPr>
          <w:rFonts w:asciiTheme="majorBidi" w:hAnsiTheme="majorBidi" w:cstheme="majorBidi"/>
        </w:rPr>
        <w:fldChar w:fldCharType="begin" w:fldLock="1"/>
      </w:r>
      <w:r w:rsidR="008D2526" w:rsidRPr="006D631C">
        <w:rPr>
          <w:rFonts w:asciiTheme="majorBidi" w:hAnsiTheme="majorBidi" w:cstheme="majorBidi"/>
        </w:rPr>
        <w:instrText>ADDIN CSL_CITATION {"citationItems":[{"id":"ITEM-1","itemData":{"DOI":"10.1021/acs.langmuir.0c00024","ISSN":"0743-7463","author":[{"dropping-particle":"","family":"Khademi","given":"Mahmoud","non-dropping-particle":"","parse-names":false,"suffix":""},{"dropping-particle":"","family":"Barz","given":"Dominik P. J.","non-dropping-particle":"","parse-names":false,"suffix":""}],"container-title":"Langmuir","id":"ITEM-1","issue":"16","issued":{"date-parts":[["2020","4","28"]]},"page":"4250-4260","title":"Structure of the Electrical Double Layer Revisited: Electrode Capacitance in Aqueous Solutions","type":"article-journal","volume":"36"},"uris":["http://www.mendeley.com/documents/?uuid=8f9593cc-5a57-4a07-9319-c8bb7b9b2c79"]}],"mendeley":{"formattedCitation":"&lt;sup&gt;291&lt;/sup&gt;","plainTextFormattedCitation":"291","previouslyFormattedCitation":"&lt;sup&gt;291&lt;/sup&gt;"},"properties":{"noteIndex":0},"schema":"https://github.com/citation-style-language/schema/raw/master/csl-citation.json"}</w:instrText>
      </w:r>
      <w:r w:rsidR="00D8798C" w:rsidRPr="006D631C">
        <w:rPr>
          <w:rFonts w:asciiTheme="majorBidi" w:hAnsiTheme="majorBidi" w:cstheme="majorBidi"/>
        </w:rPr>
        <w:fldChar w:fldCharType="separate"/>
      </w:r>
      <w:r w:rsidR="00D8798C" w:rsidRPr="006D631C">
        <w:rPr>
          <w:rFonts w:asciiTheme="majorBidi" w:hAnsiTheme="majorBidi" w:cstheme="majorBidi"/>
          <w:noProof/>
          <w:vertAlign w:val="superscript"/>
        </w:rPr>
        <w:t>291</w:t>
      </w:r>
      <w:r w:rsidR="00D8798C" w:rsidRPr="006D631C">
        <w:rPr>
          <w:rFonts w:asciiTheme="majorBidi" w:hAnsiTheme="majorBidi" w:cstheme="majorBidi"/>
        </w:rPr>
        <w:fldChar w:fldCharType="end"/>
      </w:r>
      <w:r w:rsidR="00F33CD9" w:rsidRPr="006D631C">
        <w:rPr>
          <w:rFonts w:asciiTheme="majorBidi" w:hAnsiTheme="majorBidi" w:cstheme="majorBidi"/>
        </w:rPr>
        <w:t xml:space="preserve"> </w:t>
      </w:r>
      <w:r w:rsidR="008D2526" w:rsidRPr="006D631C">
        <w:rPr>
          <w:rFonts w:asciiTheme="majorBidi" w:hAnsiTheme="majorBidi" w:cstheme="majorBidi"/>
        </w:rPr>
        <w:t xml:space="preserve">By employing this formula, one can determine Debye lengths of 9.6, 4.3, 3, 1.3, and 0.96 nm for ionic strengths of 1, 5, 10, 50, and 100 </w:t>
      </w:r>
      <w:proofErr w:type="spellStart"/>
      <w:r w:rsidR="008D2526" w:rsidRPr="006D631C">
        <w:rPr>
          <w:rFonts w:asciiTheme="majorBidi" w:hAnsiTheme="majorBidi" w:cstheme="majorBidi"/>
        </w:rPr>
        <w:t>mM</w:t>
      </w:r>
      <w:proofErr w:type="spellEnd"/>
      <w:r w:rsidR="008D2526" w:rsidRPr="006D631C">
        <w:rPr>
          <w:rFonts w:asciiTheme="majorBidi" w:hAnsiTheme="majorBidi" w:cstheme="majorBidi"/>
        </w:rPr>
        <w:t xml:space="preserve">, respectively. When the ionic strength </w:t>
      </w:r>
      <w:r w:rsidR="008D2526" w:rsidRPr="006D631C">
        <w:rPr>
          <w:rFonts w:asciiTheme="majorBidi" w:hAnsiTheme="majorBidi" w:cstheme="majorBidi"/>
        </w:rPr>
        <w:lastRenderedPageBreak/>
        <w:t xml:space="preserve">is less than 50 </w:t>
      </w:r>
      <w:proofErr w:type="spellStart"/>
      <w:r w:rsidR="008D2526" w:rsidRPr="006D631C">
        <w:rPr>
          <w:rFonts w:asciiTheme="majorBidi" w:hAnsiTheme="majorBidi" w:cstheme="majorBidi"/>
        </w:rPr>
        <w:t>mM</w:t>
      </w:r>
      <w:proofErr w:type="spellEnd"/>
      <w:r w:rsidR="008D2526" w:rsidRPr="006D631C">
        <w:rPr>
          <w:rFonts w:asciiTheme="majorBidi" w:hAnsiTheme="majorBidi" w:cstheme="majorBidi"/>
        </w:rPr>
        <w:t xml:space="preserve">, the calculated Debye length surpasses the size of the membrane pores, aligning with the observed higher salt rejection values. Conversely, for ionic strengths of 50 and 100 </w:t>
      </w:r>
      <w:proofErr w:type="spellStart"/>
      <w:r w:rsidR="008D2526" w:rsidRPr="006D631C">
        <w:rPr>
          <w:rFonts w:asciiTheme="majorBidi" w:hAnsiTheme="majorBidi" w:cstheme="majorBidi"/>
        </w:rPr>
        <w:t>mM</w:t>
      </w:r>
      <w:proofErr w:type="spellEnd"/>
      <w:r w:rsidR="008D2526" w:rsidRPr="006D631C">
        <w:rPr>
          <w:rFonts w:asciiTheme="majorBidi" w:hAnsiTheme="majorBidi" w:cstheme="majorBidi"/>
        </w:rPr>
        <w:t xml:space="preserve">, the Debye length notably diminishes, falling within the range of the membrane pore size, resulting in decreased rejection rates. </w:t>
      </w:r>
    </w:p>
    <w:p w14:paraId="3500097E" w14:textId="54C5FEAE" w:rsidR="004D765A" w:rsidRPr="006D631C" w:rsidRDefault="00C700D2" w:rsidP="008D2526">
      <w:pPr>
        <w:ind w:firstLine="360"/>
      </w:pPr>
      <w:r w:rsidRPr="006D631C">
        <w:rPr>
          <w:rFonts w:asciiTheme="majorBidi" w:hAnsiTheme="majorBidi" w:cstheme="majorBidi"/>
        </w:rPr>
        <w:t xml:space="preserve"> </w:t>
      </w:r>
      <w:r w:rsidR="000C3681" w:rsidRPr="006D631C">
        <w:rPr>
          <w:rFonts w:asciiTheme="majorBidi" w:hAnsiTheme="majorBidi" w:cstheme="majorBidi"/>
        </w:rPr>
        <w:t>As depicted in t</w:t>
      </w:r>
      <w:r w:rsidR="00115CDA" w:rsidRPr="006D631C">
        <w:rPr>
          <w:rFonts w:asciiTheme="majorBidi" w:hAnsiTheme="majorBidi" w:cstheme="majorBidi"/>
        </w:rPr>
        <w:t>he inset of Figure</w:t>
      </w:r>
      <w:r w:rsidR="000C3681" w:rsidRPr="006D631C">
        <w:rPr>
          <w:rFonts w:asciiTheme="majorBidi" w:hAnsiTheme="majorBidi" w:cstheme="majorBidi"/>
        </w:rPr>
        <w:t xml:space="preserve"> </w:t>
      </w:r>
      <w:r w:rsidR="00115CDA" w:rsidRPr="006D631C">
        <w:rPr>
          <w:rFonts w:asciiTheme="majorBidi" w:hAnsiTheme="majorBidi" w:cstheme="majorBidi"/>
        </w:rPr>
        <w:t>5-</w:t>
      </w:r>
      <w:r w:rsidR="000C3681" w:rsidRPr="006D631C">
        <w:rPr>
          <w:rFonts w:asciiTheme="majorBidi" w:hAnsiTheme="majorBidi" w:cstheme="majorBidi"/>
        </w:rPr>
        <w:t>7a, MgSO</w:t>
      </w:r>
      <w:r w:rsidR="000C3681" w:rsidRPr="006D631C">
        <w:rPr>
          <w:rFonts w:asciiTheme="majorBidi" w:hAnsiTheme="majorBidi" w:cstheme="majorBidi"/>
          <w:vertAlign w:val="subscript"/>
        </w:rPr>
        <w:t>4</w:t>
      </w:r>
      <w:r w:rsidR="000C3681" w:rsidRPr="006D631C">
        <w:rPr>
          <w:rFonts w:asciiTheme="majorBidi" w:hAnsiTheme="majorBidi" w:cstheme="majorBidi"/>
        </w:rPr>
        <w:t xml:space="preserve"> exhibits lower rejection rates at low ionic strengths compared to the salts containing similar anion. Such behavior can be attributed to the stronger electrostatic screening effect caused by the higher charge density of magnesium ions (more than 10 times) when compared to sodium and potassium cations.</w:t>
      </w:r>
      <w:r w:rsidR="000C3681" w:rsidRPr="006D631C">
        <w:rPr>
          <w:rFonts w:asciiTheme="majorBidi" w:hAnsiTheme="majorBidi" w:cstheme="majorBidi"/>
        </w:rPr>
        <w:fldChar w:fldCharType="begin" w:fldLock="1"/>
      </w:r>
      <w:r w:rsidR="008D2526" w:rsidRPr="006D631C">
        <w:rPr>
          <w:rFonts w:asciiTheme="majorBidi" w:hAnsiTheme="majorBidi" w:cstheme="majorBidi"/>
        </w:rPr>
        <w:instrText>ADDIN CSL_CITATION {"citationItems":[{"id":"ITEM-1","itemData":{"author":[{"dropping-particle":"","family":"Rayner-Canham","given":"Geoff","non-dropping-particle":"","parse-names":false,"suffix":""},{"dropping-particle":"","family":"Overton","given":"Tina","non-dropping-particle":"","parse-names":false,"suffix":""}],"edition":"Sixth","id":"ITEM-1","issued":{"date-parts":[["2013"]]},"publisher":"W. H. Freeman","title":"Descriptive Inorganic Chemistry","type":"book"},"uris":["http://www.mendeley.com/documents/?uuid=c326ca37-04c1-469b-8625-8d7faec18848"]}],"mendeley":{"formattedCitation":"&lt;sup&gt;292&lt;/sup&gt;","plainTextFormattedCitation":"292","previouslyFormattedCitation":"&lt;sup&gt;292&lt;/sup&gt;"},"properties":{"noteIndex":0},"schema":"https://github.com/citation-style-language/schema/raw/master/csl-citation.json"}</w:instrText>
      </w:r>
      <w:r w:rsidR="000C3681" w:rsidRPr="006D631C">
        <w:rPr>
          <w:rFonts w:asciiTheme="majorBidi" w:hAnsiTheme="majorBidi" w:cstheme="majorBidi"/>
        </w:rPr>
        <w:fldChar w:fldCharType="separate"/>
      </w:r>
      <w:r w:rsidR="00D8798C" w:rsidRPr="006D631C">
        <w:rPr>
          <w:rFonts w:asciiTheme="majorBidi" w:hAnsiTheme="majorBidi" w:cstheme="majorBidi"/>
          <w:noProof/>
          <w:vertAlign w:val="superscript"/>
        </w:rPr>
        <w:t>292</w:t>
      </w:r>
      <w:r w:rsidR="000C3681" w:rsidRPr="006D631C">
        <w:rPr>
          <w:rFonts w:asciiTheme="majorBidi" w:hAnsiTheme="majorBidi" w:cstheme="majorBidi"/>
        </w:rPr>
        <w:fldChar w:fldCharType="end"/>
      </w:r>
      <w:r w:rsidR="000C3681" w:rsidRPr="006D631C">
        <w:rPr>
          <w:rFonts w:asciiTheme="majorBidi" w:hAnsiTheme="majorBidi" w:cstheme="majorBidi"/>
        </w:rPr>
        <w:t xml:space="preserve"> Moreover, the membrane exhibits limited rejection rates for salts containing chloride ion compared to sulfate, which enables the selective separation of anions such as sulfate over chloride. Therefore, our membrane is an ideal candidate for salt fractionation, particularly in cases where the separation of chloride ion from other ions like sulfate is </w:t>
      </w:r>
      <w:r w:rsidR="00230576" w:rsidRPr="006D631C">
        <w:rPr>
          <w:rFonts w:asciiTheme="majorBidi" w:hAnsiTheme="majorBidi" w:cstheme="majorBidi"/>
        </w:rPr>
        <w:t>desired</w:t>
      </w:r>
      <w:r w:rsidR="000C3681" w:rsidRPr="006D631C">
        <w:rPr>
          <w:rFonts w:asciiTheme="majorBidi" w:hAnsiTheme="majorBidi" w:cstheme="majorBidi"/>
        </w:rPr>
        <w:t>.</w:t>
      </w:r>
      <w:r w:rsidR="000C3681" w:rsidRPr="006D631C">
        <w:rPr>
          <w:rFonts w:asciiTheme="majorBidi" w:hAnsiTheme="majorBidi" w:cstheme="majorBidi"/>
        </w:rPr>
        <w:fldChar w:fldCharType="begin" w:fldLock="1"/>
      </w:r>
      <w:r w:rsidR="00384140" w:rsidRPr="006D631C">
        <w:rPr>
          <w:rFonts w:asciiTheme="majorBidi" w:hAnsiTheme="majorBidi" w:cstheme="majorBidi"/>
        </w:rPr>
        <w:instrText>ADDIN CSL_CITATION {"citationItems":[{"id":"ITEM-1","itemData":{"DOI":"10.1039/C8EW00847G","ISSN":"2053-1400","abstract":"Interspecies selectivity between NaCl and Na 2 SO 4 in nanofiltration is explained by a simple, intuitive analytical framework.","author":[{"dropping-particle":"","family":"Roy","given":"Yagnaseni","non-dropping-particle":"","parse-names":false,"suffix":""},{"dropping-particle":"","family":"Lienhard","given":"John H.","non-dropping-particle":"","parse-names":false,"suffix":""}],"container-title":"Environmental Science: Water Research &amp; Technology","id":"ITEM-1","issue":"3","issued":{"date-parts":[["2019"]]},"page":"585-598","title":"A framework to analyze sulfate versus chloride selectivity in nanofiltration","type":"article-journal","volume":"5"},"uris":["http://www.mendeley.com/documents/?uuid=67ae1ec1-b475-4a95-b044-07e51ad3fe12"]}],"mendeley":{"formattedCitation":"&lt;sup&gt;280&lt;/sup&gt;","plainTextFormattedCitation":"280","previouslyFormattedCitation":"&lt;sup&gt;280&lt;/sup&gt;"},"properties":{"noteIndex":0},"schema":"https://github.com/citation-style-language/schema/raw/master/csl-citation.json"}</w:instrText>
      </w:r>
      <w:r w:rsidR="000C3681" w:rsidRPr="006D631C">
        <w:rPr>
          <w:rFonts w:asciiTheme="majorBidi" w:hAnsiTheme="majorBidi" w:cstheme="majorBidi"/>
        </w:rPr>
        <w:fldChar w:fldCharType="separate"/>
      </w:r>
      <w:r w:rsidR="00DE6CA6" w:rsidRPr="006D631C">
        <w:rPr>
          <w:rFonts w:asciiTheme="majorBidi" w:hAnsiTheme="majorBidi" w:cstheme="majorBidi"/>
          <w:noProof/>
          <w:vertAlign w:val="superscript"/>
        </w:rPr>
        <w:t>280</w:t>
      </w:r>
      <w:r w:rsidR="000C3681" w:rsidRPr="006D631C">
        <w:rPr>
          <w:rFonts w:asciiTheme="majorBidi" w:hAnsiTheme="majorBidi" w:cstheme="majorBidi"/>
        </w:rPr>
        <w:fldChar w:fldCharType="end"/>
      </w:r>
    </w:p>
    <w:p w14:paraId="46348BDD" w14:textId="2315D275" w:rsidR="00466D6E" w:rsidRPr="006D631C" w:rsidRDefault="006911F8" w:rsidP="00D8798C">
      <w:pPr>
        <w:ind w:firstLine="360"/>
      </w:pPr>
      <w:r w:rsidRPr="006D631C">
        <w:rPr>
          <w:rFonts w:asciiTheme="majorBidi" w:hAnsiTheme="majorBidi" w:cstheme="majorBidi"/>
        </w:rPr>
        <w:t>To test the pH-dependent rejection capability of the polyLLC membrane for ionic species, we prepared aqueous solutions of Na</w:t>
      </w:r>
      <w:r w:rsidRPr="006D631C">
        <w:rPr>
          <w:rFonts w:asciiTheme="majorBidi" w:hAnsiTheme="majorBidi" w:cstheme="majorBidi"/>
          <w:vertAlign w:val="subscript"/>
        </w:rPr>
        <w:t>2</w:t>
      </w:r>
      <w:r w:rsidRPr="006D631C">
        <w:rPr>
          <w:rFonts w:asciiTheme="majorBidi" w:hAnsiTheme="majorBidi" w:cstheme="majorBidi"/>
        </w:rPr>
        <w:t>SO</w:t>
      </w:r>
      <w:r w:rsidRPr="006D631C">
        <w:rPr>
          <w:rFonts w:asciiTheme="majorBidi" w:hAnsiTheme="majorBidi" w:cstheme="majorBidi"/>
          <w:vertAlign w:val="subscript"/>
        </w:rPr>
        <w:t>4</w:t>
      </w:r>
      <w:r w:rsidRPr="006D631C">
        <w:rPr>
          <w:rFonts w:asciiTheme="majorBidi" w:hAnsiTheme="majorBidi" w:cstheme="majorBidi"/>
        </w:rPr>
        <w:t>, K</w:t>
      </w:r>
      <w:r w:rsidRPr="006D631C">
        <w:rPr>
          <w:rFonts w:asciiTheme="majorBidi" w:hAnsiTheme="majorBidi" w:cstheme="majorBidi"/>
          <w:vertAlign w:val="subscript"/>
        </w:rPr>
        <w:t>2</w:t>
      </w:r>
      <w:r w:rsidRPr="006D631C">
        <w:rPr>
          <w:rFonts w:asciiTheme="majorBidi" w:hAnsiTheme="majorBidi" w:cstheme="majorBidi"/>
        </w:rPr>
        <w:t>SO</w:t>
      </w:r>
      <w:r w:rsidRPr="006D631C">
        <w:rPr>
          <w:rFonts w:asciiTheme="majorBidi" w:hAnsiTheme="majorBidi" w:cstheme="majorBidi"/>
          <w:vertAlign w:val="subscript"/>
        </w:rPr>
        <w:t>4</w:t>
      </w:r>
      <w:r w:rsidRPr="006D631C">
        <w:rPr>
          <w:rFonts w:asciiTheme="majorBidi" w:hAnsiTheme="majorBidi" w:cstheme="majorBidi"/>
        </w:rPr>
        <w:t xml:space="preserve"> and MgSO</w:t>
      </w:r>
      <w:r w:rsidRPr="006D631C">
        <w:rPr>
          <w:rFonts w:asciiTheme="majorBidi" w:hAnsiTheme="majorBidi" w:cstheme="majorBidi"/>
          <w:vertAlign w:val="subscript"/>
        </w:rPr>
        <w:t>4</w:t>
      </w:r>
      <w:r w:rsidRPr="006D631C">
        <w:rPr>
          <w:rFonts w:asciiTheme="majorBidi" w:hAnsiTheme="majorBidi" w:cstheme="majorBidi"/>
        </w:rPr>
        <w:t xml:space="preserve"> with an ionic strength of 5 </w:t>
      </w:r>
      <w:proofErr w:type="spellStart"/>
      <w:r w:rsidRPr="006D631C">
        <w:rPr>
          <w:rFonts w:asciiTheme="majorBidi" w:hAnsiTheme="majorBidi" w:cstheme="majorBidi"/>
        </w:rPr>
        <w:t>mM</w:t>
      </w:r>
      <w:proofErr w:type="spellEnd"/>
      <w:r w:rsidRPr="006D631C">
        <w:rPr>
          <w:rFonts w:asciiTheme="majorBidi" w:hAnsiTheme="majorBidi" w:cstheme="majorBidi"/>
        </w:rPr>
        <w:t xml:space="preserve"> at different pH values and passed them through the membrane. As typical experiment, the permeate flux of K</w:t>
      </w:r>
      <w:r w:rsidRPr="006D631C">
        <w:rPr>
          <w:rFonts w:asciiTheme="majorBidi" w:hAnsiTheme="majorBidi" w:cstheme="majorBidi"/>
          <w:vertAlign w:val="subscript"/>
        </w:rPr>
        <w:t>2</w:t>
      </w:r>
      <w:r w:rsidRPr="006D631C">
        <w:rPr>
          <w:rFonts w:asciiTheme="majorBidi" w:hAnsiTheme="majorBidi" w:cstheme="majorBidi"/>
        </w:rPr>
        <w:t>SO</w:t>
      </w:r>
      <w:r w:rsidRPr="006D631C">
        <w:rPr>
          <w:rFonts w:asciiTheme="majorBidi" w:hAnsiTheme="majorBidi" w:cstheme="majorBidi"/>
          <w:vertAlign w:val="subscript"/>
        </w:rPr>
        <w:t>4</w:t>
      </w:r>
      <w:r w:rsidRPr="006D631C">
        <w:rPr>
          <w:rFonts w:asciiTheme="majorBidi" w:hAnsiTheme="majorBidi" w:cstheme="majorBidi"/>
        </w:rPr>
        <w:t xml:space="preserve"> was also continuously monitored. Figure 5-7b demonstrates that the rejection rate for the tested salts (e.g., Na</w:t>
      </w:r>
      <w:r w:rsidRPr="006D631C">
        <w:rPr>
          <w:rFonts w:asciiTheme="majorBidi" w:hAnsiTheme="majorBidi" w:cstheme="majorBidi"/>
          <w:vertAlign w:val="subscript"/>
        </w:rPr>
        <w:t>2</w:t>
      </w:r>
      <w:r w:rsidRPr="006D631C">
        <w:rPr>
          <w:rFonts w:asciiTheme="majorBidi" w:hAnsiTheme="majorBidi" w:cstheme="majorBidi"/>
        </w:rPr>
        <w:t>SO</w:t>
      </w:r>
      <w:r w:rsidRPr="006D631C">
        <w:rPr>
          <w:rFonts w:asciiTheme="majorBidi" w:hAnsiTheme="majorBidi" w:cstheme="majorBidi"/>
          <w:vertAlign w:val="subscript"/>
        </w:rPr>
        <w:t>4</w:t>
      </w:r>
      <w:r w:rsidRPr="006D631C">
        <w:rPr>
          <w:rFonts w:asciiTheme="majorBidi" w:hAnsiTheme="majorBidi" w:cstheme="majorBidi"/>
        </w:rPr>
        <w:t>, K</w:t>
      </w:r>
      <w:r w:rsidRPr="006D631C">
        <w:rPr>
          <w:rFonts w:asciiTheme="majorBidi" w:hAnsiTheme="majorBidi" w:cstheme="majorBidi"/>
          <w:vertAlign w:val="subscript"/>
        </w:rPr>
        <w:t>2</w:t>
      </w:r>
      <w:r w:rsidRPr="006D631C">
        <w:rPr>
          <w:rFonts w:asciiTheme="majorBidi" w:hAnsiTheme="majorBidi" w:cstheme="majorBidi"/>
        </w:rPr>
        <w:t>SO</w:t>
      </w:r>
      <w:r w:rsidRPr="006D631C">
        <w:rPr>
          <w:rFonts w:asciiTheme="majorBidi" w:hAnsiTheme="majorBidi" w:cstheme="majorBidi"/>
          <w:vertAlign w:val="subscript"/>
        </w:rPr>
        <w:t>4</w:t>
      </w:r>
      <w:r w:rsidRPr="006D631C">
        <w:rPr>
          <w:rFonts w:asciiTheme="majorBidi" w:hAnsiTheme="majorBidi" w:cstheme="majorBidi"/>
        </w:rPr>
        <w:t xml:space="preserve"> and MgSO</w:t>
      </w:r>
      <w:r w:rsidRPr="006D631C">
        <w:rPr>
          <w:rFonts w:asciiTheme="majorBidi" w:hAnsiTheme="majorBidi" w:cstheme="majorBidi"/>
          <w:vertAlign w:val="subscript"/>
        </w:rPr>
        <w:t>4</w:t>
      </w:r>
      <w:r w:rsidRPr="006D631C">
        <w:rPr>
          <w:rFonts w:asciiTheme="majorBidi" w:hAnsiTheme="majorBidi" w:cstheme="majorBidi"/>
        </w:rPr>
        <w:t>) is high and steady in neutral and alkaline solutions, but significantly decreases when the pH drops to 4. Moreover, the consistent flux observed at various pH values suggests that the pore size of the membrane does not change with pH. This finding is in agreement with the SAXS data</w:t>
      </w:r>
      <w:r w:rsidR="00384140" w:rsidRPr="006D631C">
        <w:rPr>
          <w:rFonts w:asciiTheme="majorBidi" w:hAnsiTheme="majorBidi" w:cstheme="majorBidi"/>
        </w:rPr>
        <w:t xml:space="preserve"> (see Figure</w:t>
      </w:r>
      <w:r w:rsidRPr="006D631C">
        <w:rPr>
          <w:rFonts w:asciiTheme="majorBidi" w:hAnsiTheme="majorBidi" w:cstheme="majorBidi"/>
        </w:rPr>
        <w:t xml:space="preserve"> </w:t>
      </w:r>
      <w:r w:rsidR="00384140" w:rsidRPr="006D631C">
        <w:rPr>
          <w:rFonts w:asciiTheme="majorBidi" w:hAnsiTheme="majorBidi" w:cstheme="majorBidi"/>
        </w:rPr>
        <w:t>5-</w:t>
      </w:r>
      <w:r w:rsidRPr="006D631C">
        <w:rPr>
          <w:rFonts w:asciiTheme="majorBidi" w:hAnsiTheme="majorBidi" w:cstheme="majorBidi"/>
        </w:rPr>
        <w:t xml:space="preserve">5), which demonstrates unnoticeable structural variation in the polyLLC at different pH values. Thus, the change in rejection rates with pH can be attributed to the isoelectric point of COOH of </w:t>
      </w:r>
      <w:r w:rsidR="005C0838" w:rsidRPr="006D631C">
        <w:rPr>
          <w:rFonts w:asciiTheme="majorBidi" w:hAnsiTheme="majorBidi" w:cstheme="majorBidi"/>
        </w:rPr>
        <w:t xml:space="preserve">copolymerized </w:t>
      </w:r>
      <w:proofErr w:type="spellStart"/>
      <w:r w:rsidRPr="006D631C">
        <w:rPr>
          <w:rFonts w:asciiTheme="majorBidi" w:hAnsiTheme="majorBidi" w:cstheme="majorBidi"/>
        </w:rPr>
        <w:t>AAc</w:t>
      </w:r>
      <w:proofErr w:type="spellEnd"/>
      <w:r w:rsidRPr="006D631C">
        <w:rPr>
          <w:rFonts w:asciiTheme="majorBidi" w:hAnsiTheme="majorBidi" w:cstheme="majorBidi"/>
        </w:rPr>
        <w:t>, which is approximately 4.5.</w:t>
      </w:r>
      <w:r w:rsidRPr="006D631C">
        <w:rPr>
          <w:rFonts w:asciiTheme="majorBidi" w:hAnsiTheme="majorBidi" w:cstheme="majorBidi"/>
        </w:rPr>
        <w:fldChar w:fldCharType="begin" w:fldLock="1"/>
      </w:r>
      <w:r w:rsidR="008D2526" w:rsidRPr="006D631C">
        <w:rPr>
          <w:rFonts w:asciiTheme="majorBidi" w:hAnsiTheme="majorBidi" w:cstheme="majorBidi"/>
        </w:rPr>
        <w:instrText>ADDIN CSL_CITATION {"citationItems":[{"id":"ITEM-1","itemData":{"DOI":"10.1007/s00396-013-3103-x","ISSN":"0303-402X","author":[{"dropping-particle":"","family":"Wiśniewska","given":"Małgorzata","non-dropping-particle":"","parse-names":false,"suffix":""},{"dropping-particle":"","family":"Urban","given":"Teresa","non-dropping-particle":"","parse-names":false,"suffix":""},{"dropping-particle":"","family":"Grządka","given":"Elżbieta","non-dropping-particle":"","parse-names":false,"suffix":""},{"dropping-particle":"","family":"Zarko","given":"Vladimir I.","non-dropping-particle":"","parse-names":false,"suffix":""},{"dropping-particle":"","family":"Gun’ko","given":"Vladimir M.","non-dropping-particle":"","parse-names":false,"suffix":""}],"container-title":"Colloid and Polymer Science","id":"ITEM-1","issue":"3","issued":{"date-parts":[["2014","3","23"]]},"page":"699-705","title":"Comparison of adsorption affinity of polyacrylic acid for surfaces of mixed silica–alumina","type":"article-journal","volume":"292"},"uris":["http://www.mendeley.com/documents/?uuid=e2a42f47-83e0-4a6e-bd45-3480ccc74696"]}],"mendeley":{"formattedCitation":"&lt;sup&gt;293&lt;/sup&gt;","plainTextFormattedCitation":"293","previouslyFormattedCitation":"&lt;sup&gt;293&lt;/sup&gt;"},"properties":{"noteIndex":0},"schema":"https://github.com/citation-style-language/schema/raw/master/csl-citation.json"}</w:instrText>
      </w:r>
      <w:r w:rsidRPr="006D631C">
        <w:rPr>
          <w:rFonts w:asciiTheme="majorBidi" w:hAnsiTheme="majorBidi" w:cstheme="majorBidi"/>
        </w:rPr>
        <w:fldChar w:fldCharType="separate"/>
      </w:r>
      <w:r w:rsidR="00D8798C" w:rsidRPr="006D631C">
        <w:rPr>
          <w:rFonts w:asciiTheme="majorBidi" w:hAnsiTheme="majorBidi" w:cstheme="majorBidi"/>
          <w:noProof/>
          <w:vertAlign w:val="superscript"/>
        </w:rPr>
        <w:t>293</w:t>
      </w:r>
      <w:r w:rsidRPr="006D631C">
        <w:rPr>
          <w:rFonts w:asciiTheme="majorBidi" w:hAnsiTheme="majorBidi" w:cstheme="majorBidi"/>
        </w:rPr>
        <w:fldChar w:fldCharType="end"/>
      </w:r>
      <w:r w:rsidRPr="006D631C">
        <w:rPr>
          <w:rFonts w:asciiTheme="majorBidi" w:hAnsiTheme="majorBidi" w:cstheme="majorBidi"/>
        </w:rPr>
        <w:t xml:space="preserve"> As a result, when the pH drops below 4, COOH groups on the </w:t>
      </w:r>
      <w:r w:rsidRPr="006D631C">
        <w:rPr>
          <w:rFonts w:asciiTheme="majorBidi" w:hAnsiTheme="majorBidi" w:cstheme="majorBidi"/>
        </w:rPr>
        <w:lastRenderedPageBreak/>
        <w:t>polymer chains become undissociated, leading to weakened electrostatic repulsion and subsequently lower rejection rate.</w:t>
      </w:r>
    </w:p>
    <w:p w14:paraId="61FB170A" w14:textId="695CD02C" w:rsidR="00B04457" w:rsidRPr="006D631C" w:rsidRDefault="006E02D7" w:rsidP="00D8798C">
      <w:pPr>
        <w:ind w:firstLine="360"/>
      </w:pPr>
      <w:r w:rsidRPr="006D631C">
        <w:rPr>
          <w:rFonts w:asciiTheme="majorBidi" w:hAnsiTheme="majorBidi" w:cstheme="majorBidi"/>
        </w:rPr>
        <w:t xml:space="preserve">To further investigate the pH response, we passed aqueous solutions containing 500 ppm of anionic dyes including OG, AF, and AR1 through the membrane at different pH values (4, 6, and 9). The results obtained from the experiment (as depicted in Figure 5-7d-g) demonstrate that at pH values of 6 and 9, a rejection rate close to 85% is observed for all the dyes. In contrast, when the pH is set at 4, the rejection rate drops to 6%, 10%, and 30% for AR1, OG, and AF, respectively. As control experiment, we also tested </w:t>
      </w:r>
      <w:r w:rsidR="00B757BD" w:rsidRPr="006D631C">
        <w:rPr>
          <w:rFonts w:asciiTheme="majorBidi" w:hAnsiTheme="majorBidi" w:cstheme="majorBidi"/>
        </w:rPr>
        <w:t>OG</w:t>
      </w:r>
      <w:r w:rsidRPr="006D631C">
        <w:rPr>
          <w:rFonts w:asciiTheme="majorBidi" w:hAnsiTheme="majorBidi" w:cstheme="majorBidi"/>
        </w:rPr>
        <w:t xml:space="preserve"> rejection performance of the commercially available NF270 membrane at different pH values. Fig</w:t>
      </w:r>
      <w:r w:rsidR="00575DB8" w:rsidRPr="006D631C">
        <w:rPr>
          <w:rFonts w:asciiTheme="majorBidi" w:hAnsiTheme="majorBidi" w:cstheme="majorBidi"/>
        </w:rPr>
        <w:t>ure F</w:t>
      </w:r>
      <w:r w:rsidRPr="006D631C">
        <w:rPr>
          <w:rFonts w:asciiTheme="majorBidi" w:hAnsiTheme="majorBidi" w:cstheme="majorBidi"/>
        </w:rPr>
        <w:t>3</w:t>
      </w:r>
      <w:r w:rsidR="003D7164" w:rsidRPr="006D631C">
        <w:rPr>
          <w:rFonts w:asciiTheme="majorBidi" w:hAnsiTheme="majorBidi" w:cstheme="majorBidi"/>
        </w:rPr>
        <w:t xml:space="preserve"> (see </w:t>
      </w:r>
      <w:r w:rsidR="0090028E" w:rsidRPr="006D631C">
        <w:rPr>
          <w:rFonts w:asciiTheme="majorBidi" w:hAnsiTheme="majorBidi" w:cstheme="majorBidi"/>
        </w:rPr>
        <w:t xml:space="preserve">Appendix </w:t>
      </w:r>
      <w:r w:rsidR="003D7164" w:rsidRPr="006D631C">
        <w:rPr>
          <w:rFonts w:asciiTheme="majorBidi" w:hAnsiTheme="majorBidi" w:cstheme="majorBidi"/>
        </w:rPr>
        <w:t>F)</w:t>
      </w:r>
      <w:r w:rsidRPr="006D631C">
        <w:rPr>
          <w:rFonts w:asciiTheme="majorBidi" w:hAnsiTheme="majorBidi" w:cstheme="majorBidi"/>
        </w:rPr>
        <w:t xml:space="preserve"> confirms that the rejection of NF270 remains constant regardless of the pH change, as the separation is primarily dependent on size-exclusion due to the smaller pore size of NF270 (~0.8 nm).</w:t>
      </w:r>
      <w:r w:rsidRPr="006D631C">
        <w:rPr>
          <w:rFonts w:asciiTheme="majorBidi" w:hAnsiTheme="majorBidi" w:cstheme="majorBidi"/>
        </w:rPr>
        <w:fldChar w:fldCharType="begin" w:fldLock="1"/>
      </w:r>
      <w:r w:rsidR="008D2526" w:rsidRPr="006D631C">
        <w:rPr>
          <w:rFonts w:asciiTheme="majorBidi" w:hAnsiTheme="majorBidi" w:cstheme="majorBidi"/>
        </w:rPr>
        <w:instrText>ADDIN CSL_CITATION {"citationItems":[{"id":"ITEM-1","itemData":{"DOI":"10.1021/acs.est.8b01040","ISSN":"0013-936X","author":[{"dropping-particle":"","family":"Boo","given":"Chanhee","non-dropping-particle":"","parse-names":false,"suffix":""},{"dropping-particle":"","family":"Wang","given":"Yunkun","non-dropping-particle":"","parse-names":false,"suffix":""},{"dropping-particle":"","family":"Zucker","given":"Ines","non-dropping-particle":"","parse-names":false,"suffix":""},{"dropping-particle":"","family":"Choo","given":"Youngwoo","non-dropping-particle":"","parse-names":false,"suffix":""},{"dropping-particle":"","family":"Osuji","given":"Chinedum O.","non-dropping-particle":"","parse-names":false,"suffix":""},{"dropping-particle":"","family":"Elimelech","given":"Menachem","non-dropping-particle":"","parse-names":false,"suffix":""}],"container-title":"Environmental Science &amp; Technology","id":"ITEM-1","issue":"13","issued":{"date-parts":[["2018","7","3"]]},"page":"7279-7288","title":"High Performance Nanofiltration Membrane for Effective Removal of Perfluoroalkyl Substances at High Water Recovery","type":"article-journal","volume":"52"},"uris":["http://www.mendeley.com/documents/?uuid=aacbf764-0af7-4149-a388-5b512bb092bb"]}],"mendeley":{"formattedCitation":"&lt;sup&gt;294&lt;/sup&gt;","plainTextFormattedCitation":"294","previouslyFormattedCitation":"&lt;sup&gt;294&lt;/sup&gt;"},"properties":{"noteIndex":0},"schema":"https://github.com/citation-style-language/schema/raw/master/csl-citation.json"}</w:instrText>
      </w:r>
      <w:r w:rsidRPr="006D631C">
        <w:rPr>
          <w:rFonts w:asciiTheme="majorBidi" w:hAnsiTheme="majorBidi" w:cstheme="majorBidi"/>
        </w:rPr>
        <w:fldChar w:fldCharType="separate"/>
      </w:r>
      <w:r w:rsidR="00D8798C" w:rsidRPr="006D631C">
        <w:rPr>
          <w:rFonts w:asciiTheme="majorBidi" w:hAnsiTheme="majorBidi" w:cstheme="majorBidi"/>
          <w:noProof/>
          <w:vertAlign w:val="superscript"/>
        </w:rPr>
        <w:t>294</w:t>
      </w:r>
      <w:r w:rsidRPr="006D631C">
        <w:rPr>
          <w:rFonts w:asciiTheme="majorBidi" w:hAnsiTheme="majorBidi" w:cstheme="majorBidi"/>
        </w:rPr>
        <w:fldChar w:fldCharType="end"/>
      </w:r>
      <w:r w:rsidRPr="006D631C">
        <w:rPr>
          <w:rFonts w:asciiTheme="majorBidi" w:hAnsiTheme="majorBidi" w:cstheme="majorBidi"/>
        </w:rPr>
        <w:t xml:space="preserve"> The outcomes of these experiments verify that the polyLLC membrane has pH-responsive separation of ionic species.</w:t>
      </w:r>
    </w:p>
    <w:p w14:paraId="0D69BE47" w14:textId="51BC93F4" w:rsidR="00B04457" w:rsidRPr="006D631C" w:rsidRDefault="0026477B" w:rsidP="004511B2">
      <w:pPr>
        <w:ind w:firstLine="360"/>
      </w:pPr>
      <w:r w:rsidRPr="006D631C">
        <w:rPr>
          <w:rFonts w:asciiTheme="majorBidi" w:hAnsiTheme="majorBidi" w:cstheme="majorBidi"/>
        </w:rPr>
        <w:t>To assess whether thermoresponsiveness affects pH-dependent selectivity for ionic species, we conducted rejection experiments for K</w:t>
      </w:r>
      <w:r w:rsidRPr="006D631C">
        <w:rPr>
          <w:rFonts w:asciiTheme="majorBidi" w:hAnsiTheme="majorBidi" w:cstheme="majorBidi"/>
          <w:vertAlign w:val="subscript"/>
        </w:rPr>
        <w:t>2</w:t>
      </w:r>
      <w:r w:rsidRPr="006D631C">
        <w:rPr>
          <w:rFonts w:asciiTheme="majorBidi" w:hAnsiTheme="majorBidi" w:cstheme="majorBidi"/>
        </w:rPr>
        <w:t>SO</w:t>
      </w:r>
      <w:r w:rsidRPr="006D631C">
        <w:rPr>
          <w:rFonts w:asciiTheme="majorBidi" w:hAnsiTheme="majorBidi" w:cstheme="majorBidi"/>
          <w:vertAlign w:val="subscript"/>
        </w:rPr>
        <w:t>4</w:t>
      </w:r>
      <w:r w:rsidRPr="006D631C">
        <w:rPr>
          <w:rFonts w:asciiTheme="majorBidi" w:hAnsiTheme="majorBidi" w:cstheme="majorBidi"/>
        </w:rPr>
        <w:t xml:space="preserve"> </w:t>
      </w:r>
      <w:r w:rsidR="00AF6493" w:rsidRPr="006D631C">
        <w:rPr>
          <w:rFonts w:asciiTheme="majorBidi" w:hAnsiTheme="majorBidi" w:cstheme="majorBidi"/>
        </w:rPr>
        <w:t xml:space="preserve">(at 5 </w:t>
      </w:r>
      <w:proofErr w:type="spellStart"/>
      <w:r w:rsidR="00AF6493" w:rsidRPr="006D631C">
        <w:rPr>
          <w:rFonts w:asciiTheme="majorBidi" w:hAnsiTheme="majorBidi" w:cstheme="majorBidi"/>
        </w:rPr>
        <w:t>mM</w:t>
      </w:r>
      <w:proofErr w:type="spellEnd"/>
      <w:r w:rsidR="00AF6493" w:rsidRPr="006D631C">
        <w:rPr>
          <w:rFonts w:asciiTheme="majorBidi" w:hAnsiTheme="majorBidi" w:cstheme="majorBidi"/>
        </w:rPr>
        <w:t xml:space="preserve"> ionic strength) </w:t>
      </w:r>
      <w:r w:rsidRPr="006D631C">
        <w:rPr>
          <w:rFonts w:asciiTheme="majorBidi" w:hAnsiTheme="majorBidi" w:cstheme="majorBidi"/>
        </w:rPr>
        <w:t xml:space="preserve">while varying both pH and temperature simultaneously. The results, depicted in Figure 5-7c, demonstrate that the rate of salt rejection remains constant at both tested pH values despite a change in temperature from 25 to 45 °C. This indicates that altering the pore size with temperature within the studied range has negligible effect on the rejection rate of ionic species driven by electrostatic repulsion. This outcome is somewhat expected as the polyLLC membrane does not reject </w:t>
      </w:r>
      <w:r w:rsidR="00A11920" w:rsidRPr="006D631C">
        <w:rPr>
          <w:rFonts w:asciiTheme="majorBidi" w:hAnsiTheme="majorBidi" w:cstheme="majorBidi"/>
        </w:rPr>
        <w:t>studied ions</w:t>
      </w:r>
      <w:r w:rsidRPr="006D631C">
        <w:rPr>
          <w:rFonts w:asciiTheme="majorBidi" w:hAnsiTheme="majorBidi" w:cstheme="majorBidi"/>
        </w:rPr>
        <w:t xml:space="preserve"> by size-exclusion.</w:t>
      </w:r>
      <w:r w:rsidR="00AF6493" w:rsidRPr="006D631C">
        <w:rPr>
          <w:rFonts w:asciiTheme="majorBidi" w:hAnsiTheme="majorBidi" w:cstheme="majorBidi"/>
        </w:rPr>
        <w:t xml:space="preserve"> </w:t>
      </w:r>
      <w:r w:rsidR="004511B2" w:rsidRPr="006D631C">
        <w:rPr>
          <w:rFonts w:asciiTheme="majorBidi" w:hAnsiTheme="majorBidi" w:cstheme="majorBidi"/>
        </w:rPr>
        <w:t xml:space="preserve">Furthermore, at the temperature of 45 °C, the membrane pore size, which is ~2.6 nm from SAXS measurements and MWCO analysis, is still smaller than the computed Debye length of 4.3 nm for an ionic strength of 5 </w:t>
      </w:r>
      <w:proofErr w:type="spellStart"/>
      <w:r w:rsidR="004511B2" w:rsidRPr="006D631C">
        <w:rPr>
          <w:rFonts w:asciiTheme="majorBidi" w:hAnsiTheme="majorBidi" w:cstheme="majorBidi"/>
        </w:rPr>
        <w:t>mM.</w:t>
      </w:r>
      <w:proofErr w:type="spellEnd"/>
      <w:r w:rsidR="004511B2" w:rsidRPr="006D631C">
        <w:rPr>
          <w:rFonts w:asciiTheme="majorBidi" w:hAnsiTheme="majorBidi" w:cstheme="majorBidi"/>
        </w:rPr>
        <w:t xml:space="preserve"> </w:t>
      </w:r>
      <w:r w:rsidR="004632B5" w:rsidRPr="006D631C">
        <w:rPr>
          <w:rFonts w:asciiTheme="majorBidi" w:hAnsiTheme="majorBidi" w:cstheme="majorBidi"/>
        </w:rPr>
        <w:t xml:space="preserve">This observation provides additional confirmation that </w:t>
      </w:r>
      <w:r w:rsidR="00E523AC" w:rsidRPr="006D631C">
        <w:rPr>
          <w:rFonts w:asciiTheme="majorBidi" w:hAnsiTheme="majorBidi" w:cstheme="majorBidi"/>
        </w:rPr>
        <w:lastRenderedPageBreak/>
        <w:t>such</w:t>
      </w:r>
      <w:r w:rsidR="004632B5" w:rsidRPr="006D631C">
        <w:rPr>
          <w:rFonts w:asciiTheme="majorBidi" w:hAnsiTheme="majorBidi" w:cstheme="majorBidi"/>
        </w:rPr>
        <w:t xml:space="preserve"> pore expansion resulting from the membrane thermal response has negligible impact on the membrane ability to reject ionic species.   </w:t>
      </w:r>
      <w:r w:rsidR="00AF6493" w:rsidRPr="006D631C">
        <w:rPr>
          <w:rFonts w:asciiTheme="majorBidi" w:hAnsiTheme="majorBidi" w:cstheme="majorBidi"/>
        </w:rPr>
        <w:t xml:space="preserve"> </w:t>
      </w:r>
    </w:p>
    <w:p w14:paraId="5F9D8F82" w14:textId="23E1136C" w:rsidR="00B04457" w:rsidRPr="006D631C" w:rsidRDefault="00B2735A" w:rsidP="00382EED">
      <w:pPr>
        <w:ind w:firstLine="360"/>
        <w:jc w:val="center"/>
      </w:pPr>
      <w:r w:rsidRPr="006D631C">
        <w:rPr>
          <w:rFonts w:asciiTheme="majorBidi" w:hAnsiTheme="majorBidi" w:cstheme="majorBidi"/>
          <w:noProof/>
        </w:rPr>
        <w:drawing>
          <wp:inline distT="0" distB="0" distL="0" distR="0" wp14:anchorId="0CB2EEBA" wp14:editId="477D1CE7">
            <wp:extent cx="5940000" cy="6631676"/>
            <wp:effectExtent l="0" t="0" r="381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940000" cy="6631676"/>
                    </a:xfrm>
                    <a:prstGeom prst="rect">
                      <a:avLst/>
                    </a:prstGeom>
                    <a:noFill/>
                  </pic:spPr>
                </pic:pic>
              </a:graphicData>
            </a:graphic>
          </wp:inline>
        </w:drawing>
      </w:r>
    </w:p>
    <w:p w14:paraId="78521FD2" w14:textId="0B0099C3" w:rsidR="00382EED" w:rsidRPr="006D631C" w:rsidRDefault="00382EED" w:rsidP="0039240D">
      <w:pPr>
        <w:pStyle w:val="Caption"/>
        <w:jc w:val="center"/>
        <w:rPr>
          <w:sz w:val="22"/>
          <w:szCs w:val="22"/>
        </w:rPr>
      </w:pPr>
      <w:bookmarkStart w:id="225" w:name="_Toc148175961"/>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5</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7</w:t>
      </w:r>
      <w:r w:rsidR="00B55F32" w:rsidRPr="006D631C">
        <w:rPr>
          <w:sz w:val="22"/>
          <w:szCs w:val="22"/>
        </w:rPr>
        <w:fldChar w:fldCharType="end"/>
      </w:r>
      <w:r w:rsidRPr="006D631C">
        <w:rPr>
          <w:rFonts w:asciiTheme="majorBidi" w:hAnsiTheme="majorBidi" w:cstheme="majorBidi"/>
          <w:sz w:val="22"/>
          <w:szCs w:val="22"/>
        </w:rPr>
        <w:t xml:space="preserve">. (a) The results of single salt rejection experiments are presented for different salts and concentrations. The range of rejection observed for different anions is indicated by the shaded areas in the </w:t>
      </w:r>
      <w:r w:rsidRPr="006D631C">
        <w:rPr>
          <w:rFonts w:asciiTheme="majorBidi" w:hAnsiTheme="majorBidi" w:cstheme="majorBidi"/>
          <w:sz w:val="22"/>
          <w:szCs w:val="22"/>
        </w:rPr>
        <w:lastRenderedPageBreak/>
        <w:t>inset. (b) The rejection of different dissolved salts varies with pH. The membrane flux (for K</w:t>
      </w:r>
      <w:r w:rsidRPr="006D631C">
        <w:rPr>
          <w:rFonts w:asciiTheme="majorBidi" w:hAnsiTheme="majorBidi" w:cstheme="majorBidi"/>
          <w:sz w:val="22"/>
          <w:szCs w:val="22"/>
          <w:vertAlign w:val="subscript"/>
        </w:rPr>
        <w:t>2</w:t>
      </w:r>
      <w:r w:rsidRPr="006D631C">
        <w:rPr>
          <w:rFonts w:asciiTheme="majorBidi" w:hAnsiTheme="majorBidi" w:cstheme="majorBidi"/>
          <w:sz w:val="22"/>
          <w:szCs w:val="22"/>
        </w:rPr>
        <w:t>SO</w:t>
      </w:r>
      <w:r w:rsidRPr="006D631C">
        <w:rPr>
          <w:rFonts w:asciiTheme="majorBidi" w:hAnsiTheme="majorBidi" w:cstheme="majorBidi"/>
          <w:sz w:val="22"/>
          <w:szCs w:val="22"/>
          <w:vertAlign w:val="subscript"/>
        </w:rPr>
        <w:t>4</w:t>
      </w:r>
      <w:r w:rsidRPr="006D631C">
        <w:rPr>
          <w:rFonts w:asciiTheme="majorBidi" w:hAnsiTheme="majorBidi" w:cstheme="majorBidi"/>
          <w:sz w:val="22"/>
          <w:szCs w:val="22"/>
        </w:rPr>
        <w:t>) at different pH values is also presented in the figure. (c) The variation of K</w:t>
      </w:r>
      <w:r w:rsidRPr="006D631C">
        <w:rPr>
          <w:rFonts w:asciiTheme="majorBidi" w:hAnsiTheme="majorBidi" w:cstheme="majorBidi"/>
          <w:sz w:val="22"/>
          <w:szCs w:val="22"/>
          <w:vertAlign w:val="subscript"/>
        </w:rPr>
        <w:t>2</w:t>
      </w:r>
      <w:r w:rsidRPr="006D631C">
        <w:rPr>
          <w:rFonts w:asciiTheme="majorBidi" w:hAnsiTheme="majorBidi" w:cstheme="majorBidi"/>
          <w:sz w:val="22"/>
          <w:szCs w:val="22"/>
        </w:rPr>
        <w:t>SO</w:t>
      </w:r>
      <w:r w:rsidRPr="006D631C">
        <w:rPr>
          <w:rFonts w:asciiTheme="majorBidi" w:hAnsiTheme="majorBidi" w:cstheme="majorBidi"/>
          <w:sz w:val="22"/>
          <w:szCs w:val="22"/>
          <w:vertAlign w:val="subscript"/>
        </w:rPr>
        <w:t>4</w:t>
      </w:r>
      <w:r w:rsidRPr="006D631C">
        <w:rPr>
          <w:rFonts w:asciiTheme="majorBidi" w:hAnsiTheme="majorBidi" w:cstheme="majorBidi"/>
          <w:sz w:val="22"/>
          <w:szCs w:val="22"/>
        </w:rPr>
        <w:t xml:space="preserve"> rejection is demonstrated in response to changes in temperature and pH. (d) The pH-dependent rejection rate for different anionic dyes is displayed. Photos of the feed and permeate at different pH values are provided for (e) OG, (f) AR1, and (g) AF. In these photos, the pH value (9, 6, or 4) is indicated by a number and the letter indicates whether it is feed (F) or permeate (P). </w:t>
      </w:r>
      <w:r w:rsidR="0039240D" w:rsidRPr="006D631C">
        <w:rPr>
          <w:rFonts w:asciiTheme="majorBidi" w:hAnsiTheme="majorBidi" w:cstheme="majorBidi"/>
          <w:sz w:val="22"/>
          <w:szCs w:val="22"/>
        </w:rPr>
        <w:t>It should be noted that t</w:t>
      </w:r>
      <w:r w:rsidRPr="006D631C">
        <w:rPr>
          <w:rFonts w:asciiTheme="majorBidi" w:hAnsiTheme="majorBidi" w:cstheme="majorBidi"/>
          <w:sz w:val="22"/>
          <w:szCs w:val="22"/>
        </w:rPr>
        <w:t>he color of the feed for AF changes as the pH is altered since this dye is a pH indicator.</w:t>
      </w:r>
      <w:bookmarkEnd w:id="225"/>
    </w:p>
    <w:p w14:paraId="6D6702CA" w14:textId="0EBABCF2" w:rsidR="00C579F4" w:rsidRPr="006D631C" w:rsidRDefault="00C579F4" w:rsidP="00C579F4">
      <w:pPr>
        <w:pStyle w:val="Heading4"/>
      </w:pPr>
      <w:bookmarkStart w:id="226" w:name="_Toc148175885"/>
      <w:r w:rsidRPr="006D631C">
        <w:t>5.3.2.3 Contact angle and fouling resistance</w:t>
      </w:r>
      <w:bookmarkEnd w:id="226"/>
    </w:p>
    <w:p w14:paraId="7DC80302" w14:textId="636EC8C6" w:rsidR="00E025D8" w:rsidRPr="006D631C" w:rsidRDefault="005D030B" w:rsidP="00EE2C1C">
      <w:pPr>
        <w:ind w:firstLine="360"/>
      </w:pPr>
      <w:r w:rsidRPr="006D631C">
        <w:rPr>
          <w:rFonts w:asciiTheme="majorBidi" w:hAnsiTheme="majorBidi" w:cstheme="majorBidi"/>
        </w:rPr>
        <w:t>Fouling is a major challenge in membrane separation processes as it can lead to reduced membrane performance and lifespan. A membrane is particularly susceptible to fouling when it is utilized for filtering feed streams containing species such as proteins, bacteria, and viruses.</w:t>
      </w:r>
      <w:r w:rsidRPr="006D631C">
        <w:rPr>
          <w:rFonts w:asciiTheme="majorBidi" w:hAnsiTheme="majorBidi" w:cstheme="majorBidi"/>
        </w:rPr>
        <w:fldChar w:fldCharType="begin" w:fldLock="1"/>
      </w:r>
      <w:r w:rsidR="00074832" w:rsidRPr="006D631C">
        <w:rPr>
          <w:rFonts w:asciiTheme="majorBidi" w:hAnsiTheme="majorBidi" w:cstheme="majorBidi"/>
        </w:rPr>
        <w:instrText>ADDIN CSL_CITATION {"citationItems":[{"id":"ITEM-1","itemData":{"DOI":"10.1038/natrevmats.2016.18","ISSN":"2058-8437","abstract":"Membrane-based separations for water purification and desalination have been increasingly applied to address the global challenges of water scarcity and the pollution of aquatic environments. However, progress in water purification membranes has been constrained by the inherent limitations of conventional membrane materials. Recent advances in methods for controlling the structure and chemical functionality in polymer films can potentially lead to new classes of membranes for water purification. In this Review, we first discuss the state of the art of existing membrane technologies for water purification and desalination, highlight their inherent limitations and establish the urgent requirements for next-generation membranes. We then describe molecular-level design approaches towards fabricating highly selective membranes, focusing on novel materials such as aquaporin, synthetic nanochannels, graphene and self-assembled block copolymers and small molecules. Finally, we highlight promising membrane surface modification approaches that minimize interfacial interactions and enhance fouling resistance.","author":[{"dropping-particle":"","family":"Werber","given":"Jay R.","non-dropping-particle":"","parse-names":false,"suffix":""},{"dropping-particle":"","family":"Osuji","given":"Chinedum O.","non-dropping-particle":"","parse-names":false,"suffix":""},{"dropping-particle":"","family":"Elimelech","given":"Menachem","non-dropping-particle":"","parse-names":false,"suffix":""}],"container-title":"Nature Reviews Materials","id":"ITEM-1","issue":"5","issued":{"date-parts":[["2016","5","5"]]},"page":"16018","title":"Materials for next-generation desalination and water purification membranes","type":"article-journal","volume":"1"},"uris":["http://www.mendeley.com/documents/?uuid=b49e3af6-02cf-439a-9ef2-9d16fc16993b"]}],"mendeley":{"formattedCitation":"&lt;sup&gt;4&lt;/sup&gt;","plainTextFormattedCitation":"4","previouslyFormattedCitation":"&lt;sup&gt;4&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4</w:t>
      </w:r>
      <w:r w:rsidRPr="006D631C">
        <w:rPr>
          <w:rFonts w:asciiTheme="majorBidi" w:hAnsiTheme="majorBidi" w:cstheme="majorBidi"/>
        </w:rPr>
        <w:fldChar w:fldCharType="end"/>
      </w:r>
      <w:r w:rsidRPr="006D631C">
        <w:rPr>
          <w:rFonts w:asciiTheme="majorBidi" w:hAnsiTheme="majorBidi" w:cstheme="majorBidi"/>
        </w:rPr>
        <w:t xml:space="preserve"> Increasing the surface hydrophilicity of membranes is a key strategy for mitigating fouling.</w:t>
      </w:r>
      <w:r w:rsidRPr="006D631C">
        <w:rPr>
          <w:rFonts w:asciiTheme="majorBidi" w:hAnsiTheme="majorBidi" w:cstheme="majorBidi"/>
        </w:rPr>
        <w:fldChar w:fldCharType="begin" w:fldLock="1"/>
      </w:r>
      <w:r w:rsidR="00074832" w:rsidRPr="006D631C">
        <w:rPr>
          <w:rFonts w:asciiTheme="majorBidi" w:hAnsiTheme="majorBidi" w:cstheme="majorBidi"/>
        </w:rPr>
        <w:instrText>ADDIN CSL_CITATION {"citationItems":[{"id":"ITEM-1","itemData":{"DOI":"10.1021/cr800208y","ISSN":"0009-2665","author":[{"dropping-particle":"","family":"Rana","given":"D.","non-dropping-particle":"","parse-names":false,"suffix":""},{"dropping-particle":"","family":"Matsuura","given":"T.","non-dropping-particle":"","parse-names":false,"suffix":""}],"container-title":"Chemical Reviews","id":"ITEM-1","issue":"4","issued":{"date-parts":[["2010","4","14"]]},"page":"2448-2471","title":"Surface Modifications for Antifouling Membranes","type":"article-journal","volume":"110"},"uris":["http://www.mendeley.com/documents/?uuid=acd5ea0c-3a41-4b48-954b-3b846782f51b"]}],"mendeley":{"formattedCitation":"&lt;sup&gt;276&lt;/sup&gt;","plainTextFormattedCitation":"276","previouslyFormattedCitation":"&lt;sup&gt;276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276</w:t>
      </w:r>
      <w:r w:rsidRPr="006D631C">
        <w:rPr>
          <w:rFonts w:asciiTheme="majorBidi" w:hAnsiTheme="majorBidi" w:cstheme="majorBidi"/>
        </w:rPr>
        <w:fldChar w:fldCharType="end"/>
      </w:r>
      <w:r w:rsidRPr="006D631C">
        <w:rPr>
          <w:rFonts w:asciiTheme="majorBidi" w:hAnsiTheme="majorBidi" w:cstheme="majorBidi"/>
        </w:rPr>
        <w:t xml:space="preserve"> Therefore, we evaluated the surface hydrophilicity of the polyLLC membrane through measuring its water contact angle.</w:t>
      </w:r>
      <w:r w:rsidRPr="006D631C">
        <w:rPr>
          <w:rFonts w:asciiTheme="majorBidi" w:hAnsiTheme="majorBidi" w:cstheme="majorBidi"/>
        </w:rPr>
        <w:fldChar w:fldCharType="begin" w:fldLock="1"/>
      </w:r>
      <w:r w:rsidR="00074832" w:rsidRPr="006D631C">
        <w:rPr>
          <w:rFonts w:asciiTheme="majorBidi" w:hAnsiTheme="majorBidi" w:cstheme="majorBidi"/>
        </w:rPr>
        <w:instrText>ADDIN CSL_CITATION {"citationItems":[{"id":"ITEM-1","itemData":{"DOI":"10.1021/cr800208y","ISSN":"0009-2665","author":[{"dropping-particle":"","family":"Rana","given":"D.","non-dropping-particle":"","parse-names":false,"suffix":""},{"dropping-particle":"","family":"Matsuura","given":"T.","non-dropping-particle":"","parse-names":false,"suffix":""}],"container-title":"Chemical Reviews","id":"ITEM-1","issue":"4","issued":{"date-parts":[["2010","4","14"]]},"page":"2448-2471","title":"Surface Modifications for Antifouling Membranes","type":"article-journal","volume":"110"},"uris":["http://www.mendeley.com/documents/?uuid=acd5ea0c-3a41-4b48-954b-3b846782f51b"]}],"mendeley":{"formattedCitation":"&lt;sup&gt;276&lt;/sup&gt;","plainTextFormattedCitation":"276","previouslyFormattedCitation":"&lt;sup&gt;276&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276</w:t>
      </w:r>
      <w:r w:rsidRPr="006D631C">
        <w:rPr>
          <w:rFonts w:asciiTheme="majorBidi" w:hAnsiTheme="majorBidi" w:cstheme="majorBidi"/>
        </w:rPr>
        <w:fldChar w:fldCharType="end"/>
      </w:r>
      <w:r w:rsidRPr="006D631C">
        <w:rPr>
          <w:rFonts w:asciiTheme="majorBidi" w:hAnsiTheme="majorBidi" w:cstheme="majorBidi"/>
        </w:rPr>
        <w:t xml:space="preserve"> The results of the measurement are depicted in Figure 5-8</w:t>
      </w:r>
      <w:r w:rsidR="00EE2C1C" w:rsidRPr="006D631C">
        <w:rPr>
          <w:rFonts w:asciiTheme="majorBidi" w:hAnsiTheme="majorBidi" w:cstheme="majorBidi"/>
        </w:rPr>
        <w:t>a</w:t>
      </w:r>
      <w:r w:rsidRPr="006D631C">
        <w:rPr>
          <w:rFonts w:asciiTheme="majorBidi" w:hAnsiTheme="majorBidi" w:cstheme="majorBidi"/>
        </w:rPr>
        <w:t xml:space="preserve">, showing an average contact angle of 33° for the polyLLC membrane when swollen at </w:t>
      </w:r>
      <w:r w:rsidR="00EE2C1C" w:rsidRPr="006D631C">
        <w:rPr>
          <w:rFonts w:asciiTheme="majorBidi" w:hAnsiTheme="majorBidi" w:cstheme="majorBidi"/>
        </w:rPr>
        <w:t>25 to 45 °C</w:t>
      </w:r>
      <w:r w:rsidRPr="006D631C">
        <w:rPr>
          <w:rFonts w:asciiTheme="majorBidi" w:hAnsiTheme="majorBidi" w:cstheme="majorBidi"/>
        </w:rPr>
        <w:t>. This suggests that the membrane has a highly hydrophilic surface, which can effectively enhance its resistance to fouling.</w:t>
      </w:r>
    </w:p>
    <w:p w14:paraId="201643C6" w14:textId="6A1D75A4" w:rsidR="00E025D8" w:rsidRPr="006D631C" w:rsidRDefault="00254EFF" w:rsidP="00254EFF">
      <w:pPr>
        <w:ind w:firstLine="360"/>
        <w:jc w:val="center"/>
        <w:rPr>
          <w:rFonts w:asciiTheme="majorBidi" w:hAnsiTheme="majorBidi" w:cstheme="majorBidi"/>
        </w:rPr>
      </w:pPr>
      <w:r w:rsidRPr="006D631C">
        <w:rPr>
          <w:rFonts w:asciiTheme="majorBidi" w:hAnsiTheme="majorBidi" w:cstheme="majorBidi"/>
          <w:noProof/>
        </w:rPr>
        <w:drawing>
          <wp:inline distT="0" distB="0" distL="0" distR="0" wp14:anchorId="3381287B" wp14:editId="7CFACB20">
            <wp:extent cx="5904000" cy="2383557"/>
            <wp:effectExtent l="0" t="0" r="190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904000" cy="2383557"/>
                    </a:xfrm>
                    <a:prstGeom prst="rect">
                      <a:avLst/>
                    </a:prstGeom>
                    <a:noFill/>
                  </pic:spPr>
                </pic:pic>
              </a:graphicData>
            </a:graphic>
          </wp:inline>
        </w:drawing>
      </w:r>
    </w:p>
    <w:p w14:paraId="6C358F54" w14:textId="6611814A" w:rsidR="00254EFF" w:rsidRPr="006D631C" w:rsidRDefault="00254EFF" w:rsidP="00254EFF">
      <w:pPr>
        <w:pStyle w:val="Caption"/>
        <w:jc w:val="center"/>
        <w:rPr>
          <w:rFonts w:asciiTheme="majorBidi" w:hAnsiTheme="majorBidi" w:cstheme="majorBidi"/>
          <w:sz w:val="22"/>
          <w:szCs w:val="22"/>
        </w:rPr>
      </w:pPr>
      <w:bookmarkStart w:id="227" w:name="_Toc148175962"/>
      <w:r w:rsidRPr="006D631C">
        <w:rPr>
          <w:rFonts w:asciiTheme="majorBidi" w:hAnsiTheme="majorBidi" w:cstheme="majorBidi"/>
          <w:sz w:val="22"/>
          <w:szCs w:val="22"/>
        </w:rPr>
        <w:lastRenderedPageBreak/>
        <w:t xml:space="preserve">Figure </w:t>
      </w:r>
      <w:r w:rsidR="00B55F32" w:rsidRPr="006D631C">
        <w:rPr>
          <w:rFonts w:asciiTheme="majorBidi" w:hAnsiTheme="majorBidi" w:cstheme="majorBidi"/>
          <w:sz w:val="22"/>
          <w:szCs w:val="22"/>
        </w:rPr>
        <w:fldChar w:fldCharType="begin"/>
      </w:r>
      <w:r w:rsidR="00B55F32" w:rsidRPr="006D631C">
        <w:rPr>
          <w:rFonts w:asciiTheme="majorBidi" w:hAnsiTheme="majorBidi" w:cstheme="majorBidi"/>
          <w:sz w:val="22"/>
          <w:szCs w:val="22"/>
        </w:rPr>
        <w:instrText xml:space="preserve"> STYLEREF 1 \s </w:instrText>
      </w:r>
      <w:r w:rsidR="00B55F32" w:rsidRPr="006D631C">
        <w:rPr>
          <w:rFonts w:asciiTheme="majorBidi" w:hAnsiTheme="majorBidi" w:cstheme="majorBidi"/>
          <w:sz w:val="22"/>
          <w:szCs w:val="22"/>
        </w:rPr>
        <w:fldChar w:fldCharType="separate"/>
      </w:r>
      <w:r w:rsidR="00B55F32" w:rsidRPr="006D631C">
        <w:rPr>
          <w:rFonts w:asciiTheme="majorBidi" w:hAnsiTheme="majorBidi" w:cstheme="majorBidi"/>
          <w:sz w:val="22"/>
          <w:szCs w:val="22"/>
          <w:cs/>
        </w:rPr>
        <w:t>‎</w:t>
      </w:r>
      <w:r w:rsidR="00B55F32" w:rsidRPr="006D631C">
        <w:rPr>
          <w:rFonts w:asciiTheme="majorBidi" w:hAnsiTheme="majorBidi" w:cstheme="majorBidi"/>
          <w:sz w:val="22"/>
          <w:szCs w:val="22"/>
        </w:rPr>
        <w:t>5</w:t>
      </w:r>
      <w:r w:rsidR="00B55F32" w:rsidRPr="006D631C">
        <w:rPr>
          <w:rFonts w:asciiTheme="majorBidi" w:hAnsiTheme="majorBidi" w:cstheme="majorBidi"/>
          <w:sz w:val="22"/>
          <w:szCs w:val="22"/>
        </w:rPr>
        <w:fldChar w:fldCharType="end"/>
      </w:r>
      <w:r w:rsidR="00B55F32" w:rsidRPr="006D631C">
        <w:rPr>
          <w:rFonts w:asciiTheme="majorBidi" w:hAnsiTheme="majorBidi" w:cstheme="majorBidi"/>
          <w:sz w:val="22"/>
          <w:szCs w:val="22"/>
        </w:rPr>
        <w:noBreakHyphen/>
      </w:r>
      <w:r w:rsidR="00B55F32" w:rsidRPr="006D631C">
        <w:rPr>
          <w:rFonts w:asciiTheme="majorBidi" w:hAnsiTheme="majorBidi" w:cstheme="majorBidi"/>
          <w:sz w:val="22"/>
          <w:szCs w:val="22"/>
        </w:rPr>
        <w:fldChar w:fldCharType="begin"/>
      </w:r>
      <w:r w:rsidR="00B55F32" w:rsidRPr="006D631C">
        <w:rPr>
          <w:rFonts w:asciiTheme="majorBidi" w:hAnsiTheme="majorBidi" w:cstheme="majorBidi"/>
          <w:sz w:val="22"/>
          <w:szCs w:val="22"/>
        </w:rPr>
        <w:instrText xml:space="preserve"> SEQ Figure \* ARABIC \s 1 </w:instrText>
      </w:r>
      <w:r w:rsidR="00B55F32" w:rsidRPr="006D631C">
        <w:rPr>
          <w:rFonts w:asciiTheme="majorBidi" w:hAnsiTheme="majorBidi" w:cstheme="majorBidi"/>
          <w:sz w:val="22"/>
          <w:szCs w:val="22"/>
        </w:rPr>
        <w:fldChar w:fldCharType="separate"/>
      </w:r>
      <w:r w:rsidR="00B55F32" w:rsidRPr="006D631C">
        <w:rPr>
          <w:rFonts w:asciiTheme="majorBidi" w:hAnsiTheme="majorBidi" w:cstheme="majorBidi"/>
          <w:sz w:val="22"/>
          <w:szCs w:val="22"/>
        </w:rPr>
        <w:t>8</w:t>
      </w:r>
      <w:r w:rsidR="00B55F32" w:rsidRPr="006D631C">
        <w:rPr>
          <w:rFonts w:asciiTheme="majorBidi" w:hAnsiTheme="majorBidi" w:cstheme="majorBidi"/>
          <w:sz w:val="22"/>
          <w:szCs w:val="22"/>
        </w:rPr>
        <w:fldChar w:fldCharType="end"/>
      </w:r>
      <w:r w:rsidRPr="006D631C">
        <w:rPr>
          <w:rFonts w:asciiTheme="majorBidi" w:hAnsiTheme="majorBidi" w:cstheme="majorBidi"/>
          <w:sz w:val="22"/>
          <w:szCs w:val="22"/>
        </w:rPr>
        <w:t>. (a) The contact angle of the polyLLC membrane when swelled with water at 25 and 45 °C. (b) The evolution of the ratio of membrane flux at a given time (J) to the initial flux with DI water (J</w:t>
      </w:r>
      <w:r w:rsidRPr="006D631C">
        <w:rPr>
          <w:rFonts w:asciiTheme="majorBidi" w:hAnsiTheme="majorBidi" w:cstheme="majorBidi"/>
          <w:sz w:val="22"/>
          <w:szCs w:val="22"/>
          <w:vertAlign w:val="subscript"/>
        </w:rPr>
        <w:t>0</w:t>
      </w:r>
      <w:r w:rsidRPr="006D631C">
        <w:rPr>
          <w:rFonts w:asciiTheme="majorBidi" w:hAnsiTheme="majorBidi" w:cstheme="majorBidi"/>
          <w:sz w:val="22"/>
          <w:szCs w:val="22"/>
        </w:rPr>
        <w:t>) (represented by filled symbols) and rejection rate of various solutes (represented by open symbols) for the polyLLC membrane.</w:t>
      </w:r>
      <w:bookmarkEnd w:id="227"/>
    </w:p>
    <w:p w14:paraId="0737098C" w14:textId="2FD4AB8A" w:rsidR="00254EFF" w:rsidRPr="006D631C" w:rsidRDefault="00074832" w:rsidP="00EA5AA7">
      <w:pPr>
        <w:ind w:firstLine="360"/>
      </w:pPr>
      <w:r w:rsidRPr="006D631C">
        <w:rPr>
          <w:rFonts w:asciiTheme="majorBidi" w:hAnsiTheme="majorBidi" w:cstheme="majorBidi"/>
        </w:rPr>
        <w:t xml:space="preserve">We assessed the fouling resistance using the same procedure outlined in our previous work (see </w:t>
      </w:r>
      <w:r w:rsidR="00EA5AA7" w:rsidRPr="006D631C">
        <w:rPr>
          <w:rFonts w:asciiTheme="majorBidi" w:hAnsiTheme="majorBidi" w:cstheme="majorBidi"/>
        </w:rPr>
        <w:t xml:space="preserve">Chapter </w:t>
      </w:r>
      <w:r w:rsidRPr="006D631C">
        <w:rPr>
          <w:rFonts w:asciiTheme="majorBidi" w:hAnsiTheme="majorBidi" w:cstheme="majorBidi"/>
        </w:rPr>
        <w:t>4).</w:t>
      </w:r>
      <w:r w:rsidRPr="006D631C">
        <w:rPr>
          <w:rFonts w:asciiTheme="majorBidi" w:hAnsiTheme="majorBidi" w:cstheme="majorBidi"/>
        </w:rPr>
        <w:fldChar w:fldCharType="begin" w:fldLock="1"/>
      </w:r>
      <w:r w:rsidR="00FD3EE2"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289</w:t>
      </w:r>
      <w:r w:rsidRPr="006D631C">
        <w:rPr>
          <w:rFonts w:asciiTheme="majorBidi" w:hAnsiTheme="majorBidi" w:cstheme="majorBidi"/>
        </w:rPr>
        <w:fldChar w:fldCharType="end"/>
      </w:r>
      <w:r w:rsidR="0060346B" w:rsidRPr="006D631C">
        <w:rPr>
          <w:rFonts w:asciiTheme="majorBidi" w:hAnsiTheme="majorBidi" w:cstheme="majorBidi"/>
        </w:rPr>
        <w:t xml:space="preserve"> In brief, we passed</w:t>
      </w:r>
      <w:r w:rsidRPr="006D631C">
        <w:rPr>
          <w:rFonts w:asciiTheme="majorBidi" w:hAnsiTheme="majorBidi" w:cstheme="majorBidi"/>
        </w:rPr>
        <w:t xml:space="preserve"> solutions of three different species through the membrane. The filtration setup was kept at 25°C for a period of 60 h while the flux was measured at 12-h intervals. We also monitored the rejection rate with time to ensure that the membrane was performing consistently. As demonstrated in </w:t>
      </w:r>
      <w:r w:rsidR="0060346B" w:rsidRPr="006D631C">
        <w:rPr>
          <w:rFonts w:asciiTheme="majorBidi" w:hAnsiTheme="majorBidi" w:cstheme="majorBidi"/>
        </w:rPr>
        <w:t>Figure</w:t>
      </w:r>
      <w:r w:rsidRPr="006D631C">
        <w:rPr>
          <w:rFonts w:asciiTheme="majorBidi" w:hAnsiTheme="majorBidi" w:cstheme="majorBidi"/>
        </w:rPr>
        <w:t xml:space="preserve"> </w:t>
      </w:r>
      <w:r w:rsidR="0060346B" w:rsidRPr="006D631C">
        <w:rPr>
          <w:rFonts w:asciiTheme="majorBidi" w:hAnsiTheme="majorBidi" w:cstheme="majorBidi"/>
        </w:rPr>
        <w:t>5-</w:t>
      </w:r>
      <w:r w:rsidRPr="006D631C">
        <w:rPr>
          <w:rFonts w:asciiTheme="majorBidi" w:hAnsiTheme="majorBidi" w:cstheme="majorBidi"/>
        </w:rPr>
        <w:t>8</w:t>
      </w:r>
      <w:r w:rsidR="00BA5581" w:rsidRPr="006D631C">
        <w:rPr>
          <w:rFonts w:asciiTheme="majorBidi" w:hAnsiTheme="majorBidi" w:cstheme="majorBidi"/>
        </w:rPr>
        <w:t>b</w:t>
      </w:r>
      <w:r w:rsidRPr="006D631C">
        <w:rPr>
          <w:rFonts w:asciiTheme="majorBidi" w:hAnsiTheme="majorBidi" w:cstheme="majorBidi"/>
        </w:rPr>
        <w:t xml:space="preserve">, the membrane flux decreased by less than 4% after 60 h, indicating exceptional resistance to fouling, which can be attributed to the highly hydrophilic surface of the membrane. Comparable findings were reported for polyLLC membranes without </w:t>
      </w:r>
      <w:proofErr w:type="spellStart"/>
      <w:r w:rsidRPr="006D631C">
        <w:rPr>
          <w:rFonts w:asciiTheme="majorBidi" w:hAnsiTheme="majorBidi" w:cstheme="majorBidi"/>
        </w:rPr>
        <w:t>AAc</w:t>
      </w:r>
      <w:proofErr w:type="spellEnd"/>
      <w:r w:rsidR="009838AC" w:rsidRPr="006D631C">
        <w:rPr>
          <w:rFonts w:asciiTheme="majorBidi" w:hAnsiTheme="majorBidi" w:cstheme="majorBidi"/>
        </w:rPr>
        <w:t xml:space="preserve"> </w:t>
      </w:r>
      <w:r w:rsidR="00BF1E23" w:rsidRPr="006D631C">
        <w:rPr>
          <w:rFonts w:asciiTheme="majorBidi" w:hAnsiTheme="majorBidi" w:cstheme="majorBidi"/>
        </w:rPr>
        <w:t xml:space="preserve">in our previous work </w:t>
      </w:r>
      <w:r w:rsidR="009838AC" w:rsidRPr="006D631C">
        <w:rPr>
          <w:rFonts w:asciiTheme="majorBidi" w:hAnsiTheme="majorBidi" w:cstheme="majorBidi"/>
        </w:rPr>
        <w:t xml:space="preserve">(see </w:t>
      </w:r>
      <w:r w:rsidR="00EA5AA7" w:rsidRPr="006D631C">
        <w:rPr>
          <w:rFonts w:asciiTheme="majorBidi" w:hAnsiTheme="majorBidi" w:cstheme="majorBidi"/>
        </w:rPr>
        <w:t xml:space="preserve">Chapter </w:t>
      </w:r>
      <w:r w:rsidR="009838AC" w:rsidRPr="006D631C">
        <w:rPr>
          <w:rFonts w:asciiTheme="majorBidi" w:hAnsiTheme="majorBidi" w:cstheme="majorBidi"/>
        </w:rPr>
        <w:t>4)</w:t>
      </w:r>
      <w:r w:rsidRPr="006D631C">
        <w:rPr>
          <w:rFonts w:asciiTheme="majorBidi" w:hAnsiTheme="majorBidi" w:cstheme="majorBidi"/>
        </w:rPr>
        <w:t>.</w:t>
      </w:r>
      <w:r w:rsidRPr="006D631C">
        <w:rPr>
          <w:rFonts w:asciiTheme="majorBidi" w:hAnsiTheme="majorBidi" w:cstheme="majorBidi"/>
        </w:rPr>
        <w:fldChar w:fldCharType="begin" w:fldLock="1"/>
      </w:r>
      <w:r w:rsidR="00FD3EE2" w:rsidRPr="006D631C">
        <w:rPr>
          <w:rFonts w:asciiTheme="majorBidi" w:hAnsiTheme="majorBidi" w:cstheme="majorBidi"/>
        </w:rPr>
        <w:instrText>ADDIN CSL_CITATION {"citationItems":[{"id":"ITEM-1","itemData":{"DOI":"10.1016/j.memsci.2023.121861","ISSN":"03767388","author":[{"dropping-particle":"","family":"Saadat","given":"Younes","non-dropping-particle":"","parse-names":false,"suffix":""},{"dropping-particle":"","family":"Tabatabaei","given":"Seyed Mostafa","non-dropping-particle":"","parse-names":false,"suffix":""},{"dropping-particle":"","family":"Kim","given":"Kyungtae","non-dropping-particle":"","parse-names":false,"suffix":""},{"dropping-particle":"","family":"Foudazi","given":"Reza","non-dropping-particle":"","parse-names":false,"suffix":""}],"container-title":"Journal of Membrane Science","id":"ITEM-1","issued":{"date-parts":[["2023","10"]]},"page":"121861","title":"Thermoresponsive antifouling ultrafiltration membranes from mesophase templating","type":"article-journal","volume":"684"},"uris":["http://www.mendeley.com/documents/?uuid=87bbcaa1-2ae4-4844-96e9-e1ea8cc616de"]}],"mendeley":{"formattedCitation":"&lt;sup&gt;289&lt;/sup&gt;","plainTextFormattedCitation":"289","previouslyFormattedCitation":"&lt;sup&gt;289&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289</w:t>
      </w:r>
      <w:r w:rsidRPr="006D631C">
        <w:rPr>
          <w:rFonts w:asciiTheme="majorBidi" w:hAnsiTheme="majorBidi" w:cstheme="majorBidi"/>
        </w:rPr>
        <w:fldChar w:fldCharType="end"/>
      </w:r>
      <w:r w:rsidRPr="006D631C">
        <w:rPr>
          <w:rFonts w:asciiTheme="majorBidi" w:hAnsiTheme="majorBidi" w:cstheme="majorBidi"/>
        </w:rPr>
        <w:t xml:space="preserve"> Additionally, the constant rejection rate confirms the reliable and consistent performance of the polyLLC membrane. It is important to note that the membrane is expected to exhibit similar fouling resistance at 45 °C due to its comparable surface hydrophilicity to that observed at 25 °C (with the same contact angle of 33°).</w:t>
      </w:r>
    </w:p>
    <w:p w14:paraId="613A1130" w14:textId="1FBC7055" w:rsidR="006862F4" w:rsidRPr="006D631C" w:rsidRDefault="006862F4" w:rsidP="006862F4">
      <w:pPr>
        <w:pStyle w:val="Heading4"/>
      </w:pPr>
      <w:bookmarkStart w:id="228" w:name="_Toc148175886"/>
      <w:r w:rsidRPr="006D631C">
        <w:t>5.3.2.4 Mechanisms of thermal and pH response</w:t>
      </w:r>
      <w:bookmarkEnd w:id="228"/>
    </w:p>
    <w:p w14:paraId="2DB4EF1C" w14:textId="01DAAA41" w:rsidR="00E025D8" w:rsidRPr="006D631C" w:rsidRDefault="009412B1" w:rsidP="00466B69">
      <w:pPr>
        <w:ind w:firstLine="360"/>
      </w:pPr>
      <w:r w:rsidRPr="006D631C">
        <w:rPr>
          <w:rFonts w:asciiTheme="majorBidi" w:hAnsiTheme="majorBidi" w:cstheme="majorBidi"/>
        </w:rPr>
        <w:t xml:space="preserve">Figure 5-9 </w:t>
      </w:r>
      <w:r w:rsidR="00466B69" w:rsidRPr="006D631C">
        <w:rPr>
          <w:rFonts w:asciiTheme="majorBidi" w:hAnsiTheme="majorBidi" w:cstheme="majorBidi"/>
        </w:rPr>
        <w:t>schematically explains the thermo- and pH-responsiveness mechanisms of the polyLLC membrane. As can be seen, by increasing temperature, the chemically bonded polymer network de-swells, increasing the intermicellar distance, resulting in larger pore sizes. De-swelling is triggered by the LCST of the Pluronic, which makes the PPO block hydrophobic. It is worth noting that such changes in the polymer structure are reversible upon rehydration through cooling the system down to 25 °C.</w:t>
      </w:r>
    </w:p>
    <w:p w14:paraId="3DED6E8E" w14:textId="76B1297B" w:rsidR="00E025D8" w:rsidRPr="006D631C" w:rsidRDefault="00A508E1" w:rsidP="00E152EF">
      <w:pPr>
        <w:ind w:firstLine="360"/>
        <w:rPr>
          <w:rFonts w:asciiTheme="majorBidi" w:hAnsiTheme="majorBidi" w:cstheme="majorBidi"/>
        </w:rPr>
      </w:pPr>
      <w:r w:rsidRPr="006D631C">
        <w:rPr>
          <w:rFonts w:asciiTheme="majorBidi" w:hAnsiTheme="majorBidi" w:cstheme="majorBidi"/>
        </w:rPr>
        <w:lastRenderedPageBreak/>
        <w:t xml:space="preserve">The polyLLC membrane exhibits pH-responsiveness when the pH of the feed solution is lowered to 4, which is close to the isoelectric point of copolymerized </w:t>
      </w:r>
      <w:proofErr w:type="spellStart"/>
      <w:r w:rsidRPr="006D631C">
        <w:rPr>
          <w:rFonts w:asciiTheme="majorBidi" w:hAnsiTheme="majorBidi" w:cstheme="majorBidi"/>
        </w:rPr>
        <w:t>AAc</w:t>
      </w:r>
      <w:proofErr w:type="spellEnd"/>
      <w:r w:rsidRPr="006D631C">
        <w:rPr>
          <w:rFonts w:asciiTheme="majorBidi" w:hAnsiTheme="majorBidi" w:cstheme="majorBidi"/>
        </w:rPr>
        <w:t>. At this pH, there is a weak electrostatic repulsion between the membrane and the ionic solute due to the fact that COOH group on polymer chains become undissociated. Thus, as the membrane separates ionic species primarily based on electrostatic repulsion, the rejection rate decreases considerably.</w:t>
      </w:r>
    </w:p>
    <w:p w14:paraId="059153AA" w14:textId="0439A345" w:rsidR="00001069" w:rsidRPr="006D631C" w:rsidRDefault="00001069" w:rsidP="00861405">
      <w:pPr>
        <w:pStyle w:val="TOC1"/>
      </w:pPr>
      <w:r w:rsidRPr="006D631C">
        <w:drawing>
          <wp:inline distT="0" distB="0" distL="0" distR="0" wp14:anchorId="008B67A7" wp14:editId="07FD920E">
            <wp:extent cx="5940000" cy="5434074"/>
            <wp:effectExtent l="0" t="0" r="381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940000" cy="5434074"/>
                    </a:xfrm>
                    <a:prstGeom prst="rect">
                      <a:avLst/>
                    </a:prstGeom>
                    <a:noFill/>
                  </pic:spPr>
                </pic:pic>
              </a:graphicData>
            </a:graphic>
          </wp:inline>
        </w:drawing>
      </w:r>
    </w:p>
    <w:p w14:paraId="7B0C4CDE" w14:textId="2D4C79F4" w:rsidR="00B55F32" w:rsidRPr="006D631C" w:rsidRDefault="00B55F32" w:rsidP="00B55F32">
      <w:pPr>
        <w:pStyle w:val="Caption"/>
        <w:jc w:val="center"/>
        <w:rPr>
          <w:rFonts w:asciiTheme="majorBidi" w:hAnsiTheme="majorBidi" w:cstheme="majorBidi"/>
          <w:sz w:val="22"/>
          <w:szCs w:val="22"/>
        </w:rPr>
      </w:pPr>
      <w:bookmarkStart w:id="229" w:name="_Toc148175963"/>
      <w:r w:rsidRPr="006D631C">
        <w:rPr>
          <w:sz w:val="22"/>
          <w:szCs w:val="22"/>
        </w:rPr>
        <w:t xml:space="preserve">Figure </w:t>
      </w:r>
      <w:r w:rsidRPr="006D631C">
        <w:rPr>
          <w:sz w:val="22"/>
          <w:szCs w:val="22"/>
        </w:rPr>
        <w:fldChar w:fldCharType="begin"/>
      </w:r>
      <w:r w:rsidRPr="006D631C">
        <w:rPr>
          <w:sz w:val="22"/>
          <w:szCs w:val="22"/>
        </w:rPr>
        <w:instrText xml:space="preserve"> STYLEREF 1 \s </w:instrText>
      </w:r>
      <w:r w:rsidRPr="006D631C">
        <w:rPr>
          <w:sz w:val="22"/>
          <w:szCs w:val="22"/>
        </w:rPr>
        <w:fldChar w:fldCharType="separate"/>
      </w:r>
      <w:r w:rsidRPr="006D631C">
        <w:rPr>
          <w:sz w:val="22"/>
          <w:szCs w:val="22"/>
          <w:cs/>
        </w:rPr>
        <w:t>‎</w:t>
      </w:r>
      <w:r w:rsidRPr="006D631C">
        <w:rPr>
          <w:sz w:val="22"/>
          <w:szCs w:val="22"/>
        </w:rPr>
        <w:t>5</w:t>
      </w:r>
      <w:r w:rsidRPr="006D631C">
        <w:rPr>
          <w:sz w:val="22"/>
          <w:szCs w:val="22"/>
        </w:rPr>
        <w:fldChar w:fldCharType="end"/>
      </w:r>
      <w:r w:rsidRPr="006D631C">
        <w:rPr>
          <w:sz w:val="22"/>
          <w:szCs w:val="22"/>
        </w:rPr>
        <w:noBreakHyphen/>
      </w:r>
      <w:r w:rsidRPr="006D631C">
        <w:rPr>
          <w:sz w:val="22"/>
          <w:szCs w:val="22"/>
        </w:rPr>
        <w:fldChar w:fldCharType="begin"/>
      </w:r>
      <w:r w:rsidRPr="006D631C">
        <w:rPr>
          <w:sz w:val="22"/>
          <w:szCs w:val="22"/>
        </w:rPr>
        <w:instrText xml:space="preserve"> SEQ Figure \* ARABIC \s 1 </w:instrText>
      </w:r>
      <w:r w:rsidRPr="006D631C">
        <w:rPr>
          <w:sz w:val="22"/>
          <w:szCs w:val="22"/>
        </w:rPr>
        <w:fldChar w:fldCharType="separate"/>
      </w:r>
      <w:r w:rsidRPr="006D631C">
        <w:rPr>
          <w:sz w:val="22"/>
          <w:szCs w:val="22"/>
        </w:rPr>
        <w:t>9</w:t>
      </w:r>
      <w:r w:rsidRPr="006D631C">
        <w:rPr>
          <w:sz w:val="22"/>
          <w:szCs w:val="22"/>
        </w:rPr>
        <w:fldChar w:fldCharType="end"/>
      </w:r>
      <w:r w:rsidRPr="006D631C">
        <w:rPr>
          <w:rFonts w:asciiTheme="majorBidi" w:hAnsiTheme="majorBidi" w:cstheme="majorBidi"/>
          <w:sz w:val="22"/>
          <w:szCs w:val="22"/>
        </w:rPr>
        <w:t>. Schematic illustration of thermos- and pH-responsiveness mechanism of the polyLLC membrane.</w:t>
      </w:r>
      <w:bookmarkEnd w:id="229"/>
    </w:p>
    <w:p w14:paraId="2421E321" w14:textId="63EA0889" w:rsidR="00862488" w:rsidRPr="006D631C" w:rsidRDefault="00862488" w:rsidP="00862488">
      <w:pPr>
        <w:pStyle w:val="Heading2"/>
      </w:pPr>
      <w:bookmarkStart w:id="230" w:name="_Toc148175887"/>
      <w:r w:rsidRPr="006D631C">
        <w:lastRenderedPageBreak/>
        <w:t>5.4 Conclusion</w:t>
      </w:r>
      <w:bookmarkEnd w:id="230"/>
    </w:p>
    <w:p w14:paraId="354D8125" w14:textId="05BC0BB6" w:rsidR="00B55F32" w:rsidRPr="006D631C" w:rsidRDefault="003C17E1" w:rsidP="001B38D1">
      <w:pPr>
        <w:ind w:firstLine="360"/>
      </w:pPr>
      <w:r w:rsidRPr="006D631C">
        <w:rPr>
          <w:rFonts w:asciiTheme="majorBidi" w:hAnsiTheme="majorBidi" w:cstheme="majorBidi"/>
        </w:rPr>
        <w:t xml:space="preserve">In this </w:t>
      </w:r>
      <w:r w:rsidR="00EA5AA7" w:rsidRPr="006D631C">
        <w:rPr>
          <w:rFonts w:asciiTheme="majorBidi" w:hAnsiTheme="majorBidi" w:cstheme="majorBidi"/>
        </w:rPr>
        <w:t>chapter</w:t>
      </w:r>
      <w:r w:rsidRPr="006D631C">
        <w:rPr>
          <w:rFonts w:asciiTheme="majorBidi" w:hAnsiTheme="majorBidi" w:cstheme="majorBidi"/>
        </w:rPr>
        <w:t xml:space="preserve">, </w:t>
      </w:r>
      <w:r w:rsidR="00861352" w:rsidRPr="006D631C">
        <w:rPr>
          <w:rFonts w:asciiTheme="majorBidi" w:hAnsiTheme="majorBidi" w:cstheme="majorBidi"/>
        </w:rPr>
        <w:t>we demonstrate the creation of a thermo- and pH-responsive NF membrane by using H</w:t>
      </w:r>
      <w:r w:rsidR="00861352" w:rsidRPr="006D631C">
        <w:rPr>
          <w:rFonts w:asciiTheme="majorBidi" w:hAnsiTheme="majorBidi" w:cstheme="majorBidi"/>
          <w:vertAlign w:val="subscript"/>
        </w:rPr>
        <w:t>1</w:t>
      </w:r>
      <w:r w:rsidR="00861352" w:rsidRPr="006D631C">
        <w:rPr>
          <w:rFonts w:asciiTheme="majorBidi" w:hAnsiTheme="majorBidi" w:cstheme="majorBidi"/>
        </w:rPr>
        <w:t xml:space="preserve"> LLC as the template. Experimental studies show that this membrane has the capability to modify the separation characteristics in response to changes in temperature and pH. The formulation of the membrane includes P84DA, which acts as both the monomer and structure-directing </w:t>
      </w:r>
      <w:proofErr w:type="spellStart"/>
      <w:r w:rsidR="00861352" w:rsidRPr="006D631C">
        <w:rPr>
          <w:rFonts w:asciiTheme="majorBidi" w:hAnsiTheme="majorBidi" w:cstheme="majorBidi"/>
        </w:rPr>
        <w:t>amphiphile</w:t>
      </w:r>
      <w:proofErr w:type="spellEnd"/>
      <w:r w:rsidR="00861352" w:rsidRPr="006D631C">
        <w:rPr>
          <w:rFonts w:asciiTheme="majorBidi" w:hAnsiTheme="majorBidi" w:cstheme="majorBidi"/>
        </w:rPr>
        <w:t xml:space="preserve"> and is also responsible for changes in membrane pore size with temperature. Additionally, </w:t>
      </w:r>
      <w:proofErr w:type="spellStart"/>
      <w:r w:rsidR="00861352" w:rsidRPr="006D631C">
        <w:rPr>
          <w:rFonts w:asciiTheme="majorBidi" w:hAnsiTheme="majorBidi" w:cstheme="majorBidi"/>
        </w:rPr>
        <w:t>AAc</w:t>
      </w:r>
      <w:proofErr w:type="spellEnd"/>
      <w:r w:rsidR="00861352" w:rsidRPr="006D631C">
        <w:rPr>
          <w:rFonts w:asciiTheme="majorBidi" w:hAnsiTheme="majorBidi" w:cstheme="majorBidi"/>
        </w:rPr>
        <w:t xml:space="preserve"> was copolymerized with P84DA in the template, thus, facilitating ion separation through </w:t>
      </w:r>
      <w:proofErr w:type="spellStart"/>
      <w:r w:rsidR="00861352" w:rsidRPr="006D631C">
        <w:rPr>
          <w:rFonts w:asciiTheme="majorBidi" w:hAnsiTheme="majorBidi" w:cstheme="majorBidi"/>
        </w:rPr>
        <w:t>Donnan</w:t>
      </w:r>
      <w:proofErr w:type="spellEnd"/>
      <w:r w:rsidR="00861352" w:rsidRPr="006D631C">
        <w:rPr>
          <w:rFonts w:asciiTheme="majorBidi" w:hAnsiTheme="majorBidi" w:cstheme="majorBidi"/>
        </w:rPr>
        <w:t xml:space="preserve"> exclusion and imparting pH-responsive behavior.</w:t>
      </w:r>
      <w:r w:rsidR="00861352" w:rsidRPr="006D631C">
        <w:t xml:space="preserve"> </w:t>
      </w:r>
      <w:r w:rsidR="00861352" w:rsidRPr="006D631C">
        <w:rPr>
          <w:rFonts w:asciiTheme="majorBidi" w:hAnsiTheme="majorBidi" w:cstheme="majorBidi"/>
        </w:rPr>
        <w:t>Our experiments indicate that the thickness-normalized flux and membrane MWCO can be increased from 16 to 31 liters m</w:t>
      </w:r>
      <w:r w:rsidR="00861352" w:rsidRPr="006D631C">
        <w:rPr>
          <w:rFonts w:asciiTheme="majorBidi" w:hAnsiTheme="majorBidi" w:cstheme="majorBidi"/>
          <w:vertAlign w:val="superscript"/>
        </w:rPr>
        <w:t>−2</w:t>
      </w:r>
      <w:r w:rsidR="00861352" w:rsidRPr="006D631C">
        <w:rPr>
          <w:rFonts w:asciiTheme="majorBidi" w:hAnsiTheme="majorBidi" w:cstheme="majorBidi"/>
        </w:rPr>
        <w:t xml:space="preserve"> hour</w:t>
      </w:r>
      <w:r w:rsidR="00861352" w:rsidRPr="006D631C">
        <w:rPr>
          <w:rFonts w:asciiTheme="majorBidi" w:hAnsiTheme="majorBidi" w:cstheme="majorBidi"/>
          <w:vertAlign w:val="superscript"/>
        </w:rPr>
        <w:t>−1</w:t>
      </w:r>
      <w:r w:rsidR="00861352" w:rsidRPr="006D631C">
        <w:rPr>
          <w:rFonts w:asciiTheme="majorBidi" w:hAnsiTheme="majorBidi" w:cstheme="majorBidi"/>
        </w:rPr>
        <w:t xml:space="preserve"> µm and from 1</w:t>
      </w:r>
      <w:r w:rsidR="00D54AF6" w:rsidRPr="006D631C">
        <w:rPr>
          <w:rFonts w:asciiTheme="majorBidi" w:hAnsiTheme="majorBidi" w:cstheme="majorBidi"/>
        </w:rPr>
        <w:t>,</w:t>
      </w:r>
      <w:r w:rsidR="00861352" w:rsidRPr="006D631C">
        <w:rPr>
          <w:rFonts w:asciiTheme="majorBidi" w:hAnsiTheme="majorBidi" w:cstheme="majorBidi"/>
        </w:rPr>
        <w:t>600 to 2</w:t>
      </w:r>
      <w:r w:rsidR="00D54AF6" w:rsidRPr="006D631C">
        <w:rPr>
          <w:rFonts w:asciiTheme="majorBidi" w:hAnsiTheme="majorBidi" w:cstheme="majorBidi"/>
        </w:rPr>
        <w:t>,</w:t>
      </w:r>
      <w:r w:rsidR="00861352" w:rsidRPr="006D631C">
        <w:rPr>
          <w:rFonts w:asciiTheme="majorBidi" w:hAnsiTheme="majorBidi" w:cstheme="majorBidi"/>
        </w:rPr>
        <w:t xml:space="preserve">400 Da by raising the temperature from 25 to 45 °C, respectively. Furthermore, the developed membrane exhibits excellent performance in removing dissolved </w:t>
      </w:r>
      <w:r w:rsidR="001B38D1" w:rsidRPr="006D631C">
        <w:rPr>
          <w:rFonts w:asciiTheme="majorBidi" w:hAnsiTheme="majorBidi" w:cstheme="majorBidi"/>
        </w:rPr>
        <w:t xml:space="preserve">salts containing trivalent and divalent anion </w:t>
      </w:r>
      <w:r w:rsidR="00861352" w:rsidRPr="006D631C">
        <w:rPr>
          <w:rFonts w:asciiTheme="majorBidi" w:hAnsiTheme="majorBidi" w:cstheme="majorBidi"/>
        </w:rPr>
        <w:t>at neutral and alkaline pH levels, and its ion rejection capability can be turned off by lowering the feed pH to 4. We also observe remarkable sulfate over chloride ion selectivity, which is ideal for salt fractionation applications. Additionally, the membrane demonstrates exceptional resistance to fouling by various solutes due to its highly hydrophilic surface.</w:t>
      </w:r>
    </w:p>
    <w:p w14:paraId="3606144B" w14:textId="0AFA0F32" w:rsidR="00E025D8" w:rsidRPr="006D631C" w:rsidRDefault="00E025D8" w:rsidP="00E025D8"/>
    <w:p w14:paraId="3625A1DE" w14:textId="477F6BD6" w:rsidR="00E025D8" w:rsidRPr="006D631C" w:rsidRDefault="00E025D8" w:rsidP="00861405">
      <w:pPr>
        <w:pStyle w:val="TOC1"/>
      </w:pPr>
    </w:p>
    <w:p w14:paraId="7E58D19F" w14:textId="4CBA7681" w:rsidR="00E025D8" w:rsidRPr="006D631C" w:rsidRDefault="00E025D8" w:rsidP="00E025D8"/>
    <w:p w14:paraId="286114F2" w14:textId="73A50DA2" w:rsidR="00E025D8" w:rsidRPr="006D631C" w:rsidRDefault="00E025D8" w:rsidP="00861405">
      <w:pPr>
        <w:pStyle w:val="TOC1"/>
      </w:pPr>
    </w:p>
    <w:p w14:paraId="1E090467" w14:textId="4582D632" w:rsidR="00E025D8" w:rsidRPr="006D631C" w:rsidRDefault="00E025D8" w:rsidP="00E025D8"/>
    <w:p w14:paraId="476019C0" w14:textId="4DA26EEB" w:rsidR="00E025D8" w:rsidRPr="006D631C" w:rsidRDefault="00E025D8" w:rsidP="00861405">
      <w:pPr>
        <w:pStyle w:val="TOC1"/>
      </w:pPr>
    </w:p>
    <w:p w14:paraId="6B85FBAB" w14:textId="0BEA1D1E" w:rsidR="00E025D8" w:rsidRPr="006D631C" w:rsidRDefault="00E025D8" w:rsidP="00E025D8"/>
    <w:p w14:paraId="2F6BBF46" w14:textId="291E5916" w:rsidR="00E025D8" w:rsidRPr="006D631C" w:rsidRDefault="00E025D8" w:rsidP="00861405">
      <w:pPr>
        <w:pStyle w:val="TOC1"/>
      </w:pPr>
    </w:p>
    <w:p w14:paraId="0C4C772A" w14:textId="652A1C66" w:rsidR="00E025D8" w:rsidRPr="006D631C" w:rsidRDefault="00E025D8" w:rsidP="00E025D8"/>
    <w:p w14:paraId="1B905078" w14:textId="44D28549" w:rsidR="00E025D8" w:rsidRPr="006D631C" w:rsidRDefault="00E025D8" w:rsidP="00861405">
      <w:pPr>
        <w:pStyle w:val="TOC1"/>
      </w:pPr>
    </w:p>
    <w:p w14:paraId="5B500926" w14:textId="43F00E1B" w:rsidR="00E025D8" w:rsidRPr="006D631C" w:rsidRDefault="00E025D8" w:rsidP="00E025D8"/>
    <w:p w14:paraId="6B5A0AA2" w14:textId="05973CA6" w:rsidR="00E025D8" w:rsidRPr="006D631C" w:rsidRDefault="00E025D8" w:rsidP="00861405">
      <w:pPr>
        <w:pStyle w:val="TOC1"/>
      </w:pPr>
    </w:p>
    <w:p w14:paraId="62280FB8" w14:textId="6130BA14" w:rsidR="00B35F74" w:rsidRPr="006D631C" w:rsidRDefault="00C9745A" w:rsidP="00C9745A">
      <w:pPr>
        <w:pStyle w:val="Heading1"/>
        <w:jc w:val="center"/>
      </w:pPr>
      <w:bookmarkStart w:id="231" w:name="_Toc148175888"/>
      <w:r w:rsidRPr="006D631C">
        <w:t>CONCLUSIONS AND FUTURE WORKS</w:t>
      </w:r>
      <w:bookmarkEnd w:id="231"/>
    </w:p>
    <w:p w14:paraId="1292CF46" w14:textId="77777777" w:rsidR="00D720CD" w:rsidRPr="006D631C" w:rsidRDefault="00D720CD" w:rsidP="00D720CD"/>
    <w:p w14:paraId="6803E67E" w14:textId="7D88FA66" w:rsidR="00F61FDC" w:rsidRPr="006D631C" w:rsidRDefault="00F61FDC" w:rsidP="00FF3A28">
      <w:pPr>
        <w:pStyle w:val="Heading2"/>
      </w:pPr>
      <w:bookmarkStart w:id="232" w:name="_Toc148175889"/>
      <w:r w:rsidRPr="006D631C">
        <w:t xml:space="preserve">6.1 </w:t>
      </w:r>
      <w:r w:rsidR="00FF3A28" w:rsidRPr="006D631C">
        <w:t>Summary</w:t>
      </w:r>
      <w:bookmarkEnd w:id="232"/>
    </w:p>
    <w:p w14:paraId="37D1718E" w14:textId="67BB1307" w:rsidR="00E025D8" w:rsidRPr="006D631C" w:rsidRDefault="00221D73" w:rsidP="00EE12D3">
      <w:pPr>
        <w:ind w:firstLine="360"/>
      </w:pPr>
      <w:r w:rsidRPr="006D631C">
        <w:t xml:space="preserve">LLCs are mesoscopic structures that exhibit long-range periodic order ranging from 2 to 50 nm, formed via self-assembly of </w:t>
      </w:r>
      <w:proofErr w:type="spellStart"/>
      <w:r w:rsidRPr="006D631C">
        <w:t>amphiphiles</w:t>
      </w:r>
      <w:proofErr w:type="spellEnd"/>
      <w:r w:rsidRPr="006D631C">
        <w:t xml:space="preserve"> in selective solvents. </w:t>
      </w:r>
      <w:r w:rsidR="00CB1ABE" w:rsidRPr="006D631C">
        <w:t>LLC templating</w:t>
      </w:r>
      <w:r w:rsidR="004809C6" w:rsidRPr="006D631C">
        <w:t xml:space="preserve"> (polymerization in LLC templates)</w:t>
      </w:r>
      <w:r w:rsidR="00CB1ABE" w:rsidRPr="006D631C">
        <w:t xml:space="preserve"> is a highly effective method for creating nanostructured polymers that can be utilized in various technical domains, specifically molecular separation. LLCs offer a diverse range of nanostructures, but our focus is on the lamellar and normal hexagonal phases because they provide continuous transport paths in two and three dimensions, respectively</w:t>
      </w:r>
      <w:r w:rsidR="00F103AF" w:rsidRPr="006D631C">
        <w:t xml:space="preserve">. Multi-directional continuous transport paths in nanometer range are </w:t>
      </w:r>
      <w:r w:rsidR="00317768" w:rsidRPr="006D631C">
        <w:t>especially advanta</w:t>
      </w:r>
      <w:r w:rsidR="00EE12D3" w:rsidRPr="006D631C">
        <w:t>geous for membrane applications</w:t>
      </w:r>
      <w:r w:rsidR="00CB1ABE" w:rsidRPr="006D631C">
        <w:t xml:space="preserve">. </w:t>
      </w:r>
      <w:r w:rsidR="00EE12D3" w:rsidRPr="006D631C">
        <w:t xml:space="preserve">The normal hexagonal phase is particularly desirable because it eliminates the need for structural alignment. </w:t>
      </w:r>
      <w:r w:rsidR="00D21411" w:rsidRPr="006D631C">
        <w:t xml:space="preserve">This dissertation provides a comprehensive study on transcriptive and </w:t>
      </w:r>
      <w:r w:rsidR="00D54AF6" w:rsidRPr="006D631C">
        <w:t>synergistic</w:t>
      </w:r>
      <w:r w:rsidR="00D21411" w:rsidRPr="006D631C">
        <w:t xml:space="preserve"> LLC templating approaches to synthesize stimuli-responsive membranes</w:t>
      </w:r>
      <w:r w:rsidR="00F103AF" w:rsidRPr="006D631C">
        <w:t>,</w:t>
      </w:r>
      <w:r w:rsidR="002B4608" w:rsidRPr="006D631C">
        <w:t xml:space="preserve"> which can change their separation performance in response to an external stimulus (e.g., temperature and pH)</w:t>
      </w:r>
      <w:r w:rsidR="00D21411" w:rsidRPr="006D631C">
        <w:t>.</w:t>
      </w:r>
      <w:r w:rsidR="002B4608" w:rsidRPr="006D631C">
        <w:t xml:space="preserve"> </w:t>
      </w:r>
      <w:r w:rsidR="00D21411" w:rsidRPr="006D631C">
        <w:t xml:space="preserve"> </w:t>
      </w:r>
    </w:p>
    <w:p w14:paraId="08B9EA4F" w14:textId="0C116361" w:rsidR="00E025D8" w:rsidRPr="006D631C" w:rsidRDefault="001E2A7F" w:rsidP="00234FE5">
      <w:pPr>
        <w:ind w:firstLine="360"/>
      </w:pPr>
      <w:r w:rsidRPr="006D631C">
        <w:t xml:space="preserve">When using transcriptive LLC templating, polymerization kinetics </w:t>
      </w:r>
      <w:r w:rsidR="004E31B9" w:rsidRPr="006D631C">
        <w:t>has a</w:t>
      </w:r>
      <w:r w:rsidRPr="006D631C">
        <w:t xml:space="preserve"> critical </w:t>
      </w:r>
      <w:r w:rsidR="004E31B9" w:rsidRPr="006D631C">
        <w:t xml:space="preserve">role </w:t>
      </w:r>
      <w:r w:rsidRPr="006D631C">
        <w:t xml:space="preserve">for maintaining the structure </w:t>
      </w:r>
      <w:r w:rsidR="00B1760C" w:rsidRPr="006D631C">
        <w:t xml:space="preserve">after </w:t>
      </w:r>
      <w:r w:rsidRPr="006D631C">
        <w:t xml:space="preserve">polymerization. Therefore, the initiator-dependent thermal polymerization kinetics </w:t>
      </w:r>
      <w:r w:rsidR="00234FE5" w:rsidRPr="006D631C">
        <w:t>is</w:t>
      </w:r>
      <w:r w:rsidRPr="006D631C">
        <w:t xml:space="preserve"> studied in this approach. The results demonstrate that the IFW system exhibits faster reaction rates than IFO under varying conditions while also preserving the structure. </w:t>
      </w:r>
      <w:r w:rsidRPr="006D631C">
        <w:lastRenderedPageBreak/>
        <w:t>We propose that the gradual increase of propagating chains in the monomer phase, leading to a lower termination rate, may account for the faster polymerization rate. Additionally, a higher initiator efficiency could be another contributing factor. We further demonstrate that polymers cured with the IFW system exhibit improved mechanical properties compared to other initiation systems, even at similar monomer conversions. The polymerization at the polar/apolar interface in the IFW system may explain this difference.</w:t>
      </w:r>
      <w:r w:rsidR="001962F9" w:rsidRPr="006D631C">
        <w:t xml:space="preserve"> </w:t>
      </w:r>
      <w:r w:rsidR="004B18C8" w:rsidRPr="006D631C">
        <w:t xml:space="preserve"> </w:t>
      </w:r>
      <w:r w:rsidR="0089071C" w:rsidRPr="006D631C">
        <w:t xml:space="preserve"> </w:t>
      </w:r>
    </w:p>
    <w:p w14:paraId="19D5CBF0" w14:textId="2A085F7D" w:rsidR="00ED550C" w:rsidRPr="006D631C" w:rsidRDefault="00CE5334" w:rsidP="00222942">
      <w:pPr>
        <w:ind w:firstLine="360"/>
        <w:rPr>
          <w:rFonts w:asciiTheme="majorBidi" w:hAnsiTheme="majorBidi" w:cstheme="majorBidi"/>
        </w:rPr>
      </w:pPr>
      <w:r w:rsidRPr="006D631C">
        <w:rPr>
          <w:rFonts w:asciiTheme="majorBidi" w:hAnsiTheme="majorBidi" w:cstheme="majorBidi"/>
        </w:rPr>
        <w:t>Two-step thermoresponsive UF membranes can be produced</w:t>
      </w:r>
      <w:r w:rsidR="00F103AF" w:rsidRPr="006D631C">
        <w:rPr>
          <w:rFonts w:asciiTheme="majorBidi" w:hAnsiTheme="majorBidi" w:cstheme="majorBidi"/>
        </w:rPr>
        <w:t xml:space="preserve"> by</w:t>
      </w:r>
      <w:r w:rsidRPr="006D631C">
        <w:rPr>
          <w:rFonts w:asciiTheme="majorBidi" w:hAnsiTheme="majorBidi" w:cstheme="majorBidi"/>
        </w:rPr>
        <w:t xml:space="preserve"> using transcriptive templating with the IFW system. The thermal response is triggered by thermoresponsive F127 block copolymer, which is combined with water and hydrophobic monomers to create an LLC with a lamellar structure. After the templating process, the resulting cross-linked network fixes the F127 molecules in place, preventing their removal by water. We demonstrate that the resulting membrane can adjust its pore size from 34.6 nm to 45.7 nm and 59.6 nm by increasing the temperature</w:t>
      </w:r>
      <w:r w:rsidR="003005CF" w:rsidRPr="006D631C">
        <w:rPr>
          <w:rFonts w:asciiTheme="majorBidi" w:hAnsiTheme="majorBidi" w:cstheme="majorBidi"/>
        </w:rPr>
        <w:t xml:space="preserve"> from 25 °C</w:t>
      </w:r>
      <w:r w:rsidRPr="006D631C">
        <w:rPr>
          <w:rFonts w:asciiTheme="majorBidi" w:hAnsiTheme="majorBidi" w:cstheme="majorBidi"/>
        </w:rPr>
        <w:t xml:space="preserve"> to 35</w:t>
      </w:r>
      <w:r w:rsidR="003005CF" w:rsidRPr="006D631C">
        <w:rPr>
          <w:rFonts w:asciiTheme="majorBidi" w:hAnsiTheme="majorBidi" w:cstheme="majorBidi"/>
        </w:rPr>
        <w:t xml:space="preserve"> </w:t>
      </w:r>
      <w:r w:rsidRPr="006D631C">
        <w:rPr>
          <w:rFonts w:asciiTheme="majorBidi" w:hAnsiTheme="majorBidi" w:cstheme="majorBidi"/>
        </w:rPr>
        <w:t>°C and 50</w:t>
      </w:r>
      <w:r w:rsidR="003005CF" w:rsidRPr="006D631C">
        <w:rPr>
          <w:rFonts w:asciiTheme="majorBidi" w:hAnsiTheme="majorBidi" w:cstheme="majorBidi"/>
        </w:rPr>
        <w:t xml:space="preserve"> </w:t>
      </w:r>
      <w:r w:rsidRPr="006D631C">
        <w:rPr>
          <w:rFonts w:asciiTheme="majorBidi" w:hAnsiTheme="majorBidi" w:cstheme="majorBidi"/>
        </w:rPr>
        <w:t>°C, respectively</w:t>
      </w:r>
      <w:r w:rsidR="00C7427E" w:rsidRPr="006D631C">
        <w:rPr>
          <w:rFonts w:asciiTheme="majorBidi" w:hAnsiTheme="majorBidi" w:cstheme="majorBidi"/>
        </w:rPr>
        <w:t xml:space="preserve">. Consequently, the </w:t>
      </w:r>
      <w:r w:rsidRPr="006D631C">
        <w:rPr>
          <w:rFonts w:asciiTheme="majorBidi" w:hAnsiTheme="majorBidi" w:cstheme="majorBidi"/>
        </w:rPr>
        <w:t>membrane permeability and MWCO</w:t>
      </w:r>
      <w:r w:rsidR="00C7427E" w:rsidRPr="006D631C">
        <w:rPr>
          <w:rFonts w:asciiTheme="majorBidi" w:hAnsiTheme="majorBidi" w:cstheme="majorBidi"/>
        </w:rPr>
        <w:t xml:space="preserve"> increase by elevating the temperature</w:t>
      </w:r>
      <w:r w:rsidRPr="006D631C">
        <w:rPr>
          <w:rFonts w:asciiTheme="majorBidi" w:hAnsiTheme="majorBidi" w:cstheme="majorBidi"/>
        </w:rPr>
        <w:t>. The two-step thermal response appears to be due to the LCST of F127 at 35</w:t>
      </w:r>
      <w:r w:rsidR="000C0045" w:rsidRPr="006D631C">
        <w:rPr>
          <w:rFonts w:asciiTheme="majorBidi" w:hAnsiTheme="majorBidi" w:cstheme="majorBidi"/>
        </w:rPr>
        <w:t xml:space="preserve"> </w:t>
      </w:r>
      <w:r w:rsidRPr="006D631C">
        <w:rPr>
          <w:rFonts w:asciiTheme="majorBidi" w:hAnsiTheme="majorBidi" w:cstheme="majorBidi"/>
        </w:rPr>
        <w:t>°C and the melting of the PEO crystalline structure at 50</w:t>
      </w:r>
      <w:r w:rsidR="000C0045" w:rsidRPr="006D631C">
        <w:rPr>
          <w:rFonts w:asciiTheme="majorBidi" w:hAnsiTheme="majorBidi" w:cstheme="majorBidi"/>
        </w:rPr>
        <w:t xml:space="preserve"> </w:t>
      </w:r>
      <w:r w:rsidRPr="006D631C">
        <w:rPr>
          <w:rFonts w:asciiTheme="majorBidi" w:hAnsiTheme="majorBidi" w:cstheme="majorBidi"/>
        </w:rPr>
        <w:t>°C. Our investigation suggests that cleaning efficiency and membrane lifespan can be improved by cleaning the contaminated membrane at high temperatures due to the porosity change in response to temperature.</w:t>
      </w:r>
    </w:p>
    <w:p w14:paraId="3D9CC04A" w14:textId="29798A94" w:rsidR="0026594F" w:rsidRPr="006D631C" w:rsidRDefault="002C4A1E" w:rsidP="00326CE8">
      <w:pPr>
        <w:ind w:firstLine="360"/>
        <w:rPr>
          <w:rFonts w:asciiTheme="majorBidi" w:hAnsiTheme="majorBidi" w:cstheme="majorBidi"/>
        </w:rPr>
      </w:pPr>
      <w:r w:rsidRPr="006D631C">
        <w:rPr>
          <w:rFonts w:asciiTheme="majorBidi" w:hAnsiTheme="majorBidi" w:cstheme="majorBidi"/>
        </w:rPr>
        <w:t>By replacing the OH groups at both ends of thermoresponsive Pluronic surfactants with acrylates, they can be functionalized and become polymerizable for use in synergistic LLC templating. This process yields P84DA, which is used to create H</w:t>
      </w:r>
      <w:r w:rsidRPr="006D631C">
        <w:rPr>
          <w:rFonts w:asciiTheme="majorBidi" w:hAnsiTheme="majorBidi" w:cstheme="majorBidi"/>
          <w:vertAlign w:val="subscript"/>
        </w:rPr>
        <w:t>1</w:t>
      </w:r>
      <w:r w:rsidRPr="006D631C">
        <w:rPr>
          <w:rFonts w:asciiTheme="majorBidi" w:hAnsiTheme="majorBidi" w:cstheme="majorBidi"/>
        </w:rPr>
        <w:t xml:space="preserve">-structured mesophases that can create </w:t>
      </w:r>
      <w:r w:rsidR="00326CE8" w:rsidRPr="006D631C">
        <w:rPr>
          <w:rFonts w:asciiTheme="majorBidi" w:hAnsiTheme="majorBidi" w:cstheme="majorBidi"/>
        </w:rPr>
        <w:t xml:space="preserve">a </w:t>
      </w:r>
      <w:r w:rsidRPr="006D631C">
        <w:rPr>
          <w:rFonts w:asciiTheme="majorBidi" w:hAnsiTheme="majorBidi" w:cstheme="majorBidi"/>
        </w:rPr>
        <w:t xml:space="preserve">thermoresponsive UF membrane upon polymerization. Our studies demonstrate that the resulting membrane can adjust </w:t>
      </w:r>
      <w:r w:rsidR="00326CE8" w:rsidRPr="006D631C">
        <w:rPr>
          <w:rFonts w:asciiTheme="majorBidi" w:hAnsiTheme="majorBidi" w:cstheme="majorBidi"/>
        </w:rPr>
        <w:t>its</w:t>
      </w:r>
      <w:r w:rsidRPr="006D631C">
        <w:rPr>
          <w:rFonts w:asciiTheme="majorBidi" w:hAnsiTheme="majorBidi" w:cstheme="majorBidi"/>
        </w:rPr>
        <w:t xml:space="preserve"> thickness-normalized flux from 28 to 68 liters m</w:t>
      </w:r>
      <w:r w:rsidRPr="006D631C">
        <w:rPr>
          <w:rFonts w:asciiTheme="majorBidi" w:hAnsiTheme="majorBidi" w:cstheme="majorBidi"/>
          <w:vertAlign w:val="superscript"/>
        </w:rPr>
        <w:t>−2</w:t>
      </w:r>
      <w:r w:rsidRPr="006D631C">
        <w:rPr>
          <w:rFonts w:asciiTheme="majorBidi" w:hAnsiTheme="majorBidi" w:cstheme="majorBidi"/>
        </w:rPr>
        <w:t xml:space="preserve"> hour</w:t>
      </w:r>
      <w:r w:rsidRPr="006D631C">
        <w:rPr>
          <w:rFonts w:asciiTheme="majorBidi" w:hAnsiTheme="majorBidi" w:cstheme="majorBidi"/>
          <w:vertAlign w:val="superscript"/>
        </w:rPr>
        <w:t>−1</w:t>
      </w:r>
      <w:r w:rsidRPr="006D631C">
        <w:rPr>
          <w:rFonts w:asciiTheme="majorBidi" w:hAnsiTheme="majorBidi" w:cstheme="majorBidi"/>
        </w:rPr>
        <w:t xml:space="preserve"> µm </w:t>
      </w:r>
      <w:r w:rsidRPr="006D631C">
        <w:rPr>
          <w:rFonts w:asciiTheme="majorBidi" w:hAnsiTheme="majorBidi" w:cstheme="majorBidi"/>
        </w:rPr>
        <w:lastRenderedPageBreak/>
        <w:t>and pore size from 2.5 to 3.2 nm when the temperature is increased from 25 to 45</w:t>
      </w:r>
      <w:r w:rsidR="003F4FA9" w:rsidRPr="006D631C">
        <w:rPr>
          <w:rFonts w:asciiTheme="majorBidi" w:hAnsiTheme="majorBidi" w:cstheme="majorBidi"/>
        </w:rPr>
        <w:t xml:space="preserve"> </w:t>
      </w:r>
      <w:r w:rsidRPr="006D631C">
        <w:rPr>
          <w:rFonts w:asciiTheme="majorBidi" w:hAnsiTheme="majorBidi" w:cstheme="majorBidi"/>
        </w:rPr>
        <w:t>°C, respectively. Furthermore, the membrane</w:t>
      </w:r>
      <w:r w:rsidR="00326CE8" w:rsidRPr="006D631C">
        <w:rPr>
          <w:rFonts w:asciiTheme="majorBidi" w:hAnsiTheme="majorBidi" w:cstheme="majorBidi"/>
        </w:rPr>
        <w:t xml:space="preserve"> exhibits</w:t>
      </w:r>
      <w:r w:rsidRPr="006D631C">
        <w:rPr>
          <w:rFonts w:asciiTheme="majorBidi" w:hAnsiTheme="majorBidi" w:cstheme="majorBidi"/>
        </w:rPr>
        <w:t xml:space="preserve"> excellent fouling resistance, as </w:t>
      </w:r>
      <w:r w:rsidR="00326CE8" w:rsidRPr="006D631C">
        <w:rPr>
          <w:rFonts w:asciiTheme="majorBidi" w:hAnsiTheme="majorBidi" w:cstheme="majorBidi"/>
        </w:rPr>
        <w:t>its</w:t>
      </w:r>
      <w:r w:rsidRPr="006D631C">
        <w:rPr>
          <w:rFonts w:asciiTheme="majorBidi" w:hAnsiTheme="majorBidi" w:cstheme="majorBidi"/>
        </w:rPr>
        <w:t xml:space="preserve"> permeability remains almost unchanged after 60 hours of filtration of various charged and u</w:t>
      </w:r>
      <w:r w:rsidR="00326CE8" w:rsidRPr="006D631C">
        <w:rPr>
          <w:rFonts w:asciiTheme="majorBidi" w:hAnsiTheme="majorBidi" w:cstheme="majorBidi"/>
        </w:rPr>
        <w:t>ncharged solutes. H</w:t>
      </w:r>
      <w:r w:rsidRPr="006D631C">
        <w:rPr>
          <w:rFonts w:asciiTheme="majorBidi" w:hAnsiTheme="majorBidi" w:cstheme="majorBidi"/>
        </w:rPr>
        <w:t>ighly hydrophilic surface</w:t>
      </w:r>
      <w:r w:rsidR="00326CE8" w:rsidRPr="006D631C">
        <w:rPr>
          <w:rFonts w:asciiTheme="majorBidi" w:hAnsiTheme="majorBidi" w:cstheme="majorBidi"/>
        </w:rPr>
        <w:t xml:space="preserve"> of the membrane</w:t>
      </w:r>
      <w:r w:rsidRPr="006D631C">
        <w:rPr>
          <w:rFonts w:asciiTheme="majorBidi" w:hAnsiTheme="majorBidi" w:cstheme="majorBidi"/>
        </w:rPr>
        <w:t xml:space="preserve"> appears to be the main reason for its antifouling behavior.</w:t>
      </w:r>
    </w:p>
    <w:p w14:paraId="0D4D8396" w14:textId="6BAFBE44" w:rsidR="001B1AFF" w:rsidRPr="006D631C" w:rsidRDefault="00766513" w:rsidP="001B38D1">
      <w:pPr>
        <w:ind w:firstLine="360"/>
        <w:rPr>
          <w:rFonts w:asciiTheme="majorBidi" w:hAnsiTheme="majorBidi" w:cstheme="majorBidi"/>
        </w:rPr>
      </w:pPr>
      <w:r w:rsidRPr="006D631C">
        <w:rPr>
          <w:rFonts w:asciiTheme="majorBidi" w:hAnsiTheme="majorBidi" w:cstheme="majorBidi"/>
        </w:rPr>
        <w:t>The additi</w:t>
      </w:r>
      <w:r w:rsidR="00FD237E" w:rsidRPr="006D631C">
        <w:rPr>
          <w:rFonts w:asciiTheme="majorBidi" w:hAnsiTheme="majorBidi" w:cstheme="majorBidi"/>
        </w:rPr>
        <w:t xml:space="preserve">on of </w:t>
      </w:r>
      <w:proofErr w:type="spellStart"/>
      <w:r w:rsidR="00FD237E" w:rsidRPr="006D631C">
        <w:rPr>
          <w:rFonts w:asciiTheme="majorBidi" w:hAnsiTheme="majorBidi" w:cstheme="majorBidi"/>
        </w:rPr>
        <w:t>AAc</w:t>
      </w:r>
      <w:proofErr w:type="spellEnd"/>
      <w:r w:rsidR="00FD237E" w:rsidRPr="006D631C">
        <w:rPr>
          <w:rFonts w:asciiTheme="majorBidi" w:hAnsiTheme="majorBidi" w:cstheme="majorBidi"/>
        </w:rPr>
        <w:t xml:space="preserve"> in the H</w:t>
      </w:r>
      <w:r w:rsidR="00FD237E" w:rsidRPr="006D631C">
        <w:rPr>
          <w:rFonts w:asciiTheme="majorBidi" w:hAnsiTheme="majorBidi" w:cstheme="majorBidi"/>
          <w:vertAlign w:val="subscript"/>
        </w:rPr>
        <w:t>1</w:t>
      </w:r>
      <w:r w:rsidR="00FD237E" w:rsidRPr="006D631C">
        <w:rPr>
          <w:rFonts w:asciiTheme="majorBidi" w:hAnsiTheme="majorBidi" w:cstheme="majorBidi"/>
        </w:rPr>
        <w:t>-structured LLC formulation</w:t>
      </w:r>
      <w:r w:rsidRPr="006D631C">
        <w:rPr>
          <w:rFonts w:asciiTheme="majorBidi" w:hAnsiTheme="majorBidi" w:cstheme="majorBidi"/>
        </w:rPr>
        <w:t xml:space="preserve"> during synergistic templating using P84DA can provide the membrane with additional functionality. The resulting NF membrane not only effectively separates dissolved </w:t>
      </w:r>
      <w:r w:rsidR="001B38D1" w:rsidRPr="006D631C">
        <w:rPr>
          <w:rFonts w:asciiTheme="majorBidi" w:hAnsiTheme="majorBidi" w:cstheme="majorBidi"/>
        </w:rPr>
        <w:t>salts containing trivalent and divalent anion</w:t>
      </w:r>
      <w:r w:rsidRPr="006D631C">
        <w:rPr>
          <w:rFonts w:asciiTheme="majorBidi" w:hAnsiTheme="majorBidi" w:cstheme="majorBidi"/>
        </w:rPr>
        <w:t xml:space="preserve"> from water but also displays </w:t>
      </w:r>
      <w:r w:rsidR="00C44DB8" w:rsidRPr="006D631C">
        <w:rPr>
          <w:rFonts w:asciiTheme="majorBidi" w:hAnsiTheme="majorBidi" w:cstheme="majorBidi"/>
        </w:rPr>
        <w:t>thermo</w:t>
      </w:r>
      <w:r w:rsidR="005F0902" w:rsidRPr="006D631C">
        <w:rPr>
          <w:rFonts w:asciiTheme="majorBidi" w:hAnsiTheme="majorBidi" w:cstheme="majorBidi"/>
        </w:rPr>
        <w:t>-</w:t>
      </w:r>
      <w:r w:rsidRPr="006D631C">
        <w:rPr>
          <w:rFonts w:asciiTheme="majorBidi" w:hAnsiTheme="majorBidi" w:cstheme="majorBidi"/>
        </w:rPr>
        <w:t xml:space="preserve"> and pH</w:t>
      </w:r>
      <w:r w:rsidR="005F0902" w:rsidRPr="006D631C">
        <w:rPr>
          <w:rFonts w:asciiTheme="majorBidi" w:hAnsiTheme="majorBidi" w:cstheme="majorBidi"/>
        </w:rPr>
        <w:t>-</w:t>
      </w:r>
      <w:r w:rsidRPr="006D631C">
        <w:rPr>
          <w:rFonts w:asciiTheme="majorBidi" w:hAnsiTheme="majorBidi" w:cstheme="majorBidi"/>
        </w:rPr>
        <w:t>responsive behavior. The presence of</w:t>
      </w:r>
      <w:r w:rsidR="00106FDB" w:rsidRPr="006D631C">
        <w:rPr>
          <w:rFonts w:asciiTheme="majorBidi" w:hAnsiTheme="majorBidi" w:cstheme="majorBidi"/>
        </w:rPr>
        <w:t xml:space="preserve"> copolymerized</w:t>
      </w:r>
      <w:r w:rsidRPr="006D631C">
        <w:rPr>
          <w:rFonts w:asciiTheme="majorBidi" w:hAnsiTheme="majorBidi" w:cstheme="majorBidi"/>
        </w:rPr>
        <w:t xml:space="preserve">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w:t>
      </w:r>
      <w:r w:rsidR="00A03B46" w:rsidRPr="006D631C">
        <w:rPr>
          <w:rFonts w:asciiTheme="majorBidi" w:hAnsiTheme="majorBidi" w:cstheme="majorBidi"/>
        </w:rPr>
        <w:t xml:space="preserve">as </w:t>
      </w:r>
      <w:r w:rsidRPr="006D631C">
        <w:rPr>
          <w:rFonts w:asciiTheme="majorBidi" w:hAnsiTheme="majorBidi" w:cstheme="majorBidi"/>
        </w:rPr>
        <w:t xml:space="preserve">the charged component, enables ion separation through </w:t>
      </w:r>
      <w:proofErr w:type="spellStart"/>
      <w:r w:rsidRPr="006D631C">
        <w:rPr>
          <w:rFonts w:asciiTheme="majorBidi" w:hAnsiTheme="majorBidi" w:cstheme="majorBidi"/>
        </w:rPr>
        <w:t>Donnan</w:t>
      </w:r>
      <w:proofErr w:type="spellEnd"/>
      <w:r w:rsidRPr="006D631C">
        <w:rPr>
          <w:rFonts w:asciiTheme="majorBidi" w:hAnsiTheme="majorBidi" w:cstheme="majorBidi"/>
        </w:rPr>
        <w:t xml:space="preserve"> exclusion and contributes to pH responsive behavior for the separation of ionic species. The experimental results indicate that the thickness-normalized flux and membrane pore size can be increased from 16 to 31 liters m</w:t>
      </w:r>
      <w:r w:rsidRPr="006D631C">
        <w:rPr>
          <w:rFonts w:asciiTheme="majorBidi" w:hAnsiTheme="majorBidi" w:cstheme="majorBidi"/>
          <w:vertAlign w:val="superscript"/>
        </w:rPr>
        <w:t>−2</w:t>
      </w:r>
      <w:r w:rsidRPr="006D631C">
        <w:rPr>
          <w:rFonts w:asciiTheme="majorBidi" w:hAnsiTheme="majorBidi" w:cstheme="majorBidi"/>
        </w:rPr>
        <w:t xml:space="preserve"> hour</w:t>
      </w:r>
      <w:r w:rsidRPr="006D631C">
        <w:rPr>
          <w:rFonts w:asciiTheme="majorBidi" w:hAnsiTheme="majorBidi" w:cstheme="majorBidi"/>
          <w:vertAlign w:val="superscript"/>
        </w:rPr>
        <w:t>−1</w:t>
      </w:r>
      <w:r w:rsidRPr="006D631C">
        <w:rPr>
          <w:rFonts w:asciiTheme="majorBidi" w:hAnsiTheme="majorBidi" w:cstheme="majorBidi"/>
        </w:rPr>
        <w:t xml:space="preserve"> µm and from 2.2 to 2.6 nm, respectively, by increasing the temperature from 25 to 45 °C. The developed membrane also exhibits excellent performance in removing dissolved </w:t>
      </w:r>
      <w:r w:rsidR="001B38D1" w:rsidRPr="006D631C">
        <w:rPr>
          <w:rFonts w:asciiTheme="majorBidi" w:hAnsiTheme="majorBidi" w:cstheme="majorBidi"/>
        </w:rPr>
        <w:t>salts containing trivalent and divalent anion</w:t>
      </w:r>
      <w:r w:rsidRPr="006D631C">
        <w:rPr>
          <w:rFonts w:asciiTheme="majorBidi" w:hAnsiTheme="majorBidi" w:cstheme="majorBidi"/>
        </w:rPr>
        <w:t xml:space="preserve"> at neutral and alkaline pH levels, with the ion rejection capability adjustable by reducing the feed pH to 4. It further exhibits remarkable selectivity for sulfate over chloride ions, making it ideal for salt fractionation applications. Moreover, the membrane demonstrates exceptional resistance to fouling from various solutes owing to its highly hydrophilic surface.</w:t>
      </w:r>
    </w:p>
    <w:p w14:paraId="57D3FD1D" w14:textId="75C696B2" w:rsidR="008B031E" w:rsidRPr="006D631C" w:rsidRDefault="003E26F0" w:rsidP="00EA5AA7">
      <w:pPr>
        <w:ind w:firstLine="360"/>
        <w:rPr>
          <w:rFonts w:asciiTheme="majorBidi" w:hAnsiTheme="majorBidi" w:cstheme="majorBidi"/>
        </w:rPr>
      </w:pPr>
      <w:r w:rsidRPr="006D631C">
        <w:rPr>
          <w:rFonts w:asciiTheme="majorBidi" w:hAnsiTheme="majorBidi" w:cstheme="majorBidi"/>
        </w:rPr>
        <w:t xml:space="preserve">As discussed in </w:t>
      </w:r>
      <w:r w:rsidR="00EA5AA7" w:rsidRPr="006D631C">
        <w:rPr>
          <w:rFonts w:asciiTheme="majorBidi" w:hAnsiTheme="majorBidi" w:cstheme="majorBidi"/>
        </w:rPr>
        <w:t xml:space="preserve">Chapter </w:t>
      </w:r>
      <w:r w:rsidRPr="006D631C">
        <w:rPr>
          <w:rFonts w:asciiTheme="majorBidi" w:hAnsiTheme="majorBidi" w:cstheme="majorBidi"/>
        </w:rPr>
        <w:t>1, synergistic templating has been commonly utilized for the synthesis of UF and NF membranes, with only a few studies, including ours,</w:t>
      </w:r>
      <w:r w:rsidR="00206E74" w:rsidRPr="006D631C">
        <w:rPr>
          <w:rFonts w:asciiTheme="majorBidi" w:hAnsiTheme="majorBidi" w:cstheme="majorBidi"/>
        </w:rPr>
        <w:fldChar w:fldCharType="begin" w:fldLock="1"/>
      </w:r>
      <w:r w:rsidR="006E1799" w:rsidRPr="006D631C">
        <w:rPr>
          <w:rFonts w:asciiTheme="majorBidi" w:hAnsiTheme="majorBidi" w:cstheme="majorBidi"/>
        </w:rPr>
        <w:instrText>ADDIN CSL_CITATION {"citationItems":[{"id":"ITEM-1","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Materials","id":"ITEM-1","issue":"11","issued":{"date-parts":[["2022","11","11"]]},"page":"8156-8165","title":"Two-Step Thermoresponsive Ultrafiltration Membranes from Polymerization of Lyotropic Liquid Crystals","type":"article-journal","volume":"4"},"uris":["http://www.mendeley.com/documents/?uuid=4eee7cf8-e804-4309-8e0d-bec6bee52d4f"]}],"mendeley":{"formattedCitation":"&lt;sup&gt;263&lt;/sup&gt;","plainTextFormattedCitation":"263","previouslyFormattedCitation":"&lt;sup&gt;263&lt;/sup&gt;"},"properties":{"noteIndex":0},"schema":"https://github.com/citation-style-language/schema/raw/master/csl-citation.json"}</w:instrText>
      </w:r>
      <w:r w:rsidR="00206E74" w:rsidRPr="006D631C">
        <w:rPr>
          <w:rFonts w:asciiTheme="majorBidi" w:hAnsiTheme="majorBidi" w:cstheme="majorBidi"/>
        </w:rPr>
        <w:fldChar w:fldCharType="separate"/>
      </w:r>
      <w:r w:rsidR="00206E74" w:rsidRPr="006D631C">
        <w:rPr>
          <w:rFonts w:asciiTheme="majorBidi" w:hAnsiTheme="majorBidi" w:cstheme="majorBidi"/>
          <w:noProof/>
          <w:vertAlign w:val="superscript"/>
        </w:rPr>
        <w:t>263</w:t>
      </w:r>
      <w:r w:rsidR="00206E74" w:rsidRPr="006D631C">
        <w:rPr>
          <w:rFonts w:asciiTheme="majorBidi" w:hAnsiTheme="majorBidi" w:cstheme="majorBidi"/>
        </w:rPr>
        <w:fldChar w:fldCharType="end"/>
      </w:r>
      <w:r w:rsidRPr="006D631C">
        <w:rPr>
          <w:rFonts w:asciiTheme="majorBidi" w:hAnsiTheme="majorBidi" w:cstheme="majorBidi"/>
        </w:rPr>
        <w:t xml:space="preserve"> exploring transcriptive templating for this purpose. Our research</w:t>
      </w:r>
      <w:r w:rsidR="00D90217" w:rsidRPr="006D631C">
        <w:rPr>
          <w:rFonts w:asciiTheme="majorBidi" w:hAnsiTheme="majorBidi" w:cstheme="majorBidi"/>
        </w:rPr>
        <w:fldChar w:fldCharType="begin" w:fldLock="1"/>
      </w:r>
      <w:r w:rsidR="006E1799" w:rsidRPr="006D631C">
        <w:rPr>
          <w:rFonts w:asciiTheme="majorBidi" w:hAnsiTheme="majorBidi" w:cstheme="majorBidi"/>
        </w:rPr>
        <w:instrText>ADDIN CSL_CITATION {"citationItems":[{"id":"ITEM-1","itemData":{"DOI":"10.1021/acsapm.2c01095","ISSN":"2637-6105","author":[{"dropping-particle":"","family":"Saadat","given":"Younes","non-dropping-particle":"","parse-names":false,"suffix":""},{"dropping-particle":"","family":"Kim","given":"Kyungtae","non-dropping-particle":"","parse-names":false,"suffix":""},{"dropping-particle":"","family":"Foudazi","given":"Reza","non-dropping-particle":"","parse-names":false,"suffix":""}],"container-title":"ACS Applied Polymer Materials","id":"ITEM-1","issue":"11","issued":{"date-parts":[["2022","11","11"]]},"page":"8156-8165","title":"Two-Step Thermoresponsive Ultrafiltration Membranes from Polymerization of Lyotropic Liquid Crystals","type":"article-journal","volume":"4"},"uris":["http://www.mendeley.com/documents/?uuid=4eee7cf8-e804-4309-8e0d-bec6bee52d4f"]}],"mendeley":{"formattedCitation":"&lt;sup&gt;263&lt;/sup&gt;","plainTextFormattedCitation":"263","previouslyFormattedCitation":"&lt;sup&gt;263&lt;/sup&gt;"},"properties":{"noteIndex":0},"schema":"https://github.com/citation-style-language/schema/raw/master/csl-citation.json"}</w:instrText>
      </w:r>
      <w:r w:rsidR="00D90217" w:rsidRPr="006D631C">
        <w:rPr>
          <w:rFonts w:asciiTheme="majorBidi" w:hAnsiTheme="majorBidi" w:cstheme="majorBidi"/>
        </w:rPr>
        <w:fldChar w:fldCharType="separate"/>
      </w:r>
      <w:r w:rsidR="00D90217" w:rsidRPr="006D631C">
        <w:rPr>
          <w:rFonts w:asciiTheme="majorBidi" w:hAnsiTheme="majorBidi" w:cstheme="majorBidi"/>
          <w:noProof/>
          <w:vertAlign w:val="superscript"/>
        </w:rPr>
        <w:t>263</w:t>
      </w:r>
      <w:r w:rsidR="00D90217" w:rsidRPr="006D631C">
        <w:rPr>
          <w:rFonts w:asciiTheme="majorBidi" w:hAnsiTheme="majorBidi" w:cstheme="majorBidi"/>
        </w:rPr>
        <w:fldChar w:fldCharType="end"/>
      </w:r>
      <w:r w:rsidRPr="006D631C">
        <w:rPr>
          <w:rFonts w:asciiTheme="majorBidi" w:hAnsiTheme="majorBidi" w:cstheme="majorBidi"/>
        </w:rPr>
        <w:t xml:space="preserve"> on the transcriptive approach demonstrates the ability to fabricate</w:t>
      </w:r>
      <w:r w:rsidR="00ED45BD" w:rsidRPr="006D631C">
        <w:rPr>
          <w:rFonts w:asciiTheme="majorBidi" w:hAnsiTheme="majorBidi" w:cstheme="majorBidi"/>
        </w:rPr>
        <w:t xml:space="preserve"> two-step</w:t>
      </w:r>
      <w:r w:rsidRPr="006D631C">
        <w:rPr>
          <w:rFonts w:asciiTheme="majorBidi" w:hAnsiTheme="majorBidi" w:cstheme="majorBidi"/>
        </w:rPr>
        <w:t xml:space="preserve"> </w:t>
      </w:r>
      <w:r w:rsidR="00ED45BD" w:rsidRPr="006D631C">
        <w:rPr>
          <w:rFonts w:asciiTheme="majorBidi" w:hAnsiTheme="majorBidi" w:cstheme="majorBidi"/>
        </w:rPr>
        <w:t xml:space="preserve">thermoresponsive </w:t>
      </w:r>
      <w:r w:rsidRPr="006D631C">
        <w:rPr>
          <w:rFonts w:asciiTheme="majorBidi" w:hAnsiTheme="majorBidi" w:cstheme="majorBidi"/>
        </w:rPr>
        <w:t xml:space="preserve">UF membranes with a pore size of 34.6 nm at 25 °C, which can be expanded to </w:t>
      </w:r>
      <w:r w:rsidR="007E45A5" w:rsidRPr="006D631C">
        <w:rPr>
          <w:rFonts w:asciiTheme="majorBidi" w:hAnsiTheme="majorBidi" w:cstheme="majorBidi"/>
        </w:rPr>
        <w:t xml:space="preserve">45.7 and </w:t>
      </w:r>
      <w:r w:rsidRPr="006D631C">
        <w:rPr>
          <w:rFonts w:asciiTheme="majorBidi" w:hAnsiTheme="majorBidi" w:cstheme="majorBidi"/>
        </w:rPr>
        <w:t xml:space="preserve">59.6 nm by heating to </w:t>
      </w:r>
      <w:r w:rsidR="007E45A5" w:rsidRPr="006D631C">
        <w:rPr>
          <w:rFonts w:asciiTheme="majorBidi" w:hAnsiTheme="majorBidi" w:cstheme="majorBidi"/>
        </w:rPr>
        <w:t xml:space="preserve">35 and </w:t>
      </w:r>
      <w:r w:rsidRPr="006D631C">
        <w:rPr>
          <w:rFonts w:asciiTheme="majorBidi" w:hAnsiTheme="majorBidi" w:cstheme="majorBidi"/>
        </w:rPr>
        <w:t>50 °C</w:t>
      </w:r>
      <w:r w:rsidR="007E45A5" w:rsidRPr="006D631C">
        <w:rPr>
          <w:rFonts w:asciiTheme="majorBidi" w:hAnsiTheme="majorBidi" w:cstheme="majorBidi"/>
        </w:rPr>
        <w:t>, respectively</w:t>
      </w:r>
      <w:r w:rsidRPr="006D631C">
        <w:rPr>
          <w:rFonts w:asciiTheme="majorBidi" w:hAnsiTheme="majorBidi" w:cstheme="majorBidi"/>
        </w:rPr>
        <w:t xml:space="preserve">. In contrast, </w:t>
      </w:r>
      <w:proofErr w:type="spellStart"/>
      <w:r w:rsidRPr="006D631C">
        <w:rPr>
          <w:rFonts w:asciiTheme="majorBidi" w:hAnsiTheme="majorBidi" w:cstheme="majorBidi"/>
        </w:rPr>
        <w:t>Qavi</w:t>
      </w:r>
      <w:proofErr w:type="spellEnd"/>
      <w:r w:rsidRPr="006D631C">
        <w:rPr>
          <w:rFonts w:asciiTheme="majorBidi" w:hAnsiTheme="majorBidi" w:cstheme="majorBidi"/>
        </w:rPr>
        <w:t xml:space="preserve"> </w:t>
      </w:r>
      <w:r w:rsidRPr="006D631C">
        <w:rPr>
          <w:rFonts w:asciiTheme="majorBidi" w:hAnsiTheme="majorBidi" w:cstheme="majorBidi"/>
        </w:rPr>
        <w:lastRenderedPageBreak/>
        <w:t>et al. have reported the production of transcriptive-templated UF membranes with a pore size ranging from 2 to 4 nm</w:t>
      </w:r>
      <w:r w:rsidR="007E45A5" w:rsidRPr="006D631C">
        <w:rPr>
          <w:rFonts w:asciiTheme="majorBidi" w:hAnsiTheme="majorBidi" w:cstheme="majorBidi"/>
        </w:rPr>
        <w:t xml:space="preserve"> at 25 °C</w:t>
      </w:r>
      <w:r w:rsidR="00C00DF7" w:rsidRPr="006D631C">
        <w:rPr>
          <w:rFonts w:asciiTheme="majorBidi" w:hAnsiTheme="majorBidi" w:cstheme="majorBidi"/>
        </w:rPr>
        <w:t xml:space="preserve"> without verifying their thermoresponsiveness</w:t>
      </w:r>
      <w:r w:rsidRPr="006D631C">
        <w:rPr>
          <w:rFonts w:asciiTheme="majorBidi" w:hAnsiTheme="majorBidi" w:cstheme="majorBidi"/>
        </w:rPr>
        <w:t>.</w:t>
      </w:r>
      <w:r w:rsidRPr="006D631C">
        <w:rPr>
          <w:rFonts w:asciiTheme="majorBidi" w:hAnsiTheme="majorBidi" w:cstheme="majorBidi"/>
        </w:rPr>
        <w:fldChar w:fldCharType="begin" w:fldLock="1"/>
      </w:r>
      <w:r w:rsidR="00D90217" w:rsidRPr="006D631C">
        <w:rPr>
          <w:rFonts w:asciiTheme="majorBidi" w:hAnsiTheme="majorBidi" w:cstheme="majorBidi"/>
        </w:rPr>
        <w:instrText>ADDIN CSL_CITATION {"citationItems":[{"id":"ITEM-1","itemData":{"DOI":"10.1016/j.memsci.2019.02.060","ISSN":"18733123","abstract":"Industrially, ultrafiltration (UF) membranes are produced through non-solvent induced phase separation (NIPS), but due to environmental hazards inherent to the NIPS process as well as the low surface porosity and fouling resistance of membranes produced via this method, an alternative route to UF membranes is desirable. This work presents the self-assembly of Pluronic block copolymers in the presence of water and a monomeric phase as a new technique for the preparation of UF membranes without the need for organic solvent or post-modification. Different compositions of block copolymer, water, and monomer were polymerized to obtain both hexagonal and lamellar mesostructures, as indicated by small angle X-ray scattering (SAXS) and cross-polarized light microscopy. As-synthesized membranes were found to have pore sizes in the range of 3–4 nm with a molecular weight cutoff of 1500 g/mol and displayed both excellent fouling resistance and high permeance of water, vastly outperforming a conventional NIPS UF membrane. Further, in contrast to NIPS, the proposed method provides flexibility in terms of both the final membrane chemistry and pore size. As such, it is a versatile approach that can be easily tailored to produce membranes for a wide range of applications including wastewater treatment and food processing.","author":[{"dropping-particle":"","family":"Qavi","given":"Sahar","non-dropping-particle":"","parse-names":false,"suffix":""},{"dropping-particle":"","family":"Lindsay","given":"Aaron P.","non-dropping-particle":"","parse-names":false,"suffix":""},{"dropping-particle":"","family":"Firestone","given":"Millicent A.","non-dropping-particle":"","parse-names":false,"suffix":""},{"dropping-particle":"","family":"Foudazi","given":"Reza","non-dropping-particle":"","parse-names":false,"suffix":""}],"container-title":"Journal of Membrane Science","id":"ITEM-1","issued":{"date-parts":[["2019"]]},"page":"125-133","title":"Ultrafiltration membranes from polymerization of self-assembled Pluronic block copolymer mesophases","type":"article-journal","volume":"580"},"uris":["http://www.mendeley.com/documents/?uuid=bed9b600-bdbf-4c48-a9d1-d3c7ba3f3449"]},{"id":"ITEM-2","itemData":{"author":[{"dropping-particle":"","family":"Qavi","given":"Sahar","non-dropping-particle":"","parse-names":false,"suffix":""}],"id":"ITEM-2","issued":{"date-parts":[["2019"]]},"number-of-pages":"256","publisher":"New Mexico State University","title":"RHEOLOGY, CHEMORHEOLOGY, AND MEMBRANE APPLICATION of AMPHIPHILIC BLOCK COPOLYMER/ WATER/OIL MESOPHASES","type":"thesis"},"uris":["http://www.mendeley.com/documents/?uuid=280cca4d-81d9-4959-a2b7-f5b716bb2755"]}],"mendeley":{"formattedCitation":"&lt;sup&gt;32,142&lt;/sup&gt;","plainTextFormattedCitation":"32,142","previouslyFormattedCitation":"&lt;sup&gt;32,142&lt;/sup&gt;"},"properties":{"noteIndex":0},"schema":"https://github.com/citation-style-language/schema/raw/master/csl-citation.json"}</w:instrText>
      </w:r>
      <w:r w:rsidRPr="006D631C">
        <w:rPr>
          <w:rFonts w:asciiTheme="majorBidi" w:hAnsiTheme="majorBidi" w:cstheme="majorBidi"/>
        </w:rPr>
        <w:fldChar w:fldCharType="separate"/>
      </w:r>
      <w:r w:rsidRPr="006D631C">
        <w:rPr>
          <w:rFonts w:asciiTheme="majorBidi" w:hAnsiTheme="majorBidi" w:cstheme="majorBidi"/>
          <w:noProof/>
          <w:vertAlign w:val="superscript"/>
        </w:rPr>
        <w:t>32,142</w:t>
      </w:r>
      <w:r w:rsidRPr="006D631C">
        <w:rPr>
          <w:rFonts w:asciiTheme="majorBidi" w:hAnsiTheme="majorBidi" w:cstheme="majorBidi"/>
        </w:rPr>
        <w:fldChar w:fldCharType="end"/>
      </w:r>
      <w:r w:rsidR="00BF4DED" w:rsidRPr="006D631C">
        <w:rPr>
          <w:rFonts w:asciiTheme="majorBidi" w:hAnsiTheme="majorBidi" w:cstheme="majorBidi"/>
        </w:rPr>
        <w:t xml:space="preserve"> </w:t>
      </w:r>
    </w:p>
    <w:p w14:paraId="18FDD274" w14:textId="133280E1" w:rsidR="00483F73" w:rsidRPr="006D631C" w:rsidRDefault="00E77C9F" w:rsidP="009C12A4">
      <w:pPr>
        <w:ind w:firstLine="360"/>
        <w:rPr>
          <w:rFonts w:asciiTheme="majorBidi" w:hAnsiTheme="majorBidi" w:cstheme="majorBidi"/>
        </w:rPr>
      </w:pPr>
      <w:r w:rsidRPr="006D631C">
        <w:rPr>
          <w:rFonts w:asciiTheme="majorBidi" w:hAnsiTheme="majorBidi" w:cstheme="majorBidi"/>
        </w:rPr>
        <w:t>The average pore size and thickness-normalized flux</w:t>
      </w:r>
      <w:r w:rsidR="00A01C8B" w:rsidRPr="006D631C">
        <w:rPr>
          <w:rFonts w:asciiTheme="majorBidi" w:hAnsiTheme="majorBidi" w:cstheme="majorBidi"/>
        </w:rPr>
        <w:t xml:space="preserve"> (at 30 psi)</w:t>
      </w:r>
      <w:r w:rsidRPr="006D631C">
        <w:rPr>
          <w:rFonts w:asciiTheme="majorBidi" w:hAnsiTheme="majorBidi" w:cstheme="majorBidi"/>
        </w:rPr>
        <w:t xml:space="preserve"> values obtained for membranes synthesized through synergistic LLC templating have been </w:t>
      </w:r>
      <w:r w:rsidR="00106FDB" w:rsidRPr="006D631C">
        <w:rPr>
          <w:rFonts w:asciiTheme="majorBidi" w:hAnsiTheme="majorBidi" w:cstheme="majorBidi"/>
        </w:rPr>
        <w:t>summarized</w:t>
      </w:r>
      <w:r w:rsidRPr="006D631C">
        <w:rPr>
          <w:rFonts w:asciiTheme="majorBidi" w:hAnsiTheme="majorBidi" w:cstheme="majorBidi"/>
        </w:rPr>
        <w:t xml:space="preserve"> in Figure 6-1</w:t>
      </w:r>
      <w:r w:rsidR="000C4206" w:rsidRPr="006D631C">
        <w:rPr>
          <w:rFonts w:asciiTheme="majorBidi" w:hAnsiTheme="majorBidi" w:cstheme="majorBidi"/>
        </w:rPr>
        <w:t>a</w:t>
      </w:r>
      <w:r w:rsidRPr="006D631C">
        <w:rPr>
          <w:rFonts w:asciiTheme="majorBidi" w:hAnsiTheme="majorBidi" w:cstheme="majorBidi"/>
        </w:rPr>
        <w:t>.</w:t>
      </w:r>
      <w:r w:rsidR="0017077C" w:rsidRPr="006D631C">
        <w:rPr>
          <w:rFonts w:asciiTheme="majorBidi" w:hAnsiTheme="majorBidi" w:cstheme="majorBidi"/>
        </w:rPr>
        <w:t xml:space="preserve"> </w:t>
      </w:r>
      <w:r w:rsidR="006A3119" w:rsidRPr="006D631C">
        <w:rPr>
          <w:rFonts w:asciiTheme="majorBidi" w:hAnsiTheme="majorBidi" w:cstheme="majorBidi"/>
        </w:rPr>
        <w:t>It is evident that using H</w:t>
      </w:r>
      <w:r w:rsidR="006A3119" w:rsidRPr="006D631C">
        <w:rPr>
          <w:rFonts w:asciiTheme="majorBidi" w:hAnsiTheme="majorBidi" w:cstheme="majorBidi"/>
          <w:vertAlign w:val="subscript"/>
        </w:rPr>
        <w:t>1</w:t>
      </w:r>
      <w:r w:rsidR="006A3119" w:rsidRPr="006D631C">
        <w:rPr>
          <w:rFonts w:asciiTheme="majorBidi" w:hAnsiTheme="majorBidi" w:cstheme="majorBidi"/>
        </w:rPr>
        <w:t xml:space="preserve"> structure to synthesize </w:t>
      </w:r>
      <w:r w:rsidR="00946701" w:rsidRPr="006D631C">
        <w:rPr>
          <w:rFonts w:asciiTheme="majorBidi" w:hAnsiTheme="majorBidi" w:cstheme="majorBidi"/>
        </w:rPr>
        <w:t xml:space="preserve">the </w:t>
      </w:r>
      <w:r w:rsidR="006A3119" w:rsidRPr="006D631C">
        <w:rPr>
          <w:rFonts w:asciiTheme="majorBidi" w:hAnsiTheme="majorBidi" w:cstheme="majorBidi"/>
        </w:rPr>
        <w:t>desired membrane results in a significant improvement in membrane flux compared to Q</w:t>
      </w:r>
      <w:r w:rsidR="006A3119" w:rsidRPr="006D631C">
        <w:rPr>
          <w:rFonts w:asciiTheme="majorBidi" w:hAnsiTheme="majorBidi" w:cstheme="majorBidi"/>
          <w:vertAlign w:val="subscript"/>
        </w:rPr>
        <w:t>1</w:t>
      </w:r>
      <w:r w:rsidR="006A3119" w:rsidRPr="006D631C">
        <w:rPr>
          <w:rFonts w:asciiTheme="majorBidi" w:hAnsiTheme="majorBidi" w:cstheme="majorBidi"/>
        </w:rPr>
        <w:t xml:space="preserve"> or H</w:t>
      </w:r>
      <w:r w:rsidR="006A3119" w:rsidRPr="006D631C">
        <w:rPr>
          <w:rFonts w:asciiTheme="majorBidi" w:hAnsiTheme="majorBidi" w:cstheme="majorBidi"/>
          <w:vertAlign w:val="subscript"/>
        </w:rPr>
        <w:t>2</w:t>
      </w:r>
      <w:r w:rsidR="006A3119" w:rsidRPr="006D631C">
        <w:rPr>
          <w:rFonts w:asciiTheme="majorBidi" w:hAnsiTheme="majorBidi" w:cstheme="majorBidi"/>
        </w:rPr>
        <w:t xml:space="preserve"> phases at a similar pore size. Additionally, our work has not only expanded the range of possible membrane pore sizes through synergistic templating but also successfully produced stimuli-responsive H</w:t>
      </w:r>
      <w:r w:rsidR="006A3119" w:rsidRPr="006D631C">
        <w:rPr>
          <w:rFonts w:asciiTheme="majorBidi" w:hAnsiTheme="majorBidi" w:cstheme="majorBidi"/>
          <w:vertAlign w:val="subscript"/>
        </w:rPr>
        <w:t>1</w:t>
      </w:r>
      <w:r w:rsidR="006A3119" w:rsidRPr="006D631C">
        <w:rPr>
          <w:rFonts w:asciiTheme="majorBidi" w:hAnsiTheme="majorBidi" w:cstheme="majorBidi"/>
        </w:rPr>
        <w:t>-structured polyLLC membranes, which is a unique accomplishment.</w:t>
      </w:r>
      <w:r w:rsidR="00AC5355" w:rsidRPr="006D631C">
        <w:rPr>
          <w:rFonts w:asciiTheme="majorBidi" w:hAnsiTheme="majorBidi" w:cstheme="majorBidi"/>
        </w:rPr>
        <w:t xml:space="preserve"> Figure 6-1b exhibits </w:t>
      </w:r>
      <w:r w:rsidR="00D573C0" w:rsidRPr="006D631C">
        <w:rPr>
          <w:rFonts w:asciiTheme="majorBidi" w:hAnsiTheme="majorBidi" w:cstheme="majorBidi"/>
        </w:rPr>
        <w:t>the selectivity/permeability trade-off for the synergistic LLC-templated membranes.</w:t>
      </w:r>
      <w:r w:rsidR="006462B5" w:rsidRPr="006D631C">
        <w:rPr>
          <w:rFonts w:asciiTheme="majorBidi" w:hAnsiTheme="majorBidi" w:cstheme="majorBidi"/>
        </w:rPr>
        <w:t xml:space="preserve"> We have employed 1/pore size as the separation factor representing the membrane selectivity.</w:t>
      </w:r>
      <w:r w:rsidR="007C4AC8" w:rsidRPr="006D631C">
        <w:rPr>
          <w:rFonts w:asciiTheme="majorBidi" w:hAnsiTheme="majorBidi" w:cstheme="majorBidi"/>
        </w:rPr>
        <w:t xml:space="preserve"> Hagen–</w:t>
      </w:r>
      <w:proofErr w:type="spellStart"/>
      <w:r w:rsidR="007C4AC8" w:rsidRPr="006D631C">
        <w:rPr>
          <w:rFonts w:asciiTheme="majorBidi" w:hAnsiTheme="majorBidi" w:cstheme="majorBidi"/>
        </w:rPr>
        <w:t>Poiseuille</w:t>
      </w:r>
      <w:proofErr w:type="spellEnd"/>
      <w:r w:rsidR="007C4AC8" w:rsidRPr="006D631C">
        <w:rPr>
          <w:rFonts w:asciiTheme="majorBidi" w:hAnsiTheme="majorBidi" w:cstheme="majorBidi"/>
        </w:rPr>
        <w:t xml:space="preserve"> equation</w:t>
      </w:r>
      <w:r w:rsidR="005C60C1"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10.1016/j.memsci.2020.118809","ISSN":"03767388","author":[{"dropping-particle":"","family":"Wang","given":"Ruoyu","non-dropping-particle":"","parse-names":false,"suffix":""},{"dropping-particle":"","family":"Lin","given":"Shihong","non-dropping-particle":"","parse-names":false,"suffix":""}],"container-title":"Journal of Membrane Science","id":"ITEM-1","issued":{"date-parts":[["2021","2"]]},"page":"118809","title":"Pore model for nanofiltration: History, theoretical framework, key predictions, limitations, and prospects","type":"article-journal","volume":"620"},"uris":["http://www.mendeley.com/documents/?uuid=404257ea-b2c1-418e-b186-76890f41e649"]}],"mendeley":{"formattedCitation":"&lt;sup&gt;295&lt;/sup&gt;","plainTextFormattedCitation":"295"},"properties":{"noteIndex":0},"schema":"https://github.com/citation-style-language/schema/raw/master/csl-citation.json"}</w:instrText>
      </w:r>
      <w:r w:rsidR="005C60C1"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295</w:t>
      </w:r>
      <w:r w:rsidR="005C60C1" w:rsidRPr="006D631C">
        <w:rPr>
          <w:rFonts w:asciiTheme="majorBidi" w:hAnsiTheme="majorBidi" w:cstheme="majorBidi"/>
        </w:rPr>
        <w:fldChar w:fldCharType="end"/>
      </w:r>
      <w:r w:rsidR="007C4AC8" w:rsidRPr="006D631C">
        <w:rPr>
          <w:rFonts w:asciiTheme="majorBidi" w:hAnsiTheme="majorBidi" w:cstheme="majorBidi"/>
        </w:rPr>
        <w:t xml:space="preserve"> has been used to estimate the </w:t>
      </w:r>
      <w:r w:rsidR="00254646" w:rsidRPr="006D631C">
        <w:rPr>
          <w:rFonts w:asciiTheme="majorBidi" w:hAnsiTheme="majorBidi" w:cstheme="majorBidi"/>
        </w:rPr>
        <w:t xml:space="preserve">theoretical </w:t>
      </w:r>
      <w:r w:rsidR="007C4AC8" w:rsidRPr="006D631C">
        <w:rPr>
          <w:rFonts w:asciiTheme="majorBidi" w:hAnsiTheme="majorBidi" w:cstheme="majorBidi"/>
        </w:rPr>
        <w:t xml:space="preserve">permeability for membranes having different tortuosity (τ) values (τ=1 for </w:t>
      </w:r>
      <w:r w:rsidR="00A3661A" w:rsidRPr="006D631C">
        <w:rPr>
          <w:rFonts w:asciiTheme="majorBidi" w:hAnsiTheme="majorBidi" w:cstheme="majorBidi"/>
        </w:rPr>
        <w:t xml:space="preserve">an ideal </w:t>
      </w:r>
      <w:r w:rsidR="007C4AC8" w:rsidRPr="006D631C">
        <w:rPr>
          <w:rFonts w:asciiTheme="majorBidi" w:hAnsiTheme="majorBidi" w:cstheme="majorBidi"/>
        </w:rPr>
        <w:t>membrane with straight capillary tube pores across the membrane and τ=1.5-2.5</w:t>
      </w:r>
      <w:r w:rsidR="002E14E4" w:rsidRPr="006D631C">
        <w:rPr>
          <w:rFonts w:asciiTheme="majorBidi" w:hAnsiTheme="majorBidi" w:cstheme="majorBidi"/>
        </w:rPr>
        <w:t xml:space="preserve"> as the typical tortuosity range reported for different membranes</w:t>
      </w:r>
      <w:r w:rsidR="002E14E4"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{"citationItems":[{"id":"ITEM-1","itemData":{"DOI":"10.1039/C5EW00159E","ISSN":"2053-1400","abstract":"New membrane technologies based on novel organic, inorganic, and hybrid materials and with unprecedented functionality are reviewed.","author":[{"dropping-particle":"","family":"Lee","given":"Anna","non-dropping-particle":"","parse-names":false,"suffix":""},{"dropping-particle":"","family":"Elam","given":"Jeffrey W.","non-dropping-particle":"","parse-names":false,"suffix":""},{"dropping-particle":"","family":"Darling","given":"Seth B.","non-dropping-particle":"","parse-names":false,"suffix":""}],"container-title":"Environmental Science: Water Research &amp; Technology","id":"ITEM-1","issue":"1","issued":{"date-parts":[["2016"]]},"page":"17-42","title":"Membrane materials for water purification: design, development, and application","type":"article-journal","volume":"2"},"uris":["http://www.mendeley.com/documents/?uuid=5ba3acb5-af5f-4d8b-9af0-3ccf06eaf35a"]}],"mendeley":{"formattedCitation":"&lt;sup&gt;296&lt;/sup&gt;","plainTextFormattedCitation":"296","previouslyFormattedCitation":"&lt;sup&gt;295&lt;/sup&gt;"},"properties":{"noteIndex":0},"schema":"https://github.com/citation-style-language/schema/raw/master/csl-citation.json"}</w:instrText>
      </w:r>
      <w:r w:rsidR="002E14E4"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296</w:t>
      </w:r>
      <w:r w:rsidR="002E14E4" w:rsidRPr="006D631C">
        <w:rPr>
          <w:rFonts w:asciiTheme="majorBidi" w:hAnsiTheme="majorBidi" w:cstheme="majorBidi"/>
        </w:rPr>
        <w:fldChar w:fldCharType="end"/>
      </w:r>
      <w:r w:rsidR="002E14E4" w:rsidRPr="006D631C">
        <w:rPr>
          <w:rFonts w:asciiTheme="majorBidi" w:hAnsiTheme="majorBidi" w:cstheme="majorBidi"/>
        </w:rPr>
        <w:t>)</w:t>
      </w:r>
      <w:r w:rsidR="007C4AC8" w:rsidRPr="006D631C">
        <w:rPr>
          <w:rFonts w:asciiTheme="majorBidi" w:hAnsiTheme="majorBidi" w:cstheme="majorBidi"/>
        </w:rPr>
        <w:t xml:space="preserve">. </w:t>
      </w:r>
      <w:r w:rsidR="00D573C0" w:rsidRPr="006D631C">
        <w:rPr>
          <w:rFonts w:asciiTheme="majorBidi" w:hAnsiTheme="majorBidi" w:cstheme="majorBidi"/>
        </w:rPr>
        <w:t>As can be seen, H</w:t>
      </w:r>
      <w:r w:rsidR="00D573C0" w:rsidRPr="006D631C">
        <w:rPr>
          <w:rFonts w:asciiTheme="majorBidi" w:hAnsiTheme="majorBidi" w:cstheme="majorBidi"/>
          <w:vertAlign w:val="subscript"/>
        </w:rPr>
        <w:t>1</w:t>
      </w:r>
      <w:r w:rsidR="00D573C0" w:rsidRPr="006D631C">
        <w:rPr>
          <w:rFonts w:asciiTheme="majorBidi" w:hAnsiTheme="majorBidi" w:cstheme="majorBidi"/>
        </w:rPr>
        <w:t>-structured membranes</w:t>
      </w:r>
      <w:r w:rsidR="00B65400" w:rsidRPr="006D631C">
        <w:rPr>
          <w:rFonts w:asciiTheme="majorBidi" w:hAnsiTheme="majorBidi" w:cstheme="majorBidi"/>
        </w:rPr>
        <w:t xml:space="preserve"> (including the ones developed in </w:t>
      </w:r>
      <w:r w:rsidR="009C12A4" w:rsidRPr="006D631C">
        <w:rPr>
          <w:rFonts w:asciiTheme="majorBidi" w:hAnsiTheme="majorBidi" w:cstheme="majorBidi"/>
        </w:rPr>
        <w:t>the current study</w:t>
      </w:r>
      <w:r w:rsidR="00B65400" w:rsidRPr="006D631C">
        <w:rPr>
          <w:rFonts w:asciiTheme="majorBidi" w:hAnsiTheme="majorBidi" w:cstheme="majorBidi"/>
        </w:rPr>
        <w:t>)</w:t>
      </w:r>
      <w:r w:rsidR="00D573C0" w:rsidRPr="006D631C">
        <w:rPr>
          <w:rFonts w:asciiTheme="majorBidi" w:hAnsiTheme="majorBidi" w:cstheme="majorBidi"/>
        </w:rPr>
        <w:t xml:space="preserve"> represent a more balanced permeability-selectivity feature over the samples with Q</w:t>
      </w:r>
      <w:r w:rsidR="00D573C0" w:rsidRPr="006D631C">
        <w:rPr>
          <w:rFonts w:asciiTheme="majorBidi" w:hAnsiTheme="majorBidi" w:cstheme="majorBidi"/>
          <w:vertAlign w:val="subscript"/>
        </w:rPr>
        <w:t>1</w:t>
      </w:r>
      <w:r w:rsidR="00D573C0" w:rsidRPr="006D631C">
        <w:rPr>
          <w:rFonts w:asciiTheme="majorBidi" w:hAnsiTheme="majorBidi" w:cstheme="majorBidi"/>
        </w:rPr>
        <w:t xml:space="preserve"> and H</w:t>
      </w:r>
      <w:r w:rsidR="00D573C0" w:rsidRPr="006D631C">
        <w:rPr>
          <w:rFonts w:asciiTheme="majorBidi" w:hAnsiTheme="majorBidi" w:cstheme="majorBidi"/>
          <w:vertAlign w:val="subscript"/>
        </w:rPr>
        <w:t>2</w:t>
      </w:r>
      <w:r w:rsidR="00D573C0" w:rsidRPr="006D631C">
        <w:rPr>
          <w:rFonts w:asciiTheme="majorBidi" w:hAnsiTheme="majorBidi" w:cstheme="majorBidi"/>
        </w:rPr>
        <w:t xml:space="preserve"> structures</w:t>
      </w:r>
      <w:r w:rsidR="00A3661A" w:rsidRPr="006D631C">
        <w:rPr>
          <w:rFonts w:asciiTheme="majorBidi" w:hAnsiTheme="majorBidi" w:cstheme="majorBidi"/>
        </w:rPr>
        <w:t xml:space="preserve"> as they exhibit </w:t>
      </w:r>
      <w:r w:rsidR="00EF74C7" w:rsidRPr="006D631C">
        <w:rPr>
          <w:rFonts w:asciiTheme="majorBidi" w:hAnsiTheme="majorBidi" w:cstheme="majorBidi"/>
        </w:rPr>
        <w:t xml:space="preserve">data points </w:t>
      </w:r>
      <w:r w:rsidR="00A3661A" w:rsidRPr="006D631C">
        <w:rPr>
          <w:rFonts w:asciiTheme="majorBidi" w:hAnsiTheme="majorBidi" w:cstheme="majorBidi"/>
        </w:rPr>
        <w:t>closer to the estimated ideal selectivity/permeability curve (τ=1)</w:t>
      </w:r>
      <w:r w:rsidR="00D573C0" w:rsidRPr="006D631C">
        <w:rPr>
          <w:rFonts w:asciiTheme="majorBidi" w:hAnsiTheme="majorBidi" w:cstheme="majorBidi"/>
        </w:rPr>
        <w:t>, making them an ideal candidate for diffe</w:t>
      </w:r>
      <w:r w:rsidR="00C06794" w:rsidRPr="006D631C">
        <w:rPr>
          <w:rFonts w:asciiTheme="majorBidi" w:hAnsiTheme="majorBidi" w:cstheme="majorBidi"/>
        </w:rPr>
        <w:t>rent application opportunities.</w:t>
      </w:r>
      <w:r w:rsidR="00D573C0" w:rsidRPr="006D631C">
        <w:rPr>
          <w:rFonts w:asciiTheme="majorBidi" w:hAnsiTheme="majorBidi" w:cstheme="majorBidi"/>
        </w:rPr>
        <w:t xml:space="preserve">   </w:t>
      </w:r>
    </w:p>
    <w:p w14:paraId="13E97799" w14:textId="7F6D3EC3" w:rsidR="00E025D8" w:rsidRPr="006D631C" w:rsidRDefault="00E506DA" w:rsidP="005C38B4">
      <w:pPr>
        <w:spacing w:line="240" w:lineRule="auto"/>
        <w:jc w:val="center"/>
        <w:rPr>
          <w:rFonts w:asciiTheme="majorBidi" w:hAnsiTheme="majorBidi" w:cstheme="majorBidi"/>
        </w:rPr>
      </w:pPr>
      <w:r w:rsidRPr="006D631C">
        <w:rPr>
          <w:rFonts w:asciiTheme="majorBidi" w:hAnsiTheme="majorBidi" w:cstheme="majorBidi"/>
          <w:noProof/>
        </w:rPr>
        <w:lastRenderedPageBreak/>
        <w:drawing>
          <wp:inline distT="0" distB="0" distL="0" distR="0" wp14:anchorId="3D821DD8" wp14:editId="3C4462BD">
            <wp:extent cx="3240000" cy="484031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t="1627"/>
                    <a:stretch/>
                  </pic:blipFill>
                  <pic:spPr bwMode="auto">
                    <a:xfrm>
                      <a:off x="0" y="0"/>
                      <a:ext cx="3240000" cy="4840314"/>
                    </a:xfrm>
                    <a:prstGeom prst="rect">
                      <a:avLst/>
                    </a:prstGeom>
                    <a:noFill/>
                    <a:ln>
                      <a:noFill/>
                    </a:ln>
                    <a:extLst>
                      <a:ext uri="{53640926-AAD7-44D8-BBD7-CCE9431645EC}">
                        <a14:shadowObscured xmlns:a14="http://schemas.microsoft.com/office/drawing/2010/main"/>
                      </a:ext>
                    </a:extLst>
                  </pic:spPr>
                </pic:pic>
              </a:graphicData>
            </a:graphic>
          </wp:inline>
        </w:drawing>
      </w:r>
    </w:p>
    <w:p w14:paraId="4BF3971D" w14:textId="11B5267F" w:rsidR="00DE0024" w:rsidRPr="006D631C" w:rsidRDefault="00DE0024" w:rsidP="00F63953">
      <w:pPr>
        <w:pStyle w:val="Caption"/>
        <w:jc w:val="center"/>
        <w:rPr>
          <w:sz w:val="22"/>
          <w:szCs w:val="22"/>
        </w:rPr>
      </w:pPr>
      <w:bookmarkStart w:id="233" w:name="_Toc148175964"/>
      <w:r w:rsidRPr="006D631C">
        <w:rPr>
          <w:sz w:val="22"/>
          <w:szCs w:val="22"/>
        </w:rPr>
        <w:t xml:space="preserve">Figure </w:t>
      </w:r>
      <w:r w:rsidR="00B55F32" w:rsidRPr="006D631C">
        <w:rPr>
          <w:sz w:val="22"/>
          <w:szCs w:val="22"/>
        </w:rPr>
        <w:fldChar w:fldCharType="begin"/>
      </w:r>
      <w:r w:rsidR="00B55F32" w:rsidRPr="006D631C">
        <w:rPr>
          <w:sz w:val="22"/>
          <w:szCs w:val="22"/>
        </w:rPr>
        <w:instrText xml:space="preserve"> STYLEREF 1 \s </w:instrText>
      </w:r>
      <w:r w:rsidR="00B55F32" w:rsidRPr="006D631C">
        <w:rPr>
          <w:sz w:val="22"/>
          <w:szCs w:val="22"/>
        </w:rPr>
        <w:fldChar w:fldCharType="separate"/>
      </w:r>
      <w:r w:rsidR="00B55F32" w:rsidRPr="006D631C">
        <w:rPr>
          <w:sz w:val="22"/>
          <w:szCs w:val="22"/>
          <w:cs/>
        </w:rPr>
        <w:t>‎</w:t>
      </w:r>
      <w:r w:rsidR="00B55F32" w:rsidRPr="006D631C">
        <w:rPr>
          <w:sz w:val="22"/>
          <w:szCs w:val="22"/>
        </w:rPr>
        <w:t>6</w:t>
      </w:r>
      <w:r w:rsidR="00B55F32" w:rsidRPr="006D631C">
        <w:rPr>
          <w:sz w:val="22"/>
          <w:szCs w:val="22"/>
        </w:rPr>
        <w:fldChar w:fldCharType="end"/>
      </w:r>
      <w:r w:rsidR="00B55F32" w:rsidRPr="006D631C">
        <w:rPr>
          <w:sz w:val="22"/>
          <w:szCs w:val="22"/>
        </w:rPr>
        <w:noBreakHyphen/>
      </w:r>
      <w:r w:rsidR="00B55F32" w:rsidRPr="006D631C">
        <w:rPr>
          <w:sz w:val="22"/>
          <w:szCs w:val="22"/>
        </w:rPr>
        <w:fldChar w:fldCharType="begin"/>
      </w:r>
      <w:r w:rsidR="00B55F32" w:rsidRPr="006D631C">
        <w:rPr>
          <w:sz w:val="22"/>
          <w:szCs w:val="22"/>
        </w:rPr>
        <w:instrText xml:space="preserve"> SEQ Figure \* ARABIC \s 1 </w:instrText>
      </w:r>
      <w:r w:rsidR="00B55F32" w:rsidRPr="006D631C">
        <w:rPr>
          <w:sz w:val="22"/>
          <w:szCs w:val="22"/>
        </w:rPr>
        <w:fldChar w:fldCharType="separate"/>
      </w:r>
      <w:r w:rsidR="00B55F32" w:rsidRPr="006D631C">
        <w:rPr>
          <w:sz w:val="22"/>
          <w:szCs w:val="22"/>
        </w:rPr>
        <w:t>1</w:t>
      </w:r>
      <w:r w:rsidR="00B55F32" w:rsidRPr="006D631C">
        <w:rPr>
          <w:sz w:val="22"/>
          <w:szCs w:val="22"/>
        </w:rPr>
        <w:fldChar w:fldCharType="end"/>
      </w:r>
      <w:r w:rsidRPr="006D631C">
        <w:rPr>
          <w:sz w:val="22"/>
          <w:szCs w:val="22"/>
        </w:rPr>
        <w:t xml:space="preserve">. </w:t>
      </w:r>
      <w:r w:rsidR="00782760" w:rsidRPr="006D631C">
        <w:rPr>
          <w:sz w:val="22"/>
          <w:szCs w:val="22"/>
        </w:rPr>
        <w:t xml:space="preserve">(a) </w:t>
      </w:r>
      <w:r w:rsidR="00344E95" w:rsidRPr="006D631C">
        <w:rPr>
          <w:sz w:val="22"/>
          <w:szCs w:val="22"/>
        </w:rPr>
        <w:t>The average pore size and thickness-normalized flux</w:t>
      </w:r>
      <w:r w:rsidR="00A01C8B" w:rsidRPr="006D631C">
        <w:rPr>
          <w:sz w:val="22"/>
          <w:szCs w:val="22"/>
        </w:rPr>
        <w:t xml:space="preserve"> (at 30 psi)</w:t>
      </w:r>
      <w:r w:rsidR="00344E95" w:rsidRPr="006D631C">
        <w:rPr>
          <w:sz w:val="22"/>
          <w:szCs w:val="22"/>
        </w:rPr>
        <w:t xml:space="preserve"> values of the membranes created via synergistic LLC templating</w:t>
      </w:r>
      <w:r w:rsidR="00F5520B" w:rsidRPr="006D631C">
        <w:rPr>
          <w:sz w:val="22"/>
          <w:szCs w:val="22"/>
        </w:rPr>
        <w:t xml:space="preserve"> using different LLC structures</w:t>
      </w:r>
      <w:r w:rsidR="00344E95" w:rsidRPr="006D631C">
        <w:rPr>
          <w:sz w:val="22"/>
          <w:szCs w:val="22"/>
        </w:rPr>
        <w:t>, as reported by Gin et al.,</w:t>
      </w:r>
      <w:r w:rsidR="005A4495" w:rsidRPr="006D631C">
        <w:rPr>
          <w:sz w:val="22"/>
          <w:szCs w:val="22"/>
        </w:rPr>
        <w:fldChar w:fldCharType="begin" w:fldLock="1"/>
      </w:r>
      <w:r w:rsidR="005C60C1" w:rsidRPr="006D631C">
        <w:rPr>
          <w:sz w:val="22"/>
          <w:szCs w:val="22"/>
        </w:rPr>
        <w:instrText>ADDIN CSL_CITATION {"citationItems":[{"id":"ITEM-1","itemData":{"DOI":"10.1002/adma.200500444","ISSN":"09359648","author":[{"dropping-particle":"","family":"Zhou","given":"Meijuan","non-dropping-particle":"","parse-names":false,"suffix":""},{"dropping-particle":"","family":"Kidd","given":"Timothy J.","non-dropping-particle":"","parse-names":false,"suffix":""},{"dropping-particle":"","family":"Noble","given":"Richard D.","non-dropping-particle":"","parse-names":false,"suffix":""},{"dropping-particle":"","family":"Gin","given":"Douglas L.","non-dropping-particle":"","parse-names":false,"suffix":""}],"container-title":"Advanced Materials","id":"ITEM-1","issue":"15","issued":{"date-parts":[["2005"]]},"page":"1850-1853","title":"Supported lyotropic liquid-crystal polymer membranes: Promising materials for molecular-size-selective aqueous nanofiltration","type":"article-journal","volume":"17"},"uris":["http://www.mendeley.com/documents/?uuid=4cf52e9a-3ab4-4b73-be33-440fbf61c3fa"]},{"id":"ITEM-2","itemData":{"DOI":"10.1021/ja073067w","ISSN":"0002-7863","abstract":"A polymeric membrane material for efficient water desalination based on a cross-linked type I bicontinuous cubic (QI) lyotropic liquid crystal (LLC) assembly is described. This ordered, nanoporous, polymer material is formed by the self-assembly of a cross-linkable gemini amphiphile in water and contains interpenetrating organic networks separated from one another by a continuous, ultrathin water layer surface (ca. 0.75 nm gap spacing) with overall cubic symmetry. Supported membranes of this material are produced by hot-pressing the initial LLC monomer gel at high pressure through a commercial microporous hydrophilic membrane support at 70 °C and then radically photocross-linking the infused QI monomer phase. In stirred dead-end water filtration tests, the resulting 40-μm thick, optically transparent, supported LLC membranes exhibit 95-99.9% rejection of dissolved salt ions, neutral molecules and macromolecules, and molecular ions in the 0.64-1.2 nm size range in a single pass. This rejection performance is slightly better than that of a commercial reverse osmosis (RO) membrane for the same solutes under the same test conditions, and significantly better than that of a commercial porous nanofiltration membrane. The LLC polymer material also exhibits a thickness- and pressure-normalized water permeability that is similar to or just slightly lower than the dense active layer materials used in current RO membranes. It is believed that the 3-D interconnected water manifold system in the cross-linked QI-phase material allows small water molecules (0.27 nm kinetic diameter) to pass through with good efficiency, while effectively rejecting dissolved solutes close in size to, or larger than, the about 0.75 nm water layer gap spacing. Copyright © 2007 American Chemical Society.","author":[{"dropping-particle":"","family":"Zhou","given":"Meijuan","non-dropping-particle":"","parse-names":false,"suffix":""},{"dropping-particle":"","family":"Nemade","given":"Parag R.","non-dropping-particle":"","parse-names":false,"suffix":""},{"dropping-particle":"","family":"Lu","given":"Xiaoyun","non-dropping-particle":"","parse-names":false,"suffix":""},{"dropping-particle":"","family":"Zeng","given":"Xiaohui","non-dropping-particle":"","parse-names":false,"suffix":""},{"dropping-particle":"","family":"Hatakeyama","given":"Evan S.","non-dropping-particle":"","parse-names":false,"suffix":""},{"dropping-particle":"","family":"Noble","given":"Richard D.","non-dropping-particle":"","parse-names":false,"suffix":""},{"dropping-particle":"","family":"Gin","given":"Douglas L.","non-dropping-particle":"","parse-names":false,"suffix":""}],"container-title":"Journal of the American Chemical Society","id":"ITEM-2","issue":"31","issued":{"date-parts":[["2007","8","1"]]},"page":"9574-9575","title":"New Type of Membrane Material for Water Desalination Based on a Cross-Linked Bicontinuous Cubic Lyotropic Liquid Crystal Assembly","type":"article-journal","volume":"129"},"uris":["http://www.mendeley.com/documents/?uuid=0d2d8de2-7149-4057-b6fa-a85131e88c1f"]},{"id":"ITEM-3","itemData":{"DOI":"10.1021/cm1013027","ISSN":"08974756","abstract":"New polymerizable gemini ammonium surfactants can be cross-linked in a type I bicontinuous cubic lyotropic liquid crystal phase with water to afford nanoporous polymer membranes with sub-1 nm 3D pores for water nanofiltration applications. © 2010 American Chemical Society.","author":[{"dropping-particle":"","family":"Hatakeyama","given":"Evan S.","non-dropping-particle":"","parse-names":false,"suffix":""},{"dropping-particle":"","family":"Wiesenauer","given":"Brian R.","non-dropping-particle":"","parse-names":false,"suffix":""},{"dropping-particle":"","family":"Gabriel","given":"Christopher J.","non-dropping-particle":"","parse-names":false,"suffix":""},{"dropping-particle":"","family":"Noble","given":"Richard D.","non-dropping-particle":"","parse-names":false,"suffix":""},{"dropping-particle":"","family":"Gin","given":"Douglas L.","non-dropping-particle":"","parse-names":false,"suffix":""}],"container-title":"Chemistry of Materials","id":"ITEM-3","issue":"16","issued":{"date-parts":[["2010"]]},"page":"4525-4527","title":"Nanoporous, bicontinuous cubic lyotropic liquid crystal networks via polymerizable gemini ammonium surfactants","type":"article-journal","volume":"22"},"uris":["http://www.mendeley.com/documents/?uuid=ee60048f-096b-4632-81a8-8b2118bda996"]},{"id":"ITEM-4","itemData":{"DOI":"10.1016/j.memsci.2010.09.028","ISSN":"03767388","abstract":"The water filtration performance of a supported, nanostructured, lyotropic (i.e., surfactant) liquid crystal (LLC) polymer membrane containing uniform, sub-1-nm pores was examined in more detail using more extensive aqueous filtration tests and a more structurally representative nanopore model. This nanoporous membrane material is based on the radical cross-linking of an ionic, LLC monomer that forms a type I bicontinuous cubic (QI) phase with a 3D interconnected, annulus-like, water pore network. Previously, initial water transport studies using a limited number of solutes demonstrated initial proof-of-concept that this LLC polymer membrane can reject small molecules based on molecular size discrimination. In this study, more comprehensive transport experiments using aqueous solutions containing a wider range of different size neutral organic molecules and salt ions were undertaken. The results of these experiments showed that the LLC polymer membrane has a rejection performance in between that of a commercial, high-performance reverse osmosis (RO) membrane (Dow SW30HR) and that of a conventional porous nanofiltration (NF) membrane (Dow NF-270) with non-uniform pore sizes. Specifically, the LLC membrane was found to reject inorganic salt ions much better than a NF membrane, and on a level comparable to a RO membrane. It does not reject small neutral organic solutes as well as a RO membrane, but it was found to reject organic solutes better than a conventional NF membrane. Also, the organic solute rejection behavior was fitted using two different Donnan-steric pore models (DSPM) with different pore shapes (i.e., cylindrical and straight slit). It was determined that the QI-phase LLC membrane has an effective pore radius between 0.29nm and 0.45nm. This modeling also suggested that the LLC nanopores are indeed uniform in size. Initial chemical stability and fouling experiments suggest this nanoporous LLC polymer membrane is also very resistant to chlorine degradation and protein fouling. This combination of properties makes this nanoporous LLC polymer a very promising membrane material for water desalination and other NF processes. © 2010 Elsevier B.V.","author":[{"dropping-particle":"","family":"Hatakeyama","given":"Evan S.","non-dropping-particle":"","parse-names":false,"suffix":""},{"dropping-particle":"","family":"Gabriel","given":"Christopher J.","non-dropping-particle":"","parse-names":false,"suffix":""},{"dropping-particle":"","family":"Wiesenauer","given":"Brian R.","non-dropping-particle":"","parse-names":false,"suffix":""},{"dropping-particle":"","family":"Lohr","given":"Jenny L.","non-dropping-particle":"","parse-names":false,"suffix":""},{"dropping-particle":"","family":"Zhou","given":"Meijuan","non-dropping-particle":"","parse-names":false,"suffix":""},{"dropping-particle":"","family":"Noble","given":"Richard D.","non-dropping-particle":"","parse-names":false,"suffix":""},{"dropping-particle":"","family":"Gin","given":"Douglas L.","non-dropping-particle":"","parse-names":false,"suffix":""}],"container-title":"Journal of Membrane Science","id":"ITEM-4","issue":"1-2","issued":{"date-parts":[["2011"]]},"page":"62-72","title":"Water filtration performance of a lyotropic liquid crystal polymer membrane with uniform, sub-1-nm pores","type":"article-journal","volume":"366"},"uris":["http://www.mendeley.com/documents/?uuid=d888101c-302c-452d-bb53-4b70c2c9325c"]},{"id":"ITEM-5","itemData":{"DOI":"10.1021/cm302027s","ISSN":"15205002","author":[{"dropping-particle":"","family":"Carter","given":"Blaine M.","non-dropping-particle":"","parse-names":false,"suffix":""},{"dropping-particle":"","family":"Wiesenauer","given":"Brian R.","non-dropping-particle":"","parse-names":false,"suffix":""},{"dropping-particle":"","family":"Hatakeyama","given":"Evan S.","non-dropping-particle":"","parse-names":false,"suffix":""},{"dropping-particle":"","family":"Barton","given":"John L.","non-dropping-particle":"","parse-names":false,"suffix":""},{"dropping-particle":"","family":"Noble","given":"Richard D.","non-dropping-particle":"","parse-names":false,"suffix":""},{"dropping-particle":"","family":"Gin","given":"Douglas L.","non-dropping-particle":"","parse-names":false,"suffix":""}],"container-title":"Chemistry of Materials","id":"ITEM-5","issue":"21","issued":{"date-parts":[["2012"]]},"page":"4005-4007","title":"Glycerol-based bicontinuous cubic lyotropic liquid crystal monomer system for the fabrication of thin-film membranes with uniform nanopores","type":"article-journal","volume":"24"},"uris":["http://www.mendeley.com/documents/?uuid=ecdbb3ff-7519-4a65-abca-056edd3369f2"]}],"mendeley":{"formattedCitation":"&lt;sup&gt;34,93,118–120&lt;/sup&gt;","plainTextFormattedCitation":"34,93,118–120","previouslyFormattedCitation":"&lt;sup&gt;34,93,118–120&lt;/sup&gt;"},"properties":{"noteIndex":0},"schema":"https://github.com/citation-style-language/schema/raw/master/csl-citation.json"}</w:instrText>
      </w:r>
      <w:r w:rsidR="005A4495" w:rsidRPr="006D631C">
        <w:rPr>
          <w:sz w:val="22"/>
          <w:szCs w:val="22"/>
        </w:rPr>
        <w:fldChar w:fldCharType="separate"/>
      </w:r>
      <w:r w:rsidR="002E14E4" w:rsidRPr="006D631C">
        <w:rPr>
          <w:noProof/>
          <w:sz w:val="22"/>
          <w:szCs w:val="22"/>
          <w:vertAlign w:val="superscript"/>
        </w:rPr>
        <w:t>34,93,118–120</w:t>
      </w:r>
      <w:r w:rsidR="005A4495" w:rsidRPr="006D631C">
        <w:rPr>
          <w:sz w:val="22"/>
          <w:szCs w:val="22"/>
        </w:rPr>
        <w:fldChar w:fldCharType="end"/>
      </w:r>
      <w:r w:rsidR="00344E95" w:rsidRPr="006D631C">
        <w:rPr>
          <w:sz w:val="22"/>
          <w:szCs w:val="22"/>
        </w:rPr>
        <w:t xml:space="preserve"> Osuji et al.,</w:t>
      </w:r>
      <w:r w:rsidR="006E1799" w:rsidRPr="006D631C">
        <w:rPr>
          <w:sz w:val="22"/>
          <w:szCs w:val="22"/>
        </w:rPr>
        <w:fldChar w:fldCharType="begin" w:fldLock="1"/>
      </w:r>
      <w:r w:rsidR="005C60C1" w:rsidRPr="006D631C">
        <w:rPr>
          <w:sz w:val="22"/>
          <w:szCs w:val="22"/>
        </w:rPr>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Nano","id":"ITEM-1","issue":"5","issued":{"date-parts":[["2021","5","25"]]},"page":"8192-8203","title":"Rapid Fabrication by Lyotropic Self-Assembly of Thin Nanofiltration Membranes with Uniform 1 Nanometer Pores","type":"article-journal","volume":"15"},"uris":["http://www.mendeley.com/documents/?uuid=993ed0cf-ef8f-489a-879b-58c1b71e1a73"]},{"id":"ITEM-2","itemData":{"DOI":"10.1126/sciadv.aav9308","ISSN":"23752548","PMID":"31448326","abstract":"Self-assembled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Advances","id":"ITEM-2","issue":"8","issued":{"date-parts":[["2019","8","9"]]},"page":"eaav9308","title":"Precise nanofiltration in a fouling-resistant self-assembled membrane with water-continuous transport pathways","type":"article-journal","volume":"5"},"uris":["http://www.mendeley.com/documents/?uuid=d507d8b2-fc83-4bd7-9e6d-10370c7b5e6e"]},{"id":"ITEM-3","itemData":{"DOI":"10.1126/sciadv.abm5899","ISSN":"2375-2548","abstract":"Organic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Advances","id":"ITEM-3","issue":"11","issued":{"date-parts":[["2022","3","18"]]},"title":"Tunable organic solvent nanofiltration in self-assembled membranes at the sub–1 nm scale","type":"article-journal","volume":"8"},"uris":["http://www.mendeley.com/documents/?uuid=f4e7114e-b599-410a-a180-ef737c4d9ca1"]}],"mendeley":{"formattedCitation":"&lt;sup&gt;31,125,297&lt;/sup&gt;","plainTextFormattedCitation":"31,125,297","previouslyFormattedCitation":"&lt;sup&gt;31,125,296&lt;/sup&gt;"},"properties":{"noteIndex":0},"schema":"https://github.com/citation-style-language/schema/raw/master/csl-citation.json"}</w:instrText>
      </w:r>
      <w:r w:rsidR="006E1799" w:rsidRPr="006D631C">
        <w:rPr>
          <w:sz w:val="22"/>
          <w:szCs w:val="22"/>
        </w:rPr>
        <w:fldChar w:fldCharType="separate"/>
      </w:r>
      <w:r w:rsidR="005C60C1" w:rsidRPr="006D631C">
        <w:rPr>
          <w:noProof/>
          <w:sz w:val="22"/>
          <w:szCs w:val="22"/>
          <w:vertAlign w:val="superscript"/>
        </w:rPr>
        <w:t>31,125,297</w:t>
      </w:r>
      <w:r w:rsidR="006E1799" w:rsidRPr="006D631C">
        <w:rPr>
          <w:sz w:val="22"/>
          <w:szCs w:val="22"/>
        </w:rPr>
        <w:fldChar w:fldCharType="end"/>
      </w:r>
      <w:r w:rsidR="00344E95" w:rsidRPr="006D631C">
        <w:rPr>
          <w:sz w:val="22"/>
          <w:szCs w:val="22"/>
        </w:rPr>
        <w:t xml:space="preserve"> and the present study.</w:t>
      </w:r>
      <w:r w:rsidR="00A62AB6" w:rsidRPr="006D631C">
        <w:rPr>
          <w:sz w:val="22"/>
          <w:szCs w:val="22"/>
        </w:rPr>
        <w:t xml:space="preserve"> (b) Selectivity/permeability trade-off for the synergistic LLC-templated membranes. 1/pore size has been used as the separation factor representing the membrane selectivity.</w:t>
      </w:r>
      <w:r w:rsidR="00C06794" w:rsidRPr="006D631C">
        <w:rPr>
          <w:rFonts w:asciiTheme="majorBidi" w:hAnsiTheme="majorBidi" w:cstheme="majorBidi"/>
        </w:rPr>
        <w:t xml:space="preserve"> </w:t>
      </w:r>
      <w:r w:rsidR="00C06794" w:rsidRPr="006D631C">
        <w:rPr>
          <w:rFonts w:asciiTheme="majorBidi" w:hAnsiTheme="majorBidi" w:cstheme="majorBidi"/>
          <w:sz w:val="22"/>
          <w:szCs w:val="16"/>
        </w:rPr>
        <w:t>Hagen–</w:t>
      </w:r>
      <w:proofErr w:type="spellStart"/>
      <w:r w:rsidR="00C06794" w:rsidRPr="006D631C">
        <w:rPr>
          <w:rFonts w:asciiTheme="majorBidi" w:hAnsiTheme="majorBidi" w:cstheme="majorBidi"/>
          <w:sz w:val="22"/>
          <w:szCs w:val="16"/>
        </w:rPr>
        <w:t>Poiseuille</w:t>
      </w:r>
      <w:proofErr w:type="spellEnd"/>
      <w:r w:rsidR="00C06794" w:rsidRPr="006D631C">
        <w:rPr>
          <w:rFonts w:asciiTheme="majorBidi" w:hAnsiTheme="majorBidi" w:cstheme="majorBidi"/>
          <w:sz w:val="22"/>
          <w:szCs w:val="16"/>
        </w:rPr>
        <w:t xml:space="preserve"> equation has been used to estimate the theoretical permeability for membranes having different tortuosity (τ) values (τ=1 for an ideal membrane with straight capillary tube pores across the membrane and τ=1.5-2.5 as the typical tortuosity range reported for different membranes</w:t>
      </w:r>
      <w:r w:rsidR="00C06794" w:rsidRPr="006D631C">
        <w:rPr>
          <w:rFonts w:asciiTheme="majorBidi" w:hAnsiTheme="majorBidi" w:cstheme="majorBidi"/>
          <w:sz w:val="22"/>
          <w:szCs w:val="16"/>
        </w:rPr>
        <w:fldChar w:fldCharType="begin" w:fldLock="1"/>
      </w:r>
      <w:r w:rsidR="005C60C1" w:rsidRPr="006D631C">
        <w:rPr>
          <w:rFonts w:asciiTheme="majorBidi" w:hAnsiTheme="majorBidi" w:cstheme="majorBidi"/>
          <w:sz w:val="22"/>
          <w:szCs w:val="16"/>
        </w:rPr>
        <w:instrText>ADDIN CSL_CITATION {"citationItems":[{"id":"ITEM-1","itemData":{"DOI":"10.1039/C5EW00159E","ISSN":"2053-1400","abstract":"New membrane technologies based on novel organic, inorganic, and hybrid materials and with unprecedented functionality are reviewed.","author":[{"dropping-particle":"","family":"Lee","given":"Anna","non-dropping-particle":"","parse-names":false,"suffix":""},{"dropping-particle":"","family":"Elam","given":"Jeffrey W.","non-dropping-particle":"","parse-names":false,"suffix":""},{"dropping-particle":"","family":"Darling","given":"Seth B.","non-dropping-particle":"","parse-names":false,"suffix":""}],"container-title":"Environmental Science: Water Research &amp; Technology","id":"ITEM-1","issue":"1","issued":{"date-parts":[["2016"]]},"page":"17-42","title":"Membrane materials for water purification: design, development, and application","type":"article-journal","volume":"2"},"uris":["http://www.mendeley.com/documents/?uuid=5ba3acb5-af5f-4d8b-9af0-3ccf06eaf35a"]}],"mendeley":{"formattedCitation":"&lt;sup&gt;296&lt;/sup&gt;","plainTextFormattedCitation":"296","previouslyFormattedCitation":"&lt;sup&gt;295&lt;/sup&gt;"},"properties":{"noteIndex":0},"schema":"https://github.com/citation-style-language/schema/raw/master/csl-citation.json"}</w:instrText>
      </w:r>
      <w:r w:rsidR="00C06794" w:rsidRPr="006D631C">
        <w:rPr>
          <w:rFonts w:asciiTheme="majorBidi" w:hAnsiTheme="majorBidi" w:cstheme="majorBidi"/>
          <w:sz w:val="22"/>
          <w:szCs w:val="16"/>
        </w:rPr>
        <w:fldChar w:fldCharType="separate"/>
      </w:r>
      <w:r w:rsidR="005C60C1" w:rsidRPr="006D631C">
        <w:rPr>
          <w:rFonts w:asciiTheme="majorBidi" w:hAnsiTheme="majorBidi" w:cstheme="majorBidi"/>
          <w:noProof/>
          <w:sz w:val="22"/>
          <w:szCs w:val="16"/>
          <w:vertAlign w:val="superscript"/>
        </w:rPr>
        <w:t>296</w:t>
      </w:r>
      <w:r w:rsidR="00C06794" w:rsidRPr="006D631C">
        <w:rPr>
          <w:rFonts w:asciiTheme="majorBidi" w:hAnsiTheme="majorBidi" w:cstheme="majorBidi"/>
          <w:sz w:val="22"/>
          <w:szCs w:val="16"/>
        </w:rPr>
        <w:fldChar w:fldCharType="end"/>
      </w:r>
      <w:r w:rsidR="00C06794" w:rsidRPr="006D631C">
        <w:rPr>
          <w:rFonts w:asciiTheme="majorBidi" w:hAnsiTheme="majorBidi" w:cstheme="majorBidi"/>
          <w:sz w:val="22"/>
          <w:szCs w:val="16"/>
        </w:rPr>
        <w:t>).</w:t>
      </w:r>
      <w:r w:rsidR="00344E95" w:rsidRPr="006D631C">
        <w:rPr>
          <w:sz w:val="22"/>
          <w:szCs w:val="22"/>
        </w:rPr>
        <w:t xml:space="preserve"> Notably, the membranes produced in the current research exhibit the a</w:t>
      </w:r>
      <w:r w:rsidR="00F579BE" w:rsidRPr="006D631C">
        <w:rPr>
          <w:sz w:val="22"/>
          <w:szCs w:val="22"/>
        </w:rPr>
        <w:t xml:space="preserve">bility to alter their pore size and thus selectivity/permeability </w:t>
      </w:r>
      <w:r w:rsidR="00344E95" w:rsidRPr="006D631C">
        <w:rPr>
          <w:sz w:val="22"/>
          <w:szCs w:val="22"/>
        </w:rPr>
        <w:t>in response to temperature</w:t>
      </w:r>
      <w:r w:rsidR="00401FDF" w:rsidRPr="006D631C">
        <w:rPr>
          <w:sz w:val="22"/>
          <w:szCs w:val="22"/>
        </w:rPr>
        <w:t xml:space="preserve"> change from 25 to 45 </w:t>
      </w:r>
      <w:r w:rsidR="00401FDF" w:rsidRPr="006D631C">
        <w:rPr>
          <w:rFonts w:cs="Times New Roman"/>
          <w:sz w:val="22"/>
          <w:szCs w:val="22"/>
        </w:rPr>
        <w:t>°</w:t>
      </w:r>
      <w:r w:rsidR="00401FDF" w:rsidRPr="006D631C">
        <w:rPr>
          <w:sz w:val="22"/>
          <w:szCs w:val="22"/>
        </w:rPr>
        <w:t>C</w:t>
      </w:r>
      <w:r w:rsidR="00344E95" w:rsidRPr="006D631C">
        <w:rPr>
          <w:sz w:val="22"/>
          <w:szCs w:val="22"/>
        </w:rPr>
        <w:t xml:space="preserve">. The red and blue arrows depicted in </w:t>
      </w:r>
      <w:r w:rsidR="00F63953" w:rsidRPr="006D631C">
        <w:rPr>
          <w:sz w:val="22"/>
          <w:szCs w:val="22"/>
        </w:rPr>
        <w:t>(a)</w:t>
      </w:r>
      <w:r w:rsidR="00344E95" w:rsidRPr="006D631C">
        <w:rPr>
          <w:sz w:val="22"/>
          <w:szCs w:val="22"/>
        </w:rPr>
        <w:t xml:space="preserve"> denote the heating and cooling cycles, respectively.</w:t>
      </w:r>
      <w:r w:rsidR="00401FDF" w:rsidRPr="006D631C">
        <w:rPr>
          <w:sz w:val="22"/>
          <w:szCs w:val="22"/>
        </w:rPr>
        <w:t xml:space="preserve"> The membrane having 2.2 nm at 25 </w:t>
      </w:r>
      <w:r w:rsidR="00401FDF" w:rsidRPr="006D631C">
        <w:rPr>
          <w:rFonts w:cs="Times New Roman"/>
          <w:sz w:val="22"/>
          <w:szCs w:val="22"/>
        </w:rPr>
        <w:t>°</w:t>
      </w:r>
      <w:r w:rsidR="00401FDF" w:rsidRPr="006D631C">
        <w:rPr>
          <w:sz w:val="22"/>
          <w:szCs w:val="22"/>
        </w:rPr>
        <w:t>C shows pH-responsiveness in addition to thermoresponsiveness, changing its selectivity towards ionic species with a change in pH.</w:t>
      </w:r>
      <w:bookmarkEnd w:id="233"/>
      <w:r w:rsidR="006129EB" w:rsidRPr="006D631C">
        <w:rPr>
          <w:sz w:val="22"/>
          <w:szCs w:val="22"/>
        </w:rPr>
        <w:t xml:space="preserve"> </w:t>
      </w:r>
    </w:p>
    <w:p w14:paraId="1F4E3C6F" w14:textId="4496775B" w:rsidR="00CC38AA" w:rsidRPr="006D631C" w:rsidRDefault="00CC38AA" w:rsidP="00CC38AA">
      <w:pPr>
        <w:pStyle w:val="Heading2"/>
      </w:pPr>
      <w:bookmarkStart w:id="234" w:name="_Toc148175890"/>
      <w:r w:rsidRPr="006D631C">
        <w:lastRenderedPageBreak/>
        <w:t>6.2 Future work</w:t>
      </w:r>
      <w:bookmarkEnd w:id="234"/>
    </w:p>
    <w:p w14:paraId="373F855B" w14:textId="6F929BA2" w:rsidR="00B35F74" w:rsidRPr="006D631C" w:rsidRDefault="00C36F80" w:rsidP="00D969CD">
      <w:pPr>
        <w:ind w:firstLine="360"/>
      </w:pPr>
      <w:r w:rsidRPr="006D631C">
        <w:t xml:space="preserve">Although this dissertation has made significant progress in using LLC templating to produce stimuli-responsive UF and NF membranes, </w:t>
      </w:r>
      <w:r w:rsidR="00D52257" w:rsidRPr="006D631C">
        <w:t xml:space="preserve">there are still </w:t>
      </w:r>
      <w:r w:rsidR="00D969CD" w:rsidRPr="006D631C">
        <w:t>opportunities</w:t>
      </w:r>
      <w:r w:rsidR="00D52257" w:rsidRPr="006D631C">
        <w:t xml:space="preserve"> to enhance their performance and explore the potential of </w:t>
      </w:r>
      <w:proofErr w:type="spellStart"/>
      <w:r w:rsidR="00D52257" w:rsidRPr="006D631C">
        <w:t>polyLLCs</w:t>
      </w:r>
      <w:proofErr w:type="spellEnd"/>
      <w:r w:rsidR="00D52257" w:rsidRPr="006D631C">
        <w:t xml:space="preserve"> in other applications within the field.</w:t>
      </w:r>
      <w:r w:rsidRPr="006D631C">
        <w:t xml:space="preserve"> The following sections will briefly discuss these opportunities.</w:t>
      </w:r>
    </w:p>
    <w:p w14:paraId="6ACB570A" w14:textId="4D71E208" w:rsidR="007E095F" w:rsidRPr="006D631C" w:rsidRDefault="007E095F" w:rsidP="00A32FA2">
      <w:pPr>
        <w:pStyle w:val="Heading3"/>
      </w:pPr>
      <w:bookmarkStart w:id="235" w:name="_Toc148175891"/>
      <w:r w:rsidRPr="006D631C">
        <w:t xml:space="preserve">6.2.1 </w:t>
      </w:r>
      <w:r w:rsidR="002A02C4" w:rsidRPr="006D631C">
        <w:t>Mesophases with</w:t>
      </w:r>
      <w:r w:rsidR="00865BB7" w:rsidRPr="006D631C">
        <w:t xml:space="preserve"> </w:t>
      </w:r>
      <w:r w:rsidR="00A32FA2" w:rsidRPr="006D631C">
        <w:t>domain</w:t>
      </w:r>
      <w:r w:rsidR="00865BB7" w:rsidRPr="006D631C">
        <w:t xml:space="preserve"> sizes beyond-20 nm</w:t>
      </w:r>
      <w:bookmarkEnd w:id="235"/>
      <w:r w:rsidR="002A02C4" w:rsidRPr="006D631C">
        <w:t xml:space="preserve"> </w:t>
      </w:r>
      <w:r w:rsidRPr="006D631C">
        <w:t xml:space="preserve"> </w:t>
      </w:r>
    </w:p>
    <w:p w14:paraId="041A6B58" w14:textId="61B9B974" w:rsidR="002A02C4" w:rsidRPr="006D631C" w:rsidRDefault="002A02C4" w:rsidP="00131C5E">
      <w:pPr>
        <w:ind w:firstLine="360"/>
      </w:pPr>
      <w:r w:rsidRPr="006D631C">
        <w:t xml:space="preserve">The </w:t>
      </w:r>
      <w:proofErr w:type="spellStart"/>
      <w:r w:rsidRPr="006D631C">
        <w:t>amphiphiles</w:t>
      </w:r>
      <w:proofErr w:type="spellEnd"/>
      <w:r w:rsidRPr="006D631C">
        <w:t xml:space="preserve"> discussed in this work typically have a molecular weight below 1</w:t>
      </w:r>
      <w:r w:rsidR="00865BB7" w:rsidRPr="006D631C">
        <w:t>3</w:t>
      </w:r>
      <w:r w:rsidRPr="006D631C">
        <w:t xml:space="preserve"> </w:t>
      </w:r>
      <w:proofErr w:type="spellStart"/>
      <w:r w:rsidRPr="006D631C">
        <w:t>kDa</w:t>
      </w:r>
      <w:proofErr w:type="spellEnd"/>
      <w:r w:rsidRPr="006D631C">
        <w:t xml:space="preserve">, which inherently restricts the sizes of their lyotropic mesophases to below </w:t>
      </w:r>
      <w:r w:rsidR="00865BB7" w:rsidRPr="006D631C">
        <w:t>20</w:t>
      </w:r>
      <w:r w:rsidRPr="006D631C">
        <w:t xml:space="preserve"> nanometers, often falling into the sub-</w:t>
      </w:r>
      <w:r w:rsidR="00865BB7" w:rsidRPr="006D631C">
        <w:t>10</w:t>
      </w:r>
      <w:r w:rsidRPr="006D631C">
        <w:t xml:space="preserve">-nanometer range. </w:t>
      </w:r>
      <w:r w:rsidR="00A32FA2" w:rsidRPr="006D631C">
        <w:t xml:space="preserve">This limitation can restrict the potential applications for </w:t>
      </w:r>
      <w:proofErr w:type="spellStart"/>
      <w:r w:rsidR="00A32FA2" w:rsidRPr="006D631C">
        <w:t>polyLLCs</w:t>
      </w:r>
      <w:proofErr w:type="spellEnd"/>
      <w:r w:rsidR="00A32FA2" w:rsidRPr="006D631C">
        <w:t xml:space="preserve"> derived from these materials. As previously discussed in section 1.7, common strategies to tackle this challenge involve the use of giant surfactants and swelling LLCs by incorporating charged lipids. However, there is a paucity of research on utilizing such mesophases for synergistic or transcriptive templating. Consequently, further investigation is </w:t>
      </w:r>
      <w:r w:rsidR="00131C5E" w:rsidRPr="006D631C">
        <w:t>required</w:t>
      </w:r>
      <w:r w:rsidR="00A32FA2" w:rsidRPr="006D631C">
        <w:t xml:space="preserve"> to develop LLCs with </w:t>
      </w:r>
      <w:r w:rsidR="00131C5E" w:rsidRPr="006D631C">
        <w:t>different</w:t>
      </w:r>
      <w:r w:rsidR="00A32FA2" w:rsidRPr="006D631C">
        <w:t xml:space="preserve"> structures featuring domain sizes exceeding 20 nanometers and to employ them as templates for polymerization.</w:t>
      </w:r>
      <w:r w:rsidR="00114C13" w:rsidRPr="006D631C">
        <w:t xml:space="preserve"> The effect of larger domain sizes on polymerization kinetics, mechanical properties and mesophase stability after polymerization can be studied. </w:t>
      </w:r>
      <w:r w:rsidR="00A32FA2" w:rsidRPr="006D631C">
        <w:t xml:space="preserve">    </w:t>
      </w:r>
      <w:r w:rsidR="00EE7B26" w:rsidRPr="006D631C">
        <w:t xml:space="preserve"> </w:t>
      </w:r>
    </w:p>
    <w:p w14:paraId="2EB6BDC0" w14:textId="5254A1A1" w:rsidR="00C36F80" w:rsidRPr="006D631C" w:rsidRDefault="00C36F80" w:rsidP="007E095F">
      <w:pPr>
        <w:pStyle w:val="Heading3"/>
      </w:pPr>
      <w:bookmarkStart w:id="236" w:name="_Toc148175892"/>
      <w:r w:rsidRPr="006D631C">
        <w:t>6.2.</w:t>
      </w:r>
      <w:r w:rsidR="007E095F" w:rsidRPr="006D631C">
        <w:t xml:space="preserve">2 </w:t>
      </w:r>
      <w:r w:rsidR="00A76F9D" w:rsidRPr="006D631C">
        <w:t>M</w:t>
      </w:r>
      <w:r w:rsidR="00C25A2F" w:rsidRPr="006D631C">
        <w:t xml:space="preserve">embranes </w:t>
      </w:r>
      <w:r w:rsidR="003A6D8A" w:rsidRPr="006D631C">
        <w:t>with less than 1 µm</w:t>
      </w:r>
      <w:r w:rsidR="00C25A2F" w:rsidRPr="006D631C">
        <w:t xml:space="preserve"> active layer</w:t>
      </w:r>
      <w:r w:rsidR="003A6D8A" w:rsidRPr="006D631C">
        <w:t xml:space="preserve"> thickness</w:t>
      </w:r>
      <w:bookmarkEnd w:id="236"/>
      <w:r w:rsidR="003A6D8A" w:rsidRPr="006D631C">
        <w:t xml:space="preserve"> </w:t>
      </w:r>
    </w:p>
    <w:p w14:paraId="7FAA42CA" w14:textId="06632318" w:rsidR="00C36F80" w:rsidRPr="006D631C" w:rsidRDefault="00302DA7" w:rsidP="005C60C1">
      <w:pPr>
        <w:ind w:firstLine="360"/>
      </w:pPr>
      <w:r w:rsidRPr="006D631C">
        <w:t xml:space="preserve">While the thickness-normalized flux of the membranes produced in this study is comparable to those reported in the literature (as shown in Figure 6-1), reducing the thickness of the active layer </w:t>
      </w:r>
      <w:r w:rsidR="00080097" w:rsidRPr="006D631C">
        <w:t xml:space="preserve">from ~40 µm </w:t>
      </w:r>
      <w:r w:rsidRPr="006D631C">
        <w:t>to less than 1 µm is critical to address the trade-off between permeability and selectivity and make these membranes commercially viable. Recently, Osuji et al. have achieved H</w:t>
      </w:r>
      <w:r w:rsidRPr="006D631C">
        <w:rPr>
          <w:vertAlign w:val="subscript"/>
        </w:rPr>
        <w:t>1</w:t>
      </w:r>
      <w:r w:rsidRPr="006D631C">
        <w:t xml:space="preserve">-structured membranes with a thickness of nearly 100 nm using a combination of solution casting and spin coating. These membranes have effective pore sizes in the 1 nm range and a </w:t>
      </w:r>
      <w:r w:rsidRPr="006D631C">
        <w:lastRenderedPageBreak/>
        <w:t>permeability of around 20 liters m</w:t>
      </w:r>
      <w:r w:rsidRPr="006D631C">
        <w:rPr>
          <w:vertAlign w:val="superscript"/>
        </w:rPr>
        <w:t>-2</w:t>
      </w:r>
      <w:r w:rsidRPr="006D631C">
        <w:t xml:space="preserve"> hour</w:t>
      </w:r>
      <w:r w:rsidRPr="006D631C">
        <w:rPr>
          <w:vertAlign w:val="superscript"/>
        </w:rPr>
        <w:t>-1</w:t>
      </w:r>
      <w:r w:rsidRPr="006D631C">
        <w:t xml:space="preserve"> bar</w:t>
      </w:r>
      <w:r w:rsidRPr="006D631C">
        <w:rPr>
          <w:vertAlign w:val="superscript"/>
        </w:rPr>
        <w:t>-1</w:t>
      </w:r>
      <w:r w:rsidRPr="006D631C">
        <w:t>, which is higher than that of commercially available NF membranes.</w:t>
      </w:r>
      <w:r w:rsidR="00183B3A" w:rsidRPr="006D631C">
        <w:fldChar w:fldCharType="begin" w:fldLock="1"/>
      </w:r>
      <w:r w:rsidR="005C60C1" w:rsidRPr="006D631C">
        <w:instrText>ADDIN CSL_CITATION {"citationItems":[{"id":"ITEM-1","itemData":{"DOI":"10.1021/acsnano.1c00722","ISSN":"1936-0851","author":[{"dropping-particle":"","family":"Zhang","given":"Yizhou","non-dropping-particle":"","parse-names":false,"suffix":""},{"dropping-particle":"","family":"Dong","given":"Ruiqi","non-dropping-particle":"","parse-names":false,"suffix":""},{"dropping-particle":"","family":"Gabinet","given":"Uri R.","non-dropping-particle":"","parse-names":false,"suffix":""},{"dropping-particle":"","family":"Poling-Skutvik","given":"Ryan","non-dropping-particle":"","parse-names":false,"suffix":""},{"dropping-particle":"","family":"Kim","given":"Na Kyung","non-dropping-particle":"","parse-names":false,"suffix":""},{"dropping-particle":"","family":"Lee","given":"Changyeon","non-dropping-particle":"","parse-names":false,"suffix":""},{"dropping-particle":"","family":"Imran","given":"Omar Q.","non-dropping-particle":"","parse-names":false,"suffix":""},{"dropping-particle":"","family":"Feng","given":"Xunda","non-dropping-particle":"","parse-names":false,"suffix":""},{"dropping-particle":"","family":"Osuji","given":"Chinedum O.","non-dropping-particle":"","parse-names":false,"suffix":""}],"container-title":"ACS Nano","id":"ITEM-1","issue":"5","issued":{"date-parts":[["2021","5","25"]]},"page":"8192-8203","title":"Rapid Fabrication by Lyotropic Self-Assembly of Thin Nanofiltration Membranes with Uniform 1 Nanometer Pores","type":"article-journal","volume":"15"},"uris":["http://www.mendeley.com/documents/?uuid=993ed0cf-ef8f-489a-879b-58c1b71e1a73"]}],"mendeley":{"formattedCitation":"&lt;sup&gt;297&lt;/sup&gt;","plainTextFormattedCitation":"297","previouslyFormattedCitation":"&lt;sup&gt;296&lt;/sup&gt;"},"properties":{"noteIndex":0},"schema":"https://github.com/citation-style-language/schema/raw/master/csl-citation.json"}</w:instrText>
      </w:r>
      <w:r w:rsidR="00183B3A" w:rsidRPr="006D631C">
        <w:fldChar w:fldCharType="separate"/>
      </w:r>
      <w:r w:rsidR="005C60C1" w:rsidRPr="006D631C">
        <w:rPr>
          <w:noProof/>
          <w:vertAlign w:val="superscript"/>
        </w:rPr>
        <w:t>297</w:t>
      </w:r>
      <w:r w:rsidR="00183B3A" w:rsidRPr="006D631C">
        <w:fldChar w:fldCharType="end"/>
      </w:r>
      <w:r w:rsidRPr="006D631C">
        <w:t xml:space="preserve"> </w:t>
      </w:r>
      <w:r w:rsidR="00B51C17" w:rsidRPr="006D631C">
        <w:t xml:space="preserve">To achieve the desired membrane thickness for the synergistic templating formulations developed in this study, a combination of heating (to lower the viscosity of the LLC) and spin coating can be utilized. Another option is to use a combination of solution casting and spin coating since our preliminary experiments indicate that we can create a ~60 </w:t>
      </w:r>
      <w:proofErr w:type="spellStart"/>
      <w:r w:rsidR="00B51C17" w:rsidRPr="006D631C">
        <w:t>wt</w:t>
      </w:r>
      <w:proofErr w:type="spellEnd"/>
      <w:r w:rsidR="00B51C17" w:rsidRPr="006D631C">
        <w:t xml:space="preserve">% solution of LLC (the formulation studied in </w:t>
      </w:r>
      <w:r w:rsidR="00EA5AA7" w:rsidRPr="006D631C">
        <w:t xml:space="preserve">Chapter </w:t>
      </w:r>
      <w:r w:rsidR="00B51C17" w:rsidRPr="006D631C">
        <w:t>4) in acetone</w:t>
      </w:r>
      <w:r w:rsidR="00CA27B7" w:rsidRPr="006D631C">
        <w:t xml:space="preserve"> (</w:t>
      </w:r>
      <w:r w:rsidR="009B1875" w:rsidRPr="006D631C">
        <w:t>l</w:t>
      </w:r>
      <w:r w:rsidR="00161E0F" w:rsidRPr="006D631C">
        <w:t xml:space="preserve">aboratory </w:t>
      </w:r>
      <w:r w:rsidR="009B1875" w:rsidRPr="006D631C">
        <w:t>r</w:t>
      </w:r>
      <w:r w:rsidR="00161E0F" w:rsidRPr="006D631C">
        <w:t>eagent, ≥99.5%</w:t>
      </w:r>
      <w:r w:rsidR="00CA27B7" w:rsidRPr="006D631C">
        <w:t>, Sigma-Aldrich)</w:t>
      </w:r>
      <w:r w:rsidR="00B51C17" w:rsidRPr="006D631C">
        <w:t>, and upon evaporation of acetone, the desired LLC structure can be obtained (as confirmed by CPLM).</w:t>
      </w:r>
      <w:r w:rsidR="00872085" w:rsidRPr="006D631C">
        <w:t xml:space="preserve"> The effect of different active layer thicknesses on selectivity, permeability, fouling resistance and stimuli-responsiveness can be further studied. </w:t>
      </w:r>
      <w:r w:rsidR="00B51C17" w:rsidRPr="006D631C">
        <w:t xml:space="preserve">   </w:t>
      </w:r>
      <w:r w:rsidR="000C064A" w:rsidRPr="006D631C">
        <w:t xml:space="preserve"> </w:t>
      </w:r>
      <w:r w:rsidR="00024367" w:rsidRPr="006D631C">
        <w:t xml:space="preserve">    </w:t>
      </w:r>
    </w:p>
    <w:p w14:paraId="016A9772" w14:textId="75143B92" w:rsidR="00FB16E3" w:rsidRPr="006D631C" w:rsidRDefault="00FB16E3" w:rsidP="007E095F">
      <w:pPr>
        <w:pStyle w:val="Heading3"/>
      </w:pPr>
      <w:bookmarkStart w:id="237" w:name="_Toc148175893"/>
      <w:r w:rsidRPr="006D631C">
        <w:t>6.2.</w:t>
      </w:r>
      <w:r w:rsidR="007E095F" w:rsidRPr="006D631C">
        <w:t xml:space="preserve">3 </w:t>
      </w:r>
      <w:r w:rsidR="00A76F9D" w:rsidRPr="006D631C">
        <w:t>S</w:t>
      </w:r>
      <w:r w:rsidRPr="006D631C">
        <w:t xml:space="preserve">ynthesizing </w:t>
      </w:r>
      <w:r w:rsidR="00A86E49" w:rsidRPr="006D631C">
        <w:t>positively cha</w:t>
      </w:r>
      <w:r w:rsidRPr="006D631C">
        <w:t>rged NF membranes</w:t>
      </w:r>
      <w:bookmarkEnd w:id="237"/>
      <w:r w:rsidRPr="006D631C">
        <w:t xml:space="preserve">  </w:t>
      </w:r>
    </w:p>
    <w:p w14:paraId="714094FA" w14:textId="296B6F7A" w:rsidR="00FB16E3" w:rsidRPr="006D631C" w:rsidRDefault="00C774E0" w:rsidP="005C60C1">
      <w:pPr>
        <w:ind w:firstLine="360"/>
      </w:pPr>
      <w:r w:rsidRPr="006D631C">
        <w:t xml:space="preserve">As explained in </w:t>
      </w:r>
      <w:r w:rsidR="00EA5AA7" w:rsidRPr="006D631C">
        <w:t xml:space="preserve">Chapter </w:t>
      </w:r>
      <w:r w:rsidRPr="006D631C">
        <w:t xml:space="preserve">5, the incorporation of </w:t>
      </w:r>
      <w:proofErr w:type="spellStart"/>
      <w:r w:rsidRPr="006D631C">
        <w:t>AAc</w:t>
      </w:r>
      <w:proofErr w:type="spellEnd"/>
      <w:r w:rsidRPr="006D631C">
        <w:t xml:space="preserve"> into LLCs can generate negatively charged polyLLC membranes, which </w:t>
      </w:r>
      <w:r w:rsidR="00B257CF" w:rsidRPr="006D631C">
        <w:t>can separate</w:t>
      </w:r>
      <w:r w:rsidRPr="006D631C">
        <w:t xml:space="preserve"> dissolved salts from water based on electrostatic repulsion between the membrane and their anions. These membranes also exhibit excellent selectivity for sulfate ions over chloride ions. However, in some salt fractionation applications, separation based on cations is preferred because it provides an opportunity to separate valuable metals like lithium and magnesium from other less valuable species like sodium.</w:t>
      </w:r>
      <w:r w:rsidR="000250F6" w:rsidRPr="006D631C">
        <w:fldChar w:fldCharType="begin" w:fldLock="1"/>
      </w:r>
      <w:r w:rsidR="005C60C1" w:rsidRPr="006D631C">
        <w:instrText>ADDIN CSL_CITATION {"citationItems":[{"id":"ITEM-1","itemData":{"DOI":"10.1016/j.desal.2019.114081","ISSN":"00119164","author":[{"dropping-particle":"","family":"Li","given":"Yan","non-dropping-particle":"","parse-names":false,"suffix":""},{"dropping-particle":"","family":"Zhao","given":"YouJing","non-dropping-particle":"","parse-names":false,"suffix":""},{"dropping-particle":"","family":"Wang","given":"Huaiyou","non-dropping-particle":"","parse-names":false,"suffix":""},{"dropping-particle":"","family":"Wang","given":"Min","non-dropping-particle":"","parse-names":false,"suffix":""}],"container-title":"Desalination","id":"ITEM-1","issued":{"date-parts":[["2019","10"]]},"page":"114081","title":"The application of nanofiltration membrane for recovering lithium from salt lake brine","type":"article-journal","volume":"468"},"uris":["http://www.mendeley.com/documents/?uuid=fb02ad49-9407-45ce-ae48-de813921b65f"]}],"mendeley":{"formattedCitation":"&lt;sup&gt;298&lt;/sup&gt;","plainTextFormattedCitation":"298","previouslyFormattedCitation":"&lt;sup&gt;297&lt;/sup&gt;"},"properties":{"noteIndex":0},"schema":"https://github.com/citation-style-language/schema/raw/master/csl-citation.json"}</w:instrText>
      </w:r>
      <w:r w:rsidR="000250F6" w:rsidRPr="006D631C">
        <w:fldChar w:fldCharType="separate"/>
      </w:r>
      <w:r w:rsidR="005C60C1" w:rsidRPr="006D631C">
        <w:rPr>
          <w:noProof/>
          <w:vertAlign w:val="superscript"/>
        </w:rPr>
        <w:t>298</w:t>
      </w:r>
      <w:r w:rsidR="000250F6" w:rsidRPr="006D631C">
        <w:fldChar w:fldCharType="end"/>
      </w:r>
      <w:r w:rsidRPr="006D631C">
        <w:t xml:space="preserve"> Therefore, synthesizing positively charged polyLLC membranes can be considered as the next step in improving the formulation for synergistic LLC templating. </w:t>
      </w:r>
      <w:r w:rsidR="00547FD3" w:rsidRPr="006D631C">
        <w:t xml:space="preserve">Incorporating monomers such as </w:t>
      </w:r>
      <w:r w:rsidR="00335739" w:rsidRPr="006D631C">
        <w:t>2-(</w:t>
      </w:r>
      <w:proofErr w:type="spellStart"/>
      <w:r w:rsidR="00335739" w:rsidRPr="006D631C">
        <w:t>dimethylamino</w:t>
      </w:r>
      <w:proofErr w:type="spellEnd"/>
      <w:proofErr w:type="gramStart"/>
      <w:r w:rsidR="00335739" w:rsidRPr="006D631C">
        <w:t>)ethyl</w:t>
      </w:r>
      <w:proofErr w:type="gramEnd"/>
      <w:r w:rsidR="00335739" w:rsidRPr="006D631C">
        <w:t xml:space="preserve"> methacrylate (</w:t>
      </w:r>
      <w:r w:rsidR="00547FD3" w:rsidRPr="006D631C">
        <w:t>DMAEMA</w:t>
      </w:r>
      <w:r w:rsidR="00335739" w:rsidRPr="006D631C">
        <w:t>)</w:t>
      </w:r>
      <w:r w:rsidR="00547FD3" w:rsidRPr="006D631C">
        <w:t xml:space="preserve"> that contain amine groups in their structure into the LLC formulation could be one approach to achieve the goal of synthesizing positively charged polyLLC membranes. Another way to introduce a positive charge into the membrane is by incorporating amino-functionalized Pluronic into the formulation. </w:t>
      </w:r>
      <w:r w:rsidR="00BB5DC6" w:rsidRPr="006D631C">
        <w:t>There is a literature procedure available for amino-functionalizing Pluronics.</w:t>
      </w:r>
      <w:r w:rsidR="00036E32" w:rsidRPr="006D631C">
        <w:rPr>
          <w:rFonts w:asciiTheme="majorBidi" w:eastAsia="Calibri" w:hAnsiTheme="majorBidi" w:cstheme="majorBidi"/>
          <w:sz w:val="22"/>
          <w:szCs w:val="22"/>
        </w:rPr>
        <w:fldChar w:fldCharType="begin" w:fldLock="1"/>
      </w:r>
      <w:r w:rsidR="005C60C1" w:rsidRPr="006D631C">
        <w:rPr>
          <w:rFonts w:asciiTheme="majorBidi" w:eastAsia="Calibri" w:hAnsiTheme="majorBidi" w:cstheme="majorBidi"/>
          <w:sz w:val="22"/>
          <w:szCs w:val="22"/>
        </w:rPr>
        <w:instrText>ADDIN CSL_CITATION {"citationItems":[{"id":"ITEM-1","itemData":{"DOI":"10.3144/expresspolymlett.2016.20","ISSN":"1788618X","author":[{"dropping-particle":"","family":"Gyulai","given":"G.","non-dropping-particle":"","parse-names":false,"suffix":""},{"dropping-particle":"","family":"Magyar","given":"A.","non-dropping-particle":"","parse-names":false,"suffix":""},{"dropping-particle":"","family":"Rohonczy","given":"J.","non-dropping-particle":"","parse-names":false,"suffix":""},{"dropping-particle":"","family":"Orosz","given":"J.","non-dropping-particle":"","parse-names":false,"suffix":""},{"dropping-particle":"","family":"Yamasaki","given":"M.","non-dropping-particle":"","parse-names":false,"suffix":""},{"dropping-particle":"","family":"Bosze","given":"Sz.","non-dropping-particle":"","parse-names":false,"suffix":""},{"dropping-particle":"","family":"Kiss","given":"E.","non-dropping-particle":"","parse-names":false,"suffix":""}],"container-title":"Express Polymer Letters","id":"ITEM-1","issue":"3","issued":{"date-parts":[["2016"]]},"page":"216-226","title":"Preparation and characterization of cationic Pluronic for surface modification and functionalization of polymeric drug delivery nanoparticles","type":"article-journal","volume":"10"},"uris":["http://www.mendeley.com/documents/?uuid=a9e890e1-7a05-474f-a60c-f127c567a057"]}],"mendeley":{"formattedCitation":"&lt;sup&gt;299&lt;/sup&gt;","plainTextFormattedCitation":"299","previouslyFormattedCitation":"&lt;sup&gt;298&lt;/sup&gt;"},"properties":{"noteIndex":0},"schema":"https://github.com/citation-style-language/schema/raw/master/csl-citation.json"}</w:instrText>
      </w:r>
      <w:r w:rsidR="00036E32" w:rsidRPr="006D631C">
        <w:rPr>
          <w:rFonts w:asciiTheme="majorBidi" w:eastAsia="Calibri" w:hAnsiTheme="majorBidi" w:cstheme="majorBidi"/>
          <w:sz w:val="22"/>
          <w:szCs w:val="22"/>
        </w:rPr>
        <w:fldChar w:fldCharType="separate"/>
      </w:r>
      <w:r w:rsidR="005C60C1" w:rsidRPr="006D631C">
        <w:rPr>
          <w:rFonts w:asciiTheme="majorBidi" w:eastAsia="Calibri" w:hAnsiTheme="majorBidi" w:cstheme="majorBidi"/>
          <w:noProof/>
          <w:sz w:val="22"/>
          <w:szCs w:val="22"/>
          <w:vertAlign w:val="superscript"/>
        </w:rPr>
        <w:t>299</w:t>
      </w:r>
      <w:r w:rsidR="00036E32" w:rsidRPr="006D631C">
        <w:rPr>
          <w:rFonts w:asciiTheme="majorBidi" w:eastAsia="Calibri" w:hAnsiTheme="majorBidi" w:cstheme="majorBidi"/>
          <w:sz w:val="22"/>
          <w:szCs w:val="22"/>
        </w:rPr>
        <w:fldChar w:fldCharType="end"/>
      </w:r>
      <w:r w:rsidR="007D73E8" w:rsidRPr="006D631C">
        <w:t xml:space="preserve"> </w:t>
      </w:r>
      <w:r w:rsidR="0028686D" w:rsidRPr="006D631C">
        <w:t xml:space="preserve">The relationship between the content </w:t>
      </w:r>
      <w:proofErr w:type="gramStart"/>
      <w:r w:rsidR="0028686D" w:rsidRPr="006D631C">
        <w:t>or</w:t>
      </w:r>
      <w:proofErr w:type="gramEnd"/>
      <w:r w:rsidR="0028686D" w:rsidRPr="006D631C">
        <w:t xml:space="preserve"> nature of </w:t>
      </w:r>
      <w:r w:rsidR="0028686D" w:rsidRPr="006D631C">
        <w:lastRenderedPageBreak/>
        <w:t xml:space="preserve">cationic specie incorporated into the membrane and the membrane selectivity towards various ions can be explored.  </w:t>
      </w:r>
      <w:r w:rsidR="002A7EC0" w:rsidRPr="006D631C">
        <w:t xml:space="preserve"> </w:t>
      </w:r>
      <w:r w:rsidR="00A64C15" w:rsidRPr="006D631C">
        <w:t xml:space="preserve">  </w:t>
      </w:r>
      <w:r w:rsidR="00353255" w:rsidRPr="006D631C">
        <w:t xml:space="preserve"> </w:t>
      </w:r>
      <w:r w:rsidR="0063430E" w:rsidRPr="006D631C">
        <w:t xml:space="preserve"> </w:t>
      </w:r>
      <w:r w:rsidR="009D2830" w:rsidRPr="006D631C">
        <w:t xml:space="preserve"> </w:t>
      </w:r>
      <w:r w:rsidR="00FB16E3" w:rsidRPr="006D631C">
        <w:t xml:space="preserve">     </w:t>
      </w:r>
    </w:p>
    <w:p w14:paraId="506AA935" w14:textId="7EE7F8AD" w:rsidR="0067389F" w:rsidRPr="006D631C" w:rsidRDefault="0067389F" w:rsidP="007E095F">
      <w:pPr>
        <w:pStyle w:val="Heading3"/>
      </w:pPr>
      <w:bookmarkStart w:id="238" w:name="_Toc148175894"/>
      <w:r w:rsidRPr="006D631C">
        <w:t>6.2.</w:t>
      </w:r>
      <w:r w:rsidR="007E095F" w:rsidRPr="006D631C">
        <w:t xml:space="preserve">4 </w:t>
      </w:r>
      <w:r w:rsidRPr="006D631C">
        <w:t>PolyLLCs for heavy metal ions removal from wastewater</w:t>
      </w:r>
      <w:bookmarkEnd w:id="238"/>
      <w:r w:rsidRPr="006D631C">
        <w:t xml:space="preserve">  </w:t>
      </w:r>
    </w:p>
    <w:p w14:paraId="5834E4FC" w14:textId="1724145A" w:rsidR="00720037" w:rsidRPr="006D631C" w:rsidRDefault="00720037" w:rsidP="005C60C1">
      <w:pPr>
        <w:ind w:firstLine="360"/>
        <w:rPr>
          <w:rFonts w:asciiTheme="majorBidi" w:hAnsiTheme="majorBidi" w:cstheme="majorBidi"/>
        </w:rPr>
      </w:pPr>
      <w:r w:rsidRPr="006D631C">
        <w:rPr>
          <w:rFonts w:asciiTheme="majorBidi" w:hAnsiTheme="majorBidi" w:cstheme="majorBidi"/>
        </w:rPr>
        <w:t>The contamination of water resources by toxic heavy metals is a significant environmental issue related to the large-scale production of materials such as energy storage devices, paint and coating, and pharmaceuticals.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{"citationItems":[{"id":"ITEM-1","itemData":{"DOI":"10.1016/j.scitotenv.2018.05.326","ISSN":"18791026","abstract":"In the present work, polymer-coated multiwalled carbon nanotube (MWCNT) was prepared via RAFT method. First, a novel trithiocarbonate-based RAFT agent was prepared attached chemically into the surface of MWCNT. In addition, the RAFT co-polymerization of acrylic acid and acrylamide monomers was conducted through the prepared RAFT agent. In the next age, the surface morphology and chemical properties of the prepared components were fully examined by using FTIR, 1HNMR, SEM, TEM, XRD and TGA/DTG techniques. Finally, the modified MWCNT composite was employed as an excellent adsorbent for the adsorption of copper (II) ions. The results indicated that ion adsorption basically relies on adsorbing time, solution pH, initial copper concentration, and adsorbent dosage. Further, the adsorption kinetics and isotherm analysis demonstrated that the adsorption mode was fitted with the pseudo-second-order and Langmuir isotherm models, respectively. Based on the results of thermodynamic study, the ion adsorption process was endothermic and spontaneous. Finally, based on the experimental results, the surface functionalized MWCNT with hydrophilic groups could be successfully used as a promising selective adsorbent material in wastewater treatment.","author":[{"dropping-particle":"","family":"Hosseinzadeh","given":"Hossein","non-dropping-particle":"","parse-names":false,"suffix":""},{"dropping-particle":"","family":"Pashaei","given":"Shahryar","non-dropping-particle":"","parse-names":false,"suffix":""},{"dropping-particle":"","family":"Hosseinzadeh","given":"Soleyman","non-dropping-particle":"","parse-names":false,"suffix":""},{"dropping-particle":"","family":"Khodaparast","given":"Zahra","non-dropping-particle":"","parse-names":false,"suffix":""},{"dropping-particle":"","family":"Ramin","given":"Sonia","non-dropping-particle":"","parse-names":false,"suffix":""},{"dropping-particle":"","family":"Saadat","given":"Younes","non-dropping-particle":"","parse-names":false,"suffix":""}],"container-title":"Science of the Total Environment","id":"ITEM-1","issued":{"date-parts":[["2018"]]},"page":"303-314","title":"Preparation of novel multi-walled carbon nanotubes nanocomposite adsorbent via RAFT technique for the adsorption of toxic copper ions","type":"article-journal","volume":"640-641"},"uris":["http://www.mendeley.com/documents/?uuid=65ba050b-7981-4ab5-acf9-11de1f16c535"]}],"mendeley":{"formattedCitation":"&lt;sup&gt;300&lt;/sup&gt;","plainTextFormattedCitation":"300","previouslyFormattedCitation":"&lt;sup&gt;299&lt;/sup&gt;"},"properties":{"noteIndex":0},"schema":"https://github.com/citation-style-language/schema/raw/master/csl-citation.json"}</w:instrText>
      </w:r>
      <w:r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300</w:t>
      </w:r>
      <w:r w:rsidRPr="006D631C">
        <w:rPr>
          <w:rFonts w:asciiTheme="majorBidi" w:hAnsiTheme="majorBidi" w:cstheme="majorBidi"/>
        </w:rPr>
        <w:fldChar w:fldCharType="end"/>
      </w:r>
      <w:r w:rsidRPr="006D631C">
        <w:rPr>
          <w:rFonts w:asciiTheme="majorBidi" w:hAnsiTheme="majorBidi" w:cstheme="majorBidi"/>
        </w:rPr>
        <w:t xml:space="preserve"> These substances can cause several health problems for humans. For example, lead ion accumulation in the body can lead to blood disorders, anorexia, and kidney malfunction.</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10.1016/j.cej.2015.12.081","ISSN":"13858947","author":[{"dropping-particle":"","family":"Abdullah","given":"N.","non-dropping-particle":"","parse-names":false,"suffix":""},{"dropping-particle":"","family":"Gohari","given":"R.J.","non-dropping-particle":"","parse-names":false,"suffix":""},{"dropping-particle":"","family":"Yusof","given":"N.","non-dropping-particle":"","parse-names":false,"suffix":""},{"dropping-particle":"","family":"Ismail","given":"A.F.","non-dropping-particle":"","parse-names":false,"suffix":""},{"dropping-particle":"","family":"Juhana","given":"J.","non-dropping-particle":"","parse-names":false,"suffix":""},{"dropping-particle":"","family":"Lau","given":"W.J.","non-dropping-particle":"","parse-names":false,"suffix":""},{"dropping-particle":"","family":"Matsuura","given":"T.","non-dropping-particle":"","parse-names":false,"suffix":""}],"container-title":"Chemical Engineering Journal","id":"ITEM-1","issued":{"date-parts":[["2016","4"]]},"page":"28-37","title":"Polysulfone/hydrous ferric oxide ultrafiltration mixed matrix membrane: Preparation, characterization and its adsorptive removal of lead (II) from aqueous solution","type":"article-journal","volume":"289"},"uris":["http://www.mendeley.com/documents/?uuid=05748a8c-fc34-4233-9461-c32b0fb7fb7d"]}],"mendeley":{"formattedCitation":"&lt;sup&gt;301&lt;/sup&gt;","plainTextFormattedCitation":"301","previouslyFormattedCitation":"&lt;sup&gt;300&lt;/sup&gt;"},"properties":{"noteIndex":0},"schema":"https://github.com/citation-style-language/schema/raw/master/csl-citation.json"}</w:instrText>
      </w:r>
      <w:r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301</w:t>
      </w:r>
      <w:r w:rsidRPr="006D631C">
        <w:rPr>
          <w:rFonts w:asciiTheme="majorBidi" w:hAnsiTheme="majorBidi" w:cstheme="majorBidi"/>
        </w:rPr>
        <w:fldChar w:fldCharType="end"/>
      </w:r>
      <w:r w:rsidRPr="006D631C">
        <w:rPr>
          <w:rFonts w:asciiTheme="majorBidi" w:hAnsiTheme="majorBidi" w:cstheme="majorBidi"/>
        </w:rPr>
        <w:t xml:space="preserve"> To address this issue, scientists have developed various methods for removing toxic components from wastewater, including ion exchange, precipitation, flotation, adsorption, and membrane separation. Among these methods, adsorption is known for its excellent efficiency, relative simplicity, and recyclability.</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{"citationItems":[{"id":"ITEM-1","itemData":{"DOI":"10.3390/met11060864","ISSN":"2075-4701","abstract":"The growth of industry fulfills our necessity and promotes economic development. However, pollutants from such industries pollute water bodies which pose a high risk for living organisms. Thus, researchers have been urged to develop an efficient method to remove toxic heavy metal ions from water bodies. The adsorption method shows promising results for the removal of heavy metal ions and is easy to operate on a large scale, thus can be applied to practical applications. Numerous adsorbents were developed and reported, among them hydrogels, which attract great attention because of the reusability, ease of preparation, and handling. Hydrogels are generally prepared by the cross-linking of polymers that result in a three-dimensional structure, showing high porosity and high functionality. They are hydrophilic in nature because of the functional groups, and are non-toxic. Thus, this review provides various methods of hydrogel adsorbents preparation and summarizes recent progress in the use of hydrogel adsorbents for the removal of heavy metal ions. Further, the mechanism involved in the removal of heavy metal ions is briefly discussed. The most recent studies about the adsorption method for the treatment of heavy metal ions contaminated water are presented.","author":[{"dropping-particle":"","family":"Perumal","given":"Suguna","non-dropping-particle":"","parse-names":false,"suffix":""},{"dropping-particle":"","family":"Atchudan","given":"Raji","non-dropping-particle":"","parse-names":false,"suffix":""},{"dropping-particle":"","family":"Edison","given":"Thomas Nesakumar Jebakumar Immanuel","non-dropping-particle":"","parse-names":false,"suffix":""},{"dropping-particle":"","family":"Babu","given":"Rajendran Suresh","non-dropping-particle":"","parse-names":false,"suffix":""},{"dropping-particle":"","family":"Karpagavinayagam","given":"Petchimuthu","non-dropping-particle":"","parse-names":false,"suffix":""},{"dropping-particle":"","family":"Vedhi","given":"Chinnapiyan","non-dropping-particle":"","parse-names":false,"suffix":""}],"container-title":"Metals","id":"ITEM-1","issue":"6","issued":{"date-parts":[["2021","5","25"]]},"page":"864","title":"A Short Review on Recent Advances of Hydrogel-Based Adsorbents for Heavy Metal Ions","type":"article-journal","volume":"11"},"uris":["http://www.mendeley.com/documents/?uuid=7224c754-8a95-4083-ba32-f8dfafdcb180"]}],"mendeley":{"formattedCitation":"&lt;sup&gt;302&lt;/sup&gt;","plainTextFormattedCitation":"302","previouslyFormattedCitation":"&lt;sup&gt;301&lt;/sup&gt;"},"properties":{"noteIndex":0},"schema":"https://github.com/citation-style-language/schema/raw/master/csl-citation.json"}</w:instrText>
      </w:r>
      <w:r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302</w:t>
      </w:r>
      <w:r w:rsidRPr="006D631C">
        <w:rPr>
          <w:rFonts w:asciiTheme="majorBidi" w:hAnsiTheme="majorBidi" w:cstheme="majorBidi"/>
        </w:rPr>
        <w:fldChar w:fldCharType="end"/>
      </w:r>
    </w:p>
    <w:p w14:paraId="20B45C02" w14:textId="004226D2" w:rsidR="006004EF" w:rsidRPr="006D631C" w:rsidRDefault="006004EF" w:rsidP="005C60C1">
      <w:pPr>
        <w:ind w:firstLine="360"/>
        <w:rPr>
          <w:rFonts w:asciiTheme="majorBidi" w:hAnsiTheme="majorBidi" w:cstheme="majorBidi"/>
        </w:rPr>
      </w:pPr>
      <w:r w:rsidRPr="006D631C">
        <w:rPr>
          <w:rFonts w:asciiTheme="majorBidi" w:hAnsiTheme="majorBidi" w:cstheme="majorBidi"/>
        </w:rPr>
        <w:t xml:space="preserve">The efficient adsorption process for removing toxic heavy metals from wastewater usually involves two main steps: diffusion of the </w:t>
      </w:r>
      <w:proofErr w:type="spellStart"/>
      <w:r w:rsidRPr="006D631C">
        <w:rPr>
          <w:rFonts w:asciiTheme="majorBidi" w:hAnsiTheme="majorBidi" w:cstheme="majorBidi"/>
        </w:rPr>
        <w:t>adsorbate</w:t>
      </w:r>
      <w:proofErr w:type="spellEnd"/>
      <w:r w:rsidRPr="006D631C">
        <w:rPr>
          <w:rFonts w:asciiTheme="majorBidi" w:hAnsiTheme="majorBidi" w:cstheme="majorBidi"/>
        </w:rPr>
        <w:t xml:space="preserve"> into the adsorbent and chelation of the metal ion via the chelating sites of the adsorbent. The former step can be regulated through the porosity of the adsorbent, while the latter is controlled by the quantity and accessibility of the functional sites.</w:t>
      </w:r>
      <w:r w:rsidR="00D60727"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acsomega.9b03405","ISSN":"2470-1343","author":[{"dropping-particle":"","family":"Chen","given":"Jing","non-dropping-particle":"","parse-names":false,"suffix":""},{"dropping-particle":"","family":"Jiang","given":"Xuyang","non-dropping-particle":"","parse-names":false,"suffix":""},{"dropping-particle":"","family":"Yin","given":"Dezhong","non-dropping-particle":"","parse-names":false,"suffix":""},{"dropping-particle":"","family":"Zhang","given":"Wei","non-dropping-particle":"","parse-names":false,"suffix":""}],"container-title":"ACS Omega","id":"ITEM-1","issue":"32","issued":{"date-parts":[["2020","8","18"]]},"page":"19920-19927","title":"Preparation of a Hydrogel-Based Adsorbent for Metal Ions through High Internal Phase Emulsion Polymerization","type":"article-journal","volume":"5"},"uris":["http://www.mendeley.com/documents/?uuid=25bbec32-432c-4827-af03-576d67aa8ece"]}],"mendeley":{"formattedCitation":"&lt;sup&gt;303&lt;/sup&gt;","plainTextFormattedCitation":"303","previouslyFormattedCitation":"&lt;sup&gt;302&lt;/sup&gt;"},"properties":{"noteIndex":0},"schema":"https://github.com/citation-style-language/schema/raw/master/csl-citation.json"}</w:instrText>
      </w:r>
      <w:r w:rsidR="00D60727"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303</w:t>
      </w:r>
      <w:r w:rsidR="00D60727" w:rsidRPr="006D631C">
        <w:rPr>
          <w:rFonts w:asciiTheme="majorBidi" w:hAnsiTheme="majorBidi" w:cstheme="majorBidi"/>
        </w:rPr>
        <w:fldChar w:fldCharType="end"/>
      </w:r>
      <w:r w:rsidRPr="006D631C">
        <w:rPr>
          <w:rFonts w:asciiTheme="majorBidi" w:hAnsiTheme="majorBidi" w:cstheme="majorBidi"/>
        </w:rPr>
        <w:t xml:space="preserve"> Porous polymer hydrogels are excellent candidates for this purpose as they offer high transport rates and contain functional groups like carboxyl (−COOH), hydroxyl (−OH), and amine (−NH2), which can act as chelating sites. Moreover, the molecular chains of hydrogels are highly stretched upon swelling with water, resulting in an excellent accessibility of chelating sites to metal ions.</w:t>
      </w:r>
      <w:r w:rsidR="00D60727"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acsomega.9b03405","ISSN":"2470-1343","author":[{"dropping-particle":"","family":"Chen","given":"Jing","non-dropping-particle":"","parse-names":false,"suffix":""},{"dropping-particle":"","family":"Jiang","given":"Xuyang","non-dropping-particle":"","parse-names":false,"suffix":""},{"dropping-particle":"","family":"Yin","given":"Dezhong","non-dropping-particle":"","parse-names":false,"suffix":""},{"dropping-particle":"","family":"Zhang","given":"Wei","non-dropping-particle":"","parse-names":false,"suffix":""}],"container-title":"ACS Omega","id":"ITEM-1","issue":"32","issued":{"date-parts":[["2020","8","18"]]},"page":"19920-19927","title":"Preparation of a Hydrogel-Based Adsorbent for Metal Ions through High Internal Phase Emulsion Polymerization","type":"article-journal","volume":"5"},"uris":["http://www.mendeley.com/documents/?uuid=25bbec32-432c-4827-af03-576d67aa8ece"]}],"mendeley":{"formattedCitation":"&lt;sup&gt;303&lt;/sup&gt;","plainTextFormattedCitation":"303","previouslyFormattedCitation":"&lt;sup&gt;302&lt;/sup&gt;"},"properties":{"noteIndex":0},"schema":"https://github.com/citation-style-language/schema/raw/master/csl-citation.json"}</w:instrText>
      </w:r>
      <w:r w:rsidR="00D60727"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303</w:t>
      </w:r>
      <w:r w:rsidR="00D60727" w:rsidRPr="006D631C">
        <w:rPr>
          <w:rFonts w:asciiTheme="majorBidi" w:hAnsiTheme="majorBidi" w:cstheme="majorBidi"/>
        </w:rPr>
        <w:fldChar w:fldCharType="end"/>
      </w:r>
      <w:r w:rsidRPr="006D631C">
        <w:rPr>
          <w:rFonts w:asciiTheme="majorBidi" w:hAnsiTheme="majorBidi" w:cstheme="majorBidi"/>
        </w:rPr>
        <w:t xml:space="preserve"> We believe that the adsorption capacity and ion removal efficiency of polymeric hydrogels can be further improved by using well-ordered </w:t>
      </w:r>
      <w:proofErr w:type="spellStart"/>
      <w:r w:rsidRPr="006D631C">
        <w:rPr>
          <w:rFonts w:asciiTheme="majorBidi" w:hAnsiTheme="majorBidi" w:cstheme="majorBidi"/>
        </w:rPr>
        <w:t>nanoporous</w:t>
      </w:r>
      <w:proofErr w:type="spellEnd"/>
      <w:r w:rsidRPr="006D631C">
        <w:rPr>
          <w:rFonts w:asciiTheme="majorBidi" w:hAnsiTheme="majorBidi" w:cstheme="majorBidi"/>
        </w:rPr>
        <w:t xml:space="preserve"> hydrogels synthesized in LLC templates. </w:t>
      </w:r>
      <w:r w:rsidR="0077445E" w:rsidRPr="006D631C">
        <w:rPr>
          <w:rFonts w:asciiTheme="majorBidi" w:hAnsiTheme="majorBidi" w:cstheme="majorBidi"/>
        </w:rPr>
        <w:t xml:space="preserve">The LLC formulation that was developed in </w:t>
      </w:r>
      <w:r w:rsidR="00C764C0" w:rsidRPr="006D631C">
        <w:rPr>
          <w:rFonts w:asciiTheme="majorBidi" w:hAnsiTheme="majorBidi" w:cstheme="majorBidi"/>
        </w:rPr>
        <w:t xml:space="preserve">Chapter </w:t>
      </w:r>
      <w:r w:rsidR="0077445E" w:rsidRPr="006D631C">
        <w:rPr>
          <w:rFonts w:asciiTheme="majorBidi" w:hAnsiTheme="majorBidi" w:cstheme="majorBidi"/>
        </w:rPr>
        <w:t xml:space="preserve">5 and contains </w:t>
      </w:r>
      <w:proofErr w:type="spellStart"/>
      <w:r w:rsidR="0077445E" w:rsidRPr="006D631C">
        <w:rPr>
          <w:rFonts w:asciiTheme="majorBidi" w:hAnsiTheme="majorBidi" w:cstheme="majorBidi"/>
        </w:rPr>
        <w:t>AAc</w:t>
      </w:r>
      <w:proofErr w:type="spellEnd"/>
      <w:r w:rsidR="0077445E" w:rsidRPr="006D631C">
        <w:rPr>
          <w:rFonts w:asciiTheme="majorBidi" w:hAnsiTheme="majorBidi" w:cstheme="majorBidi"/>
        </w:rPr>
        <w:t xml:space="preserve"> is a promising candidate for this application, as hydrogels synthesized with </w:t>
      </w:r>
      <w:proofErr w:type="spellStart"/>
      <w:r w:rsidR="0077445E" w:rsidRPr="006D631C">
        <w:rPr>
          <w:rFonts w:asciiTheme="majorBidi" w:hAnsiTheme="majorBidi" w:cstheme="majorBidi"/>
        </w:rPr>
        <w:t>AAc</w:t>
      </w:r>
      <w:proofErr w:type="spellEnd"/>
      <w:r w:rsidR="0077445E" w:rsidRPr="006D631C">
        <w:rPr>
          <w:rFonts w:asciiTheme="majorBidi" w:hAnsiTheme="majorBidi" w:cstheme="majorBidi"/>
        </w:rPr>
        <w:t xml:space="preserve"> have been extensively used in </w:t>
      </w:r>
      <w:r w:rsidR="0077445E" w:rsidRPr="006D631C">
        <w:rPr>
          <w:rFonts w:asciiTheme="majorBidi" w:hAnsiTheme="majorBidi" w:cstheme="majorBidi"/>
        </w:rPr>
        <w:lastRenderedPageBreak/>
        <w:t>the adsorption of various heavy metal ions (e.g., Cu</w:t>
      </w:r>
      <w:r w:rsidR="0077445E" w:rsidRPr="006D631C">
        <w:rPr>
          <w:rFonts w:asciiTheme="majorBidi" w:hAnsiTheme="majorBidi" w:cstheme="majorBidi"/>
          <w:vertAlign w:val="superscript"/>
        </w:rPr>
        <w:t>2+</w:t>
      </w:r>
      <w:r w:rsidR="0077445E" w:rsidRPr="006D631C">
        <w:rPr>
          <w:rFonts w:asciiTheme="majorBidi" w:hAnsiTheme="majorBidi" w:cstheme="majorBidi"/>
        </w:rPr>
        <w:t>, Cd</w:t>
      </w:r>
      <w:r w:rsidR="0077445E" w:rsidRPr="006D631C">
        <w:rPr>
          <w:rFonts w:asciiTheme="majorBidi" w:hAnsiTheme="majorBidi" w:cstheme="majorBidi"/>
          <w:vertAlign w:val="superscript"/>
        </w:rPr>
        <w:t>2+</w:t>
      </w:r>
      <w:r w:rsidR="0077445E" w:rsidRPr="006D631C">
        <w:rPr>
          <w:rFonts w:asciiTheme="majorBidi" w:hAnsiTheme="majorBidi" w:cstheme="majorBidi"/>
        </w:rPr>
        <w:t>, Cr</w:t>
      </w:r>
      <w:r w:rsidR="0077445E" w:rsidRPr="006D631C">
        <w:rPr>
          <w:rFonts w:asciiTheme="majorBidi" w:hAnsiTheme="majorBidi" w:cstheme="majorBidi"/>
          <w:vertAlign w:val="superscript"/>
        </w:rPr>
        <w:t>6+</w:t>
      </w:r>
      <w:r w:rsidR="0077445E" w:rsidRPr="006D631C">
        <w:rPr>
          <w:rFonts w:asciiTheme="majorBidi" w:hAnsiTheme="majorBidi" w:cstheme="majorBidi"/>
        </w:rPr>
        <w:t>, Cd</w:t>
      </w:r>
      <w:r w:rsidR="0077445E" w:rsidRPr="006D631C">
        <w:rPr>
          <w:rFonts w:asciiTheme="majorBidi" w:hAnsiTheme="majorBidi" w:cstheme="majorBidi"/>
          <w:vertAlign w:val="superscript"/>
        </w:rPr>
        <w:t>2+</w:t>
      </w:r>
      <w:r w:rsidR="0077445E" w:rsidRPr="006D631C">
        <w:rPr>
          <w:rFonts w:asciiTheme="majorBidi" w:hAnsiTheme="majorBidi" w:cstheme="majorBidi"/>
        </w:rPr>
        <w:t>, Mn</w:t>
      </w:r>
      <w:r w:rsidR="0077445E" w:rsidRPr="006D631C">
        <w:rPr>
          <w:rFonts w:asciiTheme="majorBidi" w:hAnsiTheme="majorBidi" w:cstheme="majorBidi"/>
          <w:vertAlign w:val="superscript"/>
        </w:rPr>
        <w:t>2+</w:t>
      </w:r>
      <w:r w:rsidR="0077445E" w:rsidRPr="006D631C">
        <w:rPr>
          <w:rFonts w:asciiTheme="majorBidi" w:hAnsiTheme="majorBidi" w:cstheme="majorBidi"/>
        </w:rPr>
        <w:t>, Fe</w:t>
      </w:r>
      <w:r w:rsidR="0077445E" w:rsidRPr="006D631C">
        <w:rPr>
          <w:rFonts w:asciiTheme="majorBidi" w:hAnsiTheme="majorBidi" w:cstheme="majorBidi"/>
          <w:vertAlign w:val="superscript"/>
        </w:rPr>
        <w:t>3+</w:t>
      </w:r>
      <w:r w:rsidR="0077445E" w:rsidRPr="006D631C">
        <w:rPr>
          <w:rFonts w:asciiTheme="majorBidi" w:hAnsiTheme="majorBidi" w:cstheme="majorBidi"/>
        </w:rPr>
        <w:t xml:space="preserve"> and Zn</w:t>
      </w:r>
      <w:r w:rsidR="0077445E" w:rsidRPr="006D631C">
        <w:rPr>
          <w:rFonts w:asciiTheme="majorBidi" w:hAnsiTheme="majorBidi" w:cstheme="majorBidi"/>
          <w:vertAlign w:val="superscript"/>
        </w:rPr>
        <w:t>2+</w:t>
      </w:r>
      <w:r w:rsidR="0077445E" w:rsidRPr="006D631C">
        <w:rPr>
          <w:rFonts w:asciiTheme="majorBidi" w:hAnsiTheme="majorBidi" w:cstheme="majorBidi"/>
        </w:rPr>
        <w:t>).</w:t>
      </w:r>
      <w:r w:rsidR="0077445E"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{"citationItems":[{"id":"ITEM-1","itemData":{"DOI":"10.3390/met11060864","ISSN":"2075-4701","abstract":"The growth of industry fulfills our necessity and promotes economic development. However, pollutants from such industries pollute water bodies which pose a high risk for living organisms. Thus, researchers have been urged to develop an efficient method to remove toxic heavy metal ions from water bodies. The adsorption method shows promising results for the removal of heavy metal ions and is easy to operate on a large scale, thus can be applied to practical applications. Numerous adsorbents were developed and reported, among them hydrogels, which attract great attention because of the reusability, ease of preparation, and handling. Hydrogels are generally prepared by the cross-linking of polymers that result in a three-dimensional structure, showing high porosity and high functionality. They are hydrophilic in nature because of the functional groups, and are non-toxic. Thus, this review provides various methods of hydrogel adsorbents preparation and summarizes recent progress in the use of hydrogel adsorbents for the removal of heavy metal ions. Further, the mechanism involved in the removal of heavy metal ions is briefly discussed. The most recent studies about the adsorption method for the treatment of heavy metal ions contaminated water are presented.","author":[{"dropping-particle":"","family":"Perumal","given":"Suguna","non-dropping-particle":"","parse-names":false,"suffix":""},{"dropping-particle":"","family":"Atchudan","given":"Raji","non-dropping-particle":"","parse-names":false,"suffix":""},{"dropping-particle":"","family":"Edison","given":"Thomas Nesakumar Jebakumar Immanuel","non-dropping-particle":"","parse-names":false,"suffix":""},{"dropping-particle":"","family":"Babu","given":"Rajendran Suresh","non-dropping-particle":"","parse-names":false,"suffix":""},{"dropping-particle":"","family":"Karpagavinayagam","given":"Petchimuthu","non-dropping-particle":"","parse-names":false,"suffix":""},{"dropping-particle":"","family":"Vedhi","given":"Chinnapiyan","non-dropping-particle":"","parse-names":false,"suffix":""}],"container-title":"Metals","id":"ITEM-1","issue":"6","issued":{"date-parts":[["2021","5","25"]]},"page":"864","title":"A Short Review on Recent Advances of Hydrogel-Based Adsorbents for Heavy Metal Ions","type":"article-journal","volume":"11"},"uris":["http://www.mendeley.com/documents/?uuid=7224c754-8a95-4083-ba32-f8dfafdcb180"]}],"mendeley":{"formattedCitation":"&lt;sup&gt;302&lt;/sup&gt;","plainTextFormattedCitation":"302","previouslyFormattedCitation":"&lt;sup&gt;301&lt;/sup&gt;"},"properties":{"noteIndex":0},"schema":"https://github.com/citation-style-language/schema/raw/master/csl-citation.json"}</w:instrText>
      </w:r>
      <w:r w:rsidR="0077445E"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302</w:t>
      </w:r>
      <w:r w:rsidR="0077445E" w:rsidRPr="006D631C">
        <w:rPr>
          <w:rFonts w:asciiTheme="majorBidi" w:hAnsiTheme="majorBidi" w:cstheme="majorBidi"/>
        </w:rPr>
        <w:fldChar w:fldCharType="end"/>
      </w:r>
      <w:r w:rsidR="0077445E" w:rsidRPr="006D631C">
        <w:rPr>
          <w:rFonts w:asciiTheme="majorBidi" w:hAnsiTheme="majorBidi" w:cstheme="majorBidi"/>
        </w:rPr>
        <w:t xml:space="preserve"> </w:t>
      </w:r>
      <w:r w:rsidR="004C55E6" w:rsidRPr="006D631C">
        <w:rPr>
          <w:rFonts w:asciiTheme="majorBidi" w:hAnsiTheme="majorBidi" w:cstheme="majorBidi"/>
        </w:rPr>
        <w:t>LLC formulations incorporating DMAEMA or amino-functionalized Pluronics can also be utilized, as hydrogels with amine functional groups have been shown to efficiently remove heavy metal ions like</w:t>
      </w:r>
      <w:r w:rsidR="00155455" w:rsidRPr="006D631C">
        <w:rPr>
          <w:rFonts w:asciiTheme="majorBidi" w:hAnsiTheme="majorBidi" w:cstheme="majorBidi"/>
        </w:rPr>
        <w:t xml:space="preserve"> Cu</w:t>
      </w:r>
      <w:r w:rsidR="00155455" w:rsidRPr="006D631C">
        <w:rPr>
          <w:rFonts w:asciiTheme="majorBidi" w:hAnsiTheme="majorBidi" w:cstheme="majorBidi"/>
          <w:vertAlign w:val="superscript"/>
        </w:rPr>
        <w:t>2+</w:t>
      </w:r>
      <w:r w:rsidR="00155455" w:rsidRPr="006D631C">
        <w:rPr>
          <w:rFonts w:asciiTheme="majorBidi" w:hAnsiTheme="majorBidi" w:cstheme="majorBidi"/>
        </w:rPr>
        <w:t>, Cd</w:t>
      </w:r>
      <w:r w:rsidR="00155455" w:rsidRPr="006D631C">
        <w:rPr>
          <w:rFonts w:asciiTheme="majorBidi" w:hAnsiTheme="majorBidi" w:cstheme="majorBidi"/>
          <w:vertAlign w:val="superscript"/>
        </w:rPr>
        <w:t>2+</w:t>
      </w:r>
      <w:r w:rsidR="00155455" w:rsidRPr="006D631C">
        <w:rPr>
          <w:rFonts w:asciiTheme="majorBidi" w:hAnsiTheme="majorBidi" w:cstheme="majorBidi"/>
        </w:rPr>
        <w:t xml:space="preserve"> and Pb</w:t>
      </w:r>
      <w:r w:rsidR="00155455" w:rsidRPr="006D631C">
        <w:rPr>
          <w:rFonts w:asciiTheme="majorBidi" w:hAnsiTheme="majorBidi" w:cstheme="majorBidi"/>
          <w:vertAlign w:val="superscript"/>
        </w:rPr>
        <w:t>2+</w:t>
      </w:r>
      <w:r w:rsidR="00155455" w:rsidRPr="006D631C">
        <w:rPr>
          <w:rFonts w:asciiTheme="majorBidi" w:hAnsiTheme="majorBidi" w:cstheme="majorBidi"/>
        </w:rPr>
        <w:t xml:space="preserve"> </w:t>
      </w:r>
      <w:r w:rsidR="004C55E6" w:rsidRPr="006D631C">
        <w:rPr>
          <w:rFonts w:asciiTheme="majorBidi" w:hAnsiTheme="majorBidi" w:cstheme="majorBidi"/>
        </w:rPr>
        <w:t>from water</w:t>
      </w:r>
      <w:r w:rsidR="00155455" w:rsidRPr="006D631C">
        <w:rPr>
          <w:rFonts w:asciiTheme="majorBidi" w:hAnsiTheme="majorBidi" w:cstheme="majorBidi"/>
        </w:rPr>
        <w:t>.</w:t>
      </w:r>
      <w:r w:rsidR="00155455"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{"citationItems":[{"id":"ITEM-1","itemData":{"DOI":"10.1186/s40580-020-00245-4","ISSN":"2196-5404","abstract":"Water is a significant natural resource for humans. As such, wastewater containing heavy metals is seen as a grave problem for the environment. Currently, adsorption is one of the common methods used for both water purification and wastewater treatment. Adsorption relies on the physical and chemical interactions between heavy metal ions and adsorbents. Adsorptive membranes (AMs) have demonstrated high effectiveness in heavy metal removal from wastewater owing to their exclusive structural properties. This article examines the applications of adsorptive membranes such as polymeric membranes (PMs), polymer-ceramic membranes (PCMs), electrospinning nanofiber membranes (ENMs), and nano-enhanced membranes (NEMs), which demonstrate high selectivity and adsorption capacity for heavy metal ions, as well as both advantages and disadvantages of each one all, are summarized and compared shortly. Moreover, the general theories for both adsorption isotherms and adsorption kinetics are described briefly to comprehend the adsorption process. This work will be valuable to readers in understanding the current applications of various AMs and their mechanisms in heavy metal ion adsorption, as well as the recycling methods in heavy ions desorption process are summarized and described clearly. Besides, the influences of morphological and chemical structures of AMs are presented and described in detail as well.","author":[{"dropping-particle":"","family":"Vo","given":"Thi Sinh","non-dropping-particle":"","parse-names":false,"suffix":""},{"dropping-particle":"","family":"Hossain","given":"Muhammad Mohsin","non-dropping-particle":"","parse-names":false,"suffix":""},{"dropping-particle":"","family":"Jeong","given":"Hyung Mo","non-dropping-particle":"","parse-names":false,"suffix":""},{"dropping-particle":"","family":"Kim","given":"Kyunghoon","non-dropping-particle":"","parse-names":false,"suffix":""}],"container-title":"Nano Convergence","id":"ITEM-1","issue":"1","issued":{"date-parts":[["2020","12","16"]]},"page":"36","title":"Heavy metal removal applications using adsorptive membranes","type":"article-journal","volume":"7"},"uris":["http://www.mendeley.com/documents/?uuid=db27bafe-716f-46d9-b1ef-966bdcbcccd2"]}],"mendeley":{"formattedCitation":"&lt;sup&gt;304&lt;/sup&gt;","plainTextFormattedCitation":"304","previouslyFormattedCitation":"&lt;sup&gt;303&lt;/sup&gt;"},"properties":{"noteIndex":0},"schema":"https://github.com/citation-style-language/schema/raw/master/csl-citation.json"}</w:instrText>
      </w:r>
      <w:r w:rsidR="00155455"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304</w:t>
      </w:r>
      <w:r w:rsidR="00155455" w:rsidRPr="006D631C">
        <w:rPr>
          <w:rFonts w:asciiTheme="majorBidi" w:hAnsiTheme="majorBidi" w:cstheme="majorBidi"/>
        </w:rPr>
        <w:fldChar w:fldCharType="end"/>
      </w:r>
      <w:r w:rsidR="00155455" w:rsidRPr="006D631C">
        <w:rPr>
          <w:rFonts w:asciiTheme="majorBidi" w:hAnsiTheme="majorBidi" w:cstheme="majorBidi"/>
        </w:rPr>
        <w:t xml:space="preserve"> </w:t>
      </w:r>
      <w:r w:rsidR="00A701E7" w:rsidRPr="006D631C">
        <w:rPr>
          <w:rFonts w:asciiTheme="majorBidi" w:hAnsiTheme="majorBidi" w:cstheme="majorBidi"/>
        </w:rPr>
        <w:t xml:space="preserve">The synthesized product can be powdered or used as hydrogel films for the adsorption tests. Effect of adsorbent content, contact time, initial metal ion concentration, pH, temperature, and </w:t>
      </w:r>
      <w:proofErr w:type="spellStart"/>
      <w:r w:rsidR="00A701E7" w:rsidRPr="006D631C">
        <w:rPr>
          <w:rFonts w:asciiTheme="majorBidi" w:hAnsiTheme="majorBidi" w:cstheme="majorBidi"/>
        </w:rPr>
        <w:t>AAc</w:t>
      </w:r>
      <w:proofErr w:type="spellEnd"/>
      <w:r w:rsidR="00A701E7" w:rsidRPr="006D631C">
        <w:rPr>
          <w:rFonts w:asciiTheme="majorBidi" w:hAnsiTheme="majorBidi" w:cstheme="majorBidi"/>
        </w:rPr>
        <w:t>, DMEMA and amino-functionalized Pluronic content on the adsorption capacity and efficiency of different heavy metal ions can be investigat</w:t>
      </w:r>
      <w:r w:rsidR="002035E9" w:rsidRPr="006D631C">
        <w:rPr>
          <w:rFonts w:asciiTheme="majorBidi" w:hAnsiTheme="majorBidi" w:cstheme="majorBidi"/>
        </w:rPr>
        <w:t>ed. Additionally, the adsorbent</w:t>
      </w:r>
      <w:r w:rsidR="00A701E7" w:rsidRPr="006D631C">
        <w:rPr>
          <w:rFonts w:asciiTheme="majorBidi" w:hAnsiTheme="majorBidi" w:cstheme="majorBidi"/>
        </w:rPr>
        <w:t xml:space="preserve"> can be regenerated and reused for several cycles to evaluate </w:t>
      </w:r>
      <w:r w:rsidR="002035E9" w:rsidRPr="006D631C">
        <w:rPr>
          <w:rFonts w:asciiTheme="majorBidi" w:hAnsiTheme="majorBidi" w:cstheme="majorBidi"/>
        </w:rPr>
        <w:t>its</w:t>
      </w:r>
      <w:r w:rsidR="00A701E7" w:rsidRPr="006D631C">
        <w:rPr>
          <w:rFonts w:asciiTheme="majorBidi" w:hAnsiTheme="majorBidi" w:cstheme="majorBidi"/>
        </w:rPr>
        <w:t xml:space="preserve"> recyclability.</w:t>
      </w:r>
      <w:r w:rsidR="002035E9" w:rsidRPr="006D631C">
        <w:rPr>
          <w:rFonts w:asciiTheme="majorBidi" w:hAnsiTheme="majorBidi" w:cstheme="majorBidi"/>
        </w:rPr>
        <w:t xml:space="preserve"> </w:t>
      </w:r>
      <w:r w:rsidR="00906D2A" w:rsidRPr="006D631C">
        <w:rPr>
          <w:rFonts w:asciiTheme="majorBidi" w:hAnsiTheme="majorBidi" w:cstheme="majorBidi"/>
        </w:rPr>
        <w:t xml:space="preserve">The </w:t>
      </w:r>
      <w:proofErr w:type="spellStart"/>
      <w:r w:rsidR="00906D2A" w:rsidRPr="006D631C">
        <w:rPr>
          <w:rFonts w:asciiTheme="majorBidi" w:hAnsiTheme="majorBidi" w:cstheme="majorBidi"/>
        </w:rPr>
        <w:t>polyLLCs</w:t>
      </w:r>
      <w:proofErr w:type="spellEnd"/>
      <w:r w:rsidR="00906D2A" w:rsidRPr="006D631C">
        <w:rPr>
          <w:rFonts w:asciiTheme="majorBidi" w:hAnsiTheme="majorBidi" w:cstheme="majorBidi"/>
        </w:rPr>
        <w:t xml:space="preserve"> discussed above can </w:t>
      </w:r>
      <w:r w:rsidR="002035E9" w:rsidRPr="006D631C">
        <w:rPr>
          <w:rFonts w:asciiTheme="majorBidi" w:hAnsiTheme="majorBidi" w:cstheme="majorBidi"/>
        </w:rPr>
        <w:t xml:space="preserve">also </w:t>
      </w:r>
      <w:r w:rsidR="00906D2A" w:rsidRPr="006D631C">
        <w:rPr>
          <w:rFonts w:asciiTheme="majorBidi" w:hAnsiTheme="majorBidi" w:cstheme="majorBidi"/>
        </w:rPr>
        <w:t>serve as adsorptive membranes</w:t>
      </w:r>
      <w:r w:rsidR="00906D2A" w:rsidRPr="006D631C">
        <w:rPr>
          <w:rFonts w:asciiTheme="majorBidi" w:eastAsia="Calibri" w:hAnsiTheme="majorBidi" w:cstheme="majorBidi"/>
          <w:sz w:val="22"/>
          <w:szCs w:val="22"/>
        </w:rPr>
        <w:fldChar w:fldCharType="begin" w:fldLock="1"/>
      </w:r>
      <w:r w:rsidR="005C60C1" w:rsidRPr="006D631C">
        <w:rPr>
          <w:rFonts w:asciiTheme="majorBidi" w:eastAsia="Calibri" w:hAnsiTheme="majorBidi" w:cstheme="majorBidi"/>
          <w:sz w:val="22"/>
          <w:szCs w:val="22"/>
        </w:rPr>
        <w:instrText>ADDIN CSL_CITATION {"citationItems":[{"id":"ITEM-1","itemData":{"DOI":"10.1186/s40580-020-00245-4","ISSN":"2196-5404","abstract":"Water is a significant natural resource for humans. As such, wastewater containing heavy metals is seen as a grave problem for the environment. Currently, adsorption is one of the common methods used for both water purification and wastewater treatment. Adsorption relies on the physical and chemical interactions between heavy metal ions and adsorbents. Adsorptive membranes (AMs) have demonstrated high effectiveness in heavy metal removal from wastewater owing to their exclusive structural properties. This article examines the applications of adsorptive membranes such as polymeric membranes (PMs), polymer-ceramic membranes (PCMs), electrospinning nanofiber membranes (ENMs), and nano-enhanced membranes (NEMs), which demonstrate high selectivity and adsorption capacity for heavy metal ions, as well as both advantages and disadvantages of each one all, are summarized and compared shortly. Moreover, the general theories for both adsorption isotherms and adsorption kinetics are described briefly to comprehend the adsorption process. This work will be valuable to readers in understanding the current applications of various AMs and their mechanisms in heavy metal ion adsorption, as well as the recycling methods in heavy ions desorption process are summarized and described clearly. Besides, the influences of morphological and chemical structures of AMs are presented and described in detail as well.","author":[{"dropping-particle":"","family":"Vo","given":"Thi Sinh","non-dropping-particle":"","parse-names":false,"suffix":""},{"dropping-particle":"","family":"Hossain","given":"Muhammad Mohsin","non-dropping-particle":"","parse-names":false,"suffix":""},{"dropping-particle":"","family":"Jeong","given":"Hyung Mo","non-dropping-particle":"","parse-names":false,"suffix":""},{"dropping-particle":"","family":"Kim","given":"Kyunghoon","non-dropping-particle":"","parse-names":false,"suffix":""}],"container-title":"Nano Convergence","id":"ITEM-1","issue":"1","issued":{"date-parts":[["2020","12","16"]]},"page":"36","title":"Heavy metal removal applications using adsorptive membranes","type":"article-journal","volume":"7"},"uris":["http://www.mendeley.com/documents/?uuid=db27bafe-716f-46d9-b1ef-966bdcbcccd2"]}],"mendeley":{"formattedCitation":"&lt;sup&gt;304&lt;/sup&gt;","plainTextFormattedCitation":"304","previouslyFormattedCitation":"&lt;sup&gt;303&lt;/sup&gt;"},"properties":{"noteIndex":0},"schema":"https://github.com/citation-style-language/schema/raw/master/csl-citation.json"}</w:instrText>
      </w:r>
      <w:r w:rsidR="00906D2A" w:rsidRPr="006D631C">
        <w:rPr>
          <w:rFonts w:asciiTheme="majorBidi" w:eastAsia="Calibri" w:hAnsiTheme="majorBidi" w:cstheme="majorBidi"/>
          <w:sz w:val="22"/>
          <w:szCs w:val="22"/>
        </w:rPr>
        <w:fldChar w:fldCharType="separate"/>
      </w:r>
      <w:r w:rsidR="005C60C1" w:rsidRPr="006D631C">
        <w:rPr>
          <w:rFonts w:asciiTheme="majorBidi" w:eastAsia="Calibri" w:hAnsiTheme="majorBidi" w:cstheme="majorBidi"/>
          <w:noProof/>
          <w:sz w:val="22"/>
          <w:szCs w:val="22"/>
          <w:vertAlign w:val="superscript"/>
        </w:rPr>
        <w:t>304</w:t>
      </w:r>
      <w:r w:rsidR="00906D2A" w:rsidRPr="006D631C">
        <w:rPr>
          <w:rFonts w:asciiTheme="majorBidi" w:eastAsia="Calibri" w:hAnsiTheme="majorBidi" w:cstheme="majorBidi"/>
          <w:sz w:val="22"/>
          <w:szCs w:val="22"/>
        </w:rPr>
        <w:fldChar w:fldCharType="end"/>
      </w:r>
      <w:r w:rsidR="00906D2A" w:rsidRPr="006D631C">
        <w:rPr>
          <w:rFonts w:asciiTheme="majorBidi" w:hAnsiTheme="majorBidi" w:cstheme="majorBidi"/>
        </w:rPr>
        <w:t xml:space="preserve"> for targeted heavy metal ion removal and can be regenerated and reused once they become saturated.</w:t>
      </w:r>
      <w:r w:rsidR="00906D2A"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acsomega.9b03405","ISSN":"2470-1343","author":[{"dropping-particle":"","family":"Chen","given":"Jing","non-dropping-particle":"","parse-names":false,"suffix":""},{"dropping-particle":"","family":"Jiang","given":"Xuyang","non-dropping-particle":"","parse-names":false,"suffix":""},{"dropping-particle":"","family":"Yin","given":"Dezhong","non-dropping-particle":"","parse-names":false,"suffix":""},{"dropping-particle":"","family":"Zhang","given":"Wei","non-dropping-particle":"","parse-names":false,"suffix":""}],"container-title":"ACS Omega","id":"ITEM-1","issue":"32","issued":{"date-parts":[["2020","8","18"]]},"page":"19920-19927","title":"Preparation of a Hydrogel-Based Adsorbent for Metal Ions through High Internal Phase Emulsion Polymerization","type":"article-journal","volume":"5"},"uris":["http://www.mendeley.com/documents/?uuid=25bbec32-432c-4827-af03-576d67aa8ece"]}],"mendeley":{"formattedCitation":"&lt;sup&gt;303&lt;/sup&gt;","plainTextFormattedCitation":"303","previouslyFormattedCitation":"&lt;sup&gt;302&lt;/sup&gt;"},"properties":{"noteIndex":0},"schema":"https://github.com/citation-style-language/schema/raw/master/csl-citation.json"}</w:instrText>
      </w:r>
      <w:r w:rsidR="00906D2A"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303</w:t>
      </w:r>
      <w:r w:rsidR="00906D2A" w:rsidRPr="006D631C">
        <w:rPr>
          <w:rFonts w:asciiTheme="majorBidi" w:hAnsiTheme="majorBidi" w:cstheme="majorBidi"/>
        </w:rPr>
        <w:fldChar w:fldCharType="end"/>
      </w:r>
      <w:r w:rsidR="00906D2A" w:rsidRPr="006D631C">
        <w:rPr>
          <w:rFonts w:asciiTheme="majorBidi" w:hAnsiTheme="majorBidi" w:cstheme="majorBidi"/>
        </w:rPr>
        <w:t xml:space="preserve"> </w:t>
      </w:r>
    </w:p>
    <w:p w14:paraId="48C5EDEA" w14:textId="77777777" w:rsidR="006004EF" w:rsidRPr="006D631C" w:rsidRDefault="006004EF" w:rsidP="00861405">
      <w:pPr>
        <w:pStyle w:val="TOC1"/>
      </w:pPr>
    </w:p>
    <w:p w14:paraId="673ECE3A" w14:textId="4CEF4FC4" w:rsidR="00B35F74" w:rsidRPr="006D631C" w:rsidRDefault="00B35F74" w:rsidP="00B35F74"/>
    <w:p w14:paraId="13D3EA66" w14:textId="3B91B3CB" w:rsidR="00B35F74" w:rsidRPr="006D631C" w:rsidRDefault="00B35F74" w:rsidP="00861405">
      <w:pPr>
        <w:pStyle w:val="TOC1"/>
      </w:pPr>
    </w:p>
    <w:p w14:paraId="5FAB3954" w14:textId="5D4F7523" w:rsidR="00B35F74" w:rsidRPr="006D631C" w:rsidRDefault="00B35F74" w:rsidP="00B35F74"/>
    <w:p w14:paraId="4C4DA8FD" w14:textId="34CD31D8" w:rsidR="00B35F74" w:rsidRPr="006D631C" w:rsidRDefault="00B35F74" w:rsidP="00861405">
      <w:pPr>
        <w:pStyle w:val="TOC1"/>
      </w:pPr>
    </w:p>
    <w:p w14:paraId="3EFDFA25" w14:textId="31F09897" w:rsidR="00B35F74" w:rsidRPr="006D631C" w:rsidRDefault="00B35F74" w:rsidP="00B35F74"/>
    <w:p w14:paraId="761AB2D7" w14:textId="2337F17E" w:rsidR="00733EB1" w:rsidRPr="006D631C" w:rsidRDefault="00733EB1" w:rsidP="00733EB1">
      <w:pPr>
        <w:pStyle w:val="TOC1"/>
      </w:pPr>
    </w:p>
    <w:p w14:paraId="34382C24" w14:textId="3AA74176" w:rsidR="00733EB1" w:rsidRPr="006D631C" w:rsidRDefault="00733EB1" w:rsidP="00733EB1"/>
    <w:p w14:paraId="3D871C44" w14:textId="35DFA519" w:rsidR="00733EB1" w:rsidRPr="006D631C" w:rsidRDefault="00733EB1" w:rsidP="00733EB1">
      <w:pPr>
        <w:pStyle w:val="TOC1"/>
      </w:pPr>
    </w:p>
    <w:p w14:paraId="5FCD90BD" w14:textId="1CA2316A" w:rsidR="00733EB1" w:rsidRPr="006D631C" w:rsidRDefault="00733EB1" w:rsidP="00733EB1"/>
    <w:p w14:paraId="154E617D" w14:textId="290F93C1" w:rsidR="00733EB1" w:rsidRPr="006D631C" w:rsidRDefault="00733EB1" w:rsidP="00733EB1">
      <w:pPr>
        <w:pStyle w:val="TOC1"/>
      </w:pPr>
    </w:p>
    <w:p w14:paraId="55A425AF" w14:textId="4914B3BF" w:rsidR="00733EB1" w:rsidRPr="006D631C" w:rsidRDefault="00733EB1" w:rsidP="00733EB1"/>
    <w:p w14:paraId="3A407909" w14:textId="77777777" w:rsidR="00733EB1" w:rsidRPr="006D631C" w:rsidRDefault="00733EB1" w:rsidP="00733EB1">
      <w:pPr>
        <w:pStyle w:val="TOC1"/>
      </w:pPr>
    </w:p>
    <w:p w14:paraId="18049F13" w14:textId="5B5DDAA3" w:rsidR="00564055" w:rsidRPr="006D631C" w:rsidRDefault="00564055" w:rsidP="00306401">
      <w:pPr>
        <w:pStyle w:val="Heading2"/>
      </w:pPr>
      <w:bookmarkStart w:id="239" w:name="_Toc148175895"/>
      <w:r w:rsidRPr="006D631C">
        <w:lastRenderedPageBreak/>
        <w:t>References</w:t>
      </w:r>
      <w:bookmarkEnd w:id="239"/>
    </w:p>
    <w:p w14:paraId="5072FF00" w14:textId="4ED6A08F" w:rsidR="005C60C1" w:rsidRPr="006D631C" w:rsidRDefault="004F76E9" w:rsidP="005C60C1">
      <w:pPr>
        <w:widowControl w:val="0"/>
        <w:autoSpaceDE w:val="0"/>
        <w:autoSpaceDN w:val="0"/>
        <w:adjustRightInd w:val="0"/>
        <w:ind w:left="640" w:hanging="640"/>
        <w:rPr>
          <w:noProof/>
        </w:rPr>
      </w:pPr>
      <w:r w:rsidRPr="006D631C">
        <w:fldChar w:fldCharType="begin" w:fldLock="1"/>
      </w:r>
      <w:r w:rsidRPr="006D631C">
        <w:instrText xml:space="preserve">ADDIN Mendeley Bibliography CSL_BIBLIOGRAPHY </w:instrText>
      </w:r>
      <w:r w:rsidRPr="006D631C">
        <w:fldChar w:fldCharType="separate"/>
      </w:r>
      <w:r w:rsidR="005C60C1" w:rsidRPr="006D631C">
        <w:rPr>
          <w:noProof/>
        </w:rPr>
        <w:t xml:space="preserve">(1) </w:t>
      </w:r>
      <w:r w:rsidR="005C60C1" w:rsidRPr="006D631C">
        <w:rPr>
          <w:noProof/>
        </w:rPr>
        <w:tab/>
        <w:t xml:space="preserve">Chimene, D.; Alge, D. L.; Gaharwar, A. K. Two-Dimensional Nanomaterials for Biomedical Applications: Emerging Trends and Future Prospects. </w:t>
      </w:r>
      <w:r w:rsidR="005C60C1" w:rsidRPr="006D631C">
        <w:rPr>
          <w:i/>
          <w:iCs/>
          <w:noProof/>
        </w:rPr>
        <w:t>Adv. Mater.</w:t>
      </w:r>
      <w:r w:rsidR="005C60C1" w:rsidRPr="006D631C">
        <w:rPr>
          <w:noProof/>
        </w:rPr>
        <w:t xml:space="preserve"> </w:t>
      </w:r>
      <w:r w:rsidR="005C60C1" w:rsidRPr="006D631C">
        <w:rPr>
          <w:b/>
          <w:bCs/>
          <w:noProof/>
        </w:rPr>
        <w:t>2015</w:t>
      </w:r>
      <w:r w:rsidR="005C60C1" w:rsidRPr="006D631C">
        <w:rPr>
          <w:noProof/>
        </w:rPr>
        <w:t xml:space="preserve">, </w:t>
      </w:r>
      <w:r w:rsidR="005C60C1" w:rsidRPr="006D631C">
        <w:rPr>
          <w:i/>
          <w:iCs/>
          <w:noProof/>
        </w:rPr>
        <w:t>27</w:t>
      </w:r>
      <w:r w:rsidR="005C60C1" w:rsidRPr="006D631C">
        <w:rPr>
          <w:noProof/>
        </w:rPr>
        <w:t xml:space="preserve"> (45), 7261–7284. https://doi.org/10.1002/adma.201502422.</w:t>
      </w:r>
    </w:p>
    <w:p w14:paraId="66AD89B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 </w:t>
      </w:r>
      <w:r w:rsidRPr="006D631C">
        <w:rPr>
          <w:noProof/>
        </w:rPr>
        <w:tab/>
        <w:t xml:space="preserve">Bardhan, N. M. 30 Years of Advances in Functionalization of Carbon Nanomaterials for Biomedical Applications: A Practical Review. </w:t>
      </w:r>
      <w:r w:rsidRPr="006D631C">
        <w:rPr>
          <w:i/>
          <w:iCs/>
          <w:noProof/>
        </w:rPr>
        <w:t>J. Mater. Res.</w:t>
      </w:r>
      <w:r w:rsidRPr="006D631C">
        <w:rPr>
          <w:noProof/>
        </w:rPr>
        <w:t xml:space="preserve"> </w:t>
      </w:r>
      <w:r w:rsidRPr="006D631C">
        <w:rPr>
          <w:b/>
          <w:bCs/>
          <w:noProof/>
        </w:rPr>
        <w:t>2017</w:t>
      </w:r>
      <w:r w:rsidRPr="006D631C">
        <w:rPr>
          <w:noProof/>
        </w:rPr>
        <w:t xml:space="preserve">, </w:t>
      </w:r>
      <w:r w:rsidRPr="006D631C">
        <w:rPr>
          <w:i/>
          <w:iCs/>
          <w:noProof/>
        </w:rPr>
        <w:t>32</w:t>
      </w:r>
      <w:r w:rsidRPr="006D631C">
        <w:rPr>
          <w:noProof/>
        </w:rPr>
        <w:t xml:space="preserve"> (1), 107–127. https://doi.org/10.1557/jmr.2016.449.</w:t>
      </w:r>
    </w:p>
    <w:p w14:paraId="2A897F8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 </w:t>
      </w:r>
      <w:r w:rsidRPr="006D631C">
        <w:rPr>
          <w:noProof/>
        </w:rPr>
        <w:tab/>
        <w:t xml:space="preserve">Iskandar, F. Nanoparticle Processing for Optical Applications - A Review. </w:t>
      </w:r>
      <w:r w:rsidRPr="006D631C">
        <w:rPr>
          <w:i/>
          <w:iCs/>
          <w:noProof/>
        </w:rPr>
        <w:t>Adv. Powder Technol.</w:t>
      </w:r>
      <w:r w:rsidRPr="006D631C">
        <w:rPr>
          <w:noProof/>
        </w:rPr>
        <w:t xml:space="preserve"> </w:t>
      </w:r>
      <w:r w:rsidRPr="006D631C">
        <w:rPr>
          <w:b/>
          <w:bCs/>
          <w:noProof/>
        </w:rPr>
        <w:t>2009</w:t>
      </w:r>
      <w:r w:rsidRPr="006D631C">
        <w:rPr>
          <w:noProof/>
        </w:rPr>
        <w:t xml:space="preserve">, </w:t>
      </w:r>
      <w:r w:rsidRPr="006D631C">
        <w:rPr>
          <w:i/>
          <w:iCs/>
          <w:noProof/>
        </w:rPr>
        <w:t>20</w:t>
      </w:r>
      <w:r w:rsidRPr="006D631C">
        <w:rPr>
          <w:noProof/>
        </w:rPr>
        <w:t xml:space="preserve"> (4), 283–292. https://doi.org/10.1016/j.apt.2009.07.001.</w:t>
      </w:r>
    </w:p>
    <w:p w14:paraId="77EE71E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 </w:t>
      </w:r>
      <w:r w:rsidRPr="006D631C">
        <w:rPr>
          <w:noProof/>
        </w:rPr>
        <w:tab/>
        <w:t xml:space="preserve">Werber, J. R.; Osuji, C. O.; Elimelech, M. Materials for Next-Generation Desalination and Water Purification Membranes. </w:t>
      </w:r>
      <w:r w:rsidRPr="006D631C">
        <w:rPr>
          <w:i/>
          <w:iCs/>
          <w:noProof/>
        </w:rPr>
        <w:t>Nat. Rev. Mater.</w:t>
      </w:r>
      <w:r w:rsidRPr="006D631C">
        <w:rPr>
          <w:noProof/>
        </w:rPr>
        <w:t xml:space="preserve"> </w:t>
      </w:r>
      <w:r w:rsidRPr="006D631C">
        <w:rPr>
          <w:b/>
          <w:bCs/>
          <w:noProof/>
        </w:rPr>
        <w:t>2016</w:t>
      </w:r>
      <w:r w:rsidRPr="006D631C">
        <w:rPr>
          <w:noProof/>
        </w:rPr>
        <w:t xml:space="preserve">, </w:t>
      </w:r>
      <w:r w:rsidRPr="006D631C">
        <w:rPr>
          <w:i/>
          <w:iCs/>
          <w:noProof/>
        </w:rPr>
        <w:t>1</w:t>
      </w:r>
      <w:r w:rsidRPr="006D631C">
        <w:rPr>
          <w:noProof/>
        </w:rPr>
        <w:t xml:space="preserve"> (5), 16018. https://doi.org/10.1038/natrevmats.2016.18.</w:t>
      </w:r>
    </w:p>
    <w:p w14:paraId="119386A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 </w:t>
      </w:r>
      <w:r w:rsidRPr="006D631C">
        <w:rPr>
          <w:noProof/>
        </w:rPr>
        <w:tab/>
        <w:t xml:space="preserve">Wandera, D.; Wickramasinghe, S. R.; Husson, S. M. Stimuli-Responsive Membranes. </w:t>
      </w:r>
      <w:r w:rsidRPr="006D631C">
        <w:rPr>
          <w:i/>
          <w:iCs/>
          <w:noProof/>
        </w:rPr>
        <w:t>J. Memb. Sci.</w:t>
      </w:r>
      <w:r w:rsidRPr="006D631C">
        <w:rPr>
          <w:noProof/>
        </w:rPr>
        <w:t xml:space="preserve"> </w:t>
      </w:r>
      <w:r w:rsidRPr="006D631C">
        <w:rPr>
          <w:b/>
          <w:bCs/>
          <w:noProof/>
        </w:rPr>
        <w:t>2010</w:t>
      </w:r>
      <w:r w:rsidRPr="006D631C">
        <w:rPr>
          <w:noProof/>
        </w:rPr>
        <w:t xml:space="preserve">, </w:t>
      </w:r>
      <w:r w:rsidRPr="006D631C">
        <w:rPr>
          <w:i/>
          <w:iCs/>
          <w:noProof/>
        </w:rPr>
        <w:t>357</w:t>
      </w:r>
      <w:r w:rsidRPr="006D631C">
        <w:rPr>
          <w:noProof/>
        </w:rPr>
        <w:t xml:space="preserve"> (1–2), 6–35. https://doi.org/10.1016/j.memsci.2010.03.046.</w:t>
      </w:r>
    </w:p>
    <w:p w14:paraId="63A26EB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 </w:t>
      </w:r>
      <w:r w:rsidRPr="006D631C">
        <w:rPr>
          <w:noProof/>
        </w:rPr>
        <w:tab/>
        <w:t xml:space="preserve">Zhang, Q.; Uchaker, E.; Candelaria, S. L.; Cao, G. Nanomaterials for Energy Conversion and Storage. </w:t>
      </w:r>
      <w:r w:rsidRPr="006D631C">
        <w:rPr>
          <w:i/>
          <w:iCs/>
          <w:noProof/>
        </w:rPr>
        <w:t>Chem. Soc. Rev.</w:t>
      </w:r>
      <w:r w:rsidRPr="006D631C">
        <w:rPr>
          <w:noProof/>
        </w:rPr>
        <w:t xml:space="preserve"> </w:t>
      </w:r>
      <w:r w:rsidRPr="006D631C">
        <w:rPr>
          <w:b/>
          <w:bCs/>
          <w:noProof/>
        </w:rPr>
        <w:t>2013</w:t>
      </w:r>
      <w:r w:rsidRPr="006D631C">
        <w:rPr>
          <w:noProof/>
        </w:rPr>
        <w:t xml:space="preserve">, </w:t>
      </w:r>
      <w:r w:rsidRPr="006D631C">
        <w:rPr>
          <w:i/>
          <w:iCs/>
          <w:noProof/>
        </w:rPr>
        <w:t>42</w:t>
      </w:r>
      <w:r w:rsidRPr="006D631C">
        <w:rPr>
          <w:noProof/>
        </w:rPr>
        <w:t xml:space="preserve"> (7), 3127–3171. https://doi.org/10.1039/c3cs00009e.</w:t>
      </w:r>
    </w:p>
    <w:p w14:paraId="697D5FF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 </w:t>
      </w:r>
      <w:r w:rsidRPr="006D631C">
        <w:rPr>
          <w:noProof/>
        </w:rPr>
        <w:tab/>
        <w:t xml:space="preserve">Gin, D. L.; Lu, X.; Nemade, P. R.; Pecinovsky, C. S.; Xu, Y.; Zhou, M. Recent Advances in the Design of Polymerizable Lyotropic Liquid-Crystal Assemblies for Heterogeneous Catalysis and Selective Separations. </w:t>
      </w:r>
      <w:r w:rsidRPr="006D631C">
        <w:rPr>
          <w:i/>
          <w:iCs/>
          <w:noProof/>
        </w:rPr>
        <w:t>Adv. Funct. Mater.</w:t>
      </w:r>
      <w:r w:rsidRPr="006D631C">
        <w:rPr>
          <w:noProof/>
        </w:rPr>
        <w:t xml:space="preserve"> </w:t>
      </w:r>
      <w:r w:rsidRPr="006D631C">
        <w:rPr>
          <w:b/>
          <w:bCs/>
          <w:noProof/>
        </w:rPr>
        <w:t>2006</w:t>
      </w:r>
      <w:r w:rsidRPr="006D631C">
        <w:rPr>
          <w:noProof/>
        </w:rPr>
        <w:t xml:space="preserve">, </w:t>
      </w:r>
      <w:r w:rsidRPr="006D631C">
        <w:rPr>
          <w:i/>
          <w:iCs/>
          <w:noProof/>
        </w:rPr>
        <w:t>16</w:t>
      </w:r>
      <w:r w:rsidRPr="006D631C">
        <w:rPr>
          <w:noProof/>
        </w:rPr>
        <w:t xml:space="preserve"> (7), 865–878. https://doi.org/10.1002/adfm.200500280.</w:t>
      </w:r>
    </w:p>
    <w:p w14:paraId="09D703D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 </w:t>
      </w:r>
      <w:r w:rsidRPr="006D631C">
        <w:rPr>
          <w:noProof/>
        </w:rPr>
        <w:tab/>
        <w:t xml:space="preserve">Hu, H.; Gopinadhan, M.; Osuji, C. O. Directed Self-Assembly of Block Copolymers: A Tutorial Review of Strategies for Enabling Nanotechnology with Soft Matter. </w:t>
      </w:r>
      <w:r w:rsidRPr="006D631C">
        <w:rPr>
          <w:i/>
          <w:iCs/>
          <w:noProof/>
        </w:rPr>
        <w:t>Soft Matter</w:t>
      </w:r>
      <w:r w:rsidRPr="006D631C">
        <w:rPr>
          <w:noProof/>
        </w:rPr>
        <w:t xml:space="preserve"> </w:t>
      </w:r>
      <w:r w:rsidRPr="006D631C">
        <w:rPr>
          <w:b/>
          <w:bCs/>
          <w:noProof/>
        </w:rPr>
        <w:t>2014</w:t>
      </w:r>
      <w:r w:rsidRPr="006D631C">
        <w:rPr>
          <w:noProof/>
        </w:rPr>
        <w:t xml:space="preserve">, </w:t>
      </w:r>
      <w:r w:rsidRPr="006D631C">
        <w:rPr>
          <w:i/>
          <w:iCs/>
          <w:noProof/>
        </w:rPr>
        <w:t>10</w:t>
      </w:r>
      <w:r w:rsidRPr="006D631C">
        <w:rPr>
          <w:noProof/>
        </w:rPr>
        <w:t xml:space="preserve"> (22), 3867. https://doi.org/10.1039/c3sm52607k.</w:t>
      </w:r>
    </w:p>
    <w:p w14:paraId="18B9F2D2"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(9) </w:t>
      </w:r>
      <w:r w:rsidRPr="006D631C">
        <w:rPr>
          <w:noProof/>
        </w:rPr>
        <w:tab/>
        <w:t xml:space="preserve">Hyde, S. T. Identification of Lyotropic Liquid Crystalline Mesophases. In </w:t>
      </w:r>
      <w:r w:rsidRPr="006D631C">
        <w:rPr>
          <w:i/>
          <w:iCs/>
          <w:noProof/>
        </w:rPr>
        <w:t>Handbook of Applied Surface and Colloid Chemistry</w:t>
      </w:r>
      <w:r w:rsidRPr="006D631C">
        <w:rPr>
          <w:noProof/>
        </w:rPr>
        <w:t>; 2001; pp 299–332.</w:t>
      </w:r>
    </w:p>
    <w:p w14:paraId="30A514D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 </w:t>
      </w:r>
      <w:r w:rsidRPr="006D631C">
        <w:rPr>
          <w:noProof/>
        </w:rPr>
        <w:tab/>
        <w:t xml:space="preserve">Tachibana, T.; Mori, T.; Hori, K. Chiral Mesophases of 12-Hydroxyoctadecanoic Acid in Jelly and in the Solid State. I. A New Type of Lyotropic Mesophase in Jelly with Organic Solvents. </w:t>
      </w:r>
      <w:r w:rsidRPr="006D631C">
        <w:rPr>
          <w:i/>
          <w:iCs/>
          <w:noProof/>
        </w:rPr>
        <w:t>Bull. Chem. Soc. Jpn.</w:t>
      </w:r>
      <w:r w:rsidRPr="006D631C">
        <w:rPr>
          <w:noProof/>
        </w:rPr>
        <w:t xml:space="preserve"> </w:t>
      </w:r>
      <w:r w:rsidRPr="006D631C">
        <w:rPr>
          <w:b/>
          <w:bCs/>
          <w:noProof/>
        </w:rPr>
        <w:t>1980</w:t>
      </w:r>
      <w:r w:rsidRPr="006D631C">
        <w:rPr>
          <w:noProof/>
        </w:rPr>
        <w:t xml:space="preserve">, </w:t>
      </w:r>
      <w:r w:rsidRPr="006D631C">
        <w:rPr>
          <w:i/>
          <w:iCs/>
          <w:noProof/>
        </w:rPr>
        <w:t>53</w:t>
      </w:r>
      <w:r w:rsidRPr="006D631C">
        <w:rPr>
          <w:noProof/>
        </w:rPr>
        <w:t xml:space="preserve"> (6), 1714–1719. https://doi.org/10.1246/bcsj.53.1714.</w:t>
      </w:r>
    </w:p>
    <w:p w14:paraId="481E536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 </w:t>
      </w:r>
      <w:r w:rsidRPr="006D631C">
        <w:rPr>
          <w:noProof/>
        </w:rPr>
        <w:tab/>
        <w:t xml:space="preserve">Atkin, R.; Bobillier, S. M. C.; Warr, G. G. Propylammonium Nitrate as a Solvent for Amphiphile Self-Assembly into Micelles, Lyotropic Liquid Crystals, and Microemulsions. </w:t>
      </w:r>
      <w:r w:rsidRPr="006D631C">
        <w:rPr>
          <w:i/>
          <w:iCs/>
          <w:noProof/>
        </w:rPr>
        <w:t>J. Phys. Chem. B</w:t>
      </w:r>
      <w:r w:rsidRPr="006D631C">
        <w:rPr>
          <w:noProof/>
        </w:rPr>
        <w:t xml:space="preserve"> </w:t>
      </w:r>
      <w:r w:rsidRPr="006D631C">
        <w:rPr>
          <w:b/>
          <w:bCs/>
          <w:noProof/>
        </w:rPr>
        <w:t>2010</w:t>
      </w:r>
      <w:r w:rsidRPr="006D631C">
        <w:rPr>
          <w:noProof/>
        </w:rPr>
        <w:t xml:space="preserve">, </w:t>
      </w:r>
      <w:r w:rsidRPr="006D631C">
        <w:rPr>
          <w:i/>
          <w:iCs/>
          <w:noProof/>
        </w:rPr>
        <w:t>114</w:t>
      </w:r>
      <w:r w:rsidRPr="006D631C">
        <w:rPr>
          <w:noProof/>
        </w:rPr>
        <w:t xml:space="preserve"> (3), 1350–1360. https://doi.org/10.1021/jp910649a.</w:t>
      </w:r>
    </w:p>
    <w:p w14:paraId="4E73611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 </w:t>
      </w:r>
      <w:r w:rsidRPr="006D631C">
        <w:rPr>
          <w:noProof/>
        </w:rPr>
        <w:tab/>
        <w:t xml:space="preserve">Robertson, L. A.; Schenkel, M. R.; Wiesenauer, B. R.; Gin, D. L. Alkyl-Bis(Imidazolium) Salts: A New Amphiphile Platform That Forms Thermotropic and Non-Aqueous Lyotropic Bicontinuous Cubic Phases. </w:t>
      </w:r>
      <w:r w:rsidRPr="006D631C">
        <w:rPr>
          <w:i/>
          <w:iCs/>
          <w:noProof/>
        </w:rPr>
        <w:t>Chem. Commun.</w:t>
      </w:r>
      <w:r w:rsidRPr="006D631C">
        <w:rPr>
          <w:noProof/>
        </w:rPr>
        <w:t xml:space="preserve"> </w:t>
      </w:r>
      <w:r w:rsidRPr="006D631C">
        <w:rPr>
          <w:b/>
          <w:bCs/>
          <w:noProof/>
        </w:rPr>
        <w:t>2013</w:t>
      </w:r>
      <w:r w:rsidRPr="006D631C">
        <w:rPr>
          <w:noProof/>
        </w:rPr>
        <w:t xml:space="preserve">, </w:t>
      </w:r>
      <w:r w:rsidRPr="006D631C">
        <w:rPr>
          <w:i/>
          <w:iCs/>
          <w:noProof/>
        </w:rPr>
        <w:t>49</w:t>
      </w:r>
      <w:r w:rsidRPr="006D631C">
        <w:rPr>
          <w:noProof/>
        </w:rPr>
        <w:t xml:space="preserve"> (82), 9407–9409. https://doi.org/10.1039/c3cc44452j.</w:t>
      </w:r>
    </w:p>
    <w:p w14:paraId="3B6005F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 </w:t>
      </w:r>
      <w:r w:rsidRPr="006D631C">
        <w:rPr>
          <w:noProof/>
        </w:rPr>
        <w:tab/>
        <w:t xml:space="preserve">López-Barrón, C. R.; Chen, R.; Wagner, N. J.; Beltramo, P. J. Self-Assembly of Pluronic F127 Diacrylate in Ethylammonium Nitrate: Structure, Rheology, and Ionic Conductivity before and after Photo-Cross-Linking. </w:t>
      </w:r>
      <w:r w:rsidRPr="006D631C">
        <w:rPr>
          <w:i/>
          <w:iCs/>
          <w:noProof/>
        </w:rPr>
        <w:t>Macromolecules</w:t>
      </w:r>
      <w:r w:rsidRPr="006D631C">
        <w:rPr>
          <w:noProof/>
        </w:rPr>
        <w:t xml:space="preserve"> </w:t>
      </w:r>
      <w:r w:rsidRPr="006D631C">
        <w:rPr>
          <w:b/>
          <w:bCs/>
          <w:noProof/>
        </w:rPr>
        <w:t>2016</w:t>
      </w:r>
      <w:r w:rsidRPr="006D631C">
        <w:rPr>
          <w:noProof/>
        </w:rPr>
        <w:t xml:space="preserve">, </w:t>
      </w:r>
      <w:r w:rsidRPr="006D631C">
        <w:rPr>
          <w:i/>
          <w:iCs/>
          <w:noProof/>
        </w:rPr>
        <w:t>49</w:t>
      </w:r>
      <w:r w:rsidRPr="006D631C">
        <w:rPr>
          <w:noProof/>
        </w:rPr>
        <w:t xml:space="preserve"> (14), 5179–5189. https://doi.org/10.1021/acs.macromol.6b00205.</w:t>
      </w:r>
    </w:p>
    <w:p w14:paraId="6DD2D74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 </w:t>
      </w:r>
      <w:r w:rsidRPr="006D631C">
        <w:rPr>
          <w:noProof/>
        </w:rPr>
        <w:tab/>
        <w:t xml:space="preserve">Nagarajan, R. Molecular Packing Parameter and Surfactant Self-Assembly: The Neglected Role of the Surfactant Tail †. </w:t>
      </w:r>
      <w:r w:rsidRPr="006D631C">
        <w:rPr>
          <w:i/>
          <w:iCs/>
          <w:noProof/>
        </w:rPr>
        <w:t>Langmuir</w:t>
      </w:r>
      <w:r w:rsidRPr="006D631C">
        <w:rPr>
          <w:noProof/>
        </w:rPr>
        <w:t xml:space="preserve"> </w:t>
      </w:r>
      <w:r w:rsidRPr="006D631C">
        <w:rPr>
          <w:b/>
          <w:bCs/>
          <w:noProof/>
        </w:rPr>
        <w:t>2002</w:t>
      </w:r>
      <w:r w:rsidRPr="006D631C">
        <w:rPr>
          <w:noProof/>
        </w:rPr>
        <w:t xml:space="preserve">, </w:t>
      </w:r>
      <w:r w:rsidRPr="006D631C">
        <w:rPr>
          <w:i/>
          <w:iCs/>
          <w:noProof/>
        </w:rPr>
        <w:t>18</w:t>
      </w:r>
      <w:r w:rsidRPr="006D631C">
        <w:rPr>
          <w:noProof/>
        </w:rPr>
        <w:t xml:space="preserve"> (1), 31–38. https://doi.org/10.1021/la010831y.</w:t>
      </w:r>
    </w:p>
    <w:p w14:paraId="4C99E89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 </w:t>
      </w:r>
      <w:r w:rsidRPr="006D631C">
        <w:rPr>
          <w:noProof/>
        </w:rPr>
        <w:tab/>
        <w:t xml:space="preserve">Lutz-Bueno, V.; Isabettini, S.; Walker, F.; Kuster, S.; Liebi, M.; Fischer, P. Ionic Micelles and Aromatic Additives: A Closer Look at the Molecular Packing Parameter. </w:t>
      </w:r>
      <w:r w:rsidRPr="006D631C">
        <w:rPr>
          <w:i/>
          <w:iCs/>
          <w:noProof/>
        </w:rPr>
        <w:t>Phys. Chem. Chem. Phys.</w:t>
      </w:r>
      <w:r w:rsidRPr="006D631C">
        <w:rPr>
          <w:noProof/>
        </w:rPr>
        <w:t xml:space="preserve"> </w:t>
      </w:r>
      <w:r w:rsidRPr="006D631C">
        <w:rPr>
          <w:b/>
          <w:bCs/>
          <w:noProof/>
        </w:rPr>
        <w:t>2017</w:t>
      </w:r>
      <w:r w:rsidRPr="006D631C">
        <w:rPr>
          <w:noProof/>
        </w:rPr>
        <w:t xml:space="preserve">, </w:t>
      </w:r>
      <w:r w:rsidRPr="006D631C">
        <w:rPr>
          <w:i/>
          <w:iCs/>
          <w:noProof/>
        </w:rPr>
        <w:t>19</w:t>
      </w:r>
      <w:r w:rsidRPr="006D631C">
        <w:rPr>
          <w:noProof/>
        </w:rPr>
        <w:t xml:space="preserve"> (32), 21869–21877. https://doi.org/10.1039/C7CP03891G.</w:t>
      </w:r>
    </w:p>
    <w:p w14:paraId="477C66AF"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(16) </w:t>
      </w:r>
      <w:r w:rsidRPr="006D631C">
        <w:rPr>
          <w:noProof/>
        </w:rPr>
        <w:tab/>
        <w:t xml:space="preserve">Lee, Y. C.; Taraschi, T. F.; Janes, N. Support for the Shape Concept of Lipid Structure Based on a Headgroup Volume Approach. </w:t>
      </w:r>
      <w:r w:rsidRPr="006D631C">
        <w:rPr>
          <w:i/>
          <w:iCs/>
          <w:noProof/>
        </w:rPr>
        <w:t>Biophys. J.</w:t>
      </w:r>
      <w:r w:rsidRPr="006D631C">
        <w:rPr>
          <w:noProof/>
        </w:rPr>
        <w:t xml:space="preserve"> </w:t>
      </w:r>
      <w:r w:rsidRPr="006D631C">
        <w:rPr>
          <w:b/>
          <w:bCs/>
          <w:noProof/>
        </w:rPr>
        <w:t>1993</w:t>
      </w:r>
      <w:r w:rsidRPr="006D631C">
        <w:rPr>
          <w:noProof/>
        </w:rPr>
        <w:t xml:space="preserve">, </w:t>
      </w:r>
      <w:r w:rsidRPr="006D631C">
        <w:rPr>
          <w:i/>
          <w:iCs/>
          <w:noProof/>
        </w:rPr>
        <w:t>65</w:t>
      </w:r>
      <w:r w:rsidRPr="006D631C">
        <w:rPr>
          <w:noProof/>
        </w:rPr>
        <w:t xml:space="preserve"> (4), 1429–1432. https://doi.org/10.1016/S0006-3495(93)81206-2.</w:t>
      </w:r>
    </w:p>
    <w:p w14:paraId="0A7C172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 </w:t>
      </w:r>
      <w:r w:rsidRPr="006D631C">
        <w:rPr>
          <w:noProof/>
        </w:rPr>
        <w:tab/>
        <w:t xml:space="preserve">Huang, Y.; Gui, S. Factors Affecting the Structure of Lyotropic Liquid Crystals and the Correlation between Structure and Drug Diffusion. </w:t>
      </w:r>
      <w:r w:rsidRPr="006D631C">
        <w:rPr>
          <w:i/>
          <w:iCs/>
          <w:noProof/>
        </w:rPr>
        <w:t>RSC Adv.</w:t>
      </w:r>
      <w:r w:rsidRPr="006D631C">
        <w:rPr>
          <w:noProof/>
        </w:rPr>
        <w:t xml:space="preserve"> </w:t>
      </w:r>
      <w:r w:rsidRPr="006D631C">
        <w:rPr>
          <w:b/>
          <w:bCs/>
          <w:noProof/>
        </w:rPr>
        <w:t>2018</w:t>
      </w:r>
      <w:r w:rsidRPr="006D631C">
        <w:rPr>
          <w:noProof/>
        </w:rPr>
        <w:t xml:space="preserve">, </w:t>
      </w:r>
      <w:r w:rsidRPr="006D631C">
        <w:rPr>
          <w:i/>
          <w:iCs/>
          <w:noProof/>
        </w:rPr>
        <w:t>8</w:t>
      </w:r>
      <w:r w:rsidRPr="006D631C">
        <w:rPr>
          <w:noProof/>
        </w:rPr>
        <w:t xml:space="preserve"> (13), 6978–6987. https://doi.org/10.1039/c7ra12008g.</w:t>
      </w:r>
    </w:p>
    <w:p w14:paraId="5590E2E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 </w:t>
      </w:r>
      <w:r w:rsidRPr="006D631C">
        <w:rPr>
          <w:noProof/>
        </w:rPr>
        <w:tab/>
        <w:t xml:space="preserve">Soni, S. S.; Brotons, G.; Bellour, M.; Narayanan, T.; Gibaud, A. Quantitative SAXS Analysis of the P123/Water/Ethanol Ternary Phase Diagram. </w:t>
      </w:r>
      <w:r w:rsidRPr="006D631C">
        <w:rPr>
          <w:i/>
          <w:iCs/>
          <w:noProof/>
        </w:rPr>
        <w:t>J. Phys. Chem. B</w:t>
      </w:r>
      <w:r w:rsidRPr="006D631C">
        <w:rPr>
          <w:noProof/>
        </w:rPr>
        <w:t xml:space="preserve"> </w:t>
      </w:r>
      <w:r w:rsidRPr="006D631C">
        <w:rPr>
          <w:b/>
          <w:bCs/>
          <w:noProof/>
        </w:rPr>
        <w:t>2006</w:t>
      </w:r>
      <w:r w:rsidRPr="006D631C">
        <w:rPr>
          <w:noProof/>
        </w:rPr>
        <w:t xml:space="preserve">, </w:t>
      </w:r>
      <w:r w:rsidRPr="006D631C">
        <w:rPr>
          <w:i/>
          <w:iCs/>
          <w:noProof/>
        </w:rPr>
        <w:t>110</w:t>
      </w:r>
      <w:r w:rsidRPr="006D631C">
        <w:rPr>
          <w:noProof/>
        </w:rPr>
        <w:t xml:space="preserve"> (31), 15157–15165. https://doi.org/10.1021/jp062159p.</w:t>
      </w:r>
    </w:p>
    <w:p w14:paraId="325D601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 </w:t>
      </w:r>
      <w:r w:rsidRPr="006D631C">
        <w:rPr>
          <w:noProof/>
        </w:rPr>
        <w:tab/>
        <w:t xml:space="preserve">Rajabalaya, R.; Musa, M. N.; Kifli, N.; David, S. R. Oral and Transdermal Drug Delivery Systems: Role of Lipid-Based Lyotropic Liquid Crystals. </w:t>
      </w:r>
      <w:r w:rsidRPr="006D631C">
        <w:rPr>
          <w:i/>
          <w:iCs/>
          <w:noProof/>
        </w:rPr>
        <w:t>Drug Des. Devel. Ther.</w:t>
      </w:r>
      <w:r w:rsidRPr="006D631C">
        <w:rPr>
          <w:noProof/>
        </w:rPr>
        <w:t xml:space="preserve"> </w:t>
      </w:r>
      <w:r w:rsidRPr="006D631C">
        <w:rPr>
          <w:b/>
          <w:bCs/>
          <w:noProof/>
        </w:rPr>
        <w:t>2017</w:t>
      </w:r>
      <w:r w:rsidRPr="006D631C">
        <w:rPr>
          <w:noProof/>
        </w:rPr>
        <w:t xml:space="preserve">, </w:t>
      </w:r>
      <w:r w:rsidRPr="006D631C">
        <w:rPr>
          <w:i/>
          <w:iCs/>
          <w:noProof/>
        </w:rPr>
        <w:t>Volume11</w:t>
      </w:r>
      <w:r w:rsidRPr="006D631C">
        <w:rPr>
          <w:noProof/>
        </w:rPr>
        <w:t>, 393–406. https://doi.org/10.2147/DDDT.S103505.</w:t>
      </w:r>
    </w:p>
    <w:p w14:paraId="433BC6E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 </w:t>
      </w:r>
      <w:r w:rsidRPr="006D631C">
        <w:rPr>
          <w:noProof/>
        </w:rPr>
        <w:tab/>
        <w:t xml:space="preserve">Meng, Y.; Gu, D.; Zhang, F.; Shi, Y.; Cheng, L.; Feng, D.; Wu, Z.; Chen, Z.; Wan, Y.; Stein, A.; Zhao, D. A Family of Highly Ordered Mesoporous Polymer Resin and Carbon Structures from Organic-Organic Self-Assembly. </w:t>
      </w:r>
      <w:r w:rsidRPr="006D631C">
        <w:rPr>
          <w:i/>
          <w:iCs/>
          <w:noProof/>
        </w:rPr>
        <w:t>Chem. Mater.</w:t>
      </w:r>
      <w:r w:rsidRPr="006D631C">
        <w:rPr>
          <w:noProof/>
        </w:rPr>
        <w:t xml:space="preserve"> </w:t>
      </w:r>
      <w:r w:rsidRPr="006D631C">
        <w:rPr>
          <w:b/>
          <w:bCs/>
          <w:noProof/>
        </w:rPr>
        <w:t>2006</w:t>
      </w:r>
      <w:r w:rsidRPr="006D631C">
        <w:rPr>
          <w:noProof/>
        </w:rPr>
        <w:t xml:space="preserve">, </w:t>
      </w:r>
      <w:r w:rsidRPr="006D631C">
        <w:rPr>
          <w:i/>
          <w:iCs/>
          <w:noProof/>
        </w:rPr>
        <w:t>18</w:t>
      </w:r>
      <w:r w:rsidRPr="006D631C">
        <w:rPr>
          <w:noProof/>
        </w:rPr>
        <w:t xml:space="preserve"> (18), 4447–4464. https://doi.org/10.1021/cm060921u.</w:t>
      </w:r>
    </w:p>
    <w:p w14:paraId="6749FAA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 </w:t>
      </w:r>
      <w:r w:rsidRPr="006D631C">
        <w:rPr>
          <w:noProof/>
        </w:rPr>
        <w:tab/>
        <w:t xml:space="preserve">Jayaraman, A.; Zhang, D. Y.; Dewing, B. L.; Mahanthappa, M. K. Path-Dependent Preparation of Complex Micelle Packings of a Hydrated Diblock Oligomer. </w:t>
      </w:r>
      <w:r w:rsidRPr="006D631C">
        <w:rPr>
          <w:i/>
          <w:iCs/>
          <w:noProof/>
        </w:rPr>
        <w:t>ACS Cent. Sci.</w:t>
      </w:r>
      <w:r w:rsidRPr="006D631C">
        <w:rPr>
          <w:noProof/>
        </w:rPr>
        <w:t xml:space="preserve"> </w:t>
      </w:r>
      <w:r w:rsidRPr="006D631C">
        <w:rPr>
          <w:b/>
          <w:bCs/>
          <w:noProof/>
        </w:rPr>
        <w:t>2019</w:t>
      </w:r>
      <w:r w:rsidRPr="006D631C">
        <w:rPr>
          <w:noProof/>
        </w:rPr>
        <w:t xml:space="preserve">, </w:t>
      </w:r>
      <w:r w:rsidRPr="006D631C">
        <w:rPr>
          <w:i/>
          <w:iCs/>
          <w:noProof/>
        </w:rPr>
        <w:t>5</w:t>
      </w:r>
      <w:r w:rsidRPr="006D631C">
        <w:rPr>
          <w:noProof/>
        </w:rPr>
        <w:t xml:space="preserve"> (4), 619–628. https://doi.org/10.1021/acscentsci.8b00903.</w:t>
      </w:r>
    </w:p>
    <w:p w14:paraId="1C22EDF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 </w:t>
      </w:r>
      <w:r w:rsidRPr="006D631C">
        <w:rPr>
          <w:noProof/>
        </w:rPr>
        <w:tab/>
        <w:t xml:space="preserve">Baez-Cotto, C. M.; Mahanthappa, M. K. Micellar Mimicry of Intermetallic C14 and C15 Laves Phases by Aqueous Lyotropic Self-Assembly. </w:t>
      </w:r>
      <w:r w:rsidRPr="006D631C">
        <w:rPr>
          <w:i/>
          <w:iCs/>
          <w:noProof/>
        </w:rPr>
        <w:t>ACS Nano</w:t>
      </w:r>
      <w:r w:rsidRPr="006D631C">
        <w:rPr>
          <w:noProof/>
        </w:rPr>
        <w:t xml:space="preserve"> </w:t>
      </w:r>
      <w:r w:rsidRPr="006D631C">
        <w:rPr>
          <w:b/>
          <w:bCs/>
          <w:noProof/>
        </w:rPr>
        <w:t>2018</w:t>
      </w:r>
      <w:r w:rsidRPr="006D631C">
        <w:rPr>
          <w:noProof/>
        </w:rPr>
        <w:t xml:space="preserve">, </w:t>
      </w:r>
      <w:r w:rsidRPr="006D631C">
        <w:rPr>
          <w:i/>
          <w:iCs/>
          <w:noProof/>
        </w:rPr>
        <w:t>12</w:t>
      </w:r>
      <w:r w:rsidRPr="006D631C">
        <w:rPr>
          <w:noProof/>
        </w:rPr>
        <w:t xml:space="preserve"> (4), 3226–3234. https://doi.org/10.1021/acsnano.7b07475.</w:t>
      </w:r>
    </w:p>
    <w:p w14:paraId="030F967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 </w:t>
      </w:r>
      <w:r w:rsidRPr="006D631C">
        <w:rPr>
          <w:noProof/>
        </w:rPr>
        <w:tab/>
        <w:t xml:space="preserve">Jennings, J.; Green, B.; Mann, T. J.; Guymon, C. A.; Mahanthappa, M. K. Nanoporous </w:t>
      </w:r>
      <w:r w:rsidRPr="006D631C">
        <w:rPr>
          <w:noProof/>
        </w:rPr>
        <w:lastRenderedPageBreak/>
        <w:t xml:space="preserve">Polymer Networks Templated by Gemini Surfactant Lyotropic Liquid Crystals. </w:t>
      </w:r>
      <w:r w:rsidRPr="006D631C">
        <w:rPr>
          <w:i/>
          <w:iCs/>
          <w:noProof/>
        </w:rPr>
        <w:t>Chem. Mater.</w:t>
      </w:r>
      <w:r w:rsidRPr="006D631C">
        <w:rPr>
          <w:noProof/>
        </w:rPr>
        <w:t xml:space="preserve"> </w:t>
      </w:r>
      <w:r w:rsidRPr="006D631C">
        <w:rPr>
          <w:b/>
          <w:bCs/>
          <w:noProof/>
        </w:rPr>
        <w:t>2018</w:t>
      </w:r>
      <w:r w:rsidRPr="006D631C">
        <w:rPr>
          <w:noProof/>
        </w:rPr>
        <w:t xml:space="preserve">, </w:t>
      </w:r>
      <w:r w:rsidRPr="006D631C">
        <w:rPr>
          <w:i/>
          <w:iCs/>
          <w:noProof/>
        </w:rPr>
        <w:t>30</w:t>
      </w:r>
      <w:r w:rsidRPr="006D631C">
        <w:rPr>
          <w:noProof/>
        </w:rPr>
        <w:t xml:space="preserve"> (1), 185–196. https://doi.org/10.1021/acs.chemmater.7b04183.</w:t>
      </w:r>
    </w:p>
    <w:p w14:paraId="080B16A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 </w:t>
      </w:r>
      <w:r w:rsidRPr="006D631C">
        <w:rPr>
          <w:noProof/>
        </w:rPr>
        <w:tab/>
        <w:t xml:space="preserve">Jayaraman, A.; Mahanthappa, M. K. Counterion-Dependent Access to Low-Symmetry Lyotropic Sphere Packings of Ionic Surfactant Micelles. </w:t>
      </w:r>
      <w:r w:rsidRPr="006D631C">
        <w:rPr>
          <w:i/>
          <w:iCs/>
          <w:noProof/>
        </w:rPr>
        <w:t>Langmuir</w:t>
      </w:r>
      <w:r w:rsidRPr="006D631C">
        <w:rPr>
          <w:noProof/>
        </w:rPr>
        <w:t xml:space="preserve"> </w:t>
      </w:r>
      <w:r w:rsidRPr="006D631C">
        <w:rPr>
          <w:b/>
          <w:bCs/>
          <w:noProof/>
        </w:rPr>
        <w:t>2018</w:t>
      </w:r>
      <w:r w:rsidRPr="006D631C">
        <w:rPr>
          <w:noProof/>
        </w:rPr>
        <w:t xml:space="preserve">, </w:t>
      </w:r>
      <w:r w:rsidRPr="006D631C">
        <w:rPr>
          <w:i/>
          <w:iCs/>
          <w:noProof/>
        </w:rPr>
        <w:t>34</w:t>
      </w:r>
      <w:r w:rsidRPr="006D631C">
        <w:rPr>
          <w:noProof/>
        </w:rPr>
        <w:t xml:space="preserve"> (6), 2290–2301. https://doi.org/10.1021/acs.langmuir.7b03833.</w:t>
      </w:r>
    </w:p>
    <w:p w14:paraId="2C703DC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(25) </w:t>
      </w:r>
      <w:r w:rsidRPr="006D631C">
        <w:rPr>
          <w:noProof/>
        </w:rPr>
        <w:tab/>
        <w:t xml:space="preserve">Moriguchi, I.; Ozono, A.; Mikuriya, K.; Teraoka, Y.; Kagawa, S.; Kodama, M. Micelle-Templated Mesophases of Phenol-Formaldehyde Polymer. </w:t>
      </w:r>
      <w:r w:rsidRPr="006D631C">
        <w:rPr>
          <w:i/>
          <w:iCs/>
          <w:noProof/>
        </w:rPr>
        <w:t>Chem. Lett.</w:t>
      </w:r>
      <w:r w:rsidRPr="006D631C">
        <w:rPr>
          <w:noProof/>
        </w:rPr>
        <w:t xml:space="preserve"> </w:t>
      </w:r>
      <w:r w:rsidRPr="006D631C">
        <w:rPr>
          <w:b/>
          <w:bCs/>
          <w:noProof/>
        </w:rPr>
        <w:t>1999</w:t>
      </w:r>
      <w:r w:rsidRPr="006D631C">
        <w:rPr>
          <w:noProof/>
        </w:rPr>
        <w:t>, No. 11, 1171–1172. https://doi.org/10.1246/cl.1999.1171.</w:t>
      </w:r>
    </w:p>
    <w:p w14:paraId="68FF3F4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 </w:t>
      </w:r>
      <w:r w:rsidRPr="006D631C">
        <w:rPr>
          <w:noProof/>
        </w:rPr>
        <w:tab/>
        <w:t xml:space="preserve">Hentze, H.-P.; Co, C. C.; McKelvey, C. A.; Kaler, E. W. Templating Vesicles, Microemulsions, and Lyotropic Mesophases by Organic Polymerization Processes. In </w:t>
      </w:r>
      <w:r w:rsidRPr="006D631C">
        <w:rPr>
          <w:i/>
          <w:iCs/>
          <w:noProof/>
        </w:rPr>
        <w:t>Topics in Current Chemistry</w:t>
      </w:r>
      <w:r w:rsidRPr="006D631C">
        <w:rPr>
          <w:noProof/>
        </w:rPr>
        <w:t>; 2003; pp 197–223. https://doi.org/10.1007/3-540-36408-0_7.</w:t>
      </w:r>
    </w:p>
    <w:p w14:paraId="232C17C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 </w:t>
      </w:r>
      <w:r w:rsidRPr="006D631C">
        <w:rPr>
          <w:noProof/>
        </w:rPr>
        <w:tab/>
        <w:t xml:space="preserve">Worthington, K. S.; Baguenard, C.; Forney, B. S.; Guymon, C. A. Photopolymerization Kinetics in and of Self-Assembling Lyotropic Liquid Crystal Templates. </w:t>
      </w:r>
      <w:r w:rsidRPr="006D631C">
        <w:rPr>
          <w:i/>
          <w:iCs/>
          <w:noProof/>
        </w:rPr>
        <w:t>J. Polym. Sci. Part B Polym. Phys.</w:t>
      </w:r>
      <w:r w:rsidRPr="006D631C">
        <w:rPr>
          <w:noProof/>
        </w:rPr>
        <w:t xml:space="preserve"> </w:t>
      </w:r>
      <w:r w:rsidRPr="006D631C">
        <w:rPr>
          <w:b/>
          <w:bCs/>
          <w:noProof/>
        </w:rPr>
        <w:t>2017</w:t>
      </w:r>
      <w:r w:rsidRPr="006D631C">
        <w:rPr>
          <w:noProof/>
        </w:rPr>
        <w:t xml:space="preserve">, </w:t>
      </w:r>
      <w:r w:rsidRPr="006D631C">
        <w:rPr>
          <w:i/>
          <w:iCs/>
          <w:noProof/>
        </w:rPr>
        <w:t>55</w:t>
      </w:r>
      <w:r w:rsidRPr="006D631C">
        <w:rPr>
          <w:noProof/>
        </w:rPr>
        <w:t xml:space="preserve"> (6), 471–489. https://doi.org/10.1002/polb.24296.</w:t>
      </w:r>
    </w:p>
    <w:p w14:paraId="6D99AC5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 </w:t>
      </w:r>
      <w:r w:rsidRPr="006D631C">
        <w:rPr>
          <w:noProof/>
        </w:rPr>
        <w:tab/>
        <w:t xml:space="preserve">Wang, C.; Chen, D.; Jiao, X. Lyotropic Liquid Crystal Directed Synthesis of Nanostructured Materials. </w:t>
      </w:r>
      <w:r w:rsidRPr="006D631C">
        <w:rPr>
          <w:i/>
          <w:iCs/>
          <w:noProof/>
        </w:rPr>
        <w:t>Sci. Technol. Adv. Mater.</w:t>
      </w:r>
      <w:r w:rsidRPr="006D631C">
        <w:rPr>
          <w:noProof/>
        </w:rPr>
        <w:t xml:space="preserve"> </w:t>
      </w:r>
      <w:r w:rsidRPr="006D631C">
        <w:rPr>
          <w:b/>
          <w:bCs/>
          <w:noProof/>
        </w:rPr>
        <w:t>2009</w:t>
      </w:r>
      <w:r w:rsidRPr="006D631C">
        <w:rPr>
          <w:noProof/>
        </w:rPr>
        <w:t xml:space="preserve">, </w:t>
      </w:r>
      <w:r w:rsidRPr="006D631C">
        <w:rPr>
          <w:i/>
          <w:iCs/>
          <w:noProof/>
        </w:rPr>
        <w:t>10</w:t>
      </w:r>
      <w:r w:rsidRPr="006D631C">
        <w:rPr>
          <w:noProof/>
        </w:rPr>
        <w:t xml:space="preserve"> (2), 023001. https://doi.org/10.1088/1468-6996/10/2/023001.</w:t>
      </w:r>
    </w:p>
    <w:p w14:paraId="3B75B7D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 </w:t>
      </w:r>
      <w:r w:rsidRPr="006D631C">
        <w:rPr>
          <w:noProof/>
        </w:rPr>
        <w:tab/>
        <w:t xml:space="preserve">Gin, D. L.; Gu, W.; Pindzola, B. A.; Zhou, W.-J. Polymerized Lyotropic Liquid Crystal Assemblies for Materials Applications. </w:t>
      </w:r>
      <w:r w:rsidRPr="006D631C">
        <w:rPr>
          <w:i/>
          <w:iCs/>
          <w:noProof/>
        </w:rPr>
        <w:t>Acc. Chem. Res.</w:t>
      </w:r>
      <w:r w:rsidRPr="006D631C">
        <w:rPr>
          <w:noProof/>
        </w:rPr>
        <w:t xml:space="preserve"> </w:t>
      </w:r>
      <w:r w:rsidRPr="006D631C">
        <w:rPr>
          <w:b/>
          <w:bCs/>
          <w:noProof/>
        </w:rPr>
        <w:t>2001</w:t>
      </w:r>
      <w:r w:rsidRPr="006D631C">
        <w:rPr>
          <w:noProof/>
        </w:rPr>
        <w:t xml:space="preserve">, </w:t>
      </w:r>
      <w:r w:rsidRPr="006D631C">
        <w:rPr>
          <w:i/>
          <w:iCs/>
          <w:noProof/>
        </w:rPr>
        <w:t>34</w:t>
      </w:r>
      <w:r w:rsidRPr="006D631C">
        <w:rPr>
          <w:noProof/>
        </w:rPr>
        <w:t xml:space="preserve"> (12), 973–980. https://doi.org/10.1021/ar000140d.</w:t>
      </w:r>
    </w:p>
    <w:p w14:paraId="2E1B518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 </w:t>
      </w:r>
      <w:r w:rsidRPr="006D631C">
        <w:rPr>
          <w:noProof/>
        </w:rPr>
        <w:tab/>
        <w:t xml:space="preserve">Mauter, M. S.; Elimelech, M.; Osuji, C. O. Nanocomposites of Vertically Aligned Single-Walled Carbon Nanotubes by Magnetic Alignment and Polymerization of a Lyotropic Precursor. </w:t>
      </w:r>
      <w:r w:rsidRPr="006D631C">
        <w:rPr>
          <w:i/>
          <w:iCs/>
          <w:noProof/>
        </w:rPr>
        <w:t>ACS Nano</w:t>
      </w:r>
      <w:r w:rsidRPr="006D631C">
        <w:rPr>
          <w:noProof/>
        </w:rPr>
        <w:t xml:space="preserve"> </w:t>
      </w:r>
      <w:r w:rsidRPr="006D631C">
        <w:rPr>
          <w:b/>
          <w:bCs/>
          <w:noProof/>
        </w:rPr>
        <w:t>2010</w:t>
      </w:r>
      <w:r w:rsidRPr="006D631C">
        <w:rPr>
          <w:noProof/>
        </w:rPr>
        <w:t xml:space="preserve">, </w:t>
      </w:r>
      <w:r w:rsidRPr="006D631C">
        <w:rPr>
          <w:i/>
          <w:iCs/>
          <w:noProof/>
        </w:rPr>
        <w:t>4</w:t>
      </w:r>
      <w:r w:rsidRPr="006D631C">
        <w:rPr>
          <w:noProof/>
        </w:rPr>
        <w:t xml:space="preserve"> (11), 6651–6658. https://doi.org/10.1021/nn102047j.</w:t>
      </w:r>
    </w:p>
    <w:p w14:paraId="69149E3C"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(31) </w:t>
      </w:r>
      <w:r w:rsidRPr="006D631C">
        <w:rPr>
          <w:noProof/>
        </w:rPr>
        <w:tab/>
        <w:t xml:space="preserve">Feng, X.; Imran, Q.; Zhang, Y.; Sixdenier, L.; Lu, X.; Kaufman, G.; Gabinet, U.; Kawabata, K.; Elimelech, M.; Osuji, C. O. Precise Nanofiltration in a Fouling-Resistant Self-Assembled Membrane with Water-Continuous Transport Pathways. </w:t>
      </w:r>
      <w:r w:rsidRPr="006D631C">
        <w:rPr>
          <w:i/>
          <w:iCs/>
          <w:noProof/>
        </w:rPr>
        <w:t>Sci. Adv.</w:t>
      </w:r>
      <w:r w:rsidRPr="006D631C">
        <w:rPr>
          <w:noProof/>
        </w:rPr>
        <w:t xml:space="preserve"> </w:t>
      </w:r>
      <w:r w:rsidRPr="006D631C">
        <w:rPr>
          <w:b/>
          <w:bCs/>
          <w:noProof/>
        </w:rPr>
        <w:t>2019</w:t>
      </w:r>
      <w:r w:rsidRPr="006D631C">
        <w:rPr>
          <w:noProof/>
        </w:rPr>
        <w:t xml:space="preserve">, </w:t>
      </w:r>
      <w:r w:rsidRPr="006D631C">
        <w:rPr>
          <w:i/>
          <w:iCs/>
          <w:noProof/>
        </w:rPr>
        <w:t>5</w:t>
      </w:r>
      <w:r w:rsidRPr="006D631C">
        <w:rPr>
          <w:noProof/>
        </w:rPr>
        <w:t xml:space="preserve"> (8), eaav9308. https://doi.org/10.1126/sciadv.aav9308.</w:t>
      </w:r>
    </w:p>
    <w:p w14:paraId="570741F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(32) </w:t>
      </w:r>
      <w:r w:rsidRPr="006D631C">
        <w:rPr>
          <w:noProof/>
        </w:rPr>
        <w:tab/>
        <w:t xml:space="preserve">Qavi, S.; Lindsay, A. P.; Firestone, M. A.; Foudazi, R. Ultrafiltration Membranes from Polymerization of Self-Assembled Pluronic Block Copolymer Mesophases. </w:t>
      </w:r>
      <w:r w:rsidRPr="006D631C">
        <w:rPr>
          <w:i/>
          <w:iCs/>
          <w:noProof/>
        </w:rPr>
        <w:t>J. Memb. Sci.</w:t>
      </w:r>
      <w:r w:rsidRPr="006D631C">
        <w:rPr>
          <w:noProof/>
        </w:rPr>
        <w:t xml:space="preserve"> </w:t>
      </w:r>
      <w:r w:rsidRPr="006D631C">
        <w:rPr>
          <w:b/>
          <w:bCs/>
          <w:noProof/>
        </w:rPr>
        <w:t>2019</w:t>
      </w:r>
      <w:r w:rsidRPr="006D631C">
        <w:rPr>
          <w:noProof/>
        </w:rPr>
        <w:t xml:space="preserve">, </w:t>
      </w:r>
      <w:r w:rsidRPr="006D631C">
        <w:rPr>
          <w:i/>
          <w:iCs/>
          <w:noProof/>
        </w:rPr>
        <w:t>580</w:t>
      </w:r>
      <w:r w:rsidRPr="006D631C">
        <w:rPr>
          <w:noProof/>
        </w:rPr>
        <w:t>, 125–133. https://doi.org/10.1016/j.memsci.2019.02.060.</w:t>
      </w:r>
    </w:p>
    <w:p w14:paraId="4C7B206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(33) </w:t>
      </w:r>
      <w:r w:rsidRPr="006D631C">
        <w:rPr>
          <w:noProof/>
        </w:rPr>
        <w:tab/>
        <w:t xml:space="preserve">Dischinger, S. M.; Rosenblum, J.; Noble, R. D.; Gin, D. L.; Linden, K. G. Application of a Lyotropic Liquid Crystal Nanofiltration Membrane for Hydraulic Fracturing Flowback Water: Selectivity and Implications for Treatment. </w:t>
      </w:r>
      <w:r w:rsidRPr="006D631C">
        <w:rPr>
          <w:i/>
          <w:iCs/>
          <w:noProof/>
        </w:rPr>
        <w:t>J. Memb. Sci.</w:t>
      </w:r>
      <w:r w:rsidRPr="006D631C">
        <w:rPr>
          <w:noProof/>
        </w:rPr>
        <w:t xml:space="preserve"> </w:t>
      </w:r>
      <w:r w:rsidRPr="006D631C">
        <w:rPr>
          <w:b/>
          <w:bCs/>
          <w:noProof/>
        </w:rPr>
        <w:t>2017</w:t>
      </w:r>
      <w:r w:rsidRPr="006D631C">
        <w:rPr>
          <w:noProof/>
        </w:rPr>
        <w:t xml:space="preserve">, </w:t>
      </w:r>
      <w:r w:rsidRPr="006D631C">
        <w:rPr>
          <w:i/>
          <w:iCs/>
          <w:noProof/>
        </w:rPr>
        <w:t>543</w:t>
      </w:r>
      <w:r w:rsidRPr="006D631C">
        <w:rPr>
          <w:noProof/>
        </w:rPr>
        <w:t>, 319–327. https://doi.org/10.1016/j.memsci.2017.08.028.</w:t>
      </w:r>
    </w:p>
    <w:p w14:paraId="2A96468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(34) </w:t>
      </w:r>
      <w:r w:rsidRPr="006D631C">
        <w:rPr>
          <w:noProof/>
        </w:rPr>
        <w:tab/>
        <w:t xml:space="preserve">Zhou, M.; Nemade, P. R.; Lu, X.; Zeng, X.; Hatakeyama, E. S.; Noble, R. D.; Gin, D. L. New Type of Membrane Material for Water Desalination Based on a Cross-Linked Bicontinuous Cubic Lyotropic Liquid Crystal Assembly. </w:t>
      </w:r>
      <w:r w:rsidRPr="006D631C">
        <w:rPr>
          <w:i/>
          <w:iCs/>
          <w:noProof/>
        </w:rPr>
        <w:t>J. Am. Chem. Soc.</w:t>
      </w:r>
      <w:r w:rsidRPr="006D631C">
        <w:rPr>
          <w:noProof/>
        </w:rPr>
        <w:t xml:space="preserve"> </w:t>
      </w:r>
      <w:r w:rsidRPr="006D631C">
        <w:rPr>
          <w:b/>
          <w:bCs/>
          <w:noProof/>
        </w:rPr>
        <w:t>2007</w:t>
      </w:r>
      <w:r w:rsidRPr="006D631C">
        <w:rPr>
          <w:noProof/>
        </w:rPr>
        <w:t xml:space="preserve">, </w:t>
      </w:r>
      <w:r w:rsidRPr="006D631C">
        <w:rPr>
          <w:i/>
          <w:iCs/>
          <w:noProof/>
        </w:rPr>
        <w:t>129</w:t>
      </w:r>
      <w:r w:rsidRPr="006D631C">
        <w:rPr>
          <w:noProof/>
        </w:rPr>
        <w:t xml:space="preserve"> (31), 9574–9575. https://doi.org/10.1021/ja073067w.</w:t>
      </w:r>
    </w:p>
    <w:p w14:paraId="621BF38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(35) </w:t>
      </w:r>
      <w:r w:rsidRPr="006D631C">
        <w:rPr>
          <w:noProof/>
        </w:rPr>
        <w:tab/>
        <w:t xml:space="preserve">Gin, D. L.; Bara, J. E.; Noble, R. D.; Elliott, B. J. Polymerized Lyotropic Liquid Crystal Assemblies for Membrane Applications. </w:t>
      </w:r>
      <w:r w:rsidRPr="006D631C">
        <w:rPr>
          <w:i/>
          <w:iCs/>
          <w:noProof/>
        </w:rPr>
        <w:t>Macromol. Rapid Commun.</w:t>
      </w:r>
      <w:r w:rsidRPr="006D631C">
        <w:rPr>
          <w:noProof/>
        </w:rPr>
        <w:t xml:space="preserve"> </w:t>
      </w:r>
      <w:r w:rsidRPr="006D631C">
        <w:rPr>
          <w:b/>
          <w:bCs/>
          <w:noProof/>
        </w:rPr>
        <w:t>2008</w:t>
      </w:r>
      <w:r w:rsidRPr="006D631C">
        <w:rPr>
          <w:noProof/>
        </w:rPr>
        <w:t xml:space="preserve">, </w:t>
      </w:r>
      <w:r w:rsidRPr="006D631C">
        <w:rPr>
          <w:i/>
          <w:iCs/>
          <w:noProof/>
        </w:rPr>
        <w:t>29</w:t>
      </w:r>
      <w:r w:rsidRPr="006D631C">
        <w:rPr>
          <w:noProof/>
        </w:rPr>
        <w:t xml:space="preserve"> (5), 367–389. https://doi.org/10.1002/marc.200700707.</w:t>
      </w:r>
    </w:p>
    <w:p w14:paraId="655B012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(36) </w:t>
      </w:r>
      <w:r w:rsidRPr="006D631C">
        <w:rPr>
          <w:noProof/>
        </w:rPr>
        <w:tab/>
        <w:t xml:space="preserve">Guymon, C. A.; Lester, C. L. Photopolymerization Kinetics of Nanostructured Polymers Templated by Lyotropic Liquid Crystals. </w:t>
      </w:r>
      <w:r w:rsidRPr="006D631C">
        <w:rPr>
          <w:i/>
          <w:iCs/>
          <w:noProof/>
        </w:rPr>
        <w:t>ACS Symp. Ser.</w:t>
      </w:r>
      <w:r w:rsidRPr="006D631C">
        <w:rPr>
          <w:noProof/>
        </w:rPr>
        <w:t xml:space="preserve"> </w:t>
      </w:r>
      <w:r w:rsidRPr="006D631C">
        <w:rPr>
          <w:b/>
          <w:bCs/>
          <w:noProof/>
        </w:rPr>
        <w:t>2003</w:t>
      </w:r>
      <w:r w:rsidRPr="006D631C">
        <w:rPr>
          <w:noProof/>
        </w:rPr>
        <w:t xml:space="preserve">, </w:t>
      </w:r>
      <w:r w:rsidRPr="006D631C">
        <w:rPr>
          <w:i/>
          <w:iCs/>
          <w:noProof/>
        </w:rPr>
        <w:t>847</w:t>
      </w:r>
      <w:r w:rsidRPr="006D631C">
        <w:rPr>
          <w:noProof/>
        </w:rPr>
        <w:t>, 378–388. https://doi.org/10.1021/bk-2003-0847.ch032.</w:t>
      </w:r>
    </w:p>
    <w:p w14:paraId="6F48E17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(37) </w:t>
      </w:r>
      <w:r w:rsidRPr="006D631C">
        <w:rPr>
          <w:noProof/>
        </w:rPr>
        <w:tab/>
        <w:t xml:space="preserve">Lester, C. L.; Smith, S. M.; Jarrett, W. L.; Allan Guymon, C. Effects of Monomer Organization on the Photopolymerization Kinetics of Acrylamide in Lyotropic Liquid </w:t>
      </w:r>
      <w:r w:rsidRPr="006D631C">
        <w:rPr>
          <w:noProof/>
        </w:rPr>
        <w:lastRenderedPageBreak/>
        <w:t xml:space="preserve">Crystalline Phases. </w:t>
      </w:r>
      <w:r w:rsidRPr="006D631C">
        <w:rPr>
          <w:i/>
          <w:iCs/>
          <w:noProof/>
        </w:rPr>
        <w:t>Langmuir</w:t>
      </w:r>
      <w:r w:rsidRPr="006D631C">
        <w:rPr>
          <w:noProof/>
        </w:rPr>
        <w:t xml:space="preserve"> </w:t>
      </w:r>
      <w:r w:rsidRPr="006D631C">
        <w:rPr>
          <w:b/>
          <w:bCs/>
          <w:noProof/>
        </w:rPr>
        <w:t>2003</w:t>
      </w:r>
      <w:r w:rsidRPr="006D631C">
        <w:rPr>
          <w:noProof/>
        </w:rPr>
        <w:t xml:space="preserve">, </w:t>
      </w:r>
      <w:r w:rsidRPr="006D631C">
        <w:rPr>
          <w:i/>
          <w:iCs/>
          <w:noProof/>
        </w:rPr>
        <w:t>19</w:t>
      </w:r>
      <w:r w:rsidRPr="006D631C">
        <w:rPr>
          <w:noProof/>
        </w:rPr>
        <w:t xml:space="preserve"> (22), 9466–9472. https://doi.org/10.1021/la0300784.</w:t>
      </w:r>
    </w:p>
    <w:p w14:paraId="59FF061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(38) </w:t>
      </w:r>
      <w:r w:rsidRPr="006D631C">
        <w:rPr>
          <w:noProof/>
        </w:rPr>
        <w:tab/>
        <w:t xml:space="preserve">McLaughlin, J. R.; Abbott, N. L.; Guymon, C. A. Responsive Superabsorbent Hydrogels via Photopolymerization in Lyotropic Liquid Crystal Templates. </w:t>
      </w:r>
      <w:r w:rsidRPr="006D631C">
        <w:rPr>
          <w:i/>
          <w:iCs/>
          <w:noProof/>
        </w:rPr>
        <w:t>Polymer</w:t>
      </w:r>
      <w:r w:rsidRPr="006D631C">
        <w:rPr>
          <w:noProof/>
        </w:rPr>
        <w:t xml:space="preserve"> </w:t>
      </w:r>
      <w:r w:rsidRPr="006D631C">
        <w:rPr>
          <w:b/>
          <w:bCs/>
          <w:noProof/>
        </w:rPr>
        <w:t>2018</w:t>
      </w:r>
      <w:r w:rsidRPr="006D631C">
        <w:rPr>
          <w:noProof/>
        </w:rPr>
        <w:t xml:space="preserve">, </w:t>
      </w:r>
      <w:r w:rsidRPr="006D631C">
        <w:rPr>
          <w:i/>
          <w:iCs/>
          <w:noProof/>
        </w:rPr>
        <w:t>142</w:t>
      </w:r>
      <w:r w:rsidRPr="006D631C">
        <w:rPr>
          <w:noProof/>
        </w:rPr>
        <w:t>, 119–126. https://doi.org/10.1016/j.polymer.2018.03.016.</w:t>
      </w:r>
    </w:p>
    <w:p w14:paraId="279AB66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(39) </w:t>
      </w:r>
      <w:r w:rsidRPr="006D631C">
        <w:rPr>
          <w:noProof/>
        </w:rPr>
        <w:tab/>
        <w:t xml:space="preserve">DePierro, M. A.; Olson, A. J.; Guymon, C. A. Effect of Photoinitiator Segregation on Polymerization Kinetics in Lyotropic Liquid Crystals. </w:t>
      </w:r>
      <w:r w:rsidRPr="006D631C">
        <w:rPr>
          <w:i/>
          <w:iCs/>
          <w:noProof/>
        </w:rPr>
        <w:t>Polymer</w:t>
      </w:r>
      <w:r w:rsidRPr="006D631C">
        <w:rPr>
          <w:noProof/>
        </w:rPr>
        <w:t xml:space="preserve"> </w:t>
      </w:r>
      <w:r w:rsidRPr="006D631C">
        <w:rPr>
          <w:b/>
          <w:bCs/>
          <w:noProof/>
        </w:rPr>
        <w:t>2005</w:t>
      </w:r>
      <w:r w:rsidRPr="006D631C">
        <w:rPr>
          <w:noProof/>
        </w:rPr>
        <w:t xml:space="preserve">, </w:t>
      </w:r>
      <w:r w:rsidRPr="006D631C">
        <w:rPr>
          <w:i/>
          <w:iCs/>
          <w:noProof/>
        </w:rPr>
        <w:t>46</w:t>
      </w:r>
      <w:r w:rsidRPr="006D631C">
        <w:rPr>
          <w:noProof/>
        </w:rPr>
        <w:t xml:space="preserve"> (2), 335–345. https://doi.org/10.1016/j.polymer.2004.11.007.</w:t>
      </w:r>
    </w:p>
    <w:p w14:paraId="7554001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(40) </w:t>
      </w:r>
      <w:r w:rsidRPr="006D631C">
        <w:rPr>
          <w:noProof/>
        </w:rPr>
        <w:tab/>
        <w:t xml:space="preserve">DePierro, M. A.; Carpenter, K. G.; Guymon, C. A. Influence of Polymerization Conditions on Nanostructure and Properties of Polyacrylamide Hydrogels Templated from Lyotropic Liquid Crystals. </w:t>
      </w:r>
      <w:r w:rsidRPr="006D631C">
        <w:rPr>
          <w:i/>
          <w:iCs/>
          <w:noProof/>
        </w:rPr>
        <w:t>Chem. Mater.</w:t>
      </w:r>
      <w:r w:rsidRPr="006D631C">
        <w:rPr>
          <w:noProof/>
        </w:rPr>
        <w:t xml:space="preserve"> </w:t>
      </w:r>
      <w:r w:rsidRPr="006D631C">
        <w:rPr>
          <w:b/>
          <w:bCs/>
          <w:noProof/>
        </w:rPr>
        <w:t>2006</w:t>
      </w:r>
      <w:r w:rsidRPr="006D631C">
        <w:rPr>
          <w:noProof/>
        </w:rPr>
        <w:t xml:space="preserve">, </w:t>
      </w:r>
      <w:r w:rsidRPr="006D631C">
        <w:rPr>
          <w:i/>
          <w:iCs/>
          <w:noProof/>
        </w:rPr>
        <w:t>18</w:t>
      </w:r>
      <w:r w:rsidRPr="006D631C">
        <w:rPr>
          <w:noProof/>
        </w:rPr>
        <w:t xml:space="preserve"> (23), 5609–5617. https://doi.org/10.1021/cm061969a.</w:t>
      </w:r>
    </w:p>
    <w:p w14:paraId="3293F2B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(41) </w:t>
      </w:r>
      <w:r w:rsidRPr="006D631C">
        <w:rPr>
          <w:noProof/>
        </w:rPr>
        <w:tab/>
        <w:t xml:space="preserve">Forney, B. S.; Baguenard, C.; Guymon, C. A. Effects of Controlling Polymer Nanostructure Using Photopolymerization within Lyotropic Liquid Crystalline Templates. </w:t>
      </w:r>
      <w:r w:rsidRPr="006D631C">
        <w:rPr>
          <w:i/>
          <w:iCs/>
          <w:noProof/>
        </w:rPr>
        <w:t>Chem. Mater.</w:t>
      </w:r>
      <w:r w:rsidRPr="006D631C">
        <w:rPr>
          <w:noProof/>
        </w:rPr>
        <w:t xml:space="preserve"> </w:t>
      </w:r>
      <w:r w:rsidRPr="006D631C">
        <w:rPr>
          <w:b/>
          <w:bCs/>
          <w:noProof/>
        </w:rPr>
        <w:t>2013</w:t>
      </w:r>
      <w:r w:rsidRPr="006D631C">
        <w:rPr>
          <w:noProof/>
        </w:rPr>
        <w:t xml:space="preserve">, </w:t>
      </w:r>
      <w:r w:rsidRPr="006D631C">
        <w:rPr>
          <w:i/>
          <w:iCs/>
          <w:noProof/>
        </w:rPr>
        <w:t>25</w:t>
      </w:r>
      <w:r w:rsidRPr="006D631C">
        <w:rPr>
          <w:noProof/>
        </w:rPr>
        <w:t xml:space="preserve"> (15), 2950–2960. https://doi.org/10.1021/cm4004849.</w:t>
      </w:r>
    </w:p>
    <w:p w14:paraId="70D3C65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(42) </w:t>
      </w:r>
      <w:r w:rsidRPr="006D631C">
        <w:rPr>
          <w:noProof/>
        </w:rPr>
        <w:tab/>
        <w:t xml:space="preserve">Forney, B. S.; Baguenard, C.; Allan Guymon, C. Improved Stimuli-Response and Mechanical Properties of Nanostructured Poly(N-Isopropylacrylamide-Co-Dimethylsiloxane) Hydrogels Generated through Photopolymerization in Lyotropic Liquid Crystal Templates. </w:t>
      </w:r>
      <w:r w:rsidRPr="006D631C">
        <w:rPr>
          <w:i/>
          <w:iCs/>
          <w:noProof/>
        </w:rPr>
        <w:t>Soft Matter</w:t>
      </w:r>
      <w:r w:rsidRPr="006D631C">
        <w:rPr>
          <w:noProof/>
        </w:rPr>
        <w:t xml:space="preserve"> </w:t>
      </w:r>
      <w:r w:rsidRPr="006D631C">
        <w:rPr>
          <w:b/>
          <w:bCs/>
          <w:noProof/>
        </w:rPr>
        <w:t>2013</w:t>
      </w:r>
      <w:r w:rsidRPr="006D631C">
        <w:rPr>
          <w:noProof/>
        </w:rPr>
        <w:t xml:space="preserve">, </w:t>
      </w:r>
      <w:r w:rsidRPr="006D631C">
        <w:rPr>
          <w:i/>
          <w:iCs/>
          <w:noProof/>
        </w:rPr>
        <w:t>9</w:t>
      </w:r>
      <w:r w:rsidRPr="006D631C">
        <w:rPr>
          <w:noProof/>
        </w:rPr>
        <w:t xml:space="preserve"> (31), 7458–7467. https://doi.org/10.1039/c3sm50556a.</w:t>
      </w:r>
    </w:p>
    <w:p w14:paraId="076C488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(43) </w:t>
      </w:r>
      <w:r w:rsidRPr="006D631C">
        <w:rPr>
          <w:noProof/>
        </w:rPr>
        <w:tab/>
        <w:t xml:space="preserve">Lester, C. L.; Colson, C. D.; Guymon, C. A. Photopolymerization Kinetics and Structure Development of Templated Lyotropic Liquid Crystalline Systems. </w:t>
      </w:r>
      <w:r w:rsidRPr="006D631C">
        <w:rPr>
          <w:i/>
          <w:iCs/>
          <w:noProof/>
        </w:rPr>
        <w:t>Macromolecules</w:t>
      </w:r>
      <w:r w:rsidRPr="006D631C">
        <w:rPr>
          <w:noProof/>
        </w:rPr>
        <w:t xml:space="preserve"> </w:t>
      </w:r>
      <w:r w:rsidRPr="006D631C">
        <w:rPr>
          <w:b/>
          <w:bCs/>
          <w:noProof/>
        </w:rPr>
        <w:t>2001</w:t>
      </w:r>
      <w:r w:rsidRPr="006D631C">
        <w:rPr>
          <w:noProof/>
        </w:rPr>
        <w:t xml:space="preserve">, </w:t>
      </w:r>
      <w:r w:rsidRPr="006D631C">
        <w:rPr>
          <w:i/>
          <w:iCs/>
          <w:noProof/>
        </w:rPr>
        <w:t>34</w:t>
      </w:r>
      <w:r w:rsidRPr="006D631C">
        <w:rPr>
          <w:noProof/>
        </w:rPr>
        <w:t xml:space="preserve"> (13), 4430–4438. https://doi.org/10.1021/ma001853e.</w:t>
      </w:r>
    </w:p>
    <w:p w14:paraId="6028205D"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(44) </w:t>
      </w:r>
      <w:r w:rsidRPr="006D631C">
        <w:rPr>
          <w:noProof/>
        </w:rPr>
        <w:tab/>
        <w:t xml:space="preserve">Lester, C. L.; Smith, S. M.; Colson, C. D.; Guymon, C. A. Physical Properties of Hydrogels Synthesized from Lyotropic Liquid Crystalline Templates. </w:t>
      </w:r>
      <w:r w:rsidRPr="006D631C">
        <w:rPr>
          <w:i/>
          <w:iCs/>
          <w:noProof/>
        </w:rPr>
        <w:t>Chem. Mater.</w:t>
      </w:r>
      <w:r w:rsidRPr="006D631C">
        <w:rPr>
          <w:noProof/>
        </w:rPr>
        <w:t xml:space="preserve"> </w:t>
      </w:r>
      <w:r w:rsidRPr="006D631C">
        <w:rPr>
          <w:b/>
          <w:bCs/>
          <w:noProof/>
        </w:rPr>
        <w:t>2003</w:t>
      </w:r>
      <w:r w:rsidRPr="006D631C">
        <w:rPr>
          <w:noProof/>
        </w:rPr>
        <w:t xml:space="preserve">, </w:t>
      </w:r>
      <w:r w:rsidRPr="006D631C">
        <w:rPr>
          <w:i/>
          <w:iCs/>
          <w:noProof/>
        </w:rPr>
        <w:t>15</w:t>
      </w:r>
      <w:r w:rsidRPr="006D631C">
        <w:rPr>
          <w:noProof/>
        </w:rPr>
        <w:t xml:space="preserve"> (17), 3376–3384. https://doi.org/10.1021/cm021703d.</w:t>
      </w:r>
    </w:p>
    <w:p w14:paraId="7E6E732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(45) </w:t>
      </w:r>
      <w:r w:rsidRPr="006D631C">
        <w:rPr>
          <w:noProof/>
        </w:rPr>
        <w:tab/>
        <w:t xml:space="preserve">McCormick, D. T.; Stovall, K. D.; Guymon, C. A. Photopolymerization in Pluronic Lyotropic Liquid Crystals: Induced Mesophase Thermal Stability. </w:t>
      </w:r>
      <w:r w:rsidRPr="006D631C">
        <w:rPr>
          <w:i/>
          <w:iCs/>
          <w:noProof/>
        </w:rPr>
        <w:t>Macromolecules</w:t>
      </w:r>
      <w:r w:rsidRPr="006D631C">
        <w:rPr>
          <w:noProof/>
        </w:rPr>
        <w:t xml:space="preserve"> </w:t>
      </w:r>
      <w:r w:rsidRPr="006D631C">
        <w:rPr>
          <w:b/>
          <w:bCs/>
          <w:noProof/>
        </w:rPr>
        <w:t>2003</w:t>
      </w:r>
      <w:r w:rsidRPr="006D631C">
        <w:rPr>
          <w:noProof/>
        </w:rPr>
        <w:t xml:space="preserve">, </w:t>
      </w:r>
      <w:r w:rsidRPr="006D631C">
        <w:rPr>
          <w:i/>
          <w:iCs/>
          <w:noProof/>
        </w:rPr>
        <w:t>36</w:t>
      </w:r>
      <w:r w:rsidRPr="006D631C">
        <w:rPr>
          <w:noProof/>
        </w:rPr>
        <w:t xml:space="preserve"> (17), 6549–6558. https://doi.org/10.1021/ma030037e.</w:t>
      </w:r>
    </w:p>
    <w:p w14:paraId="6E44005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(46) </w:t>
      </w:r>
      <w:r w:rsidRPr="006D631C">
        <w:rPr>
          <w:noProof/>
        </w:rPr>
        <w:tab/>
        <w:t xml:space="preserve">Clapper, J. D.; Guymon, C. A. Nanostructured Hydrogels via Photopolymerization in Lyotropic Liquid Crystalline Systems. </w:t>
      </w:r>
      <w:r w:rsidRPr="006D631C">
        <w:rPr>
          <w:i/>
          <w:iCs/>
          <w:noProof/>
        </w:rPr>
        <w:t>Mol. Cryst. Liq. Cryst.</w:t>
      </w:r>
      <w:r w:rsidRPr="006D631C">
        <w:rPr>
          <w:noProof/>
        </w:rPr>
        <w:t xml:space="preserve"> </w:t>
      </w:r>
      <w:r w:rsidRPr="006D631C">
        <w:rPr>
          <w:b/>
          <w:bCs/>
          <w:noProof/>
        </w:rPr>
        <w:t>2009</w:t>
      </w:r>
      <w:r w:rsidRPr="006D631C">
        <w:rPr>
          <w:noProof/>
        </w:rPr>
        <w:t xml:space="preserve">, </w:t>
      </w:r>
      <w:r w:rsidRPr="006D631C">
        <w:rPr>
          <w:i/>
          <w:iCs/>
          <w:noProof/>
        </w:rPr>
        <w:t>509</w:t>
      </w:r>
      <w:r w:rsidRPr="006D631C">
        <w:rPr>
          <w:noProof/>
        </w:rPr>
        <w:t xml:space="preserve"> (1), 30/[772]-38/[780]. https://doi.org/10.1080/15421400903065002.</w:t>
      </w:r>
    </w:p>
    <w:p w14:paraId="41CF23B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(47) </w:t>
      </w:r>
      <w:r w:rsidRPr="006D631C">
        <w:rPr>
          <w:noProof/>
        </w:rPr>
        <w:tab/>
        <w:t xml:space="preserve">López-Barrón, C. R.; Chen, R.; Wagner, N. J. Ultrastretchable Iono-Elastomers with Mechanoelectrical Response. </w:t>
      </w:r>
      <w:r w:rsidRPr="006D631C">
        <w:rPr>
          <w:i/>
          <w:iCs/>
          <w:noProof/>
        </w:rPr>
        <w:t>ACS Macro Lett.</w:t>
      </w:r>
      <w:r w:rsidRPr="006D631C">
        <w:rPr>
          <w:noProof/>
        </w:rPr>
        <w:t xml:space="preserve"> </w:t>
      </w:r>
      <w:r w:rsidRPr="006D631C">
        <w:rPr>
          <w:b/>
          <w:bCs/>
          <w:noProof/>
        </w:rPr>
        <w:t>2016</w:t>
      </w:r>
      <w:r w:rsidRPr="006D631C">
        <w:rPr>
          <w:noProof/>
        </w:rPr>
        <w:t xml:space="preserve">, </w:t>
      </w:r>
      <w:r w:rsidRPr="006D631C">
        <w:rPr>
          <w:i/>
          <w:iCs/>
          <w:noProof/>
        </w:rPr>
        <w:t>5</w:t>
      </w:r>
      <w:r w:rsidRPr="006D631C">
        <w:rPr>
          <w:noProof/>
        </w:rPr>
        <w:t xml:space="preserve"> (12), 1332–1338. https://doi.org/10.1021/acsmacrolett.6b00790.</w:t>
      </w:r>
    </w:p>
    <w:p w14:paraId="4298F56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(48) </w:t>
      </w:r>
      <w:r w:rsidRPr="006D631C">
        <w:rPr>
          <w:noProof/>
        </w:rPr>
        <w:tab/>
        <w:t xml:space="preserve">Xie, Y.; Xie, R.; Yang, H. C.; Chen, Z.; Hou, J.; López-Barrón, C. R.; Wagner, N. J.; Gao, K. Z. Iono-Elastomer-Based Wearable Strain Sensor with Real-Time Thermomechanical Dual Response. </w:t>
      </w:r>
      <w:r w:rsidRPr="006D631C">
        <w:rPr>
          <w:i/>
          <w:iCs/>
          <w:noProof/>
        </w:rPr>
        <w:t>ACS Appl. Mater. Interfaces</w:t>
      </w:r>
      <w:r w:rsidRPr="006D631C">
        <w:rPr>
          <w:noProof/>
        </w:rPr>
        <w:t xml:space="preserve"> </w:t>
      </w:r>
      <w:r w:rsidRPr="006D631C">
        <w:rPr>
          <w:b/>
          <w:bCs/>
          <w:noProof/>
        </w:rPr>
        <w:t>2018</w:t>
      </w:r>
      <w:r w:rsidRPr="006D631C">
        <w:rPr>
          <w:noProof/>
        </w:rPr>
        <w:t xml:space="preserve">, </w:t>
      </w:r>
      <w:r w:rsidRPr="006D631C">
        <w:rPr>
          <w:i/>
          <w:iCs/>
          <w:noProof/>
        </w:rPr>
        <w:t>10</w:t>
      </w:r>
      <w:r w:rsidRPr="006D631C">
        <w:rPr>
          <w:noProof/>
        </w:rPr>
        <w:t xml:space="preserve"> (38), 32435–32443. https://doi.org/10.1021/acsami.8b10672.</w:t>
      </w:r>
    </w:p>
    <w:p w14:paraId="010C0BF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(49) </w:t>
      </w:r>
      <w:r w:rsidRPr="006D631C">
        <w:rPr>
          <w:noProof/>
        </w:rPr>
        <w:tab/>
        <w:t xml:space="preserve">Gu, W.; Zhou, W. J.; Gin, D. L. A Nanostructured, Scandium-Containing Polymer for Heterogeneous Lewis Acid Catalysis in Water. </w:t>
      </w:r>
      <w:r w:rsidRPr="006D631C">
        <w:rPr>
          <w:i/>
          <w:iCs/>
          <w:noProof/>
        </w:rPr>
        <w:t>Chem. Mater.</w:t>
      </w:r>
      <w:r w:rsidRPr="006D631C">
        <w:rPr>
          <w:noProof/>
        </w:rPr>
        <w:t xml:space="preserve"> </w:t>
      </w:r>
      <w:r w:rsidRPr="006D631C">
        <w:rPr>
          <w:b/>
          <w:bCs/>
          <w:noProof/>
        </w:rPr>
        <w:t>2001</w:t>
      </w:r>
      <w:r w:rsidRPr="006D631C">
        <w:rPr>
          <w:noProof/>
        </w:rPr>
        <w:t xml:space="preserve">, </w:t>
      </w:r>
      <w:r w:rsidRPr="006D631C">
        <w:rPr>
          <w:i/>
          <w:iCs/>
          <w:noProof/>
        </w:rPr>
        <w:t>13</w:t>
      </w:r>
      <w:r w:rsidRPr="006D631C">
        <w:rPr>
          <w:noProof/>
        </w:rPr>
        <w:t xml:space="preserve"> (6), 1949–1951. https://doi.org/10.1021/cm0101531.</w:t>
      </w:r>
    </w:p>
    <w:p w14:paraId="4633295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(50) </w:t>
      </w:r>
      <w:r w:rsidRPr="006D631C">
        <w:rPr>
          <w:noProof/>
        </w:rPr>
        <w:tab/>
        <w:t xml:space="preserve">Smith, R. C.; Fischer, W. M.; Gin, D. L. Ordered Poly(p-Phenylenevinylene) Matrix Nanocomposites via Lyotropic Liquid-Crystalline Monomers. </w:t>
      </w:r>
      <w:r w:rsidRPr="006D631C">
        <w:rPr>
          <w:i/>
          <w:iCs/>
          <w:noProof/>
        </w:rPr>
        <w:t>J. Am. Chem. Soc.</w:t>
      </w:r>
      <w:r w:rsidRPr="006D631C">
        <w:rPr>
          <w:noProof/>
        </w:rPr>
        <w:t xml:space="preserve"> </w:t>
      </w:r>
      <w:r w:rsidRPr="006D631C">
        <w:rPr>
          <w:b/>
          <w:bCs/>
          <w:noProof/>
        </w:rPr>
        <w:t>1997</w:t>
      </w:r>
      <w:r w:rsidRPr="006D631C">
        <w:rPr>
          <w:noProof/>
        </w:rPr>
        <w:t xml:space="preserve">, </w:t>
      </w:r>
      <w:r w:rsidRPr="006D631C">
        <w:rPr>
          <w:i/>
          <w:iCs/>
          <w:noProof/>
        </w:rPr>
        <w:t>119</w:t>
      </w:r>
      <w:r w:rsidRPr="006D631C">
        <w:rPr>
          <w:noProof/>
        </w:rPr>
        <w:t xml:space="preserve"> (17), 4092–4093. https://doi.org/10.1021/ja963837w.</w:t>
      </w:r>
    </w:p>
    <w:p w14:paraId="33C5D41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(51) </w:t>
      </w:r>
      <w:r w:rsidRPr="006D631C">
        <w:rPr>
          <w:noProof/>
        </w:rPr>
        <w:tab/>
        <w:t xml:space="preserve">Gray, D. H.; Hu, S.; Juang, E.; Gin, D. L. Highly Ordered Polymer-Inorganic </w:t>
      </w:r>
      <w:r w:rsidRPr="006D631C">
        <w:rPr>
          <w:noProof/>
        </w:rPr>
        <w:lastRenderedPageBreak/>
        <w:t xml:space="preserve">Nanocomposites via Monomer Self-Assembly: In Situ Condensation Approach. </w:t>
      </w:r>
      <w:r w:rsidRPr="006D631C">
        <w:rPr>
          <w:i/>
          <w:iCs/>
          <w:noProof/>
        </w:rPr>
        <w:t>Adv. Mater.</w:t>
      </w:r>
      <w:r w:rsidRPr="006D631C">
        <w:rPr>
          <w:noProof/>
        </w:rPr>
        <w:t xml:space="preserve"> </w:t>
      </w:r>
      <w:r w:rsidRPr="006D631C">
        <w:rPr>
          <w:b/>
          <w:bCs/>
          <w:noProof/>
        </w:rPr>
        <w:t>1997</w:t>
      </w:r>
      <w:r w:rsidRPr="006D631C">
        <w:rPr>
          <w:noProof/>
        </w:rPr>
        <w:t xml:space="preserve">, </w:t>
      </w:r>
      <w:r w:rsidRPr="006D631C">
        <w:rPr>
          <w:i/>
          <w:iCs/>
          <w:noProof/>
        </w:rPr>
        <w:t>9</w:t>
      </w:r>
      <w:r w:rsidRPr="006D631C">
        <w:rPr>
          <w:noProof/>
        </w:rPr>
        <w:t xml:space="preserve"> (9), 731–736. https://doi.org/10.1002/adma.19970090912.</w:t>
      </w:r>
    </w:p>
    <w:p w14:paraId="4765268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(52) </w:t>
      </w:r>
      <w:r w:rsidRPr="006D631C">
        <w:rPr>
          <w:noProof/>
        </w:rPr>
        <w:tab/>
        <w:t xml:space="preserve">McGrath, M. J.; Patterson, N.; Manubay, B. C.; Hardy, S. H.; Malecha, J. J.; Shi, Z.; Yue, X.; Xing, X.; Funke, H. H.; Gin, D. L.; Liu, P.; Noble, R. D. 110th Anniversary: The Dehydration and Loss of Ionic Conductivity in Anion Exchange Membranes Due to FeCl4- Ion Exchange and the Role of Membrane Microstructure. </w:t>
      </w:r>
      <w:r w:rsidRPr="006D631C">
        <w:rPr>
          <w:i/>
          <w:iCs/>
          <w:noProof/>
        </w:rPr>
        <w:t>Ind. Eng. Chem. Res.</w:t>
      </w:r>
      <w:r w:rsidRPr="006D631C">
        <w:rPr>
          <w:noProof/>
        </w:rPr>
        <w:t xml:space="preserve"> </w:t>
      </w:r>
      <w:r w:rsidRPr="006D631C">
        <w:rPr>
          <w:b/>
          <w:bCs/>
          <w:noProof/>
        </w:rPr>
        <w:t>2019</w:t>
      </w:r>
      <w:r w:rsidRPr="006D631C">
        <w:rPr>
          <w:noProof/>
        </w:rPr>
        <w:t xml:space="preserve">, </w:t>
      </w:r>
      <w:r w:rsidRPr="006D631C">
        <w:rPr>
          <w:i/>
          <w:iCs/>
          <w:noProof/>
        </w:rPr>
        <w:t>58</w:t>
      </w:r>
      <w:r w:rsidRPr="006D631C">
        <w:rPr>
          <w:noProof/>
        </w:rPr>
        <w:t xml:space="preserve"> (49), 22250–22259. https://doi.org/10.1021/acs.iecr.9b04592.</w:t>
      </w:r>
    </w:p>
    <w:p w14:paraId="0E8301A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(53) </w:t>
      </w:r>
      <w:r w:rsidRPr="006D631C">
        <w:rPr>
          <w:noProof/>
        </w:rPr>
        <w:tab/>
        <w:t xml:space="preserve">Herz, J.; Reiss-Husson, F.; Rempp, P.; Luzzati, V. Quelques Exemples de Polymérisation En Phase Mésomorphe. </w:t>
      </w:r>
      <w:r w:rsidRPr="006D631C">
        <w:rPr>
          <w:i/>
          <w:iCs/>
          <w:noProof/>
        </w:rPr>
        <w:t>J. Polym. Sci. Part C Polym. Symp.</w:t>
      </w:r>
      <w:r w:rsidRPr="006D631C">
        <w:rPr>
          <w:noProof/>
        </w:rPr>
        <w:t xml:space="preserve"> </w:t>
      </w:r>
      <w:r w:rsidRPr="006D631C">
        <w:rPr>
          <w:b/>
          <w:bCs/>
          <w:noProof/>
        </w:rPr>
        <w:t>2007</w:t>
      </w:r>
      <w:r w:rsidRPr="006D631C">
        <w:rPr>
          <w:noProof/>
        </w:rPr>
        <w:t xml:space="preserve">, </w:t>
      </w:r>
      <w:r w:rsidRPr="006D631C">
        <w:rPr>
          <w:i/>
          <w:iCs/>
          <w:noProof/>
        </w:rPr>
        <w:t>4</w:t>
      </w:r>
      <w:r w:rsidRPr="006D631C">
        <w:rPr>
          <w:noProof/>
        </w:rPr>
        <w:t xml:space="preserve"> (2), 1275–1290. https://doi.org/10.1002/polc.5070040241.</w:t>
      </w:r>
    </w:p>
    <w:p w14:paraId="52E30E8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(54) </w:t>
      </w:r>
      <w:r w:rsidRPr="006D631C">
        <w:rPr>
          <w:noProof/>
        </w:rPr>
        <w:tab/>
        <w:t xml:space="preserve">Ström, P.; Anderson, D. M. The Cubic Phase Region in the System Didodecyldimethylammonium Bromide-Water-Styrene. </w:t>
      </w:r>
      <w:r w:rsidRPr="006D631C">
        <w:rPr>
          <w:i/>
          <w:iCs/>
          <w:noProof/>
        </w:rPr>
        <w:t>Langmuir</w:t>
      </w:r>
      <w:r w:rsidRPr="006D631C">
        <w:rPr>
          <w:noProof/>
        </w:rPr>
        <w:t xml:space="preserve"> </w:t>
      </w:r>
      <w:r w:rsidRPr="006D631C">
        <w:rPr>
          <w:b/>
          <w:bCs/>
          <w:noProof/>
        </w:rPr>
        <w:t>1992</w:t>
      </w:r>
      <w:r w:rsidRPr="006D631C">
        <w:rPr>
          <w:noProof/>
        </w:rPr>
        <w:t xml:space="preserve">, </w:t>
      </w:r>
      <w:r w:rsidRPr="006D631C">
        <w:rPr>
          <w:i/>
          <w:iCs/>
          <w:noProof/>
        </w:rPr>
        <w:t>8</w:t>
      </w:r>
      <w:r w:rsidRPr="006D631C">
        <w:rPr>
          <w:noProof/>
        </w:rPr>
        <w:t xml:space="preserve"> (2), 691–709. https://doi.org/10.1021/la00038a065.</w:t>
      </w:r>
    </w:p>
    <w:p w14:paraId="6BB126F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(55) </w:t>
      </w:r>
      <w:r w:rsidRPr="006D631C">
        <w:rPr>
          <w:noProof/>
        </w:rPr>
        <w:tab/>
        <w:t xml:space="preserve">Zhang, J.; Qiao, Z. A.; Mahurin, S. M.; Jiang, X.; Chai, S. H.; Lu, H.; Nelson, K.; Dai, S. Hypercrosslinked Phenolic Polymers with Well-Developed Mesoporous Frameworks. </w:t>
      </w:r>
      <w:r w:rsidRPr="006D631C">
        <w:rPr>
          <w:i/>
          <w:iCs/>
          <w:noProof/>
        </w:rPr>
        <w:t>Angew. Chemie - Int. Ed.</w:t>
      </w:r>
      <w:r w:rsidRPr="006D631C">
        <w:rPr>
          <w:noProof/>
        </w:rPr>
        <w:t xml:space="preserve"> </w:t>
      </w:r>
      <w:r w:rsidRPr="006D631C">
        <w:rPr>
          <w:b/>
          <w:bCs/>
          <w:noProof/>
        </w:rPr>
        <w:t>2015</w:t>
      </w:r>
      <w:r w:rsidRPr="006D631C">
        <w:rPr>
          <w:noProof/>
        </w:rPr>
        <w:t xml:space="preserve">, </w:t>
      </w:r>
      <w:r w:rsidRPr="006D631C">
        <w:rPr>
          <w:i/>
          <w:iCs/>
          <w:noProof/>
        </w:rPr>
        <w:t>54</w:t>
      </w:r>
      <w:r w:rsidRPr="006D631C">
        <w:rPr>
          <w:noProof/>
        </w:rPr>
        <w:t xml:space="preserve"> (15), 4582–4586. https://doi.org/10.1002/anie.201500305.</w:t>
      </w:r>
    </w:p>
    <w:p w14:paraId="0631788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(56) </w:t>
      </w:r>
      <w:r w:rsidRPr="006D631C">
        <w:rPr>
          <w:noProof/>
        </w:rPr>
        <w:tab/>
        <w:t xml:space="preserve">Qavi, S.; Bandegi, A.; Firestone, M.; Foudazi, R. Polymerization in Soft Nanoconfinement of Lamellar and Reverse Hexagonal Mesophases. </w:t>
      </w:r>
      <w:r w:rsidRPr="006D631C">
        <w:rPr>
          <w:i/>
          <w:iCs/>
          <w:noProof/>
        </w:rPr>
        <w:t>Soft Matter</w:t>
      </w:r>
      <w:r w:rsidRPr="006D631C">
        <w:rPr>
          <w:noProof/>
        </w:rPr>
        <w:t xml:space="preserve"> </w:t>
      </w:r>
      <w:r w:rsidRPr="006D631C">
        <w:rPr>
          <w:b/>
          <w:bCs/>
          <w:noProof/>
        </w:rPr>
        <w:t>2019</w:t>
      </w:r>
      <w:r w:rsidRPr="006D631C">
        <w:rPr>
          <w:noProof/>
        </w:rPr>
        <w:t xml:space="preserve">, </w:t>
      </w:r>
      <w:r w:rsidRPr="006D631C">
        <w:rPr>
          <w:i/>
          <w:iCs/>
          <w:noProof/>
        </w:rPr>
        <w:t>15</w:t>
      </w:r>
      <w:r w:rsidRPr="006D631C">
        <w:rPr>
          <w:noProof/>
        </w:rPr>
        <w:t xml:space="preserve"> (41), 8238–8250. https://doi.org/10.1039/c9sm01565e.</w:t>
      </w:r>
    </w:p>
    <w:p w14:paraId="32E8902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(57) </w:t>
      </w:r>
      <w:r w:rsidRPr="006D631C">
        <w:rPr>
          <w:noProof/>
        </w:rPr>
        <w:tab/>
        <w:t xml:space="preserve">Friberg, S. E.; Thundathil, R.; Stoffer, J. O. Changed Lyotropic Liquid Crystalline Structure Due to Polymerization of the Amphiphilic Component. </w:t>
      </w:r>
      <w:r w:rsidRPr="006D631C">
        <w:rPr>
          <w:i/>
          <w:iCs/>
          <w:noProof/>
        </w:rPr>
        <w:t>Science (80-. ).</w:t>
      </w:r>
      <w:r w:rsidRPr="006D631C">
        <w:rPr>
          <w:noProof/>
        </w:rPr>
        <w:t xml:space="preserve"> </w:t>
      </w:r>
      <w:r w:rsidRPr="006D631C">
        <w:rPr>
          <w:b/>
          <w:bCs/>
          <w:noProof/>
        </w:rPr>
        <w:t>1979</w:t>
      </w:r>
      <w:r w:rsidRPr="006D631C">
        <w:rPr>
          <w:noProof/>
        </w:rPr>
        <w:t xml:space="preserve">, </w:t>
      </w:r>
      <w:r w:rsidRPr="006D631C">
        <w:rPr>
          <w:i/>
          <w:iCs/>
          <w:noProof/>
        </w:rPr>
        <w:t>205</w:t>
      </w:r>
      <w:r w:rsidRPr="006D631C">
        <w:rPr>
          <w:noProof/>
        </w:rPr>
        <w:t xml:space="preserve"> (4406), 607–608. https://doi.org/10.1126/science.205.4406.607.</w:t>
      </w:r>
    </w:p>
    <w:p w14:paraId="1EEF1737"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(58) </w:t>
      </w:r>
      <w:r w:rsidRPr="006D631C">
        <w:rPr>
          <w:noProof/>
        </w:rPr>
        <w:tab/>
        <w:t xml:space="preserve">Lee, Y. S.; Gleeson, J. T.; Yang, J. Z.; Sisson, T. M.; Frankel, D. A.; O’Brien, D. F.; Keller, S. L.; Aksay, E.; Gruner, S. M. Polymerization of Nonlamellar Lipid Assemblies. </w:t>
      </w:r>
      <w:r w:rsidRPr="006D631C">
        <w:rPr>
          <w:i/>
          <w:iCs/>
          <w:noProof/>
        </w:rPr>
        <w:t>J. Am. Chem. Soc.</w:t>
      </w:r>
      <w:r w:rsidRPr="006D631C">
        <w:rPr>
          <w:noProof/>
        </w:rPr>
        <w:t xml:space="preserve"> </w:t>
      </w:r>
      <w:r w:rsidRPr="006D631C">
        <w:rPr>
          <w:b/>
          <w:bCs/>
          <w:noProof/>
        </w:rPr>
        <w:t>1995</w:t>
      </w:r>
      <w:r w:rsidRPr="006D631C">
        <w:rPr>
          <w:noProof/>
        </w:rPr>
        <w:t xml:space="preserve">, </w:t>
      </w:r>
      <w:r w:rsidRPr="006D631C">
        <w:rPr>
          <w:i/>
          <w:iCs/>
          <w:noProof/>
        </w:rPr>
        <w:t>117</w:t>
      </w:r>
      <w:r w:rsidRPr="006D631C">
        <w:rPr>
          <w:noProof/>
        </w:rPr>
        <w:t xml:space="preserve"> (20), 5573–5578. https://doi.org/10.1021/ja00125a019.</w:t>
      </w:r>
    </w:p>
    <w:p w14:paraId="555A53C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(59) </w:t>
      </w:r>
      <w:r w:rsidRPr="006D631C">
        <w:rPr>
          <w:noProof/>
        </w:rPr>
        <w:tab/>
        <w:t xml:space="preserve">Young, C.-M.; Chang, C. L.; Chen, Y.-H.; Chen, C.-Y.; Chang, Y.-F.; Chen, H.-L. Dendrimer-Mediated Columnar Mesophase of Surfactants. </w:t>
      </w:r>
      <w:r w:rsidRPr="006D631C">
        <w:rPr>
          <w:i/>
          <w:iCs/>
          <w:noProof/>
        </w:rPr>
        <w:t>Soft Matter</w:t>
      </w:r>
      <w:r w:rsidRPr="006D631C">
        <w:rPr>
          <w:noProof/>
        </w:rPr>
        <w:t xml:space="preserve"> </w:t>
      </w:r>
      <w:r w:rsidRPr="006D631C">
        <w:rPr>
          <w:b/>
          <w:bCs/>
          <w:noProof/>
        </w:rPr>
        <w:t>2021</w:t>
      </w:r>
      <w:r w:rsidRPr="006D631C">
        <w:rPr>
          <w:noProof/>
        </w:rPr>
        <w:t xml:space="preserve">, </w:t>
      </w:r>
      <w:r w:rsidRPr="006D631C">
        <w:rPr>
          <w:i/>
          <w:iCs/>
          <w:noProof/>
        </w:rPr>
        <w:t>17</w:t>
      </w:r>
      <w:r w:rsidRPr="006D631C">
        <w:rPr>
          <w:noProof/>
        </w:rPr>
        <w:t xml:space="preserve"> (2), 397–409. https://doi.org/10.1039/D0SM01506G.</w:t>
      </w:r>
    </w:p>
    <w:p w14:paraId="054DA98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(60) </w:t>
      </w:r>
      <w:r w:rsidRPr="006D631C">
        <w:rPr>
          <w:noProof/>
        </w:rPr>
        <w:tab/>
        <w:t xml:space="preserve">Soberats, B.; Yoshio, M.; Ichikawa, T.; Zeng, X.; Ohno, H.; Ungar, G.; Kato, T. Ionic Switch Induced by a Rectangular–Hexagonal Phase Transition in Benzenammonium Columnar Liquid Crystals. </w:t>
      </w:r>
      <w:r w:rsidRPr="006D631C">
        <w:rPr>
          <w:i/>
          <w:iCs/>
          <w:noProof/>
        </w:rPr>
        <w:t>J. Am. Chem. Soc.</w:t>
      </w:r>
      <w:r w:rsidRPr="006D631C">
        <w:rPr>
          <w:noProof/>
        </w:rPr>
        <w:t xml:space="preserve"> </w:t>
      </w:r>
      <w:r w:rsidRPr="006D631C">
        <w:rPr>
          <w:b/>
          <w:bCs/>
          <w:noProof/>
        </w:rPr>
        <w:t>2015</w:t>
      </w:r>
      <w:r w:rsidRPr="006D631C">
        <w:rPr>
          <w:noProof/>
        </w:rPr>
        <w:t xml:space="preserve">, </w:t>
      </w:r>
      <w:r w:rsidRPr="006D631C">
        <w:rPr>
          <w:i/>
          <w:iCs/>
          <w:noProof/>
        </w:rPr>
        <w:t>137</w:t>
      </w:r>
      <w:r w:rsidRPr="006D631C">
        <w:rPr>
          <w:noProof/>
        </w:rPr>
        <w:t xml:space="preserve"> (41), 13212–13215. https://doi.org/10.1021/jacs.5b09076.</w:t>
      </w:r>
    </w:p>
    <w:p w14:paraId="0F6C7F0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(61) </w:t>
      </w:r>
      <w:r w:rsidRPr="006D631C">
        <w:rPr>
          <w:noProof/>
        </w:rPr>
        <w:tab/>
        <w:t xml:space="preserve">Pindzola, B. A.; Jin, J.; Gin, D. L. Cross-Linked Normal Hexagonal and Bicontinuous Cubic Assemblies via Polymerizable Gemini Amphiphiles. </w:t>
      </w:r>
      <w:r w:rsidRPr="006D631C">
        <w:rPr>
          <w:i/>
          <w:iCs/>
          <w:noProof/>
        </w:rPr>
        <w:t>J. Am. Chem. Soc.</w:t>
      </w:r>
      <w:r w:rsidRPr="006D631C">
        <w:rPr>
          <w:noProof/>
        </w:rPr>
        <w:t xml:space="preserve"> </w:t>
      </w:r>
      <w:r w:rsidRPr="006D631C">
        <w:rPr>
          <w:b/>
          <w:bCs/>
          <w:noProof/>
        </w:rPr>
        <w:t>2003</w:t>
      </w:r>
      <w:r w:rsidRPr="006D631C">
        <w:rPr>
          <w:noProof/>
        </w:rPr>
        <w:t xml:space="preserve">, </w:t>
      </w:r>
      <w:r w:rsidRPr="006D631C">
        <w:rPr>
          <w:i/>
          <w:iCs/>
          <w:noProof/>
        </w:rPr>
        <w:t>125</w:t>
      </w:r>
      <w:r w:rsidRPr="006D631C">
        <w:rPr>
          <w:noProof/>
        </w:rPr>
        <w:t xml:space="preserve"> (10), 2940–2949. https://doi.org/10.1021/ja0208106.</w:t>
      </w:r>
    </w:p>
    <w:p w14:paraId="5051D5C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(62) </w:t>
      </w:r>
      <w:r w:rsidRPr="006D631C">
        <w:rPr>
          <w:noProof/>
        </w:rPr>
        <w:tab/>
        <w:t xml:space="preserve">Qavi, S.; Firestone, M. A.; Foudazi, R. Elasticity and Yielding of Mesophases of Block Copolymers in Water-Oil Mixtures. </w:t>
      </w:r>
      <w:r w:rsidRPr="006D631C">
        <w:rPr>
          <w:i/>
          <w:iCs/>
          <w:noProof/>
        </w:rPr>
        <w:t>Soft Matter</w:t>
      </w:r>
      <w:r w:rsidRPr="006D631C">
        <w:rPr>
          <w:noProof/>
        </w:rPr>
        <w:t xml:space="preserve"> </w:t>
      </w:r>
      <w:r w:rsidRPr="006D631C">
        <w:rPr>
          <w:b/>
          <w:bCs/>
          <w:noProof/>
        </w:rPr>
        <w:t>2019</w:t>
      </w:r>
      <w:r w:rsidRPr="006D631C">
        <w:rPr>
          <w:noProof/>
        </w:rPr>
        <w:t xml:space="preserve">, </w:t>
      </w:r>
      <w:r w:rsidRPr="006D631C">
        <w:rPr>
          <w:i/>
          <w:iCs/>
          <w:noProof/>
        </w:rPr>
        <w:t>15</w:t>
      </w:r>
      <w:r w:rsidRPr="006D631C">
        <w:rPr>
          <w:noProof/>
        </w:rPr>
        <w:t xml:space="preserve"> (28), 5626–5637. https://doi.org/10.1039/c8sm02336k.</w:t>
      </w:r>
    </w:p>
    <w:p w14:paraId="6E823F6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(63) </w:t>
      </w:r>
      <w:r w:rsidRPr="006D631C">
        <w:rPr>
          <w:noProof/>
        </w:rPr>
        <w:tab/>
        <w:t>Marquez Garcia, M. G. LYOTROPIC LIQUID CRYSTALS CONTAINING IONIC LIQUIDS FOR CO2 CAPTURE, New Mexico State University, 2020.</w:t>
      </w:r>
    </w:p>
    <w:p w14:paraId="15C6462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(64) </w:t>
      </w:r>
      <w:r w:rsidRPr="006D631C">
        <w:rPr>
          <w:noProof/>
        </w:rPr>
        <w:tab/>
        <w:t xml:space="preserve">Kim, S. A.; Jeong, K.-J.; Yethiraj, A.; Mahanthappa, M. K. Low-Symmetry Sphere Packings of Simple Surfactant Micelles Induced by Ionic Sphericity. </w:t>
      </w:r>
      <w:r w:rsidRPr="006D631C">
        <w:rPr>
          <w:i/>
          <w:iCs/>
          <w:noProof/>
        </w:rPr>
        <w:t>Proc. Natl. Acad. Sci.</w:t>
      </w:r>
      <w:r w:rsidRPr="006D631C">
        <w:rPr>
          <w:noProof/>
        </w:rPr>
        <w:t xml:space="preserve"> </w:t>
      </w:r>
      <w:r w:rsidRPr="006D631C">
        <w:rPr>
          <w:b/>
          <w:bCs/>
          <w:noProof/>
        </w:rPr>
        <w:t>2017</w:t>
      </w:r>
      <w:r w:rsidRPr="006D631C">
        <w:rPr>
          <w:noProof/>
        </w:rPr>
        <w:t xml:space="preserve">, </w:t>
      </w:r>
      <w:r w:rsidRPr="006D631C">
        <w:rPr>
          <w:i/>
          <w:iCs/>
          <w:noProof/>
        </w:rPr>
        <w:t>114</w:t>
      </w:r>
      <w:r w:rsidRPr="006D631C">
        <w:rPr>
          <w:noProof/>
        </w:rPr>
        <w:t xml:space="preserve"> (16), 4072–4077. https://doi.org/10.1073/pnas.1701608114.</w:t>
      </w:r>
    </w:p>
    <w:p w14:paraId="727E1EC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(65) </w:t>
      </w:r>
      <w:r w:rsidRPr="006D631C">
        <w:rPr>
          <w:noProof/>
        </w:rPr>
        <w:tab/>
        <w:t xml:space="preserve">Frank, F. C.; Kasper, J. S. Complex Alloy Structures Regarded as Sphere Packings. I. Definitions and Basic Principles. </w:t>
      </w:r>
      <w:r w:rsidRPr="006D631C">
        <w:rPr>
          <w:i/>
          <w:iCs/>
          <w:noProof/>
        </w:rPr>
        <w:t>Acta Crystallogr.</w:t>
      </w:r>
      <w:r w:rsidRPr="006D631C">
        <w:rPr>
          <w:noProof/>
        </w:rPr>
        <w:t xml:space="preserve"> </w:t>
      </w:r>
      <w:r w:rsidRPr="006D631C">
        <w:rPr>
          <w:b/>
          <w:bCs/>
          <w:noProof/>
        </w:rPr>
        <w:t>1958</w:t>
      </w:r>
      <w:r w:rsidRPr="006D631C">
        <w:rPr>
          <w:noProof/>
        </w:rPr>
        <w:t xml:space="preserve">, </w:t>
      </w:r>
      <w:r w:rsidRPr="006D631C">
        <w:rPr>
          <w:i/>
          <w:iCs/>
          <w:noProof/>
        </w:rPr>
        <w:t>11</w:t>
      </w:r>
      <w:r w:rsidRPr="006D631C">
        <w:rPr>
          <w:noProof/>
        </w:rPr>
        <w:t xml:space="preserve"> (3), 184–190. </w:t>
      </w:r>
      <w:r w:rsidRPr="006D631C">
        <w:rPr>
          <w:noProof/>
        </w:rPr>
        <w:lastRenderedPageBreak/>
        <w:t>https://doi.org/10.1107/S0365110X58000487.</w:t>
      </w:r>
    </w:p>
    <w:p w14:paraId="6B70C07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(66) </w:t>
      </w:r>
      <w:r w:rsidRPr="006D631C">
        <w:rPr>
          <w:noProof/>
        </w:rPr>
        <w:tab/>
        <w:t xml:space="preserve">Frank, F. C.; Kasper, J. S. Complex Alloy Structures Regarded as Sphere Packings. II. Analysis and Classification of Representative Structures. </w:t>
      </w:r>
      <w:r w:rsidRPr="006D631C">
        <w:rPr>
          <w:i/>
          <w:iCs/>
          <w:noProof/>
        </w:rPr>
        <w:t>Acta Crystallogr.</w:t>
      </w:r>
      <w:r w:rsidRPr="006D631C">
        <w:rPr>
          <w:noProof/>
        </w:rPr>
        <w:t xml:space="preserve"> </w:t>
      </w:r>
      <w:r w:rsidRPr="006D631C">
        <w:rPr>
          <w:b/>
          <w:bCs/>
          <w:noProof/>
        </w:rPr>
        <w:t>1959</w:t>
      </w:r>
      <w:r w:rsidRPr="006D631C">
        <w:rPr>
          <w:noProof/>
        </w:rPr>
        <w:t xml:space="preserve">, </w:t>
      </w:r>
      <w:r w:rsidRPr="006D631C">
        <w:rPr>
          <w:i/>
          <w:iCs/>
          <w:noProof/>
        </w:rPr>
        <w:t>12</w:t>
      </w:r>
      <w:r w:rsidRPr="006D631C">
        <w:rPr>
          <w:noProof/>
        </w:rPr>
        <w:t xml:space="preserve"> (7), 483–499. https://doi.org/10.1107/S0365110X59001499.</w:t>
      </w:r>
    </w:p>
    <w:p w14:paraId="5F948A5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(67) </w:t>
      </w:r>
      <w:r w:rsidRPr="006D631C">
        <w:rPr>
          <w:noProof/>
        </w:rPr>
        <w:tab/>
        <w:t xml:space="preserve">Huang, M.; Yue, K.; Wang, J.; Hsu, C.-H.; Wang, L.; Cheng, S. Z. D. Frank-Kasper and Related Quasicrystal Spherical Phases in Macromolecules. </w:t>
      </w:r>
      <w:r w:rsidRPr="006D631C">
        <w:rPr>
          <w:i/>
          <w:iCs/>
          <w:noProof/>
        </w:rPr>
        <w:t>Sci. China Chem.</w:t>
      </w:r>
      <w:r w:rsidRPr="006D631C">
        <w:rPr>
          <w:noProof/>
        </w:rPr>
        <w:t xml:space="preserve"> </w:t>
      </w:r>
      <w:r w:rsidRPr="006D631C">
        <w:rPr>
          <w:b/>
          <w:bCs/>
          <w:noProof/>
        </w:rPr>
        <w:t>2018</w:t>
      </w:r>
      <w:r w:rsidRPr="006D631C">
        <w:rPr>
          <w:noProof/>
        </w:rPr>
        <w:t xml:space="preserve">, </w:t>
      </w:r>
      <w:r w:rsidRPr="006D631C">
        <w:rPr>
          <w:i/>
          <w:iCs/>
          <w:noProof/>
        </w:rPr>
        <w:t>61</w:t>
      </w:r>
      <w:r w:rsidRPr="006D631C">
        <w:rPr>
          <w:noProof/>
        </w:rPr>
        <w:t xml:space="preserve"> (1), 33–45. https://doi.org/10.1007/s11426-017-9140-8.</w:t>
      </w:r>
    </w:p>
    <w:p w14:paraId="608C283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(68) </w:t>
      </w:r>
      <w:r w:rsidRPr="006D631C">
        <w:rPr>
          <w:noProof/>
        </w:rPr>
        <w:tab/>
        <w:t xml:space="preserve">Roux, D.; Coulon, C.; Cates, M. E. Sponge Phases in Surfactant Solutions. </w:t>
      </w:r>
      <w:r w:rsidRPr="006D631C">
        <w:rPr>
          <w:i/>
          <w:iCs/>
          <w:noProof/>
        </w:rPr>
        <w:t>J. Phys. Chem.</w:t>
      </w:r>
      <w:r w:rsidRPr="006D631C">
        <w:rPr>
          <w:noProof/>
        </w:rPr>
        <w:t xml:space="preserve"> </w:t>
      </w:r>
      <w:r w:rsidRPr="006D631C">
        <w:rPr>
          <w:b/>
          <w:bCs/>
          <w:noProof/>
        </w:rPr>
        <w:t>1992</w:t>
      </w:r>
      <w:r w:rsidRPr="006D631C">
        <w:rPr>
          <w:noProof/>
        </w:rPr>
        <w:t xml:space="preserve">, </w:t>
      </w:r>
      <w:r w:rsidRPr="006D631C">
        <w:rPr>
          <w:i/>
          <w:iCs/>
          <w:noProof/>
        </w:rPr>
        <w:t>96</w:t>
      </w:r>
      <w:r w:rsidRPr="006D631C">
        <w:rPr>
          <w:noProof/>
        </w:rPr>
        <w:t xml:space="preserve"> (11), 4174–4187. https://doi.org/10.1021/j100190a017.</w:t>
      </w:r>
    </w:p>
    <w:p w14:paraId="7BEF7C1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(69) </w:t>
      </w:r>
      <w:r w:rsidRPr="006D631C">
        <w:rPr>
          <w:noProof/>
        </w:rPr>
        <w:tab/>
        <w:t xml:space="preserve">Angelov, B.; Angelova, A.; Mutafchieva, R.; Lesieur, S.; Vainio, U.; Garamus, V. M.; Jensen, G. V.; Pedersen, J. S. SAXS Investigation of a Cubic to a Sponge (L 3 ) Phase Transition in Self-Assembled Lipid Nanocarriers. </w:t>
      </w:r>
      <w:r w:rsidRPr="006D631C">
        <w:rPr>
          <w:i/>
          <w:iCs/>
          <w:noProof/>
        </w:rPr>
        <w:t>Phys. Chem. Chem. Phys.</w:t>
      </w:r>
      <w:r w:rsidRPr="006D631C">
        <w:rPr>
          <w:noProof/>
        </w:rPr>
        <w:t xml:space="preserve"> </w:t>
      </w:r>
      <w:r w:rsidRPr="006D631C">
        <w:rPr>
          <w:b/>
          <w:bCs/>
          <w:noProof/>
        </w:rPr>
        <w:t>2011</w:t>
      </w:r>
      <w:r w:rsidRPr="006D631C">
        <w:rPr>
          <w:noProof/>
        </w:rPr>
        <w:t xml:space="preserve">, </w:t>
      </w:r>
      <w:r w:rsidRPr="006D631C">
        <w:rPr>
          <w:i/>
          <w:iCs/>
          <w:noProof/>
        </w:rPr>
        <w:t>13</w:t>
      </w:r>
      <w:r w:rsidRPr="006D631C">
        <w:rPr>
          <w:noProof/>
        </w:rPr>
        <w:t xml:space="preserve"> (8), 3073–3081. https://doi.org/10.1039/C0CP01029D.</w:t>
      </w:r>
    </w:p>
    <w:p w14:paraId="2D77EAA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(70) </w:t>
      </w:r>
      <w:r w:rsidRPr="006D631C">
        <w:rPr>
          <w:noProof/>
        </w:rPr>
        <w:tab/>
        <w:t xml:space="preserve">Kent, B.; Garvey, C. J.; Cookson, D.; Bryant, G. The Inverse Hexagonal – Inverse Ribbon – Lamellar Gel Phase Transition Sequence in Low Hydration DOPC:DOPE Phospholipid Mixtures. </w:t>
      </w:r>
      <w:r w:rsidRPr="006D631C">
        <w:rPr>
          <w:i/>
          <w:iCs/>
          <w:noProof/>
        </w:rPr>
        <w:t>Chem. Phys. Lipids</w:t>
      </w:r>
      <w:r w:rsidRPr="006D631C">
        <w:rPr>
          <w:noProof/>
        </w:rPr>
        <w:t xml:space="preserve"> </w:t>
      </w:r>
      <w:r w:rsidRPr="006D631C">
        <w:rPr>
          <w:b/>
          <w:bCs/>
          <w:noProof/>
        </w:rPr>
        <w:t>2009</w:t>
      </w:r>
      <w:r w:rsidRPr="006D631C">
        <w:rPr>
          <w:noProof/>
        </w:rPr>
        <w:t xml:space="preserve">, </w:t>
      </w:r>
      <w:r w:rsidRPr="006D631C">
        <w:rPr>
          <w:i/>
          <w:iCs/>
          <w:noProof/>
        </w:rPr>
        <w:t>157</w:t>
      </w:r>
      <w:r w:rsidRPr="006D631C">
        <w:rPr>
          <w:noProof/>
        </w:rPr>
        <w:t xml:space="preserve"> (1), 56–60. https://doi.org/10.1016/j.chemphyslip.2008.10.003.</w:t>
      </w:r>
    </w:p>
    <w:p w14:paraId="6C71C4F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(71) </w:t>
      </w:r>
      <w:r w:rsidRPr="006D631C">
        <w:rPr>
          <w:noProof/>
        </w:rPr>
        <w:tab/>
        <w:t xml:space="preserve">Thundathil, R.; Stoffer, J. O.; Friberg, S. E. Polymerization in Lyotropic Liquid Crystals - 1. Change of Structure During Polymerization. </w:t>
      </w:r>
      <w:r w:rsidRPr="006D631C">
        <w:rPr>
          <w:i/>
          <w:iCs/>
          <w:noProof/>
        </w:rPr>
        <w:t>J. Polym. Sci. A1.</w:t>
      </w:r>
      <w:r w:rsidRPr="006D631C">
        <w:rPr>
          <w:noProof/>
        </w:rPr>
        <w:t xml:space="preserve"> </w:t>
      </w:r>
      <w:r w:rsidRPr="006D631C">
        <w:rPr>
          <w:b/>
          <w:bCs/>
          <w:noProof/>
        </w:rPr>
        <w:t>1980</w:t>
      </w:r>
      <w:r w:rsidRPr="006D631C">
        <w:rPr>
          <w:noProof/>
        </w:rPr>
        <w:t xml:space="preserve">, </w:t>
      </w:r>
      <w:r w:rsidRPr="006D631C">
        <w:rPr>
          <w:i/>
          <w:iCs/>
          <w:noProof/>
        </w:rPr>
        <w:t>18</w:t>
      </w:r>
      <w:r w:rsidRPr="006D631C">
        <w:rPr>
          <w:noProof/>
        </w:rPr>
        <w:t xml:space="preserve"> (8), 2629–2640. https://doi.org/10.1002/pol.1980.170180821.</w:t>
      </w:r>
    </w:p>
    <w:p w14:paraId="639ED9D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(72) </w:t>
      </w:r>
      <w:r w:rsidRPr="006D631C">
        <w:rPr>
          <w:noProof/>
        </w:rPr>
        <w:tab/>
        <w:t xml:space="preserve">Shibasaki, Y.; Fukuda, K. Aggregation States and Polymerizabilities of Amphiphilic Monomer Molecules in Aqueous Systems with Different Water Contents. </w:t>
      </w:r>
      <w:r w:rsidRPr="006D631C">
        <w:rPr>
          <w:i/>
          <w:iCs/>
          <w:noProof/>
        </w:rPr>
        <w:t>Colloids and Surfaces</w:t>
      </w:r>
      <w:r w:rsidRPr="006D631C">
        <w:rPr>
          <w:noProof/>
        </w:rPr>
        <w:t xml:space="preserve"> </w:t>
      </w:r>
      <w:r w:rsidRPr="006D631C">
        <w:rPr>
          <w:b/>
          <w:bCs/>
          <w:noProof/>
        </w:rPr>
        <w:t>1992</w:t>
      </w:r>
      <w:r w:rsidRPr="006D631C">
        <w:rPr>
          <w:noProof/>
        </w:rPr>
        <w:t xml:space="preserve">, </w:t>
      </w:r>
      <w:r w:rsidRPr="006D631C">
        <w:rPr>
          <w:i/>
          <w:iCs/>
          <w:noProof/>
        </w:rPr>
        <w:t>67</w:t>
      </w:r>
      <w:r w:rsidRPr="006D631C">
        <w:rPr>
          <w:noProof/>
        </w:rPr>
        <w:t xml:space="preserve"> (C), 195–201. https://doi.org/10.1016/0166-6622(92)80298-G.</w:t>
      </w:r>
    </w:p>
    <w:p w14:paraId="60186605"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(73) </w:t>
      </w:r>
      <w:r w:rsidRPr="006D631C">
        <w:rPr>
          <w:noProof/>
        </w:rPr>
        <w:tab/>
        <w:t xml:space="preserve">McGrath, K. M.; Drummond, C. J. Polymerisation of Liquid Crystalline Phases in Binary Surfactant/Water Systems: Part 1. Allyldodecyldimethylammonium Bromide and Allyldidodecylmethylammonium Bromide. </w:t>
      </w:r>
      <w:r w:rsidRPr="006D631C">
        <w:rPr>
          <w:i/>
          <w:iCs/>
          <w:noProof/>
        </w:rPr>
        <w:t>Colloid Polym. Sci.</w:t>
      </w:r>
      <w:r w:rsidRPr="006D631C">
        <w:rPr>
          <w:noProof/>
        </w:rPr>
        <w:t xml:space="preserve"> </w:t>
      </w:r>
      <w:r w:rsidRPr="006D631C">
        <w:rPr>
          <w:b/>
          <w:bCs/>
          <w:noProof/>
        </w:rPr>
        <w:t>1996</w:t>
      </w:r>
      <w:r w:rsidRPr="006D631C">
        <w:rPr>
          <w:noProof/>
        </w:rPr>
        <w:t xml:space="preserve">, </w:t>
      </w:r>
      <w:r w:rsidRPr="006D631C">
        <w:rPr>
          <w:i/>
          <w:iCs/>
          <w:noProof/>
        </w:rPr>
        <w:t>274</w:t>
      </w:r>
      <w:r w:rsidRPr="006D631C">
        <w:rPr>
          <w:noProof/>
        </w:rPr>
        <w:t xml:space="preserve"> (4), 316–333. https://doi.org/10.1007/BF00654052.</w:t>
      </w:r>
    </w:p>
    <w:p w14:paraId="230EC84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(74) </w:t>
      </w:r>
      <w:r w:rsidRPr="006D631C">
        <w:rPr>
          <w:noProof/>
        </w:rPr>
        <w:tab/>
        <w:t xml:space="preserve">McGrath, K. M. Polymerisation of Liquid Crystalline Phases in Binary Surfactant/Water Systems. Part 3. Sodium 10-Undecenoate. </w:t>
      </w:r>
      <w:r w:rsidRPr="006D631C">
        <w:rPr>
          <w:i/>
          <w:iCs/>
          <w:noProof/>
        </w:rPr>
        <w:t>Colloid Polym. Sci.</w:t>
      </w:r>
      <w:r w:rsidRPr="006D631C">
        <w:rPr>
          <w:noProof/>
        </w:rPr>
        <w:t xml:space="preserve"> </w:t>
      </w:r>
      <w:r w:rsidRPr="006D631C">
        <w:rPr>
          <w:b/>
          <w:bCs/>
          <w:noProof/>
        </w:rPr>
        <w:t>1996</w:t>
      </w:r>
      <w:r w:rsidRPr="006D631C">
        <w:rPr>
          <w:noProof/>
        </w:rPr>
        <w:t xml:space="preserve">, </w:t>
      </w:r>
      <w:r w:rsidRPr="006D631C">
        <w:rPr>
          <w:i/>
          <w:iCs/>
          <w:noProof/>
        </w:rPr>
        <w:t>274</w:t>
      </w:r>
      <w:r w:rsidRPr="006D631C">
        <w:rPr>
          <w:noProof/>
        </w:rPr>
        <w:t xml:space="preserve"> (6), 499–512. https://doi.org/10.1007/BF00655224.</w:t>
      </w:r>
    </w:p>
    <w:p w14:paraId="0925117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(75) </w:t>
      </w:r>
      <w:r w:rsidRPr="006D631C">
        <w:rPr>
          <w:noProof/>
        </w:rPr>
        <w:tab/>
        <w:t xml:space="preserve">McGrath, K. M. Polymerisation of Liquid Crystalline Phases in Binary Surfactant/Water Systems. Part 2. ω-Undecenyltrimethylammonium Bromide. </w:t>
      </w:r>
      <w:r w:rsidRPr="006D631C">
        <w:rPr>
          <w:i/>
          <w:iCs/>
          <w:noProof/>
        </w:rPr>
        <w:t>Colloid Polym. Sci.</w:t>
      </w:r>
      <w:r w:rsidRPr="006D631C">
        <w:rPr>
          <w:noProof/>
        </w:rPr>
        <w:t xml:space="preserve"> </w:t>
      </w:r>
      <w:r w:rsidRPr="006D631C">
        <w:rPr>
          <w:b/>
          <w:bCs/>
          <w:noProof/>
        </w:rPr>
        <w:t>1996</w:t>
      </w:r>
      <w:r w:rsidRPr="006D631C">
        <w:rPr>
          <w:noProof/>
        </w:rPr>
        <w:t xml:space="preserve">, </w:t>
      </w:r>
      <w:r w:rsidRPr="006D631C">
        <w:rPr>
          <w:i/>
          <w:iCs/>
          <w:noProof/>
        </w:rPr>
        <w:t>274</w:t>
      </w:r>
      <w:r w:rsidRPr="006D631C">
        <w:rPr>
          <w:noProof/>
        </w:rPr>
        <w:t xml:space="preserve"> (5), 399–409. https://doi.org/10.1007/BF00652461.</w:t>
      </w:r>
    </w:p>
    <w:p w14:paraId="6E1B263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(76) </w:t>
      </w:r>
      <w:r w:rsidRPr="006D631C">
        <w:rPr>
          <w:noProof/>
        </w:rPr>
        <w:tab/>
        <w:t xml:space="preserve">Pawlowski, D.; Haibel, A.; Tieke, M. Γ-Ray Polymerization of Cationic Surfactant Methacrylates in Lyotropic Mesopnases. </w:t>
      </w:r>
      <w:r w:rsidRPr="006D631C">
        <w:rPr>
          <w:i/>
          <w:iCs/>
          <w:noProof/>
        </w:rPr>
        <w:t>Berichte der Bunsengesellschaft/Physical Chem. Chem. Phys.</w:t>
      </w:r>
      <w:r w:rsidRPr="006D631C">
        <w:rPr>
          <w:noProof/>
        </w:rPr>
        <w:t xml:space="preserve"> </w:t>
      </w:r>
      <w:r w:rsidRPr="006D631C">
        <w:rPr>
          <w:b/>
          <w:bCs/>
          <w:noProof/>
        </w:rPr>
        <w:t>1998</w:t>
      </w:r>
      <w:r w:rsidRPr="006D631C">
        <w:rPr>
          <w:noProof/>
        </w:rPr>
        <w:t xml:space="preserve">, </w:t>
      </w:r>
      <w:r w:rsidRPr="006D631C">
        <w:rPr>
          <w:i/>
          <w:iCs/>
          <w:noProof/>
        </w:rPr>
        <w:t>102</w:t>
      </w:r>
      <w:r w:rsidRPr="006D631C">
        <w:rPr>
          <w:noProof/>
        </w:rPr>
        <w:t xml:space="preserve"> (12), 1865–1869. https://doi.org/10.1002/bbpc.19981021217.</w:t>
      </w:r>
    </w:p>
    <w:p w14:paraId="22960A1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(77) </w:t>
      </w:r>
      <w:r w:rsidRPr="006D631C">
        <w:rPr>
          <w:noProof/>
        </w:rPr>
        <w:tab/>
        <w:t xml:space="preserve">Li, M.; Yang, W.; Chen, Z.; Qian, J.; Wang, C.; Fu, S. Phase Behavior and Polymerization of Lyotropic Phases. II. A Series of Polymerizable Amphiphiles with Systematically Varied Critical Packing Parameters. </w:t>
      </w:r>
      <w:r w:rsidRPr="006D631C">
        <w:rPr>
          <w:i/>
          <w:iCs/>
          <w:noProof/>
        </w:rPr>
        <w:t>J. Polym. Sci. Part A Polym. Chem.</w:t>
      </w:r>
      <w:r w:rsidRPr="006D631C">
        <w:rPr>
          <w:noProof/>
        </w:rPr>
        <w:t xml:space="preserve"> </w:t>
      </w:r>
      <w:r w:rsidRPr="006D631C">
        <w:rPr>
          <w:b/>
          <w:bCs/>
          <w:noProof/>
        </w:rPr>
        <w:t>2006</w:t>
      </w:r>
      <w:r w:rsidRPr="006D631C">
        <w:rPr>
          <w:noProof/>
        </w:rPr>
        <w:t xml:space="preserve">, </w:t>
      </w:r>
      <w:r w:rsidRPr="006D631C">
        <w:rPr>
          <w:i/>
          <w:iCs/>
          <w:noProof/>
        </w:rPr>
        <w:t>44</w:t>
      </w:r>
      <w:r w:rsidRPr="006D631C">
        <w:rPr>
          <w:noProof/>
        </w:rPr>
        <w:t xml:space="preserve"> (20), 5887–5897. https://doi.org/10.1002/pola.21573.</w:t>
      </w:r>
    </w:p>
    <w:p w14:paraId="710DBC7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(78) </w:t>
      </w:r>
      <w:r w:rsidRPr="006D631C">
        <w:rPr>
          <w:noProof/>
        </w:rPr>
        <w:tab/>
        <w:t xml:space="preserve">Deng, H.; Gin, D. L.; Smith, R. C. Polymerizable Lyotropic Liquid Crystals Containing Transition-Metal and Lanthanide Ions: Architectural Control and Introduction of New Properties into Nanostructured Polymers. </w:t>
      </w:r>
      <w:r w:rsidRPr="006D631C">
        <w:rPr>
          <w:i/>
          <w:iCs/>
          <w:noProof/>
        </w:rPr>
        <w:t>J. Am. Chem. Soc.</w:t>
      </w:r>
      <w:r w:rsidRPr="006D631C">
        <w:rPr>
          <w:noProof/>
        </w:rPr>
        <w:t xml:space="preserve"> </w:t>
      </w:r>
      <w:r w:rsidRPr="006D631C">
        <w:rPr>
          <w:b/>
          <w:bCs/>
          <w:noProof/>
        </w:rPr>
        <w:t>1998</w:t>
      </w:r>
      <w:r w:rsidRPr="006D631C">
        <w:rPr>
          <w:noProof/>
        </w:rPr>
        <w:t xml:space="preserve">, </w:t>
      </w:r>
      <w:r w:rsidRPr="006D631C">
        <w:rPr>
          <w:i/>
          <w:iCs/>
          <w:noProof/>
        </w:rPr>
        <w:t>120</w:t>
      </w:r>
      <w:r w:rsidRPr="006D631C">
        <w:rPr>
          <w:noProof/>
        </w:rPr>
        <w:t xml:space="preserve"> (14), 3522–3523. https://doi.org/10.1021/ja9743654.</w:t>
      </w:r>
    </w:p>
    <w:p w14:paraId="37031BB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(79) </w:t>
      </w:r>
      <w:r w:rsidRPr="006D631C">
        <w:rPr>
          <w:noProof/>
        </w:rPr>
        <w:tab/>
        <w:t xml:space="preserve">Dwulet, G. E.; Gin, D. L. Ordered Nanoporous Lyotropic Liquid Crystal Polymer Resin for Heterogeneous Catalytic Aerobic Oxidation of Alcohols. </w:t>
      </w:r>
      <w:r w:rsidRPr="006D631C">
        <w:rPr>
          <w:i/>
          <w:iCs/>
          <w:noProof/>
        </w:rPr>
        <w:t>Chem. Commun.</w:t>
      </w:r>
      <w:r w:rsidRPr="006D631C">
        <w:rPr>
          <w:noProof/>
        </w:rPr>
        <w:t xml:space="preserve"> </w:t>
      </w:r>
      <w:r w:rsidRPr="006D631C">
        <w:rPr>
          <w:b/>
          <w:bCs/>
          <w:noProof/>
        </w:rPr>
        <w:t>2018</w:t>
      </w:r>
      <w:r w:rsidRPr="006D631C">
        <w:rPr>
          <w:noProof/>
        </w:rPr>
        <w:t xml:space="preserve">, </w:t>
      </w:r>
      <w:r w:rsidRPr="006D631C">
        <w:rPr>
          <w:i/>
          <w:iCs/>
          <w:noProof/>
        </w:rPr>
        <w:t>54</w:t>
      </w:r>
      <w:r w:rsidRPr="006D631C">
        <w:rPr>
          <w:noProof/>
        </w:rPr>
        <w:t xml:space="preserve"> (85), </w:t>
      </w:r>
      <w:r w:rsidRPr="006D631C">
        <w:rPr>
          <w:noProof/>
        </w:rPr>
        <w:lastRenderedPageBreak/>
        <w:t>12053–12056. https://doi.org/10.1039/c8cc05661g.</w:t>
      </w:r>
    </w:p>
    <w:p w14:paraId="0D4AD4E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(80) </w:t>
      </w:r>
      <w:r w:rsidRPr="006D631C">
        <w:rPr>
          <w:noProof/>
        </w:rPr>
        <w:tab/>
        <w:t xml:space="preserve">Ringstrand, B. S.; Seifert, S.; Podlesak, D. W.; Firestone, M. A. Self-Assembly Directed Organization of Nanodiamond During Ionic Liquid Crystalline Polymer Formation. </w:t>
      </w:r>
      <w:r w:rsidRPr="006D631C">
        <w:rPr>
          <w:i/>
          <w:iCs/>
          <w:noProof/>
        </w:rPr>
        <w:t>Macromol. Rapid Commun.</w:t>
      </w:r>
      <w:r w:rsidRPr="006D631C">
        <w:rPr>
          <w:noProof/>
        </w:rPr>
        <w:t xml:space="preserve"> </w:t>
      </w:r>
      <w:r w:rsidRPr="006D631C">
        <w:rPr>
          <w:b/>
          <w:bCs/>
          <w:noProof/>
        </w:rPr>
        <w:t>2016</w:t>
      </w:r>
      <w:r w:rsidRPr="006D631C">
        <w:rPr>
          <w:noProof/>
        </w:rPr>
        <w:t xml:space="preserve">, </w:t>
      </w:r>
      <w:r w:rsidRPr="006D631C">
        <w:rPr>
          <w:i/>
          <w:iCs/>
          <w:noProof/>
        </w:rPr>
        <w:t>37</w:t>
      </w:r>
      <w:r w:rsidRPr="006D631C">
        <w:rPr>
          <w:noProof/>
        </w:rPr>
        <w:t xml:space="preserve"> (14), 1155–1167. https://doi.org/10.1002/marc.201600070.</w:t>
      </w:r>
    </w:p>
    <w:p w14:paraId="0AD5ABA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(81) </w:t>
      </w:r>
      <w:r w:rsidRPr="006D631C">
        <w:rPr>
          <w:noProof/>
        </w:rPr>
        <w:tab/>
        <w:t xml:space="preserve">Peng, S.; Hartley, P. G.; Hughes, T. C.; Guo, Q. Enhancing Thermal Stability and Mechanical Properties of Lyotropic Liquid Crystals through Incorporation of a Polymerizable Surfactant. </w:t>
      </w:r>
      <w:r w:rsidRPr="006D631C">
        <w:rPr>
          <w:i/>
          <w:iCs/>
          <w:noProof/>
        </w:rPr>
        <w:t>Soft Matter</w:t>
      </w:r>
      <w:r w:rsidRPr="006D631C">
        <w:rPr>
          <w:noProof/>
        </w:rPr>
        <w:t xml:space="preserve"> </w:t>
      </w:r>
      <w:r w:rsidRPr="006D631C">
        <w:rPr>
          <w:b/>
          <w:bCs/>
          <w:noProof/>
        </w:rPr>
        <w:t>2015</w:t>
      </w:r>
      <w:r w:rsidRPr="006D631C">
        <w:rPr>
          <w:noProof/>
        </w:rPr>
        <w:t xml:space="preserve">, </w:t>
      </w:r>
      <w:r w:rsidRPr="006D631C">
        <w:rPr>
          <w:i/>
          <w:iCs/>
          <w:noProof/>
        </w:rPr>
        <w:t>11</w:t>
      </w:r>
      <w:r w:rsidRPr="006D631C">
        <w:rPr>
          <w:noProof/>
        </w:rPr>
        <w:t xml:space="preserve"> (31), 6318–6326. https://doi.org/10.1039/c5sm01646k.</w:t>
      </w:r>
    </w:p>
    <w:p w14:paraId="42281A4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(82) </w:t>
      </w:r>
      <w:r w:rsidRPr="006D631C">
        <w:rPr>
          <w:noProof/>
        </w:rPr>
        <w:tab/>
        <w:t xml:space="preserve">Srisiri, W.; Sisson, T. M.; O’Brien, D. F.; McGrath, K. M.; Han, Y.; Gruner, S. M. Polymerization of the Inverted Hexagonal Phase. </w:t>
      </w:r>
      <w:r w:rsidRPr="006D631C">
        <w:rPr>
          <w:i/>
          <w:iCs/>
          <w:noProof/>
        </w:rPr>
        <w:t>J. Am. Chem. Soc.</w:t>
      </w:r>
      <w:r w:rsidRPr="006D631C">
        <w:rPr>
          <w:noProof/>
        </w:rPr>
        <w:t xml:space="preserve"> </w:t>
      </w:r>
      <w:r w:rsidRPr="006D631C">
        <w:rPr>
          <w:b/>
          <w:bCs/>
          <w:noProof/>
        </w:rPr>
        <w:t>1997</w:t>
      </w:r>
      <w:r w:rsidRPr="006D631C">
        <w:rPr>
          <w:noProof/>
        </w:rPr>
        <w:t xml:space="preserve">, </w:t>
      </w:r>
      <w:r w:rsidRPr="006D631C">
        <w:rPr>
          <w:i/>
          <w:iCs/>
          <w:noProof/>
        </w:rPr>
        <w:t>119</w:t>
      </w:r>
      <w:r w:rsidRPr="006D631C">
        <w:rPr>
          <w:noProof/>
        </w:rPr>
        <w:t xml:space="preserve"> (21), 4866–4873. https://doi.org/10.1021/ja970052x.</w:t>
      </w:r>
    </w:p>
    <w:p w14:paraId="178547D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(83) </w:t>
      </w:r>
      <w:r w:rsidRPr="006D631C">
        <w:rPr>
          <w:noProof/>
        </w:rPr>
        <w:tab/>
        <w:t xml:space="preserve">Reppy, M. A.; Gray, D. H.; Pindzola, B. A.; Smithers, J. L.; Gin, D. L. A New Family of Polymerizable Lyotropic Liquid Crystals: Control of Feature Size in Cross-Linked Inverted Hexagonal Assemblies via Monomer Structure. </w:t>
      </w:r>
      <w:r w:rsidRPr="006D631C">
        <w:rPr>
          <w:i/>
          <w:iCs/>
          <w:noProof/>
        </w:rPr>
        <w:t>J. Am. Chem. Soc.</w:t>
      </w:r>
      <w:r w:rsidRPr="006D631C">
        <w:rPr>
          <w:noProof/>
        </w:rPr>
        <w:t xml:space="preserve"> </w:t>
      </w:r>
      <w:r w:rsidRPr="006D631C">
        <w:rPr>
          <w:b/>
          <w:bCs/>
          <w:noProof/>
        </w:rPr>
        <w:t>2001</w:t>
      </w:r>
      <w:r w:rsidRPr="006D631C">
        <w:rPr>
          <w:noProof/>
        </w:rPr>
        <w:t xml:space="preserve">, </w:t>
      </w:r>
      <w:r w:rsidRPr="006D631C">
        <w:rPr>
          <w:i/>
          <w:iCs/>
          <w:noProof/>
        </w:rPr>
        <w:t>123</w:t>
      </w:r>
      <w:r w:rsidRPr="006D631C">
        <w:rPr>
          <w:noProof/>
        </w:rPr>
        <w:t xml:space="preserve"> (3), 363–371. https://doi.org/10.1021/ja002462i.</w:t>
      </w:r>
    </w:p>
    <w:p w14:paraId="6F21334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(84) </w:t>
      </w:r>
      <w:r w:rsidRPr="006D631C">
        <w:rPr>
          <w:noProof/>
        </w:rPr>
        <w:tab/>
        <w:t xml:space="preserve">Hoag, B. P.; Gin, D. L. Cross-Linkable Liquid Crystal Monomers Containing Hydrocarbon 1,3-Diene Tail Systems. </w:t>
      </w:r>
      <w:r w:rsidRPr="006D631C">
        <w:rPr>
          <w:i/>
          <w:iCs/>
          <w:noProof/>
        </w:rPr>
        <w:t>Macromolecules</w:t>
      </w:r>
      <w:r w:rsidRPr="006D631C">
        <w:rPr>
          <w:noProof/>
        </w:rPr>
        <w:t xml:space="preserve"> </w:t>
      </w:r>
      <w:r w:rsidRPr="006D631C">
        <w:rPr>
          <w:b/>
          <w:bCs/>
          <w:noProof/>
        </w:rPr>
        <w:t>2000</w:t>
      </w:r>
      <w:r w:rsidRPr="006D631C">
        <w:rPr>
          <w:noProof/>
        </w:rPr>
        <w:t xml:space="preserve">, </w:t>
      </w:r>
      <w:r w:rsidRPr="006D631C">
        <w:rPr>
          <w:i/>
          <w:iCs/>
          <w:noProof/>
        </w:rPr>
        <w:t>33</w:t>
      </w:r>
      <w:r w:rsidRPr="006D631C">
        <w:rPr>
          <w:noProof/>
        </w:rPr>
        <w:t xml:space="preserve"> (23), 8549–8558. https://doi.org/10.1021/ma000812f.</w:t>
      </w:r>
    </w:p>
    <w:p w14:paraId="67BA266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(85) </w:t>
      </w:r>
      <w:r w:rsidRPr="006D631C">
        <w:rPr>
          <w:noProof/>
        </w:rPr>
        <w:tab/>
        <w:t xml:space="preserve">Pindzola, B. A.; Hoag, B. P.; Gin, D. L. Polymerization of a Phosphonium Diene Amphiphile in the Regular Hexagonal Phase with Retention of Mesostructure. </w:t>
      </w:r>
      <w:r w:rsidRPr="006D631C">
        <w:rPr>
          <w:i/>
          <w:iCs/>
          <w:noProof/>
        </w:rPr>
        <w:t>J. Am. Chem. Soc.</w:t>
      </w:r>
      <w:r w:rsidRPr="006D631C">
        <w:rPr>
          <w:noProof/>
        </w:rPr>
        <w:t xml:space="preserve"> </w:t>
      </w:r>
      <w:r w:rsidRPr="006D631C">
        <w:rPr>
          <w:b/>
          <w:bCs/>
          <w:noProof/>
        </w:rPr>
        <w:t>2001</w:t>
      </w:r>
      <w:r w:rsidRPr="006D631C">
        <w:rPr>
          <w:noProof/>
        </w:rPr>
        <w:t xml:space="preserve">, </w:t>
      </w:r>
      <w:r w:rsidRPr="006D631C">
        <w:rPr>
          <w:i/>
          <w:iCs/>
          <w:noProof/>
        </w:rPr>
        <w:t>123</w:t>
      </w:r>
      <w:r w:rsidRPr="006D631C">
        <w:rPr>
          <w:noProof/>
        </w:rPr>
        <w:t xml:space="preserve"> (19), 4617–4618. https://doi.org/10.1021/ja0058583.</w:t>
      </w:r>
    </w:p>
    <w:p w14:paraId="6B5F389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(86) </w:t>
      </w:r>
      <w:r w:rsidRPr="006D631C">
        <w:rPr>
          <w:noProof/>
        </w:rPr>
        <w:tab/>
        <w:t xml:space="preserve">Batra, D.; Hay, D. N. T.; Firestone, M. A. Formation of a Biomimetic, Liquid-Crystalline </w:t>
      </w:r>
      <w:r w:rsidRPr="006D631C">
        <w:rPr>
          <w:noProof/>
        </w:rPr>
        <w:lastRenderedPageBreak/>
        <w:t xml:space="preserve">Hydrogel by Self-Assembly and Polymerization of an Ionic Liquid. </w:t>
      </w:r>
      <w:r w:rsidRPr="006D631C">
        <w:rPr>
          <w:i/>
          <w:iCs/>
          <w:noProof/>
        </w:rPr>
        <w:t>Chem. Mater.</w:t>
      </w:r>
      <w:r w:rsidRPr="006D631C">
        <w:rPr>
          <w:noProof/>
        </w:rPr>
        <w:t xml:space="preserve"> </w:t>
      </w:r>
      <w:r w:rsidRPr="006D631C">
        <w:rPr>
          <w:b/>
          <w:bCs/>
          <w:noProof/>
        </w:rPr>
        <w:t>2007</w:t>
      </w:r>
      <w:r w:rsidRPr="006D631C">
        <w:rPr>
          <w:noProof/>
        </w:rPr>
        <w:t xml:space="preserve">, </w:t>
      </w:r>
      <w:r w:rsidRPr="006D631C">
        <w:rPr>
          <w:i/>
          <w:iCs/>
          <w:noProof/>
        </w:rPr>
        <w:t>19</w:t>
      </w:r>
      <w:r w:rsidRPr="006D631C">
        <w:rPr>
          <w:noProof/>
        </w:rPr>
        <w:t xml:space="preserve"> (18), 4423–4431. https://doi.org/10.1021/cm062992z.</w:t>
      </w:r>
    </w:p>
    <w:p w14:paraId="3F0A110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(87) </w:t>
      </w:r>
      <w:r w:rsidRPr="006D631C">
        <w:rPr>
          <w:noProof/>
        </w:rPr>
        <w:tab/>
        <w:t xml:space="preserve">Batra, D.; Seifert, S.; Firestone, M. A. The Effect of Cation Structure on the Mesophase Architecture of Self-Assembled and Polymerized Imidazolium-Based Ionic Liquids. </w:t>
      </w:r>
      <w:r w:rsidRPr="006D631C">
        <w:rPr>
          <w:i/>
          <w:iCs/>
          <w:noProof/>
        </w:rPr>
        <w:t>Macromol. Chem. Phys.</w:t>
      </w:r>
      <w:r w:rsidRPr="006D631C">
        <w:rPr>
          <w:noProof/>
        </w:rPr>
        <w:t xml:space="preserve"> </w:t>
      </w:r>
      <w:r w:rsidRPr="006D631C">
        <w:rPr>
          <w:b/>
          <w:bCs/>
          <w:noProof/>
        </w:rPr>
        <w:t>2007</w:t>
      </w:r>
      <w:r w:rsidRPr="006D631C">
        <w:rPr>
          <w:noProof/>
        </w:rPr>
        <w:t xml:space="preserve">, </w:t>
      </w:r>
      <w:r w:rsidRPr="006D631C">
        <w:rPr>
          <w:i/>
          <w:iCs/>
          <w:noProof/>
        </w:rPr>
        <w:t>208</w:t>
      </w:r>
      <w:r w:rsidRPr="006D631C">
        <w:rPr>
          <w:noProof/>
        </w:rPr>
        <w:t xml:space="preserve"> (13), 1416–1427. https://doi.org/10.1002/macp.200700174.</w:t>
      </w:r>
    </w:p>
    <w:p w14:paraId="003B36C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(88) </w:t>
      </w:r>
      <w:r w:rsidRPr="006D631C">
        <w:rPr>
          <w:noProof/>
        </w:rPr>
        <w:tab/>
        <w:t xml:space="preserve">Grubjesic, S.; Seifert, S.; Firestone, M. A. Cytoskeleton Mimetic Reinforcement of a Self-Assembled N,N ′-Dialkylimidazolium Ionic Liquid Monomer by Copolymerization. </w:t>
      </w:r>
      <w:r w:rsidRPr="006D631C">
        <w:rPr>
          <w:i/>
          <w:iCs/>
          <w:noProof/>
        </w:rPr>
        <w:t>Macromolecules</w:t>
      </w:r>
      <w:r w:rsidRPr="006D631C">
        <w:rPr>
          <w:noProof/>
        </w:rPr>
        <w:t xml:space="preserve"> </w:t>
      </w:r>
      <w:r w:rsidRPr="006D631C">
        <w:rPr>
          <w:b/>
          <w:bCs/>
          <w:noProof/>
        </w:rPr>
        <w:t>2009</w:t>
      </w:r>
      <w:r w:rsidRPr="006D631C">
        <w:rPr>
          <w:noProof/>
        </w:rPr>
        <w:t xml:space="preserve">, </w:t>
      </w:r>
      <w:r w:rsidRPr="006D631C">
        <w:rPr>
          <w:i/>
          <w:iCs/>
          <w:noProof/>
        </w:rPr>
        <w:t>42</w:t>
      </w:r>
      <w:r w:rsidRPr="006D631C">
        <w:rPr>
          <w:noProof/>
        </w:rPr>
        <w:t xml:space="preserve"> (15), 5461–5470. https://doi.org/10.1021/ma900905k.</w:t>
      </w:r>
    </w:p>
    <w:p w14:paraId="7AB1E50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(89) </w:t>
      </w:r>
      <w:r w:rsidRPr="006D631C">
        <w:rPr>
          <w:noProof/>
        </w:rPr>
        <w:tab/>
        <w:t xml:space="preserve">Sievens-Figueroa, L.; Guymon, C. A. Cross-Linking of Reactive Lyotropic Liquid Crystals for Nanostrueture Retention. </w:t>
      </w:r>
      <w:r w:rsidRPr="006D631C">
        <w:rPr>
          <w:i/>
          <w:iCs/>
          <w:noProof/>
        </w:rPr>
        <w:t>Chem. Mater.</w:t>
      </w:r>
      <w:r w:rsidRPr="006D631C">
        <w:rPr>
          <w:noProof/>
        </w:rPr>
        <w:t xml:space="preserve"> </w:t>
      </w:r>
      <w:r w:rsidRPr="006D631C">
        <w:rPr>
          <w:b/>
          <w:bCs/>
          <w:noProof/>
        </w:rPr>
        <w:t>2009</w:t>
      </w:r>
      <w:r w:rsidRPr="006D631C">
        <w:rPr>
          <w:noProof/>
        </w:rPr>
        <w:t xml:space="preserve">, </w:t>
      </w:r>
      <w:r w:rsidRPr="006D631C">
        <w:rPr>
          <w:i/>
          <w:iCs/>
          <w:noProof/>
        </w:rPr>
        <w:t>21</w:t>
      </w:r>
      <w:r w:rsidRPr="006D631C">
        <w:rPr>
          <w:noProof/>
        </w:rPr>
        <w:t xml:space="preserve"> (6), 1060–1068. https://doi.org/10.1021/cm803383d.</w:t>
      </w:r>
    </w:p>
    <w:p w14:paraId="15AB60B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(90) </w:t>
      </w:r>
      <w:r w:rsidRPr="006D631C">
        <w:rPr>
          <w:noProof/>
        </w:rPr>
        <w:tab/>
        <w:t xml:space="preserve">Becht, G. A.; Sofos, M.; Seifert, S.; Firestone, M. A. Formation of a Liquid-Crystalline Interpenetrating Poly(Ionic Liquid) Network Hydrogel. </w:t>
      </w:r>
      <w:r w:rsidRPr="006D631C">
        <w:rPr>
          <w:i/>
          <w:iCs/>
          <w:noProof/>
        </w:rPr>
        <w:t>Macromolecules</w:t>
      </w:r>
      <w:r w:rsidRPr="006D631C">
        <w:rPr>
          <w:noProof/>
        </w:rPr>
        <w:t xml:space="preserve"> </w:t>
      </w:r>
      <w:r w:rsidRPr="006D631C">
        <w:rPr>
          <w:b/>
          <w:bCs/>
          <w:noProof/>
        </w:rPr>
        <w:t>2011</w:t>
      </w:r>
      <w:r w:rsidRPr="006D631C">
        <w:rPr>
          <w:noProof/>
        </w:rPr>
        <w:t xml:space="preserve">, </w:t>
      </w:r>
      <w:r w:rsidRPr="006D631C">
        <w:rPr>
          <w:i/>
          <w:iCs/>
          <w:noProof/>
        </w:rPr>
        <w:t>44</w:t>
      </w:r>
      <w:r w:rsidRPr="006D631C">
        <w:rPr>
          <w:noProof/>
        </w:rPr>
        <w:t xml:space="preserve"> (6), 1421–1428. https://doi.org/10.1021/ma102146r.</w:t>
      </w:r>
    </w:p>
    <w:p w14:paraId="6AA9E60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(91) </w:t>
      </w:r>
      <w:r w:rsidRPr="006D631C">
        <w:rPr>
          <w:noProof/>
        </w:rPr>
        <w:tab/>
        <w:t xml:space="preserve">Ndefru, B. G.; Ringstrand, B. S.; Diouf, S. I. Y.; Seifert, S.; Leal, J. H.; Semelsberger, T. A.; Dreier, T. A.; Firestone, M. A. Multiscale Additive Manufacturing of Polymers Using 3D Photo-Printable Self-Assembling Ionic Liquid Monomers. </w:t>
      </w:r>
      <w:r w:rsidRPr="006D631C">
        <w:rPr>
          <w:i/>
          <w:iCs/>
          <w:noProof/>
        </w:rPr>
        <w:t>Mol. Syst. Des. Eng.</w:t>
      </w:r>
      <w:r w:rsidRPr="006D631C">
        <w:rPr>
          <w:noProof/>
        </w:rPr>
        <w:t xml:space="preserve"> </w:t>
      </w:r>
      <w:r w:rsidRPr="006D631C">
        <w:rPr>
          <w:b/>
          <w:bCs/>
          <w:noProof/>
        </w:rPr>
        <w:t>2019</w:t>
      </w:r>
      <w:r w:rsidRPr="006D631C">
        <w:rPr>
          <w:noProof/>
        </w:rPr>
        <w:t xml:space="preserve">, </w:t>
      </w:r>
      <w:r w:rsidRPr="006D631C">
        <w:rPr>
          <w:i/>
          <w:iCs/>
          <w:noProof/>
        </w:rPr>
        <w:t>4</w:t>
      </w:r>
      <w:r w:rsidRPr="006D631C">
        <w:rPr>
          <w:noProof/>
        </w:rPr>
        <w:t xml:space="preserve"> (3), 580–585. https://doi.org/10.1039/c8me00106e.</w:t>
      </w:r>
    </w:p>
    <w:p w14:paraId="12EA986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(92) </w:t>
      </w:r>
      <w:r w:rsidRPr="006D631C">
        <w:rPr>
          <w:noProof/>
        </w:rPr>
        <w:tab/>
        <w:t xml:space="preserve">Jin, J.; Nguyen, V.; Gu, W.; Lu, X.; Elliott, B. J.; Gin, D. L. Cross-Linked Lyotropic Liquid Crystal-Butyl Rubber Composites: Promising “Breathable” Barrier Materials for Chemical Protection Applications. </w:t>
      </w:r>
      <w:r w:rsidRPr="006D631C">
        <w:rPr>
          <w:i/>
          <w:iCs/>
          <w:noProof/>
        </w:rPr>
        <w:t>Chem. Mater.</w:t>
      </w:r>
      <w:r w:rsidRPr="006D631C">
        <w:rPr>
          <w:noProof/>
        </w:rPr>
        <w:t xml:space="preserve"> </w:t>
      </w:r>
      <w:r w:rsidRPr="006D631C">
        <w:rPr>
          <w:b/>
          <w:bCs/>
          <w:noProof/>
        </w:rPr>
        <w:t>2005</w:t>
      </w:r>
      <w:r w:rsidRPr="006D631C">
        <w:rPr>
          <w:noProof/>
        </w:rPr>
        <w:t xml:space="preserve">, </w:t>
      </w:r>
      <w:r w:rsidRPr="006D631C">
        <w:rPr>
          <w:i/>
          <w:iCs/>
          <w:noProof/>
        </w:rPr>
        <w:t>17</w:t>
      </w:r>
      <w:r w:rsidRPr="006D631C">
        <w:rPr>
          <w:noProof/>
        </w:rPr>
        <w:t xml:space="preserve"> (2), 224–226. https://doi.org/10.1021/cm040342u.</w:t>
      </w:r>
    </w:p>
    <w:p w14:paraId="4CE64711"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(93) </w:t>
      </w:r>
      <w:r w:rsidRPr="006D631C">
        <w:rPr>
          <w:noProof/>
        </w:rPr>
        <w:tab/>
        <w:t xml:space="preserve">Zhou, M.; Kidd, T. J.; Noble, R. D.; Gin, D. L. Supported Lyotropic Liquid-Crystal Polymer Membranes: Promising Materials for Molecular-Size-Selective Aqueous Nanofiltration. </w:t>
      </w:r>
      <w:r w:rsidRPr="006D631C">
        <w:rPr>
          <w:i/>
          <w:iCs/>
          <w:noProof/>
        </w:rPr>
        <w:t>Adv. Mater.</w:t>
      </w:r>
      <w:r w:rsidRPr="006D631C">
        <w:rPr>
          <w:noProof/>
        </w:rPr>
        <w:t xml:space="preserve"> </w:t>
      </w:r>
      <w:r w:rsidRPr="006D631C">
        <w:rPr>
          <w:b/>
          <w:bCs/>
          <w:noProof/>
        </w:rPr>
        <w:t>2005</w:t>
      </w:r>
      <w:r w:rsidRPr="006D631C">
        <w:rPr>
          <w:noProof/>
        </w:rPr>
        <w:t xml:space="preserve">, </w:t>
      </w:r>
      <w:r w:rsidRPr="006D631C">
        <w:rPr>
          <w:i/>
          <w:iCs/>
          <w:noProof/>
        </w:rPr>
        <w:t>17</w:t>
      </w:r>
      <w:r w:rsidRPr="006D631C">
        <w:rPr>
          <w:noProof/>
        </w:rPr>
        <w:t xml:space="preserve"> (15), 1850–1853. https://doi.org/10.1002/adma.200500444.</w:t>
      </w:r>
    </w:p>
    <w:p w14:paraId="39413D3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(94) </w:t>
      </w:r>
      <w:r w:rsidRPr="006D631C">
        <w:rPr>
          <w:noProof/>
        </w:rPr>
        <w:tab/>
        <w:t xml:space="preserve">Bara, J. E.; Kaminski, A. K.; Noble, R. D.; Gin, D. L. Influence of Nanostructure on Light Gas Separations in Cross-Linked Lyotropic Liquid Crystal Membranes. </w:t>
      </w:r>
      <w:r w:rsidRPr="006D631C">
        <w:rPr>
          <w:i/>
          <w:iCs/>
          <w:noProof/>
        </w:rPr>
        <w:t>J. Memb. Sci.</w:t>
      </w:r>
      <w:r w:rsidRPr="006D631C">
        <w:rPr>
          <w:noProof/>
        </w:rPr>
        <w:t xml:space="preserve"> </w:t>
      </w:r>
      <w:r w:rsidRPr="006D631C">
        <w:rPr>
          <w:b/>
          <w:bCs/>
          <w:noProof/>
        </w:rPr>
        <w:t>2007</w:t>
      </w:r>
      <w:r w:rsidRPr="006D631C">
        <w:rPr>
          <w:noProof/>
        </w:rPr>
        <w:t xml:space="preserve">, </w:t>
      </w:r>
      <w:r w:rsidRPr="006D631C">
        <w:rPr>
          <w:i/>
          <w:iCs/>
          <w:noProof/>
        </w:rPr>
        <w:t>288</w:t>
      </w:r>
      <w:r w:rsidRPr="006D631C">
        <w:rPr>
          <w:noProof/>
        </w:rPr>
        <w:t xml:space="preserve"> (1–2), 13–19. https://doi.org/10.1016/j.memsci.2006.09.023.</w:t>
      </w:r>
    </w:p>
    <w:p w14:paraId="16D6C30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(95) </w:t>
      </w:r>
      <w:r w:rsidRPr="006D631C">
        <w:rPr>
          <w:noProof/>
        </w:rPr>
        <w:tab/>
        <w:t xml:space="preserve">Xu, Y.; Gu, W.; Gin, D. L. Heterogeneous Catalysis Using a Nanostructured Solid Acid Resin Based on Lyotropic Liquid Crystals. </w:t>
      </w:r>
      <w:r w:rsidRPr="006D631C">
        <w:rPr>
          <w:i/>
          <w:iCs/>
          <w:noProof/>
        </w:rPr>
        <w:t>J. Am. Chem. Soc.</w:t>
      </w:r>
      <w:r w:rsidRPr="006D631C">
        <w:rPr>
          <w:noProof/>
        </w:rPr>
        <w:t xml:space="preserve"> </w:t>
      </w:r>
      <w:r w:rsidRPr="006D631C">
        <w:rPr>
          <w:b/>
          <w:bCs/>
          <w:noProof/>
        </w:rPr>
        <w:t>2004</w:t>
      </w:r>
      <w:r w:rsidRPr="006D631C">
        <w:rPr>
          <w:noProof/>
        </w:rPr>
        <w:t xml:space="preserve">, </w:t>
      </w:r>
      <w:r w:rsidRPr="006D631C">
        <w:rPr>
          <w:i/>
          <w:iCs/>
          <w:noProof/>
        </w:rPr>
        <w:t>126</w:t>
      </w:r>
      <w:r w:rsidRPr="006D631C">
        <w:rPr>
          <w:noProof/>
        </w:rPr>
        <w:t xml:space="preserve"> (6), 1616–1617. https://doi.org/10.1021/ja038501i.</w:t>
      </w:r>
    </w:p>
    <w:p w14:paraId="4805693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(96) </w:t>
      </w:r>
      <w:r w:rsidRPr="006D631C">
        <w:rPr>
          <w:noProof/>
        </w:rPr>
        <w:tab/>
        <w:t xml:space="preserve">Sievens-Figueroa, L.; Guymon, C. A. Polymerization Kinetics and Nanostructure Evolution of Reactive Lyotropic Liquid Crystals with Different Reactive Group Position. </w:t>
      </w:r>
      <w:r w:rsidRPr="006D631C">
        <w:rPr>
          <w:i/>
          <w:iCs/>
          <w:noProof/>
        </w:rPr>
        <w:t>Macromolecules</w:t>
      </w:r>
      <w:r w:rsidRPr="006D631C">
        <w:rPr>
          <w:noProof/>
        </w:rPr>
        <w:t xml:space="preserve"> </w:t>
      </w:r>
      <w:r w:rsidRPr="006D631C">
        <w:rPr>
          <w:b/>
          <w:bCs/>
          <w:noProof/>
        </w:rPr>
        <w:t>2009</w:t>
      </w:r>
      <w:r w:rsidRPr="006D631C">
        <w:rPr>
          <w:noProof/>
        </w:rPr>
        <w:t xml:space="preserve">, </w:t>
      </w:r>
      <w:r w:rsidRPr="006D631C">
        <w:rPr>
          <w:i/>
          <w:iCs/>
          <w:noProof/>
        </w:rPr>
        <w:t>42</w:t>
      </w:r>
      <w:r w:rsidRPr="006D631C">
        <w:rPr>
          <w:noProof/>
        </w:rPr>
        <w:t xml:space="preserve"> (23), 9243–9250. https://doi.org/10.1021/ma901318f.</w:t>
      </w:r>
    </w:p>
    <w:p w14:paraId="12A161B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(97) </w:t>
      </w:r>
      <w:r w:rsidRPr="006D631C">
        <w:rPr>
          <w:noProof/>
        </w:rPr>
        <w:tab/>
        <w:t xml:space="preserve">Lester, C. L.; Guymon, C. A. Ordering Effects on the Photopolymerization of a Lyotropic Liquid Crystal. </w:t>
      </w:r>
      <w:r w:rsidRPr="006D631C">
        <w:rPr>
          <w:i/>
          <w:iCs/>
          <w:noProof/>
        </w:rPr>
        <w:t>Polymer</w:t>
      </w:r>
      <w:r w:rsidRPr="006D631C">
        <w:rPr>
          <w:noProof/>
        </w:rPr>
        <w:t xml:space="preserve"> </w:t>
      </w:r>
      <w:r w:rsidRPr="006D631C">
        <w:rPr>
          <w:b/>
          <w:bCs/>
          <w:noProof/>
        </w:rPr>
        <w:t>2002</w:t>
      </w:r>
      <w:r w:rsidRPr="006D631C">
        <w:rPr>
          <w:noProof/>
        </w:rPr>
        <w:t xml:space="preserve">, </w:t>
      </w:r>
      <w:r w:rsidRPr="006D631C">
        <w:rPr>
          <w:i/>
          <w:iCs/>
          <w:noProof/>
        </w:rPr>
        <w:t>43</w:t>
      </w:r>
      <w:r w:rsidRPr="006D631C">
        <w:rPr>
          <w:noProof/>
        </w:rPr>
        <w:t xml:space="preserve"> (13), 3707–3715. https://doi.org/10.1016/S0032-3861(02)00188-X.</w:t>
      </w:r>
    </w:p>
    <w:p w14:paraId="542F101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(98) </w:t>
      </w:r>
      <w:r w:rsidRPr="006D631C">
        <w:rPr>
          <w:noProof/>
        </w:rPr>
        <w:tab/>
        <w:t xml:space="preserve">Sievens-Figueroa, L.; Allan Guymon, C. Aliphatic Chain Length Effects on Photopolymerization Kinetics and Structural Evolution of Polymerizable Lyotropic Liquid Crystals. </w:t>
      </w:r>
      <w:r w:rsidRPr="006D631C">
        <w:rPr>
          <w:i/>
          <w:iCs/>
          <w:noProof/>
        </w:rPr>
        <w:t>Polymer</w:t>
      </w:r>
      <w:r w:rsidRPr="006D631C">
        <w:rPr>
          <w:noProof/>
        </w:rPr>
        <w:t xml:space="preserve"> </w:t>
      </w:r>
      <w:r w:rsidRPr="006D631C">
        <w:rPr>
          <w:b/>
          <w:bCs/>
          <w:noProof/>
        </w:rPr>
        <w:t>2008</w:t>
      </w:r>
      <w:r w:rsidRPr="006D631C">
        <w:rPr>
          <w:noProof/>
        </w:rPr>
        <w:t xml:space="preserve">, </w:t>
      </w:r>
      <w:r w:rsidRPr="006D631C">
        <w:rPr>
          <w:i/>
          <w:iCs/>
          <w:noProof/>
        </w:rPr>
        <w:t>49</w:t>
      </w:r>
      <w:r w:rsidRPr="006D631C">
        <w:rPr>
          <w:noProof/>
        </w:rPr>
        <w:t xml:space="preserve"> (9), 2260–2267. https://doi.org/10.1016/j.polymer.2008.02.047.</w:t>
      </w:r>
    </w:p>
    <w:p w14:paraId="2C89DF7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(99) </w:t>
      </w:r>
      <w:r w:rsidRPr="006D631C">
        <w:rPr>
          <w:noProof/>
        </w:rPr>
        <w:tab/>
        <w:t xml:space="preserve">DePierro, M. A.; Baguenard, C.; Allan Guymon, C. Radical Polymerization Behavior and Molecular Weight Development of Homologous Monoacrylate Monomers in Lyotropic Liquid Crystal Phases. </w:t>
      </w:r>
      <w:r w:rsidRPr="006D631C">
        <w:rPr>
          <w:i/>
          <w:iCs/>
          <w:noProof/>
        </w:rPr>
        <w:t>J. Polym. Sci. Part A Polym. Chem.</w:t>
      </w:r>
      <w:r w:rsidRPr="006D631C">
        <w:rPr>
          <w:noProof/>
        </w:rPr>
        <w:t xml:space="preserve"> </w:t>
      </w:r>
      <w:r w:rsidRPr="006D631C">
        <w:rPr>
          <w:b/>
          <w:bCs/>
          <w:noProof/>
        </w:rPr>
        <w:t>2016</w:t>
      </w:r>
      <w:r w:rsidRPr="006D631C">
        <w:rPr>
          <w:noProof/>
        </w:rPr>
        <w:t xml:space="preserve">, </w:t>
      </w:r>
      <w:r w:rsidRPr="006D631C">
        <w:rPr>
          <w:i/>
          <w:iCs/>
          <w:noProof/>
        </w:rPr>
        <w:t>54</w:t>
      </w:r>
      <w:r w:rsidRPr="006D631C">
        <w:rPr>
          <w:noProof/>
        </w:rPr>
        <w:t xml:space="preserve"> (1), 144–154. https://doi.org/10.1002/pola.27783.</w:t>
      </w:r>
    </w:p>
    <w:p w14:paraId="404E6AD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(100) </w:t>
      </w:r>
      <w:r w:rsidRPr="006D631C">
        <w:rPr>
          <w:noProof/>
        </w:rPr>
        <w:tab/>
        <w:t>Gray, D. H.; Gin, D. L. Polymerizable Lyotropic Liquid Crystals Containing Transition-</w:t>
      </w:r>
      <w:r w:rsidRPr="006D631C">
        <w:rPr>
          <w:noProof/>
        </w:rPr>
        <w:lastRenderedPageBreak/>
        <w:t xml:space="preserve">Metal Ions as Building Blocks for Nanostructured Polymers and Composites. </w:t>
      </w:r>
      <w:r w:rsidRPr="006D631C">
        <w:rPr>
          <w:i/>
          <w:iCs/>
          <w:noProof/>
        </w:rPr>
        <w:t>Chem. Mater.</w:t>
      </w:r>
      <w:r w:rsidRPr="006D631C">
        <w:rPr>
          <w:noProof/>
        </w:rPr>
        <w:t xml:space="preserve"> </w:t>
      </w:r>
      <w:r w:rsidRPr="006D631C">
        <w:rPr>
          <w:b/>
          <w:bCs/>
          <w:noProof/>
        </w:rPr>
        <w:t>1998</w:t>
      </w:r>
      <w:r w:rsidRPr="006D631C">
        <w:rPr>
          <w:noProof/>
        </w:rPr>
        <w:t xml:space="preserve">, </w:t>
      </w:r>
      <w:r w:rsidRPr="006D631C">
        <w:rPr>
          <w:i/>
          <w:iCs/>
          <w:noProof/>
        </w:rPr>
        <w:t>10</w:t>
      </w:r>
      <w:r w:rsidRPr="006D631C">
        <w:rPr>
          <w:noProof/>
        </w:rPr>
        <w:t xml:space="preserve"> (7), 1827–1832. https://doi.org/10.1021/cm970830k.</w:t>
      </w:r>
    </w:p>
    <w:p w14:paraId="1B64893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(101) </w:t>
      </w:r>
      <w:r w:rsidRPr="006D631C">
        <w:rPr>
          <w:noProof/>
        </w:rPr>
        <w:tab/>
        <w:t xml:space="preserve">Hentze, H. P.; Krämer, E.; Berton, B.; Förster, S.; Antonietti, M.; Dreja, M. Lyotropic Mesophases of Poly(Ethylene Oxide)-O-Poly(Butadiene) Diblock Copolymers and Their Cross-Linking to Generate Ordered Gels. </w:t>
      </w:r>
      <w:r w:rsidRPr="006D631C">
        <w:rPr>
          <w:i/>
          <w:iCs/>
          <w:noProof/>
        </w:rPr>
        <w:t>Macromolecules</w:t>
      </w:r>
      <w:r w:rsidRPr="006D631C">
        <w:rPr>
          <w:noProof/>
        </w:rPr>
        <w:t xml:space="preserve"> </w:t>
      </w:r>
      <w:r w:rsidRPr="006D631C">
        <w:rPr>
          <w:b/>
          <w:bCs/>
          <w:noProof/>
        </w:rPr>
        <w:t>1999</w:t>
      </w:r>
      <w:r w:rsidRPr="006D631C">
        <w:rPr>
          <w:noProof/>
        </w:rPr>
        <w:t xml:space="preserve">, </w:t>
      </w:r>
      <w:r w:rsidRPr="006D631C">
        <w:rPr>
          <w:i/>
          <w:iCs/>
          <w:noProof/>
        </w:rPr>
        <w:t>32</w:t>
      </w:r>
      <w:r w:rsidRPr="006D631C">
        <w:rPr>
          <w:noProof/>
        </w:rPr>
        <w:t xml:space="preserve"> (18), 5803–5809. https://doi.org/10.1021/ma9904058.</w:t>
      </w:r>
    </w:p>
    <w:p w14:paraId="7AF048F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(102) </w:t>
      </w:r>
      <w:r w:rsidRPr="006D631C">
        <w:rPr>
          <w:noProof/>
        </w:rPr>
        <w:tab/>
        <w:t xml:space="preserve">Yang, J.; Wegner, G. Polymerization in Lyotropic Liquid Crystals. 2. Synthesis of Photo-Cross-Linkable PEO-PDMS-PEO Triblock Copolymers and Permanent Stabilization of Their Supermolecular Structures in Lyotropic Mesophases. </w:t>
      </w:r>
      <w:r w:rsidRPr="006D631C">
        <w:rPr>
          <w:i/>
          <w:iCs/>
          <w:noProof/>
        </w:rPr>
        <w:t>Macromolecules</w:t>
      </w:r>
      <w:r w:rsidRPr="006D631C">
        <w:rPr>
          <w:noProof/>
        </w:rPr>
        <w:t xml:space="preserve"> </w:t>
      </w:r>
      <w:r w:rsidRPr="006D631C">
        <w:rPr>
          <w:b/>
          <w:bCs/>
          <w:noProof/>
        </w:rPr>
        <w:t>1992</w:t>
      </w:r>
      <w:r w:rsidRPr="006D631C">
        <w:rPr>
          <w:noProof/>
        </w:rPr>
        <w:t xml:space="preserve">, </w:t>
      </w:r>
      <w:r w:rsidRPr="006D631C">
        <w:rPr>
          <w:i/>
          <w:iCs/>
          <w:noProof/>
        </w:rPr>
        <w:t>25</w:t>
      </w:r>
      <w:r w:rsidRPr="006D631C">
        <w:rPr>
          <w:noProof/>
        </w:rPr>
        <w:t xml:space="preserve"> (6), 1791–1795. https://doi.org/10.1021/ma00032a027.</w:t>
      </w:r>
    </w:p>
    <w:p w14:paraId="6F2CD51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(103) </w:t>
      </w:r>
      <w:r w:rsidRPr="006D631C">
        <w:rPr>
          <w:noProof/>
        </w:rPr>
        <w:tab/>
        <w:t xml:space="preserve">Ringstrand, B.; Seifert, S.; Firestone, M. A. Preparation of a Solution-Processable, Nanostructured Ionic Polyacetylene. </w:t>
      </w:r>
      <w:r w:rsidRPr="006D631C">
        <w:rPr>
          <w:i/>
          <w:iCs/>
          <w:noProof/>
        </w:rPr>
        <w:t>J. Polym. Sci. Part B Polym. Phys.</w:t>
      </w:r>
      <w:r w:rsidRPr="006D631C">
        <w:rPr>
          <w:noProof/>
        </w:rPr>
        <w:t xml:space="preserve"> </w:t>
      </w:r>
      <w:r w:rsidRPr="006D631C">
        <w:rPr>
          <w:b/>
          <w:bCs/>
          <w:noProof/>
        </w:rPr>
        <w:t>2013</w:t>
      </w:r>
      <w:r w:rsidRPr="006D631C">
        <w:rPr>
          <w:noProof/>
        </w:rPr>
        <w:t xml:space="preserve">, </w:t>
      </w:r>
      <w:r w:rsidRPr="006D631C">
        <w:rPr>
          <w:i/>
          <w:iCs/>
          <w:noProof/>
        </w:rPr>
        <w:t>51</w:t>
      </w:r>
      <w:r w:rsidRPr="006D631C">
        <w:rPr>
          <w:noProof/>
        </w:rPr>
        <w:t xml:space="preserve"> (16), 1215–1227. https://doi.org/10.1002/polb.23321.</w:t>
      </w:r>
    </w:p>
    <w:p w14:paraId="25F8DD8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(104) </w:t>
      </w:r>
      <w:r w:rsidRPr="006D631C">
        <w:rPr>
          <w:noProof/>
        </w:rPr>
        <w:tab/>
        <w:t xml:space="preserve">Imai, M.; Sakai, K.; Kikuchi, M.; Nakaya, K.; Saeki, A.; Teramoto, T. Kinetic Pathway to Double-Gyroid Structure. </w:t>
      </w:r>
      <w:r w:rsidRPr="006D631C">
        <w:rPr>
          <w:i/>
          <w:iCs/>
          <w:noProof/>
        </w:rPr>
        <w:t>J. Chem. Phys.</w:t>
      </w:r>
      <w:r w:rsidRPr="006D631C">
        <w:rPr>
          <w:noProof/>
        </w:rPr>
        <w:t xml:space="preserve"> </w:t>
      </w:r>
      <w:r w:rsidRPr="006D631C">
        <w:rPr>
          <w:b/>
          <w:bCs/>
          <w:noProof/>
        </w:rPr>
        <w:t>2005</w:t>
      </w:r>
      <w:r w:rsidRPr="006D631C">
        <w:rPr>
          <w:noProof/>
        </w:rPr>
        <w:t xml:space="preserve">, </w:t>
      </w:r>
      <w:r w:rsidRPr="006D631C">
        <w:rPr>
          <w:i/>
          <w:iCs/>
          <w:noProof/>
        </w:rPr>
        <w:t>122</w:t>
      </w:r>
      <w:r w:rsidRPr="006D631C">
        <w:rPr>
          <w:noProof/>
        </w:rPr>
        <w:t xml:space="preserve"> (21), 214906. https://doi.org/10.1063/1.1905585.</w:t>
      </w:r>
    </w:p>
    <w:p w14:paraId="57585B9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(105) </w:t>
      </w:r>
      <w:r w:rsidRPr="006D631C">
        <w:rPr>
          <w:noProof/>
        </w:rPr>
        <w:tab/>
        <w:t xml:space="preserve">Grubjesic, S.; Lee, B.; Seifert, S.; Firestone, M. A. Preparation of a Self-Supporting Cell Architecture Mimic by Water Channel Confined Photocrosslinking within a Lamellar Structured Hydrogel. </w:t>
      </w:r>
      <w:r w:rsidRPr="006D631C">
        <w:rPr>
          <w:i/>
          <w:iCs/>
          <w:noProof/>
        </w:rPr>
        <w:t>Soft Matter</w:t>
      </w:r>
      <w:r w:rsidRPr="006D631C">
        <w:rPr>
          <w:noProof/>
        </w:rPr>
        <w:t xml:space="preserve"> </w:t>
      </w:r>
      <w:r w:rsidRPr="006D631C">
        <w:rPr>
          <w:b/>
          <w:bCs/>
          <w:noProof/>
        </w:rPr>
        <w:t>2011</w:t>
      </w:r>
      <w:r w:rsidRPr="006D631C">
        <w:rPr>
          <w:noProof/>
        </w:rPr>
        <w:t xml:space="preserve">, </w:t>
      </w:r>
      <w:r w:rsidRPr="006D631C">
        <w:rPr>
          <w:i/>
          <w:iCs/>
          <w:noProof/>
        </w:rPr>
        <w:t>7</w:t>
      </w:r>
      <w:r w:rsidRPr="006D631C">
        <w:rPr>
          <w:noProof/>
        </w:rPr>
        <w:t xml:space="preserve"> (20), 9695. https://doi.org/10.1039/c1sm06364b.</w:t>
      </w:r>
    </w:p>
    <w:p w14:paraId="73BE82E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(106) </w:t>
      </w:r>
      <w:r w:rsidRPr="006D631C">
        <w:rPr>
          <w:noProof/>
        </w:rPr>
        <w:tab/>
        <w:t xml:space="preserve">Hartmann, P. C.; Sanderson, R. D. Templating Polymerization of Dodecylammonium Surfactants with Polymerizable (Meth)Acrylate Counter Ions. </w:t>
      </w:r>
      <w:r w:rsidRPr="006D631C">
        <w:rPr>
          <w:i/>
          <w:iCs/>
          <w:noProof/>
        </w:rPr>
        <w:t>Macromol. Symp.</w:t>
      </w:r>
      <w:r w:rsidRPr="006D631C">
        <w:rPr>
          <w:noProof/>
        </w:rPr>
        <w:t xml:space="preserve"> </w:t>
      </w:r>
      <w:r w:rsidRPr="006D631C">
        <w:rPr>
          <w:b/>
          <w:bCs/>
          <w:noProof/>
        </w:rPr>
        <w:t>2005</w:t>
      </w:r>
      <w:r w:rsidRPr="006D631C">
        <w:rPr>
          <w:noProof/>
        </w:rPr>
        <w:t xml:space="preserve">, </w:t>
      </w:r>
      <w:r w:rsidRPr="006D631C">
        <w:rPr>
          <w:i/>
          <w:iCs/>
          <w:noProof/>
        </w:rPr>
        <w:t>225</w:t>
      </w:r>
      <w:r w:rsidRPr="006D631C">
        <w:rPr>
          <w:noProof/>
        </w:rPr>
        <w:t xml:space="preserve"> (1), 229–237. https://doi.org/10.1002/masy.200550718.</w:t>
      </w:r>
    </w:p>
    <w:p w14:paraId="6EAFAF1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(107) </w:t>
      </w:r>
      <w:r w:rsidRPr="006D631C">
        <w:rPr>
          <w:noProof/>
        </w:rPr>
        <w:tab/>
        <w:t xml:space="preserve">Wiesenauer, B. R.; Gin, D. L. Nanoporous Polymer Materials Based on Self-Organized, </w:t>
      </w:r>
      <w:r w:rsidRPr="006D631C">
        <w:rPr>
          <w:noProof/>
        </w:rPr>
        <w:lastRenderedPageBreak/>
        <w:t xml:space="preserve">Bicontinuous Cubic Lyotropic Liquid Crystal Assemblies and Their Applications. </w:t>
      </w:r>
      <w:r w:rsidRPr="006D631C">
        <w:rPr>
          <w:i/>
          <w:iCs/>
          <w:noProof/>
        </w:rPr>
        <w:t>Polym. J.</w:t>
      </w:r>
      <w:r w:rsidRPr="006D631C">
        <w:rPr>
          <w:noProof/>
        </w:rPr>
        <w:t xml:space="preserve"> </w:t>
      </w:r>
      <w:r w:rsidRPr="006D631C">
        <w:rPr>
          <w:b/>
          <w:bCs/>
          <w:noProof/>
        </w:rPr>
        <w:t>2012</w:t>
      </w:r>
      <w:r w:rsidRPr="006D631C">
        <w:rPr>
          <w:noProof/>
        </w:rPr>
        <w:t xml:space="preserve">, </w:t>
      </w:r>
      <w:r w:rsidRPr="006D631C">
        <w:rPr>
          <w:i/>
          <w:iCs/>
          <w:noProof/>
        </w:rPr>
        <w:t>44</w:t>
      </w:r>
      <w:r w:rsidRPr="006D631C">
        <w:rPr>
          <w:noProof/>
        </w:rPr>
        <w:t xml:space="preserve"> (6), 461–468. https://doi.org/10.1038/pj.2012.15.</w:t>
      </w:r>
    </w:p>
    <w:p w14:paraId="64DD6FA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(108) </w:t>
      </w:r>
      <w:r w:rsidRPr="006D631C">
        <w:rPr>
          <w:noProof/>
        </w:rPr>
        <w:tab/>
        <w:t xml:space="preserve">Srisiri, W.; Benedicto, A.; O’Brien, D. F.; Trouard, T. P.; Orädd, G.; Persson, S.; Lindblom, G. Stabilization of a Bicontinuous Cubic Phase from Polymerizable Monoacylglycerol and Diacylglycerol. </w:t>
      </w:r>
      <w:r w:rsidRPr="006D631C">
        <w:rPr>
          <w:i/>
          <w:iCs/>
          <w:noProof/>
        </w:rPr>
        <w:t>Langmuir</w:t>
      </w:r>
      <w:r w:rsidRPr="006D631C">
        <w:rPr>
          <w:noProof/>
        </w:rPr>
        <w:t xml:space="preserve"> </w:t>
      </w:r>
      <w:r w:rsidRPr="006D631C">
        <w:rPr>
          <w:b/>
          <w:bCs/>
          <w:noProof/>
        </w:rPr>
        <w:t>1998</w:t>
      </w:r>
      <w:r w:rsidRPr="006D631C">
        <w:rPr>
          <w:noProof/>
        </w:rPr>
        <w:t xml:space="preserve">, </w:t>
      </w:r>
      <w:r w:rsidRPr="006D631C">
        <w:rPr>
          <w:i/>
          <w:iCs/>
          <w:noProof/>
        </w:rPr>
        <w:t>14</w:t>
      </w:r>
      <w:r w:rsidRPr="006D631C">
        <w:rPr>
          <w:noProof/>
        </w:rPr>
        <w:t xml:space="preserve"> (7), 1921–1926. https://doi.org/10.1021/la970897m.</w:t>
      </w:r>
    </w:p>
    <w:p w14:paraId="1E11599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(109) </w:t>
      </w:r>
      <w:r w:rsidRPr="006D631C">
        <w:rPr>
          <w:noProof/>
        </w:rPr>
        <w:tab/>
        <w:t xml:space="preserve">Mueller, A.; O’Brien, D. F. Supramolecular Materials via Polymerization of Mesophases of Hydrated Amphiphiles. </w:t>
      </w:r>
      <w:r w:rsidRPr="006D631C">
        <w:rPr>
          <w:i/>
          <w:iCs/>
          <w:noProof/>
        </w:rPr>
        <w:t>Chem. Rev.</w:t>
      </w:r>
      <w:r w:rsidRPr="006D631C">
        <w:rPr>
          <w:noProof/>
        </w:rPr>
        <w:t xml:space="preserve"> </w:t>
      </w:r>
      <w:r w:rsidRPr="006D631C">
        <w:rPr>
          <w:b/>
          <w:bCs/>
          <w:noProof/>
        </w:rPr>
        <w:t>2002</w:t>
      </w:r>
      <w:r w:rsidRPr="006D631C">
        <w:rPr>
          <w:noProof/>
        </w:rPr>
        <w:t xml:space="preserve">, </w:t>
      </w:r>
      <w:r w:rsidRPr="006D631C">
        <w:rPr>
          <w:i/>
          <w:iCs/>
          <w:noProof/>
        </w:rPr>
        <w:t>102</w:t>
      </w:r>
      <w:r w:rsidRPr="006D631C">
        <w:rPr>
          <w:noProof/>
        </w:rPr>
        <w:t xml:space="preserve"> (3), 727–757. https://doi.org/10.1021/cr000071g.</w:t>
      </w:r>
    </w:p>
    <w:p w14:paraId="1AA6123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(110) </w:t>
      </w:r>
      <w:r w:rsidRPr="006D631C">
        <w:rPr>
          <w:noProof/>
        </w:rPr>
        <w:tab/>
        <w:t xml:space="preserve">Yang, D.; O’Brien, D. F.; Marder, S. R. Polymerized Bicontinuous Cubic Nanoparticles (Cubosomes) from a Reactive Monoacylglycerol. </w:t>
      </w:r>
      <w:r w:rsidRPr="006D631C">
        <w:rPr>
          <w:i/>
          <w:iCs/>
          <w:noProof/>
        </w:rPr>
        <w:t>J. Am. Chem. Soc.</w:t>
      </w:r>
      <w:r w:rsidRPr="006D631C">
        <w:rPr>
          <w:noProof/>
        </w:rPr>
        <w:t xml:space="preserve"> </w:t>
      </w:r>
      <w:r w:rsidRPr="006D631C">
        <w:rPr>
          <w:b/>
          <w:bCs/>
          <w:noProof/>
        </w:rPr>
        <w:t>2002</w:t>
      </w:r>
      <w:r w:rsidRPr="006D631C">
        <w:rPr>
          <w:noProof/>
        </w:rPr>
        <w:t xml:space="preserve">, </w:t>
      </w:r>
      <w:r w:rsidRPr="006D631C">
        <w:rPr>
          <w:i/>
          <w:iCs/>
          <w:noProof/>
        </w:rPr>
        <w:t>124</w:t>
      </w:r>
      <w:r w:rsidRPr="006D631C">
        <w:rPr>
          <w:noProof/>
        </w:rPr>
        <w:t xml:space="preserve"> (45), 13388–13389. https://doi.org/10.1021/ja026085g.</w:t>
      </w:r>
    </w:p>
    <w:p w14:paraId="7015186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(111) </w:t>
      </w:r>
      <w:r w:rsidRPr="006D631C">
        <w:rPr>
          <w:noProof/>
        </w:rPr>
        <w:tab/>
        <w:t xml:space="preserve">O’Brien, D. F.; Armitage, B.; Benedicto, A.; Bennett, D. E.; Lamparski, H. G.; Lee, Y. S.; Srisiri, W.; Sisson, T. M. Polymerization of Preformed Self-Organized Assemblies. </w:t>
      </w:r>
      <w:r w:rsidRPr="006D631C">
        <w:rPr>
          <w:i/>
          <w:iCs/>
          <w:noProof/>
        </w:rPr>
        <w:t>Acc. Chem. Res.</w:t>
      </w:r>
      <w:r w:rsidRPr="006D631C">
        <w:rPr>
          <w:noProof/>
        </w:rPr>
        <w:t xml:space="preserve"> </w:t>
      </w:r>
      <w:r w:rsidRPr="006D631C">
        <w:rPr>
          <w:b/>
          <w:bCs/>
          <w:noProof/>
        </w:rPr>
        <w:t>1998</w:t>
      </w:r>
      <w:r w:rsidRPr="006D631C">
        <w:rPr>
          <w:noProof/>
        </w:rPr>
        <w:t xml:space="preserve">, </w:t>
      </w:r>
      <w:r w:rsidRPr="006D631C">
        <w:rPr>
          <w:i/>
          <w:iCs/>
          <w:noProof/>
        </w:rPr>
        <w:t>31</w:t>
      </w:r>
      <w:r w:rsidRPr="006D631C">
        <w:rPr>
          <w:noProof/>
        </w:rPr>
        <w:t xml:space="preserve"> (12), 861–868. https://doi.org/10.1021/ar970140m.</w:t>
      </w:r>
    </w:p>
    <w:p w14:paraId="7455F42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(112) </w:t>
      </w:r>
      <w:r w:rsidRPr="006D631C">
        <w:rPr>
          <w:noProof/>
        </w:rPr>
        <w:tab/>
        <w:t xml:space="preserve">Dwulet, G. E.; Dischinger, S. M.; McGrath, M. J.; Basalla, A. J.; Malecha, J. J.; Noble, R. D.; Gin, D. L. Breathable, Polydopamine-Coated Nanoporous Membranes That Selectively Reject Nerve and Blister Agent Simulant Vapors. </w:t>
      </w:r>
      <w:r w:rsidRPr="006D631C">
        <w:rPr>
          <w:i/>
          <w:iCs/>
          <w:noProof/>
        </w:rPr>
        <w:t>Ind. Eng. Chem. Res.</w:t>
      </w:r>
      <w:r w:rsidRPr="006D631C">
        <w:rPr>
          <w:noProof/>
        </w:rPr>
        <w:t xml:space="preserve"> </w:t>
      </w:r>
      <w:r w:rsidRPr="006D631C">
        <w:rPr>
          <w:b/>
          <w:bCs/>
          <w:noProof/>
        </w:rPr>
        <w:t>2019</w:t>
      </w:r>
      <w:r w:rsidRPr="006D631C">
        <w:rPr>
          <w:noProof/>
        </w:rPr>
        <w:t xml:space="preserve">, </w:t>
      </w:r>
      <w:r w:rsidRPr="006D631C">
        <w:rPr>
          <w:i/>
          <w:iCs/>
          <w:noProof/>
        </w:rPr>
        <w:t>58</w:t>
      </w:r>
      <w:r w:rsidRPr="006D631C">
        <w:rPr>
          <w:noProof/>
        </w:rPr>
        <w:t xml:space="preserve"> (47), 21890–21893. https://doi.org/10.1021/acs.iecr.9b04738.</w:t>
      </w:r>
    </w:p>
    <w:p w14:paraId="2084094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(113) </w:t>
      </w:r>
      <w:r w:rsidRPr="006D631C">
        <w:rPr>
          <w:noProof/>
        </w:rPr>
        <w:tab/>
        <w:t xml:space="preserve">McGrath, M. J.; Hardy, S. H.; Basalla, A. J.; Dwulet, G. E.; Manubay, B. C.; Malecha, J. J.; Shi, Z.; Funke, H. H.; Gin, D. L.; Noble, R. D. Polymerization of Counteranions in the Cationic Nanopores of a Cross-Linked Lyotropic Liquid Crystal Network to Modify Ion Transport Properties. </w:t>
      </w:r>
      <w:r w:rsidRPr="006D631C">
        <w:rPr>
          <w:i/>
          <w:iCs/>
          <w:noProof/>
        </w:rPr>
        <w:t>ACS Mater. Lett.</w:t>
      </w:r>
      <w:r w:rsidRPr="006D631C">
        <w:rPr>
          <w:noProof/>
        </w:rPr>
        <w:t xml:space="preserve"> </w:t>
      </w:r>
      <w:r w:rsidRPr="006D631C">
        <w:rPr>
          <w:b/>
          <w:bCs/>
          <w:noProof/>
        </w:rPr>
        <w:t>2019</w:t>
      </w:r>
      <w:r w:rsidRPr="006D631C">
        <w:rPr>
          <w:noProof/>
        </w:rPr>
        <w:t xml:space="preserve">, </w:t>
      </w:r>
      <w:r w:rsidRPr="006D631C">
        <w:rPr>
          <w:i/>
          <w:iCs/>
          <w:noProof/>
        </w:rPr>
        <w:t>1</w:t>
      </w:r>
      <w:r w:rsidRPr="006D631C">
        <w:rPr>
          <w:noProof/>
        </w:rPr>
        <w:t xml:space="preserve"> (4), 452–458. https://doi.org/10.1021/acsmaterialslett.9b00244.</w:t>
      </w:r>
    </w:p>
    <w:p w14:paraId="0464E0E8"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(114) </w:t>
      </w:r>
      <w:r w:rsidRPr="006D631C">
        <w:rPr>
          <w:noProof/>
        </w:rPr>
        <w:tab/>
        <w:t xml:space="preserve">Dischinger, S. M.; Rosenblum, J.; Noble, R. D.; Gin, D. L. Evaluation of a Nanoporous Lyotropic Liquid Crystal Polymer Membrane for the Treatment of Hydraulic Fracturing Produced Water via Cross-Flow Filtration. </w:t>
      </w:r>
      <w:r w:rsidRPr="006D631C">
        <w:rPr>
          <w:i/>
          <w:iCs/>
          <w:noProof/>
        </w:rPr>
        <w:t>J. Memb. Sci.</w:t>
      </w:r>
      <w:r w:rsidRPr="006D631C">
        <w:rPr>
          <w:noProof/>
        </w:rPr>
        <w:t xml:space="preserve"> </w:t>
      </w:r>
      <w:r w:rsidRPr="006D631C">
        <w:rPr>
          <w:b/>
          <w:bCs/>
          <w:noProof/>
        </w:rPr>
        <w:t>2019</w:t>
      </w:r>
      <w:r w:rsidRPr="006D631C">
        <w:rPr>
          <w:noProof/>
        </w:rPr>
        <w:t xml:space="preserve">, </w:t>
      </w:r>
      <w:r w:rsidRPr="006D631C">
        <w:rPr>
          <w:i/>
          <w:iCs/>
          <w:noProof/>
        </w:rPr>
        <w:t>592</w:t>
      </w:r>
      <w:r w:rsidRPr="006D631C">
        <w:rPr>
          <w:noProof/>
        </w:rPr>
        <w:t>, 117313. https://doi.org/10.1016/j.memsci.2019.117313.</w:t>
      </w:r>
    </w:p>
    <w:p w14:paraId="2D14DE4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(115) </w:t>
      </w:r>
      <w:r w:rsidRPr="006D631C">
        <w:rPr>
          <w:noProof/>
        </w:rPr>
        <w:tab/>
        <w:t xml:space="preserve">Lu, X.; Nguyen, V.; Zhou, M.; Zeng, X.; Jin, J.; Elliott, B. J.; Gin, D. L. Crosslinked Bicontinuous Cubic Lyotropic Liquid-Crystal/Butyl-Rubber Composites: Highly Selective, Breathable Barrier Materials for Chemical Agent Protection. </w:t>
      </w:r>
      <w:r w:rsidRPr="006D631C">
        <w:rPr>
          <w:i/>
          <w:iCs/>
          <w:noProof/>
        </w:rPr>
        <w:t>Adv. Mater.</w:t>
      </w:r>
      <w:r w:rsidRPr="006D631C">
        <w:rPr>
          <w:noProof/>
        </w:rPr>
        <w:t xml:space="preserve"> </w:t>
      </w:r>
      <w:r w:rsidRPr="006D631C">
        <w:rPr>
          <w:b/>
          <w:bCs/>
          <w:noProof/>
        </w:rPr>
        <w:t>2006</w:t>
      </w:r>
      <w:r w:rsidRPr="006D631C">
        <w:rPr>
          <w:noProof/>
        </w:rPr>
        <w:t xml:space="preserve">, </w:t>
      </w:r>
      <w:r w:rsidRPr="006D631C">
        <w:rPr>
          <w:i/>
          <w:iCs/>
          <w:noProof/>
        </w:rPr>
        <w:t>18</w:t>
      </w:r>
      <w:r w:rsidRPr="006D631C">
        <w:rPr>
          <w:noProof/>
        </w:rPr>
        <w:t xml:space="preserve"> (24), 3294–3298. https://doi.org/10.1002/adma.200601156.</w:t>
      </w:r>
    </w:p>
    <w:p w14:paraId="14A013E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(116) </w:t>
      </w:r>
      <w:r w:rsidRPr="006D631C">
        <w:rPr>
          <w:noProof/>
        </w:rPr>
        <w:tab/>
        <w:t xml:space="preserve">Kerr, R. L.; Miller, S. A.; Shoemaker, R. K.; Elliott, B. J.; Gin, D. L. New Type of Li Ion Conductor with 3D Interconnected Nanopores via Polymerization of a Liquid Organic Electrolyte-Filled Lyotropic Liquid-Crystal Assembly. </w:t>
      </w:r>
      <w:r w:rsidRPr="006D631C">
        <w:rPr>
          <w:i/>
          <w:iCs/>
          <w:noProof/>
        </w:rPr>
        <w:t>J. Am. Chem. Soc.</w:t>
      </w:r>
      <w:r w:rsidRPr="006D631C">
        <w:rPr>
          <w:noProof/>
        </w:rPr>
        <w:t xml:space="preserve"> </w:t>
      </w:r>
      <w:r w:rsidRPr="006D631C">
        <w:rPr>
          <w:b/>
          <w:bCs/>
          <w:noProof/>
        </w:rPr>
        <w:t>2009</w:t>
      </w:r>
      <w:r w:rsidRPr="006D631C">
        <w:rPr>
          <w:noProof/>
        </w:rPr>
        <w:t xml:space="preserve">, </w:t>
      </w:r>
      <w:r w:rsidRPr="006D631C">
        <w:rPr>
          <w:i/>
          <w:iCs/>
          <w:noProof/>
        </w:rPr>
        <w:t>131</w:t>
      </w:r>
      <w:r w:rsidRPr="006D631C">
        <w:rPr>
          <w:noProof/>
        </w:rPr>
        <w:t xml:space="preserve"> (44), 15972–15973. https://doi.org/10.1021/ja905208f.</w:t>
      </w:r>
    </w:p>
    <w:p w14:paraId="5C282AA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(117) </w:t>
      </w:r>
      <w:r w:rsidRPr="006D631C">
        <w:rPr>
          <w:noProof/>
        </w:rPr>
        <w:tab/>
        <w:t xml:space="preserve">Liang, X.; Lu, X.; Yu, M.; Cavanagh, A. S.; Gin, D. L.; Weimer, A. W. Modification of Nanoporous Supported Lyotropic Liquid Crystal Polymer Membranes by Atomic Layer Deposition. </w:t>
      </w:r>
      <w:r w:rsidRPr="006D631C">
        <w:rPr>
          <w:i/>
          <w:iCs/>
          <w:noProof/>
        </w:rPr>
        <w:t>J. Memb. Sci.</w:t>
      </w:r>
      <w:r w:rsidRPr="006D631C">
        <w:rPr>
          <w:noProof/>
        </w:rPr>
        <w:t xml:space="preserve"> </w:t>
      </w:r>
      <w:r w:rsidRPr="006D631C">
        <w:rPr>
          <w:b/>
          <w:bCs/>
          <w:noProof/>
        </w:rPr>
        <w:t>2010</w:t>
      </w:r>
      <w:r w:rsidRPr="006D631C">
        <w:rPr>
          <w:noProof/>
        </w:rPr>
        <w:t xml:space="preserve">, </w:t>
      </w:r>
      <w:r w:rsidRPr="006D631C">
        <w:rPr>
          <w:i/>
          <w:iCs/>
          <w:noProof/>
        </w:rPr>
        <w:t>349</w:t>
      </w:r>
      <w:r w:rsidRPr="006D631C">
        <w:rPr>
          <w:noProof/>
        </w:rPr>
        <w:t xml:space="preserve"> (1–2), 1–5. https://doi.org/10.1016/j.memsci.2009.11.067.</w:t>
      </w:r>
    </w:p>
    <w:p w14:paraId="0BFA440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(118) </w:t>
      </w:r>
      <w:r w:rsidRPr="006D631C">
        <w:rPr>
          <w:noProof/>
        </w:rPr>
        <w:tab/>
        <w:t xml:space="preserve">Hatakeyama, E. S.; Wiesenauer, B. R.; Gabriel, C. J.; Noble, R. D.; Gin, D. L. Nanoporous, Bicontinuous Cubic Lyotropic Liquid Crystal Networks via Polymerizable Gemini Ammonium Surfactants. </w:t>
      </w:r>
      <w:r w:rsidRPr="006D631C">
        <w:rPr>
          <w:i/>
          <w:iCs/>
          <w:noProof/>
        </w:rPr>
        <w:t>Chem. Mater.</w:t>
      </w:r>
      <w:r w:rsidRPr="006D631C">
        <w:rPr>
          <w:noProof/>
        </w:rPr>
        <w:t xml:space="preserve"> </w:t>
      </w:r>
      <w:r w:rsidRPr="006D631C">
        <w:rPr>
          <w:b/>
          <w:bCs/>
          <w:noProof/>
        </w:rPr>
        <w:t>2010</w:t>
      </w:r>
      <w:r w:rsidRPr="006D631C">
        <w:rPr>
          <w:noProof/>
        </w:rPr>
        <w:t xml:space="preserve">, </w:t>
      </w:r>
      <w:r w:rsidRPr="006D631C">
        <w:rPr>
          <w:i/>
          <w:iCs/>
          <w:noProof/>
        </w:rPr>
        <w:t>22</w:t>
      </w:r>
      <w:r w:rsidRPr="006D631C">
        <w:rPr>
          <w:noProof/>
        </w:rPr>
        <w:t xml:space="preserve"> (16), 4525–4527. https://doi.org/10.1021/cm1013027.</w:t>
      </w:r>
    </w:p>
    <w:p w14:paraId="1B10B33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(119) </w:t>
      </w:r>
      <w:r w:rsidRPr="006D631C">
        <w:rPr>
          <w:noProof/>
        </w:rPr>
        <w:tab/>
        <w:t xml:space="preserve">Hatakeyama, E. S.; Gabriel, C. J.; Wiesenauer, B. R.; Lohr, J. L.; Zhou, M.; Noble, R. D.; Gin, D. L. Water Filtration Performance of a Lyotropic Liquid Crystal Polymer Membrane with Uniform, Sub-1-Nm Pores. </w:t>
      </w:r>
      <w:r w:rsidRPr="006D631C">
        <w:rPr>
          <w:i/>
          <w:iCs/>
          <w:noProof/>
        </w:rPr>
        <w:t>J. Memb. Sci.</w:t>
      </w:r>
      <w:r w:rsidRPr="006D631C">
        <w:rPr>
          <w:noProof/>
        </w:rPr>
        <w:t xml:space="preserve"> </w:t>
      </w:r>
      <w:r w:rsidRPr="006D631C">
        <w:rPr>
          <w:b/>
          <w:bCs/>
          <w:noProof/>
        </w:rPr>
        <w:t>2011</w:t>
      </w:r>
      <w:r w:rsidRPr="006D631C">
        <w:rPr>
          <w:noProof/>
        </w:rPr>
        <w:t xml:space="preserve">, </w:t>
      </w:r>
      <w:r w:rsidRPr="006D631C">
        <w:rPr>
          <w:i/>
          <w:iCs/>
          <w:noProof/>
        </w:rPr>
        <w:t>366</w:t>
      </w:r>
      <w:r w:rsidRPr="006D631C">
        <w:rPr>
          <w:noProof/>
        </w:rPr>
        <w:t xml:space="preserve"> (1–2), 62–72. </w:t>
      </w:r>
      <w:r w:rsidRPr="006D631C">
        <w:rPr>
          <w:noProof/>
        </w:rPr>
        <w:lastRenderedPageBreak/>
        <w:t>https://doi.org/10.1016/j.memsci.2010.09.028.</w:t>
      </w:r>
    </w:p>
    <w:p w14:paraId="6AB6E87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(120) </w:t>
      </w:r>
      <w:r w:rsidRPr="006D631C">
        <w:rPr>
          <w:noProof/>
        </w:rPr>
        <w:tab/>
        <w:t xml:space="preserve">Carter, B. M.; Wiesenauer, B. R.; Hatakeyama, E. S.; Barton, J. L.; Noble, R. D.; Gin, D. L. Glycerol-Based Bicontinuous Cubic Lyotropic Liquid Crystal Monomer System for the Fabrication of Thin-Film Membranes with Uniform Nanopores. </w:t>
      </w:r>
      <w:r w:rsidRPr="006D631C">
        <w:rPr>
          <w:i/>
          <w:iCs/>
          <w:noProof/>
        </w:rPr>
        <w:t>Chem. Mater.</w:t>
      </w:r>
      <w:r w:rsidRPr="006D631C">
        <w:rPr>
          <w:noProof/>
        </w:rPr>
        <w:t xml:space="preserve"> </w:t>
      </w:r>
      <w:r w:rsidRPr="006D631C">
        <w:rPr>
          <w:b/>
          <w:bCs/>
          <w:noProof/>
        </w:rPr>
        <w:t>2012</w:t>
      </w:r>
      <w:r w:rsidRPr="006D631C">
        <w:rPr>
          <w:noProof/>
        </w:rPr>
        <w:t xml:space="preserve">, </w:t>
      </w:r>
      <w:r w:rsidRPr="006D631C">
        <w:rPr>
          <w:i/>
          <w:iCs/>
          <w:noProof/>
        </w:rPr>
        <w:t>24</w:t>
      </w:r>
      <w:r w:rsidRPr="006D631C">
        <w:rPr>
          <w:noProof/>
        </w:rPr>
        <w:t xml:space="preserve"> (21), 4005–4007. https://doi.org/10.1021/cm302027s.</w:t>
      </w:r>
    </w:p>
    <w:p w14:paraId="060107A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(121) </w:t>
      </w:r>
      <w:r w:rsidRPr="006D631C">
        <w:rPr>
          <w:noProof/>
        </w:rPr>
        <w:tab/>
        <w:t xml:space="preserve">Carter, B. M.; Wiesenauer, B. R.; Noble, R. D.; Gin, D. L. Thin-Film Composite Bicontinuous Cubic Lyotropic Liquid Crystal Polymer Membranes: Effects of Anion-Exchange on Water Filtration Performance. </w:t>
      </w:r>
      <w:r w:rsidRPr="006D631C">
        <w:rPr>
          <w:i/>
          <w:iCs/>
          <w:noProof/>
        </w:rPr>
        <w:t>J. Memb. Sci.</w:t>
      </w:r>
      <w:r w:rsidRPr="006D631C">
        <w:rPr>
          <w:noProof/>
        </w:rPr>
        <w:t xml:space="preserve"> </w:t>
      </w:r>
      <w:r w:rsidRPr="006D631C">
        <w:rPr>
          <w:b/>
          <w:bCs/>
          <w:noProof/>
        </w:rPr>
        <w:t>2014</w:t>
      </w:r>
      <w:r w:rsidRPr="006D631C">
        <w:rPr>
          <w:noProof/>
        </w:rPr>
        <w:t xml:space="preserve">, </w:t>
      </w:r>
      <w:r w:rsidRPr="006D631C">
        <w:rPr>
          <w:i/>
          <w:iCs/>
          <w:noProof/>
        </w:rPr>
        <w:t>455</w:t>
      </w:r>
      <w:r w:rsidRPr="006D631C">
        <w:rPr>
          <w:noProof/>
        </w:rPr>
        <w:t>, 143–151. https://doi.org/10.1016/j.memsci.2013.12.056.</w:t>
      </w:r>
    </w:p>
    <w:p w14:paraId="708E82A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(122) </w:t>
      </w:r>
      <w:r w:rsidRPr="006D631C">
        <w:rPr>
          <w:noProof/>
        </w:rPr>
        <w:tab/>
        <w:t xml:space="preserve">Lester, C. L.; Guymon, C. A. Phase Behavior and Polymerization Kinetics of a Semifluorinated Lyotropic Liquid Crystal. </w:t>
      </w:r>
      <w:r w:rsidRPr="006D631C">
        <w:rPr>
          <w:i/>
          <w:iCs/>
          <w:noProof/>
        </w:rPr>
        <w:t>Macromolecules</w:t>
      </w:r>
      <w:r w:rsidRPr="006D631C">
        <w:rPr>
          <w:noProof/>
        </w:rPr>
        <w:t xml:space="preserve"> </w:t>
      </w:r>
      <w:r w:rsidRPr="006D631C">
        <w:rPr>
          <w:b/>
          <w:bCs/>
          <w:noProof/>
        </w:rPr>
        <w:t>2000</w:t>
      </w:r>
      <w:r w:rsidRPr="006D631C">
        <w:rPr>
          <w:noProof/>
        </w:rPr>
        <w:t xml:space="preserve">, </w:t>
      </w:r>
      <w:r w:rsidRPr="006D631C">
        <w:rPr>
          <w:i/>
          <w:iCs/>
          <w:noProof/>
        </w:rPr>
        <w:t>33</w:t>
      </w:r>
      <w:r w:rsidRPr="006D631C">
        <w:rPr>
          <w:noProof/>
        </w:rPr>
        <w:t xml:space="preserve"> (15), 5448–5454. https://doi.org/10.1021/ma000197f.</w:t>
      </w:r>
    </w:p>
    <w:p w14:paraId="26363DD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(123) </w:t>
      </w:r>
      <w:r w:rsidRPr="006D631C">
        <w:rPr>
          <w:noProof/>
        </w:rPr>
        <w:tab/>
        <w:t xml:space="preserve">Zhang, Y.; Dong, R.; Gabinet, U. R.; Poling-Skutvik, R.; Kim, N. K.; Lee, C.; Imran, O. Q.; Feng, X.; Osuji, C. O. Rapid Fabrication by Lyotropic Self-Assembly of Thin Nanofiltration Membranes with Uniform 1 Nanometer Pores. </w:t>
      </w:r>
      <w:r w:rsidRPr="006D631C">
        <w:rPr>
          <w:i/>
          <w:iCs/>
          <w:noProof/>
        </w:rPr>
        <w:t>ACS Nano</w:t>
      </w:r>
      <w:r w:rsidRPr="006D631C">
        <w:rPr>
          <w:noProof/>
        </w:rPr>
        <w:t xml:space="preserve"> </w:t>
      </w:r>
      <w:r w:rsidRPr="006D631C">
        <w:rPr>
          <w:b/>
          <w:bCs/>
          <w:noProof/>
        </w:rPr>
        <w:t>2021</w:t>
      </w:r>
      <w:r w:rsidRPr="006D631C">
        <w:rPr>
          <w:noProof/>
        </w:rPr>
        <w:t>, acsnano.1c00722. https://doi.org/10.1021/acsnano.1c00722.</w:t>
      </w:r>
    </w:p>
    <w:p w14:paraId="09EF5BE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(124) </w:t>
      </w:r>
      <w:r w:rsidRPr="006D631C">
        <w:rPr>
          <w:noProof/>
        </w:rPr>
        <w:tab/>
        <w:t xml:space="preserve">McGrath, K. M.; Drummond, C. J. Polymerisation of Liquid Crystalline Phases in Binary Surfactant/Water Systems. Part 4. Dodecyldimethylammoniumethylmethacrylate Bromide. </w:t>
      </w:r>
      <w:r w:rsidRPr="006D631C">
        <w:rPr>
          <w:i/>
          <w:iCs/>
          <w:noProof/>
        </w:rPr>
        <w:t>Colloid Polym. Sci.</w:t>
      </w:r>
      <w:r w:rsidRPr="006D631C">
        <w:rPr>
          <w:noProof/>
        </w:rPr>
        <w:t xml:space="preserve"> </w:t>
      </w:r>
      <w:r w:rsidRPr="006D631C">
        <w:rPr>
          <w:b/>
          <w:bCs/>
          <w:noProof/>
        </w:rPr>
        <w:t>1996</w:t>
      </w:r>
      <w:r w:rsidRPr="006D631C">
        <w:rPr>
          <w:noProof/>
        </w:rPr>
        <w:t xml:space="preserve">, </w:t>
      </w:r>
      <w:r w:rsidRPr="006D631C">
        <w:rPr>
          <w:i/>
          <w:iCs/>
          <w:noProof/>
        </w:rPr>
        <w:t>274</w:t>
      </w:r>
      <w:r w:rsidRPr="006D631C">
        <w:rPr>
          <w:noProof/>
        </w:rPr>
        <w:t xml:space="preserve"> (7), 612–621. https://doi.org/10.1007/BF00653057.</w:t>
      </w:r>
    </w:p>
    <w:p w14:paraId="3EA5EEA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(125) </w:t>
      </w:r>
      <w:r w:rsidRPr="006D631C">
        <w:rPr>
          <w:noProof/>
        </w:rPr>
        <w:tab/>
        <w:t xml:space="preserve">Zhang, Y.; Kim, D.; Dong, R.; Feng, X.; Osuji, C. O. Tunable Organic Solvent Nanofiltration in Self-Assembled Membranes at the Sub–1 Nm Scale. </w:t>
      </w:r>
      <w:r w:rsidRPr="006D631C">
        <w:rPr>
          <w:i/>
          <w:iCs/>
          <w:noProof/>
        </w:rPr>
        <w:t>Sci. Adv.</w:t>
      </w:r>
      <w:r w:rsidRPr="006D631C">
        <w:rPr>
          <w:noProof/>
        </w:rPr>
        <w:t xml:space="preserve"> </w:t>
      </w:r>
      <w:r w:rsidRPr="006D631C">
        <w:rPr>
          <w:b/>
          <w:bCs/>
          <w:noProof/>
        </w:rPr>
        <w:t>2022</w:t>
      </w:r>
      <w:r w:rsidRPr="006D631C">
        <w:rPr>
          <w:noProof/>
        </w:rPr>
        <w:t xml:space="preserve">, </w:t>
      </w:r>
      <w:r w:rsidRPr="006D631C">
        <w:rPr>
          <w:i/>
          <w:iCs/>
          <w:noProof/>
        </w:rPr>
        <w:t>8</w:t>
      </w:r>
      <w:r w:rsidRPr="006D631C">
        <w:rPr>
          <w:noProof/>
        </w:rPr>
        <w:t xml:space="preserve"> (11). https://doi.org/10.1126/sciadv.abm5899.</w:t>
      </w:r>
    </w:p>
    <w:p w14:paraId="7EC27EC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(126) </w:t>
      </w:r>
      <w:r w:rsidRPr="006D631C">
        <w:rPr>
          <w:noProof/>
        </w:rPr>
        <w:tab/>
        <w:t xml:space="preserve">Li, P.; Johnson, C.; Dyer, S. S.; Osuji, C. O.; Gin, D. L. A PH‐ and Light‐Responsive </w:t>
      </w:r>
      <w:r w:rsidRPr="006D631C">
        <w:rPr>
          <w:noProof/>
        </w:rPr>
        <w:lastRenderedPageBreak/>
        <w:t xml:space="preserve">Nanoporous Lyotropic Gyroid Polymer Network. </w:t>
      </w:r>
      <w:r w:rsidRPr="006D631C">
        <w:rPr>
          <w:i/>
          <w:iCs/>
          <w:noProof/>
        </w:rPr>
        <w:t>Adv. Mater. Interfaces</w:t>
      </w:r>
      <w:r w:rsidRPr="006D631C">
        <w:rPr>
          <w:noProof/>
        </w:rPr>
        <w:t xml:space="preserve"> </w:t>
      </w:r>
      <w:r w:rsidRPr="006D631C">
        <w:rPr>
          <w:b/>
          <w:bCs/>
          <w:noProof/>
        </w:rPr>
        <w:t>2022</w:t>
      </w:r>
      <w:r w:rsidRPr="006D631C">
        <w:rPr>
          <w:noProof/>
        </w:rPr>
        <w:t>, 2201761. https://doi.org/10.1002/admi.202201761.</w:t>
      </w:r>
    </w:p>
    <w:p w14:paraId="06864B8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(127) </w:t>
      </w:r>
      <w:r w:rsidRPr="006D631C">
        <w:rPr>
          <w:noProof/>
        </w:rPr>
        <w:tab/>
        <w:t xml:space="preserve">Imran, O. Q.; Li, P.; Kim, N. K.; Gin, D. L.; Osuji, C. O. Stable Cross-Linked Lyotropic Gyroid Mesophases from Single-Head/Single-Tail Cross-Linkable Monomers. </w:t>
      </w:r>
      <w:r w:rsidRPr="006D631C">
        <w:rPr>
          <w:i/>
          <w:iCs/>
          <w:noProof/>
        </w:rPr>
        <w:t>Chem. Commun.</w:t>
      </w:r>
      <w:r w:rsidRPr="006D631C">
        <w:rPr>
          <w:noProof/>
        </w:rPr>
        <w:t xml:space="preserve"> </w:t>
      </w:r>
      <w:r w:rsidRPr="006D631C">
        <w:rPr>
          <w:b/>
          <w:bCs/>
          <w:noProof/>
        </w:rPr>
        <w:t>2021</w:t>
      </w:r>
      <w:r w:rsidRPr="006D631C">
        <w:rPr>
          <w:noProof/>
        </w:rPr>
        <w:t xml:space="preserve">, </w:t>
      </w:r>
      <w:r w:rsidRPr="006D631C">
        <w:rPr>
          <w:i/>
          <w:iCs/>
          <w:noProof/>
        </w:rPr>
        <w:t>57</w:t>
      </w:r>
      <w:r w:rsidRPr="006D631C">
        <w:rPr>
          <w:noProof/>
        </w:rPr>
        <w:t xml:space="preserve"> (83), 10931–10934. https://doi.org/10.1039/D1CC04211D.</w:t>
      </w:r>
    </w:p>
    <w:p w14:paraId="690CF6A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(128) </w:t>
      </w:r>
      <w:r w:rsidRPr="006D631C">
        <w:rPr>
          <w:noProof/>
        </w:rPr>
        <w:tab/>
        <w:t xml:space="preserve">Li, M. H.; Yang, W. L.; Qian, J.; Wang, C. C.; Fu, S. K. Polymerization of Lyotropic Phases: 1. Isotropic Fluid Phase of Two New Polymerizable Amphiphiles. </w:t>
      </w:r>
      <w:r w:rsidRPr="006D631C">
        <w:rPr>
          <w:i/>
          <w:iCs/>
          <w:noProof/>
        </w:rPr>
        <w:t>Des. Monomers Polym.</w:t>
      </w:r>
      <w:r w:rsidRPr="006D631C">
        <w:rPr>
          <w:noProof/>
        </w:rPr>
        <w:t xml:space="preserve"> </w:t>
      </w:r>
      <w:r w:rsidRPr="006D631C">
        <w:rPr>
          <w:b/>
          <w:bCs/>
          <w:noProof/>
        </w:rPr>
        <w:t>2004</w:t>
      </w:r>
      <w:r w:rsidRPr="006D631C">
        <w:rPr>
          <w:noProof/>
        </w:rPr>
        <w:t xml:space="preserve">, </w:t>
      </w:r>
      <w:r w:rsidRPr="006D631C">
        <w:rPr>
          <w:i/>
          <w:iCs/>
          <w:noProof/>
        </w:rPr>
        <w:t>7</w:t>
      </w:r>
      <w:r w:rsidRPr="006D631C">
        <w:rPr>
          <w:noProof/>
        </w:rPr>
        <w:t xml:space="preserve"> (6), 505–519. https://doi.org/10.1163/1568555042474077.</w:t>
      </w:r>
    </w:p>
    <w:p w14:paraId="315E3DE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(129) </w:t>
      </w:r>
      <w:r w:rsidRPr="006D631C">
        <w:rPr>
          <w:noProof/>
        </w:rPr>
        <w:tab/>
        <w:t xml:space="preserve">Feng, X.; Tousley, M. E.; Cowan, M. G.; Wiesenauer, B. R.; Nejati, S.; Choo, Y.; Noble, R. D.; Elimelech, M.; Gin, D. L.; Osuji, C. O. Scalable Fabrication of Polymer Membranes with Vertically Aligned 1 Nm Pores by Magnetic Field Directed Self-Assembly. </w:t>
      </w:r>
      <w:r w:rsidRPr="006D631C">
        <w:rPr>
          <w:i/>
          <w:iCs/>
          <w:noProof/>
        </w:rPr>
        <w:t>ACS Nano</w:t>
      </w:r>
      <w:r w:rsidRPr="006D631C">
        <w:rPr>
          <w:noProof/>
        </w:rPr>
        <w:t xml:space="preserve"> </w:t>
      </w:r>
      <w:r w:rsidRPr="006D631C">
        <w:rPr>
          <w:b/>
          <w:bCs/>
          <w:noProof/>
        </w:rPr>
        <w:t>2014</w:t>
      </w:r>
      <w:r w:rsidRPr="006D631C">
        <w:rPr>
          <w:noProof/>
        </w:rPr>
        <w:t xml:space="preserve">, </w:t>
      </w:r>
      <w:r w:rsidRPr="006D631C">
        <w:rPr>
          <w:i/>
          <w:iCs/>
          <w:noProof/>
        </w:rPr>
        <w:t>8</w:t>
      </w:r>
      <w:r w:rsidRPr="006D631C">
        <w:rPr>
          <w:noProof/>
        </w:rPr>
        <w:t xml:space="preserve"> (12), 11977–11986. https://doi.org/10.1021/nn505037b.</w:t>
      </w:r>
    </w:p>
    <w:p w14:paraId="0778ADD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(130) </w:t>
      </w:r>
      <w:r w:rsidRPr="006D631C">
        <w:rPr>
          <w:noProof/>
        </w:rPr>
        <w:tab/>
        <w:t xml:space="preserve">Bodkin, L. N.; Li, P.; Dyer, S. S.; Krajnak, Z. A.; Malecha, J. J.; Noble, R. D.; Gin, D. L. Improved Mechanical Compliance in Bicontinuous Cubic Lyotropic Membranes Based on a Cross-Linking Gemini Monomer via Copolymerization with a Non-Cross-Linkable Analog. </w:t>
      </w:r>
      <w:r w:rsidRPr="006D631C">
        <w:rPr>
          <w:i/>
          <w:iCs/>
          <w:noProof/>
        </w:rPr>
        <w:t>ACS Appl. Polym. Mater.</w:t>
      </w:r>
      <w:r w:rsidRPr="006D631C">
        <w:rPr>
          <w:noProof/>
        </w:rPr>
        <w:t xml:space="preserve"> </w:t>
      </w:r>
      <w:r w:rsidRPr="006D631C">
        <w:rPr>
          <w:b/>
          <w:bCs/>
          <w:noProof/>
        </w:rPr>
        <w:t>2022</w:t>
      </w:r>
      <w:r w:rsidRPr="006D631C">
        <w:rPr>
          <w:noProof/>
        </w:rPr>
        <w:t xml:space="preserve">, </w:t>
      </w:r>
      <w:r w:rsidRPr="006D631C">
        <w:rPr>
          <w:i/>
          <w:iCs/>
          <w:noProof/>
        </w:rPr>
        <w:t>4</w:t>
      </w:r>
      <w:r w:rsidRPr="006D631C">
        <w:rPr>
          <w:noProof/>
        </w:rPr>
        <w:t xml:space="preserve"> (11), 8026–8031. https://doi.org/10.1021/acsapm.2c01478.</w:t>
      </w:r>
    </w:p>
    <w:p w14:paraId="3BB1E76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(131) </w:t>
      </w:r>
      <w:r w:rsidRPr="006D631C">
        <w:rPr>
          <w:noProof/>
        </w:rPr>
        <w:tab/>
        <w:t xml:space="preserve">Burns, C. T.; Lee, S.; Seifert, S.; Firestone, M. A. Thiophene-Based Ionic Liquids: Synthesis, Physical Properties, Self-Assembly, and Oxidative Polymerization. </w:t>
      </w:r>
      <w:r w:rsidRPr="006D631C">
        <w:rPr>
          <w:i/>
          <w:iCs/>
          <w:noProof/>
        </w:rPr>
        <w:t>Polym. Adv. Technol.</w:t>
      </w:r>
      <w:r w:rsidRPr="006D631C">
        <w:rPr>
          <w:noProof/>
        </w:rPr>
        <w:t xml:space="preserve"> </w:t>
      </w:r>
      <w:r w:rsidRPr="006D631C">
        <w:rPr>
          <w:b/>
          <w:bCs/>
          <w:noProof/>
        </w:rPr>
        <w:t>2008</w:t>
      </w:r>
      <w:r w:rsidRPr="006D631C">
        <w:rPr>
          <w:noProof/>
        </w:rPr>
        <w:t xml:space="preserve">, </w:t>
      </w:r>
      <w:r w:rsidRPr="006D631C">
        <w:rPr>
          <w:i/>
          <w:iCs/>
          <w:noProof/>
        </w:rPr>
        <w:t>19</w:t>
      </w:r>
      <w:r w:rsidRPr="006D631C">
        <w:rPr>
          <w:noProof/>
        </w:rPr>
        <w:t xml:space="preserve"> (10), 1369–1382. https://doi.org/10.1002/pat.1200.</w:t>
      </w:r>
    </w:p>
    <w:p w14:paraId="3307FDA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(132) </w:t>
      </w:r>
      <w:r w:rsidRPr="006D631C">
        <w:rPr>
          <w:noProof/>
        </w:rPr>
        <w:tab/>
        <w:t xml:space="preserve">Welch, P. M.; Dreier, T. A.; Magurudeniya, H. D.; Frith, M. G.; Ilavsky, J.; Seifert, S.; Rahman, A. K.; Rahman, A.; Singh, A. J.; Ringstrand, B. S.; Hanson, C. J.; Hollingsworth, J. A.; Firestone, M. A. 3D Volumetric Structural Hierarchy Induced by Colloidal </w:t>
      </w:r>
      <w:r w:rsidRPr="006D631C">
        <w:rPr>
          <w:noProof/>
        </w:rPr>
        <w:lastRenderedPageBreak/>
        <w:t xml:space="preserve">Polymerization of a Quantum-Dot Ionic Liquid Monomer Conjugate. </w:t>
      </w:r>
      <w:r w:rsidRPr="006D631C">
        <w:rPr>
          <w:i/>
          <w:iCs/>
          <w:noProof/>
        </w:rPr>
        <w:t>Macromolecules</w:t>
      </w:r>
      <w:r w:rsidRPr="006D631C">
        <w:rPr>
          <w:noProof/>
        </w:rPr>
        <w:t xml:space="preserve"> </w:t>
      </w:r>
      <w:r w:rsidRPr="006D631C">
        <w:rPr>
          <w:b/>
          <w:bCs/>
          <w:noProof/>
        </w:rPr>
        <w:t>2020</w:t>
      </w:r>
      <w:r w:rsidRPr="006D631C">
        <w:rPr>
          <w:noProof/>
        </w:rPr>
        <w:t xml:space="preserve">, </w:t>
      </w:r>
      <w:r w:rsidRPr="006D631C">
        <w:rPr>
          <w:i/>
          <w:iCs/>
          <w:noProof/>
        </w:rPr>
        <w:t>53</w:t>
      </w:r>
      <w:r w:rsidRPr="006D631C">
        <w:rPr>
          <w:noProof/>
        </w:rPr>
        <w:t xml:space="preserve"> (8), 2822–2833. https://doi.org/10.1021/acs.macromol.0c00011.</w:t>
      </w:r>
    </w:p>
    <w:p w14:paraId="549B3E0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(133) </w:t>
      </w:r>
      <w:r w:rsidRPr="006D631C">
        <w:rPr>
          <w:noProof/>
        </w:rPr>
        <w:tab/>
        <w:t xml:space="preserve">Pecinovsky, C. S.; Hatakeyama, E. S.; Gin, D. L. Polymerizable Photochromic Macrocyclic Metallomesogens: Design of Supramolecular Polymers with Responsive Nanopores. </w:t>
      </w:r>
      <w:r w:rsidRPr="006D631C">
        <w:rPr>
          <w:i/>
          <w:iCs/>
          <w:noProof/>
        </w:rPr>
        <w:t>Adv. Mater.</w:t>
      </w:r>
      <w:r w:rsidRPr="006D631C">
        <w:rPr>
          <w:noProof/>
        </w:rPr>
        <w:t xml:space="preserve"> </w:t>
      </w:r>
      <w:r w:rsidRPr="006D631C">
        <w:rPr>
          <w:b/>
          <w:bCs/>
          <w:noProof/>
        </w:rPr>
        <w:t>2008</w:t>
      </w:r>
      <w:r w:rsidRPr="006D631C">
        <w:rPr>
          <w:noProof/>
        </w:rPr>
        <w:t xml:space="preserve">, </w:t>
      </w:r>
      <w:r w:rsidRPr="006D631C">
        <w:rPr>
          <w:i/>
          <w:iCs/>
          <w:noProof/>
        </w:rPr>
        <w:t>20</w:t>
      </w:r>
      <w:r w:rsidRPr="006D631C">
        <w:rPr>
          <w:noProof/>
        </w:rPr>
        <w:t xml:space="preserve"> (1), 174–178. https://doi.org/10.1002/adma.200702210.</w:t>
      </w:r>
    </w:p>
    <w:p w14:paraId="62A728C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(134) </w:t>
      </w:r>
      <w:r w:rsidRPr="006D631C">
        <w:rPr>
          <w:noProof/>
        </w:rPr>
        <w:tab/>
        <w:t xml:space="preserve">Zhou, W.; Gu, W.; Xu, Y.; Pecinovsky, C. S.; Gin, D. L. Assembly of Acidic Amphiphiles into Inverted Hexagonal Phases Using an L-Alanine-Based Surfactant as a Structure-Directing Agent. </w:t>
      </w:r>
      <w:r w:rsidRPr="006D631C">
        <w:rPr>
          <w:i/>
          <w:iCs/>
          <w:noProof/>
        </w:rPr>
        <w:t>Langmuir</w:t>
      </w:r>
      <w:r w:rsidRPr="006D631C">
        <w:rPr>
          <w:noProof/>
        </w:rPr>
        <w:t xml:space="preserve"> </w:t>
      </w:r>
      <w:r w:rsidRPr="006D631C">
        <w:rPr>
          <w:b/>
          <w:bCs/>
          <w:noProof/>
        </w:rPr>
        <w:t>2003</w:t>
      </w:r>
      <w:r w:rsidRPr="006D631C">
        <w:rPr>
          <w:noProof/>
        </w:rPr>
        <w:t xml:space="preserve">, </w:t>
      </w:r>
      <w:r w:rsidRPr="006D631C">
        <w:rPr>
          <w:i/>
          <w:iCs/>
          <w:noProof/>
        </w:rPr>
        <w:t>19</w:t>
      </w:r>
      <w:r w:rsidRPr="006D631C">
        <w:rPr>
          <w:noProof/>
        </w:rPr>
        <w:t xml:space="preserve"> (16), 6346–6348. https://doi.org/10.1021/la0341759.</w:t>
      </w:r>
    </w:p>
    <w:p w14:paraId="41D4F1E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(135) </w:t>
      </w:r>
      <w:r w:rsidRPr="006D631C">
        <w:rPr>
          <w:noProof/>
        </w:rPr>
        <w:tab/>
        <w:t xml:space="preserve">Pecinovsky, C. S.; Nicodemus, G. D.; Gin, D. L. Nanostructured, Solid-State Organic, Chiral Diels - Alder Catalysts via Acid-Induced Liquid Crystal Assembly. </w:t>
      </w:r>
      <w:r w:rsidRPr="006D631C">
        <w:rPr>
          <w:i/>
          <w:iCs/>
          <w:noProof/>
        </w:rPr>
        <w:t>Chem. Mater.</w:t>
      </w:r>
      <w:r w:rsidRPr="006D631C">
        <w:rPr>
          <w:noProof/>
        </w:rPr>
        <w:t xml:space="preserve"> </w:t>
      </w:r>
      <w:r w:rsidRPr="006D631C">
        <w:rPr>
          <w:b/>
          <w:bCs/>
          <w:noProof/>
        </w:rPr>
        <w:t>2005</w:t>
      </w:r>
      <w:r w:rsidRPr="006D631C">
        <w:rPr>
          <w:noProof/>
        </w:rPr>
        <w:t xml:space="preserve">, </w:t>
      </w:r>
      <w:r w:rsidRPr="006D631C">
        <w:rPr>
          <w:i/>
          <w:iCs/>
          <w:noProof/>
        </w:rPr>
        <w:t>17</w:t>
      </w:r>
      <w:r w:rsidRPr="006D631C">
        <w:rPr>
          <w:noProof/>
        </w:rPr>
        <w:t xml:space="preserve"> (20), 4889–4891. https://doi.org/10.1021/cm0514995.</w:t>
      </w:r>
    </w:p>
    <w:p w14:paraId="2151E67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(136) </w:t>
      </w:r>
      <w:r w:rsidRPr="006D631C">
        <w:rPr>
          <w:noProof/>
        </w:rPr>
        <w:tab/>
        <w:t xml:space="preserve">Antonietti, M.; Caruso, R. A.; Göltner, C. G.; Weissenberger, M. C. Morphology Variation of Porous Polymer Gels by Polymerization in Lyotropic Surfactant Phases. </w:t>
      </w:r>
      <w:r w:rsidRPr="006D631C">
        <w:rPr>
          <w:i/>
          <w:iCs/>
          <w:noProof/>
        </w:rPr>
        <w:t>Macromolecules</w:t>
      </w:r>
      <w:r w:rsidRPr="006D631C">
        <w:rPr>
          <w:noProof/>
        </w:rPr>
        <w:t xml:space="preserve"> </w:t>
      </w:r>
      <w:r w:rsidRPr="006D631C">
        <w:rPr>
          <w:b/>
          <w:bCs/>
          <w:noProof/>
        </w:rPr>
        <w:t>1999</w:t>
      </w:r>
      <w:r w:rsidRPr="006D631C">
        <w:rPr>
          <w:noProof/>
        </w:rPr>
        <w:t xml:space="preserve">, </w:t>
      </w:r>
      <w:r w:rsidRPr="006D631C">
        <w:rPr>
          <w:i/>
          <w:iCs/>
          <w:noProof/>
        </w:rPr>
        <w:t>32</w:t>
      </w:r>
      <w:r w:rsidRPr="006D631C">
        <w:rPr>
          <w:noProof/>
        </w:rPr>
        <w:t xml:space="preserve"> (5), 1383–1389. https://doi.org/10.1021/ma9812478.</w:t>
      </w:r>
    </w:p>
    <w:p w14:paraId="5E02529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(137) </w:t>
      </w:r>
      <w:r w:rsidRPr="006D631C">
        <w:rPr>
          <w:noProof/>
        </w:rPr>
        <w:tab/>
        <w:t xml:space="preserve">Zhang, J.; Xie, Z.; Hill, A. J.; She, F. H.; Thornton, A. W.; Hoang, M.; Kong, L. X. Structure Retention in Cross-Linked Poly(Ethylene Glycol) Diacrylate Hydrogel Templated from a Hexagonal Lyotropic Liquid Crystal by Controlling the Surface Tension. </w:t>
      </w:r>
      <w:r w:rsidRPr="006D631C">
        <w:rPr>
          <w:i/>
          <w:iCs/>
          <w:noProof/>
        </w:rPr>
        <w:t>Soft Matter</w:t>
      </w:r>
      <w:r w:rsidRPr="006D631C">
        <w:rPr>
          <w:noProof/>
        </w:rPr>
        <w:t xml:space="preserve"> </w:t>
      </w:r>
      <w:r w:rsidRPr="006D631C">
        <w:rPr>
          <w:b/>
          <w:bCs/>
          <w:noProof/>
        </w:rPr>
        <w:t>2012</w:t>
      </w:r>
      <w:r w:rsidRPr="006D631C">
        <w:rPr>
          <w:noProof/>
        </w:rPr>
        <w:t xml:space="preserve">, </w:t>
      </w:r>
      <w:r w:rsidRPr="006D631C">
        <w:rPr>
          <w:i/>
          <w:iCs/>
          <w:noProof/>
        </w:rPr>
        <w:t>8</w:t>
      </w:r>
      <w:r w:rsidRPr="006D631C">
        <w:rPr>
          <w:noProof/>
        </w:rPr>
        <w:t xml:space="preserve"> (7), 2087–2094. https://doi.org/10.1039/c1sm06526b.</w:t>
      </w:r>
    </w:p>
    <w:p w14:paraId="1A2861E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(138) </w:t>
      </w:r>
      <w:r w:rsidRPr="006D631C">
        <w:rPr>
          <w:noProof/>
        </w:rPr>
        <w:tab/>
        <w:t xml:space="preserve">Zhang, J.; Xie, Z.; Hoang, M.; Hill, A. J.; Cong, W.; She, F. H.; Gao, W.; Kong, L. X. Retention of the Original LLC Structure in a Cross-Linked Poly(Ethylene Glycol) Diacrylate Hydrogel with Reinforcement from a Silica Network. </w:t>
      </w:r>
      <w:r w:rsidRPr="006D631C">
        <w:rPr>
          <w:i/>
          <w:iCs/>
          <w:noProof/>
        </w:rPr>
        <w:t>Soft Matter</w:t>
      </w:r>
      <w:r w:rsidRPr="006D631C">
        <w:rPr>
          <w:noProof/>
        </w:rPr>
        <w:t xml:space="preserve"> </w:t>
      </w:r>
      <w:r w:rsidRPr="006D631C">
        <w:rPr>
          <w:b/>
          <w:bCs/>
          <w:noProof/>
        </w:rPr>
        <w:t>2014</w:t>
      </w:r>
      <w:r w:rsidRPr="006D631C">
        <w:rPr>
          <w:noProof/>
        </w:rPr>
        <w:t xml:space="preserve">, </w:t>
      </w:r>
      <w:r w:rsidRPr="006D631C">
        <w:rPr>
          <w:i/>
          <w:iCs/>
          <w:noProof/>
        </w:rPr>
        <w:t>10</w:t>
      </w:r>
      <w:r w:rsidRPr="006D631C">
        <w:rPr>
          <w:noProof/>
        </w:rPr>
        <w:t xml:space="preserve"> (28), 5192–5200. https://doi.org/10.1039/c4sm00589a.</w:t>
      </w:r>
    </w:p>
    <w:p w14:paraId="1A3F862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(139) </w:t>
      </w:r>
      <w:r w:rsidRPr="006D631C">
        <w:rPr>
          <w:noProof/>
        </w:rPr>
        <w:tab/>
        <w:t xml:space="preserve">Zhang, J.; Xie, Z.; Hill, A. J.; Cong, W.; She, F. H.; Gao, W.; Hoang, M.; Kong, L. X. </w:t>
      </w:r>
      <w:r w:rsidRPr="006D631C">
        <w:rPr>
          <w:noProof/>
        </w:rPr>
        <w:lastRenderedPageBreak/>
        <w:t xml:space="preserve">Effects of a Volatile Solvent with Low Surface Tension Combining with the Silica Network Reinforcement on Retention of LLC Structure in Polymer Matrix. </w:t>
      </w:r>
      <w:r w:rsidRPr="006D631C">
        <w:rPr>
          <w:i/>
          <w:iCs/>
          <w:noProof/>
        </w:rPr>
        <w:t>Polym. Bull.</w:t>
      </w:r>
      <w:r w:rsidRPr="006D631C">
        <w:rPr>
          <w:noProof/>
        </w:rPr>
        <w:t xml:space="preserve"> </w:t>
      </w:r>
      <w:r w:rsidRPr="006D631C">
        <w:rPr>
          <w:b/>
          <w:bCs/>
          <w:noProof/>
        </w:rPr>
        <w:t>2018</w:t>
      </w:r>
      <w:r w:rsidRPr="006D631C">
        <w:rPr>
          <w:noProof/>
        </w:rPr>
        <w:t xml:space="preserve">, </w:t>
      </w:r>
      <w:r w:rsidRPr="006D631C">
        <w:rPr>
          <w:i/>
          <w:iCs/>
          <w:noProof/>
        </w:rPr>
        <w:t>75</w:t>
      </w:r>
      <w:r w:rsidRPr="006D631C">
        <w:rPr>
          <w:noProof/>
        </w:rPr>
        <w:t xml:space="preserve"> (2), 581–595. https://doi.org/10.1007/s00289-017-2041-z.</w:t>
      </w:r>
    </w:p>
    <w:p w14:paraId="1209328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(140) </w:t>
      </w:r>
      <w:r w:rsidRPr="006D631C">
        <w:rPr>
          <w:noProof/>
        </w:rPr>
        <w:tab/>
        <w:t xml:space="preserve">Clapper, J. D.; Guymon, C. A. Compatibilization of Immiscible Polymer Networks through Photopolymerization in a Lyotropic Liquid Crystal. </w:t>
      </w:r>
      <w:r w:rsidRPr="006D631C">
        <w:rPr>
          <w:i/>
          <w:iCs/>
          <w:noProof/>
        </w:rPr>
        <w:t>Adv. Mater.</w:t>
      </w:r>
      <w:r w:rsidRPr="006D631C">
        <w:rPr>
          <w:noProof/>
        </w:rPr>
        <w:t xml:space="preserve"> </w:t>
      </w:r>
      <w:r w:rsidRPr="006D631C">
        <w:rPr>
          <w:b/>
          <w:bCs/>
          <w:noProof/>
        </w:rPr>
        <w:t>2006</w:t>
      </w:r>
      <w:r w:rsidRPr="006D631C">
        <w:rPr>
          <w:noProof/>
        </w:rPr>
        <w:t xml:space="preserve">, </w:t>
      </w:r>
      <w:r w:rsidRPr="006D631C">
        <w:rPr>
          <w:i/>
          <w:iCs/>
          <w:noProof/>
        </w:rPr>
        <w:t>18</w:t>
      </w:r>
      <w:r w:rsidRPr="006D631C">
        <w:rPr>
          <w:noProof/>
        </w:rPr>
        <w:t xml:space="preserve"> (12), 1575–1580. https://doi.org/10.1002/adma.200502608.</w:t>
      </w:r>
    </w:p>
    <w:p w14:paraId="05E306C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(141) </w:t>
      </w:r>
      <w:r w:rsidRPr="006D631C">
        <w:rPr>
          <w:noProof/>
        </w:rPr>
        <w:tab/>
        <w:t xml:space="preserve">Tousley, M. E.; Feng, X.; Elimelech, M.; Osuji, C. O. Aligned Nanostructured Polymers by Magnetic-Field-Directed Self-Assembly of a Polymerizable Lyotropic Mesophase. </w:t>
      </w:r>
      <w:r w:rsidRPr="006D631C">
        <w:rPr>
          <w:i/>
          <w:iCs/>
          <w:noProof/>
        </w:rPr>
        <w:t>ACS Appl. Mater. Interfaces</w:t>
      </w:r>
      <w:r w:rsidRPr="006D631C">
        <w:rPr>
          <w:noProof/>
        </w:rPr>
        <w:t xml:space="preserve"> </w:t>
      </w:r>
      <w:r w:rsidRPr="006D631C">
        <w:rPr>
          <w:b/>
          <w:bCs/>
          <w:noProof/>
        </w:rPr>
        <w:t>2014</w:t>
      </w:r>
      <w:r w:rsidRPr="006D631C">
        <w:rPr>
          <w:noProof/>
        </w:rPr>
        <w:t xml:space="preserve">, </w:t>
      </w:r>
      <w:r w:rsidRPr="006D631C">
        <w:rPr>
          <w:i/>
          <w:iCs/>
          <w:noProof/>
        </w:rPr>
        <w:t>6</w:t>
      </w:r>
      <w:r w:rsidRPr="006D631C">
        <w:rPr>
          <w:noProof/>
        </w:rPr>
        <w:t xml:space="preserve"> (22), 19710–19717. https://doi.org/10.1021/am504730b.</w:t>
      </w:r>
    </w:p>
    <w:p w14:paraId="7188F06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(142) </w:t>
      </w:r>
      <w:r w:rsidRPr="006D631C">
        <w:rPr>
          <w:noProof/>
        </w:rPr>
        <w:tab/>
        <w:t>Qavi, S. RHEOLOGY, CHEMORHEOLOGY, AND MEMBRANE APPLICATION of AMPHIPHILIC BLOCK COPOLYMER/ WATER/OIL MESOPHASES, New Mexico State University, 2019.</w:t>
      </w:r>
    </w:p>
    <w:p w14:paraId="2D7BFBB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(143) </w:t>
      </w:r>
      <w:r w:rsidRPr="006D631C">
        <w:rPr>
          <w:noProof/>
        </w:rPr>
        <w:tab/>
        <w:t xml:space="preserve">Liang, C.; Dai, S. Synthesis of Mesoporous Carbon Materials via Enhanced Hydrogen-Bonding Interaction. </w:t>
      </w:r>
      <w:r w:rsidRPr="006D631C">
        <w:rPr>
          <w:i/>
          <w:iCs/>
          <w:noProof/>
        </w:rPr>
        <w:t>J. Am. Chem. Soc.</w:t>
      </w:r>
      <w:r w:rsidRPr="006D631C">
        <w:rPr>
          <w:noProof/>
        </w:rPr>
        <w:t xml:space="preserve"> </w:t>
      </w:r>
      <w:r w:rsidRPr="006D631C">
        <w:rPr>
          <w:b/>
          <w:bCs/>
          <w:noProof/>
        </w:rPr>
        <w:t>2006</w:t>
      </w:r>
      <w:r w:rsidRPr="006D631C">
        <w:rPr>
          <w:noProof/>
        </w:rPr>
        <w:t xml:space="preserve">, </w:t>
      </w:r>
      <w:r w:rsidRPr="006D631C">
        <w:rPr>
          <w:i/>
          <w:iCs/>
          <w:noProof/>
        </w:rPr>
        <w:t>128</w:t>
      </w:r>
      <w:r w:rsidRPr="006D631C">
        <w:rPr>
          <w:noProof/>
        </w:rPr>
        <w:t xml:space="preserve"> (16), 5316–5317. https://doi.org/10.1021/ja060242k.</w:t>
      </w:r>
    </w:p>
    <w:p w14:paraId="0874297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(144) </w:t>
      </w:r>
      <w:r w:rsidRPr="006D631C">
        <w:rPr>
          <w:noProof/>
        </w:rPr>
        <w:tab/>
        <w:t xml:space="preserve">Ghimbeu, C. M.; Sopronyi, M.; Sima, F.; Vaulot, C.; Vidal, L.; Le Meins, J. M.; Delmotte, L. “Light-Assisted Evaporation Induced Self-Assembly”: An Efficient Approach toward Ordered Carbon Materials. </w:t>
      </w:r>
      <w:r w:rsidRPr="006D631C">
        <w:rPr>
          <w:i/>
          <w:iCs/>
          <w:noProof/>
        </w:rPr>
        <w:t>RSC Adv.</w:t>
      </w:r>
      <w:r w:rsidRPr="006D631C">
        <w:rPr>
          <w:noProof/>
        </w:rPr>
        <w:t xml:space="preserve"> </w:t>
      </w:r>
      <w:r w:rsidRPr="006D631C">
        <w:rPr>
          <w:b/>
          <w:bCs/>
          <w:noProof/>
        </w:rPr>
        <w:t>2015</w:t>
      </w:r>
      <w:r w:rsidRPr="006D631C">
        <w:rPr>
          <w:noProof/>
        </w:rPr>
        <w:t xml:space="preserve">, </w:t>
      </w:r>
      <w:r w:rsidRPr="006D631C">
        <w:rPr>
          <w:i/>
          <w:iCs/>
          <w:noProof/>
        </w:rPr>
        <w:t>5</w:t>
      </w:r>
      <w:r w:rsidRPr="006D631C">
        <w:rPr>
          <w:noProof/>
        </w:rPr>
        <w:t xml:space="preserve"> (4), 2861–2868. https://doi.org/10.1039/c4ra14246b.</w:t>
      </w:r>
    </w:p>
    <w:p w14:paraId="6B689F5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(145) </w:t>
      </w:r>
      <w:r w:rsidRPr="006D631C">
        <w:rPr>
          <w:noProof/>
        </w:rPr>
        <w:tab/>
        <w:t xml:space="preserve">Herou, S.; Ribadeneyra, M. C.; Madhu, R.; Araullo-Peters, V.; Jensen, A.; Schlee, P.; Titirici, M. Ordered Mesoporous Carbons from Lignin: A New Class of Biobased Electrodes for Supercapacitors. </w:t>
      </w:r>
      <w:r w:rsidRPr="006D631C">
        <w:rPr>
          <w:i/>
          <w:iCs/>
          <w:noProof/>
        </w:rPr>
        <w:t>Green Chem.</w:t>
      </w:r>
      <w:r w:rsidRPr="006D631C">
        <w:rPr>
          <w:noProof/>
        </w:rPr>
        <w:t xml:space="preserve"> </w:t>
      </w:r>
      <w:r w:rsidRPr="006D631C">
        <w:rPr>
          <w:b/>
          <w:bCs/>
          <w:noProof/>
        </w:rPr>
        <w:t>2019</w:t>
      </w:r>
      <w:r w:rsidRPr="006D631C">
        <w:rPr>
          <w:noProof/>
        </w:rPr>
        <w:t xml:space="preserve">, </w:t>
      </w:r>
      <w:r w:rsidRPr="006D631C">
        <w:rPr>
          <w:i/>
          <w:iCs/>
          <w:noProof/>
        </w:rPr>
        <w:t>21</w:t>
      </w:r>
      <w:r w:rsidRPr="006D631C">
        <w:rPr>
          <w:noProof/>
        </w:rPr>
        <w:t xml:space="preserve"> (3), 550–559. https://doi.org/10.1039/c8gc03497d.</w:t>
      </w:r>
    </w:p>
    <w:p w14:paraId="27B59AE8"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(146) </w:t>
      </w:r>
      <w:r w:rsidRPr="006D631C">
        <w:rPr>
          <w:noProof/>
        </w:rPr>
        <w:tab/>
        <w:t xml:space="preserve">Wang, X.; Liang, C.; Dai, S. Facile Synthesis of Ordered Mesoporous Carbons with High Thermal Stability by Self-Assembly of Resorcinol-Formaldehyde and Block Copolymers under Highly Acidic Conditions. </w:t>
      </w:r>
      <w:r w:rsidRPr="006D631C">
        <w:rPr>
          <w:i/>
          <w:iCs/>
          <w:noProof/>
        </w:rPr>
        <w:t>Langmuir</w:t>
      </w:r>
      <w:r w:rsidRPr="006D631C">
        <w:rPr>
          <w:noProof/>
        </w:rPr>
        <w:t xml:space="preserve"> </w:t>
      </w:r>
      <w:r w:rsidRPr="006D631C">
        <w:rPr>
          <w:b/>
          <w:bCs/>
          <w:noProof/>
        </w:rPr>
        <w:t>2008</w:t>
      </w:r>
      <w:r w:rsidRPr="006D631C">
        <w:rPr>
          <w:noProof/>
        </w:rPr>
        <w:t xml:space="preserve">, </w:t>
      </w:r>
      <w:r w:rsidRPr="006D631C">
        <w:rPr>
          <w:i/>
          <w:iCs/>
          <w:noProof/>
        </w:rPr>
        <w:t>24</w:t>
      </w:r>
      <w:r w:rsidRPr="006D631C">
        <w:rPr>
          <w:noProof/>
        </w:rPr>
        <w:t xml:space="preserve"> (14), 7500–7505. https://doi.org/10.1021/la800529v.</w:t>
      </w:r>
    </w:p>
    <w:p w14:paraId="7D04891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(147) </w:t>
      </w:r>
      <w:r w:rsidRPr="006D631C">
        <w:rPr>
          <w:noProof/>
        </w:rPr>
        <w:tab/>
        <w:t xml:space="preserve">Bandegi, A.; Bañuelos, J. L.; Foudazi, R. Formation of Ion Gels by Polymerization of Block Copolymer/Ionic Liquid/Oil Mesophases. </w:t>
      </w:r>
      <w:r w:rsidRPr="006D631C">
        <w:rPr>
          <w:i/>
          <w:iCs/>
          <w:noProof/>
        </w:rPr>
        <w:t>Soft Matter</w:t>
      </w:r>
      <w:r w:rsidRPr="006D631C">
        <w:rPr>
          <w:noProof/>
        </w:rPr>
        <w:t xml:space="preserve"> </w:t>
      </w:r>
      <w:r w:rsidRPr="006D631C">
        <w:rPr>
          <w:b/>
          <w:bCs/>
          <w:noProof/>
        </w:rPr>
        <w:t>2020</w:t>
      </w:r>
      <w:r w:rsidRPr="006D631C">
        <w:rPr>
          <w:noProof/>
        </w:rPr>
        <w:t xml:space="preserve">, </w:t>
      </w:r>
      <w:r w:rsidRPr="006D631C">
        <w:rPr>
          <w:i/>
          <w:iCs/>
          <w:noProof/>
        </w:rPr>
        <w:t>16</w:t>
      </w:r>
      <w:r w:rsidRPr="006D631C">
        <w:rPr>
          <w:noProof/>
        </w:rPr>
        <w:t xml:space="preserve"> (26), 6102–6114. https://doi.org/10.1039/D0SM00850H.</w:t>
      </w:r>
    </w:p>
    <w:p w14:paraId="320B931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(148) </w:t>
      </w:r>
      <w:r w:rsidRPr="006D631C">
        <w:rPr>
          <w:noProof/>
        </w:rPr>
        <w:tab/>
        <w:t xml:space="preserve">Bandegi, A.; Kim, K.; Foudazi, R. Ion Transport in Polymerized Lyotropic Liquid Crystals Containing Ionic Liquid. </w:t>
      </w:r>
      <w:r w:rsidRPr="006D631C">
        <w:rPr>
          <w:i/>
          <w:iCs/>
          <w:noProof/>
        </w:rPr>
        <w:t>J. Polym. Sci.</w:t>
      </w:r>
      <w:r w:rsidRPr="006D631C">
        <w:rPr>
          <w:noProof/>
        </w:rPr>
        <w:t xml:space="preserve"> </w:t>
      </w:r>
      <w:r w:rsidRPr="006D631C">
        <w:rPr>
          <w:b/>
          <w:bCs/>
          <w:noProof/>
        </w:rPr>
        <w:t>2021</w:t>
      </w:r>
      <w:r w:rsidRPr="006D631C">
        <w:rPr>
          <w:noProof/>
        </w:rPr>
        <w:t xml:space="preserve">, </w:t>
      </w:r>
      <w:r w:rsidRPr="006D631C">
        <w:rPr>
          <w:i/>
          <w:iCs/>
          <w:noProof/>
        </w:rPr>
        <w:t>59</w:t>
      </w:r>
      <w:r w:rsidRPr="006D631C">
        <w:rPr>
          <w:noProof/>
        </w:rPr>
        <w:t xml:space="preserve"> (20), 2334–2344. https://doi.org/10.1002/pol.20210440.</w:t>
      </w:r>
    </w:p>
    <w:p w14:paraId="0116B67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(149) </w:t>
      </w:r>
      <w:r w:rsidRPr="006D631C">
        <w:rPr>
          <w:noProof/>
        </w:rPr>
        <w:tab/>
        <w:t xml:space="preserve">Clapper, J. D.; Guymon, C. A. Nanostructured Biodegradable Polymer Composites Generated Using Lyotropic Liquid Crystalline Media. </w:t>
      </w:r>
      <w:r w:rsidRPr="006D631C">
        <w:rPr>
          <w:i/>
          <w:iCs/>
          <w:noProof/>
        </w:rPr>
        <w:t>Macromolecules</w:t>
      </w:r>
      <w:r w:rsidRPr="006D631C">
        <w:rPr>
          <w:noProof/>
        </w:rPr>
        <w:t xml:space="preserve"> </w:t>
      </w:r>
      <w:r w:rsidRPr="006D631C">
        <w:rPr>
          <w:b/>
          <w:bCs/>
          <w:noProof/>
        </w:rPr>
        <w:t>2007</w:t>
      </w:r>
      <w:r w:rsidRPr="006D631C">
        <w:rPr>
          <w:noProof/>
        </w:rPr>
        <w:t xml:space="preserve">, </w:t>
      </w:r>
      <w:r w:rsidRPr="006D631C">
        <w:rPr>
          <w:i/>
          <w:iCs/>
          <w:noProof/>
        </w:rPr>
        <w:t>40</w:t>
      </w:r>
      <w:r w:rsidRPr="006D631C">
        <w:rPr>
          <w:noProof/>
        </w:rPr>
        <w:t xml:space="preserve"> (22), 7951–7959. https://doi.org/10.1021/ma071070u.</w:t>
      </w:r>
    </w:p>
    <w:p w14:paraId="5F63D12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(150) </w:t>
      </w:r>
      <w:r w:rsidRPr="006D631C">
        <w:rPr>
          <w:noProof/>
        </w:rPr>
        <w:tab/>
        <w:t xml:space="preserve">Clapper, J. D.; Iverson, S. L.; Guymon, C. A. Nanostructured Biodegradable Polymer Networks Using Lyotropic Liquid Crystalline Templates. </w:t>
      </w:r>
      <w:r w:rsidRPr="006D631C">
        <w:rPr>
          <w:i/>
          <w:iCs/>
          <w:noProof/>
        </w:rPr>
        <w:t>Biomacromolecules</w:t>
      </w:r>
      <w:r w:rsidRPr="006D631C">
        <w:rPr>
          <w:noProof/>
        </w:rPr>
        <w:t xml:space="preserve"> </w:t>
      </w:r>
      <w:r w:rsidRPr="006D631C">
        <w:rPr>
          <w:b/>
          <w:bCs/>
          <w:noProof/>
        </w:rPr>
        <w:t>2007</w:t>
      </w:r>
      <w:r w:rsidRPr="006D631C">
        <w:rPr>
          <w:noProof/>
        </w:rPr>
        <w:t xml:space="preserve">, </w:t>
      </w:r>
      <w:r w:rsidRPr="006D631C">
        <w:rPr>
          <w:i/>
          <w:iCs/>
          <w:noProof/>
        </w:rPr>
        <w:t>8</w:t>
      </w:r>
      <w:r w:rsidRPr="006D631C">
        <w:rPr>
          <w:noProof/>
        </w:rPr>
        <w:t xml:space="preserve"> (7), 2104–2111. https://doi.org/10.1021/bm070167l.</w:t>
      </w:r>
    </w:p>
    <w:p w14:paraId="135B5C5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(151) </w:t>
      </w:r>
      <w:r w:rsidRPr="006D631C">
        <w:rPr>
          <w:noProof/>
        </w:rPr>
        <w:tab/>
        <w:t>Anderson, D. M.; Ström, P. Polymerization of Lyotropic Liquid Crystals; ACS Symposium Series, 1989; pp 204–224. https://doi.org/10.1021/bk-1989-0384.ch013.</w:t>
      </w:r>
    </w:p>
    <w:p w14:paraId="32F19FF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(152) </w:t>
      </w:r>
      <w:r w:rsidRPr="006D631C">
        <w:rPr>
          <w:noProof/>
        </w:rPr>
        <w:tab/>
        <w:t xml:space="preserve">Jung, M.; German, A. L.; Fischer, H. R. Polymerisation in Lyotropic Liquid-Crystalline Phases of Dioctadecyldimethylammonium Bromide. </w:t>
      </w:r>
      <w:r w:rsidRPr="006D631C">
        <w:rPr>
          <w:i/>
          <w:iCs/>
          <w:noProof/>
        </w:rPr>
        <w:t>Colloid Polym. Sci.</w:t>
      </w:r>
      <w:r w:rsidRPr="006D631C">
        <w:rPr>
          <w:noProof/>
        </w:rPr>
        <w:t xml:space="preserve"> </w:t>
      </w:r>
      <w:r w:rsidRPr="006D631C">
        <w:rPr>
          <w:b/>
          <w:bCs/>
          <w:noProof/>
        </w:rPr>
        <w:t>2001</w:t>
      </w:r>
      <w:r w:rsidRPr="006D631C">
        <w:rPr>
          <w:noProof/>
        </w:rPr>
        <w:t xml:space="preserve">, </w:t>
      </w:r>
      <w:r w:rsidRPr="006D631C">
        <w:rPr>
          <w:i/>
          <w:iCs/>
          <w:noProof/>
        </w:rPr>
        <w:t>279</w:t>
      </w:r>
      <w:r w:rsidRPr="006D631C">
        <w:rPr>
          <w:noProof/>
        </w:rPr>
        <w:t xml:space="preserve"> (2), 105–113. https://doi.org/10.1007/s003960000382.</w:t>
      </w:r>
    </w:p>
    <w:p w14:paraId="7A9288F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(153) </w:t>
      </w:r>
      <w:r w:rsidRPr="006D631C">
        <w:rPr>
          <w:noProof/>
        </w:rPr>
        <w:tab/>
        <w:t xml:space="preserve">Anderson, D. M.; Ström, P. Polymerized Lyotropic Liquid Crystals as Contact Lens Materials. </w:t>
      </w:r>
      <w:r w:rsidRPr="006D631C">
        <w:rPr>
          <w:i/>
          <w:iCs/>
          <w:noProof/>
        </w:rPr>
        <w:t>Phys. A Stat. Mech. its Appl.</w:t>
      </w:r>
      <w:r w:rsidRPr="006D631C">
        <w:rPr>
          <w:noProof/>
        </w:rPr>
        <w:t xml:space="preserve"> </w:t>
      </w:r>
      <w:r w:rsidRPr="006D631C">
        <w:rPr>
          <w:b/>
          <w:bCs/>
          <w:noProof/>
        </w:rPr>
        <w:t>1991</w:t>
      </w:r>
      <w:r w:rsidRPr="006D631C">
        <w:rPr>
          <w:noProof/>
        </w:rPr>
        <w:t xml:space="preserve">, </w:t>
      </w:r>
      <w:r w:rsidRPr="006D631C">
        <w:rPr>
          <w:i/>
          <w:iCs/>
          <w:noProof/>
        </w:rPr>
        <w:t>176</w:t>
      </w:r>
      <w:r w:rsidRPr="006D631C">
        <w:rPr>
          <w:noProof/>
        </w:rPr>
        <w:t xml:space="preserve"> (1), 151–167. </w:t>
      </w:r>
      <w:r w:rsidRPr="006D631C">
        <w:rPr>
          <w:noProof/>
        </w:rPr>
        <w:lastRenderedPageBreak/>
        <w:t>https://doi.org/10.1016/0378-4371(91)90438-I.</w:t>
      </w:r>
    </w:p>
    <w:p w14:paraId="629D5B7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(154) </w:t>
      </w:r>
      <w:r w:rsidRPr="006D631C">
        <w:rPr>
          <w:noProof/>
        </w:rPr>
        <w:tab/>
        <w:t xml:space="preserve">Laversanne, R. Polymerization of Acrylamide in Lamellar, Hexagonal, and Cubic Lyotropic Phases. </w:t>
      </w:r>
      <w:r w:rsidRPr="006D631C">
        <w:rPr>
          <w:i/>
          <w:iCs/>
          <w:noProof/>
        </w:rPr>
        <w:t>Macromolecules</w:t>
      </w:r>
      <w:r w:rsidRPr="006D631C">
        <w:rPr>
          <w:noProof/>
        </w:rPr>
        <w:t xml:space="preserve"> </w:t>
      </w:r>
      <w:r w:rsidRPr="006D631C">
        <w:rPr>
          <w:b/>
          <w:bCs/>
          <w:noProof/>
        </w:rPr>
        <w:t>1992</w:t>
      </w:r>
      <w:r w:rsidRPr="006D631C">
        <w:rPr>
          <w:noProof/>
        </w:rPr>
        <w:t xml:space="preserve">, </w:t>
      </w:r>
      <w:r w:rsidRPr="006D631C">
        <w:rPr>
          <w:i/>
          <w:iCs/>
          <w:noProof/>
        </w:rPr>
        <w:t>25</w:t>
      </w:r>
      <w:r w:rsidRPr="006D631C">
        <w:rPr>
          <w:noProof/>
        </w:rPr>
        <w:t xml:space="preserve"> (1), 489–491. https://doi.org/10.1021/ma00027a077.</w:t>
      </w:r>
    </w:p>
    <w:p w14:paraId="49CA1E0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(155) </w:t>
      </w:r>
      <w:r w:rsidRPr="006D631C">
        <w:rPr>
          <w:noProof/>
        </w:rPr>
        <w:tab/>
        <w:t xml:space="preserve">Forney, B. S.; Allan Guymon, C. Fast Deswelling Kinetics of Nanostructured Poly(N-Isopropylacrylamide) Photopolymerized in a Lyotropic Liquid Crystal Template. </w:t>
      </w:r>
      <w:r w:rsidRPr="006D631C">
        <w:rPr>
          <w:i/>
          <w:iCs/>
          <w:noProof/>
        </w:rPr>
        <w:t>Macromol. Rapid Commun.</w:t>
      </w:r>
      <w:r w:rsidRPr="006D631C">
        <w:rPr>
          <w:noProof/>
        </w:rPr>
        <w:t xml:space="preserve"> </w:t>
      </w:r>
      <w:r w:rsidRPr="006D631C">
        <w:rPr>
          <w:b/>
          <w:bCs/>
          <w:noProof/>
        </w:rPr>
        <w:t>2011</w:t>
      </w:r>
      <w:r w:rsidRPr="006D631C">
        <w:rPr>
          <w:noProof/>
        </w:rPr>
        <w:t xml:space="preserve">, </w:t>
      </w:r>
      <w:r w:rsidRPr="006D631C">
        <w:rPr>
          <w:i/>
          <w:iCs/>
          <w:noProof/>
        </w:rPr>
        <w:t>32</w:t>
      </w:r>
      <w:r w:rsidRPr="006D631C">
        <w:rPr>
          <w:noProof/>
        </w:rPr>
        <w:t xml:space="preserve"> (9–10), 765–769. https://doi.org/10.1002/marc.201100046.</w:t>
      </w:r>
    </w:p>
    <w:p w14:paraId="69EE9E7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(156) </w:t>
      </w:r>
      <w:r w:rsidRPr="006D631C">
        <w:rPr>
          <w:noProof/>
        </w:rPr>
        <w:tab/>
        <w:t xml:space="preserve">DePierro, M. A.; Guymon, C. A. Photoinitiation and Monomer Segregation Behavior in Polymerization of Lyotropic Liquid Crystalline Systems. </w:t>
      </w:r>
      <w:r w:rsidRPr="006D631C">
        <w:rPr>
          <w:i/>
          <w:iCs/>
          <w:noProof/>
        </w:rPr>
        <w:t>Macromolecules</w:t>
      </w:r>
      <w:r w:rsidRPr="006D631C">
        <w:rPr>
          <w:noProof/>
        </w:rPr>
        <w:t xml:space="preserve"> </w:t>
      </w:r>
      <w:r w:rsidRPr="006D631C">
        <w:rPr>
          <w:b/>
          <w:bCs/>
          <w:noProof/>
        </w:rPr>
        <w:t>2006</w:t>
      </w:r>
      <w:r w:rsidRPr="006D631C">
        <w:rPr>
          <w:noProof/>
        </w:rPr>
        <w:t xml:space="preserve">, </w:t>
      </w:r>
      <w:r w:rsidRPr="006D631C">
        <w:rPr>
          <w:i/>
          <w:iCs/>
          <w:noProof/>
        </w:rPr>
        <w:t>39</w:t>
      </w:r>
      <w:r w:rsidRPr="006D631C">
        <w:rPr>
          <w:noProof/>
        </w:rPr>
        <w:t xml:space="preserve"> (2), 617–626. https://doi.org/10.1021/ma0518196.</w:t>
      </w:r>
    </w:p>
    <w:p w14:paraId="02418C8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(157) </w:t>
      </w:r>
      <w:r w:rsidRPr="006D631C">
        <w:rPr>
          <w:noProof/>
        </w:rPr>
        <w:tab/>
        <w:t xml:space="preserve">Forney, B. S.; Guymon, C. A. Nanostructure Evolution during Photopolymerization in Lyotropic Liquid Crystal Templates. </w:t>
      </w:r>
      <w:r w:rsidRPr="006D631C">
        <w:rPr>
          <w:i/>
          <w:iCs/>
          <w:noProof/>
        </w:rPr>
        <w:t>Macromolecules</w:t>
      </w:r>
      <w:r w:rsidRPr="006D631C">
        <w:rPr>
          <w:noProof/>
        </w:rPr>
        <w:t xml:space="preserve"> </w:t>
      </w:r>
      <w:r w:rsidRPr="006D631C">
        <w:rPr>
          <w:b/>
          <w:bCs/>
          <w:noProof/>
        </w:rPr>
        <w:t>2010</w:t>
      </w:r>
      <w:r w:rsidRPr="006D631C">
        <w:rPr>
          <w:noProof/>
        </w:rPr>
        <w:t xml:space="preserve">, </w:t>
      </w:r>
      <w:r w:rsidRPr="006D631C">
        <w:rPr>
          <w:i/>
          <w:iCs/>
          <w:noProof/>
        </w:rPr>
        <w:t>43</w:t>
      </w:r>
      <w:r w:rsidRPr="006D631C">
        <w:rPr>
          <w:noProof/>
        </w:rPr>
        <w:t xml:space="preserve"> (20), 8502–8510. https://doi.org/10.1021/ma101418e.</w:t>
      </w:r>
    </w:p>
    <w:p w14:paraId="27B9D0D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(158) </w:t>
      </w:r>
      <w:r w:rsidRPr="006D631C">
        <w:rPr>
          <w:noProof/>
        </w:rPr>
        <w:tab/>
        <w:t xml:space="preserve">Hentze, H. P.; Göltner, C. G.; Antonietti, M. Synthesis of Organic Polymer Gels in Microemulsions and Lyotropic Mesophases. </w:t>
      </w:r>
      <w:r w:rsidRPr="006D631C">
        <w:rPr>
          <w:i/>
          <w:iCs/>
          <w:noProof/>
        </w:rPr>
        <w:t>Berichte der Bunsengesellschaft/Physical Chem. Chem. Phys.</w:t>
      </w:r>
      <w:r w:rsidRPr="006D631C">
        <w:rPr>
          <w:noProof/>
        </w:rPr>
        <w:t xml:space="preserve"> </w:t>
      </w:r>
      <w:r w:rsidRPr="006D631C">
        <w:rPr>
          <w:b/>
          <w:bCs/>
          <w:noProof/>
        </w:rPr>
        <w:t>1997</w:t>
      </w:r>
      <w:r w:rsidRPr="006D631C">
        <w:rPr>
          <w:noProof/>
        </w:rPr>
        <w:t xml:space="preserve">, </w:t>
      </w:r>
      <w:r w:rsidRPr="006D631C">
        <w:rPr>
          <w:i/>
          <w:iCs/>
          <w:noProof/>
        </w:rPr>
        <w:t>101</w:t>
      </w:r>
      <w:r w:rsidRPr="006D631C">
        <w:rPr>
          <w:noProof/>
        </w:rPr>
        <w:t xml:space="preserve"> (11), 1699–1702. https://doi.org/10.1002/bbpc.19971011130.</w:t>
      </w:r>
    </w:p>
    <w:p w14:paraId="1E8DBD3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(159) </w:t>
      </w:r>
      <w:r w:rsidRPr="006D631C">
        <w:rPr>
          <w:noProof/>
        </w:rPr>
        <w:tab/>
        <w:t xml:space="preserve">DePierro, M. A.; Carpenter, K. G.; Guymon, C. A. Nanostructure Development of Polymers Templated from Lyotropic Liquid Crystals. </w:t>
      </w:r>
      <w:r w:rsidRPr="006D631C">
        <w:rPr>
          <w:i/>
          <w:iCs/>
          <w:noProof/>
        </w:rPr>
        <w:t>Radtech Tech. Proc.</w:t>
      </w:r>
      <w:r w:rsidRPr="006D631C">
        <w:rPr>
          <w:noProof/>
        </w:rPr>
        <w:t xml:space="preserve"> </w:t>
      </w:r>
      <w:r w:rsidRPr="006D631C">
        <w:rPr>
          <w:b/>
          <w:bCs/>
          <w:noProof/>
        </w:rPr>
        <w:t>2006</w:t>
      </w:r>
      <w:r w:rsidRPr="006D631C">
        <w:rPr>
          <w:noProof/>
        </w:rPr>
        <w:t>.</w:t>
      </w:r>
    </w:p>
    <w:p w14:paraId="3EA0FA8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(160) </w:t>
      </w:r>
      <w:r w:rsidRPr="006D631C">
        <w:rPr>
          <w:noProof/>
        </w:rPr>
        <w:tab/>
        <w:t xml:space="preserve">Meier, W. Polymer Networks with Lamellar Structure. </w:t>
      </w:r>
      <w:r w:rsidRPr="006D631C">
        <w:rPr>
          <w:i/>
          <w:iCs/>
          <w:noProof/>
        </w:rPr>
        <w:t>Macromolecules</w:t>
      </w:r>
      <w:r w:rsidRPr="006D631C">
        <w:rPr>
          <w:noProof/>
        </w:rPr>
        <w:t xml:space="preserve"> </w:t>
      </w:r>
      <w:r w:rsidRPr="006D631C">
        <w:rPr>
          <w:b/>
          <w:bCs/>
          <w:noProof/>
        </w:rPr>
        <w:t>1998</w:t>
      </w:r>
      <w:r w:rsidRPr="006D631C">
        <w:rPr>
          <w:noProof/>
        </w:rPr>
        <w:t xml:space="preserve">, </w:t>
      </w:r>
      <w:r w:rsidRPr="006D631C">
        <w:rPr>
          <w:i/>
          <w:iCs/>
          <w:noProof/>
        </w:rPr>
        <w:t>31</w:t>
      </w:r>
      <w:r w:rsidRPr="006D631C">
        <w:rPr>
          <w:noProof/>
        </w:rPr>
        <w:t xml:space="preserve"> (7), 2212–2217. https://doi.org/10.1021/ma971728b.</w:t>
      </w:r>
    </w:p>
    <w:p w14:paraId="40B7666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(161) </w:t>
      </w:r>
      <w:r w:rsidRPr="006D631C">
        <w:rPr>
          <w:noProof/>
        </w:rPr>
        <w:tab/>
        <w:t xml:space="preserve">Antonietti, M.; Göltner, C.; Hentze, H. P. Polymer Gels with a Micron-Sized, Layer-like Architecture by Polymerization in Lyotropic Cocogem Phases. </w:t>
      </w:r>
      <w:r w:rsidRPr="006D631C">
        <w:rPr>
          <w:i/>
          <w:iCs/>
          <w:noProof/>
        </w:rPr>
        <w:t>Langmuir</w:t>
      </w:r>
      <w:r w:rsidRPr="006D631C">
        <w:rPr>
          <w:noProof/>
        </w:rPr>
        <w:t xml:space="preserve"> </w:t>
      </w:r>
      <w:r w:rsidRPr="006D631C">
        <w:rPr>
          <w:b/>
          <w:bCs/>
          <w:noProof/>
        </w:rPr>
        <w:t>1998</w:t>
      </w:r>
      <w:r w:rsidRPr="006D631C">
        <w:rPr>
          <w:noProof/>
        </w:rPr>
        <w:t xml:space="preserve">, </w:t>
      </w:r>
      <w:r w:rsidRPr="006D631C">
        <w:rPr>
          <w:i/>
          <w:iCs/>
          <w:noProof/>
        </w:rPr>
        <w:t>14</w:t>
      </w:r>
      <w:r w:rsidRPr="006D631C">
        <w:rPr>
          <w:noProof/>
        </w:rPr>
        <w:t xml:space="preserve"> (10), </w:t>
      </w:r>
      <w:r w:rsidRPr="006D631C">
        <w:rPr>
          <w:noProof/>
        </w:rPr>
        <w:lastRenderedPageBreak/>
        <w:t>2670–2672. https://doi.org/10.1021/la971054y.</w:t>
      </w:r>
    </w:p>
    <w:p w14:paraId="56DF7B9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(162) </w:t>
      </w:r>
      <w:r w:rsidRPr="006D631C">
        <w:rPr>
          <w:noProof/>
        </w:rPr>
        <w:tab/>
        <w:t xml:space="preserve">Lester, C. L.; Smith, S. M.; Guymon, C. A. Acceleration of Polyacrylamide Photopolymerization Using Lyotropic Liquid Crystals. </w:t>
      </w:r>
      <w:r w:rsidRPr="006D631C">
        <w:rPr>
          <w:i/>
          <w:iCs/>
          <w:noProof/>
        </w:rPr>
        <w:t>Macromolecules</w:t>
      </w:r>
      <w:r w:rsidRPr="006D631C">
        <w:rPr>
          <w:noProof/>
        </w:rPr>
        <w:t xml:space="preserve"> </w:t>
      </w:r>
      <w:r w:rsidRPr="006D631C">
        <w:rPr>
          <w:b/>
          <w:bCs/>
          <w:noProof/>
        </w:rPr>
        <w:t>2001</w:t>
      </w:r>
      <w:r w:rsidRPr="006D631C">
        <w:rPr>
          <w:noProof/>
        </w:rPr>
        <w:t xml:space="preserve">, </w:t>
      </w:r>
      <w:r w:rsidRPr="006D631C">
        <w:rPr>
          <w:i/>
          <w:iCs/>
          <w:noProof/>
        </w:rPr>
        <w:t>34</w:t>
      </w:r>
      <w:r w:rsidRPr="006D631C">
        <w:rPr>
          <w:noProof/>
        </w:rPr>
        <w:t xml:space="preserve"> (25), 8587–8589. https://doi.org/10.1021/ma011314p.</w:t>
      </w:r>
    </w:p>
    <w:p w14:paraId="56944BD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(163) </w:t>
      </w:r>
      <w:r w:rsidRPr="006D631C">
        <w:rPr>
          <w:noProof/>
        </w:rPr>
        <w:tab/>
        <w:t xml:space="preserve">Hulvat, J. F.; Stupp, S. I. Liquid-Crystal Templating of Conducting Polymers. </w:t>
      </w:r>
      <w:r w:rsidRPr="006D631C">
        <w:rPr>
          <w:i/>
          <w:iCs/>
          <w:noProof/>
        </w:rPr>
        <w:t>Angew. Chemie - Int. Ed.</w:t>
      </w:r>
      <w:r w:rsidRPr="006D631C">
        <w:rPr>
          <w:noProof/>
        </w:rPr>
        <w:t xml:space="preserve"> </w:t>
      </w:r>
      <w:r w:rsidRPr="006D631C">
        <w:rPr>
          <w:b/>
          <w:bCs/>
          <w:noProof/>
        </w:rPr>
        <w:t>2003</w:t>
      </w:r>
      <w:r w:rsidRPr="006D631C">
        <w:rPr>
          <w:noProof/>
        </w:rPr>
        <w:t xml:space="preserve">, </w:t>
      </w:r>
      <w:r w:rsidRPr="006D631C">
        <w:rPr>
          <w:i/>
          <w:iCs/>
          <w:noProof/>
        </w:rPr>
        <w:t>42</w:t>
      </w:r>
      <w:r w:rsidRPr="006D631C">
        <w:rPr>
          <w:noProof/>
        </w:rPr>
        <w:t xml:space="preserve"> (7), 778–781. https://doi.org/10.1002/anie.200390206.</w:t>
      </w:r>
    </w:p>
    <w:p w14:paraId="122E024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(164) </w:t>
      </w:r>
      <w:r w:rsidRPr="006D631C">
        <w:rPr>
          <w:noProof/>
        </w:rPr>
        <w:tab/>
        <w:t xml:space="preserve">Hulvat, J. F.; Stupp, S. I. Anisotropic Properties of Conducting Polymers Prepared by Liquid Crystal Templating. </w:t>
      </w:r>
      <w:r w:rsidRPr="006D631C">
        <w:rPr>
          <w:i/>
          <w:iCs/>
          <w:noProof/>
        </w:rPr>
        <w:t>Adv. Mater.</w:t>
      </w:r>
      <w:r w:rsidRPr="006D631C">
        <w:rPr>
          <w:noProof/>
        </w:rPr>
        <w:t xml:space="preserve"> </w:t>
      </w:r>
      <w:r w:rsidRPr="006D631C">
        <w:rPr>
          <w:b/>
          <w:bCs/>
          <w:noProof/>
        </w:rPr>
        <w:t>2004</w:t>
      </w:r>
      <w:r w:rsidRPr="006D631C">
        <w:rPr>
          <w:noProof/>
        </w:rPr>
        <w:t xml:space="preserve">, </w:t>
      </w:r>
      <w:r w:rsidRPr="006D631C">
        <w:rPr>
          <w:i/>
          <w:iCs/>
          <w:noProof/>
        </w:rPr>
        <w:t>16</w:t>
      </w:r>
      <w:r w:rsidRPr="006D631C">
        <w:rPr>
          <w:noProof/>
        </w:rPr>
        <w:t xml:space="preserve"> (7), 589–592. https://doi.org/10.1002/adma.200306263.</w:t>
      </w:r>
    </w:p>
    <w:p w14:paraId="0A19ED6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(165) </w:t>
      </w:r>
      <w:r w:rsidRPr="006D631C">
        <w:rPr>
          <w:noProof/>
        </w:rPr>
        <w:tab/>
        <w:t xml:space="preserve">Ghosh, S.; Remita, H.; Ramos, L.; Dazzi, A.; Deniset-Besseau, A.; Beaunier, P.; Goubard, F.; Aubert, P.-H.; Brisset, F.; Remita, S. PEDOT Nanostructures Synthesized in Hexagonal Mesophases. </w:t>
      </w:r>
      <w:r w:rsidRPr="006D631C">
        <w:rPr>
          <w:i/>
          <w:iCs/>
          <w:noProof/>
        </w:rPr>
        <w:t>New J. Chem.</w:t>
      </w:r>
      <w:r w:rsidRPr="006D631C">
        <w:rPr>
          <w:noProof/>
        </w:rPr>
        <w:t xml:space="preserve"> </w:t>
      </w:r>
      <w:r w:rsidRPr="006D631C">
        <w:rPr>
          <w:b/>
          <w:bCs/>
          <w:noProof/>
        </w:rPr>
        <w:t>2014</w:t>
      </w:r>
      <w:r w:rsidRPr="006D631C">
        <w:rPr>
          <w:noProof/>
        </w:rPr>
        <w:t xml:space="preserve">, </w:t>
      </w:r>
      <w:r w:rsidRPr="006D631C">
        <w:rPr>
          <w:i/>
          <w:iCs/>
          <w:noProof/>
        </w:rPr>
        <w:t>38</w:t>
      </w:r>
      <w:r w:rsidRPr="006D631C">
        <w:rPr>
          <w:noProof/>
        </w:rPr>
        <w:t xml:space="preserve"> (3), 1106–1115. https://doi.org/10.1039/C3NJ01349A.</w:t>
      </w:r>
    </w:p>
    <w:p w14:paraId="1FB473B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(166) </w:t>
      </w:r>
      <w:r w:rsidRPr="006D631C">
        <w:rPr>
          <w:noProof/>
        </w:rPr>
        <w:tab/>
        <w:t xml:space="preserve">Wadekar, M. N.; Pasricha, R.; Gaikwad, A. B.; Kumaraswamy, G. Polymerization in Surfactant Liquid Crystalline Phases. </w:t>
      </w:r>
      <w:r w:rsidRPr="006D631C">
        <w:rPr>
          <w:i/>
          <w:iCs/>
          <w:noProof/>
        </w:rPr>
        <w:t>Chem. Mater.</w:t>
      </w:r>
      <w:r w:rsidRPr="006D631C">
        <w:rPr>
          <w:noProof/>
        </w:rPr>
        <w:t xml:space="preserve"> </w:t>
      </w:r>
      <w:r w:rsidRPr="006D631C">
        <w:rPr>
          <w:b/>
          <w:bCs/>
          <w:noProof/>
        </w:rPr>
        <w:t>2005</w:t>
      </w:r>
      <w:r w:rsidRPr="006D631C">
        <w:rPr>
          <w:noProof/>
        </w:rPr>
        <w:t xml:space="preserve">, </w:t>
      </w:r>
      <w:r w:rsidRPr="006D631C">
        <w:rPr>
          <w:i/>
          <w:iCs/>
          <w:noProof/>
        </w:rPr>
        <w:t>17</w:t>
      </w:r>
      <w:r w:rsidRPr="006D631C">
        <w:rPr>
          <w:noProof/>
        </w:rPr>
        <w:t xml:space="preserve"> (9), 2460–2465. https://doi.org/10.1021/cm048240r.</w:t>
      </w:r>
    </w:p>
    <w:p w14:paraId="68C6EB6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(167) </w:t>
      </w:r>
      <w:r w:rsidRPr="006D631C">
        <w:rPr>
          <w:noProof/>
        </w:rPr>
        <w:tab/>
        <w:t xml:space="preserve">DePierro, M. A.; Olson, A. J.; Guymon, C. A. Effect of Photoinitiator Solubility on Polymerization in Lyotropic Liquid Crystalline Media. </w:t>
      </w:r>
      <w:r w:rsidRPr="006D631C">
        <w:rPr>
          <w:i/>
          <w:iCs/>
          <w:noProof/>
        </w:rPr>
        <w:t>Radtech Tech. Proc.</w:t>
      </w:r>
      <w:r w:rsidRPr="006D631C">
        <w:rPr>
          <w:noProof/>
        </w:rPr>
        <w:t xml:space="preserve"> </w:t>
      </w:r>
      <w:r w:rsidRPr="006D631C">
        <w:rPr>
          <w:b/>
          <w:bCs/>
          <w:noProof/>
        </w:rPr>
        <w:t>2004</w:t>
      </w:r>
      <w:r w:rsidRPr="006D631C">
        <w:rPr>
          <w:noProof/>
        </w:rPr>
        <w:t>.</w:t>
      </w:r>
    </w:p>
    <w:p w14:paraId="324268D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(168) </w:t>
      </w:r>
      <w:r w:rsidRPr="006D631C">
        <w:rPr>
          <w:noProof/>
        </w:rPr>
        <w:tab/>
        <w:t xml:space="preserve">Depierro, M. A.; Guymon, C. A. Polymer Structure Development in Lyotropic Liquid Crystalline Solutions. </w:t>
      </w:r>
      <w:r w:rsidRPr="006D631C">
        <w:rPr>
          <w:i/>
          <w:iCs/>
          <w:noProof/>
        </w:rPr>
        <w:t>Macromolecules</w:t>
      </w:r>
      <w:r w:rsidRPr="006D631C">
        <w:rPr>
          <w:noProof/>
        </w:rPr>
        <w:t xml:space="preserve"> </w:t>
      </w:r>
      <w:r w:rsidRPr="006D631C">
        <w:rPr>
          <w:b/>
          <w:bCs/>
          <w:noProof/>
        </w:rPr>
        <w:t>2014</w:t>
      </w:r>
      <w:r w:rsidRPr="006D631C">
        <w:rPr>
          <w:noProof/>
        </w:rPr>
        <w:t xml:space="preserve">, </w:t>
      </w:r>
      <w:r w:rsidRPr="006D631C">
        <w:rPr>
          <w:i/>
          <w:iCs/>
          <w:noProof/>
        </w:rPr>
        <w:t>47</w:t>
      </w:r>
      <w:r w:rsidRPr="006D631C">
        <w:rPr>
          <w:noProof/>
        </w:rPr>
        <w:t xml:space="preserve"> (16), 5728–5738. https://doi.org/10.1021/ma500823q.</w:t>
      </w:r>
    </w:p>
    <w:p w14:paraId="38BC314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(169) </w:t>
      </w:r>
      <w:r w:rsidRPr="006D631C">
        <w:rPr>
          <w:noProof/>
        </w:rPr>
        <w:tab/>
        <w:t xml:space="preserve">Clapper, J. D.; Allan Guymon, C. Physical Behavior of Cross-Linked PEG Hydrogels Photopolymerized within Nanostructured Lyotropic Liquid Crystalline Templates. </w:t>
      </w:r>
      <w:r w:rsidRPr="006D631C">
        <w:rPr>
          <w:i/>
          <w:iCs/>
          <w:noProof/>
        </w:rPr>
        <w:t>Macromolecules</w:t>
      </w:r>
      <w:r w:rsidRPr="006D631C">
        <w:rPr>
          <w:noProof/>
        </w:rPr>
        <w:t xml:space="preserve"> </w:t>
      </w:r>
      <w:r w:rsidRPr="006D631C">
        <w:rPr>
          <w:b/>
          <w:bCs/>
          <w:noProof/>
        </w:rPr>
        <w:t>2007</w:t>
      </w:r>
      <w:r w:rsidRPr="006D631C">
        <w:rPr>
          <w:noProof/>
        </w:rPr>
        <w:t xml:space="preserve">, </w:t>
      </w:r>
      <w:r w:rsidRPr="006D631C">
        <w:rPr>
          <w:i/>
          <w:iCs/>
          <w:noProof/>
        </w:rPr>
        <w:t>40</w:t>
      </w:r>
      <w:r w:rsidRPr="006D631C">
        <w:rPr>
          <w:noProof/>
        </w:rPr>
        <w:t xml:space="preserve"> (4), 1101–1107. https://doi.org/10.1021/ma0622377.</w:t>
      </w:r>
    </w:p>
    <w:p w14:paraId="26BB6DB3"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(170) </w:t>
      </w:r>
      <w:r w:rsidRPr="006D631C">
        <w:rPr>
          <w:noProof/>
        </w:rPr>
        <w:tab/>
        <w:t xml:space="preserve">Li, Z.; Yan, W.; Dai, S. A Novel Vesicular Carbon Synthesized Using Amphiphilic Carbonaceous Material and Micelle Templating Approach. </w:t>
      </w:r>
      <w:r w:rsidRPr="006D631C">
        <w:rPr>
          <w:i/>
          <w:iCs/>
          <w:noProof/>
        </w:rPr>
        <w:t>Carbon N. Y.</w:t>
      </w:r>
      <w:r w:rsidRPr="006D631C">
        <w:rPr>
          <w:noProof/>
        </w:rPr>
        <w:t xml:space="preserve"> </w:t>
      </w:r>
      <w:r w:rsidRPr="006D631C">
        <w:rPr>
          <w:b/>
          <w:bCs/>
          <w:noProof/>
        </w:rPr>
        <w:t>2004</w:t>
      </w:r>
      <w:r w:rsidRPr="006D631C">
        <w:rPr>
          <w:noProof/>
        </w:rPr>
        <w:t xml:space="preserve">, </w:t>
      </w:r>
      <w:r w:rsidRPr="006D631C">
        <w:rPr>
          <w:i/>
          <w:iCs/>
          <w:noProof/>
        </w:rPr>
        <w:t>42</w:t>
      </w:r>
      <w:r w:rsidRPr="006D631C">
        <w:rPr>
          <w:noProof/>
        </w:rPr>
        <w:t xml:space="preserve"> (4), 767–770. https://doi.org/10.1016/j.carbon.2004.01.044.</w:t>
      </w:r>
    </w:p>
    <w:p w14:paraId="7F6C3DF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(171) </w:t>
      </w:r>
      <w:r w:rsidRPr="006D631C">
        <w:rPr>
          <w:noProof/>
        </w:rPr>
        <w:tab/>
        <w:t xml:space="preserve">Liu, D. Y.; Krogstad, D. V. Self-Assembly and Phase Transformation of Block Copolymer Nanostructures in Ionic Liquid-Cured Epoxy. </w:t>
      </w:r>
      <w:r w:rsidRPr="006D631C">
        <w:rPr>
          <w:i/>
          <w:iCs/>
          <w:noProof/>
        </w:rPr>
        <w:t>Macromolecules</w:t>
      </w:r>
      <w:r w:rsidRPr="006D631C">
        <w:rPr>
          <w:noProof/>
        </w:rPr>
        <w:t xml:space="preserve"> </w:t>
      </w:r>
      <w:r w:rsidRPr="006D631C">
        <w:rPr>
          <w:b/>
          <w:bCs/>
          <w:noProof/>
        </w:rPr>
        <w:t>2021</w:t>
      </w:r>
      <w:r w:rsidRPr="006D631C">
        <w:rPr>
          <w:noProof/>
        </w:rPr>
        <w:t xml:space="preserve">, </w:t>
      </w:r>
      <w:r w:rsidRPr="006D631C">
        <w:rPr>
          <w:i/>
          <w:iCs/>
          <w:noProof/>
        </w:rPr>
        <w:t>54</w:t>
      </w:r>
      <w:r w:rsidRPr="006D631C">
        <w:rPr>
          <w:noProof/>
        </w:rPr>
        <w:t xml:space="preserve"> (2), 988–994. https://doi.org/10.1021/acs.macromol.0c02214.</w:t>
      </w:r>
    </w:p>
    <w:p w14:paraId="769354E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(172) </w:t>
      </w:r>
      <w:r w:rsidRPr="006D631C">
        <w:rPr>
          <w:noProof/>
        </w:rPr>
        <w:tab/>
        <w:t xml:space="preserve">Ghosh, S.; Ramos, L.; Remita, S.; Dazzi, A.; Deniset-Besseau, A.; Beaunier, P.; Goubard, F.; Aubert, P.-H.; Remita, H. Conducting Polymer Nanofibers with Controlled Diameters Synthesized in Hexagonal Mesophases. </w:t>
      </w:r>
      <w:r w:rsidRPr="006D631C">
        <w:rPr>
          <w:i/>
          <w:iCs/>
          <w:noProof/>
        </w:rPr>
        <w:t>New J. Chem.</w:t>
      </w:r>
      <w:r w:rsidRPr="006D631C">
        <w:rPr>
          <w:noProof/>
        </w:rPr>
        <w:t xml:space="preserve"> </w:t>
      </w:r>
      <w:r w:rsidRPr="006D631C">
        <w:rPr>
          <w:b/>
          <w:bCs/>
          <w:noProof/>
        </w:rPr>
        <w:t>2015</w:t>
      </w:r>
      <w:r w:rsidRPr="006D631C">
        <w:rPr>
          <w:noProof/>
        </w:rPr>
        <w:t xml:space="preserve">, </w:t>
      </w:r>
      <w:r w:rsidRPr="006D631C">
        <w:rPr>
          <w:i/>
          <w:iCs/>
          <w:noProof/>
        </w:rPr>
        <w:t>39</w:t>
      </w:r>
      <w:r w:rsidRPr="006D631C">
        <w:rPr>
          <w:noProof/>
        </w:rPr>
        <w:t xml:space="preserve"> (11), 8311–8320. https://doi.org/10.1039/C5NJ00826C.</w:t>
      </w:r>
    </w:p>
    <w:p w14:paraId="0D2CDFB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(173) </w:t>
      </w:r>
      <w:r w:rsidRPr="006D631C">
        <w:rPr>
          <w:noProof/>
        </w:rPr>
        <w:tab/>
        <w:t xml:space="preserve">Floresyona, D.; Goubard, F.; Aubert, P.-H.; Lampre, I.; Mathurin, J.; Dazzi, A.; Ghosh, S.; Beaunier, P.; Brisset, F.; Remita, S.; Ramos, L.; Remita, H. Highly Active Poly(3-Hexylthiophene) Nanostructures for Photocatalysis under Solar Light. </w:t>
      </w:r>
      <w:r w:rsidRPr="006D631C">
        <w:rPr>
          <w:i/>
          <w:iCs/>
          <w:noProof/>
        </w:rPr>
        <w:t>Appl. Catal. B Environ.</w:t>
      </w:r>
      <w:r w:rsidRPr="006D631C">
        <w:rPr>
          <w:noProof/>
        </w:rPr>
        <w:t xml:space="preserve"> </w:t>
      </w:r>
      <w:r w:rsidRPr="006D631C">
        <w:rPr>
          <w:b/>
          <w:bCs/>
          <w:noProof/>
        </w:rPr>
        <w:t>2017</w:t>
      </w:r>
      <w:r w:rsidRPr="006D631C">
        <w:rPr>
          <w:noProof/>
        </w:rPr>
        <w:t xml:space="preserve">, </w:t>
      </w:r>
      <w:r w:rsidRPr="006D631C">
        <w:rPr>
          <w:i/>
          <w:iCs/>
          <w:noProof/>
        </w:rPr>
        <w:t>209</w:t>
      </w:r>
      <w:r w:rsidRPr="006D631C">
        <w:rPr>
          <w:noProof/>
        </w:rPr>
        <w:t>, 23–32. https://doi.org/10.1016/j.apcatb.2017.02.069.</w:t>
      </w:r>
    </w:p>
    <w:p w14:paraId="0D90039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(174) </w:t>
      </w:r>
      <w:r w:rsidRPr="006D631C">
        <w:rPr>
          <w:noProof/>
        </w:rPr>
        <w:tab/>
        <w:t xml:space="preserve">Dutt, S.; Siril, P. F. Morphology Controlled Synthesis of Polyaniline Nanostructures Using Swollen Liquid Crystal Templates. </w:t>
      </w:r>
      <w:r w:rsidRPr="006D631C">
        <w:rPr>
          <w:i/>
          <w:iCs/>
          <w:noProof/>
        </w:rPr>
        <w:t>J. Appl. Polym. Sci.</w:t>
      </w:r>
      <w:r w:rsidRPr="006D631C">
        <w:rPr>
          <w:noProof/>
        </w:rPr>
        <w:t xml:space="preserve"> </w:t>
      </w:r>
      <w:r w:rsidRPr="006D631C">
        <w:rPr>
          <w:b/>
          <w:bCs/>
          <w:noProof/>
        </w:rPr>
        <w:t>2014</w:t>
      </w:r>
      <w:r w:rsidRPr="006D631C">
        <w:rPr>
          <w:noProof/>
        </w:rPr>
        <w:t xml:space="preserve">, </w:t>
      </w:r>
      <w:r w:rsidRPr="006D631C">
        <w:rPr>
          <w:i/>
          <w:iCs/>
          <w:noProof/>
        </w:rPr>
        <w:t>131</w:t>
      </w:r>
      <w:r w:rsidRPr="006D631C">
        <w:rPr>
          <w:noProof/>
        </w:rPr>
        <w:t xml:space="preserve"> (18), 40800. https://doi.org/10.1002/app.40800.</w:t>
      </w:r>
    </w:p>
    <w:p w14:paraId="68E69EF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(175) </w:t>
      </w:r>
      <w:r w:rsidRPr="006D631C">
        <w:rPr>
          <w:noProof/>
        </w:rPr>
        <w:tab/>
        <w:t xml:space="preserve">Castellano, J. A. Surface Anchoring of Liquid Crystal Molecules on Various Substrates. </w:t>
      </w:r>
      <w:r w:rsidRPr="006D631C">
        <w:rPr>
          <w:i/>
          <w:iCs/>
          <w:noProof/>
        </w:rPr>
        <w:t>Mol. Cryst. Liq. Cryst.</w:t>
      </w:r>
      <w:r w:rsidRPr="006D631C">
        <w:rPr>
          <w:noProof/>
        </w:rPr>
        <w:t xml:space="preserve"> </w:t>
      </w:r>
      <w:r w:rsidRPr="006D631C">
        <w:rPr>
          <w:b/>
          <w:bCs/>
          <w:noProof/>
        </w:rPr>
        <w:t>1983</w:t>
      </w:r>
      <w:r w:rsidRPr="006D631C">
        <w:rPr>
          <w:noProof/>
        </w:rPr>
        <w:t xml:space="preserve">, </w:t>
      </w:r>
      <w:r w:rsidRPr="006D631C">
        <w:rPr>
          <w:i/>
          <w:iCs/>
          <w:noProof/>
        </w:rPr>
        <w:t>94</w:t>
      </w:r>
      <w:r w:rsidRPr="006D631C">
        <w:rPr>
          <w:noProof/>
        </w:rPr>
        <w:t xml:space="preserve"> (1–2), 33–41. https://doi.org/10.1080/00268948308084245.</w:t>
      </w:r>
    </w:p>
    <w:p w14:paraId="726CF47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(176) </w:t>
      </w:r>
      <w:r w:rsidRPr="006D631C">
        <w:rPr>
          <w:noProof/>
        </w:rPr>
        <w:tab/>
        <w:t xml:space="preserve">Feng, X.; Nejati, S.; Cowan, M. G.; Tousley, M. E.; Wiesenauer, B. R.; Noble, R. D.; Elimelech, M.; Gin, D. L.; Osuji, C. O. Thin Polymer Films with Continuous Vertically Aligned 1 Nm Pores Fabricated by Soft Confinement. </w:t>
      </w:r>
      <w:r w:rsidRPr="006D631C">
        <w:rPr>
          <w:i/>
          <w:iCs/>
          <w:noProof/>
        </w:rPr>
        <w:t>ACS Nano</w:t>
      </w:r>
      <w:r w:rsidRPr="006D631C">
        <w:rPr>
          <w:noProof/>
        </w:rPr>
        <w:t xml:space="preserve"> </w:t>
      </w:r>
      <w:r w:rsidRPr="006D631C">
        <w:rPr>
          <w:b/>
          <w:bCs/>
          <w:noProof/>
        </w:rPr>
        <w:t>2016</w:t>
      </w:r>
      <w:r w:rsidRPr="006D631C">
        <w:rPr>
          <w:noProof/>
        </w:rPr>
        <w:t xml:space="preserve">, </w:t>
      </w:r>
      <w:r w:rsidRPr="006D631C">
        <w:rPr>
          <w:i/>
          <w:iCs/>
          <w:noProof/>
        </w:rPr>
        <w:t>10</w:t>
      </w:r>
      <w:r w:rsidRPr="006D631C">
        <w:rPr>
          <w:noProof/>
        </w:rPr>
        <w:t xml:space="preserve"> (1), 150–158. </w:t>
      </w:r>
      <w:r w:rsidRPr="006D631C">
        <w:rPr>
          <w:noProof/>
        </w:rPr>
        <w:lastRenderedPageBreak/>
        <w:t>https://doi.org/10.1021/acsnano.5b06130.</w:t>
      </w:r>
    </w:p>
    <w:p w14:paraId="58EA924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(177) </w:t>
      </w:r>
      <w:r w:rsidRPr="006D631C">
        <w:rPr>
          <w:noProof/>
        </w:rPr>
        <w:tab/>
        <w:t xml:space="preserve">Guo, Y.; Shahsavan, H.; Davidson, Z. S.; Sitti, M. Precise Control of Lyotropic Chromonic Liquid Crystal Alignment through Surface Topography. </w:t>
      </w:r>
      <w:r w:rsidRPr="006D631C">
        <w:rPr>
          <w:i/>
          <w:iCs/>
          <w:noProof/>
        </w:rPr>
        <w:t>ACS Appl. Mater. Interfaces</w:t>
      </w:r>
      <w:r w:rsidRPr="006D631C">
        <w:rPr>
          <w:noProof/>
        </w:rPr>
        <w:t xml:space="preserve"> </w:t>
      </w:r>
      <w:r w:rsidRPr="006D631C">
        <w:rPr>
          <w:b/>
          <w:bCs/>
          <w:noProof/>
        </w:rPr>
        <w:t>2019</w:t>
      </w:r>
      <w:r w:rsidRPr="006D631C">
        <w:rPr>
          <w:noProof/>
        </w:rPr>
        <w:t xml:space="preserve">, </w:t>
      </w:r>
      <w:r w:rsidRPr="006D631C">
        <w:rPr>
          <w:i/>
          <w:iCs/>
          <w:noProof/>
        </w:rPr>
        <w:t>11</w:t>
      </w:r>
      <w:r w:rsidRPr="006D631C">
        <w:rPr>
          <w:noProof/>
        </w:rPr>
        <w:t xml:space="preserve"> (39), 36110–36117. https://doi.org/10.1021/acsami.9b12943.</w:t>
      </w:r>
    </w:p>
    <w:p w14:paraId="39FA981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(178) </w:t>
      </w:r>
      <w:r w:rsidRPr="006D631C">
        <w:rPr>
          <w:noProof/>
        </w:rPr>
        <w:tab/>
        <w:t xml:space="preserve">Qavi, S.; Foudazi, R. Rheological Characteristics of Mesophases of Block Copolymer Solutions. </w:t>
      </w:r>
      <w:r w:rsidRPr="006D631C">
        <w:rPr>
          <w:i/>
          <w:iCs/>
          <w:noProof/>
        </w:rPr>
        <w:t>Rheol. Acta</w:t>
      </w:r>
      <w:r w:rsidRPr="006D631C">
        <w:rPr>
          <w:noProof/>
        </w:rPr>
        <w:t xml:space="preserve"> </w:t>
      </w:r>
      <w:r w:rsidRPr="006D631C">
        <w:rPr>
          <w:b/>
          <w:bCs/>
          <w:noProof/>
        </w:rPr>
        <w:t>2019</w:t>
      </w:r>
      <w:r w:rsidRPr="006D631C">
        <w:rPr>
          <w:noProof/>
        </w:rPr>
        <w:t xml:space="preserve">, </w:t>
      </w:r>
      <w:r w:rsidRPr="006D631C">
        <w:rPr>
          <w:i/>
          <w:iCs/>
          <w:noProof/>
        </w:rPr>
        <w:t>58</w:t>
      </w:r>
      <w:r w:rsidRPr="006D631C">
        <w:rPr>
          <w:noProof/>
        </w:rPr>
        <w:t xml:space="preserve"> (8), 483–498. https://doi.org/10.1007/s00397-019-01162-y.</w:t>
      </w:r>
    </w:p>
    <w:p w14:paraId="5DAA871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(179) </w:t>
      </w:r>
      <w:r w:rsidRPr="006D631C">
        <w:rPr>
          <w:noProof/>
        </w:rPr>
        <w:tab/>
        <w:t xml:space="preserve">Yue, K.; Liu, C.; Guo, K.; Wu, K.; Dong, X.-H.; Liu, H.; Huang, M.; Wesdemiotis, C.; Cheng, S. Z. D.; Zhang, W.-B. Exploring Shape Amphiphiles beyond Giant Surfactants: Molecular Design and Click Synthesis. </w:t>
      </w:r>
      <w:r w:rsidRPr="006D631C">
        <w:rPr>
          <w:i/>
          <w:iCs/>
          <w:noProof/>
        </w:rPr>
        <w:t>Polym. Chem.</w:t>
      </w:r>
      <w:r w:rsidRPr="006D631C">
        <w:rPr>
          <w:noProof/>
        </w:rPr>
        <w:t xml:space="preserve"> </w:t>
      </w:r>
      <w:r w:rsidRPr="006D631C">
        <w:rPr>
          <w:b/>
          <w:bCs/>
          <w:noProof/>
        </w:rPr>
        <w:t>2013</w:t>
      </w:r>
      <w:r w:rsidRPr="006D631C">
        <w:rPr>
          <w:noProof/>
        </w:rPr>
        <w:t xml:space="preserve">, </w:t>
      </w:r>
      <w:r w:rsidRPr="006D631C">
        <w:rPr>
          <w:i/>
          <w:iCs/>
          <w:noProof/>
        </w:rPr>
        <w:t>4</w:t>
      </w:r>
      <w:r w:rsidRPr="006D631C">
        <w:rPr>
          <w:noProof/>
        </w:rPr>
        <w:t xml:space="preserve"> (4), 1056–1067. https://doi.org/10.1039/C2PY20881D.</w:t>
      </w:r>
    </w:p>
    <w:p w14:paraId="720CA50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(180) </w:t>
      </w:r>
      <w:r w:rsidRPr="006D631C">
        <w:rPr>
          <w:noProof/>
        </w:rPr>
        <w:tab/>
        <w:t xml:space="preserve">Yu, X.; Li, Y.; Dong, X.-H.; Yue, K.; Lin, Z.; Feng, X.; Huang, M.; Zhang, W.-B.; Cheng, S. Z. D. Giant Surfactants Based on Molecular Nanoparticles: Precise Synthesis and Solution Self-Assembly. </w:t>
      </w:r>
      <w:r w:rsidRPr="006D631C">
        <w:rPr>
          <w:i/>
          <w:iCs/>
          <w:noProof/>
        </w:rPr>
        <w:t>J. Polym. Sci. Part B Polym. Phys.</w:t>
      </w:r>
      <w:r w:rsidRPr="006D631C">
        <w:rPr>
          <w:noProof/>
        </w:rPr>
        <w:t xml:space="preserve"> </w:t>
      </w:r>
      <w:r w:rsidRPr="006D631C">
        <w:rPr>
          <w:b/>
          <w:bCs/>
          <w:noProof/>
        </w:rPr>
        <w:t>2014</w:t>
      </w:r>
      <w:r w:rsidRPr="006D631C">
        <w:rPr>
          <w:noProof/>
        </w:rPr>
        <w:t xml:space="preserve">, </w:t>
      </w:r>
      <w:r w:rsidRPr="006D631C">
        <w:rPr>
          <w:i/>
          <w:iCs/>
          <w:noProof/>
        </w:rPr>
        <w:t>52</w:t>
      </w:r>
      <w:r w:rsidRPr="006D631C">
        <w:rPr>
          <w:noProof/>
        </w:rPr>
        <w:t xml:space="preserve"> (20), 1309–1325. https://doi.org/10.1002/polb.23571.</w:t>
      </w:r>
    </w:p>
    <w:p w14:paraId="6A235E5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(181) </w:t>
      </w:r>
      <w:r w:rsidRPr="006D631C">
        <w:rPr>
          <w:noProof/>
        </w:rPr>
        <w:tab/>
        <w:t xml:space="preserve">Reynhout, I. C.; Cornelissen, J. J. L. M.; Nolte, R. J. M. Synthesis of Polymer−Biohybrids: From Small to Giant Surfactants. </w:t>
      </w:r>
      <w:r w:rsidRPr="006D631C">
        <w:rPr>
          <w:i/>
          <w:iCs/>
          <w:noProof/>
        </w:rPr>
        <w:t>Acc. Chem. Res.</w:t>
      </w:r>
      <w:r w:rsidRPr="006D631C">
        <w:rPr>
          <w:noProof/>
        </w:rPr>
        <w:t xml:space="preserve"> </w:t>
      </w:r>
      <w:r w:rsidRPr="006D631C">
        <w:rPr>
          <w:b/>
          <w:bCs/>
          <w:noProof/>
        </w:rPr>
        <w:t>2009</w:t>
      </w:r>
      <w:r w:rsidRPr="006D631C">
        <w:rPr>
          <w:noProof/>
        </w:rPr>
        <w:t xml:space="preserve">, </w:t>
      </w:r>
      <w:r w:rsidRPr="006D631C">
        <w:rPr>
          <w:i/>
          <w:iCs/>
          <w:noProof/>
        </w:rPr>
        <w:t>42</w:t>
      </w:r>
      <w:r w:rsidRPr="006D631C">
        <w:rPr>
          <w:noProof/>
        </w:rPr>
        <w:t xml:space="preserve"> (6), 681–692. https://doi.org/10.1021/ar800143a.</w:t>
      </w:r>
    </w:p>
    <w:p w14:paraId="69E84D2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(182) </w:t>
      </w:r>
      <w:r w:rsidRPr="006D631C">
        <w:rPr>
          <w:noProof/>
        </w:rPr>
        <w:tab/>
        <w:t xml:space="preserve">Yu, X.; Yue, K.; Hsieh, I.-F.; Li, Y.; Dong, X.-H.; Liu, C.; Xin, Y.; Wang, H.-F.; Shi, A.-C.; Newkome, G. R.; Ho, R.-M.; Chen, E.-Q.; Zhang, W.-B.; Cheng, S. Z. D. Giant Surfactants Provide a Versatile Platform for Sub-10-Nm Nanostructure Engineering. </w:t>
      </w:r>
      <w:r w:rsidRPr="006D631C">
        <w:rPr>
          <w:i/>
          <w:iCs/>
          <w:noProof/>
        </w:rPr>
        <w:t>Proc. Natl. Acad. Sci.</w:t>
      </w:r>
      <w:r w:rsidRPr="006D631C">
        <w:rPr>
          <w:noProof/>
        </w:rPr>
        <w:t xml:space="preserve"> </w:t>
      </w:r>
      <w:r w:rsidRPr="006D631C">
        <w:rPr>
          <w:b/>
          <w:bCs/>
          <w:noProof/>
        </w:rPr>
        <w:t>2013</w:t>
      </w:r>
      <w:r w:rsidRPr="006D631C">
        <w:rPr>
          <w:noProof/>
        </w:rPr>
        <w:t xml:space="preserve">, </w:t>
      </w:r>
      <w:r w:rsidRPr="006D631C">
        <w:rPr>
          <w:i/>
          <w:iCs/>
          <w:noProof/>
        </w:rPr>
        <w:t>110</w:t>
      </w:r>
      <w:r w:rsidRPr="006D631C">
        <w:rPr>
          <w:noProof/>
        </w:rPr>
        <w:t xml:space="preserve"> (25), 10078–10083. https://doi.org/10.1073/pnas.1302606110.</w:t>
      </w:r>
    </w:p>
    <w:p w14:paraId="0FE3FD6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(183) </w:t>
      </w:r>
      <w:r w:rsidRPr="006D631C">
        <w:rPr>
          <w:noProof/>
        </w:rPr>
        <w:tab/>
        <w:t xml:space="preserve">Yoon, W.-J.; Lee, K. M.; Evans, D. R.; McConney, M. E.; Kim, D.-Y.; Jeong, K.-U. Giant </w:t>
      </w:r>
      <w:r w:rsidRPr="006D631C">
        <w:rPr>
          <w:noProof/>
        </w:rPr>
        <w:lastRenderedPageBreak/>
        <w:t xml:space="preserve">Surfactants for the Construction of Automatic Liquid Crystal Alignment Layers. </w:t>
      </w:r>
      <w:r w:rsidRPr="006D631C">
        <w:rPr>
          <w:i/>
          <w:iCs/>
          <w:noProof/>
        </w:rPr>
        <w:t>J. Mater. Chem. C</w:t>
      </w:r>
      <w:r w:rsidRPr="006D631C">
        <w:rPr>
          <w:noProof/>
        </w:rPr>
        <w:t xml:space="preserve"> </w:t>
      </w:r>
      <w:r w:rsidRPr="006D631C">
        <w:rPr>
          <w:b/>
          <w:bCs/>
          <w:noProof/>
        </w:rPr>
        <w:t>2019</w:t>
      </w:r>
      <w:r w:rsidRPr="006D631C">
        <w:rPr>
          <w:noProof/>
        </w:rPr>
        <w:t xml:space="preserve">, </w:t>
      </w:r>
      <w:r w:rsidRPr="006D631C">
        <w:rPr>
          <w:i/>
          <w:iCs/>
          <w:noProof/>
        </w:rPr>
        <w:t>7</w:t>
      </w:r>
      <w:r w:rsidRPr="006D631C">
        <w:rPr>
          <w:noProof/>
        </w:rPr>
        <w:t xml:space="preserve"> (28), 8500–8514. https://doi.org/10.1039/C9TC00422J.</w:t>
      </w:r>
    </w:p>
    <w:p w14:paraId="387D090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(184) </w:t>
      </w:r>
      <w:r w:rsidRPr="006D631C">
        <w:rPr>
          <w:noProof/>
        </w:rPr>
        <w:tab/>
        <w:t xml:space="preserve">Angelov, B.; Angelova, A.; Ollivon, M.; Bourgaux, C.; Campitelli, A. Diamond-Type Lipid Cubic Phase with Large Water Channels. </w:t>
      </w:r>
      <w:r w:rsidRPr="006D631C">
        <w:rPr>
          <w:i/>
          <w:iCs/>
          <w:noProof/>
        </w:rPr>
        <w:t>J. Am. Chem. Soc.</w:t>
      </w:r>
      <w:r w:rsidRPr="006D631C">
        <w:rPr>
          <w:noProof/>
        </w:rPr>
        <w:t xml:space="preserve"> </w:t>
      </w:r>
      <w:r w:rsidRPr="006D631C">
        <w:rPr>
          <w:b/>
          <w:bCs/>
          <w:noProof/>
        </w:rPr>
        <w:t>2003</w:t>
      </w:r>
      <w:r w:rsidRPr="006D631C">
        <w:rPr>
          <w:noProof/>
        </w:rPr>
        <w:t xml:space="preserve">, </w:t>
      </w:r>
      <w:r w:rsidRPr="006D631C">
        <w:rPr>
          <w:i/>
          <w:iCs/>
          <w:noProof/>
        </w:rPr>
        <w:t>125</w:t>
      </w:r>
      <w:r w:rsidRPr="006D631C">
        <w:rPr>
          <w:noProof/>
        </w:rPr>
        <w:t xml:space="preserve"> (24), 7188–7189. https://doi.org/10.1021/ja034578v.</w:t>
      </w:r>
    </w:p>
    <w:p w14:paraId="2FD0E6C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(185) </w:t>
      </w:r>
      <w:r w:rsidRPr="006D631C">
        <w:rPr>
          <w:noProof/>
        </w:rPr>
        <w:tab/>
        <w:t xml:space="preserve">Barriga, H. M. G.; Tyler, A. I. I.; McCarthy, N. L. C.; Parsons, E. S.; Ces, O.; Law, R. V.; Seddon, J. M.; Brooks, N. J. Temperature and Pressure Tuneable Swollen Bicontinuous Cubic Phases Approaching Nature’s Length Scales. </w:t>
      </w:r>
      <w:r w:rsidRPr="006D631C">
        <w:rPr>
          <w:i/>
          <w:iCs/>
          <w:noProof/>
        </w:rPr>
        <w:t>Soft Matter</w:t>
      </w:r>
      <w:r w:rsidRPr="006D631C">
        <w:rPr>
          <w:noProof/>
        </w:rPr>
        <w:t xml:space="preserve"> </w:t>
      </w:r>
      <w:r w:rsidRPr="006D631C">
        <w:rPr>
          <w:b/>
          <w:bCs/>
          <w:noProof/>
        </w:rPr>
        <w:t>2015</w:t>
      </w:r>
      <w:r w:rsidRPr="006D631C">
        <w:rPr>
          <w:noProof/>
        </w:rPr>
        <w:t xml:space="preserve">, </w:t>
      </w:r>
      <w:r w:rsidRPr="006D631C">
        <w:rPr>
          <w:i/>
          <w:iCs/>
          <w:noProof/>
        </w:rPr>
        <w:t>11</w:t>
      </w:r>
      <w:r w:rsidRPr="006D631C">
        <w:rPr>
          <w:noProof/>
        </w:rPr>
        <w:t xml:space="preserve"> (3), 600–607. https://doi.org/10.1039/C4SM02343A.</w:t>
      </w:r>
    </w:p>
    <w:p w14:paraId="7C323CD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(186) </w:t>
      </w:r>
      <w:r w:rsidRPr="006D631C">
        <w:rPr>
          <w:noProof/>
        </w:rPr>
        <w:tab/>
        <w:t xml:space="preserve">Tyler, A. I. I.; Barriga, H. M. G.; Parsons, E. S.; McCarthy, N. L. C.; Ces, O.; Law, R. V.; Seddon, J. M.; Brooks, N. J. Electrostatic Swelling of Bicontinuous Cubic Lipid Phases. </w:t>
      </w:r>
      <w:r w:rsidRPr="006D631C">
        <w:rPr>
          <w:i/>
          <w:iCs/>
          <w:noProof/>
        </w:rPr>
        <w:t>Soft Matter</w:t>
      </w:r>
      <w:r w:rsidRPr="006D631C">
        <w:rPr>
          <w:noProof/>
        </w:rPr>
        <w:t xml:space="preserve"> </w:t>
      </w:r>
      <w:r w:rsidRPr="006D631C">
        <w:rPr>
          <w:b/>
          <w:bCs/>
          <w:noProof/>
        </w:rPr>
        <w:t>2015</w:t>
      </w:r>
      <w:r w:rsidRPr="006D631C">
        <w:rPr>
          <w:noProof/>
        </w:rPr>
        <w:t xml:space="preserve">, </w:t>
      </w:r>
      <w:r w:rsidRPr="006D631C">
        <w:rPr>
          <w:i/>
          <w:iCs/>
          <w:noProof/>
        </w:rPr>
        <w:t>11</w:t>
      </w:r>
      <w:r w:rsidRPr="006D631C">
        <w:rPr>
          <w:noProof/>
        </w:rPr>
        <w:t xml:space="preserve"> (16), 3279–3286. https://doi.org/10.1039/C5SM00311C.</w:t>
      </w:r>
    </w:p>
    <w:p w14:paraId="2E54775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(187) </w:t>
      </w:r>
      <w:r w:rsidRPr="006D631C">
        <w:rPr>
          <w:noProof/>
        </w:rPr>
        <w:tab/>
        <w:t xml:space="preserve">Bruinsma, R. Elasticity and Excitations of Minimal Crystals. </w:t>
      </w:r>
      <w:r w:rsidRPr="006D631C">
        <w:rPr>
          <w:i/>
          <w:iCs/>
          <w:noProof/>
        </w:rPr>
        <w:t>J. Phys. II</w:t>
      </w:r>
      <w:r w:rsidRPr="006D631C">
        <w:rPr>
          <w:noProof/>
        </w:rPr>
        <w:t xml:space="preserve"> </w:t>
      </w:r>
      <w:r w:rsidRPr="006D631C">
        <w:rPr>
          <w:b/>
          <w:bCs/>
          <w:noProof/>
        </w:rPr>
        <w:t>1992</w:t>
      </w:r>
      <w:r w:rsidRPr="006D631C">
        <w:rPr>
          <w:noProof/>
        </w:rPr>
        <w:t xml:space="preserve">, </w:t>
      </w:r>
      <w:r w:rsidRPr="006D631C">
        <w:rPr>
          <w:i/>
          <w:iCs/>
          <w:noProof/>
        </w:rPr>
        <w:t>2</w:t>
      </w:r>
      <w:r w:rsidRPr="006D631C">
        <w:rPr>
          <w:noProof/>
        </w:rPr>
        <w:t xml:space="preserve"> (3), 425–451. https://doi.org/10.1051/jp2:1992142.</w:t>
      </w:r>
    </w:p>
    <w:p w14:paraId="79742FC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(188) </w:t>
      </w:r>
      <w:r w:rsidRPr="006D631C">
        <w:rPr>
          <w:noProof/>
        </w:rPr>
        <w:tab/>
        <w:t xml:space="preserve">Kim, H.; Song, Z.; Leal, C. Super-Swelled Lyotropic Single Crystals. </w:t>
      </w:r>
      <w:r w:rsidRPr="006D631C">
        <w:rPr>
          <w:i/>
          <w:iCs/>
          <w:noProof/>
        </w:rPr>
        <w:t>Proc. Natl. Acad. Sci.</w:t>
      </w:r>
      <w:r w:rsidRPr="006D631C">
        <w:rPr>
          <w:noProof/>
        </w:rPr>
        <w:t xml:space="preserve"> </w:t>
      </w:r>
      <w:r w:rsidRPr="006D631C">
        <w:rPr>
          <w:b/>
          <w:bCs/>
          <w:noProof/>
        </w:rPr>
        <w:t>2017</w:t>
      </w:r>
      <w:r w:rsidRPr="006D631C">
        <w:rPr>
          <w:noProof/>
        </w:rPr>
        <w:t xml:space="preserve">, </w:t>
      </w:r>
      <w:r w:rsidRPr="006D631C">
        <w:rPr>
          <w:i/>
          <w:iCs/>
          <w:noProof/>
        </w:rPr>
        <w:t>114</w:t>
      </w:r>
      <w:r w:rsidRPr="006D631C">
        <w:rPr>
          <w:noProof/>
        </w:rPr>
        <w:t xml:space="preserve"> (41), 10834–10839. https://doi.org/10.1073/pnas.1710774114.</w:t>
      </w:r>
    </w:p>
    <w:p w14:paraId="7959F54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(189) </w:t>
      </w:r>
      <w:r w:rsidRPr="006D631C">
        <w:rPr>
          <w:noProof/>
        </w:rPr>
        <w:tab/>
        <w:t xml:space="preserve">Leung, S. S. W.; Leal, C. The Stabilization of Primitive Bicontinuous Cubic Phases with Tunable Swelling over a Wide Composition Range. </w:t>
      </w:r>
      <w:r w:rsidRPr="006D631C">
        <w:rPr>
          <w:i/>
          <w:iCs/>
          <w:noProof/>
        </w:rPr>
        <w:t>Soft Matter</w:t>
      </w:r>
      <w:r w:rsidRPr="006D631C">
        <w:rPr>
          <w:noProof/>
        </w:rPr>
        <w:t xml:space="preserve"> </w:t>
      </w:r>
      <w:r w:rsidRPr="006D631C">
        <w:rPr>
          <w:b/>
          <w:bCs/>
          <w:noProof/>
        </w:rPr>
        <w:t>2019</w:t>
      </w:r>
      <w:r w:rsidRPr="006D631C">
        <w:rPr>
          <w:noProof/>
        </w:rPr>
        <w:t xml:space="preserve">, </w:t>
      </w:r>
      <w:r w:rsidRPr="006D631C">
        <w:rPr>
          <w:i/>
          <w:iCs/>
          <w:noProof/>
        </w:rPr>
        <w:t>15</w:t>
      </w:r>
      <w:r w:rsidRPr="006D631C">
        <w:rPr>
          <w:noProof/>
        </w:rPr>
        <w:t xml:space="preserve"> (6), 1269–1277. https://doi.org/10.1039/C8SM02059K.</w:t>
      </w:r>
    </w:p>
    <w:p w14:paraId="0B248FA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(190) </w:t>
      </w:r>
      <w:r w:rsidRPr="006D631C">
        <w:rPr>
          <w:noProof/>
        </w:rPr>
        <w:tab/>
        <w:t xml:space="preserve">Zabara, A.; Chong, J. T. Y.; Martiel, I.; Stark, L.; Cromer, B. A.; Speziale, C.; Drummond, C. J.; Mezzenga, R. Design of Ultra-Swollen Lipidic Mesophases for the Crystallization of Membrane Proteins with Large Extracellular Domains. </w:t>
      </w:r>
      <w:r w:rsidRPr="006D631C">
        <w:rPr>
          <w:i/>
          <w:iCs/>
          <w:noProof/>
        </w:rPr>
        <w:t>Nat. Commun.</w:t>
      </w:r>
      <w:r w:rsidRPr="006D631C">
        <w:rPr>
          <w:noProof/>
        </w:rPr>
        <w:t xml:space="preserve"> </w:t>
      </w:r>
      <w:r w:rsidRPr="006D631C">
        <w:rPr>
          <w:b/>
          <w:bCs/>
          <w:noProof/>
        </w:rPr>
        <w:t>2018</w:t>
      </w:r>
      <w:r w:rsidRPr="006D631C">
        <w:rPr>
          <w:noProof/>
        </w:rPr>
        <w:t xml:space="preserve">, </w:t>
      </w:r>
      <w:r w:rsidRPr="006D631C">
        <w:rPr>
          <w:i/>
          <w:iCs/>
          <w:noProof/>
        </w:rPr>
        <w:t>9</w:t>
      </w:r>
      <w:r w:rsidRPr="006D631C">
        <w:rPr>
          <w:noProof/>
        </w:rPr>
        <w:t xml:space="preserve"> (1), 544. https://doi.org/10.1038/s41467-018-02996-5.</w:t>
      </w:r>
    </w:p>
    <w:p w14:paraId="14A88756"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(191) </w:t>
      </w:r>
      <w:r w:rsidRPr="006D631C">
        <w:rPr>
          <w:noProof/>
        </w:rPr>
        <w:tab/>
        <w:t xml:space="preserve">Chen, C.; Wang, S.; Grady, B. P.; Harwell, J. H.; Shiau, B.-J. Oil-Induced Viscoelasticity in Micellar Solutions of Alkoxy Sulfate. </w:t>
      </w:r>
      <w:r w:rsidRPr="006D631C">
        <w:rPr>
          <w:i/>
          <w:iCs/>
          <w:noProof/>
        </w:rPr>
        <w:t>Langmuir</w:t>
      </w:r>
      <w:r w:rsidRPr="006D631C">
        <w:rPr>
          <w:noProof/>
        </w:rPr>
        <w:t xml:space="preserve"> </w:t>
      </w:r>
      <w:r w:rsidRPr="006D631C">
        <w:rPr>
          <w:b/>
          <w:bCs/>
          <w:noProof/>
        </w:rPr>
        <w:t>2019</w:t>
      </w:r>
      <w:r w:rsidRPr="006D631C">
        <w:rPr>
          <w:noProof/>
        </w:rPr>
        <w:t xml:space="preserve">, </w:t>
      </w:r>
      <w:r w:rsidRPr="006D631C">
        <w:rPr>
          <w:i/>
          <w:iCs/>
          <w:noProof/>
        </w:rPr>
        <w:t>35</w:t>
      </w:r>
      <w:r w:rsidRPr="006D631C">
        <w:rPr>
          <w:noProof/>
        </w:rPr>
        <w:t xml:space="preserve"> (37), 12168–12179. https://doi.org/10.1021/acs.langmuir.9b01969.</w:t>
      </w:r>
    </w:p>
    <w:p w14:paraId="205CBD8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(192) </w:t>
      </w:r>
      <w:r w:rsidRPr="006D631C">
        <w:rPr>
          <w:noProof/>
        </w:rPr>
        <w:tab/>
        <w:t xml:space="preserve">Choi, J.-Y.; Yun, T.; Kwak, S.-Y. Two-Step Thermoresponsive Membrane with Tunable Separation Properties and Improved Cleaning Efficiency. </w:t>
      </w:r>
      <w:r w:rsidRPr="006D631C">
        <w:rPr>
          <w:i/>
          <w:iCs/>
          <w:noProof/>
        </w:rPr>
        <w:t>J. Memb. Sci.</w:t>
      </w:r>
      <w:r w:rsidRPr="006D631C">
        <w:rPr>
          <w:noProof/>
        </w:rPr>
        <w:t xml:space="preserve"> </w:t>
      </w:r>
      <w:r w:rsidRPr="006D631C">
        <w:rPr>
          <w:b/>
          <w:bCs/>
          <w:noProof/>
        </w:rPr>
        <w:t>2018</w:t>
      </w:r>
      <w:r w:rsidRPr="006D631C">
        <w:rPr>
          <w:noProof/>
        </w:rPr>
        <w:t xml:space="preserve">, </w:t>
      </w:r>
      <w:r w:rsidRPr="006D631C">
        <w:rPr>
          <w:i/>
          <w:iCs/>
          <w:noProof/>
        </w:rPr>
        <w:t>554</w:t>
      </w:r>
      <w:r w:rsidRPr="006D631C">
        <w:rPr>
          <w:noProof/>
        </w:rPr>
        <w:t>, 117–124. https://doi.org/10.1016/j.memsci.2018.02.060.</w:t>
      </w:r>
    </w:p>
    <w:p w14:paraId="20DF518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(193) </w:t>
      </w:r>
      <w:r w:rsidRPr="006D631C">
        <w:rPr>
          <w:noProof/>
        </w:rPr>
        <w:tab/>
        <w:t xml:space="preserve">Simone, P. M.; Lodge, T. P. Lyotropic Phase Behavior of Polybutadiene-Poly (Ethylene Oxide) Diblock Copolymers in Ionic Liquids. </w:t>
      </w:r>
      <w:r w:rsidRPr="006D631C">
        <w:rPr>
          <w:i/>
          <w:iCs/>
          <w:noProof/>
        </w:rPr>
        <w:t>Macromolecules</w:t>
      </w:r>
      <w:r w:rsidRPr="006D631C">
        <w:rPr>
          <w:noProof/>
        </w:rPr>
        <w:t xml:space="preserve"> </w:t>
      </w:r>
      <w:r w:rsidRPr="006D631C">
        <w:rPr>
          <w:b/>
          <w:bCs/>
          <w:noProof/>
        </w:rPr>
        <w:t>2008</w:t>
      </w:r>
      <w:r w:rsidRPr="006D631C">
        <w:rPr>
          <w:noProof/>
        </w:rPr>
        <w:t xml:space="preserve">, </w:t>
      </w:r>
      <w:r w:rsidRPr="006D631C">
        <w:rPr>
          <w:i/>
          <w:iCs/>
          <w:noProof/>
        </w:rPr>
        <w:t>41</w:t>
      </w:r>
      <w:r w:rsidRPr="006D631C">
        <w:rPr>
          <w:noProof/>
        </w:rPr>
        <w:t xml:space="preserve"> (5), 1753–1759. https://doi.org/10.1021/ma702252v.</w:t>
      </w:r>
    </w:p>
    <w:p w14:paraId="3247D3C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(194) </w:t>
      </w:r>
      <w:r w:rsidRPr="006D631C">
        <w:rPr>
          <w:noProof/>
        </w:rPr>
        <w:tab/>
        <w:t xml:space="preserve">Panday, A.; Mullin, S.; Gomez, E. D.; Wanakule, N.; Chen, V. L.; Hexemer, A.; Pople, J.; Balsara, N. P. Effect of Molecular Weight and Salt Concentration on Conductivity of Block Copolymer Electrolytes. </w:t>
      </w:r>
      <w:r w:rsidRPr="006D631C">
        <w:rPr>
          <w:i/>
          <w:iCs/>
          <w:noProof/>
        </w:rPr>
        <w:t>Macromolecules</w:t>
      </w:r>
      <w:r w:rsidRPr="006D631C">
        <w:rPr>
          <w:noProof/>
        </w:rPr>
        <w:t xml:space="preserve"> </w:t>
      </w:r>
      <w:r w:rsidRPr="006D631C">
        <w:rPr>
          <w:b/>
          <w:bCs/>
          <w:noProof/>
        </w:rPr>
        <w:t>2009</w:t>
      </w:r>
      <w:r w:rsidRPr="006D631C">
        <w:rPr>
          <w:noProof/>
        </w:rPr>
        <w:t xml:space="preserve">, </w:t>
      </w:r>
      <w:r w:rsidRPr="006D631C">
        <w:rPr>
          <w:i/>
          <w:iCs/>
          <w:noProof/>
        </w:rPr>
        <w:t>42</w:t>
      </w:r>
      <w:r w:rsidRPr="006D631C">
        <w:rPr>
          <w:noProof/>
        </w:rPr>
        <w:t xml:space="preserve"> (13), 4632–4637. https://doi.org/10.1021/ma900451e.</w:t>
      </w:r>
    </w:p>
    <w:p w14:paraId="08945F6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(195) </w:t>
      </w:r>
      <w:r w:rsidRPr="006D631C">
        <w:rPr>
          <w:noProof/>
        </w:rPr>
        <w:tab/>
        <w:t xml:space="preserve">Wanakule, N. S.; Panday, A.; Mullin, S. A.; Gann, E.; Hexemer, A.; Balsara, N. P. Ionic Conductivity of Block Copolymer Electrolytes in the Vicinity of Order-Disorder and Order-Order Transitions. </w:t>
      </w:r>
      <w:r w:rsidRPr="006D631C">
        <w:rPr>
          <w:i/>
          <w:iCs/>
          <w:noProof/>
        </w:rPr>
        <w:t>Macromolecules</w:t>
      </w:r>
      <w:r w:rsidRPr="006D631C">
        <w:rPr>
          <w:noProof/>
        </w:rPr>
        <w:t xml:space="preserve"> </w:t>
      </w:r>
      <w:r w:rsidRPr="006D631C">
        <w:rPr>
          <w:b/>
          <w:bCs/>
          <w:noProof/>
        </w:rPr>
        <w:t>2009</w:t>
      </w:r>
      <w:r w:rsidRPr="006D631C">
        <w:rPr>
          <w:noProof/>
        </w:rPr>
        <w:t xml:space="preserve">, </w:t>
      </w:r>
      <w:r w:rsidRPr="006D631C">
        <w:rPr>
          <w:i/>
          <w:iCs/>
          <w:noProof/>
        </w:rPr>
        <w:t>42</w:t>
      </w:r>
      <w:r w:rsidRPr="006D631C">
        <w:rPr>
          <w:noProof/>
        </w:rPr>
        <w:t xml:space="preserve"> (15), 5642–5651. https://doi.org/10.1021/ma900401a.</w:t>
      </w:r>
    </w:p>
    <w:p w14:paraId="3F1D7BD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(196) </w:t>
      </w:r>
      <w:r w:rsidRPr="006D631C">
        <w:rPr>
          <w:noProof/>
        </w:rPr>
        <w:tab/>
        <w:t xml:space="preserve">Singh, M.; Odusanya, O.; Wilmes, G. M.; Eitouni, H. B.; Gomez, E. D.; Patel, A. J.; Chen, V. L.; Park, M. J.; Fragouli, P.; Iatrou, H.; Hadjichristidis, N.; Cookson, D.; Balsara, N. P. Effect of Molecular Weight on the Mechanical and Electrical Properties of Block Copolymer Electrolytes. </w:t>
      </w:r>
      <w:r w:rsidRPr="006D631C">
        <w:rPr>
          <w:i/>
          <w:iCs/>
          <w:noProof/>
        </w:rPr>
        <w:t>Macromolecules</w:t>
      </w:r>
      <w:r w:rsidRPr="006D631C">
        <w:rPr>
          <w:noProof/>
        </w:rPr>
        <w:t xml:space="preserve"> </w:t>
      </w:r>
      <w:r w:rsidRPr="006D631C">
        <w:rPr>
          <w:b/>
          <w:bCs/>
          <w:noProof/>
        </w:rPr>
        <w:t>2007</w:t>
      </w:r>
      <w:r w:rsidRPr="006D631C">
        <w:rPr>
          <w:noProof/>
        </w:rPr>
        <w:t xml:space="preserve">, </w:t>
      </w:r>
      <w:r w:rsidRPr="006D631C">
        <w:rPr>
          <w:i/>
          <w:iCs/>
          <w:noProof/>
        </w:rPr>
        <w:t>40</w:t>
      </w:r>
      <w:r w:rsidRPr="006D631C">
        <w:rPr>
          <w:noProof/>
        </w:rPr>
        <w:t xml:space="preserve"> (13), 4578–4585. https://doi.org/10.1021/ma0629541.</w:t>
      </w:r>
    </w:p>
    <w:p w14:paraId="6923C2A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(197) </w:t>
      </w:r>
      <w:r w:rsidRPr="006D631C">
        <w:rPr>
          <w:noProof/>
        </w:rPr>
        <w:tab/>
        <w:t xml:space="preserve">Hoarfrost, M. L.; Tyagi, M. S.; Segalman, R. A.; Reimer, J. A. Effect of Confinement on </w:t>
      </w:r>
      <w:r w:rsidRPr="006D631C">
        <w:rPr>
          <w:noProof/>
        </w:rPr>
        <w:lastRenderedPageBreak/>
        <w:t xml:space="preserve">Proton Transport Mechanisms in Block Copolymer/Ionic Liquid Membranes. </w:t>
      </w:r>
      <w:r w:rsidRPr="006D631C">
        <w:rPr>
          <w:i/>
          <w:iCs/>
          <w:noProof/>
        </w:rPr>
        <w:t>Macromolecules</w:t>
      </w:r>
      <w:r w:rsidRPr="006D631C">
        <w:rPr>
          <w:noProof/>
        </w:rPr>
        <w:t xml:space="preserve"> </w:t>
      </w:r>
      <w:r w:rsidRPr="006D631C">
        <w:rPr>
          <w:b/>
          <w:bCs/>
          <w:noProof/>
        </w:rPr>
        <w:t>2012</w:t>
      </w:r>
      <w:r w:rsidRPr="006D631C">
        <w:rPr>
          <w:noProof/>
        </w:rPr>
        <w:t xml:space="preserve">, </w:t>
      </w:r>
      <w:r w:rsidRPr="006D631C">
        <w:rPr>
          <w:i/>
          <w:iCs/>
          <w:noProof/>
        </w:rPr>
        <w:t>45</w:t>
      </w:r>
      <w:r w:rsidRPr="006D631C">
        <w:rPr>
          <w:noProof/>
        </w:rPr>
        <w:t xml:space="preserve"> (7), 3112–3120. https://doi.org/10.1021/ma202741g.</w:t>
      </w:r>
    </w:p>
    <w:p w14:paraId="1BEECC8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(198) </w:t>
      </w:r>
      <w:r w:rsidRPr="006D631C">
        <w:rPr>
          <w:noProof/>
        </w:rPr>
        <w:tab/>
        <w:t xml:space="preserve">Virgili, J. M.; Hoarfrost, M. L.; Segalman, R. A. Effect of an Ionic Liquid Solvent on the Phase Behavior of Block Copolymers. </w:t>
      </w:r>
      <w:r w:rsidRPr="006D631C">
        <w:rPr>
          <w:i/>
          <w:iCs/>
          <w:noProof/>
        </w:rPr>
        <w:t>Macromolecules</w:t>
      </w:r>
      <w:r w:rsidRPr="006D631C">
        <w:rPr>
          <w:noProof/>
        </w:rPr>
        <w:t xml:space="preserve"> </w:t>
      </w:r>
      <w:r w:rsidRPr="006D631C">
        <w:rPr>
          <w:b/>
          <w:bCs/>
          <w:noProof/>
        </w:rPr>
        <w:t>2010</w:t>
      </w:r>
      <w:r w:rsidRPr="006D631C">
        <w:rPr>
          <w:noProof/>
        </w:rPr>
        <w:t xml:space="preserve">, </w:t>
      </w:r>
      <w:r w:rsidRPr="006D631C">
        <w:rPr>
          <w:i/>
          <w:iCs/>
          <w:noProof/>
        </w:rPr>
        <w:t>43</w:t>
      </w:r>
      <w:r w:rsidRPr="006D631C">
        <w:rPr>
          <w:noProof/>
        </w:rPr>
        <w:t xml:space="preserve"> (12), 5417–5423. https://doi.org/10.1021/ma902804e.</w:t>
      </w:r>
    </w:p>
    <w:p w14:paraId="3328D3F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(199) </w:t>
      </w:r>
      <w:r w:rsidRPr="006D631C">
        <w:rPr>
          <w:noProof/>
        </w:rPr>
        <w:tab/>
        <w:t xml:space="preserve">Young, W.-S.; Kuan, W.-F.; Epps, T. H. Block Copolymer Electrolytes for Rechargeable Lithium Batteries. </w:t>
      </w:r>
      <w:r w:rsidRPr="006D631C">
        <w:rPr>
          <w:i/>
          <w:iCs/>
          <w:noProof/>
        </w:rPr>
        <w:t>J. Polym. Sci. Part B Polym. Phys.</w:t>
      </w:r>
      <w:r w:rsidRPr="006D631C">
        <w:rPr>
          <w:noProof/>
        </w:rPr>
        <w:t xml:space="preserve"> </w:t>
      </w:r>
      <w:r w:rsidRPr="006D631C">
        <w:rPr>
          <w:b/>
          <w:bCs/>
          <w:noProof/>
        </w:rPr>
        <w:t>2014</w:t>
      </w:r>
      <w:r w:rsidRPr="006D631C">
        <w:rPr>
          <w:noProof/>
        </w:rPr>
        <w:t xml:space="preserve">, </w:t>
      </w:r>
      <w:r w:rsidRPr="006D631C">
        <w:rPr>
          <w:i/>
          <w:iCs/>
          <w:noProof/>
        </w:rPr>
        <w:t>52</w:t>
      </w:r>
      <w:r w:rsidRPr="006D631C">
        <w:rPr>
          <w:noProof/>
        </w:rPr>
        <w:t xml:space="preserve"> (1), 1–16. https://doi.org/10.1002/polb.23404.</w:t>
      </w:r>
    </w:p>
    <w:p w14:paraId="4058C02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(200) </w:t>
      </w:r>
      <w:r w:rsidRPr="006D631C">
        <w:rPr>
          <w:noProof/>
        </w:rPr>
        <w:tab/>
        <w:t xml:space="preserve">Ghosh, S.; Ramos, L.; Remita, H. Swollen Hexagonal Liquid Crystals as Smart Nanoreactors: Implementation in Materials Chemistry for Energy Applications. </w:t>
      </w:r>
      <w:r w:rsidRPr="006D631C">
        <w:rPr>
          <w:i/>
          <w:iCs/>
          <w:noProof/>
        </w:rPr>
        <w:t>Nanoscale</w:t>
      </w:r>
      <w:r w:rsidRPr="006D631C">
        <w:rPr>
          <w:noProof/>
        </w:rPr>
        <w:t xml:space="preserve"> </w:t>
      </w:r>
      <w:r w:rsidRPr="006D631C">
        <w:rPr>
          <w:b/>
          <w:bCs/>
          <w:noProof/>
        </w:rPr>
        <w:t>2018</w:t>
      </w:r>
      <w:r w:rsidRPr="006D631C">
        <w:rPr>
          <w:noProof/>
        </w:rPr>
        <w:t xml:space="preserve">, </w:t>
      </w:r>
      <w:r w:rsidRPr="006D631C">
        <w:rPr>
          <w:i/>
          <w:iCs/>
          <w:noProof/>
        </w:rPr>
        <w:t>10</w:t>
      </w:r>
      <w:r w:rsidRPr="006D631C">
        <w:rPr>
          <w:noProof/>
        </w:rPr>
        <w:t xml:space="preserve"> (13), 5793–5819. https://doi.org/10.1039/C7NR08457A.</w:t>
      </w:r>
    </w:p>
    <w:p w14:paraId="27CFDFE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(201) </w:t>
      </w:r>
      <w:r w:rsidRPr="006D631C">
        <w:rPr>
          <w:noProof/>
        </w:rPr>
        <w:tab/>
        <w:t xml:space="preserve">Fan, X.; Zhang, Z.; Li, G.; Rowson, N. A. Attachment of Solid Particles to Air Bubbles in Surfactant-Free Aqueous Solutions. </w:t>
      </w:r>
      <w:r w:rsidRPr="006D631C">
        <w:rPr>
          <w:i/>
          <w:iCs/>
          <w:noProof/>
        </w:rPr>
        <w:t>Chem. Eng. Sci.</w:t>
      </w:r>
      <w:r w:rsidRPr="006D631C">
        <w:rPr>
          <w:noProof/>
        </w:rPr>
        <w:t xml:space="preserve"> </w:t>
      </w:r>
      <w:r w:rsidRPr="006D631C">
        <w:rPr>
          <w:b/>
          <w:bCs/>
          <w:noProof/>
        </w:rPr>
        <w:t>2004</w:t>
      </w:r>
      <w:r w:rsidRPr="006D631C">
        <w:rPr>
          <w:noProof/>
        </w:rPr>
        <w:t xml:space="preserve">, </w:t>
      </w:r>
      <w:r w:rsidRPr="006D631C">
        <w:rPr>
          <w:i/>
          <w:iCs/>
          <w:noProof/>
        </w:rPr>
        <w:t>59</w:t>
      </w:r>
      <w:r w:rsidRPr="006D631C">
        <w:rPr>
          <w:noProof/>
        </w:rPr>
        <w:t xml:space="preserve"> (13), 2639–2645. https://doi.org/10.1016/j.ces.2004.04.001.</w:t>
      </w:r>
    </w:p>
    <w:p w14:paraId="6CCD449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(202) </w:t>
      </w:r>
      <w:r w:rsidRPr="006D631C">
        <w:rPr>
          <w:noProof/>
        </w:rPr>
        <w:tab/>
        <w:t xml:space="preserve">Thomas, A.; Goettmann, F.; Antonietti, M. Hard Templates for Soft Materials: Creating Nanostructured Organic Materials †. </w:t>
      </w:r>
      <w:r w:rsidRPr="006D631C">
        <w:rPr>
          <w:i/>
          <w:iCs/>
          <w:noProof/>
        </w:rPr>
        <w:t>Chem. Mater.</w:t>
      </w:r>
      <w:r w:rsidRPr="006D631C">
        <w:rPr>
          <w:noProof/>
        </w:rPr>
        <w:t xml:space="preserve"> </w:t>
      </w:r>
      <w:r w:rsidRPr="006D631C">
        <w:rPr>
          <w:b/>
          <w:bCs/>
          <w:noProof/>
        </w:rPr>
        <w:t>2008</w:t>
      </w:r>
      <w:r w:rsidRPr="006D631C">
        <w:rPr>
          <w:noProof/>
        </w:rPr>
        <w:t xml:space="preserve">, </w:t>
      </w:r>
      <w:r w:rsidRPr="006D631C">
        <w:rPr>
          <w:i/>
          <w:iCs/>
          <w:noProof/>
        </w:rPr>
        <w:t>20</w:t>
      </w:r>
      <w:r w:rsidRPr="006D631C">
        <w:rPr>
          <w:noProof/>
        </w:rPr>
        <w:t xml:space="preserve"> (3), 738–755. https://doi.org/10.1021/cm702126j.</w:t>
      </w:r>
    </w:p>
    <w:p w14:paraId="19CCF3A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(203) </w:t>
      </w:r>
      <w:r w:rsidRPr="006D631C">
        <w:rPr>
          <w:noProof/>
        </w:rPr>
        <w:tab/>
        <w:t xml:space="preserve">Wang, X.; Lin, K. S. K.; Chan, J. C. C.; Cheng, S. Direct Synthesis and Catalytic Applications of Ordered Large Pore Aminopropyl-Functionalized SBA-15 Mesoporous Materials. </w:t>
      </w:r>
      <w:r w:rsidRPr="006D631C">
        <w:rPr>
          <w:i/>
          <w:iCs/>
          <w:noProof/>
        </w:rPr>
        <w:t>J. Phys. Chem. B</w:t>
      </w:r>
      <w:r w:rsidRPr="006D631C">
        <w:rPr>
          <w:noProof/>
        </w:rPr>
        <w:t xml:space="preserve"> </w:t>
      </w:r>
      <w:r w:rsidRPr="006D631C">
        <w:rPr>
          <w:b/>
          <w:bCs/>
          <w:noProof/>
        </w:rPr>
        <w:t>2005</w:t>
      </w:r>
      <w:r w:rsidRPr="006D631C">
        <w:rPr>
          <w:noProof/>
        </w:rPr>
        <w:t xml:space="preserve">, </w:t>
      </w:r>
      <w:r w:rsidRPr="006D631C">
        <w:rPr>
          <w:i/>
          <w:iCs/>
          <w:noProof/>
        </w:rPr>
        <w:t>109</w:t>
      </w:r>
      <w:r w:rsidRPr="006D631C">
        <w:rPr>
          <w:noProof/>
        </w:rPr>
        <w:t xml:space="preserve"> (5), 1763–1769. https://doi.org/10.1021/jp045798d.</w:t>
      </w:r>
    </w:p>
    <w:p w14:paraId="66AC1A5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(204) </w:t>
      </w:r>
      <w:r w:rsidRPr="006D631C">
        <w:rPr>
          <w:noProof/>
        </w:rPr>
        <w:tab/>
        <w:t xml:space="preserve">Zhao, X. S.; Lu, G. Q. (Max); Millar, G. J. Advances in Mesoporous Molecular Sieve MCM-41. </w:t>
      </w:r>
      <w:r w:rsidRPr="006D631C">
        <w:rPr>
          <w:i/>
          <w:iCs/>
          <w:noProof/>
        </w:rPr>
        <w:t>Ind. Eng. Chem. Res.</w:t>
      </w:r>
      <w:r w:rsidRPr="006D631C">
        <w:rPr>
          <w:noProof/>
        </w:rPr>
        <w:t xml:space="preserve"> </w:t>
      </w:r>
      <w:r w:rsidRPr="006D631C">
        <w:rPr>
          <w:b/>
          <w:bCs/>
          <w:noProof/>
        </w:rPr>
        <w:t>1996</w:t>
      </w:r>
      <w:r w:rsidRPr="006D631C">
        <w:rPr>
          <w:noProof/>
        </w:rPr>
        <w:t xml:space="preserve">, </w:t>
      </w:r>
      <w:r w:rsidRPr="006D631C">
        <w:rPr>
          <w:i/>
          <w:iCs/>
          <w:noProof/>
        </w:rPr>
        <w:t>35</w:t>
      </w:r>
      <w:r w:rsidRPr="006D631C">
        <w:rPr>
          <w:noProof/>
        </w:rPr>
        <w:t xml:space="preserve"> (7), 2075–2090. https://doi.org/10.1021/ie950702a.</w:t>
      </w:r>
    </w:p>
    <w:p w14:paraId="737A8EA8"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(205) </w:t>
      </w:r>
      <w:r w:rsidRPr="006D631C">
        <w:rPr>
          <w:noProof/>
        </w:rPr>
        <w:tab/>
        <w:t xml:space="preserve">da Silva, F. das C. M.; Costa, M. J. dos S.; da Silva, L. K. R.; Batista, A. M.; da Luz, G. E. Functionalization Methods of SBA-15 Mesoporous Molecular Sieve: A Brief Overview. </w:t>
      </w:r>
      <w:r w:rsidRPr="006D631C">
        <w:rPr>
          <w:i/>
          <w:iCs/>
          <w:noProof/>
        </w:rPr>
        <w:t>SN Appl. Sci.</w:t>
      </w:r>
      <w:r w:rsidRPr="006D631C">
        <w:rPr>
          <w:noProof/>
        </w:rPr>
        <w:t xml:space="preserve"> </w:t>
      </w:r>
      <w:r w:rsidRPr="006D631C">
        <w:rPr>
          <w:b/>
          <w:bCs/>
          <w:noProof/>
        </w:rPr>
        <w:t>2019</w:t>
      </w:r>
      <w:r w:rsidRPr="006D631C">
        <w:rPr>
          <w:noProof/>
        </w:rPr>
        <w:t xml:space="preserve">, </w:t>
      </w:r>
      <w:r w:rsidRPr="006D631C">
        <w:rPr>
          <w:i/>
          <w:iCs/>
          <w:noProof/>
        </w:rPr>
        <w:t>1</w:t>
      </w:r>
      <w:r w:rsidRPr="006D631C">
        <w:rPr>
          <w:noProof/>
        </w:rPr>
        <w:t xml:space="preserve"> (6), 654. https://doi.org/10.1007/s42452-019-0677-z.</w:t>
      </w:r>
    </w:p>
    <w:p w14:paraId="3FBFBF3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(206) </w:t>
      </w:r>
      <w:r w:rsidRPr="006D631C">
        <w:rPr>
          <w:noProof/>
        </w:rPr>
        <w:tab/>
        <w:t xml:space="preserve">Ding, J. H.; Gin, D. L. Catalytic Pd Nanoparticles Synthesized Using a Lyotropic Liquid Crystal Polymer Template. </w:t>
      </w:r>
      <w:r w:rsidRPr="006D631C">
        <w:rPr>
          <w:i/>
          <w:iCs/>
          <w:noProof/>
        </w:rPr>
        <w:t>Chem. Mater.</w:t>
      </w:r>
      <w:r w:rsidRPr="006D631C">
        <w:rPr>
          <w:noProof/>
        </w:rPr>
        <w:t xml:space="preserve"> </w:t>
      </w:r>
      <w:r w:rsidRPr="006D631C">
        <w:rPr>
          <w:b/>
          <w:bCs/>
          <w:noProof/>
        </w:rPr>
        <w:t>2000</w:t>
      </w:r>
      <w:r w:rsidRPr="006D631C">
        <w:rPr>
          <w:noProof/>
        </w:rPr>
        <w:t xml:space="preserve">, </w:t>
      </w:r>
      <w:r w:rsidRPr="006D631C">
        <w:rPr>
          <w:i/>
          <w:iCs/>
          <w:noProof/>
        </w:rPr>
        <w:t>12</w:t>
      </w:r>
      <w:r w:rsidRPr="006D631C">
        <w:rPr>
          <w:noProof/>
        </w:rPr>
        <w:t xml:space="preserve"> (1), 22–24. https://doi.org/10.1021/cm990603d.</w:t>
      </w:r>
    </w:p>
    <w:p w14:paraId="3A166D8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(207) </w:t>
      </w:r>
      <w:r w:rsidRPr="006D631C">
        <w:rPr>
          <w:noProof/>
        </w:rPr>
        <w:tab/>
        <w:t xml:space="preserve">Alexandridis, P.; Olsson, U.; Lindman, B. Self-Assembly of Amphiphilic Block Copolymers: The (EO)13(PO)30(EO)13-Water-p-Xylene System. </w:t>
      </w:r>
      <w:r w:rsidRPr="006D631C">
        <w:rPr>
          <w:i/>
          <w:iCs/>
          <w:noProof/>
        </w:rPr>
        <w:t>Macromolecules</w:t>
      </w:r>
      <w:r w:rsidRPr="006D631C">
        <w:rPr>
          <w:noProof/>
        </w:rPr>
        <w:t xml:space="preserve"> </w:t>
      </w:r>
      <w:r w:rsidRPr="006D631C">
        <w:rPr>
          <w:b/>
          <w:bCs/>
          <w:noProof/>
        </w:rPr>
        <w:t>1995</w:t>
      </w:r>
      <w:r w:rsidRPr="006D631C">
        <w:rPr>
          <w:noProof/>
        </w:rPr>
        <w:t xml:space="preserve">, </w:t>
      </w:r>
      <w:r w:rsidRPr="006D631C">
        <w:rPr>
          <w:i/>
          <w:iCs/>
          <w:noProof/>
        </w:rPr>
        <w:t>28</w:t>
      </w:r>
      <w:r w:rsidRPr="006D631C">
        <w:rPr>
          <w:noProof/>
        </w:rPr>
        <w:t xml:space="preserve"> (23), 7700–7710. https://doi.org/10.1021/ma00127a016.</w:t>
      </w:r>
    </w:p>
    <w:p w14:paraId="0974ACC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(208) </w:t>
      </w:r>
      <w:r w:rsidRPr="006D631C">
        <w:rPr>
          <w:noProof/>
        </w:rPr>
        <w:tab/>
        <w:t xml:space="preserve">Alexandridis, P.; Olsson, U.; Lindman, B. Phase Behavior of Amphiphilic Block Copolymers in Water−Oil Mixtures: The Pluronic 25R4−Water− p -Xylene System. </w:t>
      </w:r>
      <w:r w:rsidRPr="006D631C">
        <w:rPr>
          <w:i/>
          <w:iCs/>
          <w:noProof/>
        </w:rPr>
        <w:t>J. Phys. Chem.</w:t>
      </w:r>
      <w:r w:rsidRPr="006D631C">
        <w:rPr>
          <w:noProof/>
        </w:rPr>
        <w:t xml:space="preserve"> </w:t>
      </w:r>
      <w:r w:rsidRPr="006D631C">
        <w:rPr>
          <w:b/>
          <w:bCs/>
          <w:noProof/>
        </w:rPr>
        <w:t>1996</w:t>
      </w:r>
      <w:r w:rsidRPr="006D631C">
        <w:rPr>
          <w:noProof/>
        </w:rPr>
        <w:t xml:space="preserve">, </w:t>
      </w:r>
      <w:r w:rsidRPr="006D631C">
        <w:rPr>
          <w:i/>
          <w:iCs/>
          <w:noProof/>
        </w:rPr>
        <w:t>100</w:t>
      </w:r>
      <w:r w:rsidRPr="006D631C">
        <w:rPr>
          <w:noProof/>
        </w:rPr>
        <w:t xml:space="preserve"> (1), 280–288. https://doi.org/10.1021/jp951626s.</w:t>
      </w:r>
    </w:p>
    <w:p w14:paraId="5C146AB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(209) </w:t>
      </w:r>
      <w:r w:rsidRPr="006D631C">
        <w:rPr>
          <w:noProof/>
        </w:rPr>
        <w:tab/>
        <w:t xml:space="preserve">Holmqvist, P.; Alexandridis, P.; Lindman, B. Modification of the Microstructure in Poloxamer Block Copolymer−Water−“Oil” Systems by Varying the “Oil” Type. </w:t>
      </w:r>
      <w:r w:rsidRPr="006D631C">
        <w:rPr>
          <w:i/>
          <w:iCs/>
          <w:noProof/>
        </w:rPr>
        <w:t>Macromolecules</w:t>
      </w:r>
      <w:r w:rsidRPr="006D631C">
        <w:rPr>
          <w:noProof/>
        </w:rPr>
        <w:t xml:space="preserve"> </w:t>
      </w:r>
      <w:r w:rsidRPr="006D631C">
        <w:rPr>
          <w:b/>
          <w:bCs/>
          <w:noProof/>
        </w:rPr>
        <w:t>1997</w:t>
      </w:r>
      <w:r w:rsidRPr="006D631C">
        <w:rPr>
          <w:noProof/>
        </w:rPr>
        <w:t xml:space="preserve">, </w:t>
      </w:r>
      <w:r w:rsidRPr="006D631C">
        <w:rPr>
          <w:i/>
          <w:iCs/>
          <w:noProof/>
        </w:rPr>
        <w:t>30</w:t>
      </w:r>
      <w:r w:rsidRPr="006D631C">
        <w:rPr>
          <w:noProof/>
        </w:rPr>
        <w:t xml:space="preserve"> (22), 6788–6797. https://doi.org/10.1021/ma970625q.</w:t>
      </w:r>
    </w:p>
    <w:p w14:paraId="164EB8F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(210) </w:t>
      </w:r>
      <w:r w:rsidRPr="006D631C">
        <w:rPr>
          <w:noProof/>
        </w:rPr>
        <w:tab/>
        <w:t xml:space="preserve">Alexandridis, P.; Olsson, U.; Lindman, B. A Record Nine Different Phases (Four Cubic, Two Hexagonal, and One Lamellar Lyotropic Liquid Crystalline and Two Micellar Solutions) in a Ternary Isothermal System of an Amphiphilic Block Copolymer and Selective Solvents (Water and Oil). </w:t>
      </w:r>
      <w:r w:rsidRPr="006D631C">
        <w:rPr>
          <w:i/>
          <w:iCs/>
          <w:noProof/>
        </w:rPr>
        <w:t>Langmuir</w:t>
      </w:r>
      <w:r w:rsidRPr="006D631C">
        <w:rPr>
          <w:noProof/>
        </w:rPr>
        <w:t xml:space="preserve"> </w:t>
      </w:r>
      <w:r w:rsidRPr="006D631C">
        <w:rPr>
          <w:b/>
          <w:bCs/>
          <w:noProof/>
        </w:rPr>
        <w:t>1998</w:t>
      </w:r>
      <w:r w:rsidRPr="006D631C">
        <w:rPr>
          <w:noProof/>
        </w:rPr>
        <w:t xml:space="preserve">, </w:t>
      </w:r>
      <w:r w:rsidRPr="006D631C">
        <w:rPr>
          <w:i/>
          <w:iCs/>
          <w:noProof/>
        </w:rPr>
        <w:t>14</w:t>
      </w:r>
      <w:r w:rsidRPr="006D631C">
        <w:rPr>
          <w:noProof/>
        </w:rPr>
        <w:t xml:space="preserve"> (10), 2627–2638. https://doi.org/10.1021/la971117c.</w:t>
      </w:r>
    </w:p>
    <w:p w14:paraId="651A7DF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(211) </w:t>
      </w:r>
      <w:r w:rsidRPr="006D631C">
        <w:rPr>
          <w:noProof/>
        </w:rPr>
        <w:tab/>
        <w:t xml:space="preserve">Holmqvist, P.; Alexandridis, P.; Lindman, B. Modification of the Microstructure in Block Copolymer−Water−“Oil” Systems by Varying the Copolymer Composition and the “Oil” Type: Small-Angle X-Ray Scattering and Deuterium-NMR Investigation. </w:t>
      </w:r>
      <w:r w:rsidRPr="006D631C">
        <w:rPr>
          <w:i/>
          <w:iCs/>
          <w:noProof/>
        </w:rPr>
        <w:t>J. Phys. Chem. B</w:t>
      </w:r>
      <w:r w:rsidRPr="006D631C">
        <w:rPr>
          <w:noProof/>
        </w:rPr>
        <w:t xml:space="preserve"> </w:t>
      </w:r>
      <w:r w:rsidRPr="006D631C">
        <w:rPr>
          <w:b/>
          <w:bCs/>
          <w:noProof/>
        </w:rPr>
        <w:lastRenderedPageBreak/>
        <w:t>1998</w:t>
      </w:r>
      <w:r w:rsidRPr="006D631C">
        <w:rPr>
          <w:noProof/>
        </w:rPr>
        <w:t xml:space="preserve">, </w:t>
      </w:r>
      <w:r w:rsidRPr="006D631C">
        <w:rPr>
          <w:i/>
          <w:iCs/>
          <w:noProof/>
        </w:rPr>
        <w:t>102</w:t>
      </w:r>
      <w:r w:rsidRPr="006D631C">
        <w:rPr>
          <w:noProof/>
        </w:rPr>
        <w:t xml:space="preserve"> (7), 1149–1158. https://doi.org/10.1021/jp9730297.</w:t>
      </w:r>
    </w:p>
    <w:p w14:paraId="445F93A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(212) </w:t>
      </w:r>
      <w:r w:rsidRPr="006D631C">
        <w:rPr>
          <w:noProof/>
        </w:rPr>
        <w:tab/>
        <w:t xml:space="preserve">Bodratti, A.; Alexandridis, P. Formulation of Poloxamers for Drug Delivery. </w:t>
      </w:r>
      <w:r w:rsidRPr="006D631C">
        <w:rPr>
          <w:i/>
          <w:iCs/>
          <w:noProof/>
        </w:rPr>
        <w:t>J. Funct. Biomater.</w:t>
      </w:r>
      <w:r w:rsidRPr="006D631C">
        <w:rPr>
          <w:noProof/>
        </w:rPr>
        <w:t xml:space="preserve"> </w:t>
      </w:r>
      <w:r w:rsidRPr="006D631C">
        <w:rPr>
          <w:b/>
          <w:bCs/>
          <w:noProof/>
        </w:rPr>
        <w:t>2018</w:t>
      </w:r>
      <w:r w:rsidRPr="006D631C">
        <w:rPr>
          <w:noProof/>
        </w:rPr>
        <w:t xml:space="preserve">, </w:t>
      </w:r>
      <w:r w:rsidRPr="006D631C">
        <w:rPr>
          <w:i/>
          <w:iCs/>
          <w:noProof/>
        </w:rPr>
        <w:t>9</w:t>
      </w:r>
      <w:r w:rsidRPr="006D631C">
        <w:rPr>
          <w:noProof/>
        </w:rPr>
        <w:t xml:space="preserve"> (1), 11. https://doi.org/10.3390/jfb9010011.</w:t>
      </w:r>
    </w:p>
    <w:p w14:paraId="21B0FBA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(213) </w:t>
      </w:r>
      <w:r w:rsidRPr="006D631C">
        <w:rPr>
          <w:noProof/>
        </w:rPr>
        <w:tab/>
        <w:t xml:space="preserve">Sinha, M. K.; Purkait, M. K. Preparation and Characterization of Novel Pegylated Hydrophilic PH Responsive Polysulfone Ultrafiltration Membrane. </w:t>
      </w:r>
      <w:r w:rsidRPr="006D631C">
        <w:rPr>
          <w:i/>
          <w:iCs/>
          <w:noProof/>
        </w:rPr>
        <w:t>J. Memb. Sci.</w:t>
      </w:r>
      <w:r w:rsidRPr="006D631C">
        <w:rPr>
          <w:noProof/>
        </w:rPr>
        <w:t xml:space="preserve"> </w:t>
      </w:r>
      <w:r w:rsidRPr="006D631C">
        <w:rPr>
          <w:b/>
          <w:bCs/>
          <w:noProof/>
        </w:rPr>
        <w:t>2014</w:t>
      </w:r>
      <w:r w:rsidRPr="006D631C">
        <w:rPr>
          <w:noProof/>
        </w:rPr>
        <w:t>. https://doi.org/10.1016/j.memsci.2014.03.067.</w:t>
      </w:r>
    </w:p>
    <w:p w14:paraId="1DB2610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(214) </w:t>
      </w:r>
      <w:r w:rsidRPr="006D631C">
        <w:rPr>
          <w:noProof/>
        </w:rPr>
        <w:tab/>
        <w:t xml:space="preserve">Capek, I. Inverse Emulsion Polymerization of Acrylamide Initiated by Oil- and Water-Soluble Initiators: Effect of Emulsifier Concentration. </w:t>
      </w:r>
      <w:r w:rsidRPr="006D631C">
        <w:rPr>
          <w:i/>
          <w:iCs/>
          <w:noProof/>
        </w:rPr>
        <w:t>Polym. J.</w:t>
      </w:r>
      <w:r w:rsidRPr="006D631C">
        <w:rPr>
          <w:noProof/>
        </w:rPr>
        <w:t xml:space="preserve"> </w:t>
      </w:r>
      <w:r w:rsidRPr="006D631C">
        <w:rPr>
          <w:b/>
          <w:bCs/>
          <w:noProof/>
        </w:rPr>
        <w:t>2004</w:t>
      </w:r>
      <w:r w:rsidRPr="006D631C">
        <w:rPr>
          <w:noProof/>
        </w:rPr>
        <w:t xml:space="preserve">, </w:t>
      </w:r>
      <w:r w:rsidRPr="006D631C">
        <w:rPr>
          <w:i/>
          <w:iCs/>
          <w:noProof/>
        </w:rPr>
        <w:t>36</w:t>
      </w:r>
      <w:r w:rsidRPr="006D631C">
        <w:rPr>
          <w:noProof/>
        </w:rPr>
        <w:t xml:space="preserve"> (10), 793–803. https://doi.org/10.1295/polymj.36.793.</w:t>
      </w:r>
    </w:p>
    <w:p w14:paraId="5F400D1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(215) </w:t>
      </w:r>
      <w:r w:rsidRPr="006D631C">
        <w:rPr>
          <w:noProof/>
        </w:rPr>
        <w:tab/>
        <w:t xml:space="preserve">Alexandridis, P.; Olsson, U.; Lindman, B. Self-Assembly of Amphiphilic Block Copolymers: The (EO)13(PO)30(EO)13-Water-p-Xylene System. </w:t>
      </w:r>
      <w:r w:rsidRPr="006D631C">
        <w:rPr>
          <w:i/>
          <w:iCs/>
          <w:noProof/>
        </w:rPr>
        <w:t>Macromolecules</w:t>
      </w:r>
      <w:r w:rsidRPr="006D631C">
        <w:rPr>
          <w:noProof/>
        </w:rPr>
        <w:t xml:space="preserve"> </w:t>
      </w:r>
      <w:r w:rsidRPr="006D631C">
        <w:rPr>
          <w:b/>
          <w:bCs/>
          <w:noProof/>
        </w:rPr>
        <w:t>1995</w:t>
      </w:r>
      <w:r w:rsidRPr="006D631C">
        <w:rPr>
          <w:noProof/>
        </w:rPr>
        <w:t xml:space="preserve">, </w:t>
      </w:r>
      <w:r w:rsidRPr="006D631C">
        <w:rPr>
          <w:i/>
          <w:iCs/>
          <w:noProof/>
        </w:rPr>
        <w:t>28</w:t>
      </w:r>
      <w:r w:rsidRPr="006D631C">
        <w:rPr>
          <w:noProof/>
        </w:rPr>
        <w:t xml:space="preserve"> (23), 7700–7710. https://doi.org/10.1021/ma00127a016.</w:t>
      </w:r>
    </w:p>
    <w:p w14:paraId="3743589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(216) </w:t>
      </w:r>
      <w:r w:rsidRPr="006D631C">
        <w:rPr>
          <w:noProof/>
        </w:rPr>
        <w:tab/>
        <w:t xml:space="preserve">Odian, G. Chain Copolymerization. In </w:t>
      </w:r>
      <w:r w:rsidRPr="006D631C">
        <w:rPr>
          <w:i/>
          <w:iCs/>
          <w:noProof/>
        </w:rPr>
        <w:t>Principles of Polymerization</w:t>
      </w:r>
      <w:r w:rsidRPr="006D631C">
        <w:rPr>
          <w:noProof/>
        </w:rPr>
        <w:t>; John Wiley &amp; Sons, Inc.: Hoboken, NJ, USA, 2004. https://doi.org/10.1002/047147875X.ch6.</w:t>
      </w:r>
    </w:p>
    <w:p w14:paraId="2DAA70E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(217) </w:t>
      </w:r>
      <w:r w:rsidRPr="006D631C">
        <w:rPr>
          <w:noProof/>
        </w:rPr>
        <w:tab/>
        <w:t xml:space="preserve">Foudazi, R.; Gokun, P.; Feke, D. L.; Rowan, S. J.; Manas-Zloczower, I. Chemorheology of Poly(High Internal Phase Emulsions). </w:t>
      </w:r>
      <w:r w:rsidRPr="006D631C">
        <w:rPr>
          <w:i/>
          <w:iCs/>
          <w:noProof/>
        </w:rPr>
        <w:t>Macromolecules</w:t>
      </w:r>
      <w:r w:rsidRPr="006D631C">
        <w:rPr>
          <w:noProof/>
        </w:rPr>
        <w:t xml:space="preserve"> </w:t>
      </w:r>
      <w:r w:rsidRPr="006D631C">
        <w:rPr>
          <w:b/>
          <w:bCs/>
          <w:noProof/>
        </w:rPr>
        <w:t>2013</w:t>
      </w:r>
      <w:r w:rsidRPr="006D631C">
        <w:rPr>
          <w:noProof/>
        </w:rPr>
        <w:t xml:space="preserve">, </w:t>
      </w:r>
      <w:r w:rsidRPr="006D631C">
        <w:rPr>
          <w:i/>
          <w:iCs/>
          <w:noProof/>
        </w:rPr>
        <w:t>46</w:t>
      </w:r>
      <w:r w:rsidRPr="006D631C">
        <w:rPr>
          <w:noProof/>
        </w:rPr>
        <w:t xml:space="preserve"> (13), 5393–5396. https://doi.org/10.1021/ma401157b.</w:t>
      </w:r>
    </w:p>
    <w:p w14:paraId="7EB9EB7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(218) </w:t>
      </w:r>
      <w:r w:rsidRPr="006D631C">
        <w:rPr>
          <w:noProof/>
        </w:rPr>
        <w:tab/>
        <w:t xml:space="preserve">Mortensen, K.; Brown, W.; Jørgensen, E. Lamellar Mesophase of Polyethylene Oxide)-Poly(Propylene Oxide)-Poly(Ethylene Oxide) Melts and Water-Swollen Mixtures. </w:t>
      </w:r>
      <w:r w:rsidRPr="006D631C">
        <w:rPr>
          <w:i/>
          <w:iCs/>
          <w:noProof/>
        </w:rPr>
        <w:t>Macromolecules</w:t>
      </w:r>
      <w:r w:rsidRPr="006D631C">
        <w:rPr>
          <w:noProof/>
        </w:rPr>
        <w:t xml:space="preserve"> </w:t>
      </w:r>
      <w:r w:rsidRPr="006D631C">
        <w:rPr>
          <w:b/>
          <w:bCs/>
          <w:noProof/>
        </w:rPr>
        <w:t>1995</w:t>
      </w:r>
      <w:r w:rsidRPr="006D631C">
        <w:rPr>
          <w:noProof/>
        </w:rPr>
        <w:t xml:space="preserve">, </w:t>
      </w:r>
      <w:r w:rsidRPr="006D631C">
        <w:rPr>
          <w:i/>
          <w:iCs/>
          <w:noProof/>
        </w:rPr>
        <w:t>28</w:t>
      </w:r>
      <w:r w:rsidRPr="006D631C">
        <w:rPr>
          <w:noProof/>
        </w:rPr>
        <w:t xml:space="preserve"> (5), 1458–1463. https://doi.org/10.1021/ma00109a016.</w:t>
      </w:r>
    </w:p>
    <w:p w14:paraId="3D8A174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(219) </w:t>
      </w:r>
      <w:r w:rsidRPr="006D631C">
        <w:rPr>
          <w:noProof/>
        </w:rPr>
        <w:tab/>
        <w:t xml:space="preserve">Seo, M.; Hillmyer, M. A. Reticulated Nanoporous Polymers by Controlled Polymerization-Induced Microphase Separation. </w:t>
      </w:r>
      <w:r w:rsidRPr="006D631C">
        <w:rPr>
          <w:i/>
          <w:iCs/>
          <w:noProof/>
        </w:rPr>
        <w:t>Science (80-. ).</w:t>
      </w:r>
      <w:r w:rsidRPr="006D631C">
        <w:rPr>
          <w:noProof/>
        </w:rPr>
        <w:t xml:space="preserve"> </w:t>
      </w:r>
      <w:r w:rsidRPr="006D631C">
        <w:rPr>
          <w:b/>
          <w:bCs/>
          <w:noProof/>
        </w:rPr>
        <w:t>2012</w:t>
      </w:r>
      <w:r w:rsidRPr="006D631C">
        <w:rPr>
          <w:noProof/>
        </w:rPr>
        <w:t xml:space="preserve">, </w:t>
      </w:r>
      <w:r w:rsidRPr="006D631C">
        <w:rPr>
          <w:i/>
          <w:iCs/>
          <w:noProof/>
        </w:rPr>
        <w:t>336</w:t>
      </w:r>
      <w:r w:rsidRPr="006D631C">
        <w:rPr>
          <w:noProof/>
        </w:rPr>
        <w:t xml:space="preserve"> (6087), 1422–1425. https://doi.org/10.1126/science.1221383.</w:t>
      </w:r>
    </w:p>
    <w:p w14:paraId="75AB0448"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(220) </w:t>
      </w:r>
      <w:r w:rsidRPr="006D631C">
        <w:rPr>
          <w:noProof/>
        </w:rPr>
        <w:tab/>
        <w:t xml:space="preserve">Sanz, B.; Ballard, N.; Asua, J. M.; Mijangos, C. Effect of Confinement on the Synthesis of PMMA in AAO Templates and Modeling of Free Radical Polymerization. </w:t>
      </w:r>
      <w:r w:rsidRPr="006D631C">
        <w:rPr>
          <w:i/>
          <w:iCs/>
          <w:noProof/>
        </w:rPr>
        <w:t>Macromolecules</w:t>
      </w:r>
      <w:r w:rsidRPr="006D631C">
        <w:rPr>
          <w:noProof/>
        </w:rPr>
        <w:t xml:space="preserve"> </w:t>
      </w:r>
      <w:r w:rsidRPr="006D631C">
        <w:rPr>
          <w:b/>
          <w:bCs/>
          <w:noProof/>
        </w:rPr>
        <w:t>2017</w:t>
      </w:r>
      <w:r w:rsidRPr="006D631C">
        <w:rPr>
          <w:noProof/>
        </w:rPr>
        <w:t xml:space="preserve">, </w:t>
      </w:r>
      <w:r w:rsidRPr="006D631C">
        <w:rPr>
          <w:i/>
          <w:iCs/>
          <w:noProof/>
        </w:rPr>
        <w:t>50</w:t>
      </w:r>
      <w:r w:rsidRPr="006D631C">
        <w:rPr>
          <w:noProof/>
        </w:rPr>
        <w:t xml:space="preserve"> (3), 811–821. https://doi.org/10.1021/acs.macromol.6b02282.</w:t>
      </w:r>
    </w:p>
    <w:p w14:paraId="3CD03F0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(221) </w:t>
      </w:r>
      <w:r w:rsidRPr="006D631C">
        <w:rPr>
          <w:noProof/>
        </w:rPr>
        <w:tab/>
        <w:t xml:space="preserve">Achilias, D. S. Investigation of the Radical Polymerization Kinetics Using DSC and Mechanistic or Isoconversional Methods. </w:t>
      </w:r>
      <w:r w:rsidRPr="006D631C">
        <w:rPr>
          <w:i/>
          <w:iCs/>
          <w:noProof/>
        </w:rPr>
        <w:t>J. Therm. Anal. Calorim.</w:t>
      </w:r>
      <w:r w:rsidRPr="006D631C">
        <w:rPr>
          <w:noProof/>
        </w:rPr>
        <w:t xml:space="preserve"> </w:t>
      </w:r>
      <w:r w:rsidRPr="006D631C">
        <w:rPr>
          <w:b/>
          <w:bCs/>
          <w:noProof/>
        </w:rPr>
        <w:t>2014</w:t>
      </w:r>
      <w:r w:rsidRPr="006D631C">
        <w:rPr>
          <w:noProof/>
        </w:rPr>
        <w:t xml:space="preserve">, </w:t>
      </w:r>
      <w:r w:rsidRPr="006D631C">
        <w:rPr>
          <w:i/>
          <w:iCs/>
          <w:noProof/>
        </w:rPr>
        <w:t>116</w:t>
      </w:r>
      <w:r w:rsidRPr="006D631C">
        <w:rPr>
          <w:noProof/>
        </w:rPr>
        <w:t xml:space="preserve"> (3), 1379–1386. https://doi.org/10.1007/s10973-013-3633-y.</w:t>
      </w:r>
    </w:p>
    <w:p w14:paraId="1C0EFFE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(222) </w:t>
      </w:r>
      <w:r w:rsidRPr="006D631C">
        <w:rPr>
          <w:noProof/>
        </w:rPr>
        <w:tab/>
        <w:t xml:space="preserve">Zhao, H.; Simon, S. L. Methyl Methacrylate Polymerization in Nanoporous Confinement. </w:t>
      </w:r>
      <w:r w:rsidRPr="006D631C">
        <w:rPr>
          <w:i/>
          <w:iCs/>
          <w:noProof/>
        </w:rPr>
        <w:t>Polymer</w:t>
      </w:r>
      <w:r w:rsidRPr="006D631C">
        <w:rPr>
          <w:noProof/>
        </w:rPr>
        <w:t xml:space="preserve"> </w:t>
      </w:r>
      <w:r w:rsidRPr="006D631C">
        <w:rPr>
          <w:b/>
          <w:bCs/>
          <w:noProof/>
        </w:rPr>
        <w:t>2011</w:t>
      </w:r>
      <w:r w:rsidRPr="006D631C">
        <w:rPr>
          <w:noProof/>
        </w:rPr>
        <w:t xml:space="preserve">, </w:t>
      </w:r>
      <w:r w:rsidRPr="006D631C">
        <w:rPr>
          <w:i/>
          <w:iCs/>
          <w:noProof/>
        </w:rPr>
        <w:t>52</w:t>
      </w:r>
      <w:r w:rsidRPr="006D631C">
        <w:rPr>
          <w:noProof/>
        </w:rPr>
        <w:t xml:space="preserve"> (18), 4093–4098. https://doi.org/10.1016/j.polymer.2011.06.048.</w:t>
      </w:r>
    </w:p>
    <w:p w14:paraId="067D282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(223) </w:t>
      </w:r>
      <w:r w:rsidRPr="006D631C">
        <w:rPr>
          <w:noProof/>
        </w:rPr>
        <w:tab/>
        <w:t xml:space="preserve">Strachota, B.; Matějka, L.; Sikora, A.; Spěváček, J.; Konefał, R.; Zhigunov, A.; Šlouf, M. Insight into the Cryopolymerization to Form a Poly(N-Isopropylacrylamide)/Clay Macroporous Gel: Structure and Phase Evolution. </w:t>
      </w:r>
      <w:r w:rsidRPr="006D631C">
        <w:rPr>
          <w:i/>
          <w:iCs/>
          <w:noProof/>
        </w:rPr>
        <w:t>Soft Matter</w:t>
      </w:r>
      <w:r w:rsidRPr="006D631C">
        <w:rPr>
          <w:noProof/>
        </w:rPr>
        <w:t xml:space="preserve"> </w:t>
      </w:r>
      <w:r w:rsidRPr="006D631C">
        <w:rPr>
          <w:b/>
          <w:bCs/>
          <w:noProof/>
        </w:rPr>
        <w:t>2017</w:t>
      </w:r>
      <w:r w:rsidRPr="006D631C">
        <w:rPr>
          <w:noProof/>
        </w:rPr>
        <w:t xml:space="preserve">, </w:t>
      </w:r>
      <w:r w:rsidRPr="006D631C">
        <w:rPr>
          <w:i/>
          <w:iCs/>
          <w:noProof/>
        </w:rPr>
        <w:t>13</w:t>
      </w:r>
      <w:r w:rsidRPr="006D631C">
        <w:rPr>
          <w:noProof/>
        </w:rPr>
        <w:t xml:space="preserve"> (6), 1244–1256. https://doi.org/10.1039/C6SM02278B.</w:t>
      </w:r>
    </w:p>
    <w:p w14:paraId="0A79253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(224) </w:t>
      </w:r>
      <w:r w:rsidRPr="006D631C">
        <w:rPr>
          <w:noProof/>
        </w:rPr>
        <w:tab/>
        <w:t xml:space="preserve">A., C.; K., S.; A., S.-M. J. F.; Q., W.; D., P. J. A.; J., M.-M. On the Stability and Chemorheology of a Urea Choline Chloride Deep-Eutectic Solvent as an Internal Phase in Acrylic High Internal Phase Emulsions. </w:t>
      </w:r>
      <w:r w:rsidRPr="006D631C">
        <w:rPr>
          <w:i/>
          <w:iCs/>
          <w:noProof/>
        </w:rPr>
        <w:t>RSC Adv.</w:t>
      </w:r>
      <w:r w:rsidRPr="006D631C">
        <w:rPr>
          <w:noProof/>
        </w:rPr>
        <w:t xml:space="preserve"> </w:t>
      </w:r>
      <w:r w:rsidRPr="006D631C">
        <w:rPr>
          <w:b/>
          <w:bCs/>
          <w:noProof/>
        </w:rPr>
        <w:t>2016</w:t>
      </w:r>
      <w:r w:rsidRPr="006D631C">
        <w:rPr>
          <w:noProof/>
        </w:rPr>
        <w:t xml:space="preserve">, </w:t>
      </w:r>
      <w:r w:rsidRPr="006D631C">
        <w:rPr>
          <w:i/>
          <w:iCs/>
          <w:noProof/>
        </w:rPr>
        <w:t>6</w:t>
      </w:r>
      <w:r w:rsidRPr="006D631C">
        <w:rPr>
          <w:noProof/>
        </w:rPr>
        <w:t xml:space="preserve"> (85), 81694–81702. https://doi.org/10.1039/C6RA18931H.</w:t>
      </w:r>
    </w:p>
    <w:p w14:paraId="6495CE2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(225) </w:t>
      </w:r>
      <w:r w:rsidRPr="006D631C">
        <w:rPr>
          <w:noProof/>
        </w:rPr>
        <w:tab/>
        <w:t xml:space="preserve">Di Biase, M.; de Leonardis, P.; Castelletto, V.; Hamley, I. W.; Derby, B.; Tirelli, N. Photopolymerization of Pluronic F127 Diacrylate: A Colloid-Templated Polymerization. </w:t>
      </w:r>
      <w:r w:rsidRPr="006D631C">
        <w:rPr>
          <w:i/>
          <w:iCs/>
          <w:noProof/>
        </w:rPr>
        <w:t>Soft Matter</w:t>
      </w:r>
      <w:r w:rsidRPr="006D631C">
        <w:rPr>
          <w:noProof/>
        </w:rPr>
        <w:t xml:space="preserve"> </w:t>
      </w:r>
      <w:r w:rsidRPr="006D631C">
        <w:rPr>
          <w:b/>
          <w:bCs/>
          <w:noProof/>
        </w:rPr>
        <w:t>2011</w:t>
      </w:r>
      <w:r w:rsidRPr="006D631C">
        <w:rPr>
          <w:noProof/>
        </w:rPr>
        <w:t xml:space="preserve">, </w:t>
      </w:r>
      <w:r w:rsidRPr="006D631C">
        <w:rPr>
          <w:i/>
          <w:iCs/>
          <w:noProof/>
        </w:rPr>
        <w:t>7</w:t>
      </w:r>
      <w:r w:rsidRPr="006D631C">
        <w:rPr>
          <w:noProof/>
        </w:rPr>
        <w:t xml:space="preserve"> (10), 4928. https://doi.org/10.1039/c1sm05095h.</w:t>
      </w:r>
    </w:p>
    <w:p w14:paraId="62119A5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(226) </w:t>
      </w:r>
      <w:r w:rsidRPr="006D631C">
        <w:rPr>
          <w:noProof/>
        </w:rPr>
        <w:tab/>
        <w:t xml:space="preserve">Chow, A. W.; Sandell, J. F.; Wolfe, J. F. Reaction Kinetics and Chemo-Rheology of Poly(p-Phenylenebenzobisthiazole) Polymerization in the Ordered Phase. </w:t>
      </w:r>
      <w:r w:rsidRPr="006D631C">
        <w:rPr>
          <w:i/>
          <w:iCs/>
          <w:noProof/>
        </w:rPr>
        <w:t>Polymer</w:t>
      </w:r>
      <w:r w:rsidRPr="006D631C">
        <w:rPr>
          <w:noProof/>
        </w:rPr>
        <w:t xml:space="preserve"> </w:t>
      </w:r>
      <w:r w:rsidRPr="006D631C">
        <w:rPr>
          <w:b/>
          <w:bCs/>
          <w:noProof/>
        </w:rPr>
        <w:t>1988</w:t>
      </w:r>
      <w:r w:rsidRPr="006D631C">
        <w:rPr>
          <w:noProof/>
        </w:rPr>
        <w:t xml:space="preserve">, </w:t>
      </w:r>
      <w:r w:rsidRPr="006D631C">
        <w:rPr>
          <w:i/>
          <w:iCs/>
          <w:noProof/>
        </w:rPr>
        <w:t>29</w:t>
      </w:r>
      <w:r w:rsidRPr="006D631C">
        <w:rPr>
          <w:noProof/>
        </w:rPr>
        <w:t xml:space="preserve"> (7), 1307–1312. https://doi.org/10.1016/0032-3861(88)90061-4.</w:t>
      </w:r>
    </w:p>
    <w:p w14:paraId="585AA09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(227) </w:t>
      </w:r>
      <w:r w:rsidRPr="006D631C">
        <w:rPr>
          <w:noProof/>
        </w:rPr>
        <w:tab/>
        <w:t xml:space="preserve">Chow, A. W.; Hamlin, R. D.; Sandell, J. F.; Wolfe, J. F. Mesophase-Enhanced </w:t>
      </w:r>
      <w:r w:rsidRPr="006D631C">
        <w:rPr>
          <w:noProof/>
        </w:rPr>
        <w:lastRenderedPageBreak/>
        <w:t xml:space="preserve">Polymerization and Chemo-Rheology of Poly(p-Phenylenebenzobisthiazole). </w:t>
      </w:r>
      <w:r w:rsidRPr="006D631C">
        <w:rPr>
          <w:i/>
          <w:iCs/>
          <w:noProof/>
        </w:rPr>
        <w:t>MRS Proc.</w:t>
      </w:r>
      <w:r w:rsidRPr="006D631C">
        <w:rPr>
          <w:noProof/>
        </w:rPr>
        <w:t xml:space="preserve"> </w:t>
      </w:r>
      <w:r w:rsidRPr="006D631C">
        <w:rPr>
          <w:b/>
          <w:bCs/>
          <w:noProof/>
        </w:rPr>
        <w:t>1988</w:t>
      </w:r>
      <w:r w:rsidRPr="006D631C">
        <w:rPr>
          <w:noProof/>
        </w:rPr>
        <w:t xml:space="preserve">, </w:t>
      </w:r>
      <w:r w:rsidRPr="006D631C">
        <w:rPr>
          <w:i/>
          <w:iCs/>
          <w:noProof/>
        </w:rPr>
        <w:t>134</w:t>
      </w:r>
      <w:r w:rsidRPr="006D631C">
        <w:rPr>
          <w:noProof/>
        </w:rPr>
        <w:t>, 95. https://doi.org/10.1557/PROC-134-95.</w:t>
      </w:r>
    </w:p>
    <w:p w14:paraId="27D0C34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(228) </w:t>
      </w:r>
      <w:r w:rsidRPr="006D631C">
        <w:rPr>
          <w:noProof/>
        </w:rPr>
        <w:tab/>
        <w:t xml:space="preserve">Thickett, S. C.; Gilbert, R. G. Emulsion Polymerization: State of the Art in Kinetics and Mechanisms. </w:t>
      </w:r>
      <w:r w:rsidRPr="006D631C">
        <w:rPr>
          <w:i/>
          <w:iCs/>
          <w:noProof/>
        </w:rPr>
        <w:t>Polymer</w:t>
      </w:r>
      <w:r w:rsidRPr="006D631C">
        <w:rPr>
          <w:noProof/>
        </w:rPr>
        <w:t xml:space="preserve"> </w:t>
      </w:r>
      <w:r w:rsidRPr="006D631C">
        <w:rPr>
          <w:b/>
          <w:bCs/>
          <w:noProof/>
        </w:rPr>
        <w:t>2007</w:t>
      </w:r>
      <w:r w:rsidRPr="006D631C">
        <w:rPr>
          <w:noProof/>
        </w:rPr>
        <w:t xml:space="preserve">, </w:t>
      </w:r>
      <w:r w:rsidRPr="006D631C">
        <w:rPr>
          <w:i/>
          <w:iCs/>
          <w:noProof/>
        </w:rPr>
        <w:t>48</w:t>
      </w:r>
      <w:r w:rsidRPr="006D631C">
        <w:rPr>
          <w:noProof/>
        </w:rPr>
        <w:t xml:space="preserve"> (24), 6965–6991. https://doi.org/10.1016/j.polymer.2007.09.031.</w:t>
      </w:r>
    </w:p>
    <w:p w14:paraId="0EDFB07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(229) </w:t>
      </w:r>
      <w:r w:rsidRPr="006D631C">
        <w:rPr>
          <w:noProof/>
        </w:rPr>
        <w:tab/>
        <w:t xml:space="preserve">Maxwell, I. A.; Morrison, B. R.; Napper, D. H.; Gilbert, R. G. Entry of Free Radicals into Latex Particles in Emulsion Polymerization. </w:t>
      </w:r>
      <w:r w:rsidRPr="006D631C">
        <w:rPr>
          <w:i/>
          <w:iCs/>
          <w:noProof/>
        </w:rPr>
        <w:t>Macromolecules</w:t>
      </w:r>
      <w:r w:rsidRPr="006D631C">
        <w:rPr>
          <w:noProof/>
        </w:rPr>
        <w:t xml:space="preserve"> </w:t>
      </w:r>
      <w:r w:rsidRPr="006D631C">
        <w:rPr>
          <w:b/>
          <w:bCs/>
          <w:noProof/>
        </w:rPr>
        <w:t>1991</w:t>
      </w:r>
      <w:r w:rsidRPr="006D631C">
        <w:rPr>
          <w:noProof/>
        </w:rPr>
        <w:t xml:space="preserve">, </w:t>
      </w:r>
      <w:r w:rsidRPr="006D631C">
        <w:rPr>
          <w:i/>
          <w:iCs/>
          <w:noProof/>
        </w:rPr>
        <w:t>24</w:t>
      </w:r>
      <w:r w:rsidRPr="006D631C">
        <w:rPr>
          <w:noProof/>
        </w:rPr>
        <w:t xml:space="preserve"> (7), 1629–1640. https://doi.org/10.1021/ma00007a028.</w:t>
      </w:r>
    </w:p>
    <w:p w14:paraId="368197E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(230) </w:t>
      </w:r>
      <w:r w:rsidRPr="006D631C">
        <w:rPr>
          <w:noProof/>
        </w:rPr>
        <w:tab/>
        <w:t xml:space="preserve">Xu, X.-H.; Li, Y.-X.; Zhou, L.; Liu, N.; Wu, Z.-Q. Precise Fabrication of Porous Polymer Frameworks Using Rigid Polyisocyanides as Building Blocks: From Structural Regulation to Efficient Iodine Capture. </w:t>
      </w:r>
      <w:r w:rsidRPr="006D631C">
        <w:rPr>
          <w:i/>
          <w:iCs/>
          <w:noProof/>
        </w:rPr>
        <w:t>Chem. Sci.</w:t>
      </w:r>
      <w:r w:rsidRPr="006D631C">
        <w:rPr>
          <w:noProof/>
        </w:rPr>
        <w:t xml:space="preserve"> </w:t>
      </w:r>
      <w:r w:rsidRPr="006D631C">
        <w:rPr>
          <w:b/>
          <w:bCs/>
          <w:noProof/>
        </w:rPr>
        <w:t>2022</w:t>
      </w:r>
      <w:r w:rsidRPr="006D631C">
        <w:rPr>
          <w:noProof/>
        </w:rPr>
        <w:t xml:space="preserve">, </w:t>
      </w:r>
      <w:r w:rsidRPr="006D631C">
        <w:rPr>
          <w:i/>
          <w:iCs/>
          <w:noProof/>
        </w:rPr>
        <w:t>13</w:t>
      </w:r>
      <w:r w:rsidRPr="006D631C">
        <w:rPr>
          <w:noProof/>
        </w:rPr>
        <w:t xml:space="preserve"> (4), 1111–1118. https://doi.org/10.1039/D1SC05361B.</w:t>
      </w:r>
    </w:p>
    <w:p w14:paraId="24AC53A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(231) </w:t>
      </w:r>
      <w:r w:rsidRPr="006D631C">
        <w:rPr>
          <w:noProof/>
        </w:rPr>
        <w:tab/>
        <w:t xml:space="preserve">Baker, R. W. </w:t>
      </w:r>
      <w:r w:rsidRPr="006D631C">
        <w:rPr>
          <w:i/>
          <w:iCs/>
          <w:noProof/>
        </w:rPr>
        <w:t>Membrane Technology and Applications</w:t>
      </w:r>
      <w:r w:rsidRPr="006D631C">
        <w:rPr>
          <w:noProof/>
        </w:rPr>
        <w:t>; John Wiley &amp; Sons, Ltd: Chichester, UK, 2012. https://doi.org/10.1002/9781118359686.</w:t>
      </w:r>
    </w:p>
    <w:p w14:paraId="0211068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(232) </w:t>
      </w:r>
      <w:r w:rsidRPr="006D631C">
        <w:rPr>
          <w:noProof/>
        </w:rPr>
        <w:tab/>
        <w:t xml:space="preserve">Rektor, A.; Vatai, G. Membrane Filtration of Mozzarella Whey. </w:t>
      </w:r>
      <w:r w:rsidRPr="006D631C">
        <w:rPr>
          <w:i/>
          <w:iCs/>
          <w:noProof/>
        </w:rPr>
        <w:t>Desalination</w:t>
      </w:r>
      <w:r w:rsidRPr="006D631C">
        <w:rPr>
          <w:noProof/>
        </w:rPr>
        <w:t xml:space="preserve"> </w:t>
      </w:r>
      <w:r w:rsidRPr="006D631C">
        <w:rPr>
          <w:b/>
          <w:bCs/>
          <w:noProof/>
        </w:rPr>
        <w:t>2004</w:t>
      </w:r>
      <w:r w:rsidRPr="006D631C">
        <w:rPr>
          <w:noProof/>
        </w:rPr>
        <w:t xml:space="preserve">, </w:t>
      </w:r>
      <w:r w:rsidRPr="006D631C">
        <w:rPr>
          <w:i/>
          <w:iCs/>
          <w:noProof/>
        </w:rPr>
        <w:t>162</w:t>
      </w:r>
      <w:r w:rsidRPr="006D631C">
        <w:rPr>
          <w:noProof/>
        </w:rPr>
        <w:t>, 279–286. https://doi.org/10.1016/S0011-9164(04)00052-9.</w:t>
      </w:r>
    </w:p>
    <w:p w14:paraId="6233537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(233) </w:t>
      </w:r>
      <w:r w:rsidRPr="006D631C">
        <w:rPr>
          <w:noProof/>
        </w:rPr>
        <w:tab/>
        <w:t xml:space="preserve">Cassano, A.; Marchio, M.; Drioli, E. Clarification of Blood Orange Juice by Ultrafiltration: Analyses of Operating Parameters, Membrane Fouling and Juice Quality. </w:t>
      </w:r>
      <w:r w:rsidRPr="006D631C">
        <w:rPr>
          <w:i/>
          <w:iCs/>
          <w:noProof/>
        </w:rPr>
        <w:t>Desalination</w:t>
      </w:r>
      <w:r w:rsidRPr="006D631C">
        <w:rPr>
          <w:noProof/>
        </w:rPr>
        <w:t xml:space="preserve"> </w:t>
      </w:r>
      <w:r w:rsidRPr="006D631C">
        <w:rPr>
          <w:b/>
          <w:bCs/>
          <w:noProof/>
        </w:rPr>
        <w:t>2007</w:t>
      </w:r>
      <w:r w:rsidRPr="006D631C">
        <w:rPr>
          <w:noProof/>
        </w:rPr>
        <w:t xml:space="preserve">, </w:t>
      </w:r>
      <w:r w:rsidRPr="006D631C">
        <w:rPr>
          <w:i/>
          <w:iCs/>
          <w:noProof/>
        </w:rPr>
        <w:t>212</w:t>
      </w:r>
      <w:r w:rsidRPr="006D631C">
        <w:rPr>
          <w:noProof/>
        </w:rPr>
        <w:t xml:space="preserve"> (1–3), 15–27. https://doi.org/10.1016/j.desal.2006.08.013.</w:t>
      </w:r>
    </w:p>
    <w:p w14:paraId="6616A6F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(234) </w:t>
      </w:r>
      <w:r w:rsidRPr="006D631C">
        <w:rPr>
          <w:noProof/>
        </w:rPr>
        <w:tab/>
        <w:t xml:space="preserve">Li, Q.; Bi, Q.; Lin, H.-H.; Bian, L.-X.; Wang, X.-L. A Novel Ultrafiltration (UF) Membrane with Controllable Selectivity for Protein Separation. </w:t>
      </w:r>
      <w:r w:rsidRPr="006D631C">
        <w:rPr>
          <w:i/>
          <w:iCs/>
          <w:noProof/>
        </w:rPr>
        <w:t>J. Memb. Sci.</w:t>
      </w:r>
      <w:r w:rsidRPr="006D631C">
        <w:rPr>
          <w:noProof/>
        </w:rPr>
        <w:t xml:space="preserve"> </w:t>
      </w:r>
      <w:r w:rsidRPr="006D631C">
        <w:rPr>
          <w:b/>
          <w:bCs/>
          <w:noProof/>
        </w:rPr>
        <w:t>2013</w:t>
      </w:r>
      <w:r w:rsidRPr="006D631C">
        <w:rPr>
          <w:noProof/>
        </w:rPr>
        <w:t xml:space="preserve">, </w:t>
      </w:r>
      <w:r w:rsidRPr="006D631C">
        <w:rPr>
          <w:i/>
          <w:iCs/>
          <w:noProof/>
        </w:rPr>
        <w:t>427</w:t>
      </w:r>
      <w:r w:rsidRPr="006D631C">
        <w:rPr>
          <w:noProof/>
        </w:rPr>
        <w:t>, 155–167. https://doi.org/10.1016/j.memsci.2012.09.010.</w:t>
      </w:r>
    </w:p>
    <w:p w14:paraId="0E1070A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(235) </w:t>
      </w:r>
      <w:r w:rsidRPr="006D631C">
        <w:rPr>
          <w:noProof/>
        </w:rPr>
        <w:tab/>
        <w:t xml:space="preserve">Zhao, X.; Su, Y.; Chen, W.; Peng, J.; Jiang, Z. PH-Responsive and Fouling-Release </w:t>
      </w:r>
      <w:r w:rsidRPr="006D631C">
        <w:rPr>
          <w:noProof/>
        </w:rPr>
        <w:lastRenderedPageBreak/>
        <w:t xml:space="preserve">Properties of PES Ultrafiltration Membranes Modified by Multi-Functional Block-like Copolymers. </w:t>
      </w:r>
      <w:r w:rsidRPr="006D631C">
        <w:rPr>
          <w:i/>
          <w:iCs/>
          <w:noProof/>
        </w:rPr>
        <w:t>J. Memb. Sci.</w:t>
      </w:r>
      <w:r w:rsidRPr="006D631C">
        <w:rPr>
          <w:noProof/>
        </w:rPr>
        <w:t xml:space="preserve"> </w:t>
      </w:r>
      <w:r w:rsidRPr="006D631C">
        <w:rPr>
          <w:b/>
          <w:bCs/>
          <w:noProof/>
        </w:rPr>
        <w:t>2011</w:t>
      </w:r>
      <w:r w:rsidRPr="006D631C">
        <w:rPr>
          <w:noProof/>
        </w:rPr>
        <w:t xml:space="preserve">, </w:t>
      </w:r>
      <w:r w:rsidRPr="006D631C">
        <w:rPr>
          <w:i/>
          <w:iCs/>
          <w:noProof/>
        </w:rPr>
        <w:t>382</w:t>
      </w:r>
      <w:r w:rsidRPr="006D631C">
        <w:rPr>
          <w:noProof/>
        </w:rPr>
        <w:t xml:space="preserve"> (1–2), 222–230. https://doi.org/10.1016/j.memsci.2011.08.014.</w:t>
      </w:r>
    </w:p>
    <w:p w14:paraId="27BE9A7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(236) </w:t>
      </w:r>
      <w:r w:rsidRPr="006D631C">
        <w:rPr>
          <w:noProof/>
        </w:rPr>
        <w:tab/>
        <w:t xml:space="preserve">Sinha, M. K.; Purkait, M. K. Preparation of a Novel Thermo Responsive PSF Membrane, with Cross Linked PVCL-Co-PSF Copolymer for Protein Separation and Easy Cleaning. </w:t>
      </w:r>
      <w:r w:rsidRPr="006D631C">
        <w:rPr>
          <w:i/>
          <w:iCs/>
          <w:noProof/>
        </w:rPr>
        <w:t>RSC Adv.</w:t>
      </w:r>
      <w:r w:rsidRPr="006D631C">
        <w:rPr>
          <w:noProof/>
        </w:rPr>
        <w:t xml:space="preserve"> </w:t>
      </w:r>
      <w:r w:rsidRPr="006D631C">
        <w:rPr>
          <w:b/>
          <w:bCs/>
          <w:noProof/>
        </w:rPr>
        <w:t>2015</w:t>
      </w:r>
      <w:r w:rsidRPr="006D631C">
        <w:rPr>
          <w:noProof/>
        </w:rPr>
        <w:t xml:space="preserve">, </w:t>
      </w:r>
      <w:r w:rsidRPr="006D631C">
        <w:rPr>
          <w:i/>
          <w:iCs/>
          <w:noProof/>
        </w:rPr>
        <w:t>5</w:t>
      </w:r>
      <w:r w:rsidRPr="006D631C">
        <w:rPr>
          <w:noProof/>
        </w:rPr>
        <w:t xml:space="preserve"> (29), 22609–22619. https://doi.org/10.1039/C4RA13863E.</w:t>
      </w:r>
    </w:p>
    <w:p w14:paraId="5638EBB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(237) </w:t>
      </w:r>
      <w:r w:rsidRPr="006D631C">
        <w:rPr>
          <w:noProof/>
        </w:rPr>
        <w:tab/>
        <w:t xml:space="preserve">Fu, J.; Wang, X.; Ma, Z.; Wenming, H.; Li, J.; Wang, Z.; Wang, L. Photocatalytic Ultrafiltration Membranes Based on Visible Light Responsive Photocatalyst: A Review. </w:t>
      </w:r>
      <w:r w:rsidRPr="006D631C">
        <w:rPr>
          <w:i/>
          <w:iCs/>
          <w:noProof/>
        </w:rPr>
        <w:t>Desalin. WATER Treat.</w:t>
      </w:r>
      <w:r w:rsidRPr="006D631C">
        <w:rPr>
          <w:noProof/>
        </w:rPr>
        <w:t xml:space="preserve"> </w:t>
      </w:r>
      <w:r w:rsidRPr="006D631C">
        <w:rPr>
          <w:b/>
          <w:bCs/>
          <w:noProof/>
        </w:rPr>
        <w:t>2019</w:t>
      </w:r>
      <w:r w:rsidRPr="006D631C">
        <w:rPr>
          <w:noProof/>
        </w:rPr>
        <w:t xml:space="preserve">, </w:t>
      </w:r>
      <w:r w:rsidRPr="006D631C">
        <w:rPr>
          <w:i/>
          <w:iCs/>
          <w:noProof/>
        </w:rPr>
        <w:t>168</w:t>
      </w:r>
      <w:r w:rsidRPr="006D631C">
        <w:rPr>
          <w:noProof/>
        </w:rPr>
        <w:t>, 42–55. https://doi.org/10.5004/dwt.2019.24403.</w:t>
      </w:r>
    </w:p>
    <w:p w14:paraId="60B7006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(238) </w:t>
      </w:r>
      <w:r w:rsidRPr="006D631C">
        <w:rPr>
          <w:noProof/>
        </w:rPr>
        <w:tab/>
        <w:t xml:space="preserve">Xiang, T.; Lu, T.; Zhao, W.-F.; Zhao, C.-S. Ionic Strength- and Thermo-Responsive Polyethersulfone Composite Membranes with Enhanced Antifouling Properties. </w:t>
      </w:r>
      <w:r w:rsidRPr="006D631C">
        <w:rPr>
          <w:i/>
          <w:iCs/>
          <w:noProof/>
        </w:rPr>
        <w:t>New J. Chem.</w:t>
      </w:r>
      <w:r w:rsidRPr="006D631C">
        <w:rPr>
          <w:noProof/>
        </w:rPr>
        <w:t xml:space="preserve"> </w:t>
      </w:r>
      <w:r w:rsidRPr="006D631C">
        <w:rPr>
          <w:b/>
          <w:bCs/>
          <w:noProof/>
        </w:rPr>
        <w:t>2018</w:t>
      </w:r>
      <w:r w:rsidRPr="006D631C">
        <w:rPr>
          <w:noProof/>
        </w:rPr>
        <w:t xml:space="preserve">, </w:t>
      </w:r>
      <w:r w:rsidRPr="006D631C">
        <w:rPr>
          <w:i/>
          <w:iCs/>
          <w:noProof/>
        </w:rPr>
        <w:t>42</w:t>
      </w:r>
      <w:r w:rsidRPr="006D631C">
        <w:rPr>
          <w:noProof/>
        </w:rPr>
        <w:t xml:space="preserve"> (7), 5323–5333. https://doi.org/10.1039/C8NJ00039E.</w:t>
      </w:r>
    </w:p>
    <w:p w14:paraId="6797491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(239) </w:t>
      </w:r>
      <w:r w:rsidRPr="006D631C">
        <w:rPr>
          <w:noProof/>
        </w:rPr>
        <w:tab/>
        <w:t xml:space="preserve">Darvishmanesh, S.; Qian, X.; Wickramasinghe, S. R. Responsive Membranes for Advanced Separations. </w:t>
      </w:r>
      <w:r w:rsidRPr="006D631C">
        <w:rPr>
          <w:i/>
          <w:iCs/>
          <w:noProof/>
        </w:rPr>
        <w:t>Curr. Opin. Chem. Eng.</w:t>
      </w:r>
      <w:r w:rsidRPr="006D631C">
        <w:rPr>
          <w:noProof/>
        </w:rPr>
        <w:t xml:space="preserve"> </w:t>
      </w:r>
      <w:r w:rsidRPr="006D631C">
        <w:rPr>
          <w:b/>
          <w:bCs/>
          <w:noProof/>
        </w:rPr>
        <w:t>2015</w:t>
      </w:r>
      <w:r w:rsidRPr="006D631C">
        <w:rPr>
          <w:noProof/>
        </w:rPr>
        <w:t xml:space="preserve">, </w:t>
      </w:r>
      <w:r w:rsidRPr="006D631C">
        <w:rPr>
          <w:i/>
          <w:iCs/>
          <w:noProof/>
        </w:rPr>
        <w:t>8</w:t>
      </w:r>
      <w:r w:rsidRPr="006D631C">
        <w:rPr>
          <w:noProof/>
        </w:rPr>
        <w:t>, 98–104. https://doi.org/10.1016/j.coche.2015.04.002.</w:t>
      </w:r>
    </w:p>
    <w:p w14:paraId="31DC7AE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(240) </w:t>
      </w:r>
      <w:r w:rsidRPr="006D631C">
        <w:rPr>
          <w:noProof/>
        </w:rPr>
        <w:tab/>
        <w:t xml:space="preserve">Roy, D.; Brooks, W. L. A.; Sumerlin, B. S. New Directions in Thermoresponsive Polymers. </w:t>
      </w:r>
      <w:r w:rsidRPr="006D631C">
        <w:rPr>
          <w:i/>
          <w:iCs/>
          <w:noProof/>
        </w:rPr>
        <w:t>Chem. Soc. Rev.</w:t>
      </w:r>
      <w:r w:rsidRPr="006D631C">
        <w:rPr>
          <w:noProof/>
        </w:rPr>
        <w:t xml:space="preserve"> </w:t>
      </w:r>
      <w:r w:rsidRPr="006D631C">
        <w:rPr>
          <w:b/>
          <w:bCs/>
          <w:noProof/>
        </w:rPr>
        <w:t>2013</w:t>
      </w:r>
      <w:r w:rsidRPr="006D631C">
        <w:rPr>
          <w:noProof/>
        </w:rPr>
        <w:t xml:space="preserve">, </w:t>
      </w:r>
      <w:r w:rsidRPr="006D631C">
        <w:rPr>
          <w:i/>
          <w:iCs/>
          <w:noProof/>
        </w:rPr>
        <w:t>42</w:t>
      </w:r>
      <w:r w:rsidRPr="006D631C">
        <w:rPr>
          <w:noProof/>
        </w:rPr>
        <w:t xml:space="preserve"> (17), 7214. https://doi.org/10.1039/c3cs35499g.</w:t>
      </w:r>
    </w:p>
    <w:p w14:paraId="7263F7E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(241) </w:t>
      </w:r>
      <w:r w:rsidRPr="006D631C">
        <w:rPr>
          <w:noProof/>
        </w:rPr>
        <w:tab/>
        <w:t xml:space="preserve">Yu, J.-Z.; Zhu, L.-P.; Zhu, B.-K.; Xu, Y.-Y. Poly(N-Isopropylacrylamide) Grafted Poly(Vinylidene Fluoride) Copolymers for Temperature-Sensitive Membranes. </w:t>
      </w:r>
      <w:r w:rsidRPr="006D631C">
        <w:rPr>
          <w:i/>
          <w:iCs/>
          <w:noProof/>
        </w:rPr>
        <w:t>J. Memb. Sci.</w:t>
      </w:r>
      <w:r w:rsidRPr="006D631C">
        <w:rPr>
          <w:noProof/>
        </w:rPr>
        <w:t xml:space="preserve"> </w:t>
      </w:r>
      <w:r w:rsidRPr="006D631C">
        <w:rPr>
          <w:b/>
          <w:bCs/>
          <w:noProof/>
        </w:rPr>
        <w:t>2011</w:t>
      </w:r>
      <w:r w:rsidRPr="006D631C">
        <w:rPr>
          <w:noProof/>
        </w:rPr>
        <w:t xml:space="preserve">, </w:t>
      </w:r>
      <w:r w:rsidRPr="006D631C">
        <w:rPr>
          <w:i/>
          <w:iCs/>
          <w:noProof/>
        </w:rPr>
        <w:t>366</w:t>
      </w:r>
      <w:r w:rsidRPr="006D631C">
        <w:rPr>
          <w:noProof/>
        </w:rPr>
        <w:t xml:space="preserve"> (1–2), 176–183. https://doi.org/10.1016/j.memsci.2010.09.055.</w:t>
      </w:r>
    </w:p>
    <w:p w14:paraId="002A997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(242) </w:t>
      </w:r>
      <w:r w:rsidRPr="006D631C">
        <w:rPr>
          <w:noProof/>
        </w:rPr>
        <w:tab/>
        <w:t xml:space="preserve">Chen, X.; Bi, S.; Shi, C.; He, Y.; Zhao, L.; Chen, L. Temperature-Sensitive Membranes Prepared from Blends of Poly(Vinylidene Fluoride) and Poly(N-Isopropylacrylamides) Microgels. </w:t>
      </w:r>
      <w:r w:rsidRPr="006D631C">
        <w:rPr>
          <w:i/>
          <w:iCs/>
          <w:noProof/>
        </w:rPr>
        <w:t>Colloid Polym. Sci.</w:t>
      </w:r>
      <w:r w:rsidRPr="006D631C">
        <w:rPr>
          <w:noProof/>
        </w:rPr>
        <w:t xml:space="preserve"> </w:t>
      </w:r>
      <w:r w:rsidRPr="006D631C">
        <w:rPr>
          <w:b/>
          <w:bCs/>
          <w:noProof/>
        </w:rPr>
        <w:t>2013</w:t>
      </w:r>
      <w:r w:rsidRPr="006D631C">
        <w:rPr>
          <w:noProof/>
        </w:rPr>
        <w:t xml:space="preserve">, </w:t>
      </w:r>
      <w:r w:rsidRPr="006D631C">
        <w:rPr>
          <w:i/>
          <w:iCs/>
          <w:noProof/>
        </w:rPr>
        <w:t>291</w:t>
      </w:r>
      <w:r w:rsidRPr="006D631C">
        <w:rPr>
          <w:noProof/>
        </w:rPr>
        <w:t xml:space="preserve"> (10), 2419–2428. https://doi.org/10.1007/s00396-</w:t>
      </w:r>
      <w:r w:rsidRPr="006D631C">
        <w:rPr>
          <w:noProof/>
        </w:rPr>
        <w:lastRenderedPageBreak/>
        <w:t>013-2985-y.</w:t>
      </w:r>
    </w:p>
    <w:p w14:paraId="7D4EFCF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(243) </w:t>
      </w:r>
      <w:r w:rsidRPr="006D631C">
        <w:rPr>
          <w:noProof/>
        </w:rPr>
        <w:tab/>
        <w:t xml:space="preserve">Kahrs, C.; Schwellenbach, J. Membrane Formation via Non-Solvent Induced Phase Separation Using Sustainable Solvents: A Comparative Study. </w:t>
      </w:r>
      <w:r w:rsidRPr="006D631C">
        <w:rPr>
          <w:i/>
          <w:iCs/>
          <w:noProof/>
        </w:rPr>
        <w:t>Polymer</w:t>
      </w:r>
      <w:r w:rsidRPr="006D631C">
        <w:rPr>
          <w:noProof/>
        </w:rPr>
        <w:t xml:space="preserve"> </w:t>
      </w:r>
      <w:r w:rsidRPr="006D631C">
        <w:rPr>
          <w:b/>
          <w:bCs/>
          <w:noProof/>
        </w:rPr>
        <w:t>2020</w:t>
      </w:r>
      <w:r w:rsidRPr="006D631C">
        <w:rPr>
          <w:noProof/>
        </w:rPr>
        <w:t xml:space="preserve">, </w:t>
      </w:r>
      <w:r w:rsidRPr="006D631C">
        <w:rPr>
          <w:i/>
          <w:iCs/>
          <w:noProof/>
        </w:rPr>
        <w:t>186</w:t>
      </w:r>
      <w:r w:rsidRPr="006D631C">
        <w:rPr>
          <w:noProof/>
        </w:rPr>
        <w:t>, 122071. https://doi.org/10.1016/j.polymer.2019.122071.</w:t>
      </w:r>
    </w:p>
    <w:p w14:paraId="5A4C790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(244) </w:t>
      </w:r>
      <w:r w:rsidRPr="006D631C">
        <w:rPr>
          <w:noProof/>
        </w:rPr>
        <w:tab/>
        <w:t xml:space="preserve">Saadat, Y.; Imran, O. Q.; Osuji, C. O.; Foudazi, R. Lyotropic Liquid Crystals as Templates for Advanced Materials. </w:t>
      </w:r>
      <w:r w:rsidRPr="006D631C">
        <w:rPr>
          <w:i/>
          <w:iCs/>
          <w:noProof/>
        </w:rPr>
        <w:t>J. Mater. Chem. A</w:t>
      </w:r>
      <w:r w:rsidRPr="006D631C">
        <w:rPr>
          <w:noProof/>
        </w:rPr>
        <w:t xml:space="preserve"> </w:t>
      </w:r>
      <w:r w:rsidRPr="006D631C">
        <w:rPr>
          <w:b/>
          <w:bCs/>
          <w:noProof/>
        </w:rPr>
        <w:t>2021</w:t>
      </w:r>
      <w:r w:rsidRPr="006D631C">
        <w:rPr>
          <w:noProof/>
        </w:rPr>
        <w:t xml:space="preserve">, </w:t>
      </w:r>
      <w:r w:rsidRPr="006D631C">
        <w:rPr>
          <w:i/>
          <w:iCs/>
          <w:noProof/>
        </w:rPr>
        <w:t>9</w:t>
      </w:r>
      <w:r w:rsidRPr="006D631C">
        <w:rPr>
          <w:noProof/>
        </w:rPr>
        <w:t xml:space="preserve"> (38), 21607–21658. https://doi.org/10.1039/D1TA02748D.</w:t>
      </w:r>
    </w:p>
    <w:p w14:paraId="42CC318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(245) </w:t>
      </w:r>
      <w:r w:rsidRPr="006D631C">
        <w:rPr>
          <w:noProof/>
        </w:rPr>
        <w:tab/>
        <w:t xml:space="preserve">Saadat, Y.; Kim, K.; Foudazi, R. Initiator-Dependent Kinetics of Lyotropic Liquid Crystal-Templated Thermal Polymerization. </w:t>
      </w:r>
      <w:r w:rsidRPr="006D631C">
        <w:rPr>
          <w:i/>
          <w:iCs/>
          <w:noProof/>
        </w:rPr>
        <w:t>Polym. Chem.</w:t>
      </w:r>
      <w:r w:rsidRPr="006D631C">
        <w:rPr>
          <w:noProof/>
        </w:rPr>
        <w:t xml:space="preserve"> </w:t>
      </w:r>
      <w:r w:rsidRPr="006D631C">
        <w:rPr>
          <w:b/>
          <w:bCs/>
          <w:noProof/>
        </w:rPr>
        <w:t>2021</w:t>
      </w:r>
      <w:r w:rsidRPr="006D631C">
        <w:rPr>
          <w:noProof/>
        </w:rPr>
        <w:t xml:space="preserve">, </w:t>
      </w:r>
      <w:r w:rsidRPr="006D631C">
        <w:rPr>
          <w:i/>
          <w:iCs/>
          <w:noProof/>
        </w:rPr>
        <w:t>12</w:t>
      </w:r>
      <w:r w:rsidRPr="006D631C">
        <w:rPr>
          <w:noProof/>
        </w:rPr>
        <w:t xml:space="preserve"> (15), 2236–2252. https://doi.org/10.1039/D1PY00127B.</w:t>
      </w:r>
    </w:p>
    <w:p w14:paraId="2E95BB8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(246) </w:t>
      </w:r>
      <w:r w:rsidRPr="006D631C">
        <w:rPr>
          <w:noProof/>
        </w:rPr>
        <w:tab/>
        <w:t xml:space="preserve">Chatterjee, S.; Hui, P. C.; Wat, E.; Kan, C.; Leung, P.-C.; Wang, W. Drug Delivery System of Dual-Responsive PF127 Hydrogel with Polysaccharide-Based Nano-Conjugate for Textile-Based Transdermal Therapy. </w:t>
      </w:r>
      <w:r w:rsidRPr="006D631C">
        <w:rPr>
          <w:i/>
          <w:iCs/>
          <w:noProof/>
        </w:rPr>
        <w:t>Carbohydr. Polym.</w:t>
      </w:r>
      <w:r w:rsidRPr="006D631C">
        <w:rPr>
          <w:noProof/>
        </w:rPr>
        <w:t xml:space="preserve"> </w:t>
      </w:r>
      <w:r w:rsidRPr="006D631C">
        <w:rPr>
          <w:b/>
          <w:bCs/>
          <w:noProof/>
        </w:rPr>
        <w:t>2020</w:t>
      </w:r>
      <w:r w:rsidRPr="006D631C">
        <w:rPr>
          <w:noProof/>
        </w:rPr>
        <w:t xml:space="preserve">, </w:t>
      </w:r>
      <w:r w:rsidRPr="006D631C">
        <w:rPr>
          <w:i/>
          <w:iCs/>
          <w:noProof/>
        </w:rPr>
        <w:t>236</w:t>
      </w:r>
      <w:r w:rsidRPr="006D631C">
        <w:rPr>
          <w:noProof/>
        </w:rPr>
        <w:t>, 116074. https://doi.org/10.1016/j.carbpol.2020.116074.</w:t>
      </w:r>
    </w:p>
    <w:p w14:paraId="4148D51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(247) </w:t>
      </w:r>
      <w:r w:rsidRPr="006D631C">
        <w:rPr>
          <w:noProof/>
        </w:rPr>
        <w:tab/>
        <w:t xml:space="preserve">CHATTERJEE, S.; Chi-leung HUI, P. Review of Stimuli-Responsive Polymers in Drug Delivery and Textile Application. </w:t>
      </w:r>
      <w:r w:rsidRPr="006D631C">
        <w:rPr>
          <w:i/>
          <w:iCs/>
          <w:noProof/>
        </w:rPr>
        <w:t>Molecules</w:t>
      </w:r>
      <w:r w:rsidRPr="006D631C">
        <w:rPr>
          <w:noProof/>
        </w:rPr>
        <w:t xml:space="preserve"> </w:t>
      </w:r>
      <w:r w:rsidRPr="006D631C">
        <w:rPr>
          <w:b/>
          <w:bCs/>
          <w:noProof/>
        </w:rPr>
        <w:t>2019</w:t>
      </w:r>
      <w:r w:rsidRPr="006D631C">
        <w:rPr>
          <w:noProof/>
        </w:rPr>
        <w:t xml:space="preserve">, </w:t>
      </w:r>
      <w:r w:rsidRPr="006D631C">
        <w:rPr>
          <w:i/>
          <w:iCs/>
          <w:noProof/>
        </w:rPr>
        <w:t>24</w:t>
      </w:r>
      <w:r w:rsidRPr="006D631C">
        <w:rPr>
          <w:noProof/>
        </w:rPr>
        <w:t xml:space="preserve"> (14), 2547. https://doi.org/10.3390/molecules24142547.</w:t>
      </w:r>
    </w:p>
    <w:p w14:paraId="22235DB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(248) </w:t>
      </w:r>
      <w:r w:rsidRPr="006D631C">
        <w:rPr>
          <w:noProof/>
        </w:rPr>
        <w:tab/>
        <w:t xml:space="preserve">Chatterjee, S.; Hui, P. C.; Kan, C.; Wang, W. Dual-Responsive (PH/Temperature) Pluronic F-127 Hydrogel Drug Delivery System for Textile-Based Transdermal Therapy. </w:t>
      </w:r>
      <w:r w:rsidRPr="006D631C">
        <w:rPr>
          <w:i/>
          <w:iCs/>
          <w:noProof/>
        </w:rPr>
        <w:t>Sci. Rep.</w:t>
      </w:r>
      <w:r w:rsidRPr="006D631C">
        <w:rPr>
          <w:noProof/>
        </w:rPr>
        <w:t xml:space="preserve"> </w:t>
      </w:r>
      <w:r w:rsidRPr="006D631C">
        <w:rPr>
          <w:b/>
          <w:bCs/>
          <w:noProof/>
        </w:rPr>
        <w:t>2019</w:t>
      </w:r>
      <w:r w:rsidRPr="006D631C">
        <w:rPr>
          <w:noProof/>
        </w:rPr>
        <w:t xml:space="preserve">, </w:t>
      </w:r>
      <w:r w:rsidRPr="006D631C">
        <w:rPr>
          <w:i/>
          <w:iCs/>
          <w:noProof/>
        </w:rPr>
        <w:t>9</w:t>
      </w:r>
      <w:r w:rsidRPr="006D631C">
        <w:rPr>
          <w:noProof/>
        </w:rPr>
        <w:t xml:space="preserve"> (1), 11658. https://doi.org/10.1038/s41598-019-48254-6.</w:t>
      </w:r>
    </w:p>
    <w:p w14:paraId="41CE520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(249) </w:t>
      </w:r>
      <w:r w:rsidRPr="006D631C">
        <w:rPr>
          <w:noProof/>
        </w:rPr>
        <w:tab/>
        <w:t xml:space="preserve">Thakral, S.; Kim, K. Small-Angle Scattering for Characterization of Pharmaceutical Materials. </w:t>
      </w:r>
      <w:r w:rsidRPr="006D631C">
        <w:rPr>
          <w:i/>
          <w:iCs/>
          <w:noProof/>
        </w:rPr>
        <w:t>TrAC Trends Anal. Chem.</w:t>
      </w:r>
      <w:r w:rsidRPr="006D631C">
        <w:rPr>
          <w:noProof/>
        </w:rPr>
        <w:t xml:space="preserve"> </w:t>
      </w:r>
      <w:r w:rsidRPr="006D631C">
        <w:rPr>
          <w:b/>
          <w:bCs/>
          <w:noProof/>
        </w:rPr>
        <w:t>2021</w:t>
      </w:r>
      <w:r w:rsidRPr="006D631C">
        <w:rPr>
          <w:noProof/>
        </w:rPr>
        <w:t xml:space="preserve">, </w:t>
      </w:r>
      <w:r w:rsidRPr="006D631C">
        <w:rPr>
          <w:i/>
          <w:iCs/>
          <w:noProof/>
        </w:rPr>
        <w:t>134</w:t>
      </w:r>
      <w:r w:rsidRPr="006D631C">
        <w:rPr>
          <w:noProof/>
        </w:rPr>
        <w:t>, 116144. https://doi.org/10.1016/j.trac.2020.116144.</w:t>
      </w:r>
    </w:p>
    <w:p w14:paraId="232E9524"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(250) </w:t>
      </w:r>
      <w:r w:rsidRPr="006D631C">
        <w:rPr>
          <w:noProof/>
        </w:rPr>
        <w:tab/>
        <w:t xml:space="preserve">R. C. Weast. </w:t>
      </w:r>
      <w:r w:rsidRPr="006D631C">
        <w:rPr>
          <w:i/>
          <w:iCs/>
          <w:noProof/>
        </w:rPr>
        <w:t>CRC Handbook of Chemistry and Physics</w:t>
      </w:r>
      <w:r w:rsidRPr="006D631C">
        <w:rPr>
          <w:noProof/>
        </w:rPr>
        <w:t>, 64th ed.; CRC Press: Boca Raton, FL, 1983.</w:t>
      </w:r>
    </w:p>
    <w:p w14:paraId="4D1C467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(251) </w:t>
      </w:r>
      <w:r w:rsidRPr="006D631C">
        <w:rPr>
          <w:noProof/>
        </w:rPr>
        <w:tab/>
        <w:t xml:space="preserve">Davey, C. J.; Low, Z.-X.; Wirawan, R. H.; Patterson, D. A. Molecular Weight Cut-off Determination of Organic Solvent Nanofiltration Membranes Using Poly(Propylene Glycol). </w:t>
      </w:r>
      <w:r w:rsidRPr="006D631C">
        <w:rPr>
          <w:i/>
          <w:iCs/>
          <w:noProof/>
        </w:rPr>
        <w:t>J. Memb. Sci.</w:t>
      </w:r>
      <w:r w:rsidRPr="006D631C">
        <w:rPr>
          <w:noProof/>
        </w:rPr>
        <w:t xml:space="preserve"> </w:t>
      </w:r>
      <w:r w:rsidRPr="006D631C">
        <w:rPr>
          <w:b/>
          <w:bCs/>
          <w:noProof/>
        </w:rPr>
        <w:t>2017</w:t>
      </w:r>
      <w:r w:rsidRPr="006D631C">
        <w:rPr>
          <w:noProof/>
        </w:rPr>
        <w:t xml:space="preserve">, </w:t>
      </w:r>
      <w:r w:rsidRPr="006D631C">
        <w:rPr>
          <w:i/>
          <w:iCs/>
          <w:noProof/>
        </w:rPr>
        <w:t>526</w:t>
      </w:r>
      <w:r w:rsidRPr="006D631C">
        <w:rPr>
          <w:noProof/>
        </w:rPr>
        <w:t>, 221–228. https://doi.org/10.1016/j.memsci.2016.12.038.</w:t>
      </w:r>
    </w:p>
    <w:p w14:paraId="50C7380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(252) </w:t>
      </w:r>
      <w:r w:rsidRPr="006D631C">
        <w:rPr>
          <w:noProof/>
        </w:rPr>
        <w:tab/>
        <w:t xml:space="preserve">Ho, D. L.; Hammouda, B.; Kline, S. R. Clustering of Poly(Ethylene Oxide) in Water Revisited. </w:t>
      </w:r>
      <w:r w:rsidRPr="006D631C">
        <w:rPr>
          <w:i/>
          <w:iCs/>
          <w:noProof/>
        </w:rPr>
        <w:t>J. Polym. Sci. Part B Polym. Phys.</w:t>
      </w:r>
      <w:r w:rsidRPr="006D631C">
        <w:rPr>
          <w:noProof/>
        </w:rPr>
        <w:t xml:space="preserve"> </w:t>
      </w:r>
      <w:r w:rsidRPr="006D631C">
        <w:rPr>
          <w:b/>
          <w:bCs/>
          <w:noProof/>
        </w:rPr>
        <w:t>2003</w:t>
      </w:r>
      <w:r w:rsidRPr="006D631C">
        <w:rPr>
          <w:noProof/>
        </w:rPr>
        <w:t xml:space="preserve">, </w:t>
      </w:r>
      <w:r w:rsidRPr="006D631C">
        <w:rPr>
          <w:i/>
          <w:iCs/>
          <w:noProof/>
        </w:rPr>
        <w:t>41</w:t>
      </w:r>
      <w:r w:rsidRPr="006D631C">
        <w:rPr>
          <w:noProof/>
        </w:rPr>
        <w:t xml:space="preserve"> (1), 135–138. https://doi.org/10.1002/polb.10340.</w:t>
      </w:r>
    </w:p>
    <w:p w14:paraId="05BCB89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(253) </w:t>
      </w:r>
      <w:r w:rsidRPr="006D631C">
        <w:rPr>
          <w:noProof/>
        </w:rPr>
        <w:tab/>
        <w:t xml:space="preserve">Singh, S.; Khulbe, K. .; Matsuura, T.; Ramamurthy, P. Membrane Characterization by Solute Transport and Atomic Force Microscopy. </w:t>
      </w:r>
      <w:r w:rsidRPr="006D631C">
        <w:rPr>
          <w:i/>
          <w:iCs/>
          <w:noProof/>
        </w:rPr>
        <w:t>J. Memb. Sci.</w:t>
      </w:r>
      <w:r w:rsidRPr="006D631C">
        <w:rPr>
          <w:noProof/>
        </w:rPr>
        <w:t xml:space="preserve"> </w:t>
      </w:r>
      <w:r w:rsidRPr="006D631C">
        <w:rPr>
          <w:b/>
          <w:bCs/>
          <w:noProof/>
        </w:rPr>
        <w:t>1998</w:t>
      </w:r>
      <w:r w:rsidRPr="006D631C">
        <w:rPr>
          <w:noProof/>
        </w:rPr>
        <w:t xml:space="preserve">, </w:t>
      </w:r>
      <w:r w:rsidRPr="006D631C">
        <w:rPr>
          <w:i/>
          <w:iCs/>
          <w:noProof/>
        </w:rPr>
        <w:t>142</w:t>
      </w:r>
      <w:r w:rsidRPr="006D631C">
        <w:rPr>
          <w:noProof/>
        </w:rPr>
        <w:t xml:space="preserve"> (1), 111–127. https://doi.org/10.1016/S0376-7388(97)00329-3.</w:t>
      </w:r>
    </w:p>
    <w:p w14:paraId="34012E4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(254) </w:t>
      </w:r>
      <w:r w:rsidRPr="006D631C">
        <w:rPr>
          <w:noProof/>
        </w:rPr>
        <w:tab/>
        <w:t xml:space="preserve">Hammouda, B.; Ho, D. L. Insight into Chain Dimensions in PEO/Water Solutions. </w:t>
      </w:r>
      <w:r w:rsidRPr="006D631C">
        <w:rPr>
          <w:i/>
          <w:iCs/>
          <w:noProof/>
        </w:rPr>
        <w:t>J. Polym. Sci. Part B Polym. Phys.</w:t>
      </w:r>
      <w:r w:rsidRPr="006D631C">
        <w:rPr>
          <w:noProof/>
        </w:rPr>
        <w:t xml:space="preserve"> </w:t>
      </w:r>
      <w:r w:rsidRPr="006D631C">
        <w:rPr>
          <w:b/>
          <w:bCs/>
          <w:noProof/>
        </w:rPr>
        <w:t>2007</w:t>
      </w:r>
      <w:r w:rsidRPr="006D631C">
        <w:rPr>
          <w:noProof/>
        </w:rPr>
        <w:t xml:space="preserve">, </w:t>
      </w:r>
      <w:r w:rsidRPr="006D631C">
        <w:rPr>
          <w:i/>
          <w:iCs/>
          <w:noProof/>
        </w:rPr>
        <w:t>45</w:t>
      </w:r>
      <w:r w:rsidRPr="006D631C">
        <w:rPr>
          <w:noProof/>
        </w:rPr>
        <w:t xml:space="preserve"> (16), 2196–2200. https://doi.org/10.1002/polb.21221.</w:t>
      </w:r>
    </w:p>
    <w:p w14:paraId="2C582119"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(255) </w:t>
      </w:r>
      <w:r w:rsidRPr="006D631C">
        <w:rPr>
          <w:noProof/>
        </w:rPr>
        <w:tab/>
        <w:t xml:space="preserve">Branca, C.; Magazù, S.; Maisano, G.; Migliardo, F.; Migliardo, P.; Romeo, G. Study of Conformational Properties of Poly(Ethylene Oxide) by SANS and PCS Techniques. </w:t>
      </w:r>
      <w:r w:rsidRPr="006D631C">
        <w:rPr>
          <w:i/>
          <w:iCs/>
          <w:noProof/>
        </w:rPr>
        <w:t>Phys. Scr.</w:t>
      </w:r>
      <w:r w:rsidRPr="006D631C">
        <w:rPr>
          <w:noProof/>
        </w:rPr>
        <w:t xml:space="preserve"> </w:t>
      </w:r>
      <w:r w:rsidRPr="006D631C">
        <w:rPr>
          <w:b/>
          <w:bCs/>
          <w:noProof/>
        </w:rPr>
        <w:t>2003</w:t>
      </w:r>
      <w:r w:rsidRPr="006D631C">
        <w:rPr>
          <w:noProof/>
        </w:rPr>
        <w:t xml:space="preserve">, </w:t>
      </w:r>
      <w:r w:rsidRPr="006D631C">
        <w:rPr>
          <w:i/>
          <w:iCs/>
          <w:noProof/>
        </w:rPr>
        <w:t>67</w:t>
      </w:r>
      <w:r w:rsidRPr="006D631C">
        <w:rPr>
          <w:noProof/>
        </w:rPr>
        <w:t xml:space="preserve"> (6), 551–554. https://doi.org/10.1238/Physica.Regular.067a00551.</w:t>
      </w:r>
    </w:p>
    <w:p w14:paraId="4BFA795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(256) </w:t>
      </w:r>
      <w:r w:rsidRPr="006D631C">
        <w:rPr>
          <w:noProof/>
        </w:rPr>
        <w:tab/>
        <w:t xml:space="preserve">Grinberg, V. Y.; Burova, T. V.; Grinberg, N. V.; Dubovik, A. S.; Papkov, V. S.; Khokhlov, A. R. Energetics of LCST Transition of Poly(Ethylene Oxide) in Aqueous Solutions. </w:t>
      </w:r>
      <w:r w:rsidRPr="006D631C">
        <w:rPr>
          <w:i/>
          <w:iCs/>
          <w:noProof/>
        </w:rPr>
        <w:t>Polymer</w:t>
      </w:r>
      <w:r w:rsidRPr="006D631C">
        <w:rPr>
          <w:noProof/>
        </w:rPr>
        <w:t xml:space="preserve"> </w:t>
      </w:r>
      <w:r w:rsidRPr="006D631C">
        <w:rPr>
          <w:b/>
          <w:bCs/>
          <w:noProof/>
        </w:rPr>
        <w:t>2015</w:t>
      </w:r>
      <w:r w:rsidRPr="006D631C">
        <w:rPr>
          <w:noProof/>
        </w:rPr>
        <w:t xml:space="preserve">, </w:t>
      </w:r>
      <w:r w:rsidRPr="006D631C">
        <w:rPr>
          <w:i/>
          <w:iCs/>
          <w:noProof/>
        </w:rPr>
        <w:t>73</w:t>
      </w:r>
      <w:r w:rsidRPr="006D631C">
        <w:rPr>
          <w:noProof/>
        </w:rPr>
        <w:t>, 86–90. https://doi.org/10.1016/j.polymer.2015.07.032.</w:t>
      </w:r>
    </w:p>
    <w:p w14:paraId="630F21A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(257) </w:t>
      </w:r>
      <w:r w:rsidRPr="006D631C">
        <w:rPr>
          <w:noProof/>
        </w:rPr>
        <w:tab/>
        <w:t xml:space="preserve">Cha, M.-H.; Choi, J.; Choi, B. G.; Park, K.; Kim, I. H.; Jeong, B.; Han, D. K. Synthesis and Characterization of Novel Thermo-Responsive F68 Block Copolymers with Cell-Adhesive RGD Peptide. </w:t>
      </w:r>
      <w:r w:rsidRPr="006D631C">
        <w:rPr>
          <w:i/>
          <w:iCs/>
          <w:noProof/>
        </w:rPr>
        <w:t>J. Colloid Interface Sci.</w:t>
      </w:r>
      <w:r w:rsidRPr="006D631C">
        <w:rPr>
          <w:noProof/>
        </w:rPr>
        <w:t xml:space="preserve"> </w:t>
      </w:r>
      <w:r w:rsidRPr="006D631C">
        <w:rPr>
          <w:b/>
          <w:bCs/>
          <w:noProof/>
        </w:rPr>
        <w:t>2011</w:t>
      </w:r>
      <w:r w:rsidRPr="006D631C">
        <w:rPr>
          <w:noProof/>
        </w:rPr>
        <w:t xml:space="preserve">, </w:t>
      </w:r>
      <w:r w:rsidRPr="006D631C">
        <w:rPr>
          <w:i/>
          <w:iCs/>
          <w:noProof/>
        </w:rPr>
        <w:t>360</w:t>
      </w:r>
      <w:r w:rsidRPr="006D631C">
        <w:rPr>
          <w:noProof/>
        </w:rPr>
        <w:t xml:space="preserve"> (1), 78–85. https://doi.org/10.1016/j.jcis.2011.04.041.</w:t>
      </w:r>
    </w:p>
    <w:p w14:paraId="568BE6D4"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(258) </w:t>
      </w:r>
      <w:r w:rsidRPr="006D631C">
        <w:rPr>
          <w:noProof/>
        </w:rPr>
        <w:tab/>
        <w:t xml:space="preserve">Deliormanlı, A. M.; Türk, M. Flow Behavior and Drug Release Study of Injectable Pluronic F-127 Hydrogels Containing Bioactive Glass and Carbon-Based Nanopowders. </w:t>
      </w:r>
      <w:r w:rsidRPr="006D631C">
        <w:rPr>
          <w:i/>
          <w:iCs/>
          <w:noProof/>
        </w:rPr>
        <w:t>J. Inorg. Organomet. Polym. Mater.</w:t>
      </w:r>
      <w:r w:rsidRPr="006D631C">
        <w:rPr>
          <w:noProof/>
        </w:rPr>
        <w:t xml:space="preserve"> </w:t>
      </w:r>
      <w:r w:rsidRPr="006D631C">
        <w:rPr>
          <w:b/>
          <w:bCs/>
          <w:noProof/>
        </w:rPr>
        <w:t>2020</w:t>
      </w:r>
      <w:r w:rsidRPr="006D631C">
        <w:rPr>
          <w:noProof/>
        </w:rPr>
        <w:t xml:space="preserve">, </w:t>
      </w:r>
      <w:r w:rsidRPr="006D631C">
        <w:rPr>
          <w:i/>
          <w:iCs/>
          <w:noProof/>
        </w:rPr>
        <w:t>30</w:t>
      </w:r>
      <w:r w:rsidRPr="006D631C">
        <w:rPr>
          <w:noProof/>
        </w:rPr>
        <w:t xml:space="preserve"> (4), 1184–1196. https://doi.org/10.1007/s10904-019-01346-2.</w:t>
      </w:r>
    </w:p>
    <w:p w14:paraId="50232BF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(259) </w:t>
      </w:r>
      <w:r w:rsidRPr="006D631C">
        <w:rPr>
          <w:noProof/>
        </w:rPr>
        <w:tab/>
        <w:t xml:space="preserve">Saxena, A.; Tripathi, B. P.; Kumar, M.; Shahi, V. K. Membrane-Based Techniques for the Separation and Purification of Proteins: An Overview. </w:t>
      </w:r>
      <w:r w:rsidRPr="006D631C">
        <w:rPr>
          <w:i/>
          <w:iCs/>
          <w:noProof/>
        </w:rPr>
        <w:t>Adv. Colloid Interface Sci.</w:t>
      </w:r>
      <w:r w:rsidRPr="006D631C">
        <w:rPr>
          <w:noProof/>
        </w:rPr>
        <w:t xml:space="preserve"> </w:t>
      </w:r>
      <w:r w:rsidRPr="006D631C">
        <w:rPr>
          <w:b/>
          <w:bCs/>
          <w:noProof/>
        </w:rPr>
        <w:t>2009</w:t>
      </w:r>
      <w:r w:rsidRPr="006D631C">
        <w:rPr>
          <w:noProof/>
        </w:rPr>
        <w:t xml:space="preserve">, </w:t>
      </w:r>
      <w:r w:rsidRPr="006D631C">
        <w:rPr>
          <w:i/>
          <w:iCs/>
          <w:noProof/>
        </w:rPr>
        <w:t>145</w:t>
      </w:r>
      <w:r w:rsidRPr="006D631C">
        <w:rPr>
          <w:noProof/>
        </w:rPr>
        <w:t xml:space="preserve"> (1–2), 1–22. https://doi.org/10.1016/j.cis.2008.07.004.</w:t>
      </w:r>
    </w:p>
    <w:p w14:paraId="705A20C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(260) </w:t>
      </w:r>
      <w:r w:rsidRPr="006D631C">
        <w:rPr>
          <w:noProof/>
        </w:rPr>
        <w:tab/>
        <w:t xml:space="preserve">Fallahianbijan, F.; Emami, P.; Hillsley, J. M.; Motevalian, S. P.; Conde, B. C.; Reilly, K.; Zydney, A. L. Effect of Membrane Pore Structure on Fouling Behavior of Glycoconjugate Vaccines. </w:t>
      </w:r>
      <w:r w:rsidRPr="006D631C">
        <w:rPr>
          <w:i/>
          <w:iCs/>
          <w:noProof/>
        </w:rPr>
        <w:t>J. Memb. Sci.</w:t>
      </w:r>
      <w:r w:rsidRPr="006D631C">
        <w:rPr>
          <w:noProof/>
        </w:rPr>
        <w:t xml:space="preserve"> </w:t>
      </w:r>
      <w:r w:rsidRPr="006D631C">
        <w:rPr>
          <w:b/>
          <w:bCs/>
          <w:noProof/>
        </w:rPr>
        <w:t>2021</w:t>
      </w:r>
      <w:r w:rsidRPr="006D631C">
        <w:rPr>
          <w:noProof/>
        </w:rPr>
        <w:t xml:space="preserve">, </w:t>
      </w:r>
      <w:r w:rsidRPr="006D631C">
        <w:rPr>
          <w:i/>
          <w:iCs/>
          <w:noProof/>
        </w:rPr>
        <w:t>619</w:t>
      </w:r>
      <w:r w:rsidRPr="006D631C">
        <w:rPr>
          <w:noProof/>
        </w:rPr>
        <w:t>, 118797. https://doi.org/10.1016/j.memsci.2020.118797.</w:t>
      </w:r>
    </w:p>
    <w:p w14:paraId="4CA87D2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(261) </w:t>
      </w:r>
      <w:r w:rsidRPr="006D631C">
        <w:rPr>
          <w:noProof/>
        </w:rPr>
        <w:tab/>
        <w:t xml:space="preserve">Salehi, F. Current and Future Applications for Nanofiltration Technology in the Food Processing. </w:t>
      </w:r>
      <w:r w:rsidRPr="006D631C">
        <w:rPr>
          <w:i/>
          <w:iCs/>
          <w:noProof/>
        </w:rPr>
        <w:t>Food Bioprod. Process.</w:t>
      </w:r>
      <w:r w:rsidRPr="006D631C">
        <w:rPr>
          <w:noProof/>
        </w:rPr>
        <w:t xml:space="preserve"> </w:t>
      </w:r>
      <w:r w:rsidRPr="006D631C">
        <w:rPr>
          <w:b/>
          <w:bCs/>
          <w:noProof/>
        </w:rPr>
        <w:t>2014</w:t>
      </w:r>
      <w:r w:rsidRPr="006D631C">
        <w:rPr>
          <w:noProof/>
        </w:rPr>
        <w:t xml:space="preserve">, </w:t>
      </w:r>
      <w:r w:rsidRPr="006D631C">
        <w:rPr>
          <w:i/>
          <w:iCs/>
          <w:noProof/>
        </w:rPr>
        <w:t>92</w:t>
      </w:r>
      <w:r w:rsidRPr="006D631C">
        <w:rPr>
          <w:noProof/>
        </w:rPr>
        <w:t xml:space="preserve"> (2), 161–177. https://doi.org/10.1016/j.fbp.2013.09.005.</w:t>
      </w:r>
    </w:p>
    <w:p w14:paraId="76D5718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(262) </w:t>
      </w:r>
      <w:r w:rsidRPr="006D631C">
        <w:rPr>
          <w:noProof/>
        </w:rPr>
        <w:tab/>
        <w:t xml:space="preserve">Güell, C.; Davis, R. H. Membrane Fouling during Microfiltration of Protein Mixtures. </w:t>
      </w:r>
      <w:r w:rsidRPr="006D631C">
        <w:rPr>
          <w:i/>
          <w:iCs/>
          <w:noProof/>
        </w:rPr>
        <w:t>J. Memb. Sci.</w:t>
      </w:r>
      <w:r w:rsidRPr="006D631C">
        <w:rPr>
          <w:noProof/>
        </w:rPr>
        <w:t xml:space="preserve"> </w:t>
      </w:r>
      <w:r w:rsidRPr="006D631C">
        <w:rPr>
          <w:b/>
          <w:bCs/>
          <w:noProof/>
        </w:rPr>
        <w:t>1996</w:t>
      </w:r>
      <w:r w:rsidRPr="006D631C">
        <w:rPr>
          <w:noProof/>
        </w:rPr>
        <w:t xml:space="preserve">, </w:t>
      </w:r>
      <w:r w:rsidRPr="006D631C">
        <w:rPr>
          <w:i/>
          <w:iCs/>
          <w:noProof/>
        </w:rPr>
        <w:t>119</w:t>
      </w:r>
      <w:r w:rsidRPr="006D631C">
        <w:rPr>
          <w:noProof/>
        </w:rPr>
        <w:t xml:space="preserve"> (2), 269–284. https://doi.org/10.1016/0376-7388(96)80001-J.</w:t>
      </w:r>
    </w:p>
    <w:p w14:paraId="7570D1E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(263) </w:t>
      </w:r>
      <w:r w:rsidRPr="006D631C">
        <w:rPr>
          <w:noProof/>
        </w:rPr>
        <w:tab/>
        <w:t xml:space="preserve">Saadat, Y.; Kim, K.; Foudazi, R. Two-Step Thermoresponsive Ultrafiltration Membranes from Polymerization of Lyotropic Liquid Crystals. </w:t>
      </w:r>
      <w:r w:rsidRPr="006D631C">
        <w:rPr>
          <w:i/>
          <w:iCs/>
          <w:noProof/>
        </w:rPr>
        <w:t>ACS Appl. Polym. Mater.</w:t>
      </w:r>
      <w:r w:rsidRPr="006D631C">
        <w:rPr>
          <w:noProof/>
        </w:rPr>
        <w:t xml:space="preserve"> </w:t>
      </w:r>
      <w:r w:rsidRPr="006D631C">
        <w:rPr>
          <w:b/>
          <w:bCs/>
          <w:noProof/>
        </w:rPr>
        <w:t>2022</w:t>
      </w:r>
      <w:r w:rsidRPr="006D631C">
        <w:rPr>
          <w:noProof/>
        </w:rPr>
        <w:t xml:space="preserve">, </w:t>
      </w:r>
      <w:r w:rsidRPr="006D631C">
        <w:rPr>
          <w:i/>
          <w:iCs/>
          <w:noProof/>
        </w:rPr>
        <w:t>4</w:t>
      </w:r>
      <w:r w:rsidRPr="006D631C">
        <w:rPr>
          <w:noProof/>
        </w:rPr>
        <w:t xml:space="preserve"> (11), 8156–8165. https://doi.org/10.1021/acsapm.2c01095.</w:t>
      </w:r>
    </w:p>
    <w:p w14:paraId="043296C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(264) </w:t>
      </w:r>
      <w:r w:rsidRPr="006D631C">
        <w:rPr>
          <w:noProof/>
        </w:rPr>
        <w:tab/>
        <w:t>Gin, D. L.; Carter, B. M.; Wiesenauer, B. R.; Hatakeyama, E. S.; Noble, R. D.; Barton, J. L. METHOD AND MEMBRANE FOR NANOPOROUS, BICONTINUOUS CUBIC LYOTROPIC LIOUID CRYSTAL POLYMER MEMBRANES THAT ENABLE EACLE FILM PROCESSING AND PORE SIZE CONTROL. US 2014/0154499 A1, 2006.</w:t>
      </w:r>
    </w:p>
    <w:p w14:paraId="23CEA80F"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(265) </w:t>
      </w:r>
      <w:r w:rsidRPr="006D631C">
        <w:rPr>
          <w:noProof/>
        </w:rPr>
        <w:tab/>
        <w:t xml:space="preserve">Cellesi, F.; Tirelli, N.; Hubbell, J. A. Materials for Cell Encapsulation via a New Tandem </w:t>
      </w:r>
      <w:r w:rsidRPr="006D631C">
        <w:rPr>
          <w:noProof/>
        </w:rPr>
        <w:lastRenderedPageBreak/>
        <w:t xml:space="preserve">Approach Combining Reverse Thermal Gelation and Covalent Crosslinking. </w:t>
      </w:r>
      <w:r w:rsidRPr="006D631C">
        <w:rPr>
          <w:i/>
          <w:iCs/>
          <w:noProof/>
        </w:rPr>
        <w:t>Macromol. Chem. Phys.</w:t>
      </w:r>
      <w:r w:rsidRPr="006D631C">
        <w:rPr>
          <w:noProof/>
        </w:rPr>
        <w:t xml:space="preserve"> </w:t>
      </w:r>
      <w:r w:rsidRPr="006D631C">
        <w:rPr>
          <w:b/>
          <w:bCs/>
          <w:noProof/>
        </w:rPr>
        <w:t>2002</w:t>
      </w:r>
      <w:r w:rsidRPr="006D631C">
        <w:rPr>
          <w:noProof/>
        </w:rPr>
        <w:t xml:space="preserve">, </w:t>
      </w:r>
      <w:r w:rsidRPr="006D631C">
        <w:rPr>
          <w:i/>
          <w:iCs/>
          <w:noProof/>
        </w:rPr>
        <w:t>203</w:t>
      </w:r>
      <w:r w:rsidRPr="006D631C">
        <w:rPr>
          <w:noProof/>
        </w:rPr>
        <w:t xml:space="preserve"> (10–11), 1466–1472. https://doi.org/10.1002/1521-3935(200207)203:10/11&lt;1466::AID-MACP1466&gt;3.0.CO;2-P.</w:t>
      </w:r>
    </w:p>
    <w:p w14:paraId="4A120C8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(266) </w:t>
      </w:r>
      <w:r w:rsidRPr="006D631C">
        <w:rPr>
          <w:noProof/>
        </w:rPr>
        <w:tab/>
        <w:t xml:space="preserve">Qavi, S.; Foudazi, R. Rheological Characteristics of Mesophases of Block Copolymer Solutions. </w:t>
      </w:r>
      <w:r w:rsidRPr="006D631C">
        <w:rPr>
          <w:i/>
          <w:iCs/>
          <w:noProof/>
        </w:rPr>
        <w:t>Rheol. Acta</w:t>
      </w:r>
      <w:r w:rsidRPr="006D631C">
        <w:rPr>
          <w:noProof/>
        </w:rPr>
        <w:t xml:space="preserve"> </w:t>
      </w:r>
      <w:r w:rsidRPr="006D631C">
        <w:rPr>
          <w:b/>
          <w:bCs/>
          <w:noProof/>
        </w:rPr>
        <w:t>2019</w:t>
      </w:r>
      <w:r w:rsidRPr="006D631C">
        <w:rPr>
          <w:noProof/>
        </w:rPr>
        <w:t xml:space="preserve">, </w:t>
      </w:r>
      <w:r w:rsidRPr="006D631C">
        <w:rPr>
          <w:i/>
          <w:iCs/>
          <w:noProof/>
        </w:rPr>
        <w:t>58</w:t>
      </w:r>
      <w:r w:rsidRPr="006D631C">
        <w:rPr>
          <w:noProof/>
        </w:rPr>
        <w:t xml:space="preserve"> (8), 483–498. https://doi.org/10.1007/s00397-019-01162-y.</w:t>
      </w:r>
    </w:p>
    <w:p w14:paraId="3177A96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(267) </w:t>
      </w:r>
      <w:r w:rsidRPr="006D631C">
        <w:rPr>
          <w:noProof/>
        </w:rPr>
        <w:tab/>
        <w:t xml:space="preserve">Chang, J.-H.; Ohno, M.; Esumi, K.; Meguro, K. Interaction of Lodine with Nonionic Surfactant and Polyethylene Glycol in Aqueous Potassium Lodide Solution. </w:t>
      </w:r>
      <w:r w:rsidRPr="006D631C">
        <w:rPr>
          <w:i/>
          <w:iCs/>
          <w:noProof/>
        </w:rPr>
        <w:t>J. Am. Oil Chem. Soc.</w:t>
      </w:r>
      <w:r w:rsidRPr="006D631C">
        <w:rPr>
          <w:noProof/>
        </w:rPr>
        <w:t xml:space="preserve"> </w:t>
      </w:r>
      <w:r w:rsidRPr="006D631C">
        <w:rPr>
          <w:b/>
          <w:bCs/>
          <w:noProof/>
        </w:rPr>
        <w:t>1988</w:t>
      </w:r>
      <w:r w:rsidRPr="006D631C">
        <w:rPr>
          <w:noProof/>
        </w:rPr>
        <w:t xml:space="preserve">, </w:t>
      </w:r>
      <w:r w:rsidRPr="006D631C">
        <w:rPr>
          <w:i/>
          <w:iCs/>
          <w:noProof/>
        </w:rPr>
        <w:t>65</w:t>
      </w:r>
      <w:r w:rsidRPr="006D631C">
        <w:rPr>
          <w:noProof/>
        </w:rPr>
        <w:t xml:space="preserve"> (10), 1664–1668. https://doi.org/10.1007/BF02912573.</w:t>
      </w:r>
    </w:p>
    <w:p w14:paraId="56A9BE4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(268) </w:t>
      </w:r>
      <w:r w:rsidRPr="006D631C">
        <w:rPr>
          <w:noProof/>
        </w:rPr>
        <w:tab/>
        <w:t xml:space="preserve">Kushan, E.; Senses, E. Thermoresponsive and Injectable Composite Hydrogels of Cellulose Nanocrystals and Pluronic F127. </w:t>
      </w:r>
      <w:r w:rsidRPr="006D631C">
        <w:rPr>
          <w:i/>
          <w:iCs/>
          <w:noProof/>
        </w:rPr>
        <w:t>ACS Appl. Bio Mater.</w:t>
      </w:r>
      <w:r w:rsidRPr="006D631C">
        <w:rPr>
          <w:noProof/>
        </w:rPr>
        <w:t xml:space="preserve"> </w:t>
      </w:r>
      <w:r w:rsidRPr="006D631C">
        <w:rPr>
          <w:b/>
          <w:bCs/>
          <w:noProof/>
        </w:rPr>
        <w:t>2021</w:t>
      </w:r>
      <w:r w:rsidRPr="006D631C">
        <w:rPr>
          <w:noProof/>
        </w:rPr>
        <w:t xml:space="preserve">, </w:t>
      </w:r>
      <w:r w:rsidRPr="006D631C">
        <w:rPr>
          <w:i/>
          <w:iCs/>
          <w:noProof/>
        </w:rPr>
        <w:t>4</w:t>
      </w:r>
      <w:r w:rsidRPr="006D631C">
        <w:rPr>
          <w:noProof/>
        </w:rPr>
        <w:t xml:space="preserve"> (4), 3507–3517. https://doi.org/10.1021/acsabm.1c00046.</w:t>
      </w:r>
    </w:p>
    <w:p w14:paraId="48F4E9E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(269) </w:t>
      </w:r>
      <w:r w:rsidRPr="006D631C">
        <w:rPr>
          <w:noProof/>
        </w:rPr>
        <w:tab/>
        <w:t xml:space="preserve">Lee, C.-F.; Tseng, H.-W.; Bahadur, P.; Chen, L.-J. Synergistic Effect of Binary Mixed-Pluronic Systems on Temperature Dependent Self-Assembly Process and Drug Solubility. </w:t>
      </w:r>
      <w:r w:rsidRPr="006D631C">
        <w:rPr>
          <w:i/>
          <w:iCs/>
          <w:noProof/>
        </w:rPr>
        <w:t>Polymers (Basel).</w:t>
      </w:r>
      <w:r w:rsidRPr="006D631C">
        <w:rPr>
          <w:noProof/>
        </w:rPr>
        <w:t xml:space="preserve"> </w:t>
      </w:r>
      <w:r w:rsidRPr="006D631C">
        <w:rPr>
          <w:b/>
          <w:bCs/>
          <w:noProof/>
        </w:rPr>
        <w:t>2018</w:t>
      </w:r>
      <w:r w:rsidRPr="006D631C">
        <w:rPr>
          <w:noProof/>
        </w:rPr>
        <w:t xml:space="preserve">, </w:t>
      </w:r>
      <w:r w:rsidRPr="006D631C">
        <w:rPr>
          <w:i/>
          <w:iCs/>
          <w:noProof/>
        </w:rPr>
        <w:t>10</w:t>
      </w:r>
      <w:r w:rsidRPr="006D631C">
        <w:rPr>
          <w:noProof/>
        </w:rPr>
        <w:t xml:space="preserve"> (1), 105. https://doi.org/10.3390/polym10010105.</w:t>
      </w:r>
    </w:p>
    <w:p w14:paraId="76BD38E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(270) </w:t>
      </w:r>
      <w:r w:rsidRPr="006D631C">
        <w:rPr>
          <w:noProof/>
        </w:rPr>
        <w:tab/>
        <w:t xml:space="preserve">Marín San Román, P. P.; Sijbesma, R. P. Photo‐Responsive Water Filtration Membranes Based on Polymerizable Columnar Liquid Crystals with Azo Moieties. </w:t>
      </w:r>
      <w:r w:rsidRPr="006D631C">
        <w:rPr>
          <w:i/>
          <w:iCs/>
          <w:noProof/>
        </w:rPr>
        <w:t>Adv. Mater. Interfaces</w:t>
      </w:r>
      <w:r w:rsidRPr="006D631C">
        <w:rPr>
          <w:noProof/>
        </w:rPr>
        <w:t xml:space="preserve"> </w:t>
      </w:r>
      <w:r w:rsidRPr="006D631C">
        <w:rPr>
          <w:b/>
          <w:bCs/>
          <w:noProof/>
        </w:rPr>
        <w:t>2022</w:t>
      </w:r>
      <w:r w:rsidRPr="006D631C">
        <w:rPr>
          <w:noProof/>
        </w:rPr>
        <w:t xml:space="preserve">, </w:t>
      </w:r>
      <w:r w:rsidRPr="006D631C">
        <w:rPr>
          <w:i/>
          <w:iCs/>
          <w:noProof/>
        </w:rPr>
        <w:t>9</w:t>
      </w:r>
      <w:r w:rsidRPr="006D631C">
        <w:rPr>
          <w:noProof/>
        </w:rPr>
        <w:t xml:space="preserve"> (19), 2200341. https://doi.org/10.1002/admi.202200341.</w:t>
      </w:r>
    </w:p>
    <w:p w14:paraId="543CB96D"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(271) </w:t>
      </w:r>
      <w:r w:rsidRPr="006D631C">
        <w:rPr>
          <w:noProof/>
        </w:rPr>
        <w:tab/>
        <w:t xml:space="preserve">Hernández, S.; Porter, C.; Zhang, X.; Wei, Y.; Bhattacharyya, D. Layer-by-Layer Assembled Membranes with Immobilized Porins. </w:t>
      </w:r>
      <w:r w:rsidRPr="006D631C">
        <w:rPr>
          <w:i/>
          <w:iCs/>
          <w:noProof/>
        </w:rPr>
        <w:t>RSC Adv.</w:t>
      </w:r>
      <w:r w:rsidRPr="006D631C">
        <w:rPr>
          <w:noProof/>
        </w:rPr>
        <w:t xml:space="preserve"> </w:t>
      </w:r>
      <w:r w:rsidRPr="006D631C">
        <w:rPr>
          <w:b/>
          <w:bCs/>
          <w:noProof/>
        </w:rPr>
        <w:t>2017</w:t>
      </w:r>
      <w:r w:rsidRPr="006D631C">
        <w:rPr>
          <w:noProof/>
        </w:rPr>
        <w:t xml:space="preserve">, </w:t>
      </w:r>
      <w:r w:rsidRPr="006D631C">
        <w:rPr>
          <w:i/>
          <w:iCs/>
          <w:noProof/>
        </w:rPr>
        <w:t>7</w:t>
      </w:r>
      <w:r w:rsidRPr="006D631C">
        <w:rPr>
          <w:noProof/>
        </w:rPr>
        <w:t xml:space="preserve"> (88), 56123–56136. https://doi.org/10.1039/C7RA08737C.</w:t>
      </w:r>
    </w:p>
    <w:p w14:paraId="38A27DC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(272) </w:t>
      </w:r>
      <w:r w:rsidRPr="006D631C">
        <w:rPr>
          <w:noProof/>
        </w:rPr>
        <w:tab/>
        <w:t xml:space="preserve">Chudoba, R.; Heyda, J.; Dzubiella, J. Temperature-Dependent Implicit-Solvent Model of Polyethylene Glycol in Aqueous Solution. </w:t>
      </w:r>
      <w:r w:rsidRPr="006D631C">
        <w:rPr>
          <w:i/>
          <w:iCs/>
          <w:noProof/>
        </w:rPr>
        <w:t>J. Chem. Theory Comput.</w:t>
      </w:r>
      <w:r w:rsidRPr="006D631C">
        <w:rPr>
          <w:noProof/>
        </w:rPr>
        <w:t xml:space="preserve"> </w:t>
      </w:r>
      <w:r w:rsidRPr="006D631C">
        <w:rPr>
          <w:b/>
          <w:bCs/>
          <w:noProof/>
        </w:rPr>
        <w:t>2017</w:t>
      </w:r>
      <w:r w:rsidRPr="006D631C">
        <w:rPr>
          <w:noProof/>
        </w:rPr>
        <w:t xml:space="preserve">, </w:t>
      </w:r>
      <w:r w:rsidRPr="006D631C">
        <w:rPr>
          <w:i/>
          <w:iCs/>
          <w:noProof/>
        </w:rPr>
        <w:t>13</w:t>
      </w:r>
      <w:r w:rsidRPr="006D631C">
        <w:rPr>
          <w:noProof/>
        </w:rPr>
        <w:t xml:space="preserve"> (12), 6317–</w:t>
      </w:r>
      <w:r w:rsidRPr="006D631C">
        <w:rPr>
          <w:noProof/>
        </w:rPr>
        <w:lastRenderedPageBreak/>
        <w:t>6327. https://doi.org/10.1021/acs.jctc.7b00560.</w:t>
      </w:r>
    </w:p>
    <w:p w14:paraId="4CBF82A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(273) </w:t>
      </w:r>
      <w:r w:rsidRPr="006D631C">
        <w:rPr>
          <w:noProof/>
        </w:rPr>
        <w:tab/>
        <w:t xml:space="preserve">Özdemir, C.; Güner, A. Solution Thermodynamics of Poly(Ethylene Glycol)/Water Systems. </w:t>
      </w:r>
      <w:r w:rsidRPr="006D631C">
        <w:rPr>
          <w:i/>
          <w:iCs/>
          <w:noProof/>
        </w:rPr>
        <w:t>J. Appl. Polym. Sci.</w:t>
      </w:r>
      <w:r w:rsidRPr="006D631C">
        <w:rPr>
          <w:noProof/>
        </w:rPr>
        <w:t xml:space="preserve"> </w:t>
      </w:r>
      <w:r w:rsidRPr="006D631C">
        <w:rPr>
          <w:b/>
          <w:bCs/>
          <w:noProof/>
        </w:rPr>
        <w:t>2006</w:t>
      </w:r>
      <w:r w:rsidRPr="006D631C">
        <w:rPr>
          <w:noProof/>
        </w:rPr>
        <w:t xml:space="preserve">, </w:t>
      </w:r>
      <w:r w:rsidRPr="006D631C">
        <w:rPr>
          <w:i/>
          <w:iCs/>
          <w:noProof/>
        </w:rPr>
        <w:t>101</w:t>
      </w:r>
      <w:r w:rsidRPr="006D631C">
        <w:rPr>
          <w:noProof/>
        </w:rPr>
        <w:t xml:space="preserve"> (1), 203–216. https://doi.org/10.1002/app.23191.</w:t>
      </w:r>
    </w:p>
    <w:p w14:paraId="6A03E7D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(274) </w:t>
      </w:r>
      <w:r w:rsidRPr="006D631C">
        <w:rPr>
          <w:noProof/>
        </w:rPr>
        <w:tab/>
        <w:t xml:space="preserve">González Flecha, F. L.; Levi, V. Determination of the Molecular Size of BSA by Fluorescence Anisotropy. </w:t>
      </w:r>
      <w:r w:rsidRPr="006D631C">
        <w:rPr>
          <w:i/>
          <w:iCs/>
          <w:noProof/>
        </w:rPr>
        <w:t>Biochem. Mol. Biol. Educ.</w:t>
      </w:r>
      <w:r w:rsidRPr="006D631C">
        <w:rPr>
          <w:noProof/>
        </w:rPr>
        <w:t xml:space="preserve"> </w:t>
      </w:r>
      <w:r w:rsidRPr="006D631C">
        <w:rPr>
          <w:b/>
          <w:bCs/>
          <w:noProof/>
        </w:rPr>
        <w:t>2003</w:t>
      </w:r>
      <w:r w:rsidRPr="006D631C">
        <w:rPr>
          <w:noProof/>
        </w:rPr>
        <w:t xml:space="preserve">, </w:t>
      </w:r>
      <w:r w:rsidRPr="006D631C">
        <w:rPr>
          <w:i/>
          <w:iCs/>
          <w:noProof/>
        </w:rPr>
        <w:t>31</w:t>
      </w:r>
      <w:r w:rsidRPr="006D631C">
        <w:rPr>
          <w:noProof/>
        </w:rPr>
        <w:t xml:space="preserve"> (5), 319–322. https://doi.org/10.1002/bmb.2003.494031050261.</w:t>
      </w:r>
    </w:p>
    <w:p w14:paraId="32E2965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(275) </w:t>
      </w:r>
      <w:r w:rsidRPr="006D631C">
        <w:rPr>
          <w:noProof/>
        </w:rPr>
        <w:tab/>
        <w:t xml:space="preserve">Lin, J.; Ye, W.; Baltaru, M.-C.; Tang, Y. P.; Bernstein, N. J.; Gao, P.; Balta, S.; Vlad, M.; Volodin, A.; Sotto, A.; Luis, P.; Zydney, A. L.; Van der Bruggen, B. Tight Ultrafiltration Membranes for Enhanced Separation of Dyes and Na2SO4 during Textile Wastewater Treatment. </w:t>
      </w:r>
      <w:r w:rsidRPr="006D631C">
        <w:rPr>
          <w:i/>
          <w:iCs/>
          <w:noProof/>
        </w:rPr>
        <w:t>J. Memb. Sci.</w:t>
      </w:r>
      <w:r w:rsidRPr="006D631C">
        <w:rPr>
          <w:noProof/>
        </w:rPr>
        <w:t xml:space="preserve"> </w:t>
      </w:r>
      <w:r w:rsidRPr="006D631C">
        <w:rPr>
          <w:b/>
          <w:bCs/>
          <w:noProof/>
        </w:rPr>
        <w:t>2016</w:t>
      </w:r>
      <w:r w:rsidRPr="006D631C">
        <w:rPr>
          <w:noProof/>
        </w:rPr>
        <w:t xml:space="preserve">, </w:t>
      </w:r>
      <w:r w:rsidRPr="006D631C">
        <w:rPr>
          <w:i/>
          <w:iCs/>
          <w:noProof/>
        </w:rPr>
        <w:t>514</w:t>
      </w:r>
      <w:r w:rsidRPr="006D631C">
        <w:rPr>
          <w:noProof/>
        </w:rPr>
        <w:t>, 217–228. https://doi.org/10.1016/j.memsci.2016.04.057.</w:t>
      </w:r>
    </w:p>
    <w:p w14:paraId="39ADB8D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(276) </w:t>
      </w:r>
      <w:r w:rsidRPr="006D631C">
        <w:rPr>
          <w:noProof/>
        </w:rPr>
        <w:tab/>
        <w:t xml:space="preserve">Rana, D.; Matsuura, T. Surface Modifications for Antifouling Membranes. </w:t>
      </w:r>
      <w:r w:rsidRPr="006D631C">
        <w:rPr>
          <w:i/>
          <w:iCs/>
          <w:noProof/>
        </w:rPr>
        <w:t>Chem. Rev.</w:t>
      </w:r>
      <w:r w:rsidRPr="006D631C">
        <w:rPr>
          <w:noProof/>
        </w:rPr>
        <w:t xml:space="preserve"> </w:t>
      </w:r>
      <w:r w:rsidRPr="006D631C">
        <w:rPr>
          <w:b/>
          <w:bCs/>
          <w:noProof/>
        </w:rPr>
        <w:t>2010</w:t>
      </w:r>
      <w:r w:rsidRPr="006D631C">
        <w:rPr>
          <w:noProof/>
        </w:rPr>
        <w:t xml:space="preserve">, </w:t>
      </w:r>
      <w:r w:rsidRPr="006D631C">
        <w:rPr>
          <w:i/>
          <w:iCs/>
          <w:noProof/>
        </w:rPr>
        <w:t>110</w:t>
      </w:r>
      <w:r w:rsidRPr="006D631C">
        <w:rPr>
          <w:noProof/>
        </w:rPr>
        <w:t xml:space="preserve"> (4), 2448–2471. https://doi.org/10.1021/cr800208y.</w:t>
      </w:r>
    </w:p>
    <w:p w14:paraId="5899871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(277) </w:t>
      </w:r>
      <w:r w:rsidRPr="006D631C">
        <w:rPr>
          <w:noProof/>
        </w:rPr>
        <w:tab/>
        <w:t xml:space="preserve">Malmsten, M.; Linse, P.; Zhang, K. W. Phase Behavior of Aqueous Poly(Ethylene Oxide)/Poly(Propylene Oxide) Solutions. </w:t>
      </w:r>
      <w:r w:rsidRPr="006D631C">
        <w:rPr>
          <w:i/>
          <w:iCs/>
          <w:noProof/>
        </w:rPr>
        <w:t>Macromolecules</w:t>
      </w:r>
      <w:r w:rsidRPr="006D631C">
        <w:rPr>
          <w:noProof/>
        </w:rPr>
        <w:t xml:space="preserve"> </w:t>
      </w:r>
      <w:r w:rsidRPr="006D631C">
        <w:rPr>
          <w:b/>
          <w:bCs/>
          <w:noProof/>
        </w:rPr>
        <w:t>1993</w:t>
      </w:r>
      <w:r w:rsidRPr="006D631C">
        <w:rPr>
          <w:noProof/>
        </w:rPr>
        <w:t xml:space="preserve">, </w:t>
      </w:r>
      <w:r w:rsidRPr="006D631C">
        <w:rPr>
          <w:i/>
          <w:iCs/>
          <w:noProof/>
        </w:rPr>
        <w:t>26</w:t>
      </w:r>
      <w:r w:rsidRPr="006D631C">
        <w:rPr>
          <w:noProof/>
        </w:rPr>
        <w:t xml:space="preserve"> (11), 2905–2910. https://doi.org/10.1021/ma00063a040.</w:t>
      </w:r>
    </w:p>
    <w:p w14:paraId="14DF8B64"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(278) </w:t>
      </w:r>
      <w:r w:rsidRPr="006D631C">
        <w:rPr>
          <w:noProof/>
        </w:rPr>
        <w:tab/>
        <w:t xml:space="preserve">Wang, K.; Wang, X.; Januszewski, B.; Liu, Y.; Li, D.; Fu, R.; Elimelech, M.; Huang, X. Tailored Design of Nanofiltration Membranes for Water Treatment Based on Synthesis–Property–Performance Relationships. </w:t>
      </w:r>
      <w:r w:rsidRPr="006D631C">
        <w:rPr>
          <w:i/>
          <w:iCs/>
          <w:noProof/>
        </w:rPr>
        <w:t>Chem. Soc. Rev.</w:t>
      </w:r>
      <w:r w:rsidRPr="006D631C">
        <w:rPr>
          <w:noProof/>
        </w:rPr>
        <w:t xml:space="preserve"> </w:t>
      </w:r>
      <w:r w:rsidRPr="006D631C">
        <w:rPr>
          <w:b/>
          <w:bCs/>
          <w:noProof/>
        </w:rPr>
        <w:t>2022</w:t>
      </w:r>
      <w:r w:rsidRPr="006D631C">
        <w:rPr>
          <w:noProof/>
        </w:rPr>
        <w:t xml:space="preserve">, </w:t>
      </w:r>
      <w:r w:rsidRPr="006D631C">
        <w:rPr>
          <w:i/>
          <w:iCs/>
          <w:noProof/>
        </w:rPr>
        <w:t>51</w:t>
      </w:r>
      <w:r w:rsidRPr="006D631C">
        <w:rPr>
          <w:noProof/>
        </w:rPr>
        <w:t xml:space="preserve"> (2), 672–719. https://doi.org/10.1039/D0CS01599G.</w:t>
      </w:r>
    </w:p>
    <w:p w14:paraId="5EF34A9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(279) </w:t>
      </w:r>
      <w:r w:rsidRPr="006D631C">
        <w:rPr>
          <w:noProof/>
        </w:rPr>
        <w:tab/>
        <w:t xml:space="preserve">Ahmad, N. N. R.; Ang, W. L.; Teow, Y. H.; Mohammad, A. W.; Hilal, N. Nanofiltration Membrane Processes for Water Recycling, Reuse and Product Recovery within Various Industries: A Review. </w:t>
      </w:r>
      <w:r w:rsidRPr="006D631C">
        <w:rPr>
          <w:i/>
          <w:iCs/>
          <w:noProof/>
        </w:rPr>
        <w:t>J. Water Process Eng.</w:t>
      </w:r>
      <w:r w:rsidRPr="006D631C">
        <w:rPr>
          <w:noProof/>
        </w:rPr>
        <w:t xml:space="preserve"> </w:t>
      </w:r>
      <w:r w:rsidRPr="006D631C">
        <w:rPr>
          <w:b/>
          <w:bCs/>
          <w:noProof/>
        </w:rPr>
        <w:t>2022</w:t>
      </w:r>
      <w:r w:rsidRPr="006D631C">
        <w:rPr>
          <w:noProof/>
        </w:rPr>
        <w:t xml:space="preserve">, </w:t>
      </w:r>
      <w:r w:rsidRPr="006D631C">
        <w:rPr>
          <w:i/>
          <w:iCs/>
          <w:noProof/>
        </w:rPr>
        <w:t>45</w:t>
      </w:r>
      <w:r w:rsidRPr="006D631C">
        <w:rPr>
          <w:noProof/>
        </w:rPr>
        <w:t xml:space="preserve">, 102478. </w:t>
      </w:r>
      <w:r w:rsidRPr="006D631C">
        <w:rPr>
          <w:noProof/>
        </w:rPr>
        <w:lastRenderedPageBreak/>
        <w:t>https://doi.org/10.1016/j.jwpe.2021.102478.</w:t>
      </w:r>
    </w:p>
    <w:p w14:paraId="3681D68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(280) </w:t>
      </w:r>
      <w:r w:rsidRPr="006D631C">
        <w:rPr>
          <w:noProof/>
        </w:rPr>
        <w:tab/>
        <w:t xml:space="preserve">Roy, Y.; Lienhard, J. H. A Framework to Analyze Sulfate versus Chloride Selectivity in Nanofiltration. </w:t>
      </w:r>
      <w:r w:rsidRPr="006D631C">
        <w:rPr>
          <w:i/>
          <w:iCs/>
          <w:noProof/>
        </w:rPr>
        <w:t>Environ. Sci. Water Res. Technol.</w:t>
      </w:r>
      <w:r w:rsidRPr="006D631C">
        <w:rPr>
          <w:noProof/>
        </w:rPr>
        <w:t xml:space="preserve"> </w:t>
      </w:r>
      <w:r w:rsidRPr="006D631C">
        <w:rPr>
          <w:b/>
          <w:bCs/>
          <w:noProof/>
        </w:rPr>
        <w:t>2019</w:t>
      </w:r>
      <w:r w:rsidRPr="006D631C">
        <w:rPr>
          <w:noProof/>
        </w:rPr>
        <w:t xml:space="preserve">, </w:t>
      </w:r>
      <w:r w:rsidRPr="006D631C">
        <w:rPr>
          <w:i/>
          <w:iCs/>
          <w:noProof/>
        </w:rPr>
        <w:t>5</w:t>
      </w:r>
      <w:r w:rsidRPr="006D631C">
        <w:rPr>
          <w:noProof/>
        </w:rPr>
        <w:t xml:space="preserve"> (3), 585–598. https://doi.org/10.1039/C8EW00847G.</w:t>
      </w:r>
    </w:p>
    <w:p w14:paraId="2E0FD80E"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(281) </w:t>
      </w:r>
      <w:r w:rsidRPr="006D631C">
        <w:rPr>
          <w:noProof/>
        </w:rPr>
        <w:tab/>
        <w:t xml:space="preserve">Lu, D.; Yao, Z.; Jiao, L.; Waheed, M.; Sun, Z.; Zhang, L. Separation Mechanism, Selectivity Enhancement Strategies and Advanced Materials for Mono-/Multivalent Ion-Selective Nanofiltration Membrane. </w:t>
      </w:r>
      <w:r w:rsidRPr="006D631C">
        <w:rPr>
          <w:i/>
          <w:iCs/>
          <w:noProof/>
        </w:rPr>
        <w:t>Adv. Membr.</w:t>
      </w:r>
      <w:r w:rsidRPr="006D631C">
        <w:rPr>
          <w:noProof/>
        </w:rPr>
        <w:t xml:space="preserve"> </w:t>
      </w:r>
      <w:r w:rsidRPr="006D631C">
        <w:rPr>
          <w:b/>
          <w:bCs/>
          <w:noProof/>
        </w:rPr>
        <w:t>2022</w:t>
      </w:r>
      <w:r w:rsidRPr="006D631C">
        <w:rPr>
          <w:noProof/>
        </w:rPr>
        <w:t xml:space="preserve">, </w:t>
      </w:r>
      <w:r w:rsidRPr="006D631C">
        <w:rPr>
          <w:i/>
          <w:iCs/>
          <w:noProof/>
        </w:rPr>
        <w:t>2</w:t>
      </w:r>
      <w:r w:rsidRPr="006D631C">
        <w:rPr>
          <w:noProof/>
        </w:rPr>
        <w:t>, 100032. https://doi.org/10.1016/j.advmem.2022.100032.</w:t>
      </w:r>
    </w:p>
    <w:p w14:paraId="30E050D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(282) </w:t>
      </w:r>
      <w:r w:rsidRPr="006D631C">
        <w:rPr>
          <w:noProof/>
        </w:rPr>
        <w:tab/>
        <w:t xml:space="preserve">Cao, Y.; Chen, G.; Wan, Y.; Luo, J. Nanofiltration Membrane for Bio‐separation: Process‐oriented Materials Innovation. </w:t>
      </w:r>
      <w:r w:rsidRPr="006D631C">
        <w:rPr>
          <w:i/>
          <w:iCs/>
          <w:noProof/>
        </w:rPr>
        <w:t>Eng. Life Sci.</w:t>
      </w:r>
      <w:r w:rsidRPr="006D631C">
        <w:rPr>
          <w:noProof/>
        </w:rPr>
        <w:t xml:space="preserve"> </w:t>
      </w:r>
      <w:r w:rsidRPr="006D631C">
        <w:rPr>
          <w:b/>
          <w:bCs/>
          <w:noProof/>
        </w:rPr>
        <w:t>2021</w:t>
      </w:r>
      <w:r w:rsidRPr="006D631C">
        <w:rPr>
          <w:noProof/>
        </w:rPr>
        <w:t xml:space="preserve">, </w:t>
      </w:r>
      <w:r w:rsidRPr="006D631C">
        <w:rPr>
          <w:i/>
          <w:iCs/>
          <w:noProof/>
        </w:rPr>
        <w:t>21</w:t>
      </w:r>
      <w:r w:rsidRPr="006D631C">
        <w:rPr>
          <w:noProof/>
        </w:rPr>
        <w:t xml:space="preserve"> (6), 405–416. https://doi.org/10.1002/elsc.202000100.</w:t>
      </w:r>
    </w:p>
    <w:p w14:paraId="288A84C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(283) </w:t>
      </w:r>
      <w:r w:rsidRPr="006D631C">
        <w:rPr>
          <w:noProof/>
        </w:rPr>
        <w:tab/>
        <w:t xml:space="preserve">Dong, X.; Al-Jumaily, A.; Escobar, I. Investigation of the Use of a Bio-Derived Solvent for Non-Solvent-Induced Phase Separation (NIPS) Fabrication of Polysulfone Membranes. </w:t>
      </w:r>
      <w:r w:rsidRPr="006D631C">
        <w:rPr>
          <w:i/>
          <w:iCs/>
          <w:noProof/>
        </w:rPr>
        <w:t>Membranes (Basel).</w:t>
      </w:r>
      <w:r w:rsidRPr="006D631C">
        <w:rPr>
          <w:noProof/>
        </w:rPr>
        <w:t xml:space="preserve"> </w:t>
      </w:r>
      <w:r w:rsidRPr="006D631C">
        <w:rPr>
          <w:b/>
          <w:bCs/>
          <w:noProof/>
        </w:rPr>
        <w:t>2018</w:t>
      </w:r>
      <w:r w:rsidRPr="006D631C">
        <w:rPr>
          <w:noProof/>
        </w:rPr>
        <w:t xml:space="preserve">, </w:t>
      </w:r>
      <w:r w:rsidRPr="006D631C">
        <w:rPr>
          <w:i/>
          <w:iCs/>
          <w:noProof/>
        </w:rPr>
        <w:t>8</w:t>
      </w:r>
      <w:r w:rsidRPr="006D631C">
        <w:rPr>
          <w:noProof/>
        </w:rPr>
        <w:t xml:space="preserve"> (2), 23. https://doi.org/10.3390/membranes8020023.</w:t>
      </w:r>
    </w:p>
    <w:p w14:paraId="6514880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(284) </w:t>
      </w:r>
      <w:r w:rsidRPr="006D631C">
        <w:rPr>
          <w:noProof/>
        </w:rPr>
        <w:tab/>
        <w:t xml:space="preserve">Mohamat, R. Fabrication of Nanofiltration Membrane Utilising Surfactant Via Non-Solvent Induced Phase Separation Method. </w:t>
      </w:r>
      <w:r w:rsidRPr="006D631C">
        <w:rPr>
          <w:i/>
          <w:iCs/>
          <w:noProof/>
        </w:rPr>
        <w:t>SPEKTRA  J. Kaji. Pendidik. Sains</w:t>
      </w:r>
      <w:r w:rsidRPr="006D631C">
        <w:rPr>
          <w:noProof/>
        </w:rPr>
        <w:t xml:space="preserve"> </w:t>
      </w:r>
      <w:r w:rsidRPr="006D631C">
        <w:rPr>
          <w:b/>
          <w:bCs/>
          <w:noProof/>
        </w:rPr>
        <w:t>2019</w:t>
      </w:r>
      <w:r w:rsidRPr="006D631C">
        <w:rPr>
          <w:noProof/>
        </w:rPr>
        <w:t xml:space="preserve">, </w:t>
      </w:r>
      <w:r w:rsidRPr="006D631C">
        <w:rPr>
          <w:i/>
          <w:iCs/>
          <w:noProof/>
        </w:rPr>
        <w:t>5</w:t>
      </w:r>
      <w:r w:rsidRPr="006D631C">
        <w:rPr>
          <w:noProof/>
        </w:rPr>
        <w:t xml:space="preserve"> (2), 129. https://doi.org/10.32699/spektra.v5i2.108.</w:t>
      </w:r>
    </w:p>
    <w:p w14:paraId="5FB273A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(285) </w:t>
      </w:r>
      <w:r w:rsidRPr="006D631C">
        <w:rPr>
          <w:noProof/>
        </w:rPr>
        <w:tab/>
        <w:t xml:space="preserve">Zhang, L.; Zhang, R.; Ji, M.; Lu, Y.; Zhu, Y.; Jin, J. Polyamide Nanofiltration Membrane with High Mono/Divalent Salt Selectivity via Pre-Diffusion Interfacial Polymerization. </w:t>
      </w:r>
      <w:r w:rsidRPr="006D631C">
        <w:rPr>
          <w:i/>
          <w:iCs/>
          <w:noProof/>
        </w:rPr>
        <w:t>J. Memb. Sci.</w:t>
      </w:r>
      <w:r w:rsidRPr="006D631C">
        <w:rPr>
          <w:noProof/>
        </w:rPr>
        <w:t xml:space="preserve"> </w:t>
      </w:r>
      <w:r w:rsidRPr="006D631C">
        <w:rPr>
          <w:b/>
          <w:bCs/>
          <w:noProof/>
        </w:rPr>
        <w:t>2021</w:t>
      </w:r>
      <w:r w:rsidRPr="006D631C">
        <w:rPr>
          <w:noProof/>
        </w:rPr>
        <w:t xml:space="preserve">, </w:t>
      </w:r>
      <w:r w:rsidRPr="006D631C">
        <w:rPr>
          <w:i/>
          <w:iCs/>
          <w:noProof/>
        </w:rPr>
        <w:t>636</w:t>
      </w:r>
      <w:r w:rsidRPr="006D631C">
        <w:rPr>
          <w:noProof/>
        </w:rPr>
        <w:t>, 119478. https://doi.org/10.1016/j.memsci.2021.119478.</w:t>
      </w:r>
    </w:p>
    <w:p w14:paraId="5C0C30C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(286) </w:t>
      </w:r>
      <w:r w:rsidRPr="006D631C">
        <w:rPr>
          <w:noProof/>
        </w:rPr>
        <w:tab/>
        <w:t xml:space="preserve">Li, X.; Cao, Y.; Yu, H.; Kang, G.; Jie, X.; Liu, Z.; Yuan, Q. A Novel Composite Nanofiltration Membrane Prepared with PHGH and TMC by Interfacial Polymerization. </w:t>
      </w:r>
      <w:r w:rsidRPr="006D631C">
        <w:rPr>
          <w:i/>
          <w:iCs/>
          <w:noProof/>
        </w:rPr>
        <w:t>J. Memb. Sci.</w:t>
      </w:r>
      <w:r w:rsidRPr="006D631C">
        <w:rPr>
          <w:noProof/>
        </w:rPr>
        <w:t xml:space="preserve"> </w:t>
      </w:r>
      <w:r w:rsidRPr="006D631C">
        <w:rPr>
          <w:b/>
          <w:bCs/>
          <w:noProof/>
        </w:rPr>
        <w:t>2014</w:t>
      </w:r>
      <w:r w:rsidRPr="006D631C">
        <w:rPr>
          <w:noProof/>
        </w:rPr>
        <w:t xml:space="preserve">, </w:t>
      </w:r>
      <w:r w:rsidRPr="006D631C">
        <w:rPr>
          <w:i/>
          <w:iCs/>
          <w:noProof/>
        </w:rPr>
        <w:t>466</w:t>
      </w:r>
      <w:r w:rsidRPr="006D631C">
        <w:rPr>
          <w:noProof/>
        </w:rPr>
        <w:t>, 82–91. https://doi.org/10.1016/j.memsci.2014.04.034.</w:t>
      </w:r>
    </w:p>
    <w:p w14:paraId="5AB80AF9"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(287) </w:t>
      </w:r>
      <w:r w:rsidRPr="006D631C">
        <w:rPr>
          <w:noProof/>
        </w:rPr>
        <w:tab/>
        <w:t xml:space="preserve">Yuan, S.; Zhang, G.; Zhu, J.; Mamrol, N.; Liu, S.; Mai, Z.; Van Puyvelde, P.; Van der Bruggen, B. Hydrogel Assisted Interfacial Polymerization for Advanced Nanofiltration Membranes. </w:t>
      </w:r>
      <w:r w:rsidRPr="006D631C">
        <w:rPr>
          <w:i/>
          <w:iCs/>
          <w:noProof/>
        </w:rPr>
        <w:t>J. Mater. Chem. A</w:t>
      </w:r>
      <w:r w:rsidRPr="006D631C">
        <w:rPr>
          <w:noProof/>
        </w:rPr>
        <w:t xml:space="preserve"> </w:t>
      </w:r>
      <w:r w:rsidRPr="006D631C">
        <w:rPr>
          <w:b/>
          <w:bCs/>
          <w:noProof/>
        </w:rPr>
        <w:t>2020</w:t>
      </w:r>
      <w:r w:rsidRPr="006D631C">
        <w:rPr>
          <w:noProof/>
        </w:rPr>
        <w:t xml:space="preserve">, </w:t>
      </w:r>
      <w:r w:rsidRPr="006D631C">
        <w:rPr>
          <w:i/>
          <w:iCs/>
          <w:noProof/>
        </w:rPr>
        <w:t>8</w:t>
      </w:r>
      <w:r w:rsidRPr="006D631C">
        <w:rPr>
          <w:noProof/>
        </w:rPr>
        <w:t xml:space="preserve"> (6), 3238–3245. https://doi.org/10.1039/C9TA12984G.</w:t>
      </w:r>
    </w:p>
    <w:p w14:paraId="6189D3A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(288) </w:t>
      </w:r>
      <w:r w:rsidRPr="006D631C">
        <w:rPr>
          <w:noProof/>
        </w:rPr>
        <w:tab/>
        <w:t xml:space="preserve">Zhang, R.; Zhu, Y.; Zhang, L.; Lu, Y.; Yang, Z.; Zhang, Y.; Jin, J. Polyamide Nanofiltration Membranes from Surfactant‐Assembly Regulated Interfacial Polymerization: The Effect of Alkyl Chain. </w:t>
      </w:r>
      <w:r w:rsidRPr="006D631C">
        <w:rPr>
          <w:i/>
          <w:iCs/>
          <w:noProof/>
        </w:rPr>
        <w:t>Macromol. Chem. Phys.</w:t>
      </w:r>
      <w:r w:rsidRPr="006D631C">
        <w:rPr>
          <w:noProof/>
        </w:rPr>
        <w:t xml:space="preserve"> </w:t>
      </w:r>
      <w:r w:rsidRPr="006D631C">
        <w:rPr>
          <w:b/>
          <w:bCs/>
          <w:noProof/>
        </w:rPr>
        <w:t>2021</w:t>
      </w:r>
      <w:r w:rsidRPr="006D631C">
        <w:rPr>
          <w:noProof/>
        </w:rPr>
        <w:t xml:space="preserve">, </w:t>
      </w:r>
      <w:r w:rsidRPr="006D631C">
        <w:rPr>
          <w:i/>
          <w:iCs/>
          <w:noProof/>
        </w:rPr>
        <w:t>222</w:t>
      </w:r>
      <w:r w:rsidRPr="006D631C">
        <w:rPr>
          <w:noProof/>
        </w:rPr>
        <w:t xml:space="preserve"> (20), 2100222. https://doi.org/10.1002/macp.202100222.</w:t>
      </w:r>
    </w:p>
    <w:p w14:paraId="7F89049B"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(289) </w:t>
      </w:r>
      <w:r w:rsidRPr="006D631C">
        <w:rPr>
          <w:noProof/>
        </w:rPr>
        <w:tab/>
        <w:t xml:space="preserve">Saadat, Y.; Tabatabaei, S. M.; Kim, K.; Foudazi, R. Thermoresponsive Antifouling Ultrafiltration Membranes from Mesophase Templating. </w:t>
      </w:r>
      <w:r w:rsidRPr="006D631C">
        <w:rPr>
          <w:i/>
          <w:iCs/>
          <w:noProof/>
        </w:rPr>
        <w:t>J. Memb. Sci.</w:t>
      </w:r>
      <w:r w:rsidRPr="006D631C">
        <w:rPr>
          <w:noProof/>
        </w:rPr>
        <w:t xml:space="preserve"> </w:t>
      </w:r>
      <w:r w:rsidRPr="006D631C">
        <w:rPr>
          <w:b/>
          <w:bCs/>
          <w:noProof/>
        </w:rPr>
        <w:t>2023</w:t>
      </w:r>
      <w:r w:rsidRPr="006D631C">
        <w:rPr>
          <w:noProof/>
        </w:rPr>
        <w:t xml:space="preserve">, </w:t>
      </w:r>
      <w:r w:rsidRPr="006D631C">
        <w:rPr>
          <w:i/>
          <w:iCs/>
          <w:noProof/>
        </w:rPr>
        <w:t>684</w:t>
      </w:r>
      <w:r w:rsidRPr="006D631C">
        <w:rPr>
          <w:noProof/>
        </w:rPr>
        <w:t>, 121861. https://doi.org/10.1016/j.memsci.2023.121861.</w:t>
      </w:r>
    </w:p>
    <w:p w14:paraId="468299D5"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(290) </w:t>
      </w:r>
      <w:r w:rsidRPr="006D631C">
        <w:rPr>
          <w:noProof/>
        </w:rPr>
        <w:tab/>
        <w:t xml:space="preserve">Durpekova, S.; Di Martino, A.; Dusankova, M.; Drohsler, P.; Sedlarik, V. Biopolymer Hydrogel Based on Acid Whey and Cellulose Derivatives for Enhancement Water Retention Capacity of Soil and Slow Release of Fertilizers. </w:t>
      </w:r>
      <w:r w:rsidRPr="006D631C">
        <w:rPr>
          <w:i/>
          <w:iCs/>
          <w:noProof/>
        </w:rPr>
        <w:t>Polymers (Basel).</w:t>
      </w:r>
      <w:r w:rsidRPr="006D631C">
        <w:rPr>
          <w:noProof/>
        </w:rPr>
        <w:t xml:space="preserve"> </w:t>
      </w:r>
      <w:r w:rsidRPr="006D631C">
        <w:rPr>
          <w:b/>
          <w:bCs/>
          <w:noProof/>
        </w:rPr>
        <w:t>2021</w:t>
      </w:r>
      <w:r w:rsidRPr="006D631C">
        <w:rPr>
          <w:noProof/>
        </w:rPr>
        <w:t xml:space="preserve">, </w:t>
      </w:r>
      <w:r w:rsidRPr="006D631C">
        <w:rPr>
          <w:i/>
          <w:iCs/>
          <w:noProof/>
        </w:rPr>
        <w:t>13</w:t>
      </w:r>
      <w:r w:rsidRPr="006D631C">
        <w:rPr>
          <w:noProof/>
        </w:rPr>
        <w:t xml:space="preserve"> (19), 3274. https://doi.org/10.3390/polym13193274.</w:t>
      </w:r>
    </w:p>
    <w:p w14:paraId="1B544D0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(291) </w:t>
      </w:r>
      <w:r w:rsidRPr="006D631C">
        <w:rPr>
          <w:noProof/>
        </w:rPr>
        <w:tab/>
        <w:t xml:space="preserve">Khademi, M.; Barz, D. P. J. Structure of the Electrical Double Layer Revisited: Electrode Capacitance in Aqueous Solutions. </w:t>
      </w:r>
      <w:r w:rsidRPr="006D631C">
        <w:rPr>
          <w:i/>
          <w:iCs/>
          <w:noProof/>
        </w:rPr>
        <w:t>Langmuir</w:t>
      </w:r>
      <w:r w:rsidRPr="006D631C">
        <w:rPr>
          <w:noProof/>
        </w:rPr>
        <w:t xml:space="preserve"> </w:t>
      </w:r>
      <w:r w:rsidRPr="006D631C">
        <w:rPr>
          <w:b/>
          <w:bCs/>
          <w:noProof/>
        </w:rPr>
        <w:t>2020</w:t>
      </w:r>
      <w:r w:rsidRPr="006D631C">
        <w:rPr>
          <w:noProof/>
        </w:rPr>
        <w:t xml:space="preserve">, </w:t>
      </w:r>
      <w:r w:rsidRPr="006D631C">
        <w:rPr>
          <w:i/>
          <w:iCs/>
          <w:noProof/>
        </w:rPr>
        <w:t>36</w:t>
      </w:r>
      <w:r w:rsidRPr="006D631C">
        <w:rPr>
          <w:noProof/>
        </w:rPr>
        <w:t xml:space="preserve"> (16), 4250–4260. https://doi.org/10.1021/acs.langmuir.0c00024.</w:t>
      </w:r>
    </w:p>
    <w:p w14:paraId="0C1BFEC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(292) </w:t>
      </w:r>
      <w:r w:rsidRPr="006D631C">
        <w:rPr>
          <w:noProof/>
        </w:rPr>
        <w:tab/>
        <w:t xml:space="preserve">Rayner-Canham, G.; Overton, T. </w:t>
      </w:r>
      <w:r w:rsidRPr="006D631C">
        <w:rPr>
          <w:i/>
          <w:iCs/>
          <w:noProof/>
        </w:rPr>
        <w:t>Descriptive Inorganic Chemistry</w:t>
      </w:r>
      <w:r w:rsidRPr="006D631C">
        <w:rPr>
          <w:noProof/>
        </w:rPr>
        <w:t>, Sixth.; W. H. Freeman, 2013.</w:t>
      </w:r>
    </w:p>
    <w:p w14:paraId="2909EE1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(293) </w:t>
      </w:r>
      <w:r w:rsidRPr="006D631C">
        <w:rPr>
          <w:noProof/>
        </w:rPr>
        <w:tab/>
        <w:t xml:space="preserve">Wiśniewska, M.; Urban, T.; Grządka, E.; Zarko, V. I.; Gun’ko, V. M. Comparison of Adsorption Affinity of Polyacrylic Acid for Surfaces of Mixed Silica–Alumina. </w:t>
      </w:r>
      <w:r w:rsidRPr="006D631C">
        <w:rPr>
          <w:i/>
          <w:iCs/>
          <w:noProof/>
        </w:rPr>
        <w:t>Colloid Polym. Sci.</w:t>
      </w:r>
      <w:r w:rsidRPr="006D631C">
        <w:rPr>
          <w:noProof/>
        </w:rPr>
        <w:t xml:space="preserve"> </w:t>
      </w:r>
      <w:r w:rsidRPr="006D631C">
        <w:rPr>
          <w:b/>
          <w:bCs/>
          <w:noProof/>
        </w:rPr>
        <w:t>2014</w:t>
      </w:r>
      <w:r w:rsidRPr="006D631C">
        <w:rPr>
          <w:noProof/>
        </w:rPr>
        <w:t xml:space="preserve">, </w:t>
      </w:r>
      <w:r w:rsidRPr="006D631C">
        <w:rPr>
          <w:i/>
          <w:iCs/>
          <w:noProof/>
        </w:rPr>
        <w:t>292</w:t>
      </w:r>
      <w:r w:rsidRPr="006D631C">
        <w:rPr>
          <w:noProof/>
        </w:rPr>
        <w:t xml:space="preserve"> (3), 699–705. https://doi.org/10.1007/s00396-013-3103-x.</w:t>
      </w:r>
    </w:p>
    <w:p w14:paraId="7CFF9B01" w14:textId="77777777" w:rsidR="005C60C1" w:rsidRPr="006D631C" w:rsidRDefault="005C60C1" w:rsidP="005C60C1">
      <w:pPr>
        <w:widowControl w:val="0"/>
        <w:autoSpaceDE w:val="0"/>
        <w:autoSpaceDN w:val="0"/>
        <w:adjustRightInd w:val="0"/>
        <w:ind w:left="640" w:hanging="640"/>
        <w:rPr>
          <w:noProof/>
        </w:rPr>
      </w:pPr>
      <w:r w:rsidRPr="006D631C">
        <w:rPr>
          <w:noProof/>
        </w:rPr>
        <w:lastRenderedPageBreak/>
        <w:t xml:space="preserve">(294) </w:t>
      </w:r>
      <w:r w:rsidRPr="006D631C">
        <w:rPr>
          <w:noProof/>
        </w:rPr>
        <w:tab/>
        <w:t xml:space="preserve">Boo, C.; Wang, Y.; Zucker, I.; Choo, Y.; Osuji, C. O.; Elimelech, M. High Performance Nanofiltration Membrane for Effective Removal of Perfluoroalkyl Substances at High Water Recovery. </w:t>
      </w:r>
      <w:r w:rsidRPr="006D631C">
        <w:rPr>
          <w:i/>
          <w:iCs/>
          <w:noProof/>
        </w:rPr>
        <w:t>Environ. Sci. Technol.</w:t>
      </w:r>
      <w:r w:rsidRPr="006D631C">
        <w:rPr>
          <w:noProof/>
        </w:rPr>
        <w:t xml:space="preserve"> </w:t>
      </w:r>
      <w:r w:rsidRPr="006D631C">
        <w:rPr>
          <w:b/>
          <w:bCs/>
          <w:noProof/>
        </w:rPr>
        <w:t>2018</w:t>
      </w:r>
      <w:r w:rsidRPr="006D631C">
        <w:rPr>
          <w:noProof/>
        </w:rPr>
        <w:t xml:space="preserve">, </w:t>
      </w:r>
      <w:r w:rsidRPr="006D631C">
        <w:rPr>
          <w:i/>
          <w:iCs/>
          <w:noProof/>
        </w:rPr>
        <w:t>52</w:t>
      </w:r>
      <w:r w:rsidRPr="006D631C">
        <w:rPr>
          <w:noProof/>
        </w:rPr>
        <w:t xml:space="preserve"> (13), 7279–7288. https://doi.org/10.1021/acs.est.8b01040.</w:t>
      </w:r>
    </w:p>
    <w:p w14:paraId="74EA6D7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(295) </w:t>
      </w:r>
      <w:r w:rsidRPr="006D631C">
        <w:rPr>
          <w:noProof/>
        </w:rPr>
        <w:tab/>
        <w:t xml:space="preserve">Wang, R.; Lin, S. Pore Model for Nanofiltration: History, Theoretical Framework, Key Predictions, Limitations, and Prospects. </w:t>
      </w:r>
      <w:r w:rsidRPr="006D631C">
        <w:rPr>
          <w:i/>
          <w:iCs/>
          <w:noProof/>
        </w:rPr>
        <w:t>J. Memb. Sci.</w:t>
      </w:r>
      <w:r w:rsidRPr="006D631C">
        <w:rPr>
          <w:noProof/>
        </w:rPr>
        <w:t xml:space="preserve"> </w:t>
      </w:r>
      <w:r w:rsidRPr="006D631C">
        <w:rPr>
          <w:b/>
          <w:bCs/>
          <w:noProof/>
        </w:rPr>
        <w:t>2021</w:t>
      </w:r>
      <w:r w:rsidRPr="006D631C">
        <w:rPr>
          <w:noProof/>
        </w:rPr>
        <w:t xml:space="preserve">, </w:t>
      </w:r>
      <w:r w:rsidRPr="006D631C">
        <w:rPr>
          <w:i/>
          <w:iCs/>
          <w:noProof/>
        </w:rPr>
        <w:t>620</w:t>
      </w:r>
      <w:r w:rsidRPr="006D631C">
        <w:rPr>
          <w:noProof/>
        </w:rPr>
        <w:t>, 118809. https://doi.org/10.1016/j.memsci.2020.118809.</w:t>
      </w:r>
    </w:p>
    <w:p w14:paraId="60769B6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(296) </w:t>
      </w:r>
      <w:r w:rsidRPr="006D631C">
        <w:rPr>
          <w:noProof/>
        </w:rPr>
        <w:tab/>
        <w:t xml:space="preserve">Lee, A.; Elam, J. W.; Darling, S. B. Membrane Materials for Water Purification: Design, Development, and Application. </w:t>
      </w:r>
      <w:r w:rsidRPr="006D631C">
        <w:rPr>
          <w:i/>
          <w:iCs/>
          <w:noProof/>
        </w:rPr>
        <w:t>Environ. Sci. Water Res. Technol.</w:t>
      </w:r>
      <w:r w:rsidRPr="006D631C">
        <w:rPr>
          <w:noProof/>
        </w:rPr>
        <w:t xml:space="preserve"> </w:t>
      </w:r>
      <w:r w:rsidRPr="006D631C">
        <w:rPr>
          <w:b/>
          <w:bCs/>
          <w:noProof/>
        </w:rPr>
        <w:t>2016</w:t>
      </w:r>
      <w:r w:rsidRPr="006D631C">
        <w:rPr>
          <w:noProof/>
        </w:rPr>
        <w:t xml:space="preserve">, </w:t>
      </w:r>
      <w:r w:rsidRPr="006D631C">
        <w:rPr>
          <w:i/>
          <w:iCs/>
          <w:noProof/>
        </w:rPr>
        <w:t>2</w:t>
      </w:r>
      <w:r w:rsidRPr="006D631C">
        <w:rPr>
          <w:noProof/>
        </w:rPr>
        <w:t xml:space="preserve"> (1), 17–42. https://doi.org/10.1039/C5EW00159E.</w:t>
      </w:r>
    </w:p>
    <w:p w14:paraId="41341C7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(297) </w:t>
      </w:r>
      <w:r w:rsidRPr="006D631C">
        <w:rPr>
          <w:noProof/>
        </w:rPr>
        <w:tab/>
        <w:t xml:space="preserve">Zhang, Y.; Dong, R.; Gabinet, U. R.; Poling-Skutvik, R.; Kim, N. K.; Lee, C.; Imran, O. Q.; Feng, X.; Osuji, C. O. Rapid Fabrication by Lyotropic Self-Assembly of Thin Nanofiltration Membranes with Uniform 1 Nanometer Pores. </w:t>
      </w:r>
      <w:r w:rsidRPr="006D631C">
        <w:rPr>
          <w:i/>
          <w:iCs/>
          <w:noProof/>
        </w:rPr>
        <w:t>ACS Nano</w:t>
      </w:r>
      <w:r w:rsidRPr="006D631C">
        <w:rPr>
          <w:noProof/>
        </w:rPr>
        <w:t xml:space="preserve"> </w:t>
      </w:r>
      <w:r w:rsidRPr="006D631C">
        <w:rPr>
          <w:b/>
          <w:bCs/>
          <w:noProof/>
        </w:rPr>
        <w:t>2021</w:t>
      </w:r>
      <w:r w:rsidRPr="006D631C">
        <w:rPr>
          <w:noProof/>
        </w:rPr>
        <w:t xml:space="preserve">, </w:t>
      </w:r>
      <w:r w:rsidRPr="006D631C">
        <w:rPr>
          <w:i/>
          <w:iCs/>
          <w:noProof/>
        </w:rPr>
        <w:t>15</w:t>
      </w:r>
      <w:r w:rsidRPr="006D631C">
        <w:rPr>
          <w:noProof/>
        </w:rPr>
        <w:t xml:space="preserve"> (5), 8192–8203. https://doi.org/10.1021/acsnano.1c00722.</w:t>
      </w:r>
    </w:p>
    <w:p w14:paraId="0735434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(298) </w:t>
      </w:r>
      <w:r w:rsidRPr="006D631C">
        <w:rPr>
          <w:noProof/>
        </w:rPr>
        <w:tab/>
        <w:t xml:space="preserve">Li, Y.; Zhao, Y.; Wang, H.; Wang, M. The Application of Nanofiltration Membrane for Recovering Lithium from Salt Lake Brine. </w:t>
      </w:r>
      <w:r w:rsidRPr="006D631C">
        <w:rPr>
          <w:i/>
          <w:iCs/>
          <w:noProof/>
        </w:rPr>
        <w:t>Desalination</w:t>
      </w:r>
      <w:r w:rsidRPr="006D631C">
        <w:rPr>
          <w:noProof/>
        </w:rPr>
        <w:t xml:space="preserve"> </w:t>
      </w:r>
      <w:r w:rsidRPr="006D631C">
        <w:rPr>
          <w:b/>
          <w:bCs/>
          <w:noProof/>
        </w:rPr>
        <w:t>2019</w:t>
      </w:r>
      <w:r w:rsidRPr="006D631C">
        <w:rPr>
          <w:noProof/>
        </w:rPr>
        <w:t xml:space="preserve">, </w:t>
      </w:r>
      <w:r w:rsidRPr="006D631C">
        <w:rPr>
          <w:i/>
          <w:iCs/>
          <w:noProof/>
        </w:rPr>
        <w:t>468</w:t>
      </w:r>
      <w:r w:rsidRPr="006D631C">
        <w:rPr>
          <w:noProof/>
        </w:rPr>
        <w:t>, 114081. https://doi.org/10.1016/j.desal.2019.114081.</w:t>
      </w:r>
    </w:p>
    <w:p w14:paraId="21637F52"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(299) </w:t>
      </w:r>
      <w:r w:rsidRPr="006D631C">
        <w:rPr>
          <w:noProof/>
        </w:rPr>
        <w:tab/>
        <w:t xml:space="preserve">Gyulai, G.; Magyar, A.; Rohonczy, J.; Orosz, J.; Yamasaki, M.; Bosze, S.; Kiss, E. Preparation and Characterization of Cationic Pluronic for Surface Modification and Functionalization of Polymeric Drug Delivery Nanoparticles. </w:t>
      </w:r>
      <w:r w:rsidRPr="006D631C">
        <w:rPr>
          <w:i/>
          <w:iCs/>
          <w:noProof/>
        </w:rPr>
        <w:t>Express Polym. Lett.</w:t>
      </w:r>
      <w:r w:rsidRPr="006D631C">
        <w:rPr>
          <w:noProof/>
        </w:rPr>
        <w:t xml:space="preserve"> </w:t>
      </w:r>
      <w:r w:rsidRPr="006D631C">
        <w:rPr>
          <w:b/>
          <w:bCs/>
          <w:noProof/>
        </w:rPr>
        <w:t>2016</w:t>
      </w:r>
      <w:r w:rsidRPr="006D631C">
        <w:rPr>
          <w:noProof/>
        </w:rPr>
        <w:t xml:space="preserve">, </w:t>
      </w:r>
      <w:r w:rsidRPr="006D631C">
        <w:rPr>
          <w:i/>
          <w:iCs/>
          <w:noProof/>
        </w:rPr>
        <w:t>10</w:t>
      </w:r>
      <w:r w:rsidRPr="006D631C">
        <w:rPr>
          <w:noProof/>
        </w:rPr>
        <w:t xml:space="preserve"> (3), 216–226. https://doi.org/10.3144/expresspolymlett.2016.20.</w:t>
      </w:r>
    </w:p>
    <w:p w14:paraId="011835E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(300) </w:t>
      </w:r>
      <w:r w:rsidRPr="006D631C">
        <w:rPr>
          <w:noProof/>
        </w:rPr>
        <w:tab/>
        <w:t xml:space="preserve">Hosseinzadeh, H.; Pashaei, S.; Hosseinzadeh, S.; Khodaparast, Z.; Ramin, S.; Saadat, Y. Preparation of Novel Multi-Walled Carbon Nanotubes Nanocomposite Adsorbent via </w:t>
      </w:r>
      <w:r w:rsidRPr="006D631C">
        <w:rPr>
          <w:noProof/>
        </w:rPr>
        <w:lastRenderedPageBreak/>
        <w:t xml:space="preserve">RAFT Technique for the Adsorption of Toxic Copper Ions. </w:t>
      </w:r>
      <w:r w:rsidRPr="006D631C">
        <w:rPr>
          <w:i/>
          <w:iCs/>
          <w:noProof/>
        </w:rPr>
        <w:t>Sci. Total Environ.</w:t>
      </w:r>
      <w:r w:rsidRPr="006D631C">
        <w:rPr>
          <w:noProof/>
        </w:rPr>
        <w:t xml:space="preserve"> </w:t>
      </w:r>
      <w:r w:rsidRPr="006D631C">
        <w:rPr>
          <w:b/>
          <w:bCs/>
          <w:noProof/>
        </w:rPr>
        <w:t>2018</w:t>
      </w:r>
      <w:r w:rsidRPr="006D631C">
        <w:rPr>
          <w:noProof/>
        </w:rPr>
        <w:t xml:space="preserve">, </w:t>
      </w:r>
      <w:r w:rsidRPr="006D631C">
        <w:rPr>
          <w:i/>
          <w:iCs/>
          <w:noProof/>
        </w:rPr>
        <w:t>640</w:t>
      </w:r>
      <w:r w:rsidRPr="006D631C">
        <w:rPr>
          <w:noProof/>
        </w:rPr>
        <w:t>–</w:t>
      </w:r>
      <w:r w:rsidRPr="006D631C">
        <w:rPr>
          <w:i/>
          <w:iCs/>
          <w:noProof/>
        </w:rPr>
        <w:t>641</w:t>
      </w:r>
      <w:r w:rsidRPr="006D631C">
        <w:rPr>
          <w:noProof/>
        </w:rPr>
        <w:t>, 303–314. https://doi.org/10.1016/j.scitotenv.2018.05.326.</w:t>
      </w:r>
    </w:p>
    <w:p w14:paraId="18D95D01"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(301) </w:t>
      </w:r>
      <w:r w:rsidRPr="006D631C">
        <w:rPr>
          <w:noProof/>
        </w:rPr>
        <w:tab/>
        <w:t xml:space="preserve">Abdullah, N.; Gohari, R. J.; Yusof, N.; Ismail, A. F.; Juhana, J.; Lau, W. J.; Matsuura, T. Polysulfone/Hydrous Ferric Oxide Ultrafiltration Mixed Matrix Membrane: Preparation, Characterization and Its Adsorptive Removal of Lead (II) from Aqueous Solution. </w:t>
      </w:r>
      <w:r w:rsidRPr="006D631C">
        <w:rPr>
          <w:i/>
          <w:iCs/>
          <w:noProof/>
        </w:rPr>
        <w:t>Chem. Eng. J.</w:t>
      </w:r>
      <w:r w:rsidRPr="006D631C">
        <w:rPr>
          <w:noProof/>
        </w:rPr>
        <w:t xml:space="preserve"> </w:t>
      </w:r>
      <w:r w:rsidRPr="006D631C">
        <w:rPr>
          <w:b/>
          <w:bCs/>
          <w:noProof/>
        </w:rPr>
        <w:t>2016</w:t>
      </w:r>
      <w:r w:rsidRPr="006D631C">
        <w:rPr>
          <w:noProof/>
        </w:rPr>
        <w:t xml:space="preserve">, </w:t>
      </w:r>
      <w:r w:rsidRPr="006D631C">
        <w:rPr>
          <w:i/>
          <w:iCs/>
          <w:noProof/>
        </w:rPr>
        <w:t>289</w:t>
      </w:r>
      <w:r w:rsidRPr="006D631C">
        <w:rPr>
          <w:noProof/>
        </w:rPr>
        <w:t>, 28–37. https://doi.org/10.1016/j.cej.2015.12.081.</w:t>
      </w:r>
    </w:p>
    <w:p w14:paraId="65D1A0A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(302) </w:t>
      </w:r>
      <w:r w:rsidRPr="006D631C">
        <w:rPr>
          <w:noProof/>
        </w:rPr>
        <w:tab/>
        <w:t xml:space="preserve">Perumal, S.; Atchudan, R.; Edison, T. N. J. I.; Babu, R. S.; Karpagavinayagam, P.; Vedhi, C. A Short Review on Recent Advances of Hydrogel-Based Adsorbents for Heavy Metal Ions. </w:t>
      </w:r>
      <w:r w:rsidRPr="006D631C">
        <w:rPr>
          <w:i/>
          <w:iCs/>
          <w:noProof/>
        </w:rPr>
        <w:t>Metals (Basel).</w:t>
      </w:r>
      <w:r w:rsidRPr="006D631C">
        <w:rPr>
          <w:noProof/>
        </w:rPr>
        <w:t xml:space="preserve"> </w:t>
      </w:r>
      <w:r w:rsidRPr="006D631C">
        <w:rPr>
          <w:b/>
          <w:bCs/>
          <w:noProof/>
        </w:rPr>
        <w:t>2021</w:t>
      </w:r>
      <w:r w:rsidRPr="006D631C">
        <w:rPr>
          <w:noProof/>
        </w:rPr>
        <w:t xml:space="preserve">, </w:t>
      </w:r>
      <w:r w:rsidRPr="006D631C">
        <w:rPr>
          <w:i/>
          <w:iCs/>
          <w:noProof/>
        </w:rPr>
        <w:t>11</w:t>
      </w:r>
      <w:r w:rsidRPr="006D631C">
        <w:rPr>
          <w:noProof/>
        </w:rPr>
        <w:t xml:space="preserve"> (6), 864. https://doi.org/10.3390/met11060864.</w:t>
      </w:r>
    </w:p>
    <w:p w14:paraId="360D930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(303) </w:t>
      </w:r>
      <w:r w:rsidRPr="006D631C">
        <w:rPr>
          <w:noProof/>
        </w:rPr>
        <w:tab/>
        <w:t xml:space="preserve">Chen, J.; Jiang, X.; Yin, D.; Zhang, W. Preparation of a Hydrogel-Based Adsorbent for Metal Ions through High Internal Phase Emulsion Polymerization. </w:t>
      </w:r>
      <w:r w:rsidRPr="006D631C">
        <w:rPr>
          <w:i/>
          <w:iCs/>
          <w:noProof/>
        </w:rPr>
        <w:t>ACS Omega</w:t>
      </w:r>
      <w:r w:rsidRPr="006D631C">
        <w:rPr>
          <w:noProof/>
        </w:rPr>
        <w:t xml:space="preserve"> </w:t>
      </w:r>
      <w:r w:rsidRPr="006D631C">
        <w:rPr>
          <w:b/>
          <w:bCs/>
          <w:noProof/>
        </w:rPr>
        <w:t>2020</w:t>
      </w:r>
      <w:r w:rsidRPr="006D631C">
        <w:rPr>
          <w:noProof/>
        </w:rPr>
        <w:t xml:space="preserve">, </w:t>
      </w:r>
      <w:r w:rsidRPr="006D631C">
        <w:rPr>
          <w:i/>
          <w:iCs/>
          <w:noProof/>
        </w:rPr>
        <w:t>5</w:t>
      </w:r>
      <w:r w:rsidRPr="006D631C">
        <w:rPr>
          <w:noProof/>
        </w:rPr>
        <w:t xml:space="preserve"> (32), 19920–19927. https://doi.org/10.1021/acsomega.9b03405.</w:t>
      </w:r>
    </w:p>
    <w:p w14:paraId="41CE600A"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(304) </w:t>
      </w:r>
      <w:r w:rsidRPr="006D631C">
        <w:rPr>
          <w:noProof/>
        </w:rPr>
        <w:tab/>
        <w:t xml:space="preserve">Vo, T. S.; Hossain, M. M.; Jeong, H. M.; Kim, K. Heavy Metal Removal Applications Using Adsorptive Membranes. </w:t>
      </w:r>
      <w:r w:rsidRPr="006D631C">
        <w:rPr>
          <w:i/>
          <w:iCs/>
          <w:noProof/>
        </w:rPr>
        <w:t>Nano Converg.</w:t>
      </w:r>
      <w:r w:rsidRPr="006D631C">
        <w:rPr>
          <w:noProof/>
        </w:rPr>
        <w:t xml:space="preserve"> </w:t>
      </w:r>
      <w:r w:rsidRPr="006D631C">
        <w:rPr>
          <w:b/>
          <w:bCs/>
          <w:noProof/>
        </w:rPr>
        <w:t>2020</w:t>
      </w:r>
      <w:r w:rsidRPr="006D631C">
        <w:rPr>
          <w:noProof/>
        </w:rPr>
        <w:t xml:space="preserve">, </w:t>
      </w:r>
      <w:r w:rsidRPr="006D631C">
        <w:rPr>
          <w:i/>
          <w:iCs/>
          <w:noProof/>
        </w:rPr>
        <w:t>7</w:t>
      </w:r>
      <w:r w:rsidRPr="006D631C">
        <w:rPr>
          <w:noProof/>
        </w:rPr>
        <w:t xml:space="preserve"> (1), 36. https://doi.org/10.1186/s40580-020-00245-4.</w:t>
      </w:r>
    </w:p>
    <w:p w14:paraId="25473A13"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(305) </w:t>
      </w:r>
      <w:r w:rsidRPr="006D631C">
        <w:rPr>
          <w:noProof/>
        </w:rPr>
        <w:tab/>
        <w:t xml:space="preserve">Moad, G. A Critical Assessment of the Kinetics and Mechanism of Initiation of Radical Polymerization with Commercially Available Dialkyldiazene Initiators. </w:t>
      </w:r>
      <w:r w:rsidRPr="006D631C">
        <w:rPr>
          <w:i/>
          <w:iCs/>
          <w:noProof/>
        </w:rPr>
        <w:t>Prog. Polym. Sci.</w:t>
      </w:r>
      <w:r w:rsidRPr="006D631C">
        <w:rPr>
          <w:noProof/>
        </w:rPr>
        <w:t xml:space="preserve"> </w:t>
      </w:r>
      <w:r w:rsidRPr="006D631C">
        <w:rPr>
          <w:b/>
          <w:bCs/>
          <w:noProof/>
        </w:rPr>
        <w:t>2019</w:t>
      </w:r>
      <w:r w:rsidRPr="006D631C">
        <w:rPr>
          <w:noProof/>
        </w:rPr>
        <w:t xml:space="preserve">, </w:t>
      </w:r>
      <w:r w:rsidRPr="006D631C">
        <w:rPr>
          <w:i/>
          <w:iCs/>
          <w:noProof/>
        </w:rPr>
        <w:t>88</w:t>
      </w:r>
      <w:r w:rsidRPr="006D631C">
        <w:rPr>
          <w:noProof/>
        </w:rPr>
        <w:t>, 130–188. https://doi.org/10.1016/j.progpolymsci.2018.08.003.</w:t>
      </w:r>
    </w:p>
    <w:p w14:paraId="388BA798"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(306) </w:t>
      </w:r>
      <w:r w:rsidRPr="006D631C">
        <w:rPr>
          <w:noProof/>
        </w:rPr>
        <w:tab/>
        <w:t xml:space="preserve">Achilias, D. S.; Sideridou, I. D. Kinetics of the Benzoyl Peroxide/Amine Initiated Free-Radical Polymerization of Dental Dimethacrylate Monomers: Experimental Studies and Mathematical Modeling for TEGDMA and Bis-EMA. </w:t>
      </w:r>
      <w:r w:rsidRPr="006D631C">
        <w:rPr>
          <w:i/>
          <w:iCs/>
          <w:noProof/>
        </w:rPr>
        <w:t>Macromolecules</w:t>
      </w:r>
      <w:r w:rsidRPr="006D631C">
        <w:rPr>
          <w:noProof/>
        </w:rPr>
        <w:t xml:space="preserve"> </w:t>
      </w:r>
      <w:r w:rsidRPr="006D631C">
        <w:rPr>
          <w:b/>
          <w:bCs/>
          <w:noProof/>
        </w:rPr>
        <w:t>2004</w:t>
      </w:r>
      <w:r w:rsidRPr="006D631C">
        <w:rPr>
          <w:noProof/>
        </w:rPr>
        <w:t xml:space="preserve">, </w:t>
      </w:r>
      <w:r w:rsidRPr="006D631C">
        <w:rPr>
          <w:i/>
          <w:iCs/>
          <w:noProof/>
        </w:rPr>
        <w:t>37</w:t>
      </w:r>
      <w:r w:rsidRPr="006D631C">
        <w:rPr>
          <w:noProof/>
        </w:rPr>
        <w:t xml:space="preserve"> (11), 4254–4265. https://doi.org/10.1021/ma049803n.</w:t>
      </w:r>
    </w:p>
    <w:p w14:paraId="60A9510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(307) </w:t>
      </w:r>
      <w:r w:rsidRPr="006D631C">
        <w:rPr>
          <w:noProof/>
        </w:rPr>
        <w:tab/>
        <w:t xml:space="preserve">Schneider, M.; Graillat, C.; Boutti, S.; McKenna, T. F. Decomposition of APS and H2O2 </w:t>
      </w:r>
      <w:r w:rsidRPr="006D631C">
        <w:rPr>
          <w:noProof/>
        </w:rPr>
        <w:lastRenderedPageBreak/>
        <w:t xml:space="preserve">for Emulsion Polymerisation. </w:t>
      </w:r>
      <w:r w:rsidRPr="006D631C">
        <w:rPr>
          <w:i/>
          <w:iCs/>
          <w:noProof/>
        </w:rPr>
        <w:t>Polym. Bull.</w:t>
      </w:r>
      <w:r w:rsidRPr="006D631C">
        <w:rPr>
          <w:noProof/>
        </w:rPr>
        <w:t xml:space="preserve"> </w:t>
      </w:r>
      <w:r w:rsidRPr="006D631C">
        <w:rPr>
          <w:b/>
          <w:bCs/>
          <w:noProof/>
        </w:rPr>
        <w:t>2001</w:t>
      </w:r>
      <w:r w:rsidRPr="006D631C">
        <w:rPr>
          <w:noProof/>
        </w:rPr>
        <w:t xml:space="preserve">, </w:t>
      </w:r>
      <w:r w:rsidRPr="006D631C">
        <w:rPr>
          <w:i/>
          <w:iCs/>
          <w:noProof/>
        </w:rPr>
        <w:t>47</w:t>
      </w:r>
      <w:r w:rsidRPr="006D631C">
        <w:rPr>
          <w:noProof/>
        </w:rPr>
        <w:t xml:space="preserve"> (3–4), 269–275. https://doi.org/10.1007/s289-001-8181-2.</w:t>
      </w:r>
    </w:p>
    <w:p w14:paraId="5A956496"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(308) </w:t>
      </w:r>
      <w:r w:rsidRPr="006D631C">
        <w:rPr>
          <w:noProof/>
        </w:rPr>
        <w:tab/>
        <w:t>UI_NOROX_Broschüre_DS https://www.united-initiators.com/wp-content/uploads/2017/03/UI_NOROX_Broschüre_DS.pdf.</w:t>
      </w:r>
    </w:p>
    <w:p w14:paraId="3040A470"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(309) </w:t>
      </w:r>
      <w:r w:rsidRPr="006D631C">
        <w:rPr>
          <w:noProof/>
        </w:rPr>
        <w:tab/>
        <w:t>Akzonobel. Initiators_for_High_Polymers http://www.neochemical.kz/File/Akzo_Data_110407-Initiators_for_High_Polymers.pdf.</w:t>
      </w:r>
    </w:p>
    <w:p w14:paraId="3AF11D4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(310) </w:t>
      </w:r>
      <w:r w:rsidRPr="006D631C">
        <w:rPr>
          <w:noProof/>
        </w:rPr>
        <w:tab/>
        <w:t xml:space="preserve">Lowell, A. I.; Price, J. R. Organic Peroxides. I. Initiation of Styrene Polymerization. </w:t>
      </w:r>
      <w:r w:rsidRPr="006D631C">
        <w:rPr>
          <w:i/>
          <w:iCs/>
          <w:noProof/>
        </w:rPr>
        <w:t>J. Polym. Sci.</w:t>
      </w:r>
      <w:r w:rsidRPr="006D631C">
        <w:rPr>
          <w:noProof/>
        </w:rPr>
        <w:t xml:space="preserve"> </w:t>
      </w:r>
      <w:r w:rsidRPr="006D631C">
        <w:rPr>
          <w:b/>
          <w:bCs/>
          <w:noProof/>
        </w:rPr>
        <w:t>1960</w:t>
      </w:r>
      <w:r w:rsidRPr="006D631C">
        <w:rPr>
          <w:noProof/>
        </w:rPr>
        <w:t xml:space="preserve">, </w:t>
      </w:r>
      <w:r w:rsidRPr="006D631C">
        <w:rPr>
          <w:i/>
          <w:iCs/>
          <w:noProof/>
        </w:rPr>
        <w:t>43</w:t>
      </w:r>
      <w:r w:rsidRPr="006D631C">
        <w:rPr>
          <w:noProof/>
        </w:rPr>
        <w:t xml:space="preserve"> (141), 1–12. https://doi.org/10.1002/pol.1960.1204314101.</w:t>
      </w:r>
    </w:p>
    <w:p w14:paraId="4EFCF64C"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(311) </w:t>
      </w:r>
      <w:r w:rsidRPr="006D631C">
        <w:rPr>
          <w:noProof/>
        </w:rPr>
        <w:tab/>
        <w:t xml:space="preserve">Zhu, W.; Wang, B.; Zhang, Y.; Ding, J. Preparation of a Thermosensitive and Biodegradable Microgel via Polymerization of Macromonomers Based on Diacrylated Pluronic/Oligoester Copolymers. </w:t>
      </w:r>
      <w:r w:rsidRPr="006D631C">
        <w:rPr>
          <w:i/>
          <w:iCs/>
          <w:noProof/>
        </w:rPr>
        <w:t>Eur. Polym. J.</w:t>
      </w:r>
      <w:r w:rsidRPr="006D631C">
        <w:rPr>
          <w:noProof/>
        </w:rPr>
        <w:t xml:space="preserve"> </w:t>
      </w:r>
      <w:r w:rsidRPr="006D631C">
        <w:rPr>
          <w:b/>
          <w:bCs/>
          <w:noProof/>
        </w:rPr>
        <w:t>2005</w:t>
      </w:r>
      <w:r w:rsidRPr="006D631C">
        <w:rPr>
          <w:noProof/>
        </w:rPr>
        <w:t xml:space="preserve">, </w:t>
      </w:r>
      <w:r w:rsidRPr="006D631C">
        <w:rPr>
          <w:i/>
          <w:iCs/>
          <w:noProof/>
        </w:rPr>
        <w:t>41</w:t>
      </w:r>
      <w:r w:rsidRPr="006D631C">
        <w:rPr>
          <w:noProof/>
        </w:rPr>
        <w:t xml:space="preserve"> (9), 2161–2170. https://doi.org/10.1016/j.eurpolymj.2005.04.006.</w:t>
      </w:r>
    </w:p>
    <w:p w14:paraId="5981A2B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(312) </w:t>
      </w:r>
      <w:r w:rsidRPr="006D631C">
        <w:rPr>
          <w:noProof/>
        </w:rPr>
        <w:tab/>
        <w:t xml:space="preserve">Guo, C.; Liu, H.; Wang, J.; Chen, J. Conformational Structure of Triblock Copolymers by FT-Raman and FTIR Spectroscopy. </w:t>
      </w:r>
      <w:r w:rsidRPr="006D631C">
        <w:rPr>
          <w:i/>
          <w:iCs/>
          <w:noProof/>
        </w:rPr>
        <w:t>J. Colloid Interface Sci.</w:t>
      </w:r>
      <w:r w:rsidRPr="006D631C">
        <w:rPr>
          <w:noProof/>
        </w:rPr>
        <w:t xml:space="preserve"> </w:t>
      </w:r>
      <w:r w:rsidRPr="006D631C">
        <w:rPr>
          <w:b/>
          <w:bCs/>
          <w:noProof/>
        </w:rPr>
        <w:t>1999</w:t>
      </w:r>
      <w:r w:rsidRPr="006D631C">
        <w:rPr>
          <w:noProof/>
        </w:rPr>
        <w:t xml:space="preserve">, </w:t>
      </w:r>
      <w:r w:rsidRPr="006D631C">
        <w:rPr>
          <w:i/>
          <w:iCs/>
          <w:noProof/>
        </w:rPr>
        <w:t>209</w:t>
      </w:r>
      <w:r w:rsidRPr="006D631C">
        <w:rPr>
          <w:noProof/>
        </w:rPr>
        <w:t xml:space="preserve"> (2), 368–373. https://doi.org/10.1006/jcis.1998.5897.</w:t>
      </w:r>
    </w:p>
    <w:p w14:paraId="5D4C2FE7" w14:textId="77777777" w:rsidR="005C60C1" w:rsidRPr="006D631C" w:rsidRDefault="005C60C1" w:rsidP="005C60C1">
      <w:pPr>
        <w:widowControl w:val="0"/>
        <w:autoSpaceDE w:val="0"/>
        <w:autoSpaceDN w:val="0"/>
        <w:adjustRightInd w:val="0"/>
        <w:ind w:left="640" w:hanging="640"/>
        <w:rPr>
          <w:noProof/>
        </w:rPr>
      </w:pPr>
      <w:r w:rsidRPr="006D631C">
        <w:rPr>
          <w:noProof/>
        </w:rPr>
        <w:t xml:space="preserve">(313) </w:t>
      </w:r>
      <w:r w:rsidRPr="006D631C">
        <w:rPr>
          <w:noProof/>
        </w:rPr>
        <w:tab/>
        <w:t>ISO-GUM. Evaluation of Measurement Data — Guide to the Expression of Uncertainty in Measurement. JCGM 100:2008, 2008.</w:t>
      </w:r>
    </w:p>
    <w:p w14:paraId="5951D3DE" w14:textId="2EB34647" w:rsidR="006D5225" w:rsidRPr="006D631C" w:rsidRDefault="004F76E9" w:rsidP="004137D3">
      <w:pPr>
        <w:widowControl w:val="0"/>
        <w:autoSpaceDE w:val="0"/>
        <w:autoSpaceDN w:val="0"/>
        <w:adjustRightInd w:val="0"/>
        <w:ind w:left="640" w:hanging="640"/>
      </w:pPr>
      <w:r w:rsidRPr="006D631C">
        <w:fldChar w:fldCharType="end"/>
      </w:r>
      <w:r w:rsidR="0060121B" w:rsidRPr="006D631C">
        <w:tab/>
      </w:r>
    </w:p>
    <w:p w14:paraId="2E9BCF16" w14:textId="73FBB5EA" w:rsidR="00F2747A" w:rsidRPr="006D631C" w:rsidRDefault="00F2747A" w:rsidP="00F2747A">
      <w:pPr>
        <w:pStyle w:val="TOC1"/>
      </w:pPr>
    </w:p>
    <w:p w14:paraId="1A7ED97B" w14:textId="188758F5" w:rsidR="00F2747A" w:rsidRPr="006D631C" w:rsidRDefault="00F2747A" w:rsidP="00F2747A"/>
    <w:p w14:paraId="1B6C5C57" w14:textId="0E16D387" w:rsidR="00F2747A" w:rsidRPr="006D631C" w:rsidRDefault="00F2747A" w:rsidP="00F2747A">
      <w:pPr>
        <w:pStyle w:val="TOC1"/>
      </w:pPr>
    </w:p>
    <w:p w14:paraId="1CBD88DC" w14:textId="5A462A37" w:rsidR="00F2747A" w:rsidRPr="006D631C" w:rsidRDefault="00F2747A" w:rsidP="00F2747A"/>
    <w:p w14:paraId="50CE7218" w14:textId="4C27D824" w:rsidR="00F2747A" w:rsidRPr="006D631C" w:rsidRDefault="00F2747A" w:rsidP="00F2747A">
      <w:pPr>
        <w:pStyle w:val="TOC1"/>
      </w:pPr>
    </w:p>
    <w:p w14:paraId="703A5CE1" w14:textId="6C5C4C41" w:rsidR="00DD16FC" w:rsidRPr="006D631C" w:rsidRDefault="00DD16FC" w:rsidP="00DD16FC">
      <w:pPr>
        <w:pStyle w:val="Heading2"/>
        <w:jc w:val="center"/>
      </w:pPr>
      <w:bookmarkStart w:id="240" w:name="_Toc148175896"/>
      <w:r w:rsidRPr="006D631C">
        <w:lastRenderedPageBreak/>
        <w:t>APPENDIX A</w:t>
      </w:r>
      <w:bookmarkEnd w:id="240"/>
    </w:p>
    <w:p w14:paraId="0A0A1B41" w14:textId="0CA37BD7" w:rsidR="00DD16FC" w:rsidRPr="006D631C" w:rsidRDefault="00DD16FC" w:rsidP="00475C6E">
      <w:pPr>
        <w:pStyle w:val="Heading2"/>
        <w:jc w:val="center"/>
      </w:pPr>
      <w:bookmarkStart w:id="241" w:name="_Toc148175897"/>
      <w:r w:rsidRPr="006D631C">
        <w:t>NOMENCLATURE AND ACRONYMS</w:t>
      </w:r>
      <w:bookmarkEnd w:id="241"/>
    </w:p>
    <w:p w14:paraId="322AF511" w14:textId="77777777" w:rsidR="0011087A" w:rsidRPr="006D631C" w:rsidRDefault="0011087A" w:rsidP="0011087A">
      <w:pPr>
        <w:rPr>
          <w:sz w:val="14"/>
          <w:szCs w:val="14"/>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71"/>
      </w:tblGrid>
      <w:tr w:rsidR="0011087A" w:rsidRPr="006D631C" w14:paraId="4F2085AD" w14:textId="77777777" w:rsidTr="00872A50">
        <w:trPr>
          <w:trHeight w:val="454"/>
        </w:trPr>
        <w:tc>
          <w:tcPr>
            <w:tcW w:w="2263" w:type="dxa"/>
          </w:tcPr>
          <w:p w14:paraId="0779E79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LC</w:t>
            </w:r>
          </w:p>
        </w:tc>
        <w:tc>
          <w:tcPr>
            <w:tcW w:w="7371" w:type="dxa"/>
          </w:tcPr>
          <w:p w14:paraId="6AB57A4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Liquid crystal</w:t>
            </w:r>
          </w:p>
        </w:tc>
      </w:tr>
      <w:tr w:rsidR="0011087A" w:rsidRPr="006D631C" w14:paraId="0754A1A3" w14:textId="77777777" w:rsidTr="00872A50">
        <w:trPr>
          <w:trHeight w:val="454"/>
        </w:trPr>
        <w:tc>
          <w:tcPr>
            <w:tcW w:w="2263" w:type="dxa"/>
          </w:tcPr>
          <w:p w14:paraId="2DB52B2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LLC</w:t>
            </w:r>
          </w:p>
        </w:tc>
        <w:tc>
          <w:tcPr>
            <w:tcW w:w="7371" w:type="dxa"/>
          </w:tcPr>
          <w:p w14:paraId="1A45EAF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Lyotropic liquid crystal</w:t>
            </w:r>
          </w:p>
        </w:tc>
      </w:tr>
      <w:tr w:rsidR="0011087A" w:rsidRPr="006D631C" w14:paraId="7CE4169D" w14:textId="77777777" w:rsidTr="00872A50">
        <w:trPr>
          <w:trHeight w:val="454"/>
        </w:trPr>
        <w:tc>
          <w:tcPr>
            <w:tcW w:w="2263" w:type="dxa"/>
          </w:tcPr>
          <w:p w14:paraId="54C9A6C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w:t>
            </w:r>
            <w:r w:rsidRPr="006D631C">
              <w:rPr>
                <w:rFonts w:asciiTheme="majorBidi" w:hAnsiTheme="majorBidi" w:cstheme="majorBidi"/>
                <w:vertAlign w:val="subscript"/>
              </w:rPr>
              <w:t>1</w:t>
            </w:r>
          </w:p>
        </w:tc>
        <w:tc>
          <w:tcPr>
            <w:tcW w:w="7371" w:type="dxa"/>
          </w:tcPr>
          <w:p w14:paraId="570F315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Normal micelles</w:t>
            </w:r>
          </w:p>
        </w:tc>
      </w:tr>
      <w:tr w:rsidR="0011087A" w:rsidRPr="006D631C" w14:paraId="43776D6B" w14:textId="77777777" w:rsidTr="00872A50">
        <w:trPr>
          <w:trHeight w:val="454"/>
        </w:trPr>
        <w:tc>
          <w:tcPr>
            <w:tcW w:w="2263" w:type="dxa"/>
          </w:tcPr>
          <w:p w14:paraId="5544809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w:t>
            </w:r>
            <w:r w:rsidRPr="006D631C">
              <w:rPr>
                <w:rFonts w:asciiTheme="majorBidi" w:hAnsiTheme="majorBidi" w:cstheme="majorBidi"/>
                <w:vertAlign w:val="subscript"/>
              </w:rPr>
              <w:t>1</w:t>
            </w:r>
          </w:p>
        </w:tc>
        <w:tc>
          <w:tcPr>
            <w:tcW w:w="7371" w:type="dxa"/>
          </w:tcPr>
          <w:p w14:paraId="40060EE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Normal discontinuous cubic</w:t>
            </w:r>
          </w:p>
        </w:tc>
      </w:tr>
      <w:tr w:rsidR="0011087A" w:rsidRPr="006D631C" w14:paraId="29F6BDA6" w14:textId="77777777" w:rsidTr="00872A50">
        <w:trPr>
          <w:trHeight w:val="454"/>
        </w:trPr>
        <w:tc>
          <w:tcPr>
            <w:tcW w:w="2263" w:type="dxa"/>
          </w:tcPr>
          <w:p w14:paraId="57AD7B1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H</w:t>
            </w:r>
            <w:r w:rsidRPr="006D631C">
              <w:rPr>
                <w:rFonts w:asciiTheme="majorBidi" w:hAnsiTheme="majorBidi" w:cstheme="majorBidi"/>
                <w:vertAlign w:val="subscript"/>
              </w:rPr>
              <w:t>1</w:t>
            </w:r>
          </w:p>
        </w:tc>
        <w:tc>
          <w:tcPr>
            <w:tcW w:w="7371" w:type="dxa"/>
          </w:tcPr>
          <w:p w14:paraId="3558C7D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Normal hexagonal</w:t>
            </w:r>
          </w:p>
        </w:tc>
      </w:tr>
      <w:tr w:rsidR="0011087A" w:rsidRPr="006D631C" w14:paraId="78530D51" w14:textId="77777777" w:rsidTr="00872A50">
        <w:trPr>
          <w:trHeight w:val="454"/>
        </w:trPr>
        <w:tc>
          <w:tcPr>
            <w:tcW w:w="2263" w:type="dxa"/>
          </w:tcPr>
          <w:p w14:paraId="79D6548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w:t>
            </w:r>
            <w:r w:rsidRPr="006D631C">
              <w:rPr>
                <w:rFonts w:asciiTheme="majorBidi" w:hAnsiTheme="majorBidi" w:cstheme="majorBidi"/>
                <w:vertAlign w:val="subscript"/>
              </w:rPr>
              <w:t>α</w:t>
            </w:r>
          </w:p>
        </w:tc>
        <w:tc>
          <w:tcPr>
            <w:tcW w:w="7371" w:type="dxa"/>
          </w:tcPr>
          <w:p w14:paraId="2E75CD5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Lamellar</w:t>
            </w:r>
          </w:p>
        </w:tc>
      </w:tr>
      <w:tr w:rsidR="0011087A" w:rsidRPr="006D631C" w14:paraId="3F380372" w14:textId="77777777" w:rsidTr="00872A50">
        <w:trPr>
          <w:trHeight w:val="454"/>
        </w:trPr>
        <w:tc>
          <w:tcPr>
            <w:tcW w:w="2263" w:type="dxa"/>
          </w:tcPr>
          <w:p w14:paraId="2532DBA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Q</w:t>
            </w:r>
            <w:r w:rsidRPr="006D631C">
              <w:rPr>
                <w:rFonts w:asciiTheme="majorBidi" w:hAnsiTheme="majorBidi" w:cstheme="majorBidi"/>
                <w:vertAlign w:val="subscript"/>
              </w:rPr>
              <w:t>1</w:t>
            </w:r>
          </w:p>
        </w:tc>
        <w:tc>
          <w:tcPr>
            <w:tcW w:w="7371" w:type="dxa"/>
          </w:tcPr>
          <w:p w14:paraId="2B217FF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Normal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w:t>
            </w:r>
          </w:p>
        </w:tc>
      </w:tr>
      <w:tr w:rsidR="0011087A" w:rsidRPr="006D631C" w14:paraId="5DF6BB02" w14:textId="77777777" w:rsidTr="00872A50">
        <w:trPr>
          <w:trHeight w:val="454"/>
        </w:trPr>
        <w:tc>
          <w:tcPr>
            <w:tcW w:w="2263" w:type="dxa"/>
          </w:tcPr>
          <w:p w14:paraId="62E913E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Q</w:t>
            </w:r>
            <w:r w:rsidRPr="006D631C">
              <w:rPr>
                <w:rFonts w:asciiTheme="majorBidi" w:hAnsiTheme="majorBidi" w:cstheme="majorBidi"/>
                <w:vertAlign w:val="subscript"/>
              </w:rPr>
              <w:t>2</w:t>
            </w:r>
          </w:p>
        </w:tc>
        <w:tc>
          <w:tcPr>
            <w:tcW w:w="7371" w:type="dxa"/>
          </w:tcPr>
          <w:p w14:paraId="22ACE5C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Reverse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w:t>
            </w:r>
          </w:p>
        </w:tc>
      </w:tr>
      <w:tr w:rsidR="0011087A" w:rsidRPr="006D631C" w14:paraId="49900C27" w14:textId="77777777" w:rsidTr="00872A50">
        <w:trPr>
          <w:trHeight w:val="454"/>
        </w:trPr>
        <w:tc>
          <w:tcPr>
            <w:tcW w:w="2263" w:type="dxa"/>
          </w:tcPr>
          <w:p w14:paraId="5D7127C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H</w:t>
            </w:r>
            <w:r w:rsidRPr="006D631C">
              <w:rPr>
                <w:rFonts w:asciiTheme="majorBidi" w:hAnsiTheme="majorBidi" w:cstheme="majorBidi"/>
                <w:vertAlign w:val="subscript"/>
              </w:rPr>
              <w:t>2</w:t>
            </w:r>
          </w:p>
        </w:tc>
        <w:tc>
          <w:tcPr>
            <w:tcW w:w="7371" w:type="dxa"/>
          </w:tcPr>
          <w:p w14:paraId="590FADE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Reverse hexagonal</w:t>
            </w:r>
          </w:p>
        </w:tc>
      </w:tr>
      <w:tr w:rsidR="0011087A" w:rsidRPr="006D631C" w14:paraId="1D82EA83" w14:textId="77777777" w:rsidTr="00872A50">
        <w:trPr>
          <w:trHeight w:val="454"/>
        </w:trPr>
        <w:tc>
          <w:tcPr>
            <w:tcW w:w="2263" w:type="dxa"/>
          </w:tcPr>
          <w:p w14:paraId="362F10B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w:t>
            </w:r>
            <w:r w:rsidRPr="006D631C">
              <w:rPr>
                <w:rFonts w:asciiTheme="majorBidi" w:hAnsiTheme="majorBidi" w:cstheme="majorBidi"/>
                <w:vertAlign w:val="subscript"/>
              </w:rPr>
              <w:t>2</w:t>
            </w:r>
          </w:p>
        </w:tc>
        <w:tc>
          <w:tcPr>
            <w:tcW w:w="7371" w:type="dxa"/>
          </w:tcPr>
          <w:p w14:paraId="46A0AFB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Reverse discontinuous cubic</w:t>
            </w:r>
          </w:p>
        </w:tc>
      </w:tr>
      <w:tr w:rsidR="0011087A" w:rsidRPr="006D631C" w14:paraId="4AF2CD7D" w14:textId="77777777" w:rsidTr="00872A50">
        <w:trPr>
          <w:trHeight w:val="454"/>
        </w:trPr>
        <w:tc>
          <w:tcPr>
            <w:tcW w:w="2263" w:type="dxa"/>
          </w:tcPr>
          <w:p w14:paraId="426B58F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w:t>
            </w:r>
            <w:r w:rsidRPr="006D631C">
              <w:rPr>
                <w:rFonts w:asciiTheme="majorBidi" w:hAnsiTheme="majorBidi" w:cstheme="majorBidi"/>
                <w:vertAlign w:val="subscript"/>
              </w:rPr>
              <w:t>2</w:t>
            </w:r>
          </w:p>
        </w:tc>
        <w:tc>
          <w:tcPr>
            <w:tcW w:w="7371" w:type="dxa"/>
          </w:tcPr>
          <w:p w14:paraId="2B3FD59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Reverse micelles</w:t>
            </w:r>
          </w:p>
        </w:tc>
      </w:tr>
      <w:tr w:rsidR="0011087A" w:rsidRPr="006D631C" w14:paraId="3F369468" w14:textId="77777777" w:rsidTr="00872A50">
        <w:trPr>
          <w:trHeight w:val="454"/>
        </w:trPr>
        <w:tc>
          <w:tcPr>
            <w:tcW w:w="2263" w:type="dxa"/>
          </w:tcPr>
          <w:p w14:paraId="5FC20C0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w:t>
            </w:r>
            <w:r w:rsidRPr="006D631C">
              <w:rPr>
                <w:rFonts w:asciiTheme="majorBidi" w:hAnsiTheme="majorBidi" w:cstheme="majorBidi"/>
                <w:vertAlign w:val="subscript"/>
              </w:rPr>
              <w:t>α</w:t>
            </w:r>
          </w:p>
        </w:tc>
        <w:tc>
          <w:tcPr>
            <w:tcW w:w="7371" w:type="dxa"/>
          </w:tcPr>
          <w:p w14:paraId="325342C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Discontinuous cubic</w:t>
            </w:r>
          </w:p>
        </w:tc>
      </w:tr>
      <w:tr w:rsidR="0011087A" w:rsidRPr="006D631C" w14:paraId="79FE4F0F" w14:textId="77777777" w:rsidTr="00872A50">
        <w:trPr>
          <w:trHeight w:val="454"/>
        </w:trPr>
        <w:tc>
          <w:tcPr>
            <w:tcW w:w="2263" w:type="dxa"/>
          </w:tcPr>
          <w:p w14:paraId="2BE81CC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H</w:t>
            </w:r>
            <w:r w:rsidRPr="006D631C">
              <w:rPr>
                <w:rFonts w:asciiTheme="majorBidi" w:hAnsiTheme="majorBidi" w:cstheme="majorBidi"/>
                <w:vertAlign w:val="subscript"/>
              </w:rPr>
              <w:t>α</w:t>
            </w:r>
          </w:p>
        </w:tc>
        <w:tc>
          <w:tcPr>
            <w:tcW w:w="7371" w:type="dxa"/>
          </w:tcPr>
          <w:p w14:paraId="02A473E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Hexagonal</w:t>
            </w:r>
          </w:p>
        </w:tc>
      </w:tr>
      <w:tr w:rsidR="0011087A" w:rsidRPr="006D631C" w14:paraId="3FEB4509" w14:textId="77777777" w:rsidTr="00872A50">
        <w:trPr>
          <w:trHeight w:val="454"/>
        </w:trPr>
        <w:tc>
          <w:tcPr>
            <w:tcW w:w="2263" w:type="dxa"/>
          </w:tcPr>
          <w:p w14:paraId="2C2BE7D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Q</w:t>
            </w:r>
            <w:r w:rsidRPr="006D631C">
              <w:rPr>
                <w:rFonts w:asciiTheme="majorBidi" w:hAnsiTheme="majorBidi" w:cstheme="majorBidi"/>
                <w:vertAlign w:val="subscript"/>
              </w:rPr>
              <w:t>α</w:t>
            </w:r>
          </w:p>
        </w:tc>
        <w:tc>
          <w:tcPr>
            <w:tcW w:w="7371" w:type="dxa"/>
          </w:tcPr>
          <w:p w14:paraId="2B6AEBF8"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w:t>
            </w:r>
          </w:p>
        </w:tc>
      </w:tr>
      <w:tr w:rsidR="0011087A" w:rsidRPr="006D631C" w14:paraId="161CE15E" w14:textId="77777777" w:rsidTr="00872A50">
        <w:trPr>
          <w:trHeight w:val="454"/>
        </w:trPr>
        <w:tc>
          <w:tcPr>
            <w:tcW w:w="2263" w:type="dxa"/>
          </w:tcPr>
          <w:p w14:paraId="3FC4501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CPP</w:t>
            </w:r>
          </w:p>
        </w:tc>
        <w:tc>
          <w:tcPr>
            <w:tcW w:w="7371" w:type="dxa"/>
          </w:tcPr>
          <w:p w14:paraId="6941A32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Critical packing parameter</w:t>
            </w:r>
          </w:p>
        </w:tc>
      </w:tr>
      <w:tr w:rsidR="0011087A" w:rsidRPr="006D631C" w14:paraId="2F056409" w14:textId="77777777" w:rsidTr="00872A50">
        <w:trPr>
          <w:trHeight w:val="454"/>
        </w:trPr>
        <w:tc>
          <w:tcPr>
            <w:tcW w:w="2263" w:type="dxa"/>
          </w:tcPr>
          <w:p w14:paraId="6CFE909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V</w:t>
            </w:r>
          </w:p>
        </w:tc>
        <w:tc>
          <w:tcPr>
            <w:tcW w:w="7371" w:type="dxa"/>
          </w:tcPr>
          <w:p w14:paraId="7CFDC89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Lipophilic tail volume</w:t>
            </w:r>
          </w:p>
        </w:tc>
      </w:tr>
      <w:tr w:rsidR="0011087A" w:rsidRPr="006D631C" w14:paraId="5F4F93EE" w14:textId="77777777" w:rsidTr="00872A50">
        <w:trPr>
          <w:trHeight w:val="454"/>
        </w:trPr>
        <w:tc>
          <w:tcPr>
            <w:tcW w:w="2263" w:type="dxa"/>
          </w:tcPr>
          <w:p w14:paraId="7CDB67A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a</w:t>
            </w:r>
          </w:p>
        </w:tc>
        <w:tc>
          <w:tcPr>
            <w:tcW w:w="7371" w:type="dxa"/>
          </w:tcPr>
          <w:p w14:paraId="0823C52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‘Effective’ cross-sectional area of the hydrophilic head group</w:t>
            </w:r>
          </w:p>
        </w:tc>
      </w:tr>
      <w:tr w:rsidR="0011087A" w:rsidRPr="006D631C" w14:paraId="5BAB75A0" w14:textId="77777777" w:rsidTr="00872A50">
        <w:trPr>
          <w:trHeight w:val="454"/>
        </w:trPr>
        <w:tc>
          <w:tcPr>
            <w:tcW w:w="2263" w:type="dxa"/>
          </w:tcPr>
          <w:p w14:paraId="0AEAE9B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l</w:t>
            </w:r>
          </w:p>
        </w:tc>
        <w:tc>
          <w:tcPr>
            <w:tcW w:w="7371" w:type="dxa"/>
          </w:tcPr>
          <w:p w14:paraId="71155D5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Extended lipophilic chain length</w:t>
            </w:r>
          </w:p>
        </w:tc>
      </w:tr>
      <w:tr w:rsidR="0011087A" w:rsidRPr="006D631C" w14:paraId="0896DA42" w14:textId="77777777" w:rsidTr="00872A50">
        <w:trPr>
          <w:trHeight w:val="454"/>
        </w:trPr>
        <w:tc>
          <w:tcPr>
            <w:tcW w:w="2263" w:type="dxa"/>
          </w:tcPr>
          <w:p w14:paraId="5BCC67D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a</w:t>
            </w:r>
            <w:r w:rsidRPr="006D631C">
              <w:rPr>
                <w:rFonts w:asciiTheme="majorBidi" w:hAnsiTheme="majorBidi" w:cstheme="majorBidi"/>
                <w:i/>
                <w:iCs/>
                <w:vertAlign w:val="subscript"/>
              </w:rPr>
              <w:t>e</w:t>
            </w:r>
          </w:p>
        </w:tc>
        <w:tc>
          <w:tcPr>
            <w:tcW w:w="7371" w:type="dxa"/>
          </w:tcPr>
          <w:p w14:paraId="4BB8B8D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Geometrical cross-sectional area of the charged head group</w:t>
            </w:r>
          </w:p>
        </w:tc>
      </w:tr>
      <w:tr w:rsidR="0011087A" w:rsidRPr="006D631C" w14:paraId="2377DE19" w14:textId="77777777" w:rsidTr="00872A50">
        <w:trPr>
          <w:trHeight w:val="454"/>
        </w:trPr>
        <w:tc>
          <w:tcPr>
            <w:tcW w:w="2263" w:type="dxa"/>
          </w:tcPr>
          <w:p w14:paraId="1E3FCF8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CPLM</w:t>
            </w:r>
          </w:p>
        </w:tc>
        <w:tc>
          <w:tcPr>
            <w:tcW w:w="7371" w:type="dxa"/>
          </w:tcPr>
          <w:p w14:paraId="11090E5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Cross polarized light microscopy </w:t>
            </w:r>
          </w:p>
        </w:tc>
      </w:tr>
      <w:tr w:rsidR="0011087A" w:rsidRPr="006D631C" w14:paraId="7F8DD0D0" w14:textId="77777777" w:rsidTr="00872A50">
        <w:trPr>
          <w:trHeight w:val="454"/>
        </w:trPr>
        <w:tc>
          <w:tcPr>
            <w:tcW w:w="2263" w:type="dxa"/>
          </w:tcPr>
          <w:p w14:paraId="48902B4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SAXS</w:t>
            </w:r>
          </w:p>
        </w:tc>
        <w:tc>
          <w:tcPr>
            <w:tcW w:w="7371" w:type="dxa"/>
          </w:tcPr>
          <w:p w14:paraId="5DD9974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Small-angle X-ray scattering</w:t>
            </w:r>
          </w:p>
        </w:tc>
      </w:tr>
      <w:tr w:rsidR="0011087A" w:rsidRPr="006D631C" w14:paraId="10E0CBD2" w14:textId="77777777" w:rsidTr="00872A50">
        <w:trPr>
          <w:trHeight w:val="454"/>
        </w:trPr>
        <w:tc>
          <w:tcPr>
            <w:tcW w:w="2263" w:type="dxa"/>
          </w:tcPr>
          <w:p w14:paraId="7E90C11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XRD</w:t>
            </w:r>
          </w:p>
        </w:tc>
        <w:tc>
          <w:tcPr>
            <w:tcW w:w="7371" w:type="dxa"/>
          </w:tcPr>
          <w:p w14:paraId="124C36D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X-ray diffraction</w:t>
            </w:r>
          </w:p>
        </w:tc>
      </w:tr>
      <w:tr w:rsidR="0011087A" w:rsidRPr="006D631C" w14:paraId="5B6046C1" w14:textId="77777777" w:rsidTr="00872A50">
        <w:trPr>
          <w:trHeight w:val="454"/>
        </w:trPr>
        <w:tc>
          <w:tcPr>
            <w:tcW w:w="2263" w:type="dxa"/>
          </w:tcPr>
          <w:p w14:paraId="1AF7F87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lastRenderedPageBreak/>
              <w:t>NMR</w:t>
            </w:r>
          </w:p>
        </w:tc>
        <w:tc>
          <w:tcPr>
            <w:tcW w:w="7371" w:type="dxa"/>
          </w:tcPr>
          <w:p w14:paraId="36043B3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Nuclear magnetic resonance</w:t>
            </w:r>
          </w:p>
        </w:tc>
      </w:tr>
      <w:tr w:rsidR="0011087A" w:rsidRPr="006D631C" w14:paraId="7B9A1055" w14:textId="77777777" w:rsidTr="00872A50">
        <w:trPr>
          <w:trHeight w:val="454"/>
        </w:trPr>
        <w:tc>
          <w:tcPr>
            <w:tcW w:w="2263" w:type="dxa"/>
          </w:tcPr>
          <w:p w14:paraId="1787468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BCC</w:t>
            </w:r>
          </w:p>
        </w:tc>
        <w:tc>
          <w:tcPr>
            <w:tcW w:w="7371" w:type="dxa"/>
          </w:tcPr>
          <w:p w14:paraId="3BA9C93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Body-centered cubic</w:t>
            </w:r>
          </w:p>
        </w:tc>
      </w:tr>
      <w:tr w:rsidR="0011087A" w:rsidRPr="006D631C" w14:paraId="56970EB1" w14:textId="77777777" w:rsidTr="00872A50">
        <w:trPr>
          <w:trHeight w:val="454"/>
        </w:trPr>
        <w:tc>
          <w:tcPr>
            <w:tcW w:w="2263" w:type="dxa"/>
          </w:tcPr>
          <w:p w14:paraId="607191A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FCC</w:t>
            </w:r>
          </w:p>
        </w:tc>
        <w:tc>
          <w:tcPr>
            <w:tcW w:w="7371" w:type="dxa"/>
          </w:tcPr>
          <w:p w14:paraId="7FED886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Face-centered cubic</w:t>
            </w:r>
          </w:p>
        </w:tc>
      </w:tr>
      <w:tr w:rsidR="0011087A" w:rsidRPr="006D631C" w14:paraId="6047C2AB" w14:textId="77777777" w:rsidTr="00872A50">
        <w:trPr>
          <w:trHeight w:val="454"/>
        </w:trPr>
        <w:tc>
          <w:tcPr>
            <w:tcW w:w="2263" w:type="dxa"/>
          </w:tcPr>
          <w:p w14:paraId="7C1B818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PolyLLC</w:t>
            </w:r>
          </w:p>
        </w:tc>
        <w:tc>
          <w:tcPr>
            <w:tcW w:w="7371" w:type="dxa"/>
          </w:tcPr>
          <w:p w14:paraId="4645011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Polymerized LLC</w:t>
            </w:r>
          </w:p>
        </w:tc>
      </w:tr>
      <w:tr w:rsidR="0011087A" w:rsidRPr="006D631C" w14:paraId="61531E84" w14:textId="77777777" w:rsidTr="00872A50">
        <w:trPr>
          <w:trHeight w:val="454"/>
        </w:trPr>
        <w:tc>
          <w:tcPr>
            <w:tcW w:w="2263" w:type="dxa"/>
          </w:tcPr>
          <w:p w14:paraId="3C0408D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d</w:t>
            </w:r>
          </w:p>
        </w:tc>
        <w:tc>
          <w:tcPr>
            <w:tcW w:w="7371" w:type="dxa"/>
          </w:tcPr>
          <w:p w14:paraId="01D4F1F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d</w:t>
            </w:r>
            <w:r w:rsidRPr="006D631C">
              <w:rPr>
                <w:rFonts w:asciiTheme="majorBidi" w:hAnsiTheme="majorBidi" w:cstheme="majorBidi"/>
              </w:rPr>
              <w:t>-Spacing (also lattice parameter in lamellar phase)</w:t>
            </w:r>
          </w:p>
        </w:tc>
      </w:tr>
      <w:tr w:rsidR="0011087A" w:rsidRPr="006D631C" w14:paraId="0646DAF2" w14:textId="77777777" w:rsidTr="00872A50">
        <w:trPr>
          <w:trHeight w:val="454"/>
        </w:trPr>
        <w:tc>
          <w:tcPr>
            <w:tcW w:w="2263" w:type="dxa"/>
          </w:tcPr>
          <w:p w14:paraId="4CC697F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a</w:t>
            </w:r>
          </w:p>
        </w:tc>
        <w:tc>
          <w:tcPr>
            <w:tcW w:w="7371" w:type="dxa"/>
          </w:tcPr>
          <w:p w14:paraId="79C1437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Lattice parameter in hexagonal phase</w:t>
            </w:r>
          </w:p>
        </w:tc>
      </w:tr>
      <w:tr w:rsidR="0011087A" w:rsidRPr="006D631C" w14:paraId="1D057A03" w14:textId="77777777" w:rsidTr="00872A50">
        <w:trPr>
          <w:trHeight w:val="454"/>
        </w:trPr>
        <w:tc>
          <w:tcPr>
            <w:tcW w:w="2263" w:type="dxa"/>
          </w:tcPr>
          <w:p w14:paraId="674A22C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R</w:t>
            </w:r>
            <w:r w:rsidRPr="006D631C">
              <w:rPr>
                <w:rFonts w:asciiTheme="majorBidi" w:hAnsiTheme="majorBidi" w:cstheme="majorBidi"/>
                <w:i/>
                <w:iCs/>
                <w:vertAlign w:val="subscript"/>
              </w:rPr>
              <w:t>m</w:t>
            </w:r>
          </w:p>
        </w:tc>
        <w:tc>
          <w:tcPr>
            <w:tcW w:w="7371" w:type="dxa"/>
          </w:tcPr>
          <w:p w14:paraId="2225BE6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Radius of micelle in hexagonal phase</w:t>
            </w:r>
          </w:p>
        </w:tc>
      </w:tr>
      <w:tr w:rsidR="0011087A" w:rsidRPr="006D631C" w14:paraId="163AB6E5" w14:textId="77777777" w:rsidTr="00872A50">
        <w:trPr>
          <w:trHeight w:val="454"/>
        </w:trPr>
        <w:tc>
          <w:tcPr>
            <w:tcW w:w="2263" w:type="dxa"/>
          </w:tcPr>
          <w:p w14:paraId="762698B5"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i/>
                <w:iCs/>
              </w:rPr>
              <w:t>R</w:t>
            </w:r>
            <w:r w:rsidRPr="006D631C">
              <w:rPr>
                <w:rFonts w:asciiTheme="majorBidi" w:hAnsiTheme="majorBidi" w:cstheme="majorBidi"/>
                <w:i/>
                <w:iCs/>
                <w:vertAlign w:val="subscript"/>
              </w:rPr>
              <w:t>c</w:t>
            </w:r>
            <w:proofErr w:type="spellEnd"/>
          </w:p>
        </w:tc>
        <w:tc>
          <w:tcPr>
            <w:tcW w:w="7371" w:type="dxa"/>
          </w:tcPr>
          <w:p w14:paraId="41BD4CD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Radius of confined phase in micelle in hexagonal phase</w:t>
            </w:r>
          </w:p>
        </w:tc>
      </w:tr>
      <w:tr w:rsidR="0011087A" w:rsidRPr="006D631C" w14:paraId="19BC7E50" w14:textId="77777777" w:rsidTr="00872A50">
        <w:trPr>
          <w:trHeight w:val="454"/>
        </w:trPr>
        <w:tc>
          <w:tcPr>
            <w:tcW w:w="2263" w:type="dxa"/>
          </w:tcPr>
          <w:p w14:paraId="6587254A"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i/>
                <w:iCs/>
              </w:rPr>
              <w:t>D</w:t>
            </w:r>
            <w:r w:rsidRPr="006D631C">
              <w:rPr>
                <w:rFonts w:asciiTheme="majorBidi" w:hAnsiTheme="majorBidi" w:cstheme="majorBidi"/>
                <w:i/>
                <w:iCs/>
                <w:vertAlign w:val="subscript"/>
              </w:rPr>
              <w:t>m</w:t>
            </w:r>
            <w:proofErr w:type="spellEnd"/>
          </w:p>
        </w:tc>
        <w:tc>
          <w:tcPr>
            <w:tcW w:w="7371" w:type="dxa"/>
          </w:tcPr>
          <w:p w14:paraId="0CAE674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Intermicellar distance in hexagonal phase</w:t>
            </w:r>
          </w:p>
        </w:tc>
      </w:tr>
      <w:tr w:rsidR="0011087A" w:rsidRPr="006D631C" w14:paraId="7A21C72F" w14:textId="77777777" w:rsidTr="00872A50">
        <w:trPr>
          <w:trHeight w:val="454"/>
        </w:trPr>
        <w:tc>
          <w:tcPr>
            <w:tcW w:w="2263" w:type="dxa"/>
          </w:tcPr>
          <w:p w14:paraId="6F467809"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i/>
                <w:iCs/>
              </w:rPr>
              <w:t>R</w:t>
            </w:r>
            <w:r w:rsidRPr="006D631C">
              <w:rPr>
                <w:rFonts w:asciiTheme="majorBidi" w:hAnsiTheme="majorBidi" w:cstheme="majorBidi"/>
                <w:i/>
                <w:iCs/>
                <w:vertAlign w:val="subscript"/>
              </w:rPr>
              <w:t>h,max</w:t>
            </w:r>
            <w:proofErr w:type="spellEnd"/>
          </w:p>
        </w:tc>
        <w:tc>
          <w:tcPr>
            <w:tcW w:w="7371" w:type="dxa"/>
          </w:tcPr>
          <w:p w14:paraId="7D77DB3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Radius of the largest circle trapped between the micelles or confinement size in hexagonal phase</w:t>
            </w:r>
          </w:p>
        </w:tc>
      </w:tr>
      <w:tr w:rsidR="0011087A" w:rsidRPr="006D631C" w14:paraId="59502F22" w14:textId="77777777" w:rsidTr="00872A50">
        <w:trPr>
          <w:trHeight w:val="454"/>
        </w:trPr>
        <w:tc>
          <w:tcPr>
            <w:tcW w:w="2263" w:type="dxa"/>
          </w:tcPr>
          <w:p w14:paraId="7CE3602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q*</w:t>
            </w:r>
          </w:p>
        </w:tc>
        <w:tc>
          <w:tcPr>
            <w:tcW w:w="7371" w:type="dxa"/>
          </w:tcPr>
          <w:p w14:paraId="39ED227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Position of the first Bragg peak in SAXS measurement</w:t>
            </w:r>
          </w:p>
        </w:tc>
      </w:tr>
      <w:tr w:rsidR="0011087A" w:rsidRPr="006D631C" w14:paraId="7918A007" w14:textId="77777777" w:rsidTr="00872A50">
        <w:trPr>
          <w:trHeight w:val="454"/>
        </w:trPr>
        <w:tc>
          <w:tcPr>
            <w:tcW w:w="2263" w:type="dxa"/>
          </w:tcPr>
          <w:p w14:paraId="742D078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ϕ</w:t>
            </w:r>
          </w:p>
        </w:tc>
        <w:tc>
          <w:tcPr>
            <w:tcW w:w="7371" w:type="dxa"/>
          </w:tcPr>
          <w:p w14:paraId="7E86167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the dispersed phase (i.e., the phase confined in the cylindrical micelles)</w:t>
            </w:r>
          </w:p>
        </w:tc>
      </w:tr>
      <w:tr w:rsidR="0011087A" w:rsidRPr="006D631C" w14:paraId="291F736F" w14:textId="77777777" w:rsidTr="00872A50">
        <w:trPr>
          <w:trHeight w:val="454"/>
        </w:trPr>
        <w:tc>
          <w:tcPr>
            <w:tcW w:w="2263" w:type="dxa"/>
          </w:tcPr>
          <w:p w14:paraId="40C033CA"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i/>
                <w:iCs/>
              </w:rPr>
              <w:t>ϕ</w:t>
            </w:r>
            <w:r w:rsidRPr="006D631C">
              <w:rPr>
                <w:rFonts w:asciiTheme="majorBidi" w:hAnsiTheme="majorBidi" w:cstheme="majorBidi"/>
                <w:i/>
                <w:iCs/>
                <w:vertAlign w:val="subscript"/>
              </w:rPr>
              <w:t>t</w:t>
            </w:r>
            <w:proofErr w:type="spellEnd"/>
          </w:p>
        </w:tc>
        <w:tc>
          <w:tcPr>
            <w:tcW w:w="7371" w:type="dxa"/>
          </w:tcPr>
          <w:p w14:paraId="288FA0F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the confined phase plus the volume fraction of the surfactant</w:t>
            </w:r>
          </w:p>
        </w:tc>
      </w:tr>
      <w:tr w:rsidR="0011087A" w:rsidRPr="006D631C" w14:paraId="75210E66" w14:textId="77777777" w:rsidTr="00872A50">
        <w:trPr>
          <w:trHeight w:val="454"/>
        </w:trPr>
        <w:tc>
          <w:tcPr>
            <w:tcW w:w="2263" w:type="dxa"/>
          </w:tcPr>
          <w:p w14:paraId="369C304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δ</w:t>
            </w:r>
            <w:r w:rsidRPr="006D631C">
              <w:rPr>
                <w:rFonts w:asciiTheme="majorBidi" w:hAnsiTheme="majorBidi" w:cstheme="majorBidi"/>
                <w:i/>
                <w:iCs/>
                <w:vertAlign w:val="subscript"/>
              </w:rPr>
              <w:t>1</w:t>
            </w:r>
          </w:p>
        </w:tc>
        <w:tc>
          <w:tcPr>
            <w:tcW w:w="7371" w:type="dxa"/>
          </w:tcPr>
          <w:p w14:paraId="20F5148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Thickness of the apolar domain in lamellar phase</w:t>
            </w:r>
          </w:p>
        </w:tc>
      </w:tr>
      <w:tr w:rsidR="0011087A" w:rsidRPr="006D631C" w14:paraId="393B1E77" w14:textId="77777777" w:rsidTr="00872A50">
        <w:trPr>
          <w:trHeight w:val="454"/>
        </w:trPr>
        <w:tc>
          <w:tcPr>
            <w:tcW w:w="2263" w:type="dxa"/>
          </w:tcPr>
          <w:p w14:paraId="1032685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δ</w:t>
            </w:r>
            <w:r w:rsidRPr="006D631C">
              <w:rPr>
                <w:rFonts w:asciiTheme="majorBidi" w:hAnsiTheme="majorBidi" w:cstheme="majorBidi"/>
                <w:i/>
                <w:iCs/>
                <w:vertAlign w:val="subscript"/>
              </w:rPr>
              <w:t>2</w:t>
            </w:r>
          </w:p>
        </w:tc>
        <w:tc>
          <w:tcPr>
            <w:tcW w:w="7371" w:type="dxa"/>
          </w:tcPr>
          <w:p w14:paraId="78D908FF"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Thickness of the polar domain in lamellar phase</w:t>
            </w:r>
          </w:p>
        </w:tc>
      </w:tr>
      <w:tr w:rsidR="0011087A" w:rsidRPr="006D631C" w14:paraId="6FB11090" w14:textId="77777777" w:rsidTr="00872A50">
        <w:trPr>
          <w:trHeight w:val="454"/>
        </w:trPr>
        <w:tc>
          <w:tcPr>
            <w:tcW w:w="2263" w:type="dxa"/>
          </w:tcPr>
          <w:p w14:paraId="2C0C909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D</w:t>
            </w:r>
            <w:r w:rsidRPr="006D631C">
              <w:rPr>
                <w:rFonts w:asciiTheme="majorBidi" w:hAnsiTheme="majorBidi" w:cstheme="majorBidi"/>
                <w:i/>
                <w:iCs/>
                <w:vertAlign w:val="subscript"/>
              </w:rPr>
              <w:t>1</w:t>
            </w:r>
          </w:p>
        </w:tc>
        <w:tc>
          <w:tcPr>
            <w:tcW w:w="7371" w:type="dxa"/>
          </w:tcPr>
          <w:p w14:paraId="79132CF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Intermicellar distance in apolar phase in lamellar structure</w:t>
            </w:r>
          </w:p>
        </w:tc>
      </w:tr>
      <w:tr w:rsidR="0011087A" w:rsidRPr="006D631C" w14:paraId="3D08CA1E" w14:textId="77777777" w:rsidTr="00872A50">
        <w:trPr>
          <w:trHeight w:val="454"/>
        </w:trPr>
        <w:tc>
          <w:tcPr>
            <w:tcW w:w="2263" w:type="dxa"/>
          </w:tcPr>
          <w:p w14:paraId="76D568D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D</w:t>
            </w:r>
            <w:r w:rsidRPr="006D631C">
              <w:rPr>
                <w:rFonts w:asciiTheme="majorBidi" w:hAnsiTheme="majorBidi" w:cstheme="majorBidi"/>
                <w:i/>
                <w:iCs/>
                <w:vertAlign w:val="subscript"/>
              </w:rPr>
              <w:t>2</w:t>
            </w:r>
          </w:p>
        </w:tc>
        <w:tc>
          <w:tcPr>
            <w:tcW w:w="7371" w:type="dxa"/>
          </w:tcPr>
          <w:p w14:paraId="7424A63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Intermicellar distance in polar phase in lamellar structure</w:t>
            </w:r>
          </w:p>
        </w:tc>
      </w:tr>
      <w:tr w:rsidR="0011087A" w:rsidRPr="006D631C" w14:paraId="4BD1AD3E" w14:textId="77777777" w:rsidTr="00872A50">
        <w:trPr>
          <w:trHeight w:val="454"/>
        </w:trPr>
        <w:tc>
          <w:tcPr>
            <w:tcW w:w="2263" w:type="dxa"/>
          </w:tcPr>
          <w:p w14:paraId="153EC7C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R</w:t>
            </w:r>
            <w:r w:rsidRPr="006D631C">
              <w:rPr>
                <w:rFonts w:asciiTheme="majorBidi" w:hAnsiTheme="majorBidi" w:cstheme="majorBidi"/>
                <w:i/>
                <w:iCs/>
                <w:vertAlign w:val="subscript"/>
              </w:rPr>
              <w:t>1,max</w:t>
            </w:r>
          </w:p>
        </w:tc>
        <w:tc>
          <w:tcPr>
            <w:tcW w:w="7371" w:type="dxa"/>
          </w:tcPr>
          <w:p w14:paraId="2482DFD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Radii of the largest circles trapped between the micelles in apolar domain in lamellar phase</w:t>
            </w:r>
          </w:p>
        </w:tc>
      </w:tr>
      <w:tr w:rsidR="0011087A" w:rsidRPr="006D631C" w14:paraId="38891BB3" w14:textId="77777777" w:rsidTr="00872A50">
        <w:trPr>
          <w:trHeight w:val="454"/>
        </w:trPr>
        <w:tc>
          <w:tcPr>
            <w:tcW w:w="2263" w:type="dxa"/>
          </w:tcPr>
          <w:p w14:paraId="45F00C9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R</w:t>
            </w:r>
            <w:r w:rsidRPr="006D631C">
              <w:rPr>
                <w:rFonts w:asciiTheme="majorBidi" w:hAnsiTheme="majorBidi" w:cstheme="majorBidi"/>
                <w:i/>
                <w:iCs/>
                <w:vertAlign w:val="subscript"/>
              </w:rPr>
              <w:t>2,max</w:t>
            </w:r>
          </w:p>
        </w:tc>
        <w:tc>
          <w:tcPr>
            <w:tcW w:w="7371" w:type="dxa"/>
          </w:tcPr>
          <w:p w14:paraId="251F303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Radii of the largest circles trapped between the micelles in polar domain in lamellar phase</w:t>
            </w:r>
          </w:p>
        </w:tc>
      </w:tr>
      <w:tr w:rsidR="0011087A" w:rsidRPr="006D631C" w14:paraId="15E6DE43" w14:textId="77777777" w:rsidTr="00872A50">
        <w:trPr>
          <w:trHeight w:val="454"/>
        </w:trPr>
        <w:tc>
          <w:tcPr>
            <w:tcW w:w="2263" w:type="dxa"/>
          </w:tcPr>
          <w:p w14:paraId="7EF86F9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ϕ</w:t>
            </w:r>
            <w:r w:rsidRPr="006D631C">
              <w:rPr>
                <w:rFonts w:asciiTheme="majorBidi" w:hAnsiTheme="majorBidi" w:cstheme="majorBidi"/>
                <w:i/>
                <w:iCs/>
                <w:vertAlign w:val="subscript"/>
              </w:rPr>
              <w:t>1</w:t>
            </w:r>
          </w:p>
        </w:tc>
        <w:tc>
          <w:tcPr>
            <w:tcW w:w="7371" w:type="dxa"/>
          </w:tcPr>
          <w:p w14:paraId="1BDD5A8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the apolar domain in lamellar phase</w:t>
            </w:r>
          </w:p>
        </w:tc>
      </w:tr>
      <w:tr w:rsidR="0011087A" w:rsidRPr="006D631C" w14:paraId="18576D48" w14:textId="77777777" w:rsidTr="00872A50">
        <w:trPr>
          <w:trHeight w:val="454"/>
        </w:trPr>
        <w:tc>
          <w:tcPr>
            <w:tcW w:w="2263" w:type="dxa"/>
          </w:tcPr>
          <w:p w14:paraId="54E9756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ϕ</w:t>
            </w:r>
            <w:r w:rsidRPr="006D631C">
              <w:rPr>
                <w:rFonts w:asciiTheme="majorBidi" w:hAnsiTheme="majorBidi" w:cstheme="majorBidi"/>
                <w:i/>
                <w:iCs/>
                <w:vertAlign w:val="subscript"/>
              </w:rPr>
              <w:t>2</w:t>
            </w:r>
          </w:p>
        </w:tc>
        <w:tc>
          <w:tcPr>
            <w:tcW w:w="7371" w:type="dxa"/>
          </w:tcPr>
          <w:p w14:paraId="1B4A9C3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the polar domain in lamellar phase</w:t>
            </w:r>
          </w:p>
        </w:tc>
      </w:tr>
      <w:tr w:rsidR="0011087A" w:rsidRPr="006D631C" w14:paraId="3DA844A8" w14:textId="77777777" w:rsidTr="00872A50">
        <w:trPr>
          <w:trHeight w:val="454"/>
        </w:trPr>
        <w:tc>
          <w:tcPr>
            <w:tcW w:w="2263" w:type="dxa"/>
          </w:tcPr>
          <w:p w14:paraId="6D08165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lastRenderedPageBreak/>
              <w:t>D</w:t>
            </w:r>
            <w:r w:rsidRPr="006D631C">
              <w:rPr>
                <w:rFonts w:asciiTheme="majorBidi" w:hAnsiTheme="majorBidi" w:cstheme="majorBidi"/>
                <w:i/>
                <w:iCs/>
                <w:vertAlign w:val="subscript"/>
              </w:rPr>
              <w:t>L</w:t>
            </w:r>
          </w:p>
        </w:tc>
        <w:tc>
          <w:tcPr>
            <w:tcW w:w="7371" w:type="dxa"/>
          </w:tcPr>
          <w:p w14:paraId="6A4D970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Average intermicellar distance in lamellar structure</w:t>
            </w:r>
          </w:p>
        </w:tc>
      </w:tr>
      <w:tr w:rsidR="0011087A" w:rsidRPr="006D631C" w14:paraId="279375D6" w14:textId="77777777" w:rsidTr="00872A50">
        <w:trPr>
          <w:trHeight w:val="454"/>
        </w:trPr>
        <w:tc>
          <w:tcPr>
            <w:tcW w:w="2263" w:type="dxa"/>
          </w:tcPr>
          <w:p w14:paraId="7B5EBBB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ϕ</w:t>
            </w:r>
            <w:r w:rsidRPr="006D631C">
              <w:rPr>
                <w:rFonts w:asciiTheme="majorBidi" w:hAnsiTheme="majorBidi" w:cstheme="majorBidi"/>
                <w:i/>
                <w:iCs/>
                <w:vertAlign w:val="superscript"/>
              </w:rPr>
              <w:t>'</w:t>
            </w:r>
          </w:p>
        </w:tc>
        <w:tc>
          <w:tcPr>
            <w:tcW w:w="7371" w:type="dxa"/>
          </w:tcPr>
          <w:p w14:paraId="7C536D4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the phases confined in the apolar domain in lamellar phase</w:t>
            </w:r>
          </w:p>
        </w:tc>
      </w:tr>
      <w:tr w:rsidR="0011087A" w:rsidRPr="006D631C" w14:paraId="55D45384" w14:textId="77777777" w:rsidTr="00872A50">
        <w:trPr>
          <w:trHeight w:val="454"/>
        </w:trPr>
        <w:tc>
          <w:tcPr>
            <w:tcW w:w="2263" w:type="dxa"/>
          </w:tcPr>
          <w:p w14:paraId="5F1C6C2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rPr>
              <w:t>ϕ</w:t>
            </w:r>
            <w:r w:rsidRPr="006D631C">
              <w:rPr>
                <w:rFonts w:asciiTheme="majorBidi" w:hAnsiTheme="majorBidi" w:cstheme="majorBidi"/>
                <w:i/>
                <w:iCs/>
                <w:vertAlign w:val="superscript"/>
              </w:rPr>
              <w:t>"</w:t>
            </w:r>
          </w:p>
        </w:tc>
        <w:tc>
          <w:tcPr>
            <w:tcW w:w="7371" w:type="dxa"/>
          </w:tcPr>
          <w:p w14:paraId="606D229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the phases confined in the polar domain in lamellar phase</w:t>
            </w:r>
          </w:p>
        </w:tc>
      </w:tr>
      <w:tr w:rsidR="0011087A" w:rsidRPr="006D631C" w14:paraId="3A4A5582" w14:textId="77777777" w:rsidTr="00872A50">
        <w:trPr>
          <w:trHeight w:val="454"/>
        </w:trPr>
        <w:tc>
          <w:tcPr>
            <w:tcW w:w="2263" w:type="dxa"/>
          </w:tcPr>
          <w:p w14:paraId="4D94E14B" w14:textId="77777777" w:rsidR="0011087A" w:rsidRPr="006D631C" w:rsidRDefault="0011087A" w:rsidP="00872A50">
            <w:pPr>
              <w:jc w:val="left"/>
              <w:rPr>
                <w:rFonts w:asciiTheme="majorBidi" w:hAnsiTheme="majorBidi" w:cstheme="majorBidi"/>
              </w:rPr>
            </w:pPr>
            <w:r w:rsidRPr="006D631C">
              <w:rPr>
                <w:rFonts w:asciiTheme="majorBidi" w:eastAsiaTheme="minorHAnsi" w:hAnsiTheme="majorBidi" w:cstheme="majorBidi"/>
              </w:rPr>
              <w:t>Im3m or Q</w:t>
            </w:r>
            <w:r w:rsidRPr="006D631C">
              <w:rPr>
                <w:rFonts w:asciiTheme="majorBidi" w:eastAsiaTheme="minorHAnsi" w:hAnsiTheme="majorBidi" w:cstheme="majorBidi"/>
                <w:vertAlign w:val="subscript"/>
              </w:rPr>
              <w:t>229</w:t>
            </w:r>
          </w:p>
        </w:tc>
        <w:tc>
          <w:tcPr>
            <w:tcW w:w="7371" w:type="dxa"/>
          </w:tcPr>
          <w:p w14:paraId="6393DB2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w:t>
            </w:r>
            <w:r w:rsidRPr="006D631C">
              <w:rPr>
                <w:rFonts w:asciiTheme="majorBidi" w:eastAsiaTheme="minorHAnsi" w:hAnsiTheme="majorBidi" w:cstheme="majorBidi"/>
              </w:rPr>
              <w:t>rimitive lattice</w:t>
            </w:r>
            <w:r w:rsidRPr="006D631C">
              <w:rPr>
                <w:rFonts w:asciiTheme="majorBidi" w:hAnsiTheme="majorBidi" w:cstheme="majorBidi"/>
              </w:rPr>
              <w:t xml:space="preserve"> type for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phase</w:t>
            </w:r>
          </w:p>
        </w:tc>
      </w:tr>
      <w:tr w:rsidR="0011087A" w:rsidRPr="006D631C" w14:paraId="73286357" w14:textId="77777777" w:rsidTr="00872A50">
        <w:trPr>
          <w:trHeight w:val="454"/>
        </w:trPr>
        <w:tc>
          <w:tcPr>
            <w:tcW w:w="2263" w:type="dxa"/>
          </w:tcPr>
          <w:p w14:paraId="50BF31DE" w14:textId="77777777" w:rsidR="0011087A" w:rsidRPr="006D631C" w:rsidRDefault="0011087A" w:rsidP="00872A50">
            <w:pPr>
              <w:jc w:val="left"/>
              <w:rPr>
                <w:rFonts w:asciiTheme="majorBidi" w:hAnsiTheme="majorBidi" w:cstheme="majorBidi"/>
              </w:rPr>
            </w:pPr>
            <w:r w:rsidRPr="006D631C">
              <w:rPr>
                <w:rFonts w:asciiTheme="majorBidi" w:eastAsiaTheme="minorHAnsi" w:hAnsiTheme="majorBidi" w:cstheme="majorBidi"/>
              </w:rPr>
              <w:t>Pn3m or Q</w:t>
            </w:r>
            <w:r w:rsidRPr="006D631C">
              <w:rPr>
                <w:rFonts w:asciiTheme="majorBidi" w:eastAsiaTheme="minorHAnsi" w:hAnsiTheme="majorBidi" w:cstheme="majorBidi"/>
                <w:vertAlign w:val="subscript"/>
              </w:rPr>
              <w:t>224</w:t>
            </w:r>
          </w:p>
        </w:tc>
        <w:tc>
          <w:tcPr>
            <w:tcW w:w="7371" w:type="dxa"/>
          </w:tcPr>
          <w:p w14:paraId="51E90317" w14:textId="77777777" w:rsidR="0011087A" w:rsidRPr="006D631C" w:rsidRDefault="0011087A" w:rsidP="00872A50">
            <w:pPr>
              <w:jc w:val="left"/>
              <w:rPr>
                <w:rFonts w:asciiTheme="majorBidi" w:hAnsiTheme="majorBidi" w:cstheme="majorBidi"/>
              </w:rPr>
            </w:pPr>
            <w:r w:rsidRPr="006D631C">
              <w:rPr>
                <w:rFonts w:asciiTheme="majorBidi" w:eastAsiaTheme="minorHAnsi" w:hAnsiTheme="majorBidi" w:cstheme="majorBidi"/>
              </w:rPr>
              <w:t>Double-diamond lattice</w:t>
            </w:r>
            <w:r w:rsidRPr="006D631C">
              <w:rPr>
                <w:rFonts w:asciiTheme="majorBidi" w:hAnsiTheme="majorBidi" w:cstheme="majorBidi"/>
              </w:rPr>
              <w:t xml:space="preserve"> type for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phase</w:t>
            </w:r>
          </w:p>
        </w:tc>
      </w:tr>
      <w:tr w:rsidR="0011087A" w:rsidRPr="006D631C" w14:paraId="4444DC0F" w14:textId="77777777" w:rsidTr="00872A50">
        <w:trPr>
          <w:trHeight w:val="454"/>
        </w:trPr>
        <w:tc>
          <w:tcPr>
            <w:tcW w:w="2263" w:type="dxa"/>
          </w:tcPr>
          <w:p w14:paraId="6F780693" w14:textId="77777777" w:rsidR="0011087A" w:rsidRPr="006D631C" w:rsidRDefault="0011087A" w:rsidP="00872A50">
            <w:pPr>
              <w:jc w:val="left"/>
              <w:rPr>
                <w:rFonts w:asciiTheme="majorBidi" w:eastAsiaTheme="minorHAnsi" w:hAnsiTheme="majorBidi" w:cstheme="majorBidi"/>
              </w:rPr>
            </w:pPr>
            <w:r w:rsidRPr="006D631C">
              <w:rPr>
                <w:rFonts w:asciiTheme="majorBidi" w:eastAsiaTheme="minorHAnsi" w:hAnsiTheme="majorBidi" w:cstheme="majorBidi"/>
              </w:rPr>
              <w:t>Ia3d or Q</w:t>
            </w:r>
            <w:r w:rsidRPr="006D631C">
              <w:rPr>
                <w:rFonts w:asciiTheme="majorBidi" w:eastAsiaTheme="minorHAnsi" w:hAnsiTheme="majorBidi" w:cstheme="majorBidi"/>
                <w:vertAlign w:val="subscript"/>
              </w:rPr>
              <w:t>230</w:t>
            </w:r>
          </w:p>
        </w:tc>
        <w:tc>
          <w:tcPr>
            <w:tcW w:w="7371" w:type="dxa"/>
          </w:tcPr>
          <w:p w14:paraId="6AA12CE9" w14:textId="77777777" w:rsidR="0011087A" w:rsidRPr="006D631C" w:rsidRDefault="0011087A" w:rsidP="00872A50">
            <w:pPr>
              <w:jc w:val="left"/>
              <w:rPr>
                <w:rFonts w:asciiTheme="majorBidi" w:hAnsiTheme="majorBidi" w:cstheme="majorBidi"/>
              </w:rPr>
            </w:pPr>
            <w:proofErr w:type="spellStart"/>
            <w:r w:rsidRPr="006D631C">
              <w:rPr>
                <w:rFonts w:asciiTheme="majorBidi" w:eastAsiaTheme="minorHAnsi" w:hAnsiTheme="majorBidi" w:cstheme="majorBidi"/>
              </w:rPr>
              <w:t>Gyroid</w:t>
            </w:r>
            <w:proofErr w:type="spellEnd"/>
            <w:r w:rsidRPr="006D631C">
              <w:rPr>
                <w:rFonts w:asciiTheme="majorBidi" w:eastAsiaTheme="minorHAnsi" w:hAnsiTheme="majorBidi" w:cstheme="majorBidi"/>
              </w:rPr>
              <w:t xml:space="preserve"> lattice</w:t>
            </w:r>
            <w:r w:rsidRPr="006D631C">
              <w:rPr>
                <w:rFonts w:asciiTheme="majorBidi" w:hAnsiTheme="majorBidi" w:cstheme="majorBidi"/>
              </w:rPr>
              <w:t xml:space="preserve"> type for </w:t>
            </w:r>
            <w:proofErr w:type="spellStart"/>
            <w:r w:rsidRPr="006D631C">
              <w:rPr>
                <w:rFonts w:asciiTheme="majorBidi" w:hAnsiTheme="majorBidi" w:cstheme="majorBidi"/>
              </w:rPr>
              <w:t>bicontinuous</w:t>
            </w:r>
            <w:proofErr w:type="spellEnd"/>
            <w:r w:rsidRPr="006D631C">
              <w:rPr>
                <w:rFonts w:asciiTheme="majorBidi" w:hAnsiTheme="majorBidi" w:cstheme="majorBidi"/>
              </w:rPr>
              <w:t xml:space="preserve"> cubic phase</w:t>
            </w:r>
          </w:p>
        </w:tc>
      </w:tr>
      <w:tr w:rsidR="0011087A" w:rsidRPr="006D631C" w14:paraId="15CD28A5" w14:textId="77777777" w:rsidTr="00872A50">
        <w:trPr>
          <w:trHeight w:val="454"/>
        </w:trPr>
        <w:tc>
          <w:tcPr>
            <w:tcW w:w="2263" w:type="dxa"/>
          </w:tcPr>
          <w:p w14:paraId="20BAF721" w14:textId="77777777" w:rsidR="0011087A" w:rsidRPr="006D631C" w:rsidRDefault="0011087A" w:rsidP="00872A50">
            <w:pPr>
              <w:jc w:val="left"/>
              <w:rPr>
                <w:rFonts w:asciiTheme="majorBidi" w:eastAsiaTheme="minorHAnsi" w:hAnsiTheme="majorBidi" w:cstheme="majorBidi"/>
              </w:rPr>
            </w:pPr>
            <w:r w:rsidRPr="006D631C">
              <w:rPr>
                <w:rFonts w:asciiTheme="majorBidi" w:eastAsia="Calibri" w:hAnsiTheme="majorBidi" w:cstheme="majorBidi"/>
              </w:rPr>
              <w:t>2</w:t>
            </w:r>
            <w:r w:rsidRPr="006D631C">
              <w:rPr>
                <w:rFonts w:asciiTheme="majorBidi" w:eastAsia="Calibri" w:hAnsiTheme="majorBidi" w:cstheme="majorBidi"/>
                <w:i/>
                <w:iCs/>
              </w:rPr>
              <w:t>l</w:t>
            </w:r>
          </w:p>
        </w:tc>
        <w:tc>
          <w:tcPr>
            <w:tcW w:w="7371" w:type="dxa"/>
          </w:tcPr>
          <w:p w14:paraId="3FA771FF" w14:textId="77777777" w:rsidR="0011087A" w:rsidRPr="006D631C" w:rsidRDefault="0011087A" w:rsidP="00872A50">
            <w:pPr>
              <w:jc w:val="left"/>
              <w:rPr>
                <w:rFonts w:asciiTheme="majorBidi" w:hAnsiTheme="majorBidi" w:cstheme="majorBidi"/>
              </w:rPr>
            </w:pPr>
            <w:r w:rsidRPr="006D631C">
              <w:rPr>
                <w:rFonts w:asciiTheme="majorBidi" w:eastAsia="Calibri" w:hAnsiTheme="majorBidi" w:cstheme="majorBidi"/>
              </w:rPr>
              <w:t xml:space="preserve">Thickness of the apolar domain in </w:t>
            </w:r>
            <w:proofErr w:type="spellStart"/>
            <w:r w:rsidRPr="006D631C">
              <w:rPr>
                <w:rFonts w:asciiTheme="majorBidi" w:eastAsia="Calibri" w:hAnsiTheme="majorBidi" w:cstheme="majorBidi"/>
              </w:rPr>
              <w:t>bicontinuous</w:t>
            </w:r>
            <w:proofErr w:type="spellEnd"/>
            <w:r w:rsidRPr="006D631C">
              <w:rPr>
                <w:rFonts w:asciiTheme="majorBidi" w:eastAsia="Calibri" w:hAnsiTheme="majorBidi" w:cstheme="majorBidi"/>
              </w:rPr>
              <w:t xml:space="preserve"> cubic phase</w:t>
            </w:r>
          </w:p>
        </w:tc>
      </w:tr>
      <w:tr w:rsidR="0011087A" w:rsidRPr="006D631C" w14:paraId="712ECD58" w14:textId="77777777" w:rsidTr="00872A50">
        <w:trPr>
          <w:trHeight w:val="454"/>
        </w:trPr>
        <w:tc>
          <w:tcPr>
            <w:tcW w:w="2263" w:type="dxa"/>
          </w:tcPr>
          <w:p w14:paraId="7A9CEFB8" w14:textId="77777777" w:rsidR="0011087A" w:rsidRPr="006D631C" w:rsidRDefault="0011087A" w:rsidP="00872A50">
            <w:pPr>
              <w:jc w:val="left"/>
              <w:rPr>
                <w:rFonts w:asciiTheme="majorBidi" w:eastAsiaTheme="minorHAnsi" w:hAnsiTheme="majorBidi" w:cstheme="majorBidi"/>
              </w:rPr>
            </w:pPr>
            <w:r w:rsidRPr="006D631C">
              <w:rPr>
                <w:rFonts w:asciiTheme="majorBidi" w:eastAsia="Calibri" w:hAnsiTheme="majorBidi" w:cstheme="majorBidi"/>
              </w:rPr>
              <w:t>2</w:t>
            </w:r>
            <w:r w:rsidRPr="006D631C">
              <w:rPr>
                <w:rFonts w:asciiTheme="majorBidi" w:eastAsia="Calibri" w:hAnsiTheme="majorBidi" w:cstheme="majorBidi"/>
                <w:i/>
                <w:iCs/>
              </w:rPr>
              <w:t>t</w:t>
            </w:r>
            <w:r w:rsidRPr="006D631C">
              <w:rPr>
                <w:rFonts w:asciiTheme="majorBidi" w:eastAsia="Calibri" w:hAnsiTheme="majorBidi" w:cstheme="majorBidi"/>
                <w:i/>
                <w:iCs/>
                <w:vertAlign w:val="subscript"/>
              </w:rPr>
              <w:t>polar</w:t>
            </w:r>
          </w:p>
        </w:tc>
        <w:tc>
          <w:tcPr>
            <w:tcW w:w="7371" w:type="dxa"/>
          </w:tcPr>
          <w:p w14:paraId="71A5655E" w14:textId="77777777" w:rsidR="0011087A" w:rsidRPr="006D631C" w:rsidRDefault="0011087A" w:rsidP="00872A50">
            <w:pPr>
              <w:jc w:val="left"/>
              <w:rPr>
                <w:rFonts w:asciiTheme="majorBidi" w:hAnsiTheme="majorBidi" w:cstheme="majorBidi"/>
              </w:rPr>
            </w:pPr>
            <w:r w:rsidRPr="006D631C">
              <w:rPr>
                <w:rFonts w:asciiTheme="majorBidi" w:eastAsia="Calibri" w:hAnsiTheme="majorBidi" w:cstheme="majorBidi"/>
              </w:rPr>
              <w:t>Polar domain thickness</w:t>
            </w:r>
          </w:p>
        </w:tc>
      </w:tr>
      <w:tr w:rsidR="0011087A" w:rsidRPr="006D631C" w14:paraId="1525CA58" w14:textId="77777777" w:rsidTr="00872A50">
        <w:trPr>
          <w:trHeight w:val="454"/>
        </w:trPr>
        <w:tc>
          <w:tcPr>
            <w:tcW w:w="2263" w:type="dxa"/>
          </w:tcPr>
          <w:p w14:paraId="2B888F19" w14:textId="77777777" w:rsidR="0011087A" w:rsidRPr="006D631C" w:rsidRDefault="0011087A" w:rsidP="00872A50">
            <w:pPr>
              <w:jc w:val="left"/>
              <w:rPr>
                <w:rFonts w:asciiTheme="majorBidi" w:eastAsiaTheme="minorHAnsi" w:hAnsiTheme="majorBidi" w:cstheme="majorBidi"/>
              </w:rPr>
            </w:pPr>
            <w:proofErr w:type="spellStart"/>
            <w:r w:rsidRPr="006D631C">
              <w:rPr>
                <w:rFonts w:asciiTheme="majorBidi" w:eastAsia="Calibri" w:hAnsiTheme="majorBidi" w:cstheme="majorBidi"/>
              </w:rPr>
              <w:t>d</w:t>
            </w:r>
            <w:r w:rsidRPr="006D631C">
              <w:rPr>
                <w:rFonts w:asciiTheme="majorBidi" w:eastAsia="Calibri" w:hAnsiTheme="majorBidi" w:cstheme="majorBidi"/>
                <w:vertAlign w:val="subscript"/>
              </w:rPr>
              <w:t>hkl</w:t>
            </w:r>
            <w:proofErr w:type="spellEnd"/>
          </w:p>
        </w:tc>
        <w:tc>
          <w:tcPr>
            <w:tcW w:w="7371" w:type="dxa"/>
          </w:tcPr>
          <w:p w14:paraId="30E67BBD"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Spacings</w:t>
            </w:r>
            <w:proofErr w:type="spellEnd"/>
            <w:r w:rsidRPr="006D631C">
              <w:rPr>
                <w:rFonts w:asciiTheme="majorBidi" w:hAnsiTheme="majorBidi" w:cstheme="majorBidi"/>
              </w:rPr>
              <w:t xml:space="preserve"> </w:t>
            </w:r>
          </w:p>
        </w:tc>
      </w:tr>
      <w:tr w:rsidR="0011087A" w:rsidRPr="006D631C" w14:paraId="4AA2C6AB" w14:textId="77777777" w:rsidTr="00872A50">
        <w:trPr>
          <w:trHeight w:val="454"/>
        </w:trPr>
        <w:tc>
          <w:tcPr>
            <w:tcW w:w="2263" w:type="dxa"/>
          </w:tcPr>
          <w:p w14:paraId="65D04CC9" w14:textId="77777777" w:rsidR="0011087A" w:rsidRPr="006D631C" w:rsidRDefault="0011087A" w:rsidP="00872A50">
            <w:pPr>
              <w:jc w:val="left"/>
              <w:rPr>
                <w:rFonts w:asciiTheme="majorBidi" w:eastAsiaTheme="minorHAnsi" w:hAnsiTheme="majorBidi" w:cstheme="majorBidi"/>
              </w:rPr>
            </w:pPr>
            <w:r w:rsidRPr="006D631C">
              <w:rPr>
                <w:rFonts w:asciiTheme="majorBidi" w:eastAsia="Calibri" w:hAnsiTheme="majorBidi" w:cstheme="majorBidi"/>
              </w:rPr>
              <w:t>h, k, l</w:t>
            </w:r>
          </w:p>
        </w:tc>
        <w:tc>
          <w:tcPr>
            <w:tcW w:w="7371" w:type="dxa"/>
          </w:tcPr>
          <w:p w14:paraId="031EAB6A" w14:textId="77777777" w:rsidR="0011087A" w:rsidRPr="006D631C" w:rsidRDefault="0011087A" w:rsidP="00872A50">
            <w:pPr>
              <w:jc w:val="left"/>
              <w:rPr>
                <w:rFonts w:asciiTheme="majorBidi" w:hAnsiTheme="majorBidi" w:cstheme="majorBidi"/>
              </w:rPr>
            </w:pPr>
            <w:r w:rsidRPr="006D631C">
              <w:rPr>
                <w:rFonts w:asciiTheme="majorBidi" w:eastAsia="Calibri" w:hAnsiTheme="majorBidi" w:cstheme="majorBidi"/>
              </w:rPr>
              <w:t>Miller indices</w:t>
            </w:r>
          </w:p>
        </w:tc>
      </w:tr>
      <w:tr w:rsidR="0011087A" w:rsidRPr="006D631C" w14:paraId="72400CAB" w14:textId="77777777" w:rsidTr="00872A50">
        <w:trPr>
          <w:trHeight w:val="454"/>
        </w:trPr>
        <w:tc>
          <w:tcPr>
            <w:tcW w:w="2263" w:type="dxa"/>
          </w:tcPr>
          <w:p w14:paraId="61AC5AB3" w14:textId="77777777" w:rsidR="0011087A" w:rsidRPr="006D631C" w:rsidRDefault="0011087A" w:rsidP="00872A50">
            <w:pPr>
              <w:jc w:val="left"/>
              <w:rPr>
                <w:rFonts w:asciiTheme="majorBidi" w:eastAsiaTheme="minorHAnsi" w:hAnsiTheme="majorBidi" w:cstheme="majorBidi"/>
              </w:rPr>
            </w:pPr>
            <w:r w:rsidRPr="006D631C">
              <w:rPr>
                <w:rFonts w:asciiTheme="majorBidi" w:hAnsiTheme="majorBidi" w:cstheme="majorBidi"/>
                <w:i/>
                <w:iCs/>
              </w:rPr>
              <w:t>α</w:t>
            </w:r>
            <w:r w:rsidRPr="006D631C">
              <w:rPr>
                <w:rFonts w:asciiTheme="majorBidi" w:hAnsiTheme="majorBidi" w:cstheme="majorBidi"/>
                <w:i/>
                <w:iCs/>
                <w:vertAlign w:val="subscript"/>
              </w:rPr>
              <w:t>1</w:t>
            </w:r>
          </w:p>
        </w:tc>
        <w:tc>
          <w:tcPr>
            <w:tcW w:w="7371" w:type="dxa"/>
          </w:tcPr>
          <w:p w14:paraId="2C2067EF"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Polar domain size in discontinuous cubic phase</w:t>
            </w:r>
          </w:p>
        </w:tc>
      </w:tr>
      <w:tr w:rsidR="0011087A" w:rsidRPr="006D631C" w14:paraId="69B89F54" w14:textId="77777777" w:rsidTr="00872A50">
        <w:trPr>
          <w:trHeight w:val="454"/>
        </w:trPr>
        <w:tc>
          <w:tcPr>
            <w:tcW w:w="2263" w:type="dxa"/>
          </w:tcPr>
          <w:p w14:paraId="1E32FBF3" w14:textId="77777777" w:rsidR="0011087A" w:rsidRPr="006D631C" w:rsidRDefault="0011087A" w:rsidP="00872A50">
            <w:pPr>
              <w:jc w:val="left"/>
              <w:rPr>
                <w:rFonts w:asciiTheme="majorBidi" w:eastAsiaTheme="minorHAnsi" w:hAnsiTheme="majorBidi" w:cstheme="majorBidi"/>
              </w:rPr>
            </w:pPr>
            <w:r w:rsidRPr="006D631C">
              <w:rPr>
                <w:rFonts w:asciiTheme="majorBidi" w:hAnsiTheme="majorBidi" w:cstheme="majorBidi"/>
                <w:i/>
                <w:iCs/>
              </w:rPr>
              <w:t>α</w:t>
            </w:r>
            <w:r w:rsidRPr="006D631C">
              <w:rPr>
                <w:rFonts w:asciiTheme="majorBidi" w:hAnsiTheme="majorBidi" w:cstheme="majorBidi"/>
                <w:i/>
                <w:iCs/>
                <w:vertAlign w:val="subscript"/>
              </w:rPr>
              <w:t>2</w:t>
            </w:r>
          </w:p>
        </w:tc>
        <w:tc>
          <w:tcPr>
            <w:tcW w:w="7371" w:type="dxa"/>
          </w:tcPr>
          <w:p w14:paraId="24F86E9F"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Apolar domain size in discontinuous cubic phase</w:t>
            </w:r>
          </w:p>
        </w:tc>
      </w:tr>
      <w:tr w:rsidR="0011087A" w:rsidRPr="006D631C" w14:paraId="7A88E20C" w14:textId="77777777" w:rsidTr="00872A50">
        <w:trPr>
          <w:trHeight w:val="454"/>
        </w:trPr>
        <w:tc>
          <w:tcPr>
            <w:tcW w:w="2263" w:type="dxa"/>
          </w:tcPr>
          <w:p w14:paraId="6AC543FD" w14:textId="77777777" w:rsidR="0011087A" w:rsidRPr="006D631C" w:rsidRDefault="0011087A" w:rsidP="00872A50">
            <w:pPr>
              <w:jc w:val="left"/>
              <w:rPr>
                <w:rFonts w:asciiTheme="majorBidi" w:eastAsiaTheme="minorHAnsi" w:hAnsiTheme="majorBidi" w:cstheme="majorBidi"/>
              </w:rPr>
            </w:pPr>
            <w:proofErr w:type="spellStart"/>
            <w:r w:rsidRPr="006D631C">
              <w:rPr>
                <w:rFonts w:asciiTheme="majorBidi" w:hAnsiTheme="majorBidi" w:cstheme="majorBidi"/>
                <w:i/>
                <w:iCs/>
              </w:rPr>
              <w:t>R</w:t>
            </w:r>
            <w:r w:rsidRPr="006D631C">
              <w:rPr>
                <w:rFonts w:asciiTheme="majorBidi" w:hAnsiTheme="majorBidi" w:cstheme="majorBidi"/>
                <w:i/>
                <w:iCs/>
                <w:vertAlign w:val="subscript"/>
              </w:rPr>
              <w:t>c</w:t>
            </w:r>
            <w:proofErr w:type="spellEnd"/>
          </w:p>
        </w:tc>
        <w:tc>
          <w:tcPr>
            <w:tcW w:w="7371" w:type="dxa"/>
          </w:tcPr>
          <w:p w14:paraId="2CCE1F0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Radius of the spherical micelles in discontinuous cubic phase</w:t>
            </w:r>
          </w:p>
        </w:tc>
      </w:tr>
      <w:tr w:rsidR="0011087A" w:rsidRPr="006D631C" w14:paraId="5331194C" w14:textId="77777777" w:rsidTr="00872A50">
        <w:trPr>
          <w:trHeight w:val="454"/>
        </w:trPr>
        <w:tc>
          <w:tcPr>
            <w:tcW w:w="2263" w:type="dxa"/>
          </w:tcPr>
          <w:p w14:paraId="7054E164" w14:textId="77777777" w:rsidR="0011087A" w:rsidRPr="006D631C" w:rsidRDefault="0011087A" w:rsidP="00872A50">
            <w:pPr>
              <w:jc w:val="left"/>
              <w:rPr>
                <w:rFonts w:asciiTheme="majorBidi" w:eastAsiaTheme="minorHAnsi" w:hAnsiTheme="majorBidi" w:cstheme="majorBidi"/>
              </w:rPr>
            </w:pPr>
            <w:r w:rsidRPr="006D631C">
              <w:rPr>
                <w:rFonts w:asciiTheme="majorBidi" w:hAnsiTheme="majorBidi" w:cstheme="majorBidi"/>
                <w:i/>
                <w:iCs/>
              </w:rPr>
              <w:t>ϕ</w:t>
            </w:r>
          </w:p>
        </w:tc>
        <w:tc>
          <w:tcPr>
            <w:tcW w:w="7371" w:type="dxa"/>
          </w:tcPr>
          <w:p w14:paraId="03579D1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continuous domain in discontinuous cubic phase</w:t>
            </w:r>
          </w:p>
        </w:tc>
      </w:tr>
      <w:tr w:rsidR="0011087A" w:rsidRPr="006D631C" w14:paraId="08251EB8" w14:textId="77777777" w:rsidTr="00872A50">
        <w:trPr>
          <w:trHeight w:val="454"/>
        </w:trPr>
        <w:tc>
          <w:tcPr>
            <w:tcW w:w="2263" w:type="dxa"/>
          </w:tcPr>
          <w:p w14:paraId="1DA45214" w14:textId="77777777" w:rsidR="0011087A" w:rsidRPr="006D631C" w:rsidRDefault="0011087A" w:rsidP="00872A50">
            <w:pPr>
              <w:jc w:val="left"/>
              <w:rPr>
                <w:rFonts w:asciiTheme="majorBidi" w:eastAsiaTheme="minorHAnsi" w:hAnsiTheme="majorBidi" w:cstheme="majorBidi"/>
              </w:rPr>
            </w:pPr>
            <w:r w:rsidRPr="006D631C">
              <w:rPr>
                <w:rFonts w:asciiTheme="majorBidi" w:hAnsiTheme="majorBidi" w:cstheme="majorBidi"/>
              </w:rPr>
              <w:t>F-K phases</w:t>
            </w:r>
          </w:p>
        </w:tc>
        <w:tc>
          <w:tcPr>
            <w:tcW w:w="7371" w:type="dxa"/>
          </w:tcPr>
          <w:p w14:paraId="43ED781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Frank-Kasper phases</w:t>
            </w:r>
          </w:p>
        </w:tc>
      </w:tr>
      <w:tr w:rsidR="0011087A" w:rsidRPr="006D631C" w14:paraId="4E336EF0" w14:textId="77777777" w:rsidTr="00872A50">
        <w:trPr>
          <w:trHeight w:val="454"/>
        </w:trPr>
        <w:tc>
          <w:tcPr>
            <w:tcW w:w="2263" w:type="dxa"/>
          </w:tcPr>
          <w:p w14:paraId="13181ED6" w14:textId="77777777" w:rsidR="0011087A" w:rsidRPr="006D631C" w:rsidRDefault="0011087A" w:rsidP="00872A50">
            <w:pPr>
              <w:jc w:val="left"/>
              <w:rPr>
                <w:rFonts w:asciiTheme="majorBidi" w:eastAsiaTheme="minorHAnsi" w:hAnsiTheme="majorBidi" w:cstheme="majorBidi"/>
              </w:rPr>
            </w:pPr>
            <w:r w:rsidRPr="006D631C">
              <w:rPr>
                <w:rFonts w:asciiTheme="majorBidi" w:hAnsiTheme="majorBidi" w:cstheme="majorBidi"/>
              </w:rPr>
              <w:t>A15</w:t>
            </w:r>
          </w:p>
        </w:tc>
        <w:tc>
          <w:tcPr>
            <w:tcW w:w="7371" w:type="dxa"/>
          </w:tcPr>
          <w:p w14:paraId="1F63AEB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Type of F-K phases</w:t>
            </w:r>
          </w:p>
        </w:tc>
      </w:tr>
      <w:tr w:rsidR="0011087A" w:rsidRPr="006D631C" w14:paraId="551E29C2" w14:textId="77777777" w:rsidTr="00872A50">
        <w:trPr>
          <w:trHeight w:val="454"/>
        </w:trPr>
        <w:tc>
          <w:tcPr>
            <w:tcW w:w="2263" w:type="dxa"/>
          </w:tcPr>
          <w:p w14:paraId="2633C4B5" w14:textId="77777777" w:rsidR="0011087A" w:rsidRPr="006D631C" w:rsidRDefault="0011087A" w:rsidP="00872A50">
            <w:pPr>
              <w:jc w:val="left"/>
              <w:rPr>
                <w:rFonts w:asciiTheme="majorBidi" w:eastAsiaTheme="minorHAnsi" w:hAnsiTheme="majorBidi" w:cstheme="majorBidi"/>
              </w:rPr>
            </w:pPr>
            <w:r w:rsidRPr="006D631C">
              <w:rPr>
                <w:rFonts w:asciiTheme="majorBidi" w:hAnsiTheme="majorBidi" w:cstheme="majorBidi"/>
              </w:rPr>
              <w:t>σ</w:t>
            </w:r>
          </w:p>
        </w:tc>
        <w:tc>
          <w:tcPr>
            <w:tcW w:w="7371" w:type="dxa"/>
          </w:tcPr>
          <w:p w14:paraId="2B0E0D3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Type of F-K phases</w:t>
            </w:r>
          </w:p>
        </w:tc>
      </w:tr>
      <w:tr w:rsidR="0011087A" w:rsidRPr="006D631C" w14:paraId="0AD44064" w14:textId="77777777" w:rsidTr="00872A50">
        <w:trPr>
          <w:trHeight w:val="454"/>
        </w:trPr>
        <w:tc>
          <w:tcPr>
            <w:tcW w:w="2263" w:type="dxa"/>
          </w:tcPr>
          <w:p w14:paraId="0134E075" w14:textId="77777777" w:rsidR="0011087A" w:rsidRPr="006D631C" w:rsidRDefault="0011087A" w:rsidP="00872A50">
            <w:pPr>
              <w:jc w:val="left"/>
              <w:rPr>
                <w:rFonts w:asciiTheme="majorBidi" w:eastAsiaTheme="minorHAnsi" w:hAnsiTheme="majorBidi" w:cstheme="majorBidi"/>
              </w:rPr>
            </w:pPr>
            <w:r w:rsidRPr="006D631C">
              <w:rPr>
                <w:rFonts w:asciiTheme="majorBidi" w:hAnsiTheme="majorBidi" w:cstheme="majorBidi"/>
              </w:rPr>
              <w:t>µ</w:t>
            </w:r>
          </w:p>
        </w:tc>
        <w:tc>
          <w:tcPr>
            <w:tcW w:w="7371" w:type="dxa"/>
          </w:tcPr>
          <w:p w14:paraId="649387F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Type of F-K phases</w:t>
            </w:r>
          </w:p>
        </w:tc>
      </w:tr>
      <w:tr w:rsidR="0011087A" w:rsidRPr="006D631C" w14:paraId="23CD4D5E" w14:textId="77777777" w:rsidTr="00872A50">
        <w:trPr>
          <w:trHeight w:val="454"/>
        </w:trPr>
        <w:tc>
          <w:tcPr>
            <w:tcW w:w="2263" w:type="dxa"/>
          </w:tcPr>
          <w:p w14:paraId="0BB6EE9C" w14:textId="77777777" w:rsidR="0011087A" w:rsidRPr="006D631C" w:rsidRDefault="0011087A" w:rsidP="00872A50">
            <w:pPr>
              <w:jc w:val="left"/>
              <w:rPr>
                <w:rFonts w:asciiTheme="majorBidi" w:eastAsiaTheme="minorHAnsi" w:hAnsiTheme="majorBidi" w:cstheme="majorBidi"/>
              </w:rPr>
            </w:pPr>
            <w:r w:rsidRPr="006D631C">
              <w:rPr>
                <w:rFonts w:asciiTheme="majorBidi" w:hAnsiTheme="majorBidi" w:cstheme="majorBidi"/>
              </w:rPr>
              <w:t>M</w:t>
            </w:r>
          </w:p>
        </w:tc>
        <w:tc>
          <w:tcPr>
            <w:tcW w:w="7371" w:type="dxa"/>
          </w:tcPr>
          <w:p w14:paraId="03EC859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Type of F-K phases</w:t>
            </w:r>
          </w:p>
        </w:tc>
      </w:tr>
      <w:tr w:rsidR="0011087A" w:rsidRPr="006D631C" w14:paraId="53731036" w14:textId="77777777" w:rsidTr="00872A50">
        <w:trPr>
          <w:trHeight w:val="454"/>
        </w:trPr>
        <w:tc>
          <w:tcPr>
            <w:tcW w:w="2263" w:type="dxa"/>
          </w:tcPr>
          <w:p w14:paraId="161DD762" w14:textId="77777777" w:rsidR="0011087A" w:rsidRPr="006D631C" w:rsidRDefault="0011087A" w:rsidP="00872A50">
            <w:pPr>
              <w:jc w:val="left"/>
              <w:rPr>
                <w:rFonts w:asciiTheme="majorBidi" w:eastAsiaTheme="minorHAnsi" w:hAnsiTheme="majorBidi" w:cstheme="majorBidi"/>
              </w:rPr>
            </w:pPr>
            <w:r w:rsidRPr="006D631C">
              <w:rPr>
                <w:rFonts w:asciiTheme="majorBidi" w:hAnsiTheme="majorBidi" w:cstheme="majorBidi"/>
              </w:rPr>
              <w:t>P</w:t>
            </w:r>
          </w:p>
        </w:tc>
        <w:tc>
          <w:tcPr>
            <w:tcW w:w="7371" w:type="dxa"/>
          </w:tcPr>
          <w:p w14:paraId="11DC81F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Type of F-K phases</w:t>
            </w:r>
          </w:p>
        </w:tc>
      </w:tr>
      <w:tr w:rsidR="0011087A" w:rsidRPr="006D631C" w14:paraId="713D0836" w14:textId="77777777" w:rsidTr="00872A50">
        <w:trPr>
          <w:trHeight w:val="454"/>
        </w:trPr>
        <w:tc>
          <w:tcPr>
            <w:tcW w:w="2263" w:type="dxa"/>
          </w:tcPr>
          <w:p w14:paraId="0041D0E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w:t>
            </w:r>
          </w:p>
        </w:tc>
        <w:tc>
          <w:tcPr>
            <w:tcW w:w="7371" w:type="dxa"/>
          </w:tcPr>
          <w:p w14:paraId="77F79C8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Type of F-K phases</w:t>
            </w:r>
          </w:p>
        </w:tc>
      </w:tr>
      <w:tr w:rsidR="0011087A" w:rsidRPr="006D631C" w14:paraId="7C3685D0" w14:textId="77777777" w:rsidTr="00872A50">
        <w:trPr>
          <w:trHeight w:val="454"/>
        </w:trPr>
        <w:tc>
          <w:tcPr>
            <w:tcW w:w="2263" w:type="dxa"/>
          </w:tcPr>
          <w:p w14:paraId="4D71031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Z</w:t>
            </w:r>
          </w:p>
        </w:tc>
        <w:tc>
          <w:tcPr>
            <w:tcW w:w="7371" w:type="dxa"/>
          </w:tcPr>
          <w:p w14:paraId="0391675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Type of F-K phases</w:t>
            </w:r>
          </w:p>
        </w:tc>
      </w:tr>
      <w:tr w:rsidR="0011087A" w:rsidRPr="006D631C" w14:paraId="35CA398B" w14:textId="77777777" w:rsidTr="00872A50">
        <w:trPr>
          <w:trHeight w:val="454"/>
        </w:trPr>
        <w:tc>
          <w:tcPr>
            <w:tcW w:w="2263" w:type="dxa"/>
          </w:tcPr>
          <w:p w14:paraId="52B87D8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C14 or C15 Laves</w:t>
            </w:r>
          </w:p>
        </w:tc>
        <w:tc>
          <w:tcPr>
            <w:tcW w:w="7371" w:type="dxa"/>
          </w:tcPr>
          <w:p w14:paraId="0AB3FBA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Type of F-K phases</w:t>
            </w:r>
          </w:p>
        </w:tc>
      </w:tr>
      <w:tr w:rsidR="0011087A" w:rsidRPr="006D631C" w14:paraId="599EDAE4" w14:textId="77777777" w:rsidTr="00872A50">
        <w:trPr>
          <w:trHeight w:val="454"/>
        </w:trPr>
        <w:tc>
          <w:tcPr>
            <w:tcW w:w="2263" w:type="dxa"/>
          </w:tcPr>
          <w:p w14:paraId="2A0E575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w:t>
            </w:r>
            <w:r w:rsidRPr="006D631C">
              <w:rPr>
                <w:rFonts w:asciiTheme="majorBidi" w:hAnsiTheme="majorBidi" w:cstheme="majorBidi"/>
                <w:vertAlign w:val="subscript"/>
              </w:rPr>
              <w:t>3</w:t>
            </w:r>
          </w:p>
        </w:tc>
        <w:tc>
          <w:tcPr>
            <w:tcW w:w="7371" w:type="dxa"/>
          </w:tcPr>
          <w:p w14:paraId="0339C09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‘Sponge’ phase</w:t>
            </w:r>
          </w:p>
        </w:tc>
      </w:tr>
      <w:tr w:rsidR="0011087A" w:rsidRPr="006D631C" w14:paraId="7B9DBAE3" w14:textId="77777777" w:rsidTr="00872A50">
        <w:trPr>
          <w:trHeight w:val="454"/>
        </w:trPr>
        <w:tc>
          <w:tcPr>
            <w:tcW w:w="2263" w:type="dxa"/>
          </w:tcPr>
          <w:p w14:paraId="3E403BD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PPV</w:t>
            </w:r>
          </w:p>
        </w:tc>
        <w:tc>
          <w:tcPr>
            <w:tcW w:w="7371" w:type="dxa"/>
          </w:tcPr>
          <w:p w14:paraId="41447DDF"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Poly(</w:t>
            </w:r>
            <w:r w:rsidRPr="006D631C">
              <w:rPr>
                <w:rFonts w:asciiTheme="majorBidi" w:hAnsiTheme="majorBidi" w:cstheme="majorBidi"/>
                <w:i/>
                <w:iCs/>
              </w:rPr>
              <w:t>p</w:t>
            </w:r>
            <w:r w:rsidRPr="006D631C">
              <w:rPr>
                <w:rFonts w:asciiTheme="majorBidi" w:hAnsiTheme="majorBidi" w:cstheme="majorBidi"/>
              </w:rPr>
              <w:t>-</w:t>
            </w:r>
            <w:proofErr w:type="spellStart"/>
            <w:r w:rsidRPr="006D631C">
              <w:rPr>
                <w:rFonts w:asciiTheme="majorBidi" w:hAnsiTheme="majorBidi" w:cstheme="majorBidi"/>
              </w:rPr>
              <w:t>phenylenevinylene</w:t>
            </w:r>
            <w:proofErr w:type="spellEnd"/>
            <w:r w:rsidRPr="006D631C">
              <w:rPr>
                <w:rFonts w:asciiTheme="majorBidi" w:hAnsiTheme="majorBidi" w:cstheme="majorBidi"/>
              </w:rPr>
              <w:t>)</w:t>
            </w:r>
          </w:p>
        </w:tc>
      </w:tr>
      <w:tr w:rsidR="0011087A" w:rsidRPr="006D631C" w14:paraId="30A07437" w14:textId="77777777" w:rsidTr="00872A50">
        <w:trPr>
          <w:trHeight w:val="454"/>
        </w:trPr>
        <w:tc>
          <w:tcPr>
            <w:tcW w:w="2263" w:type="dxa"/>
          </w:tcPr>
          <w:p w14:paraId="6D177F5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lastRenderedPageBreak/>
              <w:t>HPL</w:t>
            </w:r>
          </w:p>
        </w:tc>
        <w:tc>
          <w:tcPr>
            <w:tcW w:w="7371" w:type="dxa"/>
          </w:tcPr>
          <w:p w14:paraId="397DF80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Hexagonal perforated lamellar</w:t>
            </w:r>
          </w:p>
        </w:tc>
      </w:tr>
      <w:tr w:rsidR="0011087A" w:rsidRPr="006D631C" w14:paraId="11230D9E" w14:textId="77777777" w:rsidTr="00872A50">
        <w:trPr>
          <w:trHeight w:val="454"/>
        </w:trPr>
        <w:tc>
          <w:tcPr>
            <w:tcW w:w="2263" w:type="dxa"/>
          </w:tcPr>
          <w:p w14:paraId="169735C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CMC</w:t>
            </w:r>
          </w:p>
        </w:tc>
        <w:tc>
          <w:tcPr>
            <w:tcW w:w="7371" w:type="dxa"/>
          </w:tcPr>
          <w:p w14:paraId="41F5E37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Critical micelle concentration</w:t>
            </w:r>
          </w:p>
        </w:tc>
      </w:tr>
      <w:tr w:rsidR="0011087A" w:rsidRPr="006D631C" w14:paraId="69AD62FF" w14:textId="77777777" w:rsidTr="00872A50">
        <w:trPr>
          <w:trHeight w:val="454"/>
        </w:trPr>
        <w:tc>
          <w:tcPr>
            <w:tcW w:w="2263" w:type="dxa"/>
          </w:tcPr>
          <w:p w14:paraId="08CE164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BR</w:t>
            </w:r>
          </w:p>
        </w:tc>
        <w:tc>
          <w:tcPr>
            <w:tcW w:w="7371" w:type="dxa"/>
          </w:tcPr>
          <w:p w14:paraId="65397E4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Butyl rubber</w:t>
            </w:r>
          </w:p>
        </w:tc>
      </w:tr>
      <w:tr w:rsidR="0011087A" w:rsidRPr="006D631C" w14:paraId="423DDDDF" w14:textId="77777777" w:rsidTr="00872A50">
        <w:trPr>
          <w:trHeight w:val="454"/>
        </w:trPr>
        <w:tc>
          <w:tcPr>
            <w:tcW w:w="2263" w:type="dxa"/>
          </w:tcPr>
          <w:p w14:paraId="3BBBB33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MF</w:t>
            </w:r>
          </w:p>
        </w:tc>
        <w:tc>
          <w:tcPr>
            <w:tcW w:w="7371" w:type="dxa"/>
          </w:tcPr>
          <w:p w14:paraId="2AD82CD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Microfiltration</w:t>
            </w:r>
          </w:p>
        </w:tc>
      </w:tr>
      <w:tr w:rsidR="0011087A" w:rsidRPr="006D631C" w14:paraId="6AF2F400" w14:textId="77777777" w:rsidTr="00872A50">
        <w:trPr>
          <w:trHeight w:val="454"/>
        </w:trPr>
        <w:tc>
          <w:tcPr>
            <w:tcW w:w="2263" w:type="dxa"/>
          </w:tcPr>
          <w:p w14:paraId="5A7587B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NF</w:t>
            </w:r>
          </w:p>
        </w:tc>
        <w:tc>
          <w:tcPr>
            <w:tcW w:w="7371" w:type="dxa"/>
          </w:tcPr>
          <w:p w14:paraId="69E4007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Nanofiltration</w:t>
            </w:r>
          </w:p>
        </w:tc>
      </w:tr>
      <w:tr w:rsidR="0011087A" w:rsidRPr="006D631C" w14:paraId="03CCB13E" w14:textId="77777777" w:rsidTr="00872A50">
        <w:trPr>
          <w:trHeight w:val="454"/>
        </w:trPr>
        <w:tc>
          <w:tcPr>
            <w:tcW w:w="2263" w:type="dxa"/>
          </w:tcPr>
          <w:p w14:paraId="0587A03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UF</w:t>
            </w:r>
          </w:p>
        </w:tc>
        <w:tc>
          <w:tcPr>
            <w:tcW w:w="7371" w:type="dxa"/>
          </w:tcPr>
          <w:p w14:paraId="3F1AD79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Ultrafiltration</w:t>
            </w:r>
          </w:p>
        </w:tc>
      </w:tr>
      <w:tr w:rsidR="0011087A" w:rsidRPr="006D631C" w14:paraId="77F2FDD7" w14:textId="77777777" w:rsidTr="00872A50">
        <w:trPr>
          <w:trHeight w:val="454"/>
        </w:trPr>
        <w:tc>
          <w:tcPr>
            <w:tcW w:w="2263" w:type="dxa"/>
          </w:tcPr>
          <w:p w14:paraId="5EB849A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RO</w:t>
            </w:r>
          </w:p>
        </w:tc>
        <w:tc>
          <w:tcPr>
            <w:tcW w:w="7371" w:type="dxa"/>
          </w:tcPr>
          <w:p w14:paraId="5EEE530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Reverse osmosis</w:t>
            </w:r>
          </w:p>
        </w:tc>
      </w:tr>
      <w:tr w:rsidR="0011087A" w:rsidRPr="006D631C" w14:paraId="47E26F6E" w14:textId="77777777" w:rsidTr="00872A50">
        <w:trPr>
          <w:trHeight w:val="454"/>
        </w:trPr>
        <w:tc>
          <w:tcPr>
            <w:tcW w:w="2263" w:type="dxa"/>
          </w:tcPr>
          <w:p w14:paraId="40010EF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ALD</w:t>
            </w:r>
          </w:p>
        </w:tc>
        <w:tc>
          <w:tcPr>
            <w:tcW w:w="7371" w:type="dxa"/>
          </w:tcPr>
          <w:p w14:paraId="03A7653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Atomic layer deposition</w:t>
            </w:r>
          </w:p>
        </w:tc>
      </w:tr>
      <w:tr w:rsidR="0011087A" w:rsidRPr="006D631C" w14:paraId="68F375CD" w14:textId="77777777" w:rsidTr="00872A50">
        <w:trPr>
          <w:trHeight w:val="454"/>
        </w:trPr>
        <w:tc>
          <w:tcPr>
            <w:tcW w:w="2263" w:type="dxa"/>
          </w:tcPr>
          <w:p w14:paraId="54D9AC3F"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TFC</w:t>
            </w:r>
          </w:p>
        </w:tc>
        <w:tc>
          <w:tcPr>
            <w:tcW w:w="7371" w:type="dxa"/>
          </w:tcPr>
          <w:p w14:paraId="3DB1CC3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Thin film composite</w:t>
            </w:r>
          </w:p>
        </w:tc>
      </w:tr>
      <w:tr w:rsidR="0011087A" w:rsidRPr="006D631C" w14:paraId="0D89CC7D" w14:textId="77777777" w:rsidTr="00872A50">
        <w:trPr>
          <w:trHeight w:val="454"/>
        </w:trPr>
        <w:tc>
          <w:tcPr>
            <w:tcW w:w="2263" w:type="dxa"/>
          </w:tcPr>
          <w:p w14:paraId="5EFB18E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AEM</w:t>
            </w:r>
          </w:p>
        </w:tc>
        <w:tc>
          <w:tcPr>
            <w:tcW w:w="7371" w:type="dxa"/>
          </w:tcPr>
          <w:p w14:paraId="61F84C0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Anion exchange membrane</w:t>
            </w:r>
          </w:p>
        </w:tc>
      </w:tr>
      <w:tr w:rsidR="0011087A" w:rsidRPr="006D631C" w14:paraId="54513033" w14:textId="77777777" w:rsidTr="00872A50">
        <w:trPr>
          <w:trHeight w:val="454"/>
        </w:trPr>
        <w:tc>
          <w:tcPr>
            <w:tcW w:w="2263" w:type="dxa"/>
          </w:tcPr>
          <w:p w14:paraId="7A769B5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TDS</w:t>
            </w:r>
          </w:p>
        </w:tc>
        <w:tc>
          <w:tcPr>
            <w:tcW w:w="7371" w:type="dxa"/>
          </w:tcPr>
          <w:p w14:paraId="33335BB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Total dissolved solid</w:t>
            </w:r>
          </w:p>
        </w:tc>
      </w:tr>
      <w:tr w:rsidR="0011087A" w:rsidRPr="006D631C" w14:paraId="12DD5CFC" w14:textId="77777777" w:rsidTr="00872A50">
        <w:trPr>
          <w:trHeight w:val="454"/>
        </w:trPr>
        <w:tc>
          <w:tcPr>
            <w:tcW w:w="2263" w:type="dxa"/>
          </w:tcPr>
          <w:p w14:paraId="49B2F66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DOC</w:t>
            </w:r>
          </w:p>
        </w:tc>
        <w:tc>
          <w:tcPr>
            <w:tcW w:w="7371" w:type="dxa"/>
          </w:tcPr>
          <w:p w14:paraId="71A2EFF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Dissolved organic carbon</w:t>
            </w:r>
          </w:p>
        </w:tc>
      </w:tr>
      <w:tr w:rsidR="0011087A" w:rsidRPr="006D631C" w14:paraId="23B1A105" w14:textId="77777777" w:rsidTr="00872A50">
        <w:trPr>
          <w:trHeight w:val="454"/>
        </w:trPr>
        <w:tc>
          <w:tcPr>
            <w:tcW w:w="2263" w:type="dxa"/>
          </w:tcPr>
          <w:p w14:paraId="5144D92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FW</w:t>
            </w:r>
          </w:p>
        </w:tc>
        <w:tc>
          <w:tcPr>
            <w:tcW w:w="7371" w:type="dxa"/>
          </w:tcPr>
          <w:p w14:paraId="594ABFE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Flow back water</w:t>
            </w:r>
          </w:p>
        </w:tc>
      </w:tr>
      <w:tr w:rsidR="0011087A" w:rsidRPr="006D631C" w14:paraId="303409FC" w14:textId="77777777" w:rsidTr="00872A50">
        <w:trPr>
          <w:trHeight w:val="454"/>
        </w:trPr>
        <w:tc>
          <w:tcPr>
            <w:tcW w:w="2263" w:type="dxa"/>
          </w:tcPr>
          <w:p w14:paraId="707AFFF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PDA</w:t>
            </w:r>
          </w:p>
        </w:tc>
        <w:tc>
          <w:tcPr>
            <w:tcW w:w="7371" w:type="dxa"/>
          </w:tcPr>
          <w:p w14:paraId="39BA03E4"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Polydopamine</w:t>
            </w:r>
            <w:proofErr w:type="spellEnd"/>
          </w:p>
        </w:tc>
      </w:tr>
      <w:tr w:rsidR="0011087A" w:rsidRPr="006D631C" w14:paraId="44666E16" w14:textId="77777777" w:rsidTr="00872A50">
        <w:trPr>
          <w:trHeight w:val="454"/>
        </w:trPr>
        <w:tc>
          <w:tcPr>
            <w:tcW w:w="2263" w:type="dxa"/>
          </w:tcPr>
          <w:p w14:paraId="576FDF5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CEES</w:t>
            </w:r>
          </w:p>
        </w:tc>
        <w:tc>
          <w:tcPr>
            <w:tcW w:w="7371" w:type="dxa"/>
          </w:tcPr>
          <w:p w14:paraId="79D6E6F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2-Chloroethyl ethyl sulfide</w:t>
            </w:r>
          </w:p>
        </w:tc>
      </w:tr>
      <w:tr w:rsidR="0011087A" w:rsidRPr="006D631C" w14:paraId="641A877E" w14:textId="77777777" w:rsidTr="00872A50">
        <w:trPr>
          <w:trHeight w:val="454"/>
        </w:trPr>
        <w:tc>
          <w:tcPr>
            <w:tcW w:w="2263" w:type="dxa"/>
          </w:tcPr>
          <w:p w14:paraId="289A273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DMMP</w:t>
            </w:r>
          </w:p>
        </w:tc>
        <w:tc>
          <w:tcPr>
            <w:tcW w:w="7371" w:type="dxa"/>
          </w:tcPr>
          <w:p w14:paraId="3CDF786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Dimethyl </w:t>
            </w:r>
            <w:proofErr w:type="spellStart"/>
            <w:r w:rsidRPr="006D631C">
              <w:rPr>
                <w:rFonts w:asciiTheme="majorBidi" w:hAnsiTheme="majorBidi" w:cstheme="majorBidi"/>
              </w:rPr>
              <w:t>methylphosphonate</w:t>
            </w:r>
            <w:proofErr w:type="spellEnd"/>
          </w:p>
        </w:tc>
      </w:tr>
      <w:tr w:rsidR="0011087A" w:rsidRPr="006D631C" w14:paraId="1CF5DEFA" w14:textId="77777777" w:rsidTr="00872A50">
        <w:trPr>
          <w:trHeight w:val="454"/>
        </w:trPr>
        <w:tc>
          <w:tcPr>
            <w:tcW w:w="2263" w:type="dxa"/>
          </w:tcPr>
          <w:p w14:paraId="68CCCD9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DOP</w:t>
            </w:r>
          </w:p>
        </w:tc>
        <w:tc>
          <w:tcPr>
            <w:tcW w:w="7371" w:type="dxa"/>
          </w:tcPr>
          <w:p w14:paraId="13F79AAF"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Dioctyl</w:t>
            </w:r>
            <w:proofErr w:type="spellEnd"/>
            <w:r w:rsidRPr="006D631C">
              <w:rPr>
                <w:rFonts w:asciiTheme="majorBidi" w:hAnsiTheme="majorBidi" w:cstheme="majorBidi"/>
              </w:rPr>
              <w:t xml:space="preserve"> phthalate</w:t>
            </w:r>
          </w:p>
        </w:tc>
      </w:tr>
      <w:tr w:rsidR="0011087A" w:rsidRPr="006D631C" w14:paraId="6DA76EA6" w14:textId="77777777" w:rsidTr="00872A50">
        <w:trPr>
          <w:trHeight w:val="454"/>
        </w:trPr>
        <w:tc>
          <w:tcPr>
            <w:tcW w:w="2263" w:type="dxa"/>
          </w:tcPr>
          <w:p w14:paraId="1F77E787"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ChO</w:t>
            </w:r>
            <w:proofErr w:type="spellEnd"/>
          </w:p>
        </w:tc>
        <w:tc>
          <w:tcPr>
            <w:tcW w:w="7371" w:type="dxa"/>
          </w:tcPr>
          <w:p w14:paraId="55F9DD3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Chemical oxidation</w:t>
            </w:r>
          </w:p>
        </w:tc>
      </w:tr>
      <w:tr w:rsidR="0011087A" w:rsidRPr="006D631C" w14:paraId="07C2601B" w14:textId="77777777" w:rsidTr="00872A50">
        <w:trPr>
          <w:trHeight w:val="454"/>
        </w:trPr>
        <w:tc>
          <w:tcPr>
            <w:tcW w:w="2263" w:type="dxa"/>
          </w:tcPr>
          <w:p w14:paraId="4B4CCBF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BCP</w:t>
            </w:r>
          </w:p>
        </w:tc>
        <w:tc>
          <w:tcPr>
            <w:tcW w:w="7371" w:type="dxa"/>
          </w:tcPr>
          <w:p w14:paraId="5C38BD4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Block copolymer</w:t>
            </w:r>
          </w:p>
        </w:tc>
      </w:tr>
      <w:tr w:rsidR="0011087A" w:rsidRPr="006D631C" w14:paraId="7C50D848" w14:textId="77777777" w:rsidTr="00872A50">
        <w:trPr>
          <w:trHeight w:val="454"/>
        </w:trPr>
        <w:tc>
          <w:tcPr>
            <w:tcW w:w="2263" w:type="dxa"/>
          </w:tcPr>
          <w:p w14:paraId="46EDA35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OMC</w:t>
            </w:r>
          </w:p>
        </w:tc>
        <w:tc>
          <w:tcPr>
            <w:tcW w:w="7371" w:type="dxa"/>
          </w:tcPr>
          <w:p w14:paraId="259FBE3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Ordered mesoporous carbon</w:t>
            </w:r>
          </w:p>
        </w:tc>
      </w:tr>
      <w:tr w:rsidR="0011087A" w:rsidRPr="006D631C" w14:paraId="1A87E447" w14:textId="77777777" w:rsidTr="00872A50">
        <w:trPr>
          <w:trHeight w:val="454"/>
        </w:trPr>
        <w:tc>
          <w:tcPr>
            <w:tcW w:w="2263" w:type="dxa"/>
          </w:tcPr>
          <w:p w14:paraId="44864AF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SWNT</w:t>
            </w:r>
          </w:p>
        </w:tc>
        <w:tc>
          <w:tcPr>
            <w:tcW w:w="7371" w:type="dxa"/>
          </w:tcPr>
          <w:p w14:paraId="6EF7265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Single-walled carbon nanotube</w:t>
            </w:r>
          </w:p>
        </w:tc>
      </w:tr>
      <w:tr w:rsidR="0011087A" w:rsidRPr="006D631C" w14:paraId="4CA984F0" w14:textId="77777777" w:rsidTr="00872A50">
        <w:trPr>
          <w:trHeight w:val="454"/>
        </w:trPr>
        <w:tc>
          <w:tcPr>
            <w:tcW w:w="2263" w:type="dxa"/>
          </w:tcPr>
          <w:p w14:paraId="6A4D42A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EP</w:t>
            </w:r>
          </w:p>
        </w:tc>
        <w:tc>
          <w:tcPr>
            <w:tcW w:w="7371" w:type="dxa"/>
          </w:tcPr>
          <w:p w14:paraId="31029F64"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Electropolymerization</w:t>
            </w:r>
            <w:proofErr w:type="spellEnd"/>
          </w:p>
        </w:tc>
      </w:tr>
      <w:tr w:rsidR="0011087A" w:rsidRPr="006D631C" w14:paraId="1D1B3AB2" w14:textId="77777777" w:rsidTr="00872A50">
        <w:trPr>
          <w:trHeight w:val="454"/>
        </w:trPr>
        <w:tc>
          <w:tcPr>
            <w:tcW w:w="2263" w:type="dxa"/>
          </w:tcPr>
          <w:p w14:paraId="1E5DBB3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PC</w:t>
            </w:r>
          </w:p>
        </w:tc>
        <w:tc>
          <w:tcPr>
            <w:tcW w:w="7371" w:type="dxa"/>
          </w:tcPr>
          <w:p w14:paraId="0CE3E029"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Polycondensation</w:t>
            </w:r>
            <w:proofErr w:type="spellEnd"/>
          </w:p>
        </w:tc>
      </w:tr>
      <w:tr w:rsidR="0011087A" w:rsidRPr="006D631C" w14:paraId="7C4A43BD" w14:textId="77777777" w:rsidTr="00872A50">
        <w:trPr>
          <w:trHeight w:val="454"/>
        </w:trPr>
        <w:tc>
          <w:tcPr>
            <w:tcW w:w="2263" w:type="dxa"/>
          </w:tcPr>
          <w:p w14:paraId="38A7822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Da</w:t>
            </w:r>
          </w:p>
        </w:tc>
        <w:tc>
          <w:tcPr>
            <w:tcW w:w="7371" w:type="dxa"/>
          </w:tcPr>
          <w:p w14:paraId="0D39C51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Dalton</w:t>
            </w:r>
          </w:p>
        </w:tc>
      </w:tr>
      <w:tr w:rsidR="0011087A" w:rsidRPr="006D631C" w14:paraId="062CBE0E" w14:textId="77777777" w:rsidTr="00872A50">
        <w:trPr>
          <w:trHeight w:val="454"/>
        </w:trPr>
        <w:tc>
          <w:tcPr>
            <w:tcW w:w="2263" w:type="dxa"/>
          </w:tcPr>
          <w:p w14:paraId="4815A1B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PNIPAM</w:t>
            </w:r>
          </w:p>
        </w:tc>
        <w:tc>
          <w:tcPr>
            <w:tcW w:w="7371" w:type="dxa"/>
          </w:tcPr>
          <w:p w14:paraId="00E9033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Poly(N-</w:t>
            </w:r>
            <w:proofErr w:type="spellStart"/>
            <w:r w:rsidRPr="006D631C">
              <w:rPr>
                <w:rFonts w:asciiTheme="majorBidi" w:hAnsiTheme="majorBidi" w:cstheme="majorBidi"/>
              </w:rPr>
              <w:t>isopropylacrylamide</w:t>
            </w:r>
            <w:proofErr w:type="spellEnd"/>
            <w:r w:rsidRPr="006D631C">
              <w:rPr>
                <w:rFonts w:asciiTheme="majorBidi" w:hAnsiTheme="majorBidi" w:cstheme="majorBidi"/>
              </w:rPr>
              <w:t>)</w:t>
            </w:r>
          </w:p>
        </w:tc>
      </w:tr>
      <w:tr w:rsidR="0011087A" w:rsidRPr="006D631C" w14:paraId="4ECEC2B8" w14:textId="77777777" w:rsidTr="00872A50">
        <w:trPr>
          <w:trHeight w:val="454"/>
        </w:trPr>
        <w:tc>
          <w:tcPr>
            <w:tcW w:w="2263" w:type="dxa"/>
          </w:tcPr>
          <w:p w14:paraId="7D83E29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lastRenderedPageBreak/>
              <w:t>LCST</w:t>
            </w:r>
          </w:p>
        </w:tc>
        <w:tc>
          <w:tcPr>
            <w:tcW w:w="7371" w:type="dxa"/>
          </w:tcPr>
          <w:p w14:paraId="4798DFC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Lowest critical solution temperature</w:t>
            </w:r>
          </w:p>
        </w:tc>
      </w:tr>
      <w:tr w:rsidR="0011087A" w:rsidRPr="006D631C" w14:paraId="6472811D" w14:textId="77777777" w:rsidTr="00872A50">
        <w:trPr>
          <w:trHeight w:val="454"/>
        </w:trPr>
        <w:tc>
          <w:tcPr>
            <w:tcW w:w="2263" w:type="dxa"/>
          </w:tcPr>
          <w:p w14:paraId="6D10E15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PDMS</w:t>
            </w:r>
          </w:p>
        </w:tc>
        <w:tc>
          <w:tcPr>
            <w:tcW w:w="7371" w:type="dxa"/>
          </w:tcPr>
          <w:p w14:paraId="3BA2826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Polydimethylsiloxane</w:t>
            </w:r>
          </w:p>
        </w:tc>
      </w:tr>
      <w:tr w:rsidR="0011087A" w:rsidRPr="006D631C" w14:paraId="684BCADC" w14:textId="77777777" w:rsidTr="00872A50">
        <w:trPr>
          <w:trHeight w:val="454"/>
        </w:trPr>
        <w:tc>
          <w:tcPr>
            <w:tcW w:w="2263" w:type="dxa"/>
          </w:tcPr>
          <w:p w14:paraId="17D0167F"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POSS</w:t>
            </w:r>
          </w:p>
        </w:tc>
        <w:tc>
          <w:tcPr>
            <w:tcW w:w="7371" w:type="dxa"/>
          </w:tcPr>
          <w:p w14:paraId="24FBBB4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Polyhedral </w:t>
            </w:r>
            <w:proofErr w:type="spellStart"/>
            <w:r w:rsidRPr="006D631C">
              <w:rPr>
                <w:rFonts w:asciiTheme="majorBidi" w:hAnsiTheme="majorBidi" w:cstheme="majorBidi"/>
              </w:rPr>
              <w:t>oligomeric</w:t>
            </w:r>
            <w:proofErr w:type="spellEnd"/>
            <w:r w:rsidRPr="006D631C">
              <w:rPr>
                <w:rFonts w:asciiTheme="majorBidi" w:hAnsiTheme="majorBidi" w:cstheme="majorBidi"/>
              </w:rPr>
              <w:t xml:space="preserve"> </w:t>
            </w:r>
            <w:proofErr w:type="spellStart"/>
            <w:r w:rsidRPr="006D631C">
              <w:rPr>
                <w:rFonts w:asciiTheme="majorBidi" w:hAnsiTheme="majorBidi" w:cstheme="majorBidi"/>
              </w:rPr>
              <w:t>silsesquioxane</w:t>
            </w:r>
            <w:proofErr w:type="spellEnd"/>
          </w:p>
        </w:tc>
      </w:tr>
      <w:tr w:rsidR="0011087A" w:rsidRPr="006D631C" w14:paraId="657784FD" w14:textId="77777777" w:rsidTr="00872A50">
        <w:trPr>
          <w:trHeight w:val="454"/>
        </w:trPr>
        <w:tc>
          <w:tcPr>
            <w:tcW w:w="2263" w:type="dxa"/>
          </w:tcPr>
          <w:p w14:paraId="3EB24BB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MNP</w:t>
            </w:r>
          </w:p>
        </w:tc>
        <w:tc>
          <w:tcPr>
            <w:tcW w:w="7371" w:type="dxa"/>
          </w:tcPr>
          <w:p w14:paraId="5910682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Molecular nanoparticle</w:t>
            </w:r>
          </w:p>
        </w:tc>
      </w:tr>
      <w:tr w:rsidR="0011087A" w:rsidRPr="006D631C" w14:paraId="77B6B697" w14:textId="77777777" w:rsidTr="00872A50">
        <w:trPr>
          <w:trHeight w:val="454"/>
        </w:trPr>
        <w:tc>
          <w:tcPr>
            <w:tcW w:w="2263" w:type="dxa"/>
          </w:tcPr>
          <w:p w14:paraId="3535D74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MW</w:t>
            </w:r>
          </w:p>
        </w:tc>
        <w:tc>
          <w:tcPr>
            <w:tcW w:w="7371" w:type="dxa"/>
          </w:tcPr>
          <w:p w14:paraId="6D913BF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Molecular weight</w:t>
            </w:r>
          </w:p>
        </w:tc>
      </w:tr>
      <w:tr w:rsidR="0011087A" w:rsidRPr="006D631C" w14:paraId="2443CD05" w14:textId="77777777" w:rsidTr="00872A50">
        <w:trPr>
          <w:trHeight w:val="454"/>
        </w:trPr>
        <w:tc>
          <w:tcPr>
            <w:tcW w:w="2263" w:type="dxa"/>
          </w:tcPr>
          <w:p w14:paraId="3787B7D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PEG</w:t>
            </w:r>
          </w:p>
        </w:tc>
        <w:tc>
          <w:tcPr>
            <w:tcW w:w="7371" w:type="dxa"/>
          </w:tcPr>
          <w:p w14:paraId="6CA5809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Poly(ethylene glycol)</w:t>
            </w:r>
          </w:p>
        </w:tc>
      </w:tr>
      <w:tr w:rsidR="0011087A" w:rsidRPr="006D631C" w14:paraId="5E5D6E06" w14:textId="77777777" w:rsidTr="00872A50">
        <w:trPr>
          <w:trHeight w:val="454"/>
        </w:trPr>
        <w:tc>
          <w:tcPr>
            <w:tcW w:w="2263" w:type="dxa"/>
          </w:tcPr>
          <w:p w14:paraId="581D057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NIPS</w:t>
            </w:r>
          </w:p>
        </w:tc>
        <w:tc>
          <w:tcPr>
            <w:tcW w:w="7371" w:type="dxa"/>
          </w:tcPr>
          <w:p w14:paraId="6C679F7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Non-solvent induced phase separation</w:t>
            </w:r>
          </w:p>
        </w:tc>
      </w:tr>
      <w:tr w:rsidR="0011087A" w:rsidRPr="006D631C" w14:paraId="482204E5" w14:textId="77777777" w:rsidTr="00872A50">
        <w:trPr>
          <w:trHeight w:val="454"/>
        </w:trPr>
        <w:tc>
          <w:tcPr>
            <w:tcW w:w="2263" w:type="dxa"/>
          </w:tcPr>
          <w:p w14:paraId="4152B545"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nBA</w:t>
            </w:r>
            <w:proofErr w:type="spellEnd"/>
          </w:p>
        </w:tc>
        <w:tc>
          <w:tcPr>
            <w:tcW w:w="7371" w:type="dxa"/>
          </w:tcPr>
          <w:p w14:paraId="1D00F0C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n-Butyl acrylate</w:t>
            </w:r>
          </w:p>
        </w:tc>
      </w:tr>
      <w:tr w:rsidR="0011087A" w:rsidRPr="006D631C" w14:paraId="3D018692" w14:textId="77777777" w:rsidTr="00872A50">
        <w:trPr>
          <w:trHeight w:val="454"/>
        </w:trPr>
        <w:tc>
          <w:tcPr>
            <w:tcW w:w="2263" w:type="dxa"/>
          </w:tcPr>
          <w:p w14:paraId="5C228FA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EGDMA</w:t>
            </w:r>
          </w:p>
        </w:tc>
        <w:tc>
          <w:tcPr>
            <w:tcW w:w="7371" w:type="dxa"/>
          </w:tcPr>
          <w:p w14:paraId="34EE821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Ethylene glycol </w:t>
            </w:r>
            <w:proofErr w:type="spellStart"/>
            <w:r w:rsidRPr="006D631C">
              <w:rPr>
                <w:rFonts w:asciiTheme="majorBidi" w:hAnsiTheme="majorBidi" w:cstheme="majorBidi"/>
              </w:rPr>
              <w:t>dimethacrylate</w:t>
            </w:r>
            <w:proofErr w:type="spellEnd"/>
          </w:p>
        </w:tc>
      </w:tr>
      <w:tr w:rsidR="0011087A" w:rsidRPr="006D631C" w14:paraId="3BBF7BBE" w14:textId="77777777" w:rsidTr="00872A50">
        <w:trPr>
          <w:trHeight w:val="454"/>
        </w:trPr>
        <w:tc>
          <w:tcPr>
            <w:tcW w:w="2263" w:type="dxa"/>
          </w:tcPr>
          <w:p w14:paraId="7E945D3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IFW</w:t>
            </w:r>
          </w:p>
        </w:tc>
        <w:tc>
          <w:tcPr>
            <w:tcW w:w="7371" w:type="dxa"/>
          </w:tcPr>
          <w:p w14:paraId="1CC7E59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Initiation from water</w:t>
            </w:r>
          </w:p>
        </w:tc>
      </w:tr>
      <w:tr w:rsidR="0011087A" w:rsidRPr="006D631C" w14:paraId="5BFC244E" w14:textId="77777777" w:rsidTr="00872A50">
        <w:trPr>
          <w:trHeight w:val="454"/>
        </w:trPr>
        <w:tc>
          <w:tcPr>
            <w:tcW w:w="2263" w:type="dxa"/>
          </w:tcPr>
          <w:p w14:paraId="3BFAF01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IFO</w:t>
            </w:r>
          </w:p>
        </w:tc>
        <w:tc>
          <w:tcPr>
            <w:tcW w:w="7371" w:type="dxa"/>
          </w:tcPr>
          <w:p w14:paraId="24DA0B9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Initiation from oil</w:t>
            </w:r>
          </w:p>
        </w:tc>
      </w:tr>
      <w:tr w:rsidR="0011087A" w:rsidRPr="006D631C" w14:paraId="14A509EE" w14:textId="77777777" w:rsidTr="00872A50">
        <w:trPr>
          <w:trHeight w:val="454"/>
        </w:trPr>
        <w:tc>
          <w:tcPr>
            <w:tcW w:w="2263" w:type="dxa"/>
          </w:tcPr>
          <w:p w14:paraId="7309ACD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APS</w:t>
            </w:r>
          </w:p>
        </w:tc>
        <w:tc>
          <w:tcPr>
            <w:tcW w:w="7371" w:type="dxa"/>
          </w:tcPr>
          <w:p w14:paraId="55395CA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Ammonium persulfate</w:t>
            </w:r>
          </w:p>
        </w:tc>
      </w:tr>
      <w:tr w:rsidR="0011087A" w:rsidRPr="006D631C" w14:paraId="51E64ABB" w14:textId="77777777" w:rsidTr="00872A50">
        <w:trPr>
          <w:trHeight w:val="454"/>
        </w:trPr>
        <w:tc>
          <w:tcPr>
            <w:tcW w:w="2263" w:type="dxa"/>
          </w:tcPr>
          <w:p w14:paraId="1A7AA1F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AIBN</w:t>
            </w:r>
          </w:p>
        </w:tc>
        <w:tc>
          <w:tcPr>
            <w:tcW w:w="7371" w:type="dxa"/>
          </w:tcPr>
          <w:p w14:paraId="6DA4448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Azobisisobutyronitrile</w:t>
            </w:r>
          </w:p>
        </w:tc>
      </w:tr>
      <w:tr w:rsidR="0011087A" w:rsidRPr="006D631C" w14:paraId="727BA768" w14:textId="77777777" w:rsidTr="00872A50">
        <w:trPr>
          <w:trHeight w:val="454"/>
        </w:trPr>
        <w:tc>
          <w:tcPr>
            <w:tcW w:w="2263" w:type="dxa"/>
          </w:tcPr>
          <w:p w14:paraId="0ACDD7A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BPO</w:t>
            </w:r>
          </w:p>
        </w:tc>
        <w:tc>
          <w:tcPr>
            <w:tcW w:w="7371" w:type="dxa"/>
          </w:tcPr>
          <w:p w14:paraId="15D6F4D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Benzoyl peroxide</w:t>
            </w:r>
          </w:p>
        </w:tc>
      </w:tr>
      <w:tr w:rsidR="0011087A" w:rsidRPr="006D631C" w14:paraId="075E11FE" w14:textId="77777777" w:rsidTr="00872A50">
        <w:trPr>
          <w:trHeight w:val="454"/>
        </w:trPr>
        <w:tc>
          <w:tcPr>
            <w:tcW w:w="2263" w:type="dxa"/>
          </w:tcPr>
          <w:p w14:paraId="0CD22FA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DI</w:t>
            </w:r>
          </w:p>
        </w:tc>
        <w:tc>
          <w:tcPr>
            <w:tcW w:w="7371" w:type="dxa"/>
          </w:tcPr>
          <w:p w14:paraId="767BD31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Deionized water</w:t>
            </w:r>
          </w:p>
        </w:tc>
      </w:tr>
      <w:tr w:rsidR="0011087A" w:rsidRPr="006D631C" w14:paraId="5349A2B2" w14:textId="77777777" w:rsidTr="00872A50">
        <w:trPr>
          <w:trHeight w:val="454"/>
        </w:trPr>
        <w:tc>
          <w:tcPr>
            <w:tcW w:w="2263" w:type="dxa"/>
          </w:tcPr>
          <w:p w14:paraId="3EE501D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1D</w:t>
            </w:r>
          </w:p>
        </w:tc>
        <w:tc>
          <w:tcPr>
            <w:tcW w:w="7371" w:type="dxa"/>
          </w:tcPr>
          <w:p w14:paraId="728429EF"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One dimensional</w:t>
            </w:r>
          </w:p>
        </w:tc>
      </w:tr>
      <w:tr w:rsidR="0011087A" w:rsidRPr="006D631C" w14:paraId="03F5D751" w14:textId="77777777" w:rsidTr="00872A50">
        <w:trPr>
          <w:trHeight w:val="454"/>
        </w:trPr>
        <w:tc>
          <w:tcPr>
            <w:tcW w:w="2263" w:type="dxa"/>
          </w:tcPr>
          <w:p w14:paraId="4AF35DA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2D</w:t>
            </w:r>
          </w:p>
        </w:tc>
        <w:tc>
          <w:tcPr>
            <w:tcW w:w="7371" w:type="dxa"/>
          </w:tcPr>
          <w:p w14:paraId="755CCB7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Two dimensional</w:t>
            </w:r>
          </w:p>
        </w:tc>
      </w:tr>
      <w:tr w:rsidR="0011087A" w:rsidRPr="006D631C" w14:paraId="035183E1" w14:textId="77777777" w:rsidTr="00872A50">
        <w:trPr>
          <w:trHeight w:val="454"/>
        </w:trPr>
        <w:tc>
          <w:tcPr>
            <w:tcW w:w="2263" w:type="dxa"/>
          </w:tcPr>
          <w:p w14:paraId="0951FE7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3D</w:t>
            </w:r>
          </w:p>
        </w:tc>
        <w:tc>
          <w:tcPr>
            <w:tcW w:w="7371" w:type="dxa"/>
          </w:tcPr>
          <w:p w14:paraId="299CE6D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Three dimensional</w:t>
            </w:r>
          </w:p>
        </w:tc>
      </w:tr>
      <w:tr w:rsidR="0011087A" w:rsidRPr="006D631C" w14:paraId="40FC8B25" w14:textId="77777777" w:rsidTr="00872A50">
        <w:trPr>
          <w:trHeight w:val="454"/>
        </w:trPr>
        <w:tc>
          <w:tcPr>
            <w:tcW w:w="2263" w:type="dxa"/>
          </w:tcPr>
          <w:p w14:paraId="693D0F2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DSC</w:t>
            </w:r>
          </w:p>
        </w:tc>
        <w:tc>
          <w:tcPr>
            <w:tcW w:w="7371" w:type="dxa"/>
          </w:tcPr>
          <w:p w14:paraId="667C134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Differential scanning calorimetry</w:t>
            </w:r>
          </w:p>
        </w:tc>
      </w:tr>
      <w:tr w:rsidR="0011087A" w:rsidRPr="006D631C" w14:paraId="7278CAFC" w14:textId="77777777" w:rsidTr="00872A50">
        <w:trPr>
          <w:trHeight w:val="454"/>
        </w:trPr>
        <w:tc>
          <w:tcPr>
            <w:tcW w:w="2263" w:type="dxa"/>
          </w:tcPr>
          <w:p w14:paraId="3372EA0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rPr>
              <w:t>Q</w:t>
            </w:r>
            <w:r w:rsidRPr="006D631C">
              <w:rPr>
                <w:rFonts w:asciiTheme="majorBidi" w:hAnsiTheme="majorBidi" w:cstheme="majorBidi"/>
              </w:rPr>
              <w:t>(</w:t>
            </w:r>
            <w:r w:rsidRPr="006D631C">
              <w:rPr>
                <w:rFonts w:asciiTheme="majorBidi" w:hAnsiTheme="majorBidi" w:cstheme="majorBidi"/>
                <w:i/>
              </w:rPr>
              <w:t>t</w:t>
            </w:r>
            <w:r w:rsidRPr="006D631C">
              <w:rPr>
                <w:rFonts w:asciiTheme="majorBidi" w:hAnsiTheme="majorBidi" w:cstheme="majorBidi"/>
              </w:rPr>
              <w:t>)</w:t>
            </w:r>
          </w:p>
        </w:tc>
        <w:tc>
          <w:tcPr>
            <w:tcW w:w="7371" w:type="dxa"/>
          </w:tcPr>
          <w:p w14:paraId="5A89C5D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Heat flow obtained from DSC analysis</w:t>
            </w:r>
          </w:p>
        </w:tc>
      </w:tr>
      <w:tr w:rsidR="0011087A" w:rsidRPr="006D631C" w14:paraId="16132B55" w14:textId="77777777" w:rsidTr="00872A50">
        <w:trPr>
          <w:trHeight w:val="454"/>
        </w:trPr>
        <w:tc>
          <w:tcPr>
            <w:tcW w:w="2263" w:type="dxa"/>
          </w:tcPr>
          <w:p w14:paraId="1F10109F"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i/>
                <w:iCs/>
              </w:rPr>
              <w:t>R</w:t>
            </w:r>
            <w:r w:rsidRPr="006D631C">
              <w:rPr>
                <w:rFonts w:asciiTheme="majorBidi" w:hAnsiTheme="majorBidi" w:cstheme="majorBidi"/>
                <w:i/>
                <w:iCs/>
                <w:vertAlign w:val="subscript"/>
              </w:rPr>
              <w:t>p</w:t>
            </w:r>
            <w:proofErr w:type="spellEnd"/>
          </w:p>
        </w:tc>
        <w:tc>
          <w:tcPr>
            <w:tcW w:w="7371" w:type="dxa"/>
          </w:tcPr>
          <w:p w14:paraId="465A6CF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Polymerization rate</w:t>
            </w:r>
          </w:p>
        </w:tc>
      </w:tr>
      <w:tr w:rsidR="0011087A" w:rsidRPr="006D631C" w14:paraId="29830BA9" w14:textId="77777777" w:rsidTr="00872A50">
        <w:trPr>
          <w:trHeight w:val="454"/>
        </w:trPr>
        <w:tc>
          <w:tcPr>
            <w:tcW w:w="2263" w:type="dxa"/>
          </w:tcPr>
          <w:p w14:paraId="7872090F"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i/>
                <w:iCs/>
              </w:rPr>
              <w:t>Q</w:t>
            </w:r>
            <w:r w:rsidRPr="006D631C">
              <w:rPr>
                <w:rFonts w:asciiTheme="majorBidi" w:hAnsiTheme="majorBidi" w:cstheme="majorBidi"/>
                <w:i/>
                <w:iCs/>
                <w:vertAlign w:val="subscript"/>
              </w:rPr>
              <w:t>monomer</w:t>
            </w:r>
            <w:proofErr w:type="spellEnd"/>
          </w:p>
        </w:tc>
        <w:tc>
          <w:tcPr>
            <w:tcW w:w="7371" w:type="dxa"/>
          </w:tcPr>
          <w:p w14:paraId="49D2729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Theoretical heat of reaction of monomer</w:t>
            </w:r>
          </w:p>
        </w:tc>
      </w:tr>
      <w:tr w:rsidR="0011087A" w:rsidRPr="006D631C" w14:paraId="721FAC83" w14:textId="77777777" w:rsidTr="00872A50">
        <w:trPr>
          <w:trHeight w:val="454"/>
        </w:trPr>
        <w:tc>
          <w:tcPr>
            <w:tcW w:w="2263" w:type="dxa"/>
          </w:tcPr>
          <w:p w14:paraId="23630F17"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i/>
                <w:iCs/>
              </w:rPr>
              <w:t>Q</w:t>
            </w:r>
            <w:r w:rsidRPr="006D631C">
              <w:rPr>
                <w:rFonts w:asciiTheme="majorBidi" w:hAnsiTheme="majorBidi" w:cstheme="majorBidi"/>
                <w:i/>
                <w:iCs/>
                <w:vertAlign w:val="subscript"/>
              </w:rPr>
              <w:t>crosslinker</w:t>
            </w:r>
            <w:proofErr w:type="spellEnd"/>
          </w:p>
        </w:tc>
        <w:tc>
          <w:tcPr>
            <w:tcW w:w="7371" w:type="dxa"/>
          </w:tcPr>
          <w:p w14:paraId="2A469DC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Theoretical heat of reaction of </w:t>
            </w:r>
            <w:proofErr w:type="spellStart"/>
            <w:r w:rsidRPr="006D631C">
              <w:rPr>
                <w:rFonts w:asciiTheme="majorBidi" w:hAnsiTheme="majorBidi" w:cstheme="majorBidi"/>
              </w:rPr>
              <w:t>crosslinker</w:t>
            </w:r>
            <w:proofErr w:type="spellEnd"/>
          </w:p>
        </w:tc>
      </w:tr>
      <w:tr w:rsidR="0011087A" w:rsidRPr="006D631C" w14:paraId="3E0F2DD1" w14:textId="77777777" w:rsidTr="00872A50">
        <w:trPr>
          <w:trHeight w:val="454"/>
        </w:trPr>
        <w:tc>
          <w:tcPr>
            <w:tcW w:w="2263" w:type="dxa"/>
          </w:tcPr>
          <w:p w14:paraId="442A19E5"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M</w:t>
            </w:r>
          </w:p>
        </w:tc>
        <w:tc>
          <w:tcPr>
            <w:tcW w:w="7371" w:type="dxa"/>
          </w:tcPr>
          <w:p w14:paraId="1E304D3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Molar mass of monomer or </w:t>
            </w:r>
            <w:proofErr w:type="spellStart"/>
            <w:r w:rsidRPr="006D631C">
              <w:rPr>
                <w:rFonts w:asciiTheme="majorBidi" w:hAnsiTheme="majorBidi" w:cstheme="majorBidi"/>
              </w:rPr>
              <w:t>crosslinker</w:t>
            </w:r>
            <w:proofErr w:type="spellEnd"/>
          </w:p>
        </w:tc>
      </w:tr>
      <w:tr w:rsidR="0011087A" w:rsidRPr="006D631C" w14:paraId="030FDE2D" w14:textId="77777777" w:rsidTr="00872A50">
        <w:trPr>
          <w:trHeight w:val="454"/>
        </w:trPr>
        <w:tc>
          <w:tcPr>
            <w:tcW w:w="2263" w:type="dxa"/>
          </w:tcPr>
          <w:p w14:paraId="675D87E9"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Cs/>
              </w:rPr>
              <w:t>[</w:t>
            </w:r>
            <w:r w:rsidRPr="006D631C">
              <w:rPr>
                <w:rFonts w:asciiTheme="majorBidi" w:hAnsiTheme="majorBidi" w:cstheme="majorBidi"/>
                <w:i/>
                <w:iCs/>
              </w:rPr>
              <w:t>M</w:t>
            </w:r>
            <w:r w:rsidRPr="006D631C">
              <w:rPr>
                <w:rFonts w:asciiTheme="majorBidi" w:hAnsiTheme="majorBidi" w:cstheme="majorBidi"/>
                <w:iCs/>
              </w:rPr>
              <w:t>]</w:t>
            </w:r>
            <w:r w:rsidRPr="006D631C">
              <w:rPr>
                <w:rFonts w:asciiTheme="majorBidi" w:hAnsiTheme="majorBidi" w:cstheme="majorBidi"/>
                <w:iCs/>
                <w:vertAlign w:val="subscript"/>
              </w:rPr>
              <w:t>0</w:t>
            </w:r>
          </w:p>
        </w:tc>
        <w:tc>
          <w:tcPr>
            <w:tcW w:w="7371" w:type="dxa"/>
          </w:tcPr>
          <w:p w14:paraId="0A33DF7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Initial concentration of monomer or </w:t>
            </w:r>
            <w:proofErr w:type="spellStart"/>
            <w:r w:rsidRPr="006D631C">
              <w:rPr>
                <w:rFonts w:asciiTheme="majorBidi" w:hAnsiTheme="majorBidi" w:cstheme="majorBidi"/>
              </w:rPr>
              <w:t>crosslinker</w:t>
            </w:r>
            <w:proofErr w:type="spellEnd"/>
          </w:p>
        </w:tc>
      </w:tr>
      <w:tr w:rsidR="0011087A" w:rsidRPr="006D631C" w14:paraId="1E6EDF89" w14:textId="77777777" w:rsidTr="00872A50">
        <w:trPr>
          <w:trHeight w:val="454"/>
        </w:trPr>
        <w:tc>
          <w:tcPr>
            <w:tcW w:w="2263" w:type="dxa"/>
          </w:tcPr>
          <w:p w14:paraId="12CB1BF3" w14:textId="77777777" w:rsidR="0011087A" w:rsidRPr="006D631C" w:rsidRDefault="0011087A" w:rsidP="00872A50">
            <w:pPr>
              <w:jc w:val="left"/>
              <w:rPr>
                <w:rFonts w:asciiTheme="majorBidi" w:hAnsiTheme="majorBidi" w:cstheme="majorBidi"/>
                <w:i/>
                <w:iCs/>
              </w:rPr>
            </w:pPr>
            <w:proofErr w:type="spellStart"/>
            <w:r w:rsidRPr="006D631C">
              <w:rPr>
                <w:rFonts w:asciiTheme="majorBidi" w:hAnsiTheme="majorBidi" w:cstheme="majorBidi"/>
                <w:i/>
                <w:iCs/>
              </w:rPr>
              <w:lastRenderedPageBreak/>
              <w:t>ΔH</w:t>
            </w:r>
            <w:r w:rsidRPr="006D631C">
              <w:rPr>
                <w:rFonts w:asciiTheme="majorBidi" w:hAnsiTheme="majorBidi" w:cstheme="majorBidi"/>
                <w:i/>
                <w:iCs/>
                <w:vertAlign w:val="subscript"/>
              </w:rPr>
              <w:t>p</w:t>
            </w:r>
            <w:proofErr w:type="spellEnd"/>
          </w:p>
        </w:tc>
        <w:tc>
          <w:tcPr>
            <w:tcW w:w="7371" w:type="dxa"/>
          </w:tcPr>
          <w:p w14:paraId="14FBE43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Theoretical reaction enthalpy </w:t>
            </w:r>
          </w:p>
        </w:tc>
      </w:tr>
      <w:tr w:rsidR="0011087A" w:rsidRPr="006D631C" w14:paraId="2FC68573" w14:textId="77777777" w:rsidTr="00872A50">
        <w:trPr>
          <w:trHeight w:val="454"/>
        </w:trPr>
        <w:tc>
          <w:tcPr>
            <w:tcW w:w="2263" w:type="dxa"/>
          </w:tcPr>
          <w:p w14:paraId="1E823E2C"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n</w:t>
            </w:r>
          </w:p>
        </w:tc>
        <w:tc>
          <w:tcPr>
            <w:tcW w:w="7371" w:type="dxa"/>
          </w:tcPr>
          <w:p w14:paraId="0597E8B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Functionality of monomer or </w:t>
            </w:r>
            <w:proofErr w:type="spellStart"/>
            <w:r w:rsidRPr="006D631C">
              <w:rPr>
                <w:rFonts w:asciiTheme="majorBidi" w:hAnsiTheme="majorBidi" w:cstheme="majorBidi"/>
              </w:rPr>
              <w:t>crosslinker</w:t>
            </w:r>
            <w:proofErr w:type="spellEnd"/>
          </w:p>
        </w:tc>
      </w:tr>
      <w:tr w:rsidR="0011087A" w:rsidRPr="006D631C" w14:paraId="47119692" w14:textId="77777777" w:rsidTr="00872A50">
        <w:trPr>
          <w:trHeight w:val="454"/>
        </w:trPr>
        <w:tc>
          <w:tcPr>
            <w:tcW w:w="2263" w:type="dxa"/>
          </w:tcPr>
          <w:p w14:paraId="6DFA5AA0"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m</w:t>
            </w:r>
          </w:p>
        </w:tc>
        <w:tc>
          <w:tcPr>
            <w:tcW w:w="7371" w:type="dxa"/>
          </w:tcPr>
          <w:p w14:paraId="3873A1C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 xml:space="preserve">Total mass of monomer or </w:t>
            </w:r>
            <w:proofErr w:type="spellStart"/>
            <w:r w:rsidRPr="006D631C">
              <w:rPr>
                <w:rFonts w:asciiTheme="majorBidi" w:hAnsiTheme="majorBidi" w:cstheme="majorBidi"/>
              </w:rPr>
              <w:t>crosslinker</w:t>
            </w:r>
            <w:proofErr w:type="spellEnd"/>
          </w:p>
        </w:tc>
      </w:tr>
      <w:tr w:rsidR="0011087A" w:rsidRPr="006D631C" w14:paraId="359BCCA7" w14:textId="77777777" w:rsidTr="00872A50">
        <w:trPr>
          <w:trHeight w:val="454"/>
        </w:trPr>
        <w:tc>
          <w:tcPr>
            <w:tcW w:w="2263" w:type="dxa"/>
          </w:tcPr>
          <w:p w14:paraId="08CA4BFD"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p</w:t>
            </w:r>
          </w:p>
        </w:tc>
        <w:tc>
          <w:tcPr>
            <w:tcW w:w="7371" w:type="dxa"/>
          </w:tcPr>
          <w:p w14:paraId="53D1E06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Monomer conversion</w:t>
            </w:r>
          </w:p>
        </w:tc>
      </w:tr>
      <w:tr w:rsidR="0011087A" w:rsidRPr="006D631C" w14:paraId="6A227E72" w14:textId="77777777" w:rsidTr="00872A50">
        <w:trPr>
          <w:trHeight w:val="454"/>
        </w:trPr>
        <w:tc>
          <w:tcPr>
            <w:tcW w:w="2263" w:type="dxa"/>
          </w:tcPr>
          <w:p w14:paraId="350703B3" w14:textId="77777777" w:rsidR="0011087A" w:rsidRPr="006D631C" w:rsidRDefault="0011087A" w:rsidP="00872A50">
            <w:pPr>
              <w:jc w:val="left"/>
              <w:rPr>
                <w:rFonts w:asciiTheme="majorBidi" w:hAnsiTheme="majorBidi" w:cstheme="majorBidi"/>
                <w:i/>
                <w:iCs/>
              </w:rPr>
            </w:pPr>
            <w:proofErr w:type="spellStart"/>
            <w:r w:rsidRPr="006D631C">
              <w:rPr>
                <w:rFonts w:asciiTheme="majorBidi" w:hAnsiTheme="majorBidi" w:cstheme="majorBidi"/>
                <w:i/>
                <w:iCs/>
                <w:sz w:val="24"/>
                <w:szCs w:val="24"/>
              </w:rPr>
              <w:t>ϕ</w:t>
            </w:r>
            <w:r w:rsidRPr="006D631C">
              <w:rPr>
                <w:rFonts w:asciiTheme="majorBidi" w:hAnsiTheme="majorBidi" w:cstheme="majorBidi"/>
                <w:i/>
                <w:iCs/>
                <w:sz w:val="24"/>
                <w:szCs w:val="24"/>
                <w:vertAlign w:val="subscript"/>
              </w:rPr>
              <w:t>Oil</w:t>
            </w:r>
            <w:proofErr w:type="spellEnd"/>
          </w:p>
        </w:tc>
        <w:tc>
          <w:tcPr>
            <w:tcW w:w="7371" w:type="dxa"/>
          </w:tcPr>
          <w:p w14:paraId="6925CC7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oil</w:t>
            </w:r>
          </w:p>
        </w:tc>
      </w:tr>
      <w:tr w:rsidR="0011087A" w:rsidRPr="006D631C" w14:paraId="5EF8485F" w14:textId="77777777" w:rsidTr="00872A50">
        <w:trPr>
          <w:trHeight w:val="454"/>
        </w:trPr>
        <w:tc>
          <w:tcPr>
            <w:tcW w:w="2263" w:type="dxa"/>
          </w:tcPr>
          <w:p w14:paraId="4859CD9B" w14:textId="77777777" w:rsidR="0011087A" w:rsidRPr="006D631C" w:rsidRDefault="0011087A" w:rsidP="00872A50">
            <w:pPr>
              <w:jc w:val="left"/>
              <w:rPr>
                <w:rFonts w:asciiTheme="majorBidi" w:hAnsiTheme="majorBidi" w:cstheme="majorBidi"/>
                <w:i/>
                <w:iCs/>
              </w:rPr>
            </w:pPr>
            <w:proofErr w:type="spellStart"/>
            <w:r w:rsidRPr="006D631C">
              <w:rPr>
                <w:rFonts w:asciiTheme="majorBidi" w:hAnsiTheme="majorBidi" w:cstheme="majorBidi"/>
                <w:i/>
                <w:iCs/>
                <w:sz w:val="24"/>
                <w:szCs w:val="24"/>
              </w:rPr>
              <w:t>ϕ</w:t>
            </w:r>
            <w:r w:rsidRPr="006D631C">
              <w:rPr>
                <w:rFonts w:asciiTheme="majorBidi" w:hAnsiTheme="majorBidi" w:cstheme="majorBidi"/>
                <w:i/>
                <w:iCs/>
                <w:sz w:val="24"/>
                <w:szCs w:val="24"/>
                <w:vertAlign w:val="subscript"/>
              </w:rPr>
              <w:t>Pluronic</w:t>
            </w:r>
            <w:proofErr w:type="spellEnd"/>
          </w:p>
        </w:tc>
        <w:tc>
          <w:tcPr>
            <w:tcW w:w="7371" w:type="dxa"/>
          </w:tcPr>
          <w:p w14:paraId="3831864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Pluronic</w:t>
            </w:r>
          </w:p>
        </w:tc>
      </w:tr>
      <w:tr w:rsidR="0011087A" w:rsidRPr="006D631C" w14:paraId="56856EC6" w14:textId="77777777" w:rsidTr="00872A50">
        <w:trPr>
          <w:trHeight w:val="454"/>
        </w:trPr>
        <w:tc>
          <w:tcPr>
            <w:tcW w:w="2263" w:type="dxa"/>
          </w:tcPr>
          <w:p w14:paraId="75FD5FC4" w14:textId="77777777" w:rsidR="0011087A" w:rsidRPr="006D631C" w:rsidRDefault="0011087A" w:rsidP="00872A50">
            <w:pPr>
              <w:jc w:val="left"/>
              <w:rPr>
                <w:rFonts w:asciiTheme="majorBidi" w:hAnsiTheme="majorBidi" w:cstheme="majorBidi"/>
                <w:i/>
                <w:iCs/>
              </w:rPr>
            </w:pPr>
            <w:proofErr w:type="spellStart"/>
            <w:r w:rsidRPr="006D631C">
              <w:rPr>
                <w:rFonts w:asciiTheme="majorBidi" w:hAnsiTheme="majorBidi" w:cstheme="majorBidi"/>
                <w:i/>
                <w:iCs/>
                <w:sz w:val="24"/>
                <w:szCs w:val="24"/>
              </w:rPr>
              <w:t>ϕ</w:t>
            </w:r>
            <w:r w:rsidRPr="006D631C">
              <w:rPr>
                <w:rFonts w:asciiTheme="majorBidi" w:hAnsiTheme="majorBidi" w:cstheme="majorBidi"/>
                <w:i/>
                <w:iCs/>
                <w:sz w:val="24"/>
                <w:szCs w:val="24"/>
                <w:vertAlign w:val="subscript"/>
              </w:rPr>
              <w:t>Water</w:t>
            </w:r>
            <w:proofErr w:type="spellEnd"/>
          </w:p>
        </w:tc>
        <w:tc>
          <w:tcPr>
            <w:tcW w:w="7371" w:type="dxa"/>
          </w:tcPr>
          <w:p w14:paraId="144FDAB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water</w:t>
            </w:r>
          </w:p>
        </w:tc>
      </w:tr>
      <w:tr w:rsidR="0011087A" w:rsidRPr="006D631C" w14:paraId="6FED5698" w14:textId="77777777" w:rsidTr="00872A50">
        <w:trPr>
          <w:trHeight w:val="454"/>
        </w:trPr>
        <w:tc>
          <w:tcPr>
            <w:tcW w:w="2263" w:type="dxa"/>
          </w:tcPr>
          <w:p w14:paraId="57F77DC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PEO</w:t>
            </w:r>
          </w:p>
        </w:tc>
        <w:tc>
          <w:tcPr>
            <w:tcW w:w="7371" w:type="dxa"/>
          </w:tcPr>
          <w:p w14:paraId="4CA1A2BF"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Poly(ethylene oxide)</w:t>
            </w:r>
          </w:p>
        </w:tc>
      </w:tr>
      <w:tr w:rsidR="0011087A" w:rsidRPr="006D631C" w14:paraId="541024CD" w14:textId="77777777" w:rsidTr="00872A50">
        <w:trPr>
          <w:trHeight w:val="454"/>
        </w:trPr>
        <w:tc>
          <w:tcPr>
            <w:tcW w:w="2263" w:type="dxa"/>
          </w:tcPr>
          <w:p w14:paraId="7F2003E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PPO</w:t>
            </w:r>
          </w:p>
        </w:tc>
        <w:tc>
          <w:tcPr>
            <w:tcW w:w="7371" w:type="dxa"/>
          </w:tcPr>
          <w:p w14:paraId="0A43549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Poly(propylene oxide)</w:t>
            </w:r>
          </w:p>
        </w:tc>
      </w:tr>
      <w:tr w:rsidR="0011087A" w:rsidRPr="006D631C" w14:paraId="0F54376F" w14:textId="77777777" w:rsidTr="00872A50">
        <w:trPr>
          <w:trHeight w:val="454"/>
        </w:trPr>
        <w:tc>
          <w:tcPr>
            <w:tcW w:w="2263" w:type="dxa"/>
          </w:tcPr>
          <w:p w14:paraId="0A60BC6B" w14:textId="77777777" w:rsidR="0011087A" w:rsidRPr="006D631C" w:rsidRDefault="0011087A" w:rsidP="00872A50">
            <w:pPr>
              <w:jc w:val="left"/>
              <w:rPr>
                <w:rFonts w:asciiTheme="majorBidi" w:hAnsiTheme="majorBidi" w:cstheme="majorBidi"/>
                <w:i/>
                <w:iCs/>
              </w:rPr>
            </w:pPr>
            <w:proofErr w:type="spellStart"/>
            <w:r w:rsidRPr="006D631C">
              <w:rPr>
                <w:rFonts w:asciiTheme="majorBidi" w:hAnsiTheme="majorBidi" w:cstheme="majorBidi"/>
                <w:i/>
                <w:iCs/>
              </w:rPr>
              <w:t>R</w:t>
            </w:r>
            <w:r w:rsidRPr="006D631C">
              <w:rPr>
                <w:rFonts w:asciiTheme="majorBidi" w:hAnsiTheme="majorBidi" w:cstheme="majorBidi"/>
                <w:i/>
                <w:iCs/>
                <w:vertAlign w:val="subscript"/>
              </w:rPr>
              <w:t>g</w:t>
            </w:r>
            <w:proofErr w:type="spellEnd"/>
          </w:p>
        </w:tc>
        <w:tc>
          <w:tcPr>
            <w:tcW w:w="7371" w:type="dxa"/>
          </w:tcPr>
          <w:p w14:paraId="3C29169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Radius of gyration</w:t>
            </w:r>
          </w:p>
        </w:tc>
      </w:tr>
      <w:tr w:rsidR="0011087A" w:rsidRPr="006D631C" w14:paraId="3B2FC678" w14:textId="77777777" w:rsidTr="00872A50">
        <w:trPr>
          <w:trHeight w:val="454"/>
        </w:trPr>
        <w:tc>
          <w:tcPr>
            <w:tcW w:w="2263" w:type="dxa"/>
          </w:tcPr>
          <w:p w14:paraId="2CDF66FB" w14:textId="77777777" w:rsidR="0011087A" w:rsidRPr="006D631C" w:rsidRDefault="0011087A" w:rsidP="00872A50">
            <w:pPr>
              <w:jc w:val="left"/>
              <w:rPr>
                <w:rFonts w:asciiTheme="majorBidi" w:hAnsiTheme="majorBidi" w:cstheme="majorBidi"/>
                <w:i/>
                <w:iCs/>
              </w:rPr>
            </w:pPr>
            <w:proofErr w:type="spellStart"/>
            <w:r w:rsidRPr="006D631C">
              <w:rPr>
                <w:rFonts w:asciiTheme="majorBidi" w:hAnsiTheme="majorBidi" w:cstheme="majorBidi"/>
                <w:i/>
                <w:iCs/>
              </w:rPr>
              <w:t>k</w:t>
            </w:r>
            <w:r w:rsidRPr="006D631C">
              <w:rPr>
                <w:rFonts w:asciiTheme="majorBidi" w:hAnsiTheme="majorBidi" w:cstheme="majorBidi"/>
                <w:i/>
                <w:iCs/>
                <w:vertAlign w:val="subscript"/>
              </w:rPr>
              <w:t>d</w:t>
            </w:r>
            <w:proofErr w:type="spellEnd"/>
          </w:p>
        </w:tc>
        <w:tc>
          <w:tcPr>
            <w:tcW w:w="7371" w:type="dxa"/>
          </w:tcPr>
          <w:p w14:paraId="117E73D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Kinetics rate constant of initiator decomposition</w:t>
            </w:r>
          </w:p>
        </w:tc>
      </w:tr>
      <w:tr w:rsidR="0011087A" w:rsidRPr="006D631C" w14:paraId="1603AB19" w14:textId="77777777" w:rsidTr="00872A50">
        <w:trPr>
          <w:trHeight w:val="454"/>
        </w:trPr>
        <w:tc>
          <w:tcPr>
            <w:tcW w:w="2263" w:type="dxa"/>
          </w:tcPr>
          <w:p w14:paraId="32DDB3A0" w14:textId="77777777" w:rsidR="0011087A" w:rsidRPr="006D631C" w:rsidRDefault="0011087A" w:rsidP="00872A50">
            <w:pPr>
              <w:jc w:val="left"/>
              <w:rPr>
                <w:rFonts w:asciiTheme="majorBidi" w:hAnsiTheme="majorBidi" w:cstheme="majorBidi"/>
                <w:i/>
                <w:iCs/>
              </w:rPr>
            </w:pPr>
            <w:proofErr w:type="spellStart"/>
            <w:r w:rsidRPr="006D631C">
              <w:rPr>
                <w:rFonts w:asciiTheme="majorBidi" w:hAnsiTheme="majorBidi" w:cstheme="majorBidi"/>
                <w:i/>
                <w:iCs/>
              </w:rPr>
              <w:t>k</w:t>
            </w:r>
            <w:r w:rsidRPr="006D631C">
              <w:rPr>
                <w:rFonts w:asciiTheme="majorBidi" w:hAnsiTheme="majorBidi" w:cstheme="majorBidi"/>
                <w:i/>
                <w:iCs/>
                <w:vertAlign w:val="subscript"/>
              </w:rPr>
              <w:t>p</w:t>
            </w:r>
            <w:proofErr w:type="spellEnd"/>
          </w:p>
        </w:tc>
        <w:tc>
          <w:tcPr>
            <w:tcW w:w="7371" w:type="dxa"/>
          </w:tcPr>
          <w:p w14:paraId="7E40C64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Propagation rate constant</w:t>
            </w:r>
          </w:p>
        </w:tc>
      </w:tr>
      <w:tr w:rsidR="0011087A" w:rsidRPr="006D631C" w14:paraId="04E5154B" w14:textId="77777777" w:rsidTr="00872A50">
        <w:trPr>
          <w:trHeight w:val="454"/>
        </w:trPr>
        <w:tc>
          <w:tcPr>
            <w:tcW w:w="2263" w:type="dxa"/>
          </w:tcPr>
          <w:p w14:paraId="25C7AA23" w14:textId="77777777" w:rsidR="0011087A" w:rsidRPr="006D631C" w:rsidRDefault="0011087A" w:rsidP="00872A50">
            <w:pPr>
              <w:jc w:val="left"/>
              <w:rPr>
                <w:rFonts w:asciiTheme="majorBidi" w:hAnsiTheme="majorBidi" w:cstheme="majorBidi"/>
                <w:i/>
                <w:iCs/>
              </w:rPr>
            </w:pPr>
            <w:proofErr w:type="spellStart"/>
            <w:r w:rsidRPr="006D631C">
              <w:rPr>
                <w:rFonts w:asciiTheme="majorBidi" w:hAnsiTheme="majorBidi" w:cstheme="majorBidi"/>
                <w:i/>
                <w:iCs/>
              </w:rPr>
              <w:t>k</w:t>
            </w:r>
            <w:r w:rsidRPr="006D631C">
              <w:rPr>
                <w:rFonts w:asciiTheme="majorBidi" w:hAnsiTheme="majorBidi" w:cstheme="majorBidi"/>
                <w:i/>
                <w:iCs/>
                <w:vertAlign w:val="subscript"/>
              </w:rPr>
              <w:t>t</w:t>
            </w:r>
            <w:proofErr w:type="spellEnd"/>
          </w:p>
        </w:tc>
        <w:tc>
          <w:tcPr>
            <w:tcW w:w="7371" w:type="dxa"/>
          </w:tcPr>
          <w:p w14:paraId="77D6C23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Termination rate constant</w:t>
            </w:r>
          </w:p>
        </w:tc>
      </w:tr>
      <w:tr w:rsidR="0011087A" w:rsidRPr="006D631C" w14:paraId="5580DD98" w14:textId="77777777" w:rsidTr="00872A50">
        <w:trPr>
          <w:trHeight w:val="454"/>
        </w:trPr>
        <w:tc>
          <w:tcPr>
            <w:tcW w:w="2263" w:type="dxa"/>
          </w:tcPr>
          <w:p w14:paraId="636E8DF9"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[M]</w:t>
            </w:r>
          </w:p>
        </w:tc>
        <w:tc>
          <w:tcPr>
            <w:tcW w:w="7371" w:type="dxa"/>
          </w:tcPr>
          <w:p w14:paraId="23497E5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Monomer concentration</w:t>
            </w:r>
          </w:p>
        </w:tc>
      </w:tr>
      <w:tr w:rsidR="0011087A" w:rsidRPr="006D631C" w14:paraId="7E81A7F3" w14:textId="77777777" w:rsidTr="00872A50">
        <w:trPr>
          <w:trHeight w:val="454"/>
        </w:trPr>
        <w:tc>
          <w:tcPr>
            <w:tcW w:w="2263" w:type="dxa"/>
          </w:tcPr>
          <w:p w14:paraId="4BC1F213"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[I]</w:t>
            </w:r>
          </w:p>
        </w:tc>
        <w:tc>
          <w:tcPr>
            <w:tcW w:w="7371" w:type="dxa"/>
          </w:tcPr>
          <w:p w14:paraId="6A70A54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Initiator concentration</w:t>
            </w:r>
          </w:p>
        </w:tc>
      </w:tr>
      <w:tr w:rsidR="0011087A" w:rsidRPr="006D631C" w14:paraId="0FB77FC1" w14:textId="77777777" w:rsidTr="00872A50">
        <w:trPr>
          <w:trHeight w:val="454"/>
        </w:trPr>
        <w:tc>
          <w:tcPr>
            <w:tcW w:w="2263" w:type="dxa"/>
          </w:tcPr>
          <w:p w14:paraId="4F150B97"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f</w:t>
            </w:r>
          </w:p>
        </w:tc>
        <w:tc>
          <w:tcPr>
            <w:tcW w:w="7371" w:type="dxa"/>
          </w:tcPr>
          <w:p w14:paraId="756A728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Initiator efficiency</w:t>
            </w:r>
          </w:p>
        </w:tc>
      </w:tr>
      <w:tr w:rsidR="0011087A" w:rsidRPr="006D631C" w14:paraId="72B45760" w14:textId="77777777" w:rsidTr="00872A50">
        <w:trPr>
          <w:trHeight w:val="454"/>
        </w:trPr>
        <w:tc>
          <w:tcPr>
            <w:tcW w:w="2263" w:type="dxa"/>
          </w:tcPr>
          <w:p w14:paraId="0DACCE48"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Cs/>
              </w:rPr>
              <w:t>[</w:t>
            </w:r>
            <w:r w:rsidRPr="006D631C">
              <w:rPr>
                <w:rFonts w:asciiTheme="majorBidi" w:hAnsiTheme="majorBidi" w:cstheme="majorBidi"/>
                <w:i/>
                <w:iCs/>
              </w:rPr>
              <w:t>I</w:t>
            </w:r>
            <w:r w:rsidRPr="006D631C">
              <w:rPr>
                <w:rFonts w:asciiTheme="majorBidi" w:hAnsiTheme="majorBidi" w:cstheme="majorBidi"/>
                <w:iCs/>
              </w:rPr>
              <w:t>]</w:t>
            </w:r>
            <w:r w:rsidRPr="006D631C">
              <w:rPr>
                <w:rFonts w:asciiTheme="majorBidi" w:hAnsiTheme="majorBidi" w:cstheme="majorBidi"/>
                <w:iCs/>
                <w:vertAlign w:val="subscript"/>
              </w:rPr>
              <w:t>0</w:t>
            </w:r>
          </w:p>
        </w:tc>
        <w:tc>
          <w:tcPr>
            <w:tcW w:w="7371" w:type="dxa"/>
          </w:tcPr>
          <w:p w14:paraId="3972585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Initial initiator concentration</w:t>
            </w:r>
          </w:p>
        </w:tc>
      </w:tr>
      <w:tr w:rsidR="009F6501" w:rsidRPr="006D631C" w14:paraId="53112305" w14:textId="77777777" w:rsidTr="00872A50">
        <w:trPr>
          <w:trHeight w:val="454"/>
        </w:trPr>
        <w:tc>
          <w:tcPr>
            <w:tcW w:w="2263" w:type="dxa"/>
          </w:tcPr>
          <w:p w14:paraId="1F14A859" w14:textId="012D8A52" w:rsidR="009F6501" w:rsidRPr="006D631C" w:rsidRDefault="009F6501" w:rsidP="00872A50">
            <w:pPr>
              <w:jc w:val="left"/>
              <w:rPr>
                <w:rFonts w:asciiTheme="majorBidi" w:hAnsiTheme="majorBidi" w:cstheme="majorBidi"/>
                <w:iCs/>
              </w:rPr>
            </w:pPr>
            <w:r w:rsidRPr="006D631C">
              <w:rPr>
                <w:rFonts w:asciiTheme="majorBidi" w:hAnsiTheme="majorBidi" w:cstheme="majorBidi"/>
                <w:i/>
                <w:iCs/>
              </w:rPr>
              <w:t>[R]</w:t>
            </w:r>
          </w:p>
        </w:tc>
        <w:tc>
          <w:tcPr>
            <w:tcW w:w="7371" w:type="dxa"/>
          </w:tcPr>
          <w:p w14:paraId="768B24D6" w14:textId="7812BFE6" w:rsidR="009F6501" w:rsidRPr="006D631C" w:rsidRDefault="009F6501" w:rsidP="00872A50">
            <w:pPr>
              <w:jc w:val="left"/>
              <w:rPr>
                <w:rFonts w:asciiTheme="majorBidi" w:hAnsiTheme="majorBidi" w:cstheme="majorBidi"/>
              </w:rPr>
            </w:pPr>
            <w:r w:rsidRPr="006D631C">
              <w:rPr>
                <w:rFonts w:asciiTheme="majorBidi" w:hAnsiTheme="majorBidi" w:cstheme="majorBidi"/>
              </w:rPr>
              <w:t>Cumulative concentration of free radicals</w:t>
            </w:r>
          </w:p>
        </w:tc>
      </w:tr>
      <w:tr w:rsidR="009F6501" w:rsidRPr="006D631C" w14:paraId="6549E22E" w14:textId="77777777" w:rsidTr="00872A50">
        <w:trPr>
          <w:trHeight w:val="454"/>
        </w:trPr>
        <w:tc>
          <w:tcPr>
            <w:tcW w:w="2263" w:type="dxa"/>
          </w:tcPr>
          <w:p w14:paraId="503C323A" w14:textId="1A14CFBD" w:rsidR="009F6501" w:rsidRPr="006D631C" w:rsidRDefault="009F6501" w:rsidP="00872A50">
            <w:pPr>
              <w:jc w:val="left"/>
              <w:rPr>
                <w:rFonts w:asciiTheme="majorBidi" w:hAnsiTheme="majorBidi" w:cstheme="majorBidi"/>
                <w:i/>
                <w:iCs/>
              </w:rPr>
            </w:pPr>
            <w:r w:rsidRPr="006D631C">
              <w:rPr>
                <w:rFonts w:asciiTheme="majorBidi" w:hAnsiTheme="majorBidi" w:cstheme="majorBidi"/>
                <w:i/>
                <w:iCs/>
              </w:rPr>
              <w:t>t</w:t>
            </w:r>
          </w:p>
        </w:tc>
        <w:tc>
          <w:tcPr>
            <w:tcW w:w="7371" w:type="dxa"/>
          </w:tcPr>
          <w:p w14:paraId="305FC65E" w14:textId="49AFC35B" w:rsidR="009F6501" w:rsidRPr="006D631C" w:rsidRDefault="009F6501" w:rsidP="00872A50">
            <w:pPr>
              <w:jc w:val="left"/>
              <w:rPr>
                <w:rFonts w:asciiTheme="majorBidi" w:hAnsiTheme="majorBidi" w:cstheme="majorBidi"/>
              </w:rPr>
            </w:pPr>
            <w:r w:rsidRPr="006D631C">
              <w:rPr>
                <w:rFonts w:asciiTheme="majorBidi" w:hAnsiTheme="majorBidi" w:cstheme="majorBidi"/>
              </w:rPr>
              <w:t>Time</w:t>
            </w:r>
          </w:p>
        </w:tc>
      </w:tr>
      <w:tr w:rsidR="0011087A" w:rsidRPr="006D631C" w14:paraId="1D25C434" w14:textId="77777777" w:rsidTr="00872A50">
        <w:trPr>
          <w:trHeight w:val="454"/>
        </w:trPr>
        <w:tc>
          <w:tcPr>
            <w:tcW w:w="2263" w:type="dxa"/>
          </w:tcPr>
          <w:p w14:paraId="0B88E02F"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K′</w:t>
            </w:r>
          </w:p>
        </w:tc>
        <w:tc>
          <w:tcPr>
            <w:tcW w:w="7371" w:type="dxa"/>
          </w:tcPr>
          <w:p w14:paraId="1D0D2A8A"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Overall kinetics rate coefficient</w:t>
            </w:r>
          </w:p>
        </w:tc>
      </w:tr>
      <w:tr w:rsidR="0011087A" w:rsidRPr="006D631C" w14:paraId="13FB95DA" w14:textId="77777777" w:rsidTr="00872A50">
        <w:trPr>
          <w:trHeight w:val="454"/>
        </w:trPr>
        <w:tc>
          <w:tcPr>
            <w:tcW w:w="2263" w:type="dxa"/>
          </w:tcPr>
          <w:p w14:paraId="4CE4D116"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E</w:t>
            </w:r>
          </w:p>
        </w:tc>
        <w:tc>
          <w:tcPr>
            <w:tcW w:w="7371" w:type="dxa"/>
          </w:tcPr>
          <w:p w14:paraId="01361CC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Overall activation energy of the polymerization</w:t>
            </w:r>
          </w:p>
        </w:tc>
      </w:tr>
      <w:tr w:rsidR="0011087A" w:rsidRPr="006D631C" w14:paraId="0F7681DC" w14:textId="77777777" w:rsidTr="00872A50">
        <w:trPr>
          <w:trHeight w:val="454"/>
        </w:trPr>
        <w:tc>
          <w:tcPr>
            <w:tcW w:w="2263" w:type="dxa"/>
          </w:tcPr>
          <w:p w14:paraId="35B09A93"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rPr>
              <w:t>X</w:t>
            </w:r>
          </w:p>
        </w:tc>
        <w:tc>
          <w:tcPr>
            <w:tcW w:w="7371" w:type="dxa"/>
          </w:tcPr>
          <w:p w14:paraId="5326B83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Monomer conversion</w:t>
            </w:r>
          </w:p>
        </w:tc>
      </w:tr>
      <w:tr w:rsidR="0011087A" w:rsidRPr="006D631C" w14:paraId="64EB95E4" w14:textId="77777777" w:rsidTr="00872A50">
        <w:trPr>
          <w:trHeight w:val="454"/>
        </w:trPr>
        <w:tc>
          <w:tcPr>
            <w:tcW w:w="2263" w:type="dxa"/>
          </w:tcPr>
          <w:p w14:paraId="506080E7"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rPr>
              <w:t>G'</w:t>
            </w:r>
          </w:p>
        </w:tc>
        <w:tc>
          <w:tcPr>
            <w:tcW w:w="7371" w:type="dxa"/>
          </w:tcPr>
          <w:p w14:paraId="213E0FA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Storage moduli</w:t>
            </w:r>
          </w:p>
        </w:tc>
      </w:tr>
      <w:tr w:rsidR="0011087A" w:rsidRPr="006D631C" w14:paraId="7E4700C9" w14:textId="77777777" w:rsidTr="00872A50">
        <w:trPr>
          <w:trHeight w:val="454"/>
        </w:trPr>
        <w:tc>
          <w:tcPr>
            <w:tcW w:w="2263" w:type="dxa"/>
          </w:tcPr>
          <w:p w14:paraId="3CE24151"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rPr>
              <w:t>G"</w:t>
            </w:r>
          </w:p>
        </w:tc>
        <w:tc>
          <w:tcPr>
            <w:tcW w:w="7371" w:type="dxa"/>
          </w:tcPr>
          <w:p w14:paraId="4EF0931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Loss moduli</w:t>
            </w:r>
          </w:p>
        </w:tc>
      </w:tr>
      <w:tr w:rsidR="0011087A" w:rsidRPr="006D631C" w14:paraId="2F05B8A9" w14:textId="77777777" w:rsidTr="00872A50">
        <w:trPr>
          <w:trHeight w:val="454"/>
        </w:trPr>
        <w:tc>
          <w:tcPr>
            <w:tcW w:w="2263" w:type="dxa"/>
          </w:tcPr>
          <w:p w14:paraId="04F62AC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lastRenderedPageBreak/>
              <w:t>PVDF</w:t>
            </w:r>
          </w:p>
        </w:tc>
        <w:tc>
          <w:tcPr>
            <w:tcW w:w="7371" w:type="dxa"/>
          </w:tcPr>
          <w:p w14:paraId="72D34B89"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Polyvinylidenefluoride</w:t>
            </w:r>
            <w:proofErr w:type="spellEnd"/>
          </w:p>
        </w:tc>
      </w:tr>
      <w:tr w:rsidR="0011087A" w:rsidRPr="006D631C" w14:paraId="7A07CFBB" w14:textId="77777777" w:rsidTr="00872A50">
        <w:trPr>
          <w:trHeight w:val="454"/>
        </w:trPr>
        <w:tc>
          <w:tcPr>
            <w:tcW w:w="2263" w:type="dxa"/>
          </w:tcPr>
          <w:p w14:paraId="098A08D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PES</w:t>
            </w:r>
          </w:p>
        </w:tc>
        <w:tc>
          <w:tcPr>
            <w:tcW w:w="7371" w:type="dxa"/>
          </w:tcPr>
          <w:p w14:paraId="0F819A44"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Polyethersulfone</w:t>
            </w:r>
            <w:proofErr w:type="spellEnd"/>
          </w:p>
        </w:tc>
      </w:tr>
      <w:tr w:rsidR="0011087A" w:rsidRPr="006D631C" w14:paraId="6BEF690F" w14:textId="77777777" w:rsidTr="00872A50">
        <w:trPr>
          <w:trHeight w:val="454"/>
        </w:trPr>
        <w:tc>
          <w:tcPr>
            <w:tcW w:w="2263" w:type="dxa"/>
          </w:tcPr>
          <w:p w14:paraId="18B93F8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F127</w:t>
            </w:r>
          </w:p>
        </w:tc>
        <w:tc>
          <w:tcPr>
            <w:tcW w:w="7371" w:type="dxa"/>
          </w:tcPr>
          <w:p w14:paraId="15C61A6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Pluronic F127</w:t>
            </w:r>
          </w:p>
        </w:tc>
      </w:tr>
      <w:tr w:rsidR="0011087A" w:rsidRPr="006D631C" w14:paraId="098CA554" w14:textId="77777777" w:rsidTr="00872A50">
        <w:trPr>
          <w:trHeight w:val="454"/>
        </w:trPr>
        <w:tc>
          <w:tcPr>
            <w:tcW w:w="2263" w:type="dxa"/>
          </w:tcPr>
          <w:p w14:paraId="5A9E528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BSA</w:t>
            </w:r>
          </w:p>
        </w:tc>
        <w:tc>
          <w:tcPr>
            <w:tcW w:w="7371" w:type="dxa"/>
          </w:tcPr>
          <w:p w14:paraId="06D08BB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Bovine serum albumin</w:t>
            </w:r>
          </w:p>
        </w:tc>
      </w:tr>
      <w:tr w:rsidR="0011087A" w:rsidRPr="006D631C" w14:paraId="7A615FC4" w14:textId="77777777" w:rsidTr="00872A50">
        <w:trPr>
          <w:trHeight w:val="454"/>
        </w:trPr>
        <w:tc>
          <w:tcPr>
            <w:tcW w:w="2263" w:type="dxa"/>
          </w:tcPr>
          <w:p w14:paraId="73AF43A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MWCO</w:t>
            </w:r>
          </w:p>
        </w:tc>
        <w:tc>
          <w:tcPr>
            <w:tcW w:w="7371" w:type="dxa"/>
          </w:tcPr>
          <w:p w14:paraId="25C464F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Molecular weight cut-off</w:t>
            </w:r>
          </w:p>
        </w:tc>
      </w:tr>
      <w:tr w:rsidR="0011087A" w:rsidRPr="006D631C" w14:paraId="1180CB73" w14:textId="77777777" w:rsidTr="00872A50">
        <w:trPr>
          <w:trHeight w:val="454"/>
        </w:trPr>
        <w:tc>
          <w:tcPr>
            <w:tcW w:w="2263" w:type="dxa"/>
          </w:tcPr>
          <w:p w14:paraId="04A3E9D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PAN</w:t>
            </w:r>
          </w:p>
        </w:tc>
        <w:tc>
          <w:tcPr>
            <w:tcW w:w="7371" w:type="dxa"/>
          </w:tcPr>
          <w:p w14:paraId="1F4E14CD" w14:textId="77777777" w:rsidR="0011087A" w:rsidRPr="006D631C" w:rsidRDefault="0011087A" w:rsidP="00872A50">
            <w:pPr>
              <w:jc w:val="left"/>
              <w:rPr>
                <w:rFonts w:asciiTheme="majorBidi" w:hAnsiTheme="majorBidi" w:cstheme="majorBidi"/>
              </w:rPr>
            </w:pPr>
            <w:proofErr w:type="spellStart"/>
            <w:r w:rsidRPr="006D631C">
              <w:rPr>
                <w:rFonts w:asciiTheme="majorBidi" w:hAnsiTheme="majorBidi" w:cstheme="majorBidi"/>
              </w:rPr>
              <w:t>Polyacrylonitrile</w:t>
            </w:r>
            <w:proofErr w:type="spellEnd"/>
          </w:p>
        </w:tc>
      </w:tr>
      <w:tr w:rsidR="0011087A" w:rsidRPr="006D631C" w14:paraId="5AD67DC3" w14:textId="77777777" w:rsidTr="00872A50">
        <w:trPr>
          <w:trHeight w:val="454"/>
        </w:trPr>
        <w:tc>
          <w:tcPr>
            <w:tcW w:w="2263" w:type="dxa"/>
          </w:tcPr>
          <w:p w14:paraId="1509BF7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AFM</w:t>
            </w:r>
          </w:p>
        </w:tc>
        <w:tc>
          <w:tcPr>
            <w:tcW w:w="7371" w:type="dxa"/>
          </w:tcPr>
          <w:p w14:paraId="3203E78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Atomic force microscopy</w:t>
            </w:r>
          </w:p>
        </w:tc>
      </w:tr>
      <w:tr w:rsidR="0011087A" w:rsidRPr="006D631C" w14:paraId="70581FBC" w14:textId="77777777" w:rsidTr="00872A50">
        <w:trPr>
          <w:trHeight w:val="454"/>
        </w:trPr>
        <w:tc>
          <w:tcPr>
            <w:tcW w:w="2263" w:type="dxa"/>
          </w:tcPr>
          <w:p w14:paraId="71A3798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color w:val="020202"/>
              </w:rPr>
              <w:t>Q</w:t>
            </w:r>
          </w:p>
        </w:tc>
        <w:tc>
          <w:tcPr>
            <w:tcW w:w="7371" w:type="dxa"/>
          </w:tcPr>
          <w:p w14:paraId="277937A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Flow rate</w:t>
            </w:r>
          </w:p>
        </w:tc>
      </w:tr>
      <w:tr w:rsidR="0011087A" w:rsidRPr="006D631C" w14:paraId="2E83F915" w14:textId="77777777" w:rsidTr="00872A50">
        <w:trPr>
          <w:trHeight w:val="454"/>
        </w:trPr>
        <w:tc>
          <w:tcPr>
            <w:tcW w:w="2263" w:type="dxa"/>
          </w:tcPr>
          <w:p w14:paraId="7FC65FF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color w:val="020202"/>
              </w:rPr>
              <w:t>µ</w:t>
            </w:r>
          </w:p>
        </w:tc>
        <w:tc>
          <w:tcPr>
            <w:tcW w:w="7371" w:type="dxa"/>
          </w:tcPr>
          <w:p w14:paraId="785D4DF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Viscosity</w:t>
            </w:r>
          </w:p>
        </w:tc>
      </w:tr>
      <w:tr w:rsidR="0011087A" w:rsidRPr="006D631C" w14:paraId="11D5CEF8" w14:textId="77777777" w:rsidTr="00872A50">
        <w:trPr>
          <w:trHeight w:val="454"/>
        </w:trPr>
        <w:tc>
          <w:tcPr>
            <w:tcW w:w="2263" w:type="dxa"/>
          </w:tcPr>
          <w:p w14:paraId="17F76F13"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i/>
                <w:iCs/>
                <w:color w:val="020202"/>
              </w:rPr>
              <w:t>A</w:t>
            </w:r>
          </w:p>
        </w:tc>
        <w:tc>
          <w:tcPr>
            <w:tcW w:w="7371" w:type="dxa"/>
          </w:tcPr>
          <w:p w14:paraId="0A6CFA9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Membrane area</w:t>
            </w:r>
          </w:p>
        </w:tc>
      </w:tr>
      <w:tr w:rsidR="0011087A" w:rsidRPr="006D631C" w14:paraId="0BC816D7" w14:textId="77777777" w:rsidTr="00872A50">
        <w:trPr>
          <w:trHeight w:val="454"/>
        </w:trPr>
        <w:tc>
          <w:tcPr>
            <w:tcW w:w="2263" w:type="dxa"/>
          </w:tcPr>
          <w:p w14:paraId="5271B358"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color w:val="020202"/>
              </w:rPr>
              <w:t>ΔP</w:t>
            </w:r>
          </w:p>
        </w:tc>
        <w:tc>
          <w:tcPr>
            <w:tcW w:w="7371" w:type="dxa"/>
          </w:tcPr>
          <w:p w14:paraId="6EFA1A1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Pressure difference across the membrane</w:t>
            </w:r>
          </w:p>
        </w:tc>
      </w:tr>
      <w:tr w:rsidR="0011087A" w:rsidRPr="006D631C" w14:paraId="5314763B" w14:textId="77777777" w:rsidTr="00872A50">
        <w:trPr>
          <w:trHeight w:val="454"/>
        </w:trPr>
        <w:tc>
          <w:tcPr>
            <w:tcW w:w="2263" w:type="dxa"/>
          </w:tcPr>
          <w:p w14:paraId="1620DCFF"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color w:val="020202"/>
              </w:rPr>
              <w:t>l</w:t>
            </w:r>
          </w:p>
        </w:tc>
        <w:tc>
          <w:tcPr>
            <w:tcW w:w="7371" w:type="dxa"/>
          </w:tcPr>
          <w:p w14:paraId="05CAE08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Membrane thickness</w:t>
            </w:r>
          </w:p>
        </w:tc>
      </w:tr>
      <w:tr w:rsidR="0011087A" w:rsidRPr="006D631C" w14:paraId="1A87B7AB" w14:textId="77777777" w:rsidTr="00872A50">
        <w:trPr>
          <w:trHeight w:val="454"/>
        </w:trPr>
        <w:tc>
          <w:tcPr>
            <w:tcW w:w="2263" w:type="dxa"/>
          </w:tcPr>
          <w:p w14:paraId="53089172" w14:textId="77777777" w:rsidR="0011087A" w:rsidRPr="006D631C" w:rsidRDefault="0011087A" w:rsidP="00872A50">
            <w:pPr>
              <w:jc w:val="left"/>
              <w:rPr>
                <w:rFonts w:asciiTheme="majorBidi" w:hAnsiTheme="majorBidi" w:cstheme="majorBidi"/>
                <w:i/>
                <w:iCs/>
              </w:rPr>
            </w:pPr>
            <w:r w:rsidRPr="006D631C">
              <w:rPr>
                <w:rFonts w:asciiTheme="majorBidi" w:hAnsiTheme="majorBidi" w:cstheme="majorBidi"/>
                <w:i/>
                <w:iCs/>
                <w:color w:val="020202"/>
              </w:rPr>
              <w:t>κ</w:t>
            </w:r>
          </w:p>
        </w:tc>
        <w:tc>
          <w:tcPr>
            <w:tcW w:w="7371" w:type="dxa"/>
          </w:tcPr>
          <w:p w14:paraId="0AC09E5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Darcy's constant (intrinsic permeability)</w:t>
            </w:r>
          </w:p>
        </w:tc>
      </w:tr>
      <w:tr w:rsidR="0011087A" w:rsidRPr="006D631C" w14:paraId="60A99518" w14:textId="77777777" w:rsidTr="00872A50">
        <w:trPr>
          <w:trHeight w:val="454"/>
        </w:trPr>
        <w:tc>
          <w:tcPr>
            <w:tcW w:w="2263" w:type="dxa"/>
          </w:tcPr>
          <w:p w14:paraId="639DCDD9" w14:textId="77777777" w:rsidR="0011087A" w:rsidRPr="006D631C" w:rsidRDefault="0011087A" w:rsidP="00872A50">
            <w:pPr>
              <w:jc w:val="left"/>
              <w:rPr>
                <w:rFonts w:asciiTheme="majorBidi" w:hAnsiTheme="majorBidi" w:cstheme="majorBidi"/>
                <w:i/>
                <w:iCs/>
                <w:color w:val="020202"/>
              </w:rPr>
            </w:pPr>
            <w:r w:rsidRPr="006D631C">
              <w:rPr>
                <w:rFonts w:asciiTheme="majorBidi" w:hAnsiTheme="majorBidi" w:cstheme="majorBidi"/>
                <w:i/>
                <w:color w:val="020202"/>
              </w:rPr>
              <w:t>µ</w:t>
            </w:r>
            <w:r w:rsidRPr="006D631C">
              <w:rPr>
                <w:rFonts w:asciiTheme="majorBidi" w:hAnsiTheme="majorBidi" w:cstheme="majorBidi"/>
                <w:color w:val="020202"/>
                <w:vertAlign w:val="subscript"/>
              </w:rPr>
              <w:t>w</w:t>
            </w:r>
          </w:p>
        </w:tc>
        <w:tc>
          <w:tcPr>
            <w:tcW w:w="7371" w:type="dxa"/>
          </w:tcPr>
          <w:p w14:paraId="37EED68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Kinetic viscosity of water</w:t>
            </w:r>
          </w:p>
        </w:tc>
      </w:tr>
      <w:tr w:rsidR="0011087A" w:rsidRPr="006D631C" w14:paraId="6B2BF795" w14:textId="77777777" w:rsidTr="00872A50">
        <w:trPr>
          <w:trHeight w:val="454"/>
        </w:trPr>
        <w:tc>
          <w:tcPr>
            <w:tcW w:w="2263" w:type="dxa"/>
          </w:tcPr>
          <w:p w14:paraId="64C9AA8F" w14:textId="77777777" w:rsidR="0011087A" w:rsidRPr="006D631C" w:rsidRDefault="0011087A" w:rsidP="00872A50">
            <w:pPr>
              <w:jc w:val="left"/>
              <w:rPr>
                <w:rFonts w:asciiTheme="majorBidi" w:hAnsiTheme="majorBidi" w:cstheme="majorBidi"/>
                <w:i/>
                <w:iCs/>
                <w:color w:val="020202"/>
              </w:rPr>
            </w:pPr>
            <w:r w:rsidRPr="006D631C">
              <w:rPr>
                <w:rFonts w:asciiTheme="majorBidi" w:hAnsiTheme="majorBidi" w:cstheme="majorBidi"/>
                <w:i/>
                <w:iCs/>
                <w:color w:val="020202"/>
              </w:rPr>
              <w:t>T</w:t>
            </w:r>
          </w:p>
        </w:tc>
        <w:tc>
          <w:tcPr>
            <w:tcW w:w="7371" w:type="dxa"/>
          </w:tcPr>
          <w:p w14:paraId="27A11EE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Temperature</w:t>
            </w:r>
          </w:p>
        </w:tc>
      </w:tr>
      <w:tr w:rsidR="0011087A" w:rsidRPr="006D631C" w14:paraId="212DB08B" w14:textId="77777777" w:rsidTr="00872A50">
        <w:trPr>
          <w:trHeight w:val="454"/>
        </w:trPr>
        <w:tc>
          <w:tcPr>
            <w:tcW w:w="2263" w:type="dxa"/>
          </w:tcPr>
          <w:p w14:paraId="10C603A5"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TOC</w:t>
            </w:r>
          </w:p>
        </w:tc>
        <w:tc>
          <w:tcPr>
            <w:tcW w:w="7371" w:type="dxa"/>
          </w:tcPr>
          <w:p w14:paraId="178695CE"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Total organic carbon</w:t>
            </w:r>
          </w:p>
        </w:tc>
      </w:tr>
      <w:tr w:rsidR="0011087A" w:rsidRPr="006D631C" w14:paraId="4110A4A9" w14:textId="77777777" w:rsidTr="00872A50">
        <w:trPr>
          <w:trHeight w:val="454"/>
        </w:trPr>
        <w:tc>
          <w:tcPr>
            <w:tcW w:w="2263" w:type="dxa"/>
          </w:tcPr>
          <w:p w14:paraId="70DA7A84" w14:textId="77777777" w:rsidR="0011087A" w:rsidRPr="006D631C" w:rsidRDefault="0011087A" w:rsidP="00872A50">
            <w:pPr>
              <w:jc w:val="left"/>
              <w:rPr>
                <w:rFonts w:asciiTheme="majorBidi" w:hAnsiTheme="majorBidi" w:cstheme="majorBidi"/>
                <w:i/>
                <w:iCs/>
                <w:color w:val="020202"/>
              </w:rPr>
            </w:pPr>
            <w:r w:rsidRPr="006D631C">
              <w:rPr>
                <w:rFonts w:asciiTheme="majorBidi" w:hAnsiTheme="majorBidi" w:cstheme="majorBidi"/>
                <w:i/>
                <w:iCs/>
                <w:color w:val="020202"/>
              </w:rPr>
              <w:t>r</w:t>
            </w:r>
          </w:p>
        </w:tc>
        <w:tc>
          <w:tcPr>
            <w:tcW w:w="7371" w:type="dxa"/>
          </w:tcPr>
          <w:p w14:paraId="089B18B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Rejection</w:t>
            </w:r>
          </w:p>
        </w:tc>
      </w:tr>
      <w:tr w:rsidR="0011087A" w:rsidRPr="006D631C" w14:paraId="298AC558" w14:textId="77777777" w:rsidTr="00872A50">
        <w:trPr>
          <w:trHeight w:val="454"/>
        </w:trPr>
        <w:tc>
          <w:tcPr>
            <w:tcW w:w="2263" w:type="dxa"/>
          </w:tcPr>
          <w:p w14:paraId="3689C25C" w14:textId="77777777" w:rsidR="0011087A" w:rsidRPr="006D631C" w:rsidRDefault="0011087A" w:rsidP="00872A50">
            <w:pPr>
              <w:jc w:val="left"/>
              <w:rPr>
                <w:rFonts w:asciiTheme="majorBidi" w:hAnsiTheme="majorBidi" w:cstheme="majorBidi"/>
                <w:i/>
                <w:iCs/>
                <w:color w:val="020202"/>
              </w:rPr>
            </w:pPr>
            <w:proofErr w:type="spellStart"/>
            <w:r w:rsidRPr="006D631C">
              <w:rPr>
                <w:rFonts w:asciiTheme="majorBidi" w:hAnsiTheme="majorBidi" w:cstheme="majorBidi"/>
                <w:i/>
                <w:iCs/>
                <w:color w:val="020202"/>
              </w:rPr>
              <w:t>C</w:t>
            </w:r>
            <w:r w:rsidRPr="006D631C">
              <w:rPr>
                <w:rFonts w:asciiTheme="majorBidi" w:hAnsiTheme="majorBidi" w:cstheme="majorBidi"/>
                <w:i/>
                <w:iCs/>
                <w:color w:val="020202"/>
                <w:vertAlign w:val="subscript"/>
              </w:rPr>
              <w:t>p</w:t>
            </w:r>
            <w:proofErr w:type="spellEnd"/>
          </w:p>
        </w:tc>
        <w:tc>
          <w:tcPr>
            <w:tcW w:w="7371" w:type="dxa"/>
          </w:tcPr>
          <w:p w14:paraId="5DF20A8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Concentration of solute in permeate</w:t>
            </w:r>
          </w:p>
        </w:tc>
      </w:tr>
      <w:tr w:rsidR="0011087A" w:rsidRPr="006D631C" w14:paraId="5591D526" w14:textId="77777777" w:rsidTr="00872A50">
        <w:trPr>
          <w:trHeight w:val="454"/>
        </w:trPr>
        <w:tc>
          <w:tcPr>
            <w:tcW w:w="2263" w:type="dxa"/>
          </w:tcPr>
          <w:p w14:paraId="4BC194D0" w14:textId="77777777" w:rsidR="0011087A" w:rsidRPr="006D631C" w:rsidRDefault="0011087A" w:rsidP="00872A50">
            <w:pPr>
              <w:jc w:val="left"/>
              <w:rPr>
                <w:rFonts w:asciiTheme="majorBidi" w:hAnsiTheme="majorBidi" w:cstheme="majorBidi"/>
                <w:i/>
                <w:iCs/>
                <w:color w:val="020202"/>
              </w:rPr>
            </w:pPr>
            <w:proofErr w:type="spellStart"/>
            <w:r w:rsidRPr="006D631C">
              <w:rPr>
                <w:rFonts w:asciiTheme="majorBidi" w:hAnsiTheme="majorBidi" w:cstheme="majorBidi"/>
                <w:i/>
                <w:iCs/>
                <w:color w:val="020202"/>
              </w:rPr>
              <w:t>C</w:t>
            </w:r>
            <w:r w:rsidRPr="006D631C">
              <w:rPr>
                <w:rFonts w:asciiTheme="majorBidi" w:hAnsiTheme="majorBidi" w:cstheme="majorBidi"/>
                <w:i/>
                <w:iCs/>
                <w:color w:val="020202"/>
                <w:vertAlign w:val="subscript"/>
              </w:rPr>
              <w:t>f</w:t>
            </w:r>
            <w:proofErr w:type="spellEnd"/>
          </w:p>
        </w:tc>
        <w:tc>
          <w:tcPr>
            <w:tcW w:w="7371" w:type="dxa"/>
          </w:tcPr>
          <w:p w14:paraId="5C76D33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Concentration of solute in feed</w:t>
            </w:r>
          </w:p>
        </w:tc>
      </w:tr>
      <w:tr w:rsidR="0011087A" w:rsidRPr="006D631C" w14:paraId="55056220" w14:textId="77777777" w:rsidTr="00872A50">
        <w:trPr>
          <w:trHeight w:val="454"/>
        </w:trPr>
        <w:tc>
          <w:tcPr>
            <w:tcW w:w="2263" w:type="dxa"/>
          </w:tcPr>
          <w:p w14:paraId="56AAE96C"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DLS</w:t>
            </w:r>
          </w:p>
        </w:tc>
        <w:tc>
          <w:tcPr>
            <w:tcW w:w="7371" w:type="dxa"/>
          </w:tcPr>
          <w:p w14:paraId="75C9AD2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Dynamic light scattering</w:t>
            </w:r>
          </w:p>
        </w:tc>
      </w:tr>
      <w:tr w:rsidR="0011087A" w:rsidRPr="006D631C" w14:paraId="0FE7CC91" w14:textId="77777777" w:rsidTr="00872A50">
        <w:trPr>
          <w:trHeight w:val="454"/>
        </w:trPr>
        <w:tc>
          <w:tcPr>
            <w:tcW w:w="2263" w:type="dxa"/>
          </w:tcPr>
          <w:p w14:paraId="4A924A41" w14:textId="77777777" w:rsidR="0011087A" w:rsidRPr="006D631C" w:rsidRDefault="0011087A" w:rsidP="00872A50">
            <w:pPr>
              <w:jc w:val="left"/>
              <w:rPr>
                <w:rFonts w:asciiTheme="majorBidi" w:hAnsiTheme="majorBidi" w:cstheme="majorBidi"/>
                <w:i/>
                <w:iCs/>
                <w:color w:val="020202"/>
              </w:rPr>
            </w:pPr>
            <w:proofErr w:type="spellStart"/>
            <w:r w:rsidRPr="006D631C">
              <w:rPr>
                <w:rFonts w:asciiTheme="majorBidi" w:hAnsiTheme="majorBidi" w:cstheme="majorBidi"/>
                <w:i/>
                <w:iCs/>
              </w:rPr>
              <w:t>a</w:t>
            </w:r>
            <w:r w:rsidRPr="006D631C">
              <w:rPr>
                <w:rFonts w:asciiTheme="majorBidi" w:hAnsiTheme="majorBidi" w:cstheme="majorBidi"/>
                <w:i/>
                <w:iCs/>
                <w:vertAlign w:val="subscript"/>
              </w:rPr>
              <w:t>Stokes</w:t>
            </w:r>
            <w:proofErr w:type="spellEnd"/>
          </w:p>
        </w:tc>
        <w:tc>
          <w:tcPr>
            <w:tcW w:w="7371" w:type="dxa"/>
          </w:tcPr>
          <w:p w14:paraId="6937774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Stokes radius</w:t>
            </w:r>
          </w:p>
        </w:tc>
      </w:tr>
      <w:tr w:rsidR="0011087A" w:rsidRPr="006D631C" w14:paraId="60C3BCB3" w14:textId="77777777" w:rsidTr="00872A50">
        <w:trPr>
          <w:trHeight w:val="454"/>
        </w:trPr>
        <w:tc>
          <w:tcPr>
            <w:tcW w:w="2263" w:type="dxa"/>
          </w:tcPr>
          <w:p w14:paraId="4A9F8E1F" w14:textId="77777777" w:rsidR="0011087A" w:rsidRPr="006D631C" w:rsidRDefault="0011087A" w:rsidP="00872A50">
            <w:pPr>
              <w:jc w:val="left"/>
              <w:rPr>
                <w:rFonts w:asciiTheme="majorBidi" w:hAnsiTheme="majorBidi" w:cstheme="majorBidi"/>
                <w:i/>
                <w:iCs/>
                <w:color w:val="020202"/>
              </w:rPr>
            </w:pPr>
            <w:r w:rsidRPr="006D631C">
              <w:rPr>
                <w:rFonts w:asciiTheme="majorBidi" w:hAnsiTheme="majorBidi" w:cstheme="majorBidi"/>
                <w:i/>
                <w:iCs/>
              </w:rPr>
              <w:t>M</w:t>
            </w:r>
            <w:r w:rsidRPr="006D631C">
              <w:rPr>
                <w:rFonts w:asciiTheme="majorBidi" w:hAnsiTheme="majorBidi" w:cstheme="majorBidi"/>
                <w:i/>
                <w:iCs/>
                <w:vertAlign w:val="subscript"/>
              </w:rPr>
              <w:t>w</w:t>
            </w:r>
          </w:p>
        </w:tc>
        <w:tc>
          <w:tcPr>
            <w:tcW w:w="7371" w:type="dxa"/>
          </w:tcPr>
          <w:p w14:paraId="661C24F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Molecular weight</w:t>
            </w:r>
          </w:p>
        </w:tc>
      </w:tr>
      <w:tr w:rsidR="0011087A" w:rsidRPr="006D631C" w14:paraId="67315926" w14:textId="77777777" w:rsidTr="00872A50">
        <w:trPr>
          <w:trHeight w:val="454"/>
        </w:trPr>
        <w:tc>
          <w:tcPr>
            <w:tcW w:w="2263" w:type="dxa"/>
          </w:tcPr>
          <w:p w14:paraId="502B011C" w14:textId="77777777" w:rsidR="0011087A" w:rsidRPr="006D631C" w:rsidRDefault="0011087A" w:rsidP="00872A50">
            <w:pPr>
              <w:jc w:val="left"/>
              <w:rPr>
                <w:rFonts w:asciiTheme="majorBidi" w:hAnsiTheme="majorBidi" w:cstheme="majorBidi"/>
                <w:i/>
                <w:iCs/>
                <w:color w:val="020202"/>
              </w:rPr>
            </w:pPr>
            <w:r w:rsidRPr="006D631C">
              <w:rPr>
                <w:rFonts w:asciiTheme="majorBidi" w:hAnsiTheme="majorBidi" w:cstheme="majorBidi"/>
                <w:i/>
                <w:iCs/>
              </w:rPr>
              <w:t>A</w:t>
            </w:r>
            <w:r w:rsidRPr="006D631C">
              <w:rPr>
                <w:rFonts w:asciiTheme="majorBidi" w:hAnsiTheme="majorBidi" w:cstheme="majorBidi"/>
                <w:i/>
                <w:iCs/>
                <w:vertAlign w:val="subscript"/>
              </w:rPr>
              <w:t>1</w:t>
            </w:r>
          </w:p>
        </w:tc>
        <w:tc>
          <w:tcPr>
            <w:tcW w:w="7371" w:type="dxa"/>
          </w:tcPr>
          <w:p w14:paraId="1CD6601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Initial value in Boltzmann sigmoidal equation</w:t>
            </w:r>
          </w:p>
        </w:tc>
      </w:tr>
      <w:tr w:rsidR="0011087A" w:rsidRPr="006D631C" w14:paraId="44BC2250" w14:textId="77777777" w:rsidTr="00872A50">
        <w:trPr>
          <w:trHeight w:val="454"/>
        </w:trPr>
        <w:tc>
          <w:tcPr>
            <w:tcW w:w="2263" w:type="dxa"/>
          </w:tcPr>
          <w:p w14:paraId="6B35FE3D" w14:textId="77777777" w:rsidR="0011087A" w:rsidRPr="006D631C" w:rsidRDefault="0011087A" w:rsidP="00872A50">
            <w:pPr>
              <w:jc w:val="left"/>
              <w:rPr>
                <w:rFonts w:asciiTheme="majorBidi" w:hAnsiTheme="majorBidi" w:cstheme="majorBidi"/>
                <w:i/>
                <w:iCs/>
                <w:color w:val="020202"/>
              </w:rPr>
            </w:pPr>
            <w:r w:rsidRPr="006D631C">
              <w:rPr>
                <w:rFonts w:asciiTheme="majorBidi" w:hAnsiTheme="majorBidi" w:cstheme="majorBidi"/>
                <w:i/>
                <w:iCs/>
              </w:rPr>
              <w:t>A</w:t>
            </w:r>
            <w:r w:rsidRPr="006D631C">
              <w:rPr>
                <w:rFonts w:asciiTheme="majorBidi" w:hAnsiTheme="majorBidi" w:cstheme="majorBidi"/>
                <w:i/>
                <w:iCs/>
                <w:vertAlign w:val="subscript"/>
              </w:rPr>
              <w:t>2</w:t>
            </w:r>
          </w:p>
        </w:tc>
        <w:tc>
          <w:tcPr>
            <w:tcW w:w="7371" w:type="dxa"/>
          </w:tcPr>
          <w:p w14:paraId="11675888"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Final value in Boltzmann sigmoidal equation</w:t>
            </w:r>
          </w:p>
        </w:tc>
      </w:tr>
      <w:tr w:rsidR="0011087A" w:rsidRPr="006D631C" w14:paraId="7D71A601" w14:textId="77777777" w:rsidTr="00872A50">
        <w:trPr>
          <w:trHeight w:val="454"/>
        </w:trPr>
        <w:tc>
          <w:tcPr>
            <w:tcW w:w="2263" w:type="dxa"/>
          </w:tcPr>
          <w:p w14:paraId="007D26CA" w14:textId="77777777" w:rsidR="0011087A" w:rsidRPr="006D631C" w:rsidRDefault="0011087A" w:rsidP="00872A50">
            <w:pPr>
              <w:jc w:val="left"/>
              <w:rPr>
                <w:rFonts w:asciiTheme="majorBidi" w:hAnsiTheme="majorBidi" w:cstheme="majorBidi"/>
                <w:i/>
                <w:iCs/>
                <w:color w:val="020202"/>
              </w:rPr>
            </w:pPr>
            <w:r w:rsidRPr="006D631C">
              <w:rPr>
                <w:rFonts w:asciiTheme="majorBidi" w:hAnsiTheme="majorBidi" w:cstheme="majorBidi"/>
                <w:i/>
                <w:iCs/>
              </w:rPr>
              <w:t>x</w:t>
            </w:r>
            <w:r w:rsidRPr="006D631C">
              <w:rPr>
                <w:rFonts w:asciiTheme="majorBidi" w:hAnsiTheme="majorBidi" w:cstheme="majorBidi"/>
                <w:i/>
                <w:iCs/>
                <w:vertAlign w:val="subscript"/>
              </w:rPr>
              <w:t>0</w:t>
            </w:r>
          </w:p>
        </w:tc>
        <w:tc>
          <w:tcPr>
            <w:tcW w:w="7371" w:type="dxa"/>
          </w:tcPr>
          <w:p w14:paraId="5C45D10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center value in Boltzmann sigmoidal equation</w:t>
            </w:r>
          </w:p>
        </w:tc>
      </w:tr>
      <w:tr w:rsidR="0011087A" w:rsidRPr="006D631C" w14:paraId="5F5B9F80" w14:textId="77777777" w:rsidTr="00872A50">
        <w:trPr>
          <w:trHeight w:val="454"/>
        </w:trPr>
        <w:tc>
          <w:tcPr>
            <w:tcW w:w="2263" w:type="dxa"/>
          </w:tcPr>
          <w:p w14:paraId="0BFA6835" w14:textId="77777777" w:rsidR="0011087A" w:rsidRPr="006D631C" w:rsidRDefault="0011087A" w:rsidP="00872A50">
            <w:pPr>
              <w:jc w:val="left"/>
              <w:rPr>
                <w:rFonts w:asciiTheme="majorBidi" w:hAnsiTheme="majorBidi" w:cstheme="majorBidi"/>
                <w:i/>
                <w:iCs/>
                <w:color w:val="020202"/>
              </w:rPr>
            </w:pPr>
            <w:r w:rsidRPr="006D631C">
              <w:rPr>
                <w:rFonts w:asciiTheme="majorBidi" w:hAnsiTheme="majorBidi" w:cstheme="majorBidi"/>
                <w:i/>
                <w:iCs/>
              </w:rPr>
              <w:lastRenderedPageBreak/>
              <w:t>m</w:t>
            </w:r>
          </w:p>
        </w:tc>
        <w:tc>
          <w:tcPr>
            <w:tcW w:w="7371" w:type="dxa"/>
          </w:tcPr>
          <w:p w14:paraId="207C65D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Slope in Boltzmann sigmoidal equation</w:t>
            </w:r>
          </w:p>
        </w:tc>
      </w:tr>
      <w:tr w:rsidR="0011087A" w:rsidRPr="006D631C" w14:paraId="50BAEA6B" w14:textId="77777777" w:rsidTr="00872A50">
        <w:trPr>
          <w:trHeight w:val="454"/>
        </w:trPr>
        <w:tc>
          <w:tcPr>
            <w:tcW w:w="2263" w:type="dxa"/>
          </w:tcPr>
          <w:p w14:paraId="5902ECC1"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SANS</w:t>
            </w:r>
          </w:p>
        </w:tc>
        <w:tc>
          <w:tcPr>
            <w:tcW w:w="7371" w:type="dxa"/>
          </w:tcPr>
          <w:p w14:paraId="6041A099"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Small-angle neutron scattering</w:t>
            </w:r>
          </w:p>
        </w:tc>
      </w:tr>
      <w:tr w:rsidR="0011087A" w:rsidRPr="006D631C" w14:paraId="4090A8D2" w14:textId="77777777" w:rsidTr="00872A50">
        <w:trPr>
          <w:trHeight w:val="454"/>
        </w:trPr>
        <w:tc>
          <w:tcPr>
            <w:tcW w:w="2263" w:type="dxa"/>
          </w:tcPr>
          <w:p w14:paraId="2DBFE6BC"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PCS</w:t>
            </w:r>
          </w:p>
        </w:tc>
        <w:tc>
          <w:tcPr>
            <w:tcW w:w="7371" w:type="dxa"/>
          </w:tcPr>
          <w:p w14:paraId="3603884C"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Photon correlation spectroscopy</w:t>
            </w:r>
          </w:p>
        </w:tc>
      </w:tr>
      <w:tr w:rsidR="0011087A" w:rsidRPr="006D631C" w14:paraId="707567F8" w14:textId="77777777" w:rsidTr="00872A50">
        <w:trPr>
          <w:trHeight w:val="454"/>
        </w:trPr>
        <w:tc>
          <w:tcPr>
            <w:tcW w:w="2263" w:type="dxa"/>
          </w:tcPr>
          <w:p w14:paraId="08A958A2"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P84</w:t>
            </w:r>
          </w:p>
        </w:tc>
        <w:tc>
          <w:tcPr>
            <w:tcW w:w="7371" w:type="dxa"/>
          </w:tcPr>
          <w:p w14:paraId="63B9F83F"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Pluronic P84</w:t>
            </w:r>
          </w:p>
        </w:tc>
      </w:tr>
      <w:tr w:rsidR="0011087A" w:rsidRPr="006D631C" w14:paraId="3BC5676D" w14:textId="77777777" w:rsidTr="00872A50">
        <w:trPr>
          <w:trHeight w:val="454"/>
        </w:trPr>
        <w:tc>
          <w:tcPr>
            <w:tcW w:w="2263" w:type="dxa"/>
          </w:tcPr>
          <w:p w14:paraId="63228230"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P84DA</w:t>
            </w:r>
          </w:p>
        </w:tc>
        <w:tc>
          <w:tcPr>
            <w:tcW w:w="7371" w:type="dxa"/>
          </w:tcPr>
          <w:p w14:paraId="3DE9574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Pluronic P84 diacrylate</w:t>
            </w:r>
          </w:p>
        </w:tc>
      </w:tr>
      <w:tr w:rsidR="0011087A" w:rsidRPr="006D631C" w14:paraId="31CF5739" w14:textId="77777777" w:rsidTr="00872A50">
        <w:trPr>
          <w:trHeight w:val="454"/>
        </w:trPr>
        <w:tc>
          <w:tcPr>
            <w:tcW w:w="2263" w:type="dxa"/>
          </w:tcPr>
          <w:p w14:paraId="1F1DA262"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[BMIM][BF</w:t>
            </w:r>
            <w:r w:rsidRPr="006D631C">
              <w:rPr>
                <w:rFonts w:asciiTheme="majorBidi" w:hAnsiTheme="majorBidi" w:cstheme="majorBidi"/>
                <w:color w:val="020202"/>
                <w:vertAlign w:val="subscript"/>
              </w:rPr>
              <w:t>4</w:t>
            </w:r>
            <w:r w:rsidRPr="006D631C">
              <w:rPr>
                <w:rFonts w:asciiTheme="majorBidi" w:hAnsiTheme="majorBidi" w:cstheme="majorBidi"/>
                <w:color w:val="020202"/>
              </w:rPr>
              <w:t>]</w:t>
            </w:r>
          </w:p>
        </w:tc>
        <w:tc>
          <w:tcPr>
            <w:tcW w:w="7371" w:type="dxa"/>
          </w:tcPr>
          <w:p w14:paraId="4EEB3EA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color w:val="020202"/>
              </w:rPr>
              <w:t xml:space="preserve">1-Butyl-3-methylimidazolium </w:t>
            </w:r>
            <w:proofErr w:type="spellStart"/>
            <w:r w:rsidRPr="006D631C">
              <w:rPr>
                <w:rFonts w:asciiTheme="majorBidi" w:hAnsiTheme="majorBidi" w:cstheme="majorBidi"/>
                <w:color w:val="020202"/>
              </w:rPr>
              <w:t>tetrafluoroborate</w:t>
            </w:r>
            <w:proofErr w:type="spellEnd"/>
          </w:p>
        </w:tc>
      </w:tr>
      <w:tr w:rsidR="0011087A" w:rsidRPr="006D631C" w14:paraId="4BA5E2D9" w14:textId="77777777" w:rsidTr="00872A50">
        <w:trPr>
          <w:trHeight w:val="454"/>
        </w:trPr>
        <w:tc>
          <w:tcPr>
            <w:tcW w:w="2263" w:type="dxa"/>
          </w:tcPr>
          <w:p w14:paraId="7A51F547"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HDDA</w:t>
            </w:r>
          </w:p>
        </w:tc>
        <w:tc>
          <w:tcPr>
            <w:tcW w:w="7371" w:type="dxa"/>
          </w:tcPr>
          <w:p w14:paraId="353BA14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color w:val="020202"/>
              </w:rPr>
              <w:t>1,6-hexanediol diacrylate</w:t>
            </w:r>
          </w:p>
        </w:tc>
      </w:tr>
      <w:tr w:rsidR="0011087A" w:rsidRPr="006D631C" w14:paraId="54AADBA2" w14:textId="77777777" w:rsidTr="00872A50">
        <w:trPr>
          <w:trHeight w:val="454"/>
        </w:trPr>
        <w:tc>
          <w:tcPr>
            <w:tcW w:w="2263" w:type="dxa"/>
          </w:tcPr>
          <w:p w14:paraId="35FC8D6D"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DCM</w:t>
            </w:r>
          </w:p>
        </w:tc>
        <w:tc>
          <w:tcPr>
            <w:tcW w:w="7371" w:type="dxa"/>
          </w:tcPr>
          <w:p w14:paraId="34CA6C55"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Dichloromethane</w:t>
            </w:r>
          </w:p>
        </w:tc>
      </w:tr>
      <w:tr w:rsidR="0011087A" w:rsidRPr="006D631C" w14:paraId="48446153" w14:textId="77777777" w:rsidTr="00872A50">
        <w:trPr>
          <w:trHeight w:val="454"/>
        </w:trPr>
        <w:tc>
          <w:tcPr>
            <w:tcW w:w="2263" w:type="dxa"/>
          </w:tcPr>
          <w:p w14:paraId="39B8BF20"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HCPK</w:t>
            </w:r>
          </w:p>
        </w:tc>
        <w:tc>
          <w:tcPr>
            <w:tcW w:w="7371" w:type="dxa"/>
          </w:tcPr>
          <w:p w14:paraId="7F89105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1-Hydroxycyclohexyl phenyl ketone</w:t>
            </w:r>
          </w:p>
        </w:tc>
      </w:tr>
      <w:tr w:rsidR="0011087A" w:rsidRPr="006D631C" w14:paraId="7A3AD87C" w14:textId="77777777" w:rsidTr="00872A50">
        <w:trPr>
          <w:trHeight w:val="454"/>
        </w:trPr>
        <w:tc>
          <w:tcPr>
            <w:tcW w:w="2263" w:type="dxa"/>
          </w:tcPr>
          <w:p w14:paraId="02567BE8"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DR23</w:t>
            </w:r>
          </w:p>
        </w:tc>
        <w:tc>
          <w:tcPr>
            <w:tcW w:w="7371" w:type="dxa"/>
          </w:tcPr>
          <w:p w14:paraId="4ADC231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Direct red 23</w:t>
            </w:r>
          </w:p>
        </w:tc>
      </w:tr>
      <w:tr w:rsidR="0011087A" w:rsidRPr="006D631C" w14:paraId="3492A44E" w14:textId="77777777" w:rsidTr="00872A50">
        <w:trPr>
          <w:trHeight w:val="454"/>
        </w:trPr>
        <w:tc>
          <w:tcPr>
            <w:tcW w:w="2263" w:type="dxa"/>
          </w:tcPr>
          <w:p w14:paraId="3E90078E"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DR80</w:t>
            </w:r>
          </w:p>
        </w:tc>
        <w:tc>
          <w:tcPr>
            <w:tcW w:w="7371" w:type="dxa"/>
          </w:tcPr>
          <w:p w14:paraId="367EABD4"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Direct red 80</w:t>
            </w:r>
          </w:p>
        </w:tc>
      </w:tr>
      <w:tr w:rsidR="0011087A" w:rsidRPr="006D631C" w14:paraId="5C3833BC" w14:textId="77777777" w:rsidTr="00872A50">
        <w:trPr>
          <w:trHeight w:val="454"/>
        </w:trPr>
        <w:tc>
          <w:tcPr>
            <w:tcW w:w="2263" w:type="dxa"/>
          </w:tcPr>
          <w:p w14:paraId="78B61854"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ATR-FTIR</w:t>
            </w:r>
          </w:p>
        </w:tc>
        <w:tc>
          <w:tcPr>
            <w:tcW w:w="7371" w:type="dxa"/>
          </w:tcPr>
          <w:p w14:paraId="7CD0401B"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Attenuated total reflectance-Fourier transform infrared spectroscopy</w:t>
            </w:r>
          </w:p>
        </w:tc>
      </w:tr>
      <w:tr w:rsidR="0011087A" w:rsidRPr="006D631C" w14:paraId="2AD2F801" w14:textId="77777777" w:rsidTr="00872A50">
        <w:trPr>
          <w:trHeight w:val="454"/>
        </w:trPr>
        <w:tc>
          <w:tcPr>
            <w:tcW w:w="2263" w:type="dxa"/>
          </w:tcPr>
          <w:p w14:paraId="73258ABC"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i/>
                <w:iCs/>
              </w:rPr>
              <w:t>W</w:t>
            </w:r>
            <w:r w:rsidRPr="006D631C">
              <w:rPr>
                <w:rFonts w:asciiTheme="majorBidi" w:hAnsiTheme="majorBidi" w:cstheme="majorBidi"/>
                <w:i/>
                <w:iCs/>
                <w:vertAlign w:val="subscript"/>
              </w:rPr>
              <w:t>0</w:t>
            </w:r>
          </w:p>
        </w:tc>
        <w:tc>
          <w:tcPr>
            <w:tcW w:w="7371" w:type="dxa"/>
          </w:tcPr>
          <w:p w14:paraId="02484D87"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Weight of dry polyLLC</w:t>
            </w:r>
          </w:p>
        </w:tc>
      </w:tr>
      <w:tr w:rsidR="0011087A" w:rsidRPr="006D631C" w14:paraId="58D20E1A" w14:textId="77777777" w:rsidTr="00872A50">
        <w:trPr>
          <w:trHeight w:val="454"/>
        </w:trPr>
        <w:tc>
          <w:tcPr>
            <w:tcW w:w="2263" w:type="dxa"/>
          </w:tcPr>
          <w:p w14:paraId="7A810E89" w14:textId="77777777" w:rsidR="0011087A" w:rsidRPr="006D631C" w:rsidRDefault="0011087A" w:rsidP="00872A50">
            <w:pPr>
              <w:jc w:val="left"/>
              <w:rPr>
                <w:rFonts w:asciiTheme="majorBidi" w:hAnsiTheme="majorBidi" w:cstheme="majorBidi"/>
                <w:color w:val="020202"/>
              </w:rPr>
            </w:pPr>
            <w:proofErr w:type="spellStart"/>
            <w:r w:rsidRPr="006D631C">
              <w:rPr>
                <w:rFonts w:asciiTheme="majorBidi" w:hAnsiTheme="majorBidi" w:cstheme="majorBidi"/>
                <w:i/>
                <w:iCs/>
              </w:rPr>
              <w:t>W</w:t>
            </w:r>
            <w:r w:rsidRPr="006D631C">
              <w:rPr>
                <w:rFonts w:asciiTheme="majorBidi" w:hAnsiTheme="majorBidi" w:cstheme="majorBidi"/>
                <w:i/>
                <w:iCs/>
                <w:vertAlign w:val="subscript"/>
              </w:rPr>
              <w:t>t</w:t>
            </w:r>
            <w:proofErr w:type="spellEnd"/>
          </w:p>
        </w:tc>
        <w:tc>
          <w:tcPr>
            <w:tcW w:w="7371" w:type="dxa"/>
          </w:tcPr>
          <w:p w14:paraId="44179C40"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Weight of water-swollen polyLLC</w:t>
            </w:r>
          </w:p>
        </w:tc>
      </w:tr>
      <w:tr w:rsidR="0011087A" w:rsidRPr="006D631C" w14:paraId="33581C7F" w14:textId="77777777" w:rsidTr="00872A50">
        <w:trPr>
          <w:trHeight w:val="454"/>
        </w:trPr>
        <w:tc>
          <w:tcPr>
            <w:tcW w:w="2263" w:type="dxa"/>
          </w:tcPr>
          <w:p w14:paraId="0D73E6E5" w14:textId="77777777" w:rsidR="0011087A" w:rsidRPr="006D631C" w:rsidRDefault="0011087A" w:rsidP="00872A50">
            <w:pPr>
              <w:jc w:val="left"/>
              <w:rPr>
                <w:rFonts w:asciiTheme="majorBidi" w:hAnsiTheme="majorBidi" w:cstheme="majorBidi"/>
                <w:color w:val="020202"/>
              </w:rPr>
            </w:pPr>
            <w:r w:rsidRPr="006D631C">
              <w:rPr>
                <w:rFonts w:asciiTheme="majorBidi" w:hAnsiTheme="majorBidi" w:cstheme="majorBidi"/>
                <w:color w:val="020202"/>
              </w:rPr>
              <w:t>SEM</w:t>
            </w:r>
          </w:p>
        </w:tc>
        <w:tc>
          <w:tcPr>
            <w:tcW w:w="7371" w:type="dxa"/>
          </w:tcPr>
          <w:p w14:paraId="326DA4CD"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Scanning electron microscope</w:t>
            </w:r>
          </w:p>
        </w:tc>
      </w:tr>
      <w:tr w:rsidR="0011087A" w:rsidRPr="006D631C" w14:paraId="58B77099" w14:textId="77777777" w:rsidTr="00872A50">
        <w:trPr>
          <w:trHeight w:val="454"/>
        </w:trPr>
        <w:tc>
          <w:tcPr>
            <w:tcW w:w="2263" w:type="dxa"/>
          </w:tcPr>
          <w:p w14:paraId="564A0DAD" w14:textId="77777777" w:rsidR="0011087A" w:rsidRPr="006D631C" w:rsidRDefault="0011087A" w:rsidP="00872A50">
            <w:pPr>
              <w:jc w:val="left"/>
              <w:rPr>
                <w:rFonts w:asciiTheme="majorBidi" w:hAnsiTheme="majorBidi" w:cstheme="majorBidi"/>
                <w:color w:val="020202"/>
              </w:rPr>
            </w:pPr>
            <w:proofErr w:type="spellStart"/>
            <w:r w:rsidRPr="006D631C">
              <w:rPr>
                <w:rFonts w:asciiTheme="majorBidi" w:hAnsiTheme="majorBidi" w:cstheme="majorBidi"/>
              </w:rPr>
              <w:t>Δ</w:t>
            </w:r>
            <w:r w:rsidRPr="006D631C">
              <w:rPr>
                <w:rFonts w:asciiTheme="majorBidi" w:hAnsiTheme="majorBidi" w:cstheme="majorBidi"/>
                <w:i/>
                <w:iCs/>
              </w:rPr>
              <w:t>q</w:t>
            </w:r>
            <w:proofErr w:type="spellEnd"/>
          </w:p>
        </w:tc>
        <w:tc>
          <w:tcPr>
            <w:tcW w:w="7371" w:type="dxa"/>
          </w:tcPr>
          <w:p w14:paraId="71FB8202"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Full width at half-maximum (FWHM) of the principal scattering peak at q*</w:t>
            </w:r>
          </w:p>
        </w:tc>
      </w:tr>
      <w:tr w:rsidR="0011087A" w:rsidRPr="006D631C" w14:paraId="68C7DBB6" w14:textId="77777777" w:rsidTr="00872A50">
        <w:trPr>
          <w:trHeight w:val="454"/>
        </w:trPr>
        <w:tc>
          <w:tcPr>
            <w:tcW w:w="2263" w:type="dxa"/>
          </w:tcPr>
          <w:p w14:paraId="106790C0" w14:textId="77777777" w:rsidR="0011087A" w:rsidRPr="006D631C" w:rsidRDefault="0011087A" w:rsidP="00872A50">
            <w:pPr>
              <w:jc w:val="left"/>
              <w:rPr>
                <w:rFonts w:asciiTheme="majorBidi" w:hAnsiTheme="majorBidi" w:cstheme="majorBidi"/>
                <w:color w:val="020202"/>
              </w:rPr>
            </w:pPr>
            <w:proofErr w:type="spellStart"/>
            <w:r w:rsidRPr="006D631C">
              <w:rPr>
                <w:rFonts w:asciiTheme="majorBidi" w:hAnsiTheme="majorBidi" w:cstheme="majorBidi"/>
                <w:i/>
                <w:iCs/>
              </w:rPr>
              <w:t>ϕ</w:t>
            </w:r>
            <w:r w:rsidRPr="006D631C">
              <w:rPr>
                <w:rFonts w:asciiTheme="majorBidi" w:hAnsiTheme="majorBidi" w:cstheme="majorBidi"/>
                <w:i/>
                <w:iCs/>
                <w:vertAlign w:val="subscript"/>
              </w:rPr>
              <w:t>PPO</w:t>
            </w:r>
            <w:proofErr w:type="spellEnd"/>
          </w:p>
        </w:tc>
        <w:tc>
          <w:tcPr>
            <w:tcW w:w="7371" w:type="dxa"/>
          </w:tcPr>
          <w:p w14:paraId="7028D031"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PPO block in the Pluronic block copolymer</w:t>
            </w:r>
          </w:p>
        </w:tc>
      </w:tr>
      <w:tr w:rsidR="0011087A" w:rsidRPr="006D631C" w14:paraId="258B9442" w14:textId="77777777" w:rsidTr="00872A50">
        <w:trPr>
          <w:trHeight w:val="454"/>
        </w:trPr>
        <w:tc>
          <w:tcPr>
            <w:tcW w:w="2263" w:type="dxa"/>
          </w:tcPr>
          <w:p w14:paraId="5644D552" w14:textId="77777777" w:rsidR="0011087A" w:rsidRPr="006D631C" w:rsidRDefault="0011087A" w:rsidP="00872A50">
            <w:pPr>
              <w:jc w:val="left"/>
              <w:rPr>
                <w:rFonts w:asciiTheme="majorBidi" w:hAnsiTheme="majorBidi" w:cstheme="majorBidi"/>
                <w:color w:val="020202"/>
              </w:rPr>
            </w:pPr>
            <w:proofErr w:type="spellStart"/>
            <w:r w:rsidRPr="006D631C">
              <w:rPr>
                <w:rFonts w:asciiTheme="majorBidi" w:hAnsiTheme="majorBidi" w:cstheme="majorBidi"/>
                <w:i/>
                <w:iCs/>
              </w:rPr>
              <w:t>ϕ</w:t>
            </w:r>
            <w:r w:rsidRPr="006D631C">
              <w:rPr>
                <w:rFonts w:asciiTheme="majorBidi" w:hAnsiTheme="majorBidi" w:cstheme="majorBidi"/>
                <w:i/>
                <w:iCs/>
                <w:vertAlign w:val="subscript"/>
              </w:rPr>
              <w:t>HDDA</w:t>
            </w:r>
            <w:proofErr w:type="spellEnd"/>
          </w:p>
        </w:tc>
        <w:tc>
          <w:tcPr>
            <w:tcW w:w="7371" w:type="dxa"/>
          </w:tcPr>
          <w:p w14:paraId="29B87C76" w14:textId="77777777" w:rsidR="0011087A" w:rsidRPr="006D631C" w:rsidRDefault="0011087A" w:rsidP="00872A50">
            <w:pPr>
              <w:jc w:val="left"/>
              <w:rPr>
                <w:rFonts w:asciiTheme="majorBidi" w:hAnsiTheme="majorBidi" w:cstheme="majorBidi"/>
              </w:rPr>
            </w:pPr>
            <w:r w:rsidRPr="006D631C">
              <w:rPr>
                <w:rFonts w:asciiTheme="majorBidi" w:hAnsiTheme="majorBidi" w:cstheme="majorBidi"/>
              </w:rPr>
              <w:t>Volume fraction of HDDA</w:t>
            </w:r>
          </w:p>
        </w:tc>
      </w:tr>
      <w:tr w:rsidR="0011087A" w:rsidRPr="006D631C" w14:paraId="1779A9FF" w14:textId="77777777" w:rsidTr="00872A50">
        <w:trPr>
          <w:trHeight w:val="454"/>
        </w:trPr>
        <w:tc>
          <w:tcPr>
            <w:tcW w:w="2263" w:type="dxa"/>
          </w:tcPr>
          <w:p w14:paraId="76C37633" w14:textId="7C65D849" w:rsidR="0011087A" w:rsidRPr="006D631C" w:rsidRDefault="00CE2DBD" w:rsidP="00872A50">
            <w:pPr>
              <w:jc w:val="left"/>
              <w:rPr>
                <w:rFonts w:asciiTheme="majorBidi" w:hAnsiTheme="majorBidi" w:cstheme="majorBidi"/>
                <w:color w:val="020202"/>
              </w:rPr>
            </w:pPr>
            <w:r w:rsidRPr="006D631C">
              <w:rPr>
                <w:rFonts w:asciiTheme="majorBidi" w:hAnsiTheme="majorBidi" w:cstheme="majorBidi"/>
                <w:color w:val="020202"/>
              </w:rPr>
              <w:t>DMAEMA</w:t>
            </w:r>
          </w:p>
        </w:tc>
        <w:tc>
          <w:tcPr>
            <w:tcW w:w="7371" w:type="dxa"/>
          </w:tcPr>
          <w:p w14:paraId="439A74A5" w14:textId="19A83119" w:rsidR="0011087A" w:rsidRPr="006D631C" w:rsidRDefault="00CE2DBD" w:rsidP="00872A50">
            <w:pPr>
              <w:jc w:val="left"/>
              <w:rPr>
                <w:rFonts w:asciiTheme="majorBidi" w:hAnsiTheme="majorBidi" w:cstheme="majorBidi"/>
              </w:rPr>
            </w:pPr>
            <w:r w:rsidRPr="006D631C">
              <w:rPr>
                <w:rFonts w:asciiTheme="majorBidi" w:hAnsiTheme="majorBidi" w:cstheme="majorBidi"/>
              </w:rPr>
              <w:t>2-(</w:t>
            </w:r>
            <w:proofErr w:type="spellStart"/>
            <w:r w:rsidRPr="006D631C">
              <w:rPr>
                <w:rFonts w:asciiTheme="majorBidi" w:hAnsiTheme="majorBidi" w:cstheme="majorBidi"/>
              </w:rPr>
              <w:t>Dimethylamino</w:t>
            </w:r>
            <w:proofErr w:type="spellEnd"/>
            <w:r w:rsidRPr="006D631C">
              <w:rPr>
                <w:rFonts w:asciiTheme="majorBidi" w:hAnsiTheme="majorBidi" w:cstheme="majorBidi"/>
              </w:rPr>
              <w:t>)ethyl methacrylate</w:t>
            </w:r>
          </w:p>
        </w:tc>
      </w:tr>
      <w:tr w:rsidR="0011087A" w:rsidRPr="006D631C" w14:paraId="5E206D32" w14:textId="77777777" w:rsidTr="00872A50">
        <w:trPr>
          <w:trHeight w:val="454"/>
        </w:trPr>
        <w:tc>
          <w:tcPr>
            <w:tcW w:w="2263" w:type="dxa"/>
          </w:tcPr>
          <w:p w14:paraId="317B5D20" w14:textId="77777777" w:rsidR="0011087A" w:rsidRPr="006D631C" w:rsidRDefault="0011087A" w:rsidP="00872A50">
            <w:pPr>
              <w:jc w:val="left"/>
              <w:rPr>
                <w:rFonts w:asciiTheme="majorBidi" w:hAnsiTheme="majorBidi" w:cstheme="majorBidi"/>
                <w:color w:val="020202"/>
              </w:rPr>
            </w:pPr>
          </w:p>
        </w:tc>
        <w:tc>
          <w:tcPr>
            <w:tcW w:w="7371" w:type="dxa"/>
          </w:tcPr>
          <w:p w14:paraId="64B06505" w14:textId="77777777" w:rsidR="0011087A" w:rsidRPr="006D631C" w:rsidRDefault="0011087A" w:rsidP="00872A50">
            <w:pPr>
              <w:jc w:val="left"/>
              <w:rPr>
                <w:rFonts w:asciiTheme="majorBidi" w:hAnsiTheme="majorBidi" w:cstheme="majorBidi"/>
              </w:rPr>
            </w:pPr>
          </w:p>
        </w:tc>
      </w:tr>
      <w:tr w:rsidR="0011087A" w:rsidRPr="006D631C" w14:paraId="40065E5B" w14:textId="77777777" w:rsidTr="00872A50">
        <w:trPr>
          <w:trHeight w:val="454"/>
        </w:trPr>
        <w:tc>
          <w:tcPr>
            <w:tcW w:w="2263" w:type="dxa"/>
          </w:tcPr>
          <w:p w14:paraId="1D0A0516" w14:textId="77777777" w:rsidR="0011087A" w:rsidRPr="006D631C" w:rsidRDefault="0011087A" w:rsidP="00872A50">
            <w:pPr>
              <w:jc w:val="left"/>
              <w:rPr>
                <w:rFonts w:asciiTheme="majorBidi" w:hAnsiTheme="majorBidi" w:cstheme="majorBidi"/>
                <w:color w:val="020202"/>
              </w:rPr>
            </w:pPr>
          </w:p>
        </w:tc>
        <w:tc>
          <w:tcPr>
            <w:tcW w:w="7371" w:type="dxa"/>
          </w:tcPr>
          <w:p w14:paraId="2471E261" w14:textId="77777777" w:rsidR="0011087A" w:rsidRPr="006D631C" w:rsidRDefault="0011087A" w:rsidP="00872A50">
            <w:pPr>
              <w:jc w:val="left"/>
              <w:rPr>
                <w:rFonts w:asciiTheme="majorBidi" w:hAnsiTheme="majorBidi" w:cstheme="majorBidi"/>
              </w:rPr>
            </w:pPr>
          </w:p>
        </w:tc>
      </w:tr>
      <w:tr w:rsidR="0011087A" w:rsidRPr="006D631C" w14:paraId="6748D9DB" w14:textId="77777777" w:rsidTr="00872A50">
        <w:trPr>
          <w:trHeight w:val="454"/>
        </w:trPr>
        <w:tc>
          <w:tcPr>
            <w:tcW w:w="2263" w:type="dxa"/>
          </w:tcPr>
          <w:p w14:paraId="4F5EAEF6" w14:textId="77777777" w:rsidR="0011087A" w:rsidRPr="006D631C" w:rsidRDefault="0011087A" w:rsidP="00872A50">
            <w:pPr>
              <w:jc w:val="left"/>
              <w:rPr>
                <w:rFonts w:asciiTheme="majorBidi" w:hAnsiTheme="majorBidi" w:cstheme="majorBidi"/>
                <w:color w:val="020202"/>
              </w:rPr>
            </w:pPr>
          </w:p>
        </w:tc>
        <w:tc>
          <w:tcPr>
            <w:tcW w:w="7371" w:type="dxa"/>
          </w:tcPr>
          <w:p w14:paraId="7E6AEE67" w14:textId="77777777" w:rsidR="0011087A" w:rsidRPr="006D631C" w:rsidRDefault="0011087A" w:rsidP="00872A50">
            <w:pPr>
              <w:jc w:val="left"/>
              <w:rPr>
                <w:rFonts w:asciiTheme="majorBidi" w:hAnsiTheme="majorBidi" w:cstheme="majorBidi"/>
              </w:rPr>
            </w:pPr>
          </w:p>
        </w:tc>
      </w:tr>
      <w:tr w:rsidR="0011087A" w:rsidRPr="006D631C" w14:paraId="5ACA93CD" w14:textId="77777777" w:rsidTr="00872A50">
        <w:trPr>
          <w:trHeight w:val="454"/>
        </w:trPr>
        <w:tc>
          <w:tcPr>
            <w:tcW w:w="2263" w:type="dxa"/>
          </w:tcPr>
          <w:p w14:paraId="70DA8AE3" w14:textId="77777777" w:rsidR="0011087A" w:rsidRPr="006D631C" w:rsidRDefault="0011087A" w:rsidP="00872A50">
            <w:pPr>
              <w:jc w:val="left"/>
              <w:rPr>
                <w:rFonts w:asciiTheme="majorBidi" w:hAnsiTheme="majorBidi" w:cstheme="majorBidi"/>
                <w:color w:val="020202"/>
              </w:rPr>
            </w:pPr>
          </w:p>
        </w:tc>
        <w:tc>
          <w:tcPr>
            <w:tcW w:w="7371" w:type="dxa"/>
          </w:tcPr>
          <w:p w14:paraId="0B0F08A0" w14:textId="77777777" w:rsidR="0011087A" w:rsidRPr="006D631C" w:rsidRDefault="0011087A" w:rsidP="00872A50">
            <w:pPr>
              <w:jc w:val="left"/>
              <w:rPr>
                <w:rFonts w:asciiTheme="majorBidi" w:hAnsiTheme="majorBidi" w:cstheme="majorBidi"/>
              </w:rPr>
            </w:pPr>
          </w:p>
        </w:tc>
      </w:tr>
    </w:tbl>
    <w:p w14:paraId="0E7F0778" w14:textId="45369604" w:rsidR="00B34AE4" w:rsidRPr="006D631C" w:rsidRDefault="00B34AE4" w:rsidP="001B2C4E">
      <w:pPr>
        <w:pStyle w:val="Heading2"/>
        <w:jc w:val="center"/>
      </w:pPr>
      <w:bookmarkStart w:id="242" w:name="_Toc148175898"/>
      <w:r w:rsidRPr="006D631C">
        <w:lastRenderedPageBreak/>
        <w:t xml:space="preserve">APPENDIX </w:t>
      </w:r>
      <w:r w:rsidR="00DB48F7" w:rsidRPr="006D631C">
        <w:t>B</w:t>
      </w:r>
      <w:bookmarkEnd w:id="242"/>
    </w:p>
    <w:p w14:paraId="68357171" w14:textId="4006E62C" w:rsidR="00DD16FC" w:rsidRPr="006D631C" w:rsidRDefault="00DB48F7" w:rsidP="001B2C4E">
      <w:pPr>
        <w:pStyle w:val="Heading2"/>
        <w:jc w:val="center"/>
      </w:pPr>
      <w:bookmarkStart w:id="243" w:name="_Toc148175899"/>
      <w:r w:rsidRPr="006D631C">
        <w:t>SUPPORTING INFORMATION FOR CHAPTER 1</w:t>
      </w:r>
      <w:bookmarkEnd w:id="243"/>
    </w:p>
    <w:p w14:paraId="29896C33" w14:textId="25D5CC55" w:rsidR="00CE3832" w:rsidRPr="006D631C" w:rsidRDefault="00CE3832" w:rsidP="00221FBC">
      <w:pPr>
        <w:tabs>
          <w:tab w:val="left" w:pos="0"/>
          <w:tab w:val="left" w:pos="360"/>
          <w:tab w:val="left" w:pos="992"/>
        </w:tabs>
        <w:spacing w:line="276" w:lineRule="auto"/>
        <w:jc w:val="center"/>
        <w:rPr>
          <w:rFonts w:asciiTheme="majorBidi" w:hAnsiTheme="majorBidi" w:cstheme="majorBidi"/>
          <w:sz w:val="22"/>
          <w:szCs w:val="22"/>
        </w:rPr>
      </w:pPr>
      <w:r w:rsidRPr="006D631C">
        <w:rPr>
          <w:rFonts w:asciiTheme="majorBidi" w:hAnsiTheme="majorBidi" w:cstheme="majorBidi"/>
          <w:sz w:val="22"/>
          <w:szCs w:val="22"/>
        </w:rPr>
        <w:t xml:space="preserve">Table B1. </w:t>
      </w:r>
      <w:proofErr w:type="spellStart"/>
      <w:r w:rsidRPr="006D631C">
        <w:rPr>
          <w:rFonts w:asciiTheme="majorBidi" w:hAnsiTheme="majorBidi" w:cstheme="majorBidi"/>
          <w:sz w:val="22"/>
          <w:szCs w:val="22"/>
        </w:rPr>
        <w:t>Amphiphiles</w:t>
      </w:r>
      <w:proofErr w:type="spellEnd"/>
      <w:r w:rsidRPr="006D631C">
        <w:rPr>
          <w:rFonts w:asciiTheme="majorBidi" w:hAnsiTheme="majorBidi" w:cstheme="majorBidi"/>
          <w:sz w:val="22"/>
          <w:szCs w:val="22"/>
        </w:rPr>
        <w:t>, (co)monomers, cross-linkers and initiators used in LLC templating.</w:t>
      </w:r>
    </w:p>
    <w:tbl>
      <w:tblPr>
        <w:tblW w:w="8931" w:type="dxa"/>
        <w:jc w:val="center"/>
        <w:tblLayout w:type="fixed"/>
        <w:tblLook w:val="04A0" w:firstRow="1" w:lastRow="0" w:firstColumn="1" w:lastColumn="0" w:noHBand="0" w:noVBand="1"/>
      </w:tblPr>
      <w:tblGrid>
        <w:gridCol w:w="426"/>
        <w:gridCol w:w="850"/>
        <w:gridCol w:w="7655"/>
      </w:tblGrid>
      <w:tr w:rsidR="00CE3832" w:rsidRPr="006D631C" w14:paraId="3C196200" w14:textId="77777777" w:rsidTr="00A35CE8">
        <w:trPr>
          <w:cantSplit/>
          <w:trHeight w:val="20"/>
          <w:jc w:val="center"/>
        </w:trPr>
        <w:tc>
          <w:tcPr>
            <w:tcW w:w="426" w:type="dxa"/>
            <w:tcBorders>
              <w:top w:val="single" w:sz="8" w:space="0" w:color="auto"/>
              <w:left w:val="nil"/>
              <w:bottom w:val="single" w:sz="8" w:space="0" w:color="auto"/>
              <w:right w:val="nil"/>
            </w:tcBorders>
            <w:shd w:val="clear" w:color="000000" w:fill="FFFFFF"/>
            <w:noWrap/>
            <w:hideMark/>
          </w:tcPr>
          <w:p w14:paraId="1808A3AA" w14:textId="77777777" w:rsidR="00CE3832" w:rsidRPr="006D631C" w:rsidRDefault="00CE3832" w:rsidP="00A35CE8">
            <w:pPr>
              <w:spacing w:line="240" w:lineRule="auto"/>
              <w:jc w:val="center"/>
              <w:rPr>
                <w:rFonts w:ascii="Calibri" w:hAnsi="Calibri" w:cs="Calibri"/>
                <w:color w:val="000000"/>
                <w:sz w:val="20"/>
                <w:szCs w:val="20"/>
              </w:rPr>
            </w:pPr>
          </w:p>
        </w:tc>
        <w:tc>
          <w:tcPr>
            <w:tcW w:w="850" w:type="dxa"/>
            <w:tcBorders>
              <w:top w:val="single" w:sz="8" w:space="0" w:color="auto"/>
              <w:left w:val="nil"/>
              <w:bottom w:val="single" w:sz="8" w:space="0" w:color="auto"/>
              <w:right w:val="nil"/>
            </w:tcBorders>
            <w:shd w:val="clear" w:color="000000" w:fill="FFFFFF"/>
            <w:noWrap/>
            <w:hideMark/>
          </w:tcPr>
          <w:p w14:paraId="1E7B8102" w14:textId="77777777" w:rsidR="00CE3832" w:rsidRPr="006D631C" w:rsidRDefault="00CE3832" w:rsidP="00A35CE8">
            <w:pPr>
              <w:spacing w:line="240" w:lineRule="auto"/>
              <w:jc w:val="center"/>
              <w:rPr>
                <w:b/>
                <w:bCs/>
                <w:color w:val="000000"/>
                <w:sz w:val="20"/>
                <w:szCs w:val="20"/>
              </w:rPr>
            </w:pPr>
            <w:r w:rsidRPr="006D631C">
              <w:rPr>
                <w:b/>
                <w:bCs/>
                <w:color w:val="000000"/>
                <w:sz w:val="20"/>
                <w:szCs w:val="20"/>
              </w:rPr>
              <w:t>No.</w:t>
            </w:r>
          </w:p>
        </w:tc>
        <w:tc>
          <w:tcPr>
            <w:tcW w:w="7655" w:type="dxa"/>
            <w:tcBorders>
              <w:top w:val="single" w:sz="8" w:space="0" w:color="auto"/>
              <w:left w:val="nil"/>
              <w:bottom w:val="single" w:sz="8" w:space="0" w:color="auto"/>
              <w:right w:val="nil"/>
            </w:tcBorders>
            <w:shd w:val="clear" w:color="000000" w:fill="FFFFFF"/>
            <w:noWrap/>
            <w:hideMark/>
          </w:tcPr>
          <w:p w14:paraId="0310F1D0" w14:textId="77777777" w:rsidR="00CE3832" w:rsidRPr="006D631C" w:rsidRDefault="00CE3832" w:rsidP="00A35CE8">
            <w:pPr>
              <w:spacing w:line="240" w:lineRule="auto"/>
              <w:ind w:right="31"/>
              <w:jc w:val="center"/>
              <w:rPr>
                <w:b/>
                <w:bCs/>
                <w:color w:val="000000"/>
                <w:sz w:val="20"/>
                <w:szCs w:val="20"/>
              </w:rPr>
            </w:pPr>
            <w:r w:rsidRPr="006D631C">
              <w:rPr>
                <w:b/>
                <w:bCs/>
                <w:color w:val="000000"/>
                <w:sz w:val="20"/>
                <w:szCs w:val="20"/>
              </w:rPr>
              <w:t>Name/Chemical Formula</w:t>
            </w:r>
          </w:p>
        </w:tc>
      </w:tr>
      <w:tr w:rsidR="00CE3832" w:rsidRPr="006D631C" w14:paraId="280DC9DA" w14:textId="77777777" w:rsidTr="00A35CE8">
        <w:trPr>
          <w:cantSplit/>
          <w:trHeight w:val="20"/>
          <w:jc w:val="center"/>
        </w:trPr>
        <w:tc>
          <w:tcPr>
            <w:tcW w:w="426" w:type="dxa"/>
            <w:vMerge w:val="restart"/>
            <w:tcBorders>
              <w:top w:val="nil"/>
              <w:left w:val="nil"/>
              <w:bottom w:val="single" w:sz="8" w:space="0" w:color="000000"/>
              <w:right w:val="nil"/>
            </w:tcBorders>
            <w:shd w:val="clear" w:color="000000" w:fill="FFFFFF"/>
            <w:noWrap/>
            <w:textDirection w:val="btLr"/>
            <w:hideMark/>
          </w:tcPr>
          <w:p w14:paraId="34D15EA3" w14:textId="77777777" w:rsidR="00CE3832" w:rsidRPr="006D631C" w:rsidRDefault="00CE3832" w:rsidP="00A35CE8">
            <w:pPr>
              <w:spacing w:line="240" w:lineRule="auto"/>
              <w:jc w:val="center"/>
              <w:rPr>
                <w:b/>
                <w:bCs/>
                <w:color w:val="000000"/>
                <w:sz w:val="22"/>
                <w:szCs w:val="22"/>
              </w:rPr>
            </w:pPr>
            <w:r w:rsidRPr="006D631C">
              <w:rPr>
                <w:b/>
                <w:bCs/>
                <w:color w:val="000000"/>
                <w:sz w:val="22"/>
                <w:szCs w:val="22"/>
              </w:rPr>
              <w:t xml:space="preserve">Polymerizable </w:t>
            </w:r>
            <w:proofErr w:type="spellStart"/>
            <w:r w:rsidRPr="006D631C">
              <w:rPr>
                <w:b/>
                <w:bCs/>
                <w:color w:val="000000"/>
                <w:sz w:val="22"/>
                <w:szCs w:val="22"/>
              </w:rPr>
              <w:t>Amphiphiles</w:t>
            </w:r>
            <w:proofErr w:type="spellEnd"/>
          </w:p>
        </w:tc>
        <w:tc>
          <w:tcPr>
            <w:tcW w:w="850" w:type="dxa"/>
            <w:tcBorders>
              <w:top w:val="nil"/>
              <w:left w:val="nil"/>
              <w:bottom w:val="nil"/>
              <w:right w:val="nil"/>
            </w:tcBorders>
            <w:shd w:val="clear" w:color="000000" w:fill="FFFFFF"/>
            <w:noWrap/>
            <w:hideMark/>
          </w:tcPr>
          <w:p w14:paraId="5F286C61" w14:textId="77777777" w:rsidR="00CE3832" w:rsidRPr="006D631C" w:rsidRDefault="00CE3832" w:rsidP="00A35CE8">
            <w:pPr>
              <w:spacing w:line="240" w:lineRule="auto"/>
              <w:jc w:val="center"/>
              <w:rPr>
                <w:color w:val="000000"/>
                <w:sz w:val="20"/>
                <w:szCs w:val="20"/>
              </w:rPr>
            </w:pPr>
            <w:r w:rsidRPr="006D631C">
              <w:rPr>
                <w:color w:val="000000"/>
                <w:sz w:val="20"/>
                <w:szCs w:val="20"/>
              </w:rPr>
              <w:t>P-A-1</w:t>
            </w:r>
          </w:p>
        </w:tc>
        <w:tc>
          <w:tcPr>
            <w:tcW w:w="7655" w:type="dxa"/>
            <w:tcBorders>
              <w:top w:val="nil"/>
              <w:left w:val="nil"/>
              <w:bottom w:val="nil"/>
              <w:right w:val="nil"/>
            </w:tcBorders>
            <w:shd w:val="clear" w:color="000000" w:fill="FFFFFF"/>
            <w:noWrap/>
            <w:hideMark/>
          </w:tcPr>
          <w:p w14:paraId="2CD2A4EC" w14:textId="77777777" w:rsidR="00CE3832" w:rsidRPr="006D631C" w:rsidRDefault="00CE3832" w:rsidP="00A35CE8">
            <w:pPr>
              <w:spacing w:line="240" w:lineRule="auto"/>
              <w:jc w:val="center"/>
              <w:rPr>
                <w:color w:val="000000"/>
                <w:sz w:val="20"/>
                <w:szCs w:val="20"/>
              </w:rPr>
            </w:pPr>
            <w:r w:rsidRPr="006D631C">
              <w:rPr>
                <w:color w:val="000000"/>
                <w:sz w:val="20"/>
                <w:szCs w:val="20"/>
              </w:rPr>
              <w:t xml:space="preserve">Allyl </w:t>
            </w:r>
            <w:proofErr w:type="spellStart"/>
            <w:r w:rsidRPr="006D631C">
              <w:rPr>
                <w:color w:val="000000"/>
                <w:sz w:val="20"/>
                <w:szCs w:val="20"/>
              </w:rPr>
              <w:t>dodecyldimethylammonium</w:t>
            </w:r>
            <w:proofErr w:type="spellEnd"/>
            <w:r w:rsidRPr="006D631C">
              <w:rPr>
                <w:color w:val="000000"/>
                <w:sz w:val="20"/>
                <w:szCs w:val="20"/>
              </w:rPr>
              <w:t xml:space="preserve">  bromide</w:t>
            </w:r>
          </w:p>
        </w:tc>
      </w:tr>
      <w:tr w:rsidR="00CE3832" w:rsidRPr="006D631C" w14:paraId="4BEC4D39" w14:textId="77777777" w:rsidTr="00A35CE8">
        <w:trPr>
          <w:cantSplit/>
          <w:trHeight w:val="20"/>
          <w:jc w:val="center"/>
        </w:trPr>
        <w:tc>
          <w:tcPr>
            <w:tcW w:w="426" w:type="dxa"/>
            <w:vMerge/>
            <w:tcBorders>
              <w:top w:val="nil"/>
              <w:left w:val="nil"/>
              <w:bottom w:val="single" w:sz="8" w:space="0" w:color="000000"/>
              <w:right w:val="nil"/>
            </w:tcBorders>
            <w:hideMark/>
          </w:tcPr>
          <w:p w14:paraId="34057B0D" w14:textId="77777777" w:rsidR="00CE3832" w:rsidRPr="006D631C" w:rsidRDefault="00CE3832" w:rsidP="00A35CE8">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514E66CE" w14:textId="77777777" w:rsidR="00CE3832" w:rsidRPr="006D631C" w:rsidRDefault="00CE3832" w:rsidP="00A35CE8">
            <w:pPr>
              <w:spacing w:line="240" w:lineRule="auto"/>
              <w:jc w:val="center"/>
              <w:rPr>
                <w:color w:val="000000"/>
                <w:sz w:val="20"/>
                <w:szCs w:val="20"/>
              </w:rPr>
            </w:pPr>
            <w:r w:rsidRPr="006D631C">
              <w:rPr>
                <w:color w:val="000000"/>
                <w:sz w:val="20"/>
                <w:szCs w:val="20"/>
              </w:rPr>
              <w:t>P-A-2</w:t>
            </w:r>
          </w:p>
        </w:tc>
        <w:tc>
          <w:tcPr>
            <w:tcW w:w="7655" w:type="dxa"/>
            <w:tcBorders>
              <w:top w:val="nil"/>
              <w:left w:val="nil"/>
              <w:bottom w:val="nil"/>
              <w:right w:val="nil"/>
            </w:tcBorders>
            <w:shd w:val="clear" w:color="000000" w:fill="FFFFFF"/>
            <w:noWrap/>
            <w:hideMark/>
          </w:tcPr>
          <w:p w14:paraId="47CAD8CF" w14:textId="77777777" w:rsidR="00CE3832" w:rsidRPr="006D631C" w:rsidRDefault="00CE3832" w:rsidP="00A35CE8">
            <w:pPr>
              <w:spacing w:line="240" w:lineRule="auto"/>
              <w:jc w:val="center"/>
              <w:rPr>
                <w:color w:val="000000"/>
                <w:sz w:val="20"/>
                <w:szCs w:val="20"/>
              </w:rPr>
            </w:pPr>
            <w:r w:rsidRPr="006D631C">
              <w:rPr>
                <w:color w:val="000000"/>
                <w:sz w:val="20"/>
                <w:szCs w:val="20"/>
              </w:rPr>
              <w:t xml:space="preserve">Allyl </w:t>
            </w:r>
            <w:proofErr w:type="spellStart"/>
            <w:r w:rsidRPr="006D631C">
              <w:rPr>
                <w:color w:val="000000"/>
                <w:sz w:val="20"/>
                <w:szCs w:val="20"/>
              </w:rPr>
              <w:t>didodecylmethylammonium</w:t>
            </w:r>
            <w:proofErr w:type="spellEnd"/>
            <w:r w:rsidRPr="006D631C">
              <w:rPr>
                <w:color w:val="000000"/>
                <w:sz w:val="20"/>
                <w:szCs w:val="20"/>
              </w:rPr>
              <w:t xml:space="preserve"> bromide</w:t>
            </w:r>
          </w:p>
        </w:tc>
      </w:tr>
      <w:tr w:rsidR="00CE3832" w:rsidRPr="006D631C" w14:paraId="253E2E87" w14:textId="77777777" w:rsidTr="00A35CE8">
        <w:trPr>
          <w:cantSplit/>
          <w:trHeight w:val="20"/>
          <w:jc w:val="center"/>
        </w:trPr>
        <w:tc>
          <w:tcPr>
            <w:tcW w:w="426" w:type="dxa"/>
            <w:vMerge/>
            <w:tcBorders>
              <w:top w:val="nil"/>
              <w:left w:val="nil"/>
              <w:bottom w:val="single" w:sz="8" w:space="0" w:color="000000"/>
              <w:right w:val="nil"/>
            </w:tcBorders>
            <w:hideMark/>
          </w:tcPr>
          <w:p w14:paraId="435B5D3F" w14:textId="77777777" w:rsidR="00CE3832" w:rsidRPr="006D631C" w:rsidRDefault="00CE3832" w:rsidP="00A35CE8">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2315160D" w14:textId="77777777" w:rsidR="00CE3832" w:rsidRPr="006D631C" w:rsidRDefault="00CE3832" w:rsidP="00A35CE8">
            <w:pPr>
              <w:spacing w:line="240" w:lineRule="auto"/>
              <w:jc w:val="center"/>
              <w:rPr>
                <w:color w:val="000000"/>
                <w:sz w:val="20"/>
                <w:szCs w:val="20"/>
              </w:rPr>
            </w:pPr>
            <w:r w:rsidRPr="006D631C">
              <w:rPr>
                <w:color w:val="000000"/>
                <w:sz w:val="20"/>
                <w:szCs w:val="20"/>
              </w:rPr>
              <w:t>P-A-3</w:t>
            </w:r>
          </w:p>
        </w:tc>
        <w:tc>
          <w:tcPr>
            <w:tcW w:w="7655" w:type="dxa"/>
            <w:tcBorders>
              <w:top w:val="nil"/>
              <w:left w:val="nil"/>
              <w:bottom w:val="nil"/>
              <w:right w:val="nil"/>
            </w:tcBorders>
            <w:shd w:val="clear" w:color="000000" w:fill="FFFFFF"/>
            <w:noWrap/>
            <w:hideMark/>
          </w:tcPr>
          <w:p w14:paraId="7AFBB43B" w14:textId="77777777" w:rsidR="00CE3832" w:rsidRPr="006D631C" w:rsidRDefault="00CE3832" w:rsidP="00A35CE8">
            <w:pPr>
              <w:spacing w:line="240" w:lineRule="auto"/>
              <w:jc w:val="center"/>
              <w:rPr>
                <w:color w:val="000000"/>
                <w:sz w:val="20"/>
                <w:szCs w:val="20"/>
              </w:rPr>
            </w:pPr>
            <w:r w:rsidRPr="006D631C">
              <w:rPr>
                <w:color w:val="000000"/>
                <w:sz w:val="20"/>
                <w:szCs w:val="20"/>
              </w:rPr>
              <w:t>ω-</w:t>
            </w:r>
            <w:proofErr w:type="spellStart"/>
            <w:r w:rsidRPr="006D631C">
              <w:rPr>
                <w:color w:val="000000"/>
                <w:sz w:val="20"/>
                <w:szCs w:val="20"/>
              </w:rPr>
              <w:t>Undecenyltrimethylammonium</w:t>
            </w:r>
            <w:proofErr w:type="spellEnd"/>
            <w:r w:rsidRPr="006D631C">
              <w:rPr>
                <w:color w:val="000000"/>
                <w:sz w:val="20"/>
                <w:szCs w:val="20"/>
              </w:rPr>
              <w:t xml:space="preserve">  bromide</w:t>
            </w:r>
          </w:p>
        </w:tc>
      </w:tr>
      <w:tr w:rsidR="00CE3832" w:rsidRPr="006D631C" w14:paraId="180E5A33" w14:textId="77777777" w:rsidTr="00A35CE8">
        <w:trPr>
          <w:cantSplit/>
          <w:trHeight w:val="20"/>
          <w:jc w:val="center"/>
        </w:trPr>
        <w:tc>
          <w:tcPr>
            <w:tcW w:w="426" w:type="dxa"/>
            <w:vMerge/>
            <w:tcBorders>
              <w:top w:val="nil"/>
              <w:left w:val="nil"/>
              <w:bottom w:val="single" w:sz="8" w:space="0" w:color="000000"/>
              <w:right w:val="nil"/>
            </w:tcBorders>
            <w:hideMark/>
          </w:tcPr>
          <w:p w14:paraId="5D8BA484" w14:textId="77777777" w:rsidR="00CE3832" w:rsidRPr="006D631C" w:rsidRDefault="00CE3832" w:rsidP="00A35CE8">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513353FD" w14:textId="77777777" w:rsidR="00CE3832" w:rsidRPr="006D631C" w:rsidRDefault="00CE3832" w:rsidP="00A35CE8">
            <w:pPr>
              <w:spacing w:line="240" w:lineRule="auto"/>
              <w:jc w:val="center"/>
              <w:rPr>
                <w:color w:val="000000"/>
                <w:sz w:val="20"/>
                <w:szCs w:val="20"/>
              </w:rPr>
            </w:pPr>
            <w:r w:rsidRPr="006D631C">
              <w:rPr>
                <w:color w:val="000000"/>
                <w:sz w:val="20"/>
                <w:szCs w:val="20"/>
              </w:rPr>
              <w:t>P-A-4</w:t>
            </w:r>
          </w:p>
        </w:tc>
        <w:tc>
          <w:tcPr>
            <w:tcW w:w="7655" w:type="dxa"/>
            <w:tcBorders>
              <w:top w:val="nil"/>
              <w:left w:val="nil"/>
              <w:bottom w:val="nil"/>
              <w:right w:val="nil"/>
            </w:tcBorders>
            <w:shd w:val="clear" w:color="000000" w:fill="FFFFFF"/>
            <w:noWrap/>
            <w:hideMark/>
          </w:tcPr>
          <w:p w14:paraId="3929EA4D" w14:textId="77777777" w:rsidR="00CE3832" w:rsidRPr="006D631C" w:rsidRDefault="00CE3832" w:rsidP="00A35CE8">
            <w:pPr>
              <w:spacing w:line="240" w:lineRule="auto"/>
              <w:jc w:val="center"/>
              <w:rPr>
                <w:color w:val="000000"/>
                <w:sz w:val="20"/>
                <w:szCs w:val="20"/>
              </w:rPr>
            </w:pPr>
            <w:r w:rsidRPr="006D631C">
              <w:rPr>
                <w:color w:val="000000"/>
                <w:sz w:val="20"/>
                <w:szCs w:val="20"/>
              </w:rPr>
              <w:t>(11-Methacry1oylundecyI)</w:t>
            </w:r>
            <w:proofErr w:type="spellStart"/>
            <w:r w:rsidRPr="006D631C">
              <w:rPr>
                <w:color w:val="000000"/>
                <w:sz w:val="20"/>
                <w:szCs w:val="20"/>
              </w:rPr>
              <w:t>trimethylammonium</w:t>
            </w:r>
            <w:proofErr w:type="spellEnd"/>
            <w:r w:rsidRPr="006D631C">
              <w:rPr>
                <w:color w:val="000000"/>
                <w:sz w:val="20"/>
                <w:szCs w:val="20"/>
              </w:rPr>
              <w:t xml:space="preserve"> bromide</w:t>
            </w:r>
          </w:p>
        </w:tc>
      </w:tr>
      <w:tr w:rsidR="00CE3832" w:rsidRPr="006D631C" w14:paraId="2DAF770F" w14:textId="77777777" w:rsidTr="00A35CE8">
        <w:trPr>
          <w:cantSplit/>
          <w:trHeight w:val="20"/>
          <w:jc w:val="center"/>
        </w:trPr>
        <w:tc>
          <w:tcPr>
            <w:tcW w:w="426" w:type="dxa"/>
            <w:vMerge/>
            <w:tcBorders>
              <w:top w:val="nil"/>
              <w:left w:val="nil"/>
              <w:bottom w:val="single" w:sz="8" w:space="0" w:color="000000"/>
              <w:right w:val="nil"/>
            </w:tcBorders>
            <w:hideMark/>
          </w:tcPr>
          <w:p w14:paraId="79A72247" w14:textId="77777777" w:rsidR="00CE3832" w:rsidRPr="006D631C" w:rsidRDefault="00CE3832" w:rsidP="00A35CE8">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1BDAF023" w14:textId="77777777" w:rsidR="00CE3832" w:rsidRPr="006D631C" w:rsidRDefault="00CE3832" w:rsidP="00A35CE8">
            <w:pPr>
              <w:spacing w:line="240" w:lineRule="auto"/>
              <w:jc w:val="center"/>
              <w:rPr>
                <w:color w:val="000000"/>
                <w:sz w:val="20"/>
                <w:szCs w:val="20"/>
              </w:rPr>
            </w:pPr>
            <w:r w:rsidRPr="006D631C">
              <w:rPr>
                <w:color w:val="000000"/>
                <w:sz w:val="20"/>
                <w:szCs w:val="20"/>
              </w:rPr>
              <w:t>P-A-5</w:t>
            </w:r>
          </w:p>
        </w:tc>
        <w:tc>
          <w:tcPr>
            <w:tcW w:w="7655" w:type="dxa"/>
            <w:tcBorders>
              <w:top w:val="nil"/>
              <w:left w:val="nil"/>
              <w:bottom w:val="nil"/>
              <w:right w:val="nil"/>
            </w:tcBorders>
            <w:shd w:val="clear" w:color="000000" w:fill="FFFFFF"/>
            <w:noWrap/>
            <w:hideMark/>
          </w:tcPr>
          <w:p w14:paraId="393B2962" w14:textId="77777777" w:rsidR="00CE3832" w:rsidRPr="006D631C" w:rsidRDefault="00CE3832" w:rsidP="00A35CE8">
            <w:pPr>
              <w:spacing w:line="240" w:lineRule="auto"/>
              <w:jc w:val="center"/>
              <w:rPr>
                <w:color w:val="000000"/>
                <w:sz w:val="20"/>
                <w:szCs w:val="20"/>
              </w:rPr>
            </w:pPr>
            <w:r w:rsidRPr="006D631C">
              <w:rPr>
                <w:color w:val="000000"/>
                <w:sz w:val="20"/>
                <w:szCs w:val="20"/>
              </w:rPr>
              <w:t>2-(</w:t>
            </w:r>
            <w:proofErr w:type="spellStart"/>
            <w:r w:rsidRPr="006D631C">
              <w:rPr>
                <w:color w:val="000000"/>
                <w:sz w:val="20"/>
                <w:szCs w:val="20"/>
              </w:rPr>
              <w:t>Methacryloyloxy</w:t>
            </w:r>
            <w:proofErr w:type="spellEnd"/>
            <w:r w:rsidRPr="006D631C">
              <w:rPr>
                <w:color w:val="000000"/>
                <w:sz w:val="20"/>
                <w:szCs w:val="20"/>
              </w:rPr>
              <w:t>)ethyl dodecyl dimethyl ammonium bromide</w:t>
            </w:r>
          </w:p>
        </w:tc>
      </w:tr>
      <w:tr w:rsidR="00CE3832" w:rsidRPr="006D631C" w14:paraId="1ADDAF64" w14:textId="77777777" w:rsidTr="00A35CE8">
        <w:trPr>
          <w:cantSplit/>
          <w:trHeight w:val="20"/>
          <w:jc w:val="center"/>
        </w:trPr>
        <w:tc>
          <w:tcPr>
            <w:tcW w:w="426" w:type="dxa"/>
            <w:vMerge/>
            <w:tcBorders>
              <w:top w:val="nil"/>
              <w:left w:val="nil"/>
              <w:bottom w:val="single" w:sz="8" w:space="0" w:color="000000"/>
              <w:right w:val="nil"/>
            </w:tcBorders>
            <w:hideMark/>
          </w:tcPr>
          <w:p w14:paraId="3F7747DA" w14:textId="77777777" w:rsidR="00CE3832" w:rsidRPr="006D631C" w:rsidRDefault="00CE3832" w:rsidP="00A35CE8">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5E0C4205" w14:textId="77777777" w:rsidR="00CE3832" w:rsidRPr="006D631C" w:rsidRDefault="00CE3832" w:rsidP="00A35CE8">
            <w:pPr>
              <w:spacing w:line="240" w:lineRule="auto"/>
              <w:jc w:val="center"/>
              <w:rPr>
                <w:color w:val="000000"/>
                <w:sz w:val="20"/>
                <w:szCs w:val="20"/>
              </w:rPr>
            </w:pPr>
            <w:r w:rsidRPr="006D631C">
              <w:rPr>
                <w:color w:val="000000"/>
                <w:sz w:val="20"/>
                <w:szCs w:val="20"/>
              </w:rPr>
              <w:t>P-A-6</w:t>
            </w:r>
          </w:p>
        </w:tc>
        <w:tc>
          <w:tcPr>
            <w:tcW w:w="7655" w:type="dxa"/>
            <w:tcBorders>
              <w:top w:val="nil"/>
              <w:left w:val="nil"/>
              <w:bottom w:val="nil"/>
              <w:right w:val="nil"/>
            </w:tcBorders>
            <w:shd w:val="clear" w:color="000000" w:fill="FFFFFF"/>
            <w:noWrap/>
            <w:hideMark/>
          </w:tcPr>
          <w:p w14:paraId="174DB321" w14:textId="77777777" w:rsidR="00CE3832" w:rsidRPr="006D631C" w:rsidRDefault="00CE3832" w:rsidP="00A35CE8">
            <w:pPr>
              <w:spacing w:line="240" w:lineRule="auto"/>
              <w:jc w:val="center"/>
              <w:rPr>
                <w:color w:val="000000"/>
                <w:sz w:val="20"/>
                <w:szCs w:val="20"/>
              </w:rPr>
            </w:pPr>
            <w:r w:rsidRPr="006D631C">
              <w:rPr>
                <w:color w:val="000000"/>
                <w:sz w:val="20"/>
                <w:szCs w:val="20"/>
              </w:rPr>
              <w:t>2-(</w:t>
            </w:r>
            <w:proofErr w:type="spellStart"/>
            <w:r w:rsidRPr="006D631C">
              <w:rPr>
                <w:color w:val="000000"/>
                <w:sz w:val="20"/>
                <w:szCs w:val="20"/>
              </w:rPr>
              <w:t>Methacryloyloxy</w:t>
            </w:r>
            <w:proofErr w:type="spellEnd"/>
            <w:r w:rsidRPr="006D631C">
              <w:rPr>
                <w:color w:val="000000"/>
                <w:sz w:val="20"/>
                <w:szCs w:val="20"/>
              </w:rPr>
              <w:t xml:space="preserve">)ethyl </w:t>
            </w:r>
            <w:proofErr w:type="spellStart"/>
            <w:r w:rsidRPr="006D631C">
              <w:rPr>
                <w:color w:val="000000"/>
                <w:sz w:val="20"/>
                <w:szCs w:val="20"/>
              </w:rPr>
              <w:t>tetradecyl</w:t>
            </w:r>
            <w:proofErr w:type="spellEnd"/>
            <w:r w:rsidRPr="006D631C">
              <w:rPr>
                <w:color w:val="000000"/>
                <w:sz w:val="20"/>
                <w:szCs w:val="20"/>
              </w:rPr>
              <w:t xml:space="preserve"> dimethyl ammonium bromide</w:t>
            </w:r>
          </w:p>
        </w:tc>
      </w:tr>
      <w:tr w:rsidR="00CE3832" w:rsidRPr="006D631C" w14:paraId="3492CC3E" w14:textId="77777777" w:rsidTr="00A35CE8">
        <w:trPr>
          <w:cantSplit/>
          <w:trHeight w:val="20"/>
          <w:jc w:val="center"/>
        </w:trPr>
        <w:tc>
          <w:tcPr>
            <w:tcW w:w="426" w:type="dxa"/>
            <w:vMerge/>
            <w:tcBorders>
              <w:top w:val="nil"/>
              <w:left w:val="nil"/>
              <w:bottom w:val="single" w:sz="8" w:space="0" w:color="000000"/>
              <w:right w:val="nil"/>
            </w:tcBorders>
            <w:hideMark/>
          </w:tcPr>
          <w:p w14:paraId="459E3DDC" w14:textId="77777777" w:rsidR="00CE3832" w:rsidRPr="006D631C" w:rsidRDefault="00CE3832" w:rsidP="00A35CE8">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62B7F30B" w14:textId="77777777" w:rsidR="00CE3832" w:rsidRPr="006D631C" w:rsidRDefault="00CE3832" w:rsidP="00A35CE8">
            <w:pPr>
              <w:spacing w:line="240" w:lineRule="auto"/>
              <w:jc w:val="center"/>
              <w:rPr>
                <w:color w:val="000000"/>
                <w:sz w:val="20"/>
                <w:szCs w:val="20"/>
              </w:rPr>
            </w:pPr>
            <w:r w:rsidRPr="006D631C">
              <w:rPr>
                <w:color w:val="000000"/>
                <w:sz w:val="20"/>
                <w:szCs w:val="20"/>
              </w:rPr>
              <w:t>P-A-7</w:t>
            </w:r>
          </w:p>
        </w:tc>
        <w:tc>
          <w:tcPr>
            <w:tcW w:w="7655" w:type="dxa"/>
            <w:tcBorders>
              <w:top w:val="nil"/>
              <w:left w:val="nil"/>
              <w:bottom w:val="nil"/>
              <w:right w:val="nil"/>
            </w:tcBorders>
            <w:shd w:val="clear" w:color="000000" w:fill="FFFFFF"/>
            <w:noWrap/>
            <w:hideMark/>
          </w:tcPr>
          <w:p w14:paraId="45F3C9D5" w14:textId="77777777" w:rsidR="00CE3832" w:rsidRPr="006D631C" w:rsidRDefault="00CE3832" w:rsidP="00A35CE8">
            <w:pPr>
              <w:spacing w:line="240" w:lineRule="auto"/>
              <w:jc w:val="center"/>
              <w:rPr>
                <w:color w:val="000000"/>
                <w:sz w:val="20"/>
                <w:szCs w:val="20"/>
              </w:rPr>
            </w:pPr>
            <w:r w:rsidRPr="006D631C">
              <w:rPr>
                <w:color w:val="000000"/>
                <w:sz w:val="20"/>
                <w:szCs w:val="20"/>
              </w:rPr>
              <w:t>2-(</w:t>
            </w:r>
            <w:proofErr w:type="spellStart"/>
            <w:r w:rsidRPr="006D631C">
              <w:rPr>
                <w:color w:val="000000"/>
                <w:sz w:val="20"/>
                <w:szCs w:val="20"/>
              </w:rPr>
              <w:t>Methacryloyloxy</w:t>
            </w:r>
            <w:proofErr w:type="spellEnd"/>
            <w:r w:rsidRPr="006D631C">
              <w:rPr>
                <w:color w:val="000000"/>
                <w:sz w:val="20"/>
                <w:szCs w:val="20"/>
              </w:rPr>
              <w:t xml:space="preserve">)ethyl </w:t>
            </w:r>
            <w:proofErr w:type="spellStart"/>
            <w:r w:rsidRPr="006D631C">
              <w:rPr>
                <w:color w:val="000000"/>
                <w:sz w:val="20"/>
                <w:szCs w:val="20"/>
              </w:rPr>
              <w:t>hexadecyl</w:t>
            </w:r>
            <w:proofErr w:type="spellEnd"/>
            <w:r w:rsidRPr="006D631C">
              <w:rPr>
                <w:color w:val="000000"/>
                <w:sz w:val="20"/>
                <w:szCs w:val="20"/>
              </w:rPr>
              <w:t xml:space="preserve"> dimethyl ammonium bromide</w:t>
            </w:r>
          </w:p>
        </w:tc>
      </w:tr>
      <w:tr w:rsidR="00D87277" w:rsidRPr="006D631C" w14:paraId="78BEE643" w14:textId="77777777" w:rsidTr="00F463F6">
        <w:trPr>
          <w:cantSplit/>
          <w:trHeight w:val="20"/>
          <w:jc w:val="center"/>
        </w:trPr>
        <w:tc>
          <w:tcPr>
            <w:tcW w:w="426" w:type="dxa"/>
            <w:vMerge/>
            <w:tcBorders>
              <w:top w:val="nil"/>
              <w:left w:val="nil"/>
              <w:bottom w:val="single" w:sz="8" w:space="0" w:color="000000"/>
              <w:right w:val="nil"/>
            </w:tcBorders>
          </w:tcPr>
          <w:p w14:paraId="65B52DC9" w14:textId="77777777" w:rsidR="00D87277" w:rsidRPr="006D631C" w:rsidRDefault="00D87277" w:rsidP="00D87277">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72AA62A4" w14:textId="0B6AA073" w:rsidR="00D87277" w:rsidRPr="006D631C" w:rsidRDefault="00D87277" w:rsidP="00D87277">
            <w:pPr>
              <w:spacing w:line="240" w:lineRule="auto"/>
              <w:jc w:val="center"/>
              <w:rPr>
                <w:color w:val="000000"/>
                <w:sz w:val="20"/>
                <w:szCs w:val="20"/>
              </w:rPr>
            </w:pPr>
            <w:r w:rsidRPr="006D631C">
              <w:rPr>
                <w:color w:val="000000"/>
                <w:sz w:val="20"/>
                <w:szCs w:val="20"/>
              </w:rPr>
              <w:t>P-A-8</w:t>
            </w:r>
          </w:p>
        </w:tc>
        <w:tc>
          <w:tcPr>
            <w:tcW w:w="7655" w:type="dxa"/>
            <w:tcBorders>
              <w:top w:val="nil"/>
              <w:left w:val="nil"/>
              <w:bottom w:val="nil"/>
              <w:right w:val="nil"/>
            </w:tcBorders>
            <w:shd w:val="clear" w:color="000000" w:fill="FFFFFF"/>
            <w:noWrap/>
            <w:vAlign w:val="center"/>
          </w:tcPr>
          <w:p w14:paraId="0D9719A1" w14:textId="149A1626" w:rsidR="00D87277" w:rsidRPr="006D631C" w:rsidRDefault="00D87277" w:rsidP="00D87277">
            <w:pPr>
              <w:spacing w:line="240" w:lineRule="auto"/>
              <w:jc w:val="center"/>
              <w:rPr>
                <w:color w:val="000000"/>
                <w:sz w:val="20"/>
                <w:szCs w:val="20"/>
              </w:rPr>
            </w:pPr>
            <w:r w:rsidRPr="006D631C">
              <w:rPr>
                <w:color w:val="000000"/>
                <w:sz w:val="20"/>
                <w:szCs w:val="20"/>
              </w:rPr>
              <w:t>[2-(</w:t>
            </w:r>
            <w:proofErr w:type="spellStart"/>
            <w:r w:rsidRPr="006D631C">
              <w:rPr>
                <w:color w:val="000000"/>
                <w:sz w:val="20"/>
                <w:szCs w:val="20"/>
              </w:rPr>
              <w:t>Acryloyloxy</w:t>
            </w:r>
            <w:proofErr w:type="spellEnd"/>
            <w:r w:rsidRPr="006D631C">
              <w:rPr>
                <w:color w:val="000000"/>
                <w:sz w:val="20"/>
                <w:szCs w:val="20"/>
              </w:rPr>
              <w:t xml:space="preserve">)ethyl]dimethyl </w:t>
            </w:r>
            <w:proofErr w:type="spellStart"/>
            <w:r w:rsidRPr="006D631C">
              <w:rPr>
                <w:color w:val="000000"/>
                <w:sz w:val="20"/>
                <w:szCs w:val="20"/>
              </w:rPr>
              <w:t>tetradecyl</w:t>
            </w:r>
            <w:proofErr w:type="spellEnd"/>
            <w:r w:rsidRPr="006D631C">
              <w:rPr>
                <w:color w:val="000000"/>
                <w:sz w:val="20"/>
                <w:szCs w:val="20"/>
              </w:rPr>
              <w:t xml:space="preserve"> ammonium bromide</w:t>
            </w:r>
          </w:p>
        </w:tc>
      </w:tr>
      <w:tr w:rsidR="00D87277" w:rsidRPr="006D631C" w14:paraId="717EA560" w14:textId="77777777" w:rsidTr="00A35CE8">
        <w:trPr>
          <w:cantSplit/>
          <w:trHeight w:val="20"/>
          <w:jc w:val="center"/>
        </w:trPr>
        <w:tc>
          <w:tcPr>
            <w:tcW w:w="426" w:type="dxa"/>
            <w:vMerge/>
            <w:tcBorders>
              <w:top w:val="nil"/>
              <w:left w:val="nil"/>
              <w:bottom w:val="single" w:sz="8" w:space="0" w:color="000000"/>
              <w:right w:val="nil"/>
            </w:tcBorders>
            <w:hideMark/>
          </w:tcPr>
          <w:p w14:paraId="7EB23485" w14:textId="77777777" w:rsidR="00D87277" w:rsidRPr="006D631C" w:rsidRDefault="00D87277" w:rsidP="00D87277">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1595D5E5" w14:textId="2BA480BA" w:rsidR="00D87277" w:rsidRPr="006D631C" w:rsidRDefault="00D87277" w:rsidP="00D87277">
            <w:pPr>
              <w:spacing w:line="240" w:lineRule="auto"/>
              <w:jc w:val="center"/>
              <w:rPr>
                <w:color w:val="000000"/>
                <w:sz w:val="20"/>
                <w:szCs w:val="20"/>
              </w:rPr>
            </w:pPr>
            <w:r w:rsidRPr="006D631C">
              <w:rPr>
                <w:color w:val="000000"/>
                <w:sz w:val="20"/>
                <w:szCs w:val="20"/>
              </w:rPr>
              <w:t>P-A-9</w:t>
            </w:r>
          </w:p>
        </w:tc>
        <w:tc>
          <w:tcPr>
            <w:tcW w:w="7655" w:type="dxa"/>
            <w:tcBorders>
              <w:top w:val="nil"/>
              <w:left w:val="nil"/>
              <w:bottom w:val="nil"/>
              <w:right w:val="nil"/>
            </w:tcBorders>
            <w:shd w:val="clear" w:color="000000" w:fill="FFFFFF"/>
            <w:hideMark/>
          </w:tcPr>
          <w:p w14:paraId="303B642B" w14:textId="77777777" w:rsidR="00D87277" w:rsidRPr="006D631C" w:rsidRDefault="00D87277" w:rsidP="00D87277">
            <w:pPr>
              <w:spacing w:line="240" w:lineRule="auto"/>
              <w:jc w:val="center"/>
              <w:rPr>
                <w:color w:val="000000"/>
                <w:sz w:val="20"/>
                <w:szCs w:val="20"/>
              </w:rPr>
            </w:pPr>
            <w:proofErr w:type="spellStart"/>
            <w:r w:rsidRPr="006D631C">
              <w:rPr>
                <w:color w:val="000000"/>
                <w:sz w:val="20"/>
                <w:szCs w:val="20"/>
              </w:rPr>
              <w:t>Dodecyldimethylammoniumethylmethacrylate</w:t>
            </w:r>
            <w:proofErr w:type="spellEnd"/>
            <w:r w:rsidRPr="006D631C">
              <w:rPr>
                <w:color w:val="000000"/>
                <w:sz w:val="20"/>
                <w:szCs w:val="20"/>
              </w:rPr>
              <w:t xml:space="preserve">  bromide</w:t>
            </w:r>
          </w:p>
        </w:tc>
      </w:tr>
      <w:tr w:rsidR="008835A1" w:rsidRPr="006D631C" w14:paraId="05B93E16" w14:textId="77777777" w:rsidTr="00F463F6">
        <w:trPr>
          <w:cantSplit/>
          <w:trHeight w:val="20"/>
          <w:jc w:val="center"/>
        </w:trPr>
        <w:tc>
          <w:tcPr>
            <w:tcW w:w="426" w:type="dxa"/>
            <w:vMerge/>
            <w:tcBorders>
              <w:top w:val="nil"/>
              <w:left w:val="nil"/>
              <w:bottom w:val="single" w:sz="8" w:space="0" w:color="000000"/>
              <w:right w:val="nil"/>
            </w:tcBorders>
          </w:tcPr>
          <w:p w14:paraId="09081D3D"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175652C7" w14:textId="02AE5ECF" w:rsidR="008835A1" w:rsidRPr="006D631C" w:rsidRDefault="008835A1" w:rsidP="008835A1">
            <w:pPr>
              <w:spacing w:line="240" w:lineRule="auto"/>
              <w:jc w:val="center"/>
              <w:rPr>
                <w:color w:val="000000"/>
                <w:sz w:val="20"/>
                <w:szCs w:val="20"/>
              </w:rPr>
            </w:pPr>
            <w:r w:rsidRPr="006D631C">
              <w:rPr>
                <w:color w:val="000000"/>
                <w:sz w:val="20"/>
                <w:szCs w:val="20"/>
              </w:rPr>
              <w:t>P-A-10</w:t>
            </w:r>
          </w:p>
        </w:tc>
        <w:tc>
          <w:tcPr>
            <w:tcW w:w="7655" w:type="dxa"/>
            <w:tcBorders>
              <w:top w:val="nil"/>
              <w:left w:val="nil"/>
              <w:bottom w:val="nil"/>
              <w:right w:val="nil"/>
            </w:tcBorders>
            <w:shd w:val="clear" w:color="000000" w:fill="FFFFFF"/>
            <w:vAlign w:val="center"/>
          </w:tcPr>
          <w:p w14:paraId="65B256CF" w14:textId="7677ED95" w:rsidR="008835A1" w:rsidRPr="006D631C" w:rsidRDefault="008835A1" w:rsidP="008835A1">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9</w:t>
            </w:r>
            <w:r w:rsidRPr="006D631C">
              <w:rPr>
                <w:color w:val="000000"/>
                <w:sz w:val="20"/>
                <w:szCs w:val="20"/>
              </w:rPr>
              <w:t>H</w:t>
            </w:r>
            <w:r w:rsidRPr="006D631C">
              <w:rPr>
                <w:color w:val="000000"/>
                <w:sz w:val="20"/>
                <w:szCs w:val="20"/>
                <w:vertAlign w:val="subscript"/>
              </w:rPr>
              <w:t>18</w:t>
            </w:r>
            <w:r w:rsidRPr="006D631C">
              <w:rPr>
                <w:color w:val="000000"/>
                <w:sz w:val="20"/>
                <w:szCs w:val="20"/>
              </w:rPr>
              <w:t>(CH</w:t>
            </w:r>
            <w:r w:rsidRPr="006D631C">
              <w:rPr>
                <w:color w:val="000000"/>
                <w:sz w:val="20"/>
                <w:szCs w:val="20"/>
                <w:vertAlign w:val="subscript"/>
              </w:rPr>
              <w:t>2</w:t>
            </w:r>
            <w:r w:rsidRPr="006D631C">
              <w:rPr>
                <w:color w:val="000000"/>
                <w:sz w:val="20"/>
                <w:szCs w:val="20"/>
              </w:rPr>
              <w:t>)</w:t>
            </w:r>
            <w:r w:rsidRPr="006D631C">
              <w:rPr>
                <w:color w:val="000000"/>
                <w:sz w:val="20"/>
                <w:szCs w:val="20"/>
                <w:vertAlign w:val="subscript"/>
              </w:rPr>
              <w:t>n</w:t>
            </w:r>
            <w:r w:rsidRPr="006D631C">
              <w:rPr>
                <w:color w:val="000000"/>
                <w:sz w:val="20"/>
                <w:szCs w:val="20"/>
              </w:rPr>
              <w:t xml:space="preserve"> NO</w:t>
            </w:r>
            <w:r w:rsidRPr="006D631C">
              <w:rPr>
                <w:color w:val="000000"/>
                <w:sz w:val="20"/>
                <w:szCs w:val="20"/>
                <w:vertAlign w:val="superscript"/>
              </w:rPr>
              <w:t>2+</w:t>
            </w:r>
            <w:r w:rsidRPr="006D631C">
              <w:rPr>
                <w:color w:val="000000"/>
                <w:sz w:val="20"/>
                <w:szCs w:val="20"/>
              </w:rPr>
              <w:t xml:space="preserve"> Br</w:t>
            </w:r>
            <w:r w:rsidRPr="006D631C">
              <w:rPr>
                <w:color w:val="000000"/>
                <w:sz w:val="20"/>
                <w:szCs w:val="20"/>
                <w:vertAlign w:val="superscript"/>
              </w:rPr>
              <w:t>-</w:t>
            </w:r>
          </w:p>
        </w:tc>
      </w:tr>
      <w:tr w:rsidR="008835A1" w:rsidRPr="006D631C" w14:paraId="76CC194E" w14:textId="77777777" w:rsidTr="00F463F6">
        <w:trPr>
          <w:cantSplit/>
          <w:trHeight w:val="20"/>
          <w:jc w:val="center"/>
        </w:trPr>
        <w:tc>
          <w:tcPr>
            <w:tcW w:w="426" w:type="dxa"/>
            <w:vMerge/>
            <w:tcBorders>
              <w:top w:val="nil"/>
              <w:left w:val="nil"/>
              <w:bottom w:val="single" w:sz="8" w:space="0" w:color="000000"/>
              <w:right w:val="nil"/>
            </w:tcBorders>
          </w:tcPr>
          <w:p w14:paraId="40006794"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6A927586" w14:textId="71E26AC9" w:rsidR="008835A1" w:rsidRPr="006D631C" w:rsidRDefault="008835A1" w:rsidP="008835A1">
            <w:pPr>
              <w:spacing w:line="240" w:lineRule="auto"/>
              <w:jc w:val="center"/>
              <w:rPr>
                <w:color w:val="000000"/>
                <w:sz w:val="20"/>
                <w:szCs w:val="20"/>
              </w:rPr>
            </w:pPr>
            <w:r w:rsidRPr="006D631C">
              <w:rPr>
                <w:color w:val="000000"/>
                <w:sz w:val="20"/>
                <w:szCs w:val="20"/>
              </w:rPr>
              <w:t>P-A-11</w:t>
            </w:r>
          </w:p>
        </w:tc>
        <w:tc>
          <w:tcPr>
            <w:tcW w:w="7655" w:type="dxa"/>
            <w:tcBorders>
              <w:top w:val="nil"/>
              <w:left w:val="nil"/>
              <w:bottom w:val="nil"/>
              <w:right w:val="nil"/>
            </w:tcBorders>
            <w:shd w:val="clear" w:color="000000" w:fill="FFFFFF"/>
            <w:vAlign w:val="center"/>
          </w:tcPr>
          <w:p w14:paraId="0FB390F1" w14:textId="162782F4" w:rsidR="008835A1" w:rsidRPr="006D631C" w:rsidRDefault="008835A1" w:rsidP="008835A1">
            <w:pPr>
              <w:spacing w:line="240" w:lineRule="auto"/>
              <w:jc w:val="center"/>
              <w:rPr>
                <w:color w:val="000000"/>
                <w:sz w:val="20"/>
                <w:szCs w:val="20"/>
              </w:rPr>
            </w:pPr>
            <w:r w:rsidRPr="006D631C">
              <w:rPr>
                <w:color w:val="000000"/>
                <w:sz w:val="20"/>
                <w:szCs w:val="20"/>
              </w:rPr>
              <w:t>N-(3-Methacrylamidopropyl)-N,N-dimethylhexadecan-1-aminium bromide</w:t>
            </w:r>
          </w:p>
        </w:tc>
      </w:tr>
      <w:tr w:rsidR="008835A1" w:rsidRPr="006D631C" w14:paraId="2BE08310" w14:textId="77777777" w:rsidTr="00F463F6">
        <w:trPr>
          <w:cantSplit/>
          <w:trHeight w:val="20"/>
          <w:jc w:val="center"/>
        </w:trPr>
        <w:tc>
          <w:tcPr>
            <w:tcW w:w="426" w:type="dxa"/>
            <w:vMerge/>
            <w:tcBorders>
              <w:top w:val="nil"/>
              <w:left w:val="nil"/>
              <w:bottom w:val="single" w:sz="8" w:space="0" w:color="000000"/>
              <w:right w:val="nil"/>
            </w:tcBorders>
          </w:tcPr>
          <w:p w14:paraId="0C750AAC"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012726E7" w14:textId="04D78DB5" w:rsidR="008835A1" w:rsidRPr="006D631C" w:rsidRDefault="008835A1" w:rsidP="008835A1">
            <w:pPr>
              <w:spacing w:line="240" w:lineRule="auto"/>
              <w:jc w:val="center"/>
              <w:rPr>
                <w:color w:val="000000"/>
                <w:sz w:val="20"/>
                <w:szCs w:val="20"/>
              </w:rPr>
            </w:pPr>
            <w:r w:rsidRPr="006D631C">
              <w:rPr>
                <w:color w:val="000000"/>
                <w:sz w:val="20"/>
                <w:szCs w:val="20"/>
              </w:rPr>
              <w:t>P-A-12</w:t>
            </w:r>
          </w:p>
        </w:tc>
        <w:tc>
          <w:tcPr>
            <w:tcW w:w="7655" w:type="dxa"/>
            <w:tcBorders>
              <w:top w:val="nil"/>
              <w:left w:val="nil"/>
              <w:bottom w:val="nil"/>
              <w:right w:val="nil"/>
            </w:tcBorders>
            <w:shd w:val="clear" w:color="000000" w:fill="FFFFFF"/>
            <w:vAlign w:val="center"/>
          </w:tcPr>
          <w:p w14:paraId="560C2B28" w14:textId="5C63FBAB" w:rsidR="008835A1" w:rsidRPr="006D631C" w:rsidRDefault="008835A1" w:rsidP="008835A1">
            <w:pPr>
              <w:spacing w:line="240" w:lineRule="auto"/>
              <w:jc w:val="center"/>
              <w:rPr>
                <w:color w:val="000000"/>
                <w:sz w:val="20"/>
                <w:szCs w:val="20"/>
              </w:rPr>
            </w:pPr>
            <w:r w:rsidRPr="006D631C">
              <w:rPr>
                <w:color w:val="000000"/>
                <w:sz w:val="20"/>
                <w:szCs w:val="20"/>
              </w:rPr>
              <w:t>(E)-N-(3-methacrylamidopropyl)-N,N-dimethyloctadeca-15,17-dien-1-aminium bromide</w:t>
            </w:r>
          </w:p>
        </w:tc>
      </w:tr>
      <w:tr w:rsidR="008835A1" w:rsidRPr="006D631C" w14:paraId="509101E9" w14:textId="77777777" w:rsidTr="00A35CE8">
        <w:trPr>
          <w:cantSplit/>
          <w:trHeight w:val="20"/>
          <w:jc w:val="center"/>
        </w:trPr>
        <w:tc>
          <w:tcPr>
            <w:tcW w:w="426" w:type="dxa"/>
            <w:vMerge/>
            <w:tcBorders>
              <w:top w:val="nil"/>
              <w:left w:val="nil"/>
              <w:bottom w:val="single" w:sz="8" w:space="0" w:color="000000"/>
              <w:right w:val="nil"/>
            </w:tcBorders>
            <w:hideMark/>
          </w:tcPr>
          <w:p w14:paraId="1FBF3323"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05197E4A" w14:textId="21CE4141" w:rsidR="008835A1" w:rsidRPr="006D631C" w:rsidRDefault="008835A1" w:rsidP="00504B77">
            <w:pPr>
              <w:spacing w:line="240" w:lineRule="auto"/>
              <w:jc w:val="center"/>
              <w:rPr>
                <w:color w:val="000000"/>
                <w:sz w:val="20"/>
                <w:szCs w:val="20"/>
              </w:rPr>
            </w:pPr>
            <w:r w:rsidRPr="006D631C">
              <w:rPr>
                <w:color w:val="000000"/>
                <w:sz w:val="20"/>
                <w:szCs w:val="20"/>
              </w:rPr>
              <w:t>P-A-1</w:t>
            </w:r>
            <w:r w:rsidR="00504B77" w:rsidRPr="006D631C">
              <w:rPr>
                <w:color w:val="000000"/>
                <w:sz w:val="20"/>
                <w:szCs w:val="20"/>
              </w:rPr>
              <w:t>3</w:t>
            </w:r>
          </w:p>
        </w:tc>
        <w:tc>
          <w:tcPr>
            <w:tcW w:w="7655" w:type="dxa"/>
            <w:tcBorders>
              <w:top w:val="nil"/>
              <w:left w:val="nil"/>
              <w:bottom w:val="nil"/>
              <w:right w:val="nil"/>
            </w:tcBorders>
            <w:shd w:val="clear" w:color="000000" w:fill="FFFFFF"/>
            <w:noWrap/>
            <w:hideMark/>
          </w:tcPr>
          <w:p w14:paraId="3E0E95AE" w14:textId="77777777" w:rsidR="008835A1" w:rsidRPr="006D631C" w:rsidRDefault="008835A1" w:rsidP="008835A1">
            <w:pPr>
              <w:spacing w:line="240" w:lineRule="auto"/>
              <w:jc w:val="center"/>
              <w:rPr>
                <w:color w:val="000000"/>
                <w:sz w:val="20"/>
                <w:szCs w:val="20"/>
              </w:rPr>
            </w:pPr>
            <w:r w:rsidRPr="006D631C">
              <w:rPr>
                <w:color w:val="000000"/>
                <w:sz w:val="20"/>
                <w:szCs w:val="20"/>
              </w:rPr>
              <w:t>(11-Acryloyloxy-undecyl)-dimethyl-[2-(methacryloyloxy)-ethyl]-ammonium bromide</w:t>
            </w:r>
          </w:p>
        </w:tc>
      </w:tr>
      <w:tr w:rsidR="008835A1" w:rsidRPr="006D631C" w14:paraId="11BFB889" w14:textId="77777777" w:rsidTr="00A35CE8">
        <w:trPr>
          <w:cantSplit/>
          <w:trHeight w:val="20"/>
          <w:jc w:val="center"/>
        </w:trPr>
        <w:tc>
          <w:tcPr>
            <w:tcW w:w="426" w:type="dxa"/>
            <w:vMerge/>
            <w:tcBorders>
              <w:top w:val="nil"/>
              <w:left w:val="nil"/>
              <w:bottom w:val="single" w:sz="8" w:space="0" w:color="000000"/>
              <w:right w:val="nil"/>
            </w:tcBorders>
            <w:hideMark/>
          </w:tcPr>
          <w:p w14:paraId="66032F58"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233C2BCC" w14:textId="589E0B0F" w:rsidR="008835A1" w:rsidRPr="006D631C" w:rsidRDefault="008835A1" w:rsidP="008764AE">
            <w:pPr>
              <w:spacing w:line="240" w:lineRule="auto"/>
              <w:jc w:val="center"/>
              <w:rPr>
                <w:color w:val="000000"/>
                <w:sz w:val="20"/>
                <w:szCs w:val="20"/>
              </w:rPr>
            </w:pPr>
            <w:r w:rsidRPr="006D631C">
              <w:rPr>
                <w:color w:val="000000"/>
                <w:sz w:val="20"/>
                <w:szCs w:val="20"/>
              </w:rPr>
              <w:t>P-A-1</w:t>
            </w:r>
            <w:r w:rsidR="008764AE" w:rsidRPr="006D631C">
              <w:rPr>
                <w:color w:val="000000"/>
                <w:sz w:val="20"/>
                <w:szCs w:val="20"/>
              </w:rPr>
              <w:t>4</w:t>
            </w:r>
          </w:p>
        </w:tc>
        <w:tc>
          <w:tcPr>
            <w:tcW w:w="7655" w:type="dxa"/>
            <w:tcBorders>
              <w:top w:val="nil"/>
              <w:left w:val="nil"/>
              <w:bottom w:val="nil"/>
              <w:right w:val="nil"/>
            </w:tcBorders>
            <w:shd w:val="clear" w:color="000000" w:fill="FFFFFF"/>
            <w:noWrap/>
            <w:hideMark/>
          </w:tcPr>
          <w:p w14:paraId="5668E901" w14:textId="77777777" w:rsidR="008835A1" w:rsidRPr="006D631C" w:rsidRDefault="008835A1" w:rsidP="008835A1">
            <w:pPr>
              <w:spacing w:line="240" w:lineRule="auto"/>
              <w:jc w:val="center"/>
              <w:rPr>
                <w:color w:val="000000"/>
                <w:sz w:val="20"/>
                <w:szCs w:val="20"/>
              </w:rPr>
            </w:pPr>
            <w:r w:rsidRPr="006D631C">
              <w:rPr>
                <w:i/>
                <w:iCs/>
                <w:color w:val="000000"/>
                <w:sz w:val="20"/>
                <w:szCs w:val="20"/>
              </w:rPr>
              <w:t>N,N</w:t>
            </w:r>
            <w:r w:rsidRPr="006D631C">
              <w:rPr>
                <w:color w:val="000000"/>
                <w:sz w:val="20"/>
                <w:szCs w:val="20"/>
              </w:rPr>
              <w:t>-Di(11-acryloyloxy-undecyl)-</w:t>
            </w:r>
            <w:r w:rsidRPr="006D631C">
              <w:rPr>
                <w:i/>
                <w:iCs/>
                <w:color w:val="000000"/>
                <w:sz w:val="20"/>
                <w:szCs w:val="20"/>
              </w:rPr>
              <w:t>N,N,N,N</w:t>
            </w:r>
            <w:r w:rsidRPr="006D631C">
              <w:rPr>
                <w:color w:val="000000"/>
                <w:sz w:val="20"/>
                <w:szCs w:val="20"/>
              </w:rPr>
              <w:t>-tetramethyl-hexane-1,6-diammonium dibromide</w:t>
            </w:r>
          </w:p>
        </w:tc>
      </w:tr>
      <w:tr w:rsidR="008835A1" w:rsidRPr="006D631C" w14:paraId="07DB3E5C" w14:textId="77777777" w:rsidTr="00A35CE8">
        <w:trPr>
          <w:cantSplit/>
          <w:trHeight w:val="20"/>
          <w:jc w:val="center"/>
        </w:trPr>
        <w:tc>
          <w:tcPr>
            <w:tcW w:w="426" w:type="dxa"/>
            <w:vMerge/>
            <w:tcBorders>
              <w:top w:val="nil"/>
              <w:left w:val="nil"/>
              <w:bottom w:val="single" w:sz="8" w:space="0" w:color="000000"/>
              <w:right w:val="nil"/>
            </w:tcBorders>
            <w:hideMark/>
          </w:tcPr>
          <w:p w14:paraId="03172C33"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2B075E7F" w14:textId="10FF0586" w:rsidR="008835A1" w:rsidRPr="006D631C" w:rsidRDefault="008835A1" w:rsidP="008764AE">
            <w:pPr>
              <w:spacing w:line="240" w:lineRule="auto"/>
              <w:jc w:val="center"/>
              <w:rPr>
                <w:color w:val="000000"/>
                <w:sz w:val="20"/>
                <w:szCs w:val="20"/>
              </w:rPr>
            </w:pPr>
            <w:r w:rsidRPr="006D631C">
              <w:rPr>
                <w:color w:val="000000"/>
                <w:sz w:val="20"/>
                <w:szCs w:val="20"/>
              </w:rPr>
              <w:t>P-A-1</w:t>
            </w:r>
            <w:r w:rsidR="008764AE" w:rsidRPr="006D631C">
              <w:rPr>
                <w:color w:val="000000"/>
                <w:sz w:val="20"/>
                <w:szCs w:val="20"/>
              </w:rPr>
              <w:t>5</w:t>
            </w:r>
          </w:p>
        </w:tc>
        <w:tc>
          <w:tcPr>
            <w:tcW w:w="7655" w:type="dxa"/>
            <w:tcBorders>
              <w:top w:val="nil"/>
              <w:left w:val="nil"/>
              <w:bottom w:val="nil"/>
              <w:right w:val="nil"/>
            </w:tcBorders>
            <w:shd w:val="clear" w:color="000000" w:fill="FFFFFF"/>
            <w:noWrap/>
            <w:hideMark/>
          </w:tcPr>
          <w:p w14:paraId="54C0E9EE" w14:textId="77777777" w:rsidR="008835A1" w:rsidRPr="006D631C" w:rsidRDefault="008835A1" w:rsidP="008835A1">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59</w:t>
            </w:r>
            <w:r w:rsidRPr="006D631C">
              <w:rPr>
                <w:color w:val="000000"/>
                <w:sz w:val="20"/>
                <w:szCs w:val="20"/>
              </w:rPr>
              <w:t>H</w:t>
            </w:r>
            <w:r w:rsidRPr="006D631C">
              <w:rPr>
                <w:color w:val="000000"/>
                <w:sz w:val="20"/>
                <w:szCs w:val="20"/>
                <w:vertAlign w:val="subscript"/>
              </w:rPr>
              <w:t>66</w:t>
            </w:r>
            <w:r w:rsidRPr="006D631C">
              <w:rPr>
                <w:color w:val="000000"/>
                <w:sz w:val="20"/>
                <w:szCs w:val="20"/>
              </w:rPr>
              <w:t>NO</w:t>
            </w:r>
            <w:r w:rsidRPr="006D631C">
              <w:rPr>
                <w:color w:val="000000"/>
                <w:sz w:val="20"/>
                <w:szCs w:val="20"/>
                <w:vertAlign w:val="subscript"/>
              </w:rPr>
              <w:t>22</w:t>
            </w:r>
            <w:r w:rsidRPr="006D631C">
              <w:rPr>
                <w:color w:val="000000"/>
                <w:sz w:val="20"/>
                <w:szCs w:val="20"/>
                <w:vertAlign w:val="superscript"/>
              </w:rPr>
              <w:t>+</w:t>
            </w:r>
            <w:r w:rsidRPr="006D631C">
              <w:rPr>
                <w:color w:val="000000"/>
                <w:sz w:val="20"/>
                <w:szCs w:val="20"/>
              </w:rPr>
              <w:t xml:space="preserve"> Br</w:t>
            </w:r>
            <w:r w:rsidRPr="006D631C">
              <w:rPr>
                <w:color w:val="000000"/>
                <w:sz w:val="20"/>
                <w:szCs w:val="20"/>
                <w:vertAlign w:val="superscript"/>
              </w:rPr>
              <w:t>-</w:t>
            </w:r>
          </w:p>
        </w:tc>
      </w:tr>
      <w:tr w:rsidR="008835A1" w:rsidRPr="006D631C" w14:paraId="068B73C1" w14:textId="77777777" w:rsidTr="00A35CE8">
        <w:trPr>
          <w:cantSplit/>
          <w:trHeight w:val="20"/>
          <w:jc w:val="center"/>
        </w:trPr>
        <w:tc>
          <w:tcPr>
            <w:tcW w:w="426" w:type="dxa"/>
            <w:vMerge/>
            <w:tcBorders>
              <w:top w:val="nil"/>
              <w:left w:val="nil"/>
              <w:bottom w:val="single" w:sz="8" w:space="0" w:color="000000"/>
              <w:right w:val="nil"/>
            </w:tcBorders>
            <w:hideMark/>
          </w:tcPr>
          <w:p w14:paraId="00F3FC4F"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2B230E9C" w14:textId="49666CB6" w:rsidR="008835A1" w:rsidRPr="006D631C" w:rsidRDefault="008835A1" w:rsidP="008764AE">
            <w:pPr>
              <w:spacing w:line="240" w:lineRule="auto"/>
              <w:jc w:val="center"/>
              <w:rPr>
                <w:color w:val="000000"/>
                <w:sz w:val="20"/>
                <w:szCs w:val="20"/>
              </w:rPr>
            </w:pPr>
            <w:r w:rsidRPr="006D631C">
              <w:rPr>
                <w:color w:val="000000"/>
                <w:sz w:val="20"/>
                <w:szCs w:val="20"/>
              </w:rPr>
              <w:t>P-A-1</w:t>
            </w:r>
            <w:r w:rsidR="008764AE" w:rsidRPr="006D631C">
              <w:rPr>
                <w:color w:val="000000"/>
                <w:sz w:val="20"/>
                <w:szCs w:val="20"/>
              </w:rPr>
              <w:t>6</w:t>
            </w:r>
          </w:p>
        </w:tc>
        <w:tc>
          <w:tcPr>
            <w:tcW w:w="7655" w:type="dxa"/>
            <w:tcBorders>
              <w:top w:val="nil"/>
              <w:left w:val="nil"/>
              <w:bottom w:val="nil"/>
              <w:right w:val="nil"/>
            </w:tcBorders>
            <w:shd w:val="clear" w:color="000000" w:fill="FFFFFF"/>
            <w:noWrap/>
            <w:hideMark/>
          </w:tcPr>
          <w:p w14:paraId="7AF43B14" w14:textId="77777777" w:rsidR="008835A1" w:rsidRPr="006D631C" w:rsidRDefault="008835A1" w:rsidP="008835A1">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69</w:t>
            </w:r>
            <w:r w:rsidRPr="006D631C">
              <w:rPr>
                <w:color w:val="000000"/>
                <w:sz w:val="20"/>
                <w:szCs w:val="20"/>
              </w:rPr>
              <w:t>H</w:t>
            </w:r>
            <w:r w:rsidRPr="006D631C">
              <w:rPr>
                <w:color w:val="000000"/>
                <w:sz w:val="20"/>
                <w:szCs w:val="20"/>
                <w:vertAlign w:val="subscript"/>
              </w:rPr>
              <w:t>90</w:t>
            </w:r>
            <w:r w:rsidRPr="006D631C">
              <w:rPr>
                <w:color w:val="000000"/>
                <w:sz w:val="20"/>
                <w:szCs w:val="20"/>
              </w:rPr>
              <w:t>N</w:t>
            </w:r>
            <w:r w:rsidRPr="006D631C">
              <w:rPr>
                <w:color w:val="000000"/>
                <w:sz w:val="20"/>
                <w:szCs w:val="20"/>
                <w:vertAlign w:val="subscript"/>
              </w:rPr>
              <w:t>3</w:t>
            </w:r>
            <w:r w:rsidRPr="006D631C">
              <w:rPr>
                <w:color w:val="000000"/>
                <w:sz w:val="20"/>
                <w:szCs w:val="20"/>
              </w:rPr>
              <w:t>O</w:t>
            </w:r>
            <w:r w:rsidRPr="006D631C">
              <w:rPr>
                <w:color w:val="000000"/>
                <w:sz w:val="20"/>
                <w:szCs w:val="20"/>
                <w:vertAlign w:val="subscript"/>
              </w:rPr>
              <w:t>24</w:t>
            </w:r>
            <w:r w:rsidRPr="006D631C">
              <w:rPr>
                <w:color w:val="000000"/>
                <w:sz w:val="20"/>
                <w:szCs w:val="20"/>
                <w:vertAlign w:val="superscript"/>
              </w:rPr>
              <w:t xml:space="preserve">3+ </w:t>
            </w:r>
            <w:r w:rsidRPr="006D631C">
              <w:rPr>
                <w:color w:val="000000"/>
                <w:sz w:val="20"/>
                <w:szCs w:val="20"/>
              </w:rPr>
              <w:t>Br</w:t>
            </w:r>
            <w:r w:rsidRPr="006D631C">
              <w:rPr>
                <w:color w:val="000000"/>
                <w:sz w:val="20"/>
                <w:szCs w:val="20"/>
                <w:vertAlign w:val="superscript"/>
              </w:rPr>
              <w:t>3-</w:t>
            </w:r>
          </w:p>
        </w:tc>
      </w:tr>
      <w:tr w:rsidR="008835A1" w:rsidRPr="006D631C" w14:paraId="718D3E48" w14:textId="77777777" w:rsidTr="00A35CE8">
        <w:trPr>
          <w:cantSplit/>
          <w:trHeight w:val="20"/>
          <w:jc w:val="center"/>
        </w:trPr>
        <w:tc>
          <w:tcPr>
            <w:tcW w:w="426" w:type="dxa"/>
            <w:vMerge/>
            <w:tcBorders>
              <w:top w:val="nil"/>
              <w:left w:val="nil"/>
              <w:bottom w:val="single" w:sz="8" w:space="0" w:color="000000"/>
              <w:right w:val="nil"/>
            </w:tcBorders>
            <w:hideMark/>
          </w:tcPr>
          <w:p w14:paraId="2EE46A30"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0BCA7A53" w14:textId="581EE9B7" w:rsidR="008835A1" w:rsidRPr="006D631C" w:rsidRDefault="008835A1" w:rsidP="008764AE">
            <w:pPr>
              <w:spacing w:line="240" w:lineRule="auto"/>
              <w:jc w:val="center"/>
              <w:rPr>
                <w:color w:val="000000"/>
                <w:sz w:val="20"/>
                <w:szCs w:val="20"/>
              </w:rPr>
            </w:pPr>
            <w:r w:rsidRPr="006D631C">
              <w:rPr>
                <w:color w:val="000000"/>
                <w:sz w:val="20"/>
                <w:szCs w:val="20"/>
              </w:rPr>
              <w:t>P-A-1</w:t>
            </w:r>
            <w:r w:rsidR="008764AE" w:rsidRPr="006D631C">
              <w:rPr>
                <w:color w:val="000000"/>
                <w:sz w:val="20"/>
                <w:szCs w:val="20"/>
              </w:rPr>
              <w:t>7</w:t>
            </w:r>
          </w:p>
        </w:tc>
        <w:tc>
          <w:tcPr>
            <w:tcW w:w="7655" w:type="dxa"/>
            <w:tcBorders>
              <w:top w:val="nil"/>
              <w:left w:val="nil"/>
              <w:bottom w:val="nil"/>
              <w:right w:val="nil"/>
            </w:tcBorders>
            <w:shd w:val="clear" w:color="000000" w:fill="FFFFFF"/>
            <w:noWrap/>
            <w:hideMark/>
          </w:tcPr>
          <w:p w14:paraId="71C36F2E" w14:textId="77777777" w:rsidR="008835A1" w:rsidRPr="006D631C" w:rsidRDefault="008835A1" w:rsidP="008835A1">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53</w:t>
            </w:r>
            <w:r w:rsidRPr="006D631C">
              <w:rPr>
                <w:color w:val="000000"/>
                <w:sz w:val="20"/>
                <w:szCs w:val="20"/>
              </w:rPr>
              <w:t>H</w:t>
            </w:r>
            <w:r w:rsidRPr="006D631C">
              <w:rPr>
                <w:color w:val="000000"/>
                <w:sz w:val="20"/>
                <w:szCs w:val="20"/>
                <w:vertAlign w:val="subscript"/>
              </w:rPr>
              <w:t>74</w:t>
            </w:r>
            <w:r w:rsidRPr="006D631C">
              <w:rPr>
                <w:color w:val="000000"/>
                <w:sz w:val="20"/>
                <w:szCs w:val="20"/>
              </w:rPr>
              <w:t>N</w:t>
            </w:r>
            <w:r w:rsidRPr="006D631C">
              <w:rPr>
                <w:color w:val="000000"/>
                <w:sz w:val="20"/>
                <w:szCs w:val="20"/>
                <w:vertAlign w:val="subscript"/>
              </w:rPr>
              <w:t>3</w:t>
            </w:r>
            <w:r w:rsidRPr="006D631C">
              <w:rPr>
                <w:color w:val="000000"/>
                <w:sz w:val="20"/>
                <w:szCs w:val="20"/>
              </w:rPr>
              <w:t>O</w:t>
            </w:r>
            <w:r w:rsidRPr="006D631C">
              <w:rPr>
                <w:color w:val="000000"/>
                <w:sz w:val="20"/>
                <w:szCs w:val="20"/>
                <w:vertAlign w:val="subscript"/>
              </w:rPr>
              <w:t>17</w:t>
            </w:r>
            <w:r w:rsidRPr="006D631C">
              <w:rPr>
                <w:color w:val="000000"/>
                <w:sz w:val="20"/>
                <w:szCs w:val="20"/>
                <w:vertAlign w:val="superscript"/>
              </w:rPr>
              <w:t>3+</w:t>
            </w:r>
            <w:r w:rsidRPr="006D631C">
              <w:rPr>
                <w:color w:val="000000"/>
                <w:sz w:val="20"/>
                <w:szCs w:val="20"/>
              </w:rPr>
              <w:t xml:space="preserve"> Br</w:t>
            </w:r>
            <w:r w:rsidRPr="006D631C">
              <w:rPr>
                <w:color w:val="000000"/>
                <w:sz w:val="20"/>
                <w:szCs w:val="20"/>
                <w:vertAlign w:val="superscript"/>
              </w:rPr>
              <w:t>3-</w:t>
            </w:r>
          </w:p>
        </w:tc>
      </w:tr>
      <w:tr w:rsidR="008835A1" w:rsidRPr="006D631C" w14:paraId="2A0C06FE" w14:textId="77777777" w:rsidTr="00A35CE8">
        <w:trPr>
          <w:cantSplit/>
          <w:trHeight w:val="20"/>
          <w:jc w:val="center"/>
        </w:trPr>
        <w:tc>
          <w:tcPr>
            <w:tcW w:w="426" w:type="dxa"/>
            <w:vMerge/>
            <w:tcBorders>
              <w:top w:val="nil"/>
              <w:left w:val="nil"/>
              <w:bottom w:val="single" w:sz="8" w:space="0" w:color="000000"/>
              <w:right w:val="nil"/>
            </w:tcBorders>
            <w:hideMark/>
          </w:tcPr>
          <w:p w14:paraId="529B32B0"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26F45E62" w14:textId="459747CF" w:rsidR="008835A1" w:rsidRPr="006D631C" w:rsidRDefault="008835A1" w:rsidP="008764AE">
            <w:pPr>
              <w:spacing w:line="240" w:lineRule="auto"/>
              <w:jc w:val="center"/>
              <w:rPr>
                <w:color w:val="000000"/>
                <w:sz w:val="20"/>
                <w:szCs w:val="20"/>
              </w:rPr>
            </w:pPr>
            <w:r w:rsidRPr="006D631C">
              <w:rPr>
                <w:color w:val="000000"/>
                <w:sz w:val="20"/>
                <w:szCs w:val="20"/>
              </w:rPr>
              <w:t>P-A-1</w:t>
            </w:r>
            <w:r w:rsidR="008764AE" w:rsidRPr="006D631C">
              <w:rPr>
                <w:color w:val="000000"/>
                <w:sz w:val="20"/>
                <w:szCs w:val="20"/>
              </w:rPr>
              <w:t>8</w:t>
            </w:r>
          </w:p>
        </w:tc>
        <w:tc>
          <w:tcPr>
            <w:tcW w:w="7655" w:type="dxa"/>
            <w:tcBorders>
              <w:top w:val="nil"/>
              <w:left w:val="nil"/>
              <w:bottom w:val="nil"/>
              <w:right w:val="nil"/>
            </w:tcBorders>
            <w:shd w:val="clear" w:color="000000" w:fill="FFFFFF"/>
            <w:noWrap/>
            <w:hideMark/>
          </w:tcPr>
          <w:p w14:paraId="07D5A448" w14:textId="77777777" w:rsidR="008835A1" w:rsidRPr="006D631C" w:rsidRDefault="008835A1" w:rsidP="008835A1">
            <w:pPr>
              <w:spacing w:line="240" w:lineRule="auto"/>
              <w:jc w:val="center"/>
              <w:rPr>
                <w:color w:val="000000"/>
                <w:sz w:val="20"/>
                <w:szCs w:val="20"/>
              </w:rPr>
            </w:pPr>
            <w:r w:rsidRPr="006D631C">
              <w:rPr>
                <w:color w:val="000000"/>
                <w:sz w:val="20"/>
                <w:szCs w:val="20"/>
              </w:rPr>
              <w:t>Sodium 10-undecenoate</w:t>
            </w:r>
          </w:p>
        </w:tc>
      </w:tr>
      <w:tr w:rsidR="008835A1" w:rsidRPr="006D631C" w14:paraId="574F6B8F" w14:textId="77777777" w:rsidTr="00A35CE8">
        <w:trPr>
          <w:cantSplit/>
          <w:trHeight w:val="20"/>
          <w:jc w:val="center"/>
        </w:trPr>
        <w:tc>
          <w:tcPr>
            <w:tcW w:w="426" w:type="dxa"/>
            <w:vMerge/>
            <w:tcBorders>
              <w:top w:val="nil"/>
              <w:left w:val="nil"/>
              <w:bottom w:val="single" w:sz="8" w:space="0" w:color="000000"/>
              <w:right w:val="nil"/>
            </w:tcBorders>
            <w:hideMark/>
          </w:tcPr>
          <w:p w14:paraId="2A7517E4" w14:textId="77777777" w:rsidR="008835A1" w:rsidRPr="006D631C" w:rsidRDefault="008835A1" w:rsidP="008835A1">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69224298" w14:textId="210B68DB" w:rsidR="008835A1" w:rsidRPr="006D631C" w:rsidRDefault="008835A1" w:rsidP="008764AE">
            <w:pPr>
              <w:spacing w:line="240" w:lineRule="auto"/>
              <w:jc w:val="center"/>
              <w:rPr>
                <w:color w:val="000000"/>
                <w:sz w:val="20"/>
                <w:szCs w:val="20"/>
              </w:rPr>
            </w:pPr>
            <w:r w:rsidRPr="006D631C">
              <w:rPr>
                <w:color w:val="000000"/>
                <w:sz w:val="20"/>
                <w:szCs w:val="20"/>
              </w:rPr>
              <w:t>P-A-</w:t>
            </w:r>
            <w:r w:rsidR="008764AE" w:rsidRPr="006D631C">
              <w:rPr>
                <w:color w:val="000000"/>
                <w:sz w:val="20"/>
                <w:szCs w:val="20"/>
              </w:rPr>
              <w:t>19</w:t>
            </w:r>
          </w:p>
        </w:tc>
        <w:tc>
          <w:tcPr>
            <w:tcW w:w="7655" w:type="dxa"/>
            <w:tcBorders>
              <w:top w:val="nil"/>
              <w:left w:val="nil"/>
              <w:bottom w:val="nil"/>
              <w:right w:val="nil"/>
            </w:tcBorders>
            <w:shd w:val="clear" w:color="000000" w:fill="FFFFFF"/>
            <w:noWrap/>
            <w:hideMark/>
          </w:tcPr>
          <w:p w14:paraId="6261A6F8" w14:textId="77777777" w:rsidR="008835A1" w:rsidRPr="006D631C" w:rsidRDefault="008835A1" w:rsidP="008835A1">
            <w:pPr>
              <w:spacing w:line="240" w:lineRule="auto"/>
              <w:jc w:val="center"/>
              <w:rPr>
                <w:color w:val="000000"/>
                <w:sz w:val="20"/>
                <w:szCs w:val="20"/>
              </w:rPr>
            </w:pPr>
            <w:r w:rsidRPr="006D631C">
              <w:rPr>
                <w:color w:val="000000"/>
                <w:sz w:val="20"/>
                <w:szCs w:val="20"/>
              </w:rPr>
              <w:t>Zinc 10-undecenoate</w:t>
            </w:r>
          </w:p>
        </w:tc>
      </w:tr>
      <w:tr w:rsidR="008764AE" w:rsidRPr="006D631C" w14:paraId="4A4D1404" w14:textId="77777777" w:rsidTr="00F463F6">
        <w:trPr>
          <w:cantSplit/>
          <w:trHeight w:val="20"/>
          <w:jc w:val="center"/>
        </w:trPr>
        <w:tc>
          <w:tcPr>
            <w:tcW w:w="426" w:type="dxa"/>
            <w:vMerge/>
            <w:tcBorders>
              <w:top w:val="nil"/>
              <w:left w:val="nil"/>
              <w:bottom w:val="single" w:sz="8" w:space="0" w:color="000000"/>
              <w:right w:val="nil"/>
            </w:tcBorders>
            <w:hideMark/>
          </w:tcPr>
          <w:p w14:paraId="1CDE2345"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10FBCB23" w14:textId="1BBB2755" w:rsidR="008764AE" w:rsidRPr="006D631C" w:rsidRDefault="008764AE" w:rsidP="008764AE">
            <w:pPr>
              <w:spacing w:line="240" w:lineRule="auto"/>
              <w:jc w:val="center"/>
              <w:rPr>
                <w:color w:val="000000"/>
                <w:sz w:val="20"/>
                <w:szCs w:val="20"/>
              </w:rPr>
            </w:pPr>
            <w:r w:rsidRPr="006D631C">
              <w:rPr>
                <w:color w:val="000000"/>
                <w:sz w:val="20"/>
                <w:szCs w:val="20"/>
              </w:rPr>
              <w:t>P-A-20</w:t>
            </w:r>
          </w:p>
        </w:tc>
        <w:tc>
          <w:tcPr>
            <w:tcW w:w="7655" w:type="dxa"/>
            <w:tcBorders>
              <w:top w:val="nil"/>
              <w:left w:val="nil"/>
              <w:bottom w:val="nil"/>
              <w:right w:val="nil"/>
            </w:tcBorders>
            <w:shd w:val="clear" w:color="000000" w:fill="FFFFFF"/>
            <w:noWrap/>
            <w:hideMark/>
          </w:tcPr>
          <w:p w14:paraId="26ACB29E" w14:textId="77777777" w:rsidR="008764AE" w:rsidRPr="006D631C" w:rsidRDefault="008764AE" w:rsidP="008764AE">
            <w:pPr>
              <w:spacing w:line="240" w:lineRule="auto"/>
              <w:jc w:val="center"/>
              <w:rPr>
                <w:color w:val="000000"/>
                <w:sz w:val="20"/>
                <w:szCs w:val="20"/>
              </w:rPr>
            </w:pPr>
            <w:r w:rsidRPr="006D631C">
              <w:rPr>
                <w:color w:val="000000"/>
                <w:sz w:val="20"/>
                <w:szCs w:val="20"/>
              </w:rPr>
              <w:t>Dodecyl ammonium acrylate</w:t>
            </w:r>
          </w:p>
        </w:tc>
      </w:tr>
      <w:tr w:rsidR="008764AE" w:rsidRPr="006D631C" w14:paraId="3D40F297" w14:textId="77777777" w:rsidTr="00F463F6">
        <w:trPr>
          <w:cantSplit/>
          <w:trHeight w:val="20"/>
          <w:jc w:val="center"/>
        </w:trPr>
        <w:tc>
          <w:tcPr>
            <w:tcW w:w="426" w:type="dxa"/>
            <w:vMerge/>
            <w:tcBorders>
              <w:top w:val="nil"/>
              <w:left w:val="nil"/>
              <w:bottom w:val="single" w:sz="8" w:space="0" w:color="000000"/>
              <w:right w:val="nil"/>
            </w:tcBorders>
            <w:hideMark/>
          </w:tcPr>
          <w:p w14:paraId="0A05B546"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1807ED6A" w14:textId="43F9EC23" w:rsidR="008764AE" w:rsidRPr="006D631C" w:rsidRDefault="008764AE" w:rsidP="008764AE">
            <w:pPr>
              <w:spacing w:line="240" w:lineRule="auto"/>
              <w:jc w:val="center"/>
              <w:rPr>
                <w:color w:val="000000"/>
                <w:sz w:val="20"/>
                <w:szCs w:val="20"/>
              </w:rPr>
            </w:pPr>
            <w:r w:rsidRPr="006D631C">
              <w:rPr>
                <w:color w:val="000000"/>
                <w:sz w:val="20"/>
                <w:szCs w:val="20"/>
              </w:rPr>
              <w:t>P-A-21</w:t>
            </w:r>
          </w:p>
        </w:tc>
        <w:tc>
          <w:tcPr>
            <w:tcW w:w="7655" w:type="dxa"/>
            <w:tcBorders>
              <w:top w:val="nil"/>
              <w:left w:val="nil"/>
              <w:bottom w:val="nil"/>
              <w:right w:val="nil"/>
            </w:tcBorders>
            <w:shd w:val="clear" w:color="000000" w:fill="FFFFFF"/>
            <w:noWrap/>
            <w:hideMark/>
          </w:tcPr>
          <w:p w14:paraId="032BAAB7" w14:textId="77777777" w:rsidR="008764AE" w:rsidRPr="006D631C" w:rsidRDefault="008764AE" w:rsidP="008764AE">
            <w:pPr>
              <w:spacing w:line="240" w:lineRule="auto"/>
              <w:jc w:val="center"/>
              <w:rPr>
                <w:color w:val="000000"/>
                <w:sz w:val="20"/>
                <w:szCs w:val="20"/>
              </w:rPr>
            </w:pPr>
            <w:r w:rsidRPr="006D631C">
              <w:rPr>
                <w:color w:val="000000"/>
                <w:sz w:val="20"/>
                <w:szCs w:val="20"/>
              </w:rPr>
              <w:t>Dodecyl ammonium methacrylate</w:t>
            </w:r>
          </w:p>
        </w:tc>
      </w:tr>
      <w:tr w:rsidR="008764AE" w:rsidRPr="006D631C" w14:paraId="6C47DACF" w14:textId="77777777" w:rsidTr="00F463F6">
        <w:trPr>
          <w:cantSplit/>
          <w:trHeight w:val="20"/>
          <w:jc w:val="center"/>
        </w:trPr>
        <w:tc>
          <w:tcPr>
            <w:tcW w:w="426" w:type="dxa"/>
            <w:vMerge/>
            <w:tcBorders>
              <w:top w:val="nil"/>
              <w:left w:val="nil"/>
              <w:bottom w:val="single" w:sz="8" w:space="0" w:color="000000"/>
              <w:right w:val="nil"/>
            </w:tcBorders>
            <w:hideMark/>
          </w:tcPr>
          <w:p w14:paraId="7FA768F7"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5472C1F7" w14:textId="1692DF12" w:rsidR="008764AE" w:rsidRPr="006D631C" w:rsidRDefault="008764AE" w:rsidP="008764AE">
            <w:pPr>
              <w:spacing w:line="240" w:lineRule="auto"/>
              <w:jc w:val="center"/>
              <w:rPr>
                <w:color w:val="000000"/>
                <w:sz w:val="20"/>
                <w:szCs w:val="20"/>
              </w:rPr>
            </w:pPr>
            <w:r w:rsidRPr="006D631C">
              <w:rPr>
                <w:color w:val="000000"/>
                <w:sz w:val="20"/>
                <w:szCs w:val="20"/>
              </w:rPr>
              <w:t>P-A-22</w:t>
            </w:r>
          </w:p>
        </w:tc>
        <w:tc>
          <w:tcPr>
            <w:tcW w:w="7655" w:type="dxa"/>
            <w:tcBorders>
              <w:top w:val="nil"/>
              <w:left w:val="nil"/>
              <w:bottom w:val="nil"/>
              <w:right w:val="nil"/>
            </w:tcBorders>
            <w:shd w:val="clear" w:color="000000" w:fill="FFFFFF"/>
            <w:noWrap/>
            <w:hideMark/>
          </w:tcPr>
          <w:p w14:paraId="518812D8" w14:textId="77777777" w:rsidR="008764AE" w:rsidRPr="006D631C" w:rsidRDefault="008764AE" w:rsidP="008764AE">
            <w:pPr>
              <w:spacing w:line="240" w:lineRule="auto"/>
              <w:jc w:val="center"/>
              <w:rPr>
                <w:color w:val="000000"/>
                <w:sz w:val="20"/>
                <w:szCs w:val="20"/>
              </w:rPr>
            </w:pPr>
            <w:r w:rsidRPr="006D631C">
              <w:rPr>
                <w:i/>
                <w:iCs/>
                <w:color w:val="000000"/>
                <w:sz w:val="20"/>
                <w:szCs w:val="20"/>
              </w:rPr>
              <w:t>mon</w:t>
            </w:r>
            <w:r w:rsidRPr="006D631C">
              <w:rPr>
                <w:color w:val="000000"/>
                <w:sz w:val="20"/>
                <w:szCs w:val="20"/>
              </w:rPr>
              <w:t>-</w:t>
            </w:r>
            <w:proofErr w:type="spellStart"/>
            <w:r w:rsidRPr="006D631C">
              <w:rPr>
                <w:color w:val="000000"/>
                <w:sz w:val="20"/>
                <w:szCs w:val="20"/>
              </w:rPr>
              <w:t>isoMeDenPE</w:t>
            </w:r>
            <w:proofErr w:type="spellEnd"/>
          </w:p>
        </w:tc>
      </w:tr>
      <w:tr w:rsidR="008764AE" w:rsidRPr="006D631C" w14:paraId="25313DC0" w14:textId="77777777" w:rsidTr="00F463F6">
        <w:trPr>
          <w:cantSplit/>
          <w:trHeight w:val="20"/>
          <w:jc w:val="center"/>
        </w:trPr>
        <w:tc>
          <w:tcPr>
            <w:tcW w:w="426" w:type="dxa"/>
            <w:vMerge/>
            <w:tcBorders>
              <w:top w:val="nil"/>
              <w:left w:val="nil"/>
              <w:bottom w:val="single" w:sz="8" w:space="0" w:color="000000"/>
              <w:right w:val="nil"/>
            </w:tcBorders>
            <w:hideMark/>
          </w:tcPr>
          <w:p w14:paraId="1BA21816"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3482B239" w14:textId="4491EF89" w:rsidR="008764AE" w:rsidRPr="006D631C" w:rsidRDefault="008764AE" w:rsidP="008764AE">
            <w:pPr>
              <w:spacing w:line="240" w:lineRule="auto"/>
              <w:jc w:val="center"/>
              <w:rPr>
                <w:color w:val="000000"/>
                <w:sz w:val="20"/>
                <w:szCs w:val="20"/>
              </w:rPr>
            </w:pPr>
            <w:r w:rsidRPr="006D631C">
              <w:rPr>
                <w:color w:val="000000"/>
                <w:sz w:val="20"/>
                <w:szCs w:val="20"/>
              </w:rPr>
              <w:t>P-A-23</w:t>
            </w:r>
          </w:p>
        </w:tc>
        <w:tc>
          <w:tcPr>
            <w:tcW w:w="7655" w:type="dxa"/>
            <w:tcBorders>
              <w:top w:val="nil"/>
              <w:left w:val="nil"/>
              <w:bottom w:val="nil"/>
              <w:right w:val="nil"/>
            </w:tcBorders>
            <w:shd w:val="clear" w:color="000000" w:fill="FFFFFF"/>
            <w:noWrap/>
            <w:hideMark/>
          </w:tcPr>
          <w:p w14:paraId="14FC1152" w14:textId="77777777" w:rsidR="008764AE" w:rsidRPr="006D631C" w:rsidRDefault="008764AE" w:rsidP="008764AE">
            <w:pPr>
              <w:spacing w:line="240" w:lineRule="auto"/>
              <w:jc w:val="center"/>
              <w:rPr>
                <w:color w:val="000000"/>
                <w:sz w:val="20"/>
                <w:szCs w:val="20"/>
              </w:rPr>
            </w:pPr>
            <w:proofErr w:type="spellStart"/>
            <w:r w:rsidRPr="006D631C">
              <w:rPr>
                <w:i/>
                <w:iCs/>
                <w:color w:val="000000"/>
                <w:sz w:val="20"/>
                <w:szCs w:val="20"/>
              </w:rPr>
              <w:t>bis</w:t>
            </w:r>
            <w:r w:rsidRPr="006D631C">
              <w:rPr>
                <w:color w:val="000000"/>
                <w:sz w:val="20"/>
                <w:szCs w:val="20"/>
              </w:rPr>
              <w:t>-isoMeDenPC</w:t>
            </w:r>
            <w:proofErr w:type="spellEnd"/>
          </w:p>
        </w:tc>
      </w:tr>
      <w:tr w:rsidR="008764AE" w:rsidRPr="006D631C" w14:paraId="4B56C806" w14:textId="77777777" w:rsidTr="00F463F6">
        <w:trPr>
          <w:cantSplit/>
          <w:trHeight w:val="20"/>
          <w:jc w:val="center"/>
        </w:trPr>
        <w:tc>
          <w:tcPr>
            <w:tcW w:w="426" w:type="dxa"/>
            <w:vMerge/>
            <w:tcBorders>
              <w:top w:val="nil"/>
              <w:left w:val="nil"/>
              <w:bottom w:val="single" w:sz="8" w:space="0" w:color="000000"/>
              <w:right w:val="nil"/>
            </w:tcBorders>
            <w:hideMark/>
          </w:tcPr>
          <w:p w14:paraId="6D1AA2BF"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31E27BD7" w14:textId="4F395BC6" w:rsidR="008764AE" w:rsidRPr="006D631C" w:rsidRDefault="008764AE" w:rsidP="008764AE">
            <w:pPr>
              <w:spacing w:line="240" w:lineRule="auto"/>
              <w:jc w:val="center"/>
              <w:rPr>
                <w:color w:val="000000"/>
                <w:sz w:val="20"/>
                <w:szCs w:val="20"/>
              </w:rPr>
            </w:pPr>
            <w:r w:rsidRPr="006D631C">
              <w:rPr>
                <w:color w:val="000000"/>
                <w:sz w:val="20"/>
                <w:szCs w:val="20"/>
              </w:rPr>
              <w:t>P-A-24</w:t>
            </w:r>
          </w:p>
        </w:tc>
        <w:tc>
          <w:tcPr>
            <w:tcW w:w="7655" w:type="dxa"/>
            <w:tcBorders>
              <w:top w:val="nil"/>
              <w:left w:val="nil"/>
              <w:bottom w:val="nil"/>
              <w:right w:val="nil"/>
            </w:tcBorders>
            <w:shd w:val="clear" w:color="auto" w:fill="auto"/>
            <w:noWrap/>
            <w:hideMark/>
          </w:tcPr>
          <w:p w14:paraId="58B5A3B9" w14:textId="77777777" w:rsidR="008764AE" w:rsidRPr="006D631C" w:rsidRDefault="008764AE" w:rsidP="008764AE">
            <w:pPr>
              <w:spacing w:line="240" w:lineRule="auto"/>
              <w:jc w:val="center"/>
              <w:rPr>
                <w:rFonts w:ascii="Calibri" w:hAnsi="Calibri" w:cs="Calibri"/>
                <w:color w:val="000000"/>
                <w:sz w:val="20"/>
                <w:szCs w:val="20"/>
              </w:rPr>
            </w:pPr>
            <w:r w:rsidRPr="006D631C">
              <w:rPr>
                <w:color w:val="000000"/>
                <w:sz w:val="20"/>
                <w:szCs w:val="20"/>
              </w:rPr>
              <w:t>C</w:t>
            </w:r>
            <w:r w:rsidRPr="006D631C">
              <w:rPr>
                <w:color w:val="000000"/>
                <w:sz w:val="20"/>
                <w:szCs w:val="20"/>
                <w:vertAlign w:val="subscript"/>
              </w:rPr>
              <w:t>48</w:t>
            </w:r>
            <w:r w:rsidRPr="006D631C">
              <w:rPr>
                <w:color w:val="000000"/>
                <w:sz w:val="20"/>
                <w:szCs w:val="20"/>
              </w:rPr>
              <w:t>H</w:t>
            </w:r>
            <w:r w:rsidRPr="006D631C">
              <w:rPr>
                <w:color w:val="000000"/>
                <w:sz w:val="20"/>
                <w:szCs w:val="20"/>
                <w:vertAlign w:val="subscript"/>
              </w:rPr>
              <w:t>84</w:t>
            </w:r>
            <w:r w:rsidRPr="006D631C">
              <w:rPr>
                <w:color w:val="000000"/>
                <w:sz w:val="20"/>
                <w:szCs w:val="20"/>
              </w:rPr>
              <w:t>NO</w:t>
            </w:r>
            <w:r w:rsidRPr="006D631C">
              <w:rPr>
                <w:color w:val="000000"/>
                <w:sz w:val="20"/>
                <w:szCs w:val="20"/>
                <w:vertAlign w:val="subscript"/>
              </w:rPr>
              <w:t>8</w:t>
            </w:r>
            <w:r w:rsidRPr="006D631C">
              <w:rPr>
                <w:color w:val="000000"/>
                <w:sz w:val="20"/>
                <w:szCs w:val="20"/>
                <w:vertAlign w:val="superscript"/>
              </w:rPr>
              <w:t xml:space="preserve">+ </w:t>
            </w:r>
            <w:r w:rsidRPr="006D631C">
              <w:rPr>
                <w:color w:val="000000"/>
                <w:sz w:val="20"/>
                <w:szCs w:val="20"/>
              </w:rPr>
              <w:t>P</w:t>
            </w:r>
            <w:r w:rsidRPr="006D631C">
              <w:rPr>
                <w:color w:val="000000"/>
                <w:sz w:val="20"/>
                <w:szCs w:val="20"/>
                <w:vertAlign w:val="superscript"/>
              </w:rPr>
              <w:t>-</w:t>
            </w:r>
          </w:p>
        </w:tc>
      </w:tr>
      <w:tr w:rsidR="008764AE" w:rsidRPr="006D631C" w14:paraId="42035F88" w14:textId="77777777" w:rsidTr="00F463F6">
        <w:trPr>
          <w:cantSplit/>
          <w:trHeight w:val="20"/>
          <w:jc w:val="center"/>
        </w:trPr>
        <w:tc>
          <w:tcPr>
            <w:tcW w:w="426" w:type="dxa"/>
            <w:vMerge/>
            <w:tcBorders>
              <w:top w:val="nil"/>
              <w:left w:val="nil"/>
              <w:bottom w:val="single" w:sz="8" w:space="0" w:color="000000"/>
              <w:right w:val="nil"/>
            </w:tcBorders>
            <w:hideMark/>
          </w:tcPr>
          <w:p w14:paraId="5B446386"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69AAE13F" w14:textId="3D71FA22" w:rsidR="008764AE" w:rsidRPr="006D631C" w:rsidRDefault="008764AE" w:rsidP="008764AE">
            <w:pPr>
              <w:spacing w:line="240" w:lineRule="auto"/>
              <w:jc w:val="center"/>
              <w:rPr>
                <w:color w:val="000000"/>
                <w:sz w:val="20"/>
                <w:szCs w:val="20"/>
              </w:rPr>
            </w:pPr>
            <w:r w:rsidRPr="006D631C">
              <w:rPr>
                <w:color w:val="000000"/>
                <w:sz w:val="20"/>
                <w:szCs w:val="20"/>
              </w:rPr>
              <w:t>P-A-25</w:t>
            </w:r>
          </w:p>
        </w:tc>
        <w:tc>
          <w:tcPr>
            <w:tcW w:w="7655" w:type="dxa"/>
            <w:tcBorders>
              <w:top w:val="nil"/>
              <w:left w:val="nil"/>
              <w:bottom w:val="nil"/>
              <w:right w:val="nil"/>
            </w:tcBorders>
            <w:shd w:val="clear" w:color="000000" w:fill="FFFFFF"/>
            <w:noWrap/>
            <w:hideMark/>
          </w:tcPr>
          <w:p w14:paraId="5B90185C" w14:textId="77777777" w:rsidR="008764AE" w:rsidRPr="006D631C" w:rsidRDefault="008764AE" w:rsidP="008764AE">
            <w:pPr>
              <w:spacing w:line="240" w:lineRule="auto"/>
              <w:jc w:val="center"/>
              <w:rPr>
                <w:color w:val="000000"/>
                <w:sz w:val="20"/>
                <w:szCs w:val="20"/>
              </w:rPr>
            </w:pPr>
            <w:proofErr w:type="spellStart"/>
            <w:r w:rsidRPr="006D631C">
              <w:rPr>
                <w:color w:val="000000"/>
                <w:sz w:val="20"/>
                <w:szCs w:val="20"/>
              </w:rPr>
              <w:t>Hitenol</w:t>
            </w:r>
            <w:proofErr w:type="spellEnd"/>
            <w:r w:rsidRPr="006D631C">
              <w:rPr>
                <w:color w:val="000000"/>
                <w:sz w:val="20"/>
                <w:szCs w:val="20"/>
              </w:rPr>
              <w:t xml:space="preserve"> BC-05</w:t>
            </w:r>
          </w:p>
        </w:tc>
      </w:tr>
      <w:tr w:rsidR="008764AE" w:rsidRPr="006D631C" w14:paraId="2A79B96E" w14:textId="77777777" w:rsidTr="00F463F6">
        <w:trPr>
          <w:cantSplit/>
          <w:trHeight w:val="20"/>
          <w:jc w:val="center"/>
        </w:trPr>
        <w:tc>
          <w:tcPr>
            <w:tcW w:w="426" w:type="dxa"/>
            <w:vMerge/>
            <w:tcBorders>
              <w:top w:val="nil"/>
              <w:left w:val="nil"/>
              <w:bottom w:val="single" w:sz="8" w:space="0" w:color="000000"/>
              <w:right w:val="nil"/>
            </w:tcBorders>
            <w:hideMark/>
          </w:tcPr>
          <w:p w14:paraId="1674C3A5"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18823F40" w14:textId="01A33F5C" w:rsidR="008764AE" w:rsidRPr="006D631C" w:rsidRDefault="008764AE" w:rsidP="008764AE">
            <w:pPr>
              <w:spacing w:line="240" w:lineRule="auto"/>
              <w:jc w:val="center"/>
              <w:rPr>
                <w:color w:val="000000"/>
                <w:sz w:val="20"/>
                <w:szCs w:val="20"/>
              </w:rPr>
            </w:pPr>
            <w:r w:rsidRPr="006D631C">
              <w:rPr>
                <w:color w:val="000000"/>
                <w:sz w:val="20"/>
                <w:szCs w:val="20"/>
              </w:rPr>
              <w:t>P-A-26</w:t>
            </w:r>
          </w:p>
        </w:tc>
        <w:tc>
          <w:tcPr>
            <w:tcW w:w="7655" w:type="dxa"/>
            <w:tcBorders>
              <w:top w:val="nil"/>
              <w:left w:val="nil"/>
              <w:bottom w:val="nil"/>
              <w:right w:val="nil"/>
            </w:tcBorders>
            <w:shd w:val="clear" w:color="auto" w:fill="auto"/>
            <w:noWrap/>
            <w:hideMark/>
          </w:tcPr>
          <w:p w14:paraId="57C13777"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27</w:t>
            </w:r>
            <w:r w:rsidRPr="006D631C">
              <w:rPr>
                <w:color w:val="000000"/>
                <w:sz w:val="20"/>
                <w:szCs w:val="20"/>
              </w:rPr>
              <w:t>H</w:t>
            </w:r>
            <w:r w:rsidRPr="006D631C">
              <w:rPr>
                <w:color w:val="000000"/>
                <w:sz w:val="20"/>
                <w:szCs w:val="20"/>
                <w:vertAlign w:val="subscript"/>
              </w:rPr>
              <w:t>44</w:t>
            </w:r>
            <w:r w:rsidRPr="006D631C">
              <w:rPr>
                <w:color w:val="000000"/>
                <w:sz w:val="20"/>
                <w:szCs w:val="20"/>
              </w:rPr>
              <w:t>Na</w:t>
            </w:r>
            <w:r w:rsidRPr="006D631C">
              <w:rPr>
                <w:color w:val="000000"/>
                <w:sz w:val="20"/>
                <w:szCs w:val="20"/>
                <w:vertAlign w:val="superscript"/>
              </w:rPr>
              <w:t xml:space="preserve">+ </w:t>
            </w:r>
            <w:r w:rsidRPr="006D631C">
              <w:rPr>
                <w:color w:val="000000"/>
                <w:sz w:val="20"/>
                <w:szCs w:val="20"/>
              </w:rPr>
              <w:t>O</w:t>
            </w:r>
            <w:r w:rsidRPr="006D631C">
              <w:rPr>
                <w:color w:val="000000"/>
                <w:sz w:val="20"/>
                <w:szCs w:val="20"/>
                <w:vertAlign w:val="subscript"/>
              </w:rPr>
              <w:t>2</w:t>
            </w:r>
            <w:r w:rsidRPr="006D631C">
              <w:rPr>
                <w:color w:val="000000"/>
                <w:sz w:val="20"/>
                <w:szCs w:val="20"/>
                <w:vertAlign w:val="superscript"/>
              </w:rPr>
              <w:t>-</w:t>
            </w:r>
          </w:p>
        </w:tc>
      </w:tr>
      <w:tr w:rsidR="008764AE" w:rsidRPr="006D631C" w14:paraId="0B21DC0A" w14:textId="77777777" w:rsidTr="00F463F6">
        <w:trPr>
          <w:cantSplit/>
          <w:trHeight w:val="20"/>
          <w:jc w:val="center"/>
        </w:trPr>
        <w:tc>
          <w:tcPr>
            <w:tcW w:w="426" w:type="dxa"/>
            <w:vMerge/>
            <w:tcBorders>
              <w:top w:val="nil"/>
              <w:left w:val="nil"/>
              <w:bottom w:val="single" w:sz="8" w:space="0" w:color="000000"/>
              <w:right w:val="nil"/>
            </w:tcBorders>
            <w:hideMark/>
          </w:tcPr>
          <w:p w14:paraId="1ACB8BB4"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0DBB2A99" w14:textId="32A9436F" w:rsidR="008764AE" w:rsidRPr="006D631C" w:rsidRDefault="008764AE" w:rsidP="008764AE">
            <w:pPr>
              <w:spacing w:line="240" w:lineRule="auto"/>
              <w:jc w:val="center"/>
              <w:rPr>
                <w:color w:val="000000"/>
                <w:sz w:val="20"/>
                <w:szCs w:val="20"/>
              </w:rPr>
            </w:pPr>
            <w:r w:rsidRPr="006D631C">
              <w:rPr>
                <w:color w:val="000000"/>
                <w:sz w:val="20"/>
                <w:szCs w:val="20"/>
              </w:rPr>
              <w:t>P-A-27</w:t>
            </w:r>
          </w:p>
        </w:tc>
        <w:tc>
          <w:tcPr>
            <w:tcW w:w="7655" w:type="dxa"/>
            <w:tcBorders>
              <w:top w:val="nil"/>
              <w:left w:val="nil"/>
              <w:bottom w:val="nil"/>
              <w:right w:val="nil"/>
            </w:tcBorders>
            <w:shd w:val="clear" w:color="000000" w:fill="FFFFFF"/>
            <w:noWrap/>
            <w:hideMark/>
          </w:tcPr>
          <w:p w14:paraId="605DD784"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29</w:t>
            </w:r>
            <w:r w:rsidRPr="006D631C">
              <w:rPr>
                <w:color w:val="000000"/>
                <w:sz w:val="20"/>
                <w:szCs w:val="20"/>
              </w:rPr>
              <w:t>H</w:t>
            </w:r>
            <w:r w:rsidRPr="006D631C">
              <w:rPr>
                <w:color w:val="000000"/>
                <w:sz w:val="20"/>
                <w:szCs w:val="20"/>
                <w:vertAlign w:val="subscript"/>
              </w:rPr>
              <w:t>49</w:t>
            </w:r>
            <w:r w:rsidRPr="006D631C">
              <w:rPr>
                <w:color w:val="000000"/>
                <w:sz w:val="20"/>
                <w:szCs w:val="20"/>
              </w:rPr>
              <w:t>NO</w:t>
            </w:r>
            <w:r w:rsidRPr="006D631C">
              <w:rPr>
                <w:color w:val="000000"/>
                <w:sz w:val="20"/>
                <w:szCs w:val="20"/>
                <w:vertAlign w:val="subscript"/>
              </w:rPr>
              <w:t>2</w:t>
            </w:r>
            <w:r w:rsidRPr="006D631C">
              <w:rPr>
                <w:rFonts w:ascii="Calibri" w:hAnsi="Calibri" w:cs="Calibri"/>
                <w:color w:val="000000"/>
                <w:sz w:val="20"/>
                <w:szCs w:val="20"/>
              </w:rPr>
              <w:t xml:space="preserve"> </w:t>
            </w:r>
            <w:r w:rsidRPr="006D631C">
              <w:rPr>
                <w:color w:val="000000"/>
                <w:sz w:val="20"/>
                <w:szCs w:val="20"/>
              </w:rPr>
              <w:t>Na</w:t>
            </w:r>
            <w:r w:rsidRPr="006D631C">
              <w:rPr>
                <w:color w:val="000000"/>
                <w:sz w:val="20"/>
                <w:szCs w:val="20"/>
                <w:vertAlign w:val="superscript"/>
              </w:rPr>
              <w:t>+</w:t>
            </w:r>
            <w:r w:rsidRPr="006D631C">
              <w:rPr>
                <w:color w:val="000000"/>
                <w:sz w:val="20"/>
                <w:szCs w:val="20"/>
              </w:rPr>
              <w:t xml:space="preserve"> SO</w:t>
            </w:r>
            <w:r w:rsidRPr="006D631C">
              <w:rPr>
                <w:color w:val="000000"/>
                <w:sz w:val="20"/>
                <w:szCs w:val="20"/>
                <w:vertAlign w:val="subscript"/>
              </w:rPr>
              <w:t>3</w:t>
            </w:r>
            <w:r w:rsidRPr="006D631C">
              <w:rPr>
                <w:color w:val="000000"/>
                <w:sz w:val="20"/>
                <w:szCs w:val="20"/>
                <w:vertAlign w:val="superscript"/>
              </w:rPr>
              <w:t>-</w:t>
            </w:r>
          </w:p>
        </w:tc>
      </w:tr>
      <w:tr w:rsidR="008764AE" w:rsidRPr="006D631C" w14:paraId="1CB3EE60" w14:textId="77777777" w:rsidTr="00F463F6">
        <w:trPr>
          <w:cantSplit/>
          <w:trHeight w:val="20"/>
          <w:jc w:val="center"/>
        </w:trPr>
        <w:tc>
          <w:tcPr>
            <w:tcW w:w="426" w:type="dxa"/>
            <w:vMerge/>
            <w:tcBorders>
              <w:top w:val="nil"/>
              <w:left w:val="nil"/>
              <w:bottom w:val="single" w:sz="8" w:space="0" w:color="000000"/>
              <w:right w:val="nil"/>
            </w:tcBorders>
            <w:hideMark/>
          </w:tcPr>
          <w:p w14:paraId="2D03337E"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6EDB23AA" w14:textId="0F76C4F8" w:rsidR="008764AE" w:rsidRPr="006D631C" w:rsidRDefault="008764AE" w:rsidP="008764AE">
            <w:pPr>
              <w:spacing w:line="240" w:lineRule="auto"/>
              <w:jc w:val="center"/>
              <w:rPr>
                <w:color w:val="000000"/>
                <w:sz w:val="20"/>
                <w:szCs w:val="20"/>
              </w:rPr>
            </w:pPr>
            <w:r w:rsidRPr="006D631C">
              <w:rPr>
                <w:color w:val="000000"/>
                <w:sz w:val="20"/>
                <w:szCs w:val="20"/>
              </w:rPr>
              <w:t>P-A-28</w:t>
            </w:r>
          </w:p>
        </w:tc>
        <w:tc>
          <w:tcPr>
            <w:tcW w:w="7655" w:type="dxa"/>
            <w:tcBorders>
              <w:top w:val="nil"/>
              <w:left w:val="nil"/>
              <w:bottom w:val="nil"/>
              <w:right w:val="nil"/>
            </w:tcBorders>
            <w:shd w:val="clear" w:color="auto" w:fill="auto"/>
            <w:noWrap/>
            <w:hideMark/>
          </w:tcPr>
          <w:p w14:paraId="67F4281E" w14:textId="77777777" w:rsidR="008764AE" w:rsidRPr="006D631C" w:rsidRDefault="008764AE" w:rsidP="008764AE">
            <w:pPr>
              <w:spacing w:line="240" w:lineRule="auto"/>
              <w:jc w:val="center"/>
              <w:rPr>
                <w:rFonts w:ascii="Calibri" w:hAnsi="Calibri" w:cs="Calibri"/>
                <w:color w:val="000000"/>
                <w:sz w:val="20"/>
                <w:szCs w:val="20"/>
              </w:rPr>
            </w:pPr>
            <w:r w:rsidRPr="006D631C">
              <w:rPr>
                <w:color w:val="000000"/>
                <w:sz w:val="20"/>
                <w:szCs w:val="20"/>
              </w:rPr>
              <w:t>C</w:t>
            </w:r>
            <w:r w:rsidRPr="006D631C">
              <w:rPr>
                <w:color w:val="000000"/>
                <w:sz w:val="20"/>
                <w:szCs w:val="20"/>
                <w:vertAlign w:val="subscript"/>
              </w:rPr>
              <w:t>12</w:t>
            </w:r>
            <w:r w:rsidRPr="006D631C">
              <w:rPr>
                <w:color w:val="000000"/>
                <w:sz w:val="20"/>
                <w:szCs w:val="20"/>
              </w:rPr>
              <w:t>H</w:t>
            </w:r>
            <w:r w:rsidRPr="006D631C">
              <w:rPr>
                <w:color w:val="000000"/>
                <w:sz w:val="20"/>
                <w:szCs w:val="20"/>
                <w:vertAlign w:val="subscript"/>
              </w:rPr>
              <w:t>14</w:t>
            </w:r>
            <w:r w:rsidRPr="006D631C">
              <w:rPr>
                <w:color w:val="000000"/>
                <w:sz w:val="20"/>
                <w:szCs w:val="20"/>
              </w:rPr>
              <w:t>(CH</w:t>
            </w:r>
            <w:r w:rsidRPr="006D631C">
              <w:rPr>
                <w:color w:val="000000"/>
                <w:sz w:val="20"/>
                <w:szCs w:val="20"/>
                <w:vertAlign w:val="subscript"/>
              </w:rPr>
              <w:t>2</w:t>
            </w:r>
            <w:r w:rsidRPr="006D631C">
              <w:rPr>
                <w:color w:val="000000"/>
                <w:sz w:val="20"/>
                <w:szCs w:val="20"/>
              </w:rPr>
              <w:t>)</w:t>
            </w:r>
            <w:r w:rsidRPr="006D631C">
              <w:rPr>
                <w:color w:val="000000"/>
                <w:sz w:val="20"/>
                <w:szCs w:val="20"/>
                <w:vertAlign w:val="subscript"/>
              </w:rPr>
              <w:t>n</w:t>
            </w:r>
            <w:r w:rsidRPr="006D631C">
              <w:rPr>
                <w:color w:val="000000"/>
                <w:sz w:val="20"/>
                <w:szCs w:val="20"/>
              </w:rPr>
              <w:t xml:space="preserve"> (CH</w:t>
            </w:r>
            <w:r w:rsidRPr="006D631C">
              <w:rPr>
                <w:color w:val="000000"/>
                <w:sz w:val="20"/>
                <w:szCs w:val="20"/>
                <w:vertAlign w:val="subscript"/>
              </w:rPr>
              <w:t>2</w:t>
            </w:r>
            <w:r w:rsidRPr="006D631C">
              <w:rPr>
                <w:color w:val="000000"/>
                <w:sz w:val="20"/>
                <w:szCs w:val="20"/>
              </w:rPr>
              <w:t>)</w:t>
            </w:r>
            <w:r w:rsidRPr="006D631C">
              <w:rPr>
                <w:color w:val="000000"/>
                <w:sz w:val="20"/>
                <w:szCs w:val="20"/>
                <w:vertAlign w:val="subscript"/>
              </w:rPr>
              <w:t xml:space="preserve">m </w:t>
            </w:r>
            <w:r w:rsidRPr="006D631C">
              <w:rPr>
                <w:color w:val="000000"/>
                <w:sz w:val="20"/>
                <w:szCs w:val="20"/>
              </w:rPr>
              <w:t>Na</w:t>
            </w:r>
            <w:r w:rsidRPr="006D631C">
              <w:rPr>
                <w:color w:val="000000"/>
                <w:sz w:val="20"/>
                <w:szCs w:val="20"/>
                <w:vertAlign w:val="superscript"/>
              </w:rPr>
              <w:t>+</w:t>
            </w:r>
            <w:r w:rsidRPr="006D631C">
              <w:rPr>
                <w:color w:val="000000"/>
                <w:sz w:val="20"/>
                <w:szCs w:val="20"/>
              </w:rPr>
              <w:t>O</w:t>
            </w:r>
            <w:r w:rsidRPr="006D631C">
              <w:rPr>
                <w:color w:val="000000"/>
                <w:sz w:val="20"/>
                <w:szCs w:val="20"/>
                <w:vertAlign w:val="subscript"/>
              </w:rPr>
              <w:t>3</w:t>
            </w:r>
            <w:r w:rsidRPr="006D631C">
              <w:rPr>
                <w:color w:val="000000"/>
                <w:sz w:val="20"/>
                <w:szCs w:val="20"/>
                <w:vertAlign w:val="superscript"/>
              </w:rPr>
              <w:t>-</w:t>
            </w:r>
          </w:p>
        </w:tc>
      </w:tr>
      <w:tr w:rsidR="008764AE" w:rsidRPr="006D631C" w14:paraId="5313F14E" w14:textId="77777777" w:rsidTr="00F463F6">
        <w:trPr>
          <w:cantSplit/>
          <w:trHeight w:val="20"/>
          <w:jc w:val="center"/>
        </w:trPr>
        <w:tc>
          <w:tcPr>
            <w:tcW w:w="426" w:type="dxa"/>
            <w:vMerge/>
            <w:tcBorders>
              <w:top w:val="nil"/>
              <w:left w:val="nil"/>
              <w:bottom w:val="single" w:sz="8" w:space="0" w:color="000000"/>
              <w:right w:val="nil"/>
            </w:tcBorders>
            <w:hideMark/>
          </w:tcPr>
          <w:p w14:paraId="3DCCACCC"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700DD25E" w14:textId="7121A9CC" w:rsidR="008764AE" w:rsidRPr="006D631C" w:rsidRDefault="008764AE" w:rsidP="008764AE">
            <w:pPr>
              <w:spacing w:line="240" w:lineRule="auto"/>
              <w:jc w:val="center"/>
              <w:rPr>
                <w:color w:val="000000"/>
                <w:sz w:val="20"/>
                <w:szCs w:val="20"/>
              </w:rPr>
            </w:pPr>
            <w:r w:rsidRPr="006D631C">
              <w:rPr>
                <w:color w:val="000000"/>
                <w:sz w:val="20"/>
                <w:szCs w:val="20"/>
              </w:rPr>
              <w:t>P-A-29</w:t>
            </w:r>
          </w:p>
        </w:tc>
        <w:tc>
          <w:tcPr>
            <w:tcW w:w="7655" w:type="dxa"/>
            <w:tcBorders>
              <w:top w:val="nil"/>
              <w:left w:val="nil"/>
              <w:bottom w:val="nil"/>
              <w:right w:val="nil"/>
            </w:tcBorders>
            <w:shd w:val="clear" w:color="000000" w:fill="FFFFFF"/>
            <w:noWrap/>
            <w:hideMark/>
          </w:tcPr>
          <w:p w14:paraId="5D4C4C32"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49</w:t>
            </w:r>
            <w:r w:rsidRPr="006D631C">
              <w:rPr>
                <w:color w:val="000000"/>
                <w:sz w:val="20"/>
                <w:szCs w:val="20"/>
              </w:rPr>
              <w:t>H</w:t>
            </w:r>
            <w:r w:rsidRPr="006D631C">
              <w:rPr>
                <w:color w:val="000000"/>
                <w:sz w:val="20"/>
                <w:szCs w:val="20"/>
                <w:vertAlign w:val="subscript"/>
              </w:rPr>
              <w:t>80</w:t>
            </w:r>
            <w:r w:rsidRPr="006D631C">
              <w:rPr>
                <w:color w:val="000000"/>
                <w:sz w:val="20"/>
                <w:szCs w:val="20"/>
              </w:rPr>
              <w:t>Na</w:t>
            </w:r>
            <w:r w:rsidRPr="006D631C">
              <w:rPr>
                <w:color w:val="000000"/>
                <w:sz w:val="20"/>
                <w:szCs w:val="20"/>
                <w:vertAlign w:val="superscript"/>
              </w:rPr>
              <w:t>+</w:t>
            </w:r>
            <w:r w:rsidRPr="006D631C">
              <w:rPr>
                <w:color w:val="000000"/>
                <w:sz w:val="20"/>
                <w:szCs w:val="20"/>
              </w:rPr>
              <w:t>O</w:t>
            </w:r>
            <w:r w:rsidRPr="006D631C">
              <w:rPr>
                <w:color w:val="000000"/>
                <w:sz w:val="20"/>
                <w:szCs w:val="20"/>
                <w:vertAlign w:val="subscript"/>
              </w:rPr>
              <w:t>11</w:t>
            </w:r>
            <w:r w:rsidRPr="006D631C">
              <w:rPr>
                <w:color w:val="000000"/>
                <w:sz w:val="20"/>
                <w:szCs w:val="20"/>
                <w:vertAlign w:val="superscript"/>
              </w:rPr>
              <w:t>-</w:t>
            </w:r>
          </w:p>
        </w:tc>
      </w:tr>
      <w:tr w:rsidR="008764AE" w:rsidRPr="006D631C" w14:paraId="24CCA13B" w14:textId="77777777" w:rsidTr="00F463F6">
        <w:trPr>
          <w:cantSplit/>
          <w:trHeight w:val="20"/>
          <w:jc w:val="center"/>
        </w:trPr>
        <w:tc>
          <w:tcPr>
            <w:tcW w:w="426" w:type="dxa"/>
            <w:vMerge/>
            <w:tcBorders>
              <w:top w:val="nil"/>
              <w:left w:val="nil"/>
              <w:bottom w:val="single" w:sz="8" w:space="0" w:color="000000"/>
              <w:right w:val="nil"/>
            </w:tcBorders>
            <w:hideMark/>
          </w:tcPr>
          <w:p w14:paraId="3F1D20B1"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5B7BFA98" w14:textId="322833B6" w:rsidR="008764AE" w:rsidRPr="006D631C" w:rsidRDefault="008764AE" w:rsidP="008764AE">
            <w:pPr>
              <w:spacing w:line="240" w:lineRule="auto"/>
              <w:jc w:val="center"/>
              <w:rPr>
                <w:color w:val="000000"/>
                <w:sz w:val="20"/>
                <w:szCs w:val="20"/>
              </w:rPr>
            </w:pPr>
            <w:r w:rsidRPr="006D631C">
              <w:rPr>
                <w:color w:val="000000"/>
                <w:sz w:val="20"/>
                <w:szCs w:val="20"/>
              </w:rPr>
              <w:t>P-A-30</w:t>
            </w:r>
          </w:p>
        </w:tc>
        <w:tc>
          <w:tcPr>
            <w:tcW w:w="7655" w:type="dxa"/>
            <w:tcBorders>
              <w:top w:val="nil"/>
              <w:left w:val="nil"/>
              <w:bottom w:val="nil"/>
              <w:right w:val="nil"/>
            </w:tcBorders>
            <w:shd w:val="clear" w:color="auto" w:fill="auto"/>
            <w:noWrap/>
            <w:hideMark/>
          </w:tcPr>
          <w:p w14:paraId="3E498052"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19</w:t>
            </w:r>
            <w:r w:rsidRPr="006D631C">
              <w:rPr>
                <w:color w:val="000000"/>
                <w:sz w:val="20"/>
                <w:szCs w:val="20"/>
              </w:rPr>
              <w:t>H</w:t>
            </w:r>
            <w:r w:rsidRPr="006D631C">
              <w:rPr>
                <w:color w:val="000000"/>
                <w:sz w:val="20"/>
                <w:szCs w:val="20"/>
                <w:vertAlign w:val="subscript"/>
              </w:rPr>
              <w:t>14</w:t>
            </w:r>
            <w:r w:rsidRPr="006D631C">
              <w:rPr>
                <w:color w:val="000000"/>
                <w:sz w:val="20"/>
                <w:szCs w:val="20"/>
              </w:rPr>
              <w:t>(CH</w:t>
            </w:r>
            <w:r w:rsidRPr="006D631C">
              <w:rPr>
                <w:color w:val="000000"/>
                <w:sz w:val="20"/>
                <w:szCs w:val="20"/>
                <w:vertAlign w:val="subscript"/>
              </w:rPr>
              <w:t>2</w:t>
            </w:r>
            <w:r w:rsidRPr="006D631C">
              <w:rPr>
                <w:color w:val="000000"/>
                <w:sz w:val="20"/>
                <w:szCs w:val="20"/>
              </w:rPr>
              <w:t>)</w:t>
            </w:r>
            <w:r w:rsidRPr="006D631C">
              <w:rPr>
                <w:color w:val="000000"/>
                <w:sz w:val="20"/>
                <w:szCs w:val="20"/>
                <w:vertAlign w:val="subscript"/>
              </w:rPr>
              <w:t>3n</w:t>
            </w:r>
            <w:r w:rsidRPr="006D631C">
              <w:rPr>
                <w:color w:val="000000"/>
                <w:sz w:val="20"/>
                <w:szCs w:val="20"/>
              </w:rPr>
              <w:t>Na</w:t>
            </w:r>
            <w:r w:rsidRPr="006D631C">
              <w:rPr>
                <w:color w:val="000000"/>
                <w:sz w:val="20"/>
                <w:szCs w:val="20"/>
                <w:vertAlign w:val="superscript"/>
              </w:rPr>
              <w:t>+</w:t>
            </w:r>
            <w:r w:rsidRPr="006D631C">
              <w:rPr>
                <w:color w:val="000000"/>
                <w:sz w:val="20"/>
                <w:szCs w:val="20"/>
              </w:rPr>
              <w:t>O</w:t>
            </w:r>
            <w:r w:rsidRPr="006D631C">
              <w:rPr>
                <w:color w:val="000000"/>
                <w:sz w:val="20"/>
                <w:szCs w:val="20"/>
                <w:vertAlign w:val="subscript"/>
              </w:rPr>
              <w:t>5</w:t>
            </w:r>
            <w:r w:rsidRPr="006D631C">
              <w:rPr>
                <w:color w:val="000000"/>
                <w:sz w:val="20"/>
                <w:szCs w:val="20"/>
                <w:vertAlign w:val="superscript"/>
              </w:rPr>
              <w:t>-</w:t>
            </w:r>
          </w:p>
        </w:tc>
      </w:tr>
      <w:tr w:rsidR="008764AE" w:rsidRPr="006D631C" w14:paraId="09C0C056" w14:textId="77777777" w:rsidTr="00F463F6">
        <w:trPr>
          <w:cantSplit/>
          <w:trHeight w:val="20"/>
          <w:jc w:val="center"/>
        </w:trPr>
        <w:tc>
          <w:tcPr>
            <w:tcW w:w="426" w:type="dxa"/>
            <w:vMerge/>
            <w:tcBorders>
              <w:top w:val="nil"/>
              <w:left w:val="nil"/>
              <w:bottom w:val="single" w:sz="8" w:space="0" w:color="000000"/>
              <w:right w:val="nil"/>
            </w:tcBorders>
            <w:hideMark/>
          </w:tcPr>
          <w:p w14:paraId="59522D4C"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40A0A6C8" w14:textId="0970785C" w:rsidR="008764AE" w:rsidRPr="006D631C" w:rsidRDefault="008764AE" w:rsidP="008764AE">
            <w:pPr>
              <w:spacing w:line="240" w:lineRule="auto"/>
              <w:jc w:val="center"/>
              <w:rPr>
                <w:color w:val="000000"/>
                <w:sz w:val="20"/>
                <w:szCs w:val="20"/>
              </w:rPr>
            </w:pPr>
            <w:r w:rsidRPr="006D631C">
              <w:rPr>
                <w:color w:val="000000"/>
                <w:sz w:val="20"/>
                <w:szCs w:val="20"/>
              </w:rPr>
              <w:t>P-A-31</w:t>
            </w:r>
          </w:p>
        </w:tc>
        <w:tc>
          <w:tcPr>
            <w:tcW w:w="7655" w:type="dxa"/>
            <w:tcBorders>
              <w:top w:val="nil"/>
              <w:left w:val="nil"/>
              <w:bottom w:val="nil"/>
              <w:right w:val="nil"/>
            </w:tcBorders>
            <w:shd w:val="clear" w:color="000000" w:fill="FFFFFF"/>
            <w:noWrap/>
            <w:hideMark/>
          </w:tcPr>
          <w:p w14:paraId="6E2B2F41"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52</w:t>
            </w:r>
            <w:r w:rsidRPr="006D631C">
              <w:rPr>
                <w:color w:val="000000"/>
                <w:sz w:val="20"/>
                <w:szCs w:val="20"/>
              </w:rPr>
              <w:t>H</w:t>
            </w:r>
            <w:r w:rsidRPr="006D631C">
              <w:rPr>
                <w:color w:val="000000"/>
                <w:sz w:val="20"/>
                <w:szCs w:val="20"/>
                <w:vertAlign w:val="subscript"/>
              </w:rPr>
              <w:t>88</w:t>
            </w:r>
            <w:r w:rsidRPr="006D631C">
              <w:rPr>
                <w:color w:val="000000"/>
                <w:sz w:val="20"/>
                <w:szCs w:val="20"/>
              </w:rPr>
              <w:t>NO</w:t>
            </w:r>
            <w:r w:rsidRPr="006D631C">
              <w:rPr>
                <w:color w:val="000000"/>
                <w:sz w:val="20"/>
                <w:szCs w:val="20"/>
                <w:vertAlign w:val="subscript"/>
              </w:rPr>
              <w:t>13</w:t>
            </w:r>
            <w:r w:rsidRPr="006D631C">
              <w:rPr>
                <w:color w:val="000000"/>
                <w:sz w:val="20"/>
                <w:szCs w:val="20"/>
              </w:rPr>
              <w:t>S</w:t>
            </w:r>
            <w:r w:rsidRPr="006D631C">
              <w:rPr>
                <w:color w:val="000000"/>
                <w:sz w:val="20"/>
                <w:szCs w:val="20"/>
                <w:vertAlign w:val="superscript"/>
              </w:rPr>
              <w:t xml:space="preserve">- </w:t>
            </w:r>
            <w:r w:rsidRPr="006D631C">
              <w:rPr>
                <w:color w:val="000000"/>
                <w:sz w:val="20"/>
                <w:szCs w:val="20"/>
              </w:rPr>
              <w:t>Li</w:t>
            </w:r>
            <w:r w:rsidRPr="006D631C">
              <w:rPr>
                <w:color w:val="000000"/>
                <w:sz w:val="20"/>
                <w:szCs w:val="20"/>
                <w:vertAlign w:val="superscript"/>
              </w:rPr>
              <w:t>+</w:t>
            </w:r>
          </w:p>
        </w:tc>
      </w:tr>
      <w:tr w:rsidR="008764AE" w:rsidRPr="006D631C" w14:paraId="16761B6E" w14:textId="77777777" w:rsidTr="00F463F6">
        <w:trPr>
          <w:cantSplit/>
          <w:trHeight w:val="20"/>
          <w:jc w:val="center"/>
        </w:trPr>
        <w:tc>
          <w:tcPr>
            <w:tcW w:w="426" w:type="dxa"/>
            <w:vMerge/>
            <w:tcBorders>
              <w:top w:val="nil"/>
              <w:left w:val="nil"/>
              <w:bottom w:val="single" w:sz="8" w:space="0" w:color="000000"/>
              <w:right w:val="nil"/>
            </w:tcBorders>
            <w:hideMark/>
          </w:tcPr>
          <w:p w14:paraId="429F5020"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74D1ADE5" w14:textId="5E52D3BF" w:rsidR="008764AE" w:rsidRPr="006D631C" w:rsidRDefault="008764AE" w:rsidP="008764AE">
            <w:pPr>
              <w:spacing w:line="240" w:lineRule="auto"/>
              <w:jc w:val="center"/>
              <w:rPr>
                <w:color w:val="000000"/>
                <w:sz w:val="20"/>
                <w:szCs w:val="20"/>
              </w:rPr>
            </w:pPr>
            <w:r w:rsidRPr="006D631C">
              <w:rPr>
                <w:color w:val="000000"/>
                <w:sz w:val="20"/>
                <w:szCs w:val="20"/>
              </w:rPr>
              <w:t>P-A-32</w:t>
            </w:r>
          </w:p>
        </w:tc>
        <w:tc>
          <w:tcPr>
            <w:tcW w:w="7655" w:type="dxa"/>
            <w:tcBorders>
              <w:top w:val="nil"/>
              <w:left w:val="nil"/>
              <w:bottom w:val="nil"/>
              <w:right w:val="nil"/>
            </w:tcBorders>
            <w:shd w:val="clear" w:color="auto" w:fill="auto"/>
            <w:noWrap/>
            <w:hideMark/>
          </w:tcPr>
          <w:p w14:paraId="2B0914F7"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58</w:t>
            </w:r>
            <w:r w:rsidRPr="006D631C">
              <w:rPr>
                <w:color w:val="000000"/>
                <w:sz w:val="20"/>
                <w:szCs w:val="20"/>
              </w:rPr>
              <w:t>H</w:t>
            </w:r>
            <w:r w:rsidRPr="006D631C">
              <w:rPr>
                <w:color w:val="000000"/>
                <w:sz w:val="20"/>
                <w:szCs w:val="20"/>
                <w:vertAlign w:val="subscript"/>
              </w:rPr>
              <w:t>98</w:t>
            </w:r>
            <w:r w:rsidRPr="006D631C">
              <w:rPr>
                <w:color w:val="000000"/>
                <w:sz w:val="20"/>
                <w:szCs w:val="20"/>
              </w:rPr>
              <w:t>N</w:t>
            </w:r>
            <w:r w:rsidRPr="006D631C">
              <w:rPr>
                <w:color w:val="000000"/>
                <w:sz w:val="20"/>
                <w:szCs w:val="20"/>
                <w:vertAlign w:val="subscript"/>
              </w:rPr>
              <w:t>2</w:t>
            </w:r>
            <w:r w:rsidRPr="006D631C">
              <w:rPr>
                <w:color w:val="000000"/>
                <w:sz w:val="20"/>
                <w:szCs w:val="20"/>
              </w:rPr>
              <w:t>O</w:t>
            </w:r>
            <w:r w:rsidRPr="006D631C">
              <w:rPr>
                <w:color w:val="000000"/>
                <w:sz w:val="20"/>
                <w:szCs w:val="20"/>
                <w:vertAlign w:val="subscript"/>
              </w:rPr>
              <w:t>11</w:t>
            </w:r>
            <w:r w:rsidRPr="006D631C">
              <w:rPr>
                <w:color w:val="000000"/>
                <w:sz w:val="20"/>
                <w:szCs w:val="20"/>
                <w:vertAlign w:val="superscript"/>
              </w:rPr>
              <w:t>+</w:t>
            </w:r>
            <w:r w:rsidRPr="006D631C">
              <w:rPr>
                <w:color w:val="000000"/>
                <w:sz w:val="20"/>
                <w:szCs w:val="20"/>
              </w:rPr>
              <w:t xml:space="preserve"> BF</w:t>
            </w:r>
            <w:r w:rsidRPr="006D631C">
              <w:rPr>
                <w:color w:val="000000"/>
                <w:sz w:val="20"/>
                <w:szCs w:val="20"/>
                <w:vertAlign w:val="subscript"/>
              </w:rPr>
              <w:t>4</w:t>
            </w:r>
            <w:r w:rsidRPr="006D631C">
              <w:rPr>
                <w:color w:val="000000"/>
                <w:sz w:val="20"/>
                <w:szCs w:val="20"/>
                <w:vertAlign w:val="superscript"/>
              </w:rPr>
              <w:t>-</w:t>
            </w:r>
          </w:p>
        </w:tc>
      </w:tr>
      <w:tr w:rsidR="008764AE" w:rsidRPr="006D631C" w14:paraId="0A0278A4" w14:textId="77777777" w:rsidTr="00F463F6">
        <w:trPr>
          <w:cantSplit/>
          <w:trHeight w:val="20"/>
          <w:jc w:val="center"/>
        </w:trPr>
        <w:tc>
          <w:tcPr>
            <w:tcW w:w="426" w:type="dxa"/>
            <w:vMerge/>
            <w:tcBorders>
              <w:top w:val="nil"/>
              <w:left w:val="nil"/>
              <w:bottom w:val="single" w:sz="8" w:space="0" w:color="000000"/>
              <w:right w:val="nil"/>
            </w:tcBorders>
            <w:hideMark/>
          </w:tcPr>
          <w:p w14:paraId="4C06FA51"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42BDC779" w14:textId="47AB0C0A" w:rsidR="008764AE" w:rsidRPr="006D631C" w:rsidRDefault="008764AE" w:rsidP="008764AE">
            <w:pPr>
              <w:spacing w:line="240" w:lineRule="auto"/>
              <w:jc w:val="center"/>
              <w:rPr>
                <w:color w:val="000000"/>
                <w:sz w:val="20"/>
                <w:szCs w:val="20"/>
              </w:rPr>
            </w:pPr>
            <w:r w:rsidRPr="006D631C">
              <w:rPr>
                <w:color w:val="000000"/>
                <w:sz w:val="20"/>
                <w:szCs w:val="20"/>
              </w:rPr>
              <w:t>P-A-33</w:t>
            </w:r>
          </w:p>
        </w:tc>
        <w:tc>
          <w:tcPr>
            <w:tcW w:w="7655" w:type="dxa"/>
            <w:tcBorders>
              <w:top w:val="nil"/>
              <w:left w:val="nil"/>
              <w:bottom w:val="nil"/>
              <w:right w:val="nil"/>
            </w:tcBorders>
            <w:shd w:val="clear" w:color="000000" w:fill="FFFFFF"/>
            <w:noWrap/>
            <w:hideMark/>
          </w:tcPr>
          <w:p w14:paraId="059A42D4"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58</w:t>
            </w:r>
            <w:r w:rsidRPr="006D631C">
              <w:rPr>
                <w:color w:val="000000"/>
                <w:sz w:val="20"/>
                <w:szCs w:val="20"/>
              </w:rPr>
              <w:t>H</w:t>
            </w:r>
            <w:r w:rsidRPr="006D631C">
              <w:rPr>
                <w:color w:val="000000"/>
                <w:sz w:val="20"/>
                <w:szCs w:val="20"/>
                <w:vertAlign w:val="subscript"/>
              </w:rPr>
              <w:t>100</w:t>
            </w:r>
            <w:r w:rsidRPr="006D631C">
              <w:rPr>
                <w:color w:val="000000"/>
                <w:sz w:val="20"/>
                <w:szCs w:val="20"/>
              </w:rPr>
              <w:t>N</w:t>
            </w:r>
            <w:r w:rsidRPr="006D631C">
              <w:rPr>
                <w:color w:val="000000"/>
                <w:sz w:val="20"/>
                <w:szCs w:val="20"/>
                <w:vertAlign w:val="subscript"/>
              </w:rPr>
              <w:t>2</w:t>
            </w:r>
            <w:r w:rsidRPr="006D631C">
              <w:rPr>
                <w:color w:val="000000"/>
                <w:sz w:val="20"/>
                <w:szCs w:val="20"/>
              </w:rPr>
              <w:t>O</w:t>
            </w:r>
            <w:r w:rsidRPr="006D631C">
              <w:rPr>
                <w:color w:val="000000"/>
                <w:sz w:val="20"/>
                <w:szCs w:val="20"/>
                <w:vertAlign w:val="subscript"/>
              </w:rPr>
              <w:t>11</w:t>
            </w:r>
            <w:r w:rsidRPr="006D631C">
              <w:rPr>
                <w:color w:val="000000"/>
                <w:sz w:val="20"/>
                <w:szCs w:val="20"/>
                <w:vertAlign w:val="superscript"/>
              </w:rPr>
              <w:t>+</w:t>
            </w:r>
            <w:r w:rsidRPr="006D631C">
              <w:rPr>
                <w:color w:val="000000"/>
                <w:sz w:val="20"/>
                <w:szCs w:val="20"/>
              </w:rPr>
              <w:t xml:space="preserve"> BF</w:t>
            </w:r>
            <w:r w:rsidRPr="006D631C">
              <w:rPr>
                <w:color w:val="000000"/>
                <w:sz w:val="20"/>
                <w:szCs w:val="20"/>
                <w:vertAlign w:val="subscript"/>
              </w:rPr>
              <w:t>4</w:t>
            </w:r>
            <w:r w:rsidRPr="006D631C">
              <w:rPr>
                <w:color w:val="000000"/>
                <w:sz w:val="20"/>
                <w:szCs w:val="20"/>
                <w:vertAlign w:val="superscript"/>
              </w:rPr>
              <w:t>-</w:t>
            </w:r>
          </w:p>
        </w:tc>
      </w:tr>
      <w:tr w:rsidR="008764AE" w:rsidRPr="006D631C" w14:paraId="46A975D3" w14:textId="77777777" w:rsidTr="00F463F6">
        <w:trPr>
          <w:cantSplit/>
          <w:trHeight w:val="20"/>
          <w:jc w:val="center"/>
        </w:trPr>
        <w:tc>
          <w:tcPr>
            <w:tcW w:w="426" w:type="dxa"/>
            <w:vMerge/>
            <w:tcBorders>
              <w:top w:val="nil"/>
              <w:left w:val="nil"/>
              <w:bottom w:val="single" w:sz="8" w:space="0" w:color="000000"/>
              <w:right w:val="nil"/>
            </w:tcBorders>
            <w:hideMark/>
          </w:tcPr>
          <w:p w14:paraId="1BDAD2D8"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34D762D7" w14:textId="0F1BB282" w:rsidR="008764AE" w:rsidRPr="006D631C" w:rsidRDefault="008764AE" w:rsidP="008764AE">
            <w:pPr>
              <w:spacing w:line="240" w:lineRule="auto"/>
              <w:jc w:val="center"/>
              <w:rPr>
                <w:color w:val="000000"/>
                <w:sz w:val="20"/>
                <w:szCs w:val="20"/>
              </w:rPr>
            </w:pPr>
            <w:r w:rsidRPr="006D631C">
              <w:rPr>
                <w:color w:val="000000"/>
                <w:sz w:val="20"/>
                <w:szCs w:val="20"/>
              </w:rPr>
              <w:t>P-A-34</w:t>
            </w:r>
          </w:p>
        </w:tc>
        <w:tc>
          <w:tcPr>
            <w:tcW w:w="7655" w:type="dxa"/>
            <w:tcBorders>
              <w:top w:val="nil"/>
              <w:left w:val="nil"/>
              <w:bottom w:val="nil"/>
              <w:right w:val="nil"/>
            </w:tcBorders>
            <w:shd w:val="clear" w:color="auto" w:fill="auto"/>
            <w:noWrap/>
            <w:hideMark/>
          </w:tcPr>
          <w:p w14:paraId="45F798B0"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7</w:t>
            </w:r>
            <w:r w:rsidRPr="006D631C">
              <w:rPr>
                <w:color w:val="000000"/>
                <w:sz w:val="20"/>
                <w:szCs w:val="20"/>
              </w:rPr>
              <w:t>H</w:t>
            </w:r>
            <w:r w:rsidRPr="006D631C">
              <w:rPr>
                <w:color w:val="000000"/>
                <w:sz w:val="20"/>
                <w:szCs w:val="20"/>
                <w:vertAlign w:val="subscript"/>
              </w:rPr>
              <w:t>14</w:t>
            </w:r>
            <w:r w:rsidRPr="006D631C">
              <w:rPr>
                <w:color w:val="000000"/>
                <w:sz w:val="20"/>
                <w:szCs w:val="20"/>
              </w:rPr>
              <w:t>(CH</w:t>
            </w:r>
            <w:r w:rsidRPr="006D631C">
              <w:rPr>
                <w:color w:val="000000"/>
                <w:sz w:val="20"/>
                <w:szCs w:val="20"/>
                <w:vertAlign w:val="subscript"/>
              </w:rPr>
              <w:t>2</w:t>
            </w:r>
            <w:r w:rsidRPr="006D631C">
              <w:rPr>
                <w:color w:val="000000"/>
                <w:sz w:val="20"/>
                <w:szCs w:val="20"/>
              </w:rPr>
              <w:t>)</w:t>
            </w:r>
            <w:r w:rsidRPr="006D631C">
              <w:rPr>
                <w:color w:val="000000"/>
                <w:sz w:val="20"/>
                <w:szCs w:val="20"/>
                <w:vertAlign w:val="subscript"/>
              </w:rPr>
              <w:t xml:space="preserve">n </w:t>
            </w:r>
            <w:r w:rsidRPr="006D631C">
              <w:rPr>
                <w:color w:val="000000"/>
                <w:sz w:val="20"/>
                <w:szCs w:val="20"/>
              </w:rPr>
              <w:t>P</w:t>
            </w:r>
            <w:r w:rsidRPr="006D631C">
              <w:rPr>
                <w:color w:val="000000"/>
                <w:sz w:val="20"/>
                <w:szCs w:val="20"/>
                <w:vertAlign w:val="superscript"/>
              </w:rPr>
              <w:t>+</w:t>
            </w:r>
            <w:r w:rsidRPr="006D631C">
              <w:rPr>
                <w:color w:val="000000"/>
                <w:sz w:val="20"/>
                <w:szCs w:val="20"/>
              </w:rPr>
              <w:t xml:space="preserve"> Br</w:t>
            </w:r>
            <w:r w:rsidRPr="006D631C">
              <w:rPr>
                <w:color w:val="000000"/>
                <w:sz w:val="20"/>
                <w:szCs w:val="20"/>
                <w:vertAlign w:val="superscript"/>
              </w:rPr>
              <w:t>-</w:t>
            </w:r>
          </w:p>
        </w:tc>
      </w:tr>
      <w:tr w:rsidR="008764AE" w:rsidRPr="006D631C" w14:paraId="27C19109" w14:textId="77777777" w:rsidTr="00F463F6">
        <w:trPr>
          <w:cantSplit/>
          <w:trHeight w:val="20"/>
          <w:jc w:val="center"/>
        </w:trPr>
        <w:tc>
          <w:tcPr>
            <w:tcW w:w="426" w:type="dxa"/>
            <w:vMerge/>
            <w:tcBorders>
              <w:top w:val="nil"/>
              <w:left w:val="nil"/>
              <w:bottom w:val="single" w:sz="8" w:space="0" w:color="000000"/>
              <w:right w:val="nil"/>
            </w:tcBorders>
            <w:hideMark/>
          </w:tcPr>
          <w:p w14:paraId="6E19E9FB"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73322337" w14:textId="58B2F020" w:rsidR="008764AE" w:rsidRPr="006D631C" w:rsidRDefault="008764AE" w:rsidP="008764AE">
            <w:pPr>
              <w:spacing w:line="240" w:lineRule="auto"/>
              <w:jc w:val="center"/>
              <w:rPr>
                <w:color w:val="000000"/>
                <w:sz w:val="20"/>
                <w:szCs w:val="20"/>
              </w:rPr>
            </w:pPr>
            <w:r w:rsidRPr="006D631C">
              <w:rPr>
                <w:color w:val="000000"/>
                <w:sz w:val="20"/>
                <w:szCs w:val="20"/>
              </w:rPr>
              <w:t>P-A-35</w:t>
            </w:r>
          </w:p>
        </w:tc>
        <w:tc>
          <w:tcPr>
            <w:tcW w:w="7655" w:type="dxa"/>
            <w:tcBorders>
              <w:top w:val="nil"/>
              <w:left w:val="nil"/>
              <w:bottom w:val="nil"/>
              <w:right w:val="nil"/>
            </w:tcBorders>
            <w:shd w:val="clear" w:color="000000" w:fill="FFFFFF"/>
            <w:noWrap/>
            <w:hideMark/>
          </w:tcPr>
          <w:p w14:paraId="657DD782"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13</w:t>
            </w:r>
            <w:r w:rsidRPr="006D631C">
              <w:rPr>
                <w:color w:val="000000"/>
                <w:sz w:val="20"/>
                <w:szCs w:val="20"/>
              </w:rPr>
              <w:t>H</w:t>
            </w:r>
            <w:r w:rsidRPr="006D631C">
              <w:rPr>
                <w:color w:val="000000"/>
                <w:sz w:val="20"/>
                <w:szCs w:val="20"/>
                <w:vertAlign w:val="subscript"/>
              </w:rPr>
              <w:t>22</w:t>
            </w:r>
            <w:r w:rsidRPr="006D631C">
              <w:rPr>
                <w:color w:val="000000"/>
                <w:sz w:val="20"/>
                <w:szCs w:val="20"/>
              </w:rPr>
              <w:t>(CH</w:t>
            </w:r>
            <w:r w:rsidRPr="006D631C">
              <w:rPr>
                <w:color w:val="000000"/>
                <w:sz w:val="20"/>
                <w:szCs w:val="20"/>
                <w:vertAlign w:val="subscript"/>
              </w:rPr>
              <w:t>2</w:t>
            </w:r>
            <w:r w:rsidRPr="006D631C">
              <w:rPr>
                <w:color w:val="000000"/>
                <w:sz w:val="20"/>
                <w:szCs w:val="20"/>
              </w:rPr>
              <w:t>)</w:t>
            </w:r>
            <w:r w:rsidRPr="006D631C">
              <w:rPr>
                <w:color w:val="000000"/>
                <w:sz w:val="20"/>
                <w:szCs w:val="20"/>
                <w:vertAlign w:val="subscript"/>
              </w:rPr>
              <w:t xml:space="preserve">x </w:t>
            </w:r>
            <w:r w:rsidRPr="006D631C">
              <w:rPr>
                <w:color w:val="000000"/>
                <w:sz w:val="20"/>
                <w:szCs w:val="20"/>
              </w:rPr>
              <w:t>(CH</w:t>
            </w:r>
            <w:r w:rsidRPr="006D631C">
              <w:rPr>
                <w:color w:val="000000"/>
                <w:sz w:val="20"/>
                <w:szCs w:val="20"/>
                <w:vertAlign w:val="subscript"/>
              </w:rPr>
              <w:t>2</w:t>
            </w:r>
            <w:r w:rsidRPr="006D631C">
              <w:rPr>
                <w:color w:val="000000"/>
                <w:sz w:val="20"/>
                <w:szCs w:val="20"/>
              </w:rPr>
              <w:t>)</w:t>
            </w:r>
            <w:r w:rsidRPr="006D631C">
              <w:rPr>
                <w:color w:val="000000"/>
                <w:sz w:val="20"/>
                <w:szCs w:val="20"/>
                <w:vertAlign w:val="subscript"/>
              </w:rPr>
              <w:t xml:space="preserve">y </w:t>
            </w:r>
            <w:r w:rsidRPr="006D631C">
              <w:rPr>
                <w:color w:val="000000"/>
                <w:sz w:val="20"/>
                <w:szCs w:val="20"/>
              </w:rPr>
              <w:t>P</w:t>
            </w:r>
            <w:r w:rsidRPr="006D631C">
              <w:rPr>
                <w:color w:val="000000"/>
                <w:sz w:val="20"/>
                <w:szCs w:val="20"/>
                <w:vertAlign w:val="subscript"/>
              </w:rPr>
              <w:t>2</w:t>
            </w:r>
            <w:r w:rsidRPr="006D631C">
              <w:rPr>
                <w:color w:val="000000"/>
                <w:sz w:val="20"/>
                <w:szCs w:val="20"/>
                <w:vertAlign w:val="superscript"/>
              </w:rPr>
              <w:t>2+</w:t>
            </w:r>
            <w:r w:rsidRPr="006D631C">
              <w:rPr>
                <w:color w:val="000000"/>
                <w:sz w:val="20"/>
                <w:szCs w:val="20"/>
              </w:rPr>
              <w:t xml:space="preserve"> Br</w:t>
            </w:r>
            <w:r w:rsidRPr="006D631C">
              <w:rPr>
                <w:color w:val="000000"/>
                <w:sz w:val="20"/>
                <w:szCs w:val="20"/>
                <w:vertAlign w:val="subscript"/>
              </w:rPr>
              <w:t>2</w:t>
            </w:r>
            <w:r w:rsidRPr="006D631C">
              <w:rPr>
                <w:color w:val="000000"/>
                <w:sz w:val="20"/>
                <w:szCs w:val="20"/>
                <w:vertAlign w:val="superscript"/>
              </w:rPr>
              <w:t>2-</w:t>
            </w:r>
          </w:p>
        </w:tc>
      </w:tr>
      <w:tr w:rsidR="008764AE" w:rsidRPr="006D631C" w14:paraId="7069CDEF" w14:textId="77777777" w:rsidTr="00F463F6">
        <w:trPr>
          <w:cantSplit/>
          <w:trHeight w:val="20"/>
          <w:jc w:val="center"/>
        </w:trPr>
        <w:tc>
          <w:tcPr>
            <w:tcW w:w="426" w:type="dxa"/>
            <w:vMerge/>
            <w:tcBorders>
              <w:top w:val="nil"/>
              <w:left w:val="nil"/>
              <w:bottom w:val="single" w:sz="8" w:space="0" w:color="000000"/>
              <w:right w:val="nil"/>
            </w:tcBorders>
            <w:hideMark/>
          </w:tcPr>
          <w:p w14:paraId="47E5D4F2"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5727171D" w14:textId="5DC572A3" w:rsidR="008764AE" w:rsidRPr="006D631C" w:rsidRDefault="008764AE" w:rsidP="008764AE">
            <w:pPr>
              <w:spacing w:line="240" w:lineRule="auto"/>
              <w:jc w:val="center"/>
              <w:rPr>
                <w:color w:val="000000"/>
                <w:sz w:val="20"/>
                <w:szCs w:val="20"/>
              </w:rPr>
            </w:pPr>
            <w:r w:rsidRPr="006D631C">
              <w:rPr>
                <w:color w:val="000000"/>
                <w:sz w:val="20"/>
                <w:szCs w:val="20"/>
              </w:rPr>
              <w:t>P-A-36</w:t>
            </w:r>
          </w:p>
        </w:tc>
        <w:tc>
          <w:tcPr>
            <w:tcW w:w="7655" w:type="dxa"/>
            <w:tcBorders>
              <w:top w:val="nil"/>
              <w:left w:val="nil"/>
              <w:bottom w:val="nil"/>
              <w:right w:val="nil"/>
            </w:tcBorders>
            <w:shd w:val="clear" w:color="000000" w:fill="FFFFFF"/>
            <w:noWrap/>
            <w:hideMark/>
          </w:tcPr>
          <w:p w14:paraId="11AE8D27"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13</w:t>
            </w:r>
            <w:r w:rsidRPr="006D631C">
              <w:rPr>
                <w:color w:val="000000"/>
                <w:sz w:val="20"/>
                <w:szCs w:val="20"/>
              </w:rPr>
              <w:t>H</w:t>
            </w:r>
            <w:r w:rsidRPr="006D631C">
              <w:rPr>
                <w:color w:val="000000"/>
                <w:sz w:val="20"/>
                <w:szCs w:val="20"/>
                <w:vertAlign w:val="subscript"/>
              </w:rPr>
              <w:t>22</w:t>
            </w:r>
            <w:r w:rsidRPr="006D631C">
              <w:rPr>
                <w:color w:val="000000"/>
                <w:sz w:val="20"/>
                <w:szCs w:val="20"/>
              </w:rPr>
              <w:t>(CH</w:t>
            </w:r>
            <w:r w:rsidRPr="006D631C">
              <w:rPr>
                <w:color w:val="000000"/>
                <w:sz w:val="20"/>
                <w:szCs w:val="20"/>
                <w:vertAlign w:val="subscript"/>
              </w:rPr>
              <w:t>2</w:t>
            </w:r>
            <w:r w:rsidRPr="006D631C">
              <w:rPr>
                <w:color w:val="000000"/>
                <w:sz w:val="20"/>
                <w:szCs w:val="20"/>
              </w:rPr>
              <w:t>)</w:t>
            </w:r>
            <w:r w:rsidRPr="006D631C">
              <w:rPr>
                <w:color w:val="000000"/>
                <w:sz w:val="20"/>
                <w:szCs w:val="20"/>
                <w:vertAlign w:val="subscript"/>
              </w:rPr>
              <w:t xml:space="preserve">x </w:t>
            </w:r>
            <w:r w:rsidRPr="006D631C">
              <w:rPr>
                <w:color w:val="000000"/>
                <w:sz w:val="20"/>
                <w:szCs w:val="20"/>
              </w:rPr>
              <w:t>(CH</w:t>
            </w:r>
            <w:r w:rsidRPr="006D631C">
              <w:rPr>
                <w:color w:val="000000"/>
                <w:sz w:val="20"/>
                <w:szCs w:val="20"/>
                <w:vertAlign w:val="subscript"/>
              </w:rPr>
              <w:t>2</w:t>
            </w:r>
            <w:r w:rsidRPr="006D631C">
              <w:rPr>
                <w:color w:val="000000"/>
                <w:sz w:val="20"/>
                <w:szCs w:val="20"/>
              </w:rPr>
              <w:t>)</w:t>
            </w:r>
            <w:r w:rsidRPr="006D631C">
              <w:rPr>
                <w:color w:val="000000"/>
                <w:sz w:val="20"/>
                <w:szCs w:val="20"/>
                <w:vertAlign w:val="subscript"/>
              </w:rPr>
              <w:t xml:space="preserve">y </w:t>
            </w:r>
            <w:r w:rsidRPr="006D631C">
              <w:rPr>
                <w:color w:val="000000"/>
                <w:sz w:val="20"/>
                <w:szCs w:val="20"/>
              </w:rPr>
              <w:t>N</w:t>
            </w:r>
            <w:r w:rsidRPr="006D631C">
              <w:rPr>
                <w:color w:val="000000"/>
                <w:sz w:val="20"/>
                <w:szCs w:val="20"/>
                <w:vertAlign w:val="subscript"/>
              </w:rPr>
              <w:t>2</w:t>
            </w:r>
            <w:r w:rsidRPr="006D631C">
              <w:rPr>
                <w:color w:val="000000"/>
                <w:sz w:val="20"/>
                <w:szCs w:val="20"/>
                <w:vertAlign w:val="superscript"/>
              </w:rPr>
              <w:t>2+</w:t>
            </w:r>
            <w:r w:rsidRPr="006D631C">
              <w:rPr>
                <w:color w:val="000000"/>
                <w:sz w:val="20"/>
                <w:szCs w:val="20"/>
              </w:rPr>
              <w:t xml:space="preserve"> Br</w:t>
            </w:r>
            <w:r w:rsidRPr="006D631C">
              <w:rPr>
                <w:color w:val="000000"/>
                <w:sz w:val="20"/>
                <w:szCs w:val="20"/>
                <w:vertAlign w:val="subscript"/>
              </w:rPr>
              <w:t>2</w:t>
            </w:r>
            <w:r w:rsidRPr="006D631C">
              <w:rPr>
                <w:color w:val="000000"/>
                <w:sz w:val="20"/>
                <w:szCs w:val="20"/>
                <w:vertAlign w:val="superscript"/>
              </w:rPr>
              <w:t>2-</w:t>
            </w:r>
          </w:p>
        </w:tc>
      </w:tr>
      <w:tr w:rsidR="008764AE" w:rsidRPr="006D631C" w14:paraId="666161F1" w14:textId="77777777" w:rsidTr="00F463F6">
        <w:trPr>
          <w:cantSplit/>
          <w:trHeight w:val="20"/>
          <w:jc w:val="center"/>
        </w:trPr>
        <w:tc>
          <w:tcPr>
            <w:tcW w:w="426" w:type="dxa"/>
            <w:vMerge/>
            <w:tcBorders>
              <w:top w:val="nil"/>
              <w:left w:val="nil"/>
              <w:bottom w:val="single" w:sz="8" w:space="0" w:color="000000"/>
              <w:right w:val="nil"/>
            </w:tcBorders>
            <w:hideMark/>
          </w:tcPr>
          <w:p w14:paraId="260E2F94"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09440E05" w14:textId="72C75E18" w:rsidR="008764AE" w:rsidRPr="006D631C" w:rsidRDefault="008764AE" w:rsidP="008764AE">
            <w:pPr>
              <w:spacing w:line="240" w:lineRule="auto"/>
              <w:jc w:val="center"/>
              <w:rPr>
                <w:color w:val="000000"/>
                <w:sz w:val="20"/>
                <w:szCs w:val="20"/>
              </w:rPr>
            </w:pPr>
            <w:r w:rsidRPr="006D631C">
              <w:rPr>
                <w:color w:val="000000"/>
                <w:sz w:val="20"/>
                <w:szCs w:val="20"/>
              </w:rPr>
              <w:t>P-A-37</w:t>
            </w:r>
          </w:p>
        </w:tc>
        <w:tc>
          <w:tcPr>
            <w:tcW w:w="7655" w:type="dxa"/>
            <w:tcBorders>
              <w:top w:val="nil"/>
              <w:left w:val="nil"/>
              <w:bottom w:val="nil"/>
              <w:right w:val="nil"/>
            </w:tcBorders>
            <w:shd w:val="clear" w:color="000000" w:fill="FFFFFF"/>
            <w:noWrap/>
            <w:hideMark/>
          </w:tcPr>
          <w:p w14:paraId="12DA93B6" w14:textId="77777777" w:rsidR="008764AE" w:rsidRPr="006D631C" w:rsidRDefault="008764AE" w:rsidP="008764AE">
            <w:pPr>
              <w:spacing w:line="240" w:lineRule="auto"/>
              <w:jc w:val="center"/>
              <w:rPr>
                <w:color w:val="000000"/>
                <w:sz w:val="20"/>
                <w:szCs w:val="20"/>
              </w:rPr>
            </w:pPr>
            <w:r w:rsidRPr="006D631C">
              <w:rPr>
                <w:color w:val="000000"/>
                <w:sz w:val="20"/>
                <w:szCs w:val="20"/>
              </w:rPr>
              <w:t>TMA-83u</w:t>
            </w:r>
          </w:p>
        </w:tc>
      </w:tr>
      <w:tr w:rsidR="008764AE" w:rsidRPr="006D631C" w14:paraId="7A00776E" w14:textId="77777777" w:rsidTr="00F463F6">
        <w:trPr>
          <w:cantSplit/>
          <w:trHeight w:val="20"/>
          <w:jc w:val="center"/>
        </w:trPr>
        <w:tc>
          <w:tcPr>
            <w:tcW w:w="426" w:type="dxa"/>
            <w:vMerge/>
            <w:tcBorders>
              <w:top w:val="nil"/>
              <w:left w:val="nil"/>
              <w:bottom w:val="single" w:sz="8" w:space="0" w:color="000000"/>
              <w:right w:val="nil"/>
            </w:tcBorders>
            <w:hideMark/>
          </w:tcPr>
          <w:p w14:paraId="40F73690"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66F50E3F" w14:textId="536C26E2" w:rsidR="008764AE" w:rsidRPr="006D631C" w:rsidRDefault="008764AE" w:rsidP="008764AE">
            <w:pPr>
              <w:spacing w:line="240" w:lineRule="auto"/>
              <w:jc w:val="center"/>
              <w:rPr>
                <w:color w:val="000000"/>
                <w:sz w:val="20"/>
                <w:szCs w:val="20"/>
              </w:rPr>
            </w:pPr>
            <w:r w:rsidRPr="006D631C">
              <w:rPr>
                <w:color w:val="000000"/>
                <w:sz w:val="20"/>
                <w:szCs w:val="20"/>
              </w:rPr>
              <w:t>P-A-38</w:t>
            </w:r>
          </w:p>
        </w:tc>
        <w:tc>
          <w:tcPr>
            <w:tcW w:w="7655" w:type="dxa"/>
            <w:tcBorders>
              <w:top w:val="nil"/>
              <w:left w:val="nil"/>
              <w:bottom w:val="nil"/>
              <w:right w:val="nil"/>
            </w:tcBorders>
            <w:shd w:val="clear" w:color="000000" w:fill="FFFFFF"/>
            <w:noWrap/>
            <w:hideMark/>
          </w:tcPr>
          <w:p w14:paraId="62308238" w14:textId="77777777" w:rsidR="008764AE" w:rsidRPr="006D631C" w:rsidRDefault="008764AE" w:rsidP="008764AE">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48</w:t>
            </w:r>
            <w:r w:rsidRPr="006D631C">
              <w:rPr>
                <w:color w:val="000000"/>
                <w:sz w:val="20"/>
                <w:szCs w:val="20"/>
              </w:rPr>
              <w:t>H</w:t>
            </w:r>
            <w:r w:rsidRPr="006D631C">
              <w:rPr>
                <w:color w:val="000000"/>
                <w:sz w:val="20"/>
                <w:szCs w:val="20"/>
                <w:vertAlign w:val="subscript"/>
              </w:rPr>
              <w:t xml:space="preserve">84 </w:t>
            </w:r>
            <w:r w:rsidRPr="006D631C">
              <w:rPr>
                <w:color w:val="000000"/>
                <w:sz w:val="20"/>
                <w:szCs w:val="20"/>
              </w:rPr>
              <w:t>N</w:t>
            </w:r>
            <w:r w:rsidRPr="006D631C">
              <w:rPr>
                <w:color w:val="000000"/>
                <w:sz w:val="20"/>
                <w:szCs w:val="20"/>
                <w:vertAlign w:val="subscript"/>
              </w:rPr>
              <w:t>4</w:t>
            </w:r>
            <w:r w:rsidRPr="006D631C">
              <w:rPr>
                <w:color w:val="000000"/>
                <w:sz w:val="20"/>
                <w:szCs w:val="20"/>
                <w:vertAlign w:val="superscript"/>
              </w:rPr>
              <w:t>2+</w:t>
            </w:r>
            <w:r w:rsidRPr="006D631C">
              <w:rPr>
                <w:color w:val="000000"/>
                <w:sz w:val="20"/>
                <w:szCs w:val="20"/>
              </w:rPr>
              <w:t xml:space="preserve"> Br</w:t>
            </w:r>
            <w:r w:rsidRPr="006D631C">
              <w:rPr>
                <w:color w:val="000000"/>
                <w:sz w:val="20"/>
                <w:szCs w:val="20"/>
                <w:vertAlign w:val="subscript"/>
              </w:rPr>
              <w:t>2</w:t>
            </w:r>
            <w:r w:rsidRPr="006D631C">
              <w:rPr>
                <w:color w:val="000000"/>
                <w:sz w:val="20"/>
                <w:szCs w:val="20"/>
                <w:vertAlign w:val="superscript"/>
              </w:rPr>
              <w:t>2-</w:t>
            </w:r>
          </w:p>
        </w:tc>
      </w:tr>
      <w:tr w:rsidR="008764AE" w:rsidRPr="006D631C" w14:paraId="47FEA6E8" w14:textId="77777777" w:rsidTr="00F463F6">
        <w:trPr>
          <w:cantSplit/>
          <w:trHeight w:val="20"/>
          <w:jc w:val="center"/>
        </w:trPr>
        <w:tc>
          <w:tcPr>
            <w:tcW w:w="426" w:type="dxa"/>
            <w:vMerge/>
            <w:tcBorders>
              <w:top w:val="nil"/>
              <w:left w:val="nil"/>
              <w:bottom w:val="single" w:sz="8" w:space="0" w:color="000000"/>
              <w:right w:val="nil"/>
            </w:tcBorders>
          </w:tcPr>
          <w:p w14:paraId="7E21D3BC" w14:textId="77777777" w:rsidR="008764AE" w:rsidRPr="006D631C" w:rsidRDefault="008764AE" w:rsidP="008764AE">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72C4D8AB" w14:textId="0698336E" w:rsidR="008764AE" w:rsidRPr="006D631C" w:rsidRDefault="00E5506D" w:rsidP="008764AE">
            <w:pPr>
              <w:spacing w:line="240" w:lineRule="auto"/>
              <w:jc w:val="center"/>
              <w:rPr>
                <w:color w:val="000000"/>
                <w:sz w:val="20"/>
                <w:szCs w:val="20"/>
              </w:rPr>
            </w:pPr>
            <w:r w:rsidRPr="006D631C">
              <w:rPr>
                <w:color w:val="000000"/>
                <w:sz w:val="20"/>
                <w:szCs w:val="20"/>
              </w:rPr>
              <w:t>P-A-39</w:t>
            </w:r>
          </w:p>
        </w:tc>
        <w:tc>
          <w:tcPr>
            <w:tcW w:w="7655" w:type="dxa"/>
            <w:tcBorders>
              <w:top w:val="nil"/>
              <w:left w:val="nil"/>
              <w:bottom w:val="nil"/>
              <w:right w:val="nil"/>
            </w:tcBorders>
            <w:shd w:val="clear" w:color="000000" w:fill="FFFFFF"/>
            <w:noWrap/>
          </w:tcPr>
          <w:p w14:paraId="04B8FE41" w14:textId="78244BC7" w:rsidR="008764AE" w:rsidRPr="006D631C" w:rsidRDefault="00E5506D" w:rsidP="00E5506D">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48</w:t>
            </w:r>
            <w:r w:rsidRPr="006D631C">
              <w:rPr>
                <w:color w:val="000000"/>
                <w:sz w:val="20"/>
                <w:szCs w:val="20"/>
              </w:rPr>
              <w:t>H</w:t>
            </w:r>
            <w:r w:rsidRPr="006D631C">
              <w:rPr>
                <w:color w:val="000000"/>
                <w:sz w:val="20"/>
                <w:szCs w:val="20"/>
                <w:vertAlign w:val="subscript"/>
              </w:rPr>
              <w:t xml:space="preserve">88 </w:t>
            </w:r>
            <w:r w:rsidRPr="006D631C">
              <w:rPr>
                <w:color w:val="000000"/>
                <w:sz w:val="20"/>
                <w:szCs w:val="20"/>
              </w:rPr>
              <w:t>N</w:t>
            </w:r>
            <w:r w:rsidRPr="006D631C">
              <w:rPr>
                <w:color w:val="000000"/>
                <w:sz w:val="20"/>
                <w:szCs w:val="20"/>
                <w:vertAlign w:val="subscript"/>
              </w:rPr>
              <w:t>4</w:t>
            </w:r>
            <w:r w:rsidRPr="006D631C">
              <w:rPr>
                <w:color w:val="000000"/>
                <w:sz w:val="20"/>
                <w:szCs w:val="20"/>
                <w:vertAlign w:val="superscript"/>
              </w:rPr>
              <w:t>2+</w:t>
            </w:r>
            <w:r w:rsidRPr="006D631C">
              <w:rPr>
                <w:color w:val="000000"/>
                <w:sz w:val="20"/>
                <w:szCs w:val="20"/>
              </w:rPr>
              <w:t xml:space="preserve"> Br</w:t>
            </w:r>
            <w:r w:rsidRPr="006D631C">
              <w:rPr>
                <w:color w:val="000000"/>
                <w:sz w:val="20"/>
                <w:szCs w:val="20"/>
                <w:vertAlign w:val="subscript"/>
              </w:rPr>
              <w:t>2</w:t>
            </w:r>
            <w:r w:rsidRPr="006D631C">
              <w:rPr>
                <w:color w:val="000000"/>
                <w:sz w:val="20"/>
                <w:szCs w:val="20"/>
                <w:vertAlign w:val="superscript"/>
              </w:rPr>
              <w:t>2-</w:t>
            </w:r>
          </w:p>
        </w:tc>
      </w:tr>
      <w:tr w:rsidR="005E3EF2" w:rsidRPr="006D631C" w14:paraId="2E2BCC40" w14:textId="77777777" w:rsidTr="00103C9C">
        <w:trPr>
          <w:cantSplit/>
          <w:trHeight w:val="20"/>
          <w:jc w:val="center"/>
        </w:trPr>
        <w:tc>
          <w:tcPr>
            <w:tcW w:w="426" w:type="dxa"/>
            <w:vMerge/>
            <w:tcBorders>
              <w:top w:val="nil"/>
              <w:left w:val="nil"/>
              <w:bottom w:val="single" w:sz="8" w:space="0" w:color="000000"/>
              <w:right w:val="nil"/>
            </w:tcBorders>
            <w:hideMark/>
          </w:tcPr>
          <w:p w14:paraId="7EF2B609" w14:textId="77777777" w:rsidR="005E3EF2" w:rsidRPr="006D631C" w:rsidRDefault="005E3EF2" w:rsidP="005E3EF2">
            <w:pPr>
              <w:spacing w:line="240" w:lineRule="auto"/>
              <w:jc w:val="center"/>
              <w:rPr>
                <w:b/>
                <w:bCs/>
                <w:color w:val="000000"/>
                <w:sz w:val="20"/>
                <w:szCs w:val="20"/>
              </w:rPr>
            </w:pPr>
          </w:p>
        </w:tc>
        <w:tc>
          <w:tcPr>
            <w:tcW w:w="850" w:type="dxa"/>
            <w:tcBorders>
              <w:top w:val="nil"/>
              <w:left w:val="nil"/>
              <w:right w:val="nil"/>
            </w:tcBorders>
            <w:shd w:val="clear" w:color="000000" w:fill="FFFFFF"/>
            <w:noWrap/>
            <w:hideMark/>
          </w:tcPr>
          <w:p w14:paraId="403E79DF" w14:textId="6C27D6CA" w:rsidR="005E3EF2" w:rsidRPr="006D631C" w:rsidRDefault="005E3EF2" w:rsidP="00103C9C">
            <w:pPr>
              <w:spacing w:line="240" w:lineRule="auto"/>
              <w:jc w:val="center"/>
              <w:rPr>
                <w:color w:val="000000"/>
                <w:sz w:val="20"/>
                <w:szCs w:val="20"/>
              </w:rPr>
            </w:pPr>
            <w:r w:rsidRPr="006D631C">
              <w:rPr>
                <w:color w:val="000000"/>
                <w:sz w:val="20"/>
                <w:szCs w:val="20"/>
              </w:rPr>
              <w:t>P-A-40</w:t>
            </w:r>
          </w:p>
        </w:tc>
        <w:tc>
          <w:tcPr>
            <w:tcW w:w="7655" w:type="dxa"/>
            <w:tcBorders>
              <w:top w:val="nil"/>
              <w:left w:val="nil"/>
              <w:right w:val="nil"/>
            </w:tcBorders>
            <w:shd w:val="clear" w:color="000000" w:fill="FFFFFF"/>
            <w:hideMark/>
          </w:tcPr>
          <w:p w14:paraId="37D62A91" w14:textId="77777777" w:rsidR="005E3EF2" w:rsidRPr="006D631C" w:rsidRDefault="005E3EF2" w:rsidP="005E3EF2">
            <w:pPr>
              <w:spacing w:line="240" w:lineRule="auto"/>
              <w:jc w:val="center"/>
              <w:rPr>
                <w:color w:val="000000"/>
                <w:sz w:val="20"/>
                <w:szCs w:val="20"/>
              </w:rPr>
            </w:pPr>
            <w:r w:rsidRPr="006D631C">
              <w:rPr>
                <w:color w:val="000000"/>
                <w:sz w:val="20"/>
                <w:szCs w:val="20"/>
              </w:rPr>
              <w:t>1-(8-(</w:t>
            </w:r>
            <w:proofErr w:type="spellStart"/>
            <w:r w:rsidRPr="006D631C">
              <w:rPr>
                <w:color w:val="000000"/>
                <w:sz w:val="20"/>
                <w:szCs w:val="20"/>
              </w:rPr>
              <w:t>Acryloyloxy</w:t>
            </w:r>
            <w:proofErr w:type="spellEnd"/>
            <w:r w:rsidRPr="006D631C">
              <w:rPr>
                <w:color w:val="000000"/>
                <w:sz w:val="20"/>
                <w:szCs w:val="20"/>
              </w:rPr>
              <w:t>)</w:t>
            </w:r>
            <w:proofErr w:type="spellStart"/>
            <w:r w:rsidRPr="006D631C">
              <w:rPr>
                <w:color w:val="000000"/>
                <w:sz w:val="20"/>
                <w:szCs w:val="20"/>
              </w:rPr>
              <w:t>octyl</w:t>
            </w:r>
            <w:proofErr w:type="spellEnd"/>
            <w:r w:rsidRPr="006D631C">
              <w:rPr>
                <w:color w:val="000000"/>
                <w:sz w:val="20"/>
                <w:szCs w:val="20"/>
              </w:rPr>
              <w:t>)-3-methylimidazolium Chloride</w:t>
            </w:r>
            <w:r w:rsidRPr="006D631C">
              <w:rPr>
                <w:color w:val="000000"/>
                <w:sz w:val="20"/>
                <w:szCs w:val="20"/>
              </w:rPr>
              <w:br/>
              <w:t>1-(10-(</w:t>
            </w:r>
            <w:proofErr w:type="spellStart"/>
            <w:r w:rsidRPr="006D631C">
              <w:rPr>
                <w:color w:val="000000"/>
                <w:sz w:val="20"/>
                <w:szCs w:val="20"/>
              </w:rPr>
              <w:t>Acryloyloxy</w:t>
            </w:r>
            <w:proofErr w:type="spellEnd"/>
            <w:r w:rsidRPr="006D631C">
              <w:rPr>
                <w:color w:val="000000"/>
                <w:sz w:val="20"/>
                <w:szCs w:val="20"/>
              </w:rPr>
              <w:t>)</w:t>
            </w:r>
            <w:proofErr w:type="spellStart"/>
            <w:r w:rsidRPr="006D631C">
              <w:rPr>
                <w:color w:val="000000"/>
                <w:sz w:val="20"/>
                <w:szCs w:val="20"/>
              </w:rPr>
              <w:t>decyl</w:t>
            </w:r>
            <w:proofErr w:type="spellEnd"/>
            <w:r w:rsidRPr="006D631C">
              <w:rPr>
                <w:color w:val="000000"/>
                <w:sz w:val="20"/>
                <w:szCs w:val="20"/>
              </w:rPr>
              <w:t>)-3-methylimidazolium Chloride</w:t>
            </w:r>
          </w:p>
        </w:tc>
      </w:tr>
      <w:tr w:rsidR="005E3EF2" w:rsidRPr="006D631C" w14:paraId="5BDA4AE9" w14:textId="77777777" w:rsidTr="00F463F6">
        <w:trPr>
          <w:cantSplit/>
          <w:trHeight w:val="20"/>
          <w:jc w:val="center"/>
        </w:trPr>
        <w:tc>
          <w:tcPr>
            <w:tcW w:w="426" w:type="dxa"/>
            <w:vMerge/>
            <w:tcBorders>
              <w:top w:val="nil"/>
              <w:left w:val="nil"/>
              <w:bottom w:val="single" w:sz="8" w:space="0" w:color="000000"/>
              <w:right w:val="nil"/>
            </w:tcBorders>
            <w:hideMark/>
          </w:tcPr>
          <w:p w14:paraId="61478957" w14:textId="77777777" w:rsidR="005E3EF2" w:rsidRPr="006D631C" w:rsidRDefault="005E3EF2" w:rsidP="005E3EF2">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106CC37F" w14:textId="5FA7198E" w:rsidR="005E3EF2" w:rsidRPr="006D631C" w:rsidRDefault="005E3EF2" w:rsidP="005E3EF2">
            <w:pPr>
              <w:spacing w:line="240" w:lineRule="auto"/>
              <w:jc w:val="center"/>
              <w:rPr>
                <w:color w:val="000000"/>
                <w:sz w:val="20"/>
                <w:szCs w:val="20"/>
              </w:rPr>
            </w:pPr>
            <w:r w:rsidRPr="006D631C">
              <w:rPr>
                <w:color w:val="000000"/>
                <w:sz w:val="20"/>
                <w:szCs w:val="20"/>
              </w:rPr>
              <w:t>P-A-41</w:t>
            </w:r>
          </w:p>
        </w:tc>
        <w:tc>
          <w:tcPr>
            <w:tcW w:w="7655" w:type="dxa"/>
            <w:tcBorders>
              <w:top w:val="nil"/>
              <w:left w:val="nil"/>
              <w:bottom w:val="nil"/>
              <w:right w:val="nil"/>
            </w:tcBorders>
            <w:shd w:val="clear" w:color="000000" w:fill="FFFFFF"/>
            <w:hideMark/>
          </w:tcPr>
          <w:p w14:paraId="3794A066" w14:textId="77777777" w:rsidR="005E3EF2" w:rsidRPr="006D631C" w:rsidRDefault="005E3EF2" w:rsidP="005E3EF2">
            <w:pPr>
              <w:spacing w:line="240" w:lineRule="auto"/>
              <w:jc w:val="center"/>
              <w:rPr>
                <w:color w:val="000000"/>
                <w:sz w:val="20"/>
                <w:szCs w:val="20"/>
              </w:rPr>
            </w:pPr>
            <w:r w:rsidRPr="006D631C">
              <w:rPr>
                <w:color w:val="000000"/>
                <w:sz w:val="20"/>
                <w:szCs w:val="20"/>
              </w:rPr>
              <w:t>1-(10-Thien-3-yl)decyl-3-methylimidazolium nitrate</w:t>
            </w:r>
          </w:p>
        </w:tc>
      </w:tr>
      <w:tr w:rsidR="005E3EF2" w:rsidRPr="006D631C" w14:paraId="7AC91322" w14:textId="77777777" w:rsidTr="00A13B39">
        <w:trPr>
          <w:cantSplit/>
          <w:trHeight w:val="20"/>
          <w:jc w:val="center"/>
        </w:trPr>
        <w:tc>
          <w:tcPr>
            <w:tcW w:w="426" w:type="dxa"/>
            <w:vMerge/>
            <w:tcBorders>
              <w:top w:val="nil"/>
              <w:left w:val="nil"/>
              <w:bottom w:val="single" w:sz="8" w:space="0" w:color="000000"/>
              <w:right w:val="nil"/>
            </w:tcBorders>
            <w:hideMark/>
          </w:tcPr>
          <w:p w14:paraId="6078AF06" w14:textId="77777777" w:rsidR="005E3EF2" w:rsidRPr="006D631C" w:rsidRDefault="005E3EF2" w:rsidP="005E3EF2">
            <w:pPr>
              <w:spacing w:line="240" w:lineRule="auto"/>
              <w:jc w:val="center"/>
              <w:rPr>
                <w:b/>
                <w:bCs/>
                <w:color w:val="000000"/>
                <w:sz w:val="20"/>
                <w:szCs w:val="20"/>
              </w:rPr>
            </w:pPr>
          </w:p>
        </w:tc>
        <w:tc>
          <w:tcPr>
            <w:tcW w:w="850" w:type="dxa"/>
            <w:tcBorders>
              <w:top w:val="nil"/>
              <w:left w:val="nil"/>
              <w:bottom w:val="single" w:sz="4" w:space="0" w:color="auto"/>
              <w:right w:val="nil"/>
            </w:tcBorders>
            <w:shd w:val="clear" w:color="000000" w:fill="FFFFFF"/>
            <w:noWrap/>
            <w:vAlign w:val="center"/>
            <w:hideMark/>
          </w:tcPr>
          <w:p w14:paraId="10DF65FB" w14:textId="27B75243" w:rsidR="005E3EF2" w:rsidRPr="006D631C" w:rsidRDefault="005E3EF2" w:rsidP="005E3EF2">
            <w:pPr>
              <w:spacing w:line="240" w:lineRule="auto"/>
              <w:jc w:val="center"/>
              <w:rPr>
                <w:color w:val="000000"/>
                <w:sz w:val="20"/>
                <w:szCs w:val="20"/>
              </w:rPr>
            </w:pPr>
            <w:r w:rsidRPr="006D631C">
              <w:rPr>
                <w:color w:val="000000"/>
                <w:sz w:val="20"/>
                <w:szCs w:val="20"/>
              </w:rPr>
              <w:t>P-A-42</w:t>
            </w:r>
          </w:p>
        </w:tc>
        <w:tc>
          <w:tcPr>
            <w:tcW w:w="7655" w:type="dxa"/>
            <w:tcBorders>
              <w:top w:val="nil"/>
              <w:left w:val="nil"/>
              <w:bottom w:val="single" w:sz="4" w:space="0" w:color="auto"/>
              <w:right w:val="nil"/>
            </w:tcBorders>
            <w:shd w:val="clear" w:color="000000" w:fill="FFFFFF"/>
            <w:hideMark/>
          </w:tcPr>
          <w:p w14:paraId="6557F7C4" w14:textId="77777777" w:rsidR="005E3EF2" w:rsidRPr="006D631C" w:rsidRDefault="005E3EF2" w:rsidP="005E3EF2">
            <w:pPr>
              <w:spacing w:line="240" w:lineRule="auto"/>
              <w:jc w:val="center"/>
              <w:rPr>
                <w:color w:val="000000"/>
                <w:sz w:val="20"/>
                <w:szCs w:val="20"/>
              </w:rPr>
            </w:pPr>
            <w:r w:rsidRPr="006D631C">
              <w:rPr>
                <w:color w:val="000000"/>
                <w:sz w:val="20"/>
                <w:szCs w:val="20"/>
              </w:rPr>
              <w:t>1-Decyl-3-methylimidazolium Acrylate</w:t>
            </w:r>
          </w:p>
        </w:tc>
      </w:tr>
    </w:tbl>
    <w:p w14:paraId="0A295B69" w14:textId="673A7111" w:rsidR="00E44002" w:rsidRPr="006D631C" w:rsidRDefault="00E44002" w:rsidP="00E44002">
      <w:pPr>
        <w:tabs>
          <w:tab w:val="left" w:pos="90"/>
          <w:tab w:val="left" w:pos="360"/>
          <w:tab w:val="left" w:pos="992"/>
        </w:tabs>
        <w:spacing w:line="276" w:lineRule="auto"/>
        <w:jc w:val="center"/>
        <w:rPr>
          <w:rFonts w:asciiTheme="majorBidi" w:hAnsiTheme="majorBidi" w:cstheme="majorBidi"/>
          <w:sz w:val="22"/>
          <w:szCs w:val="22"/>
        </w:rPr>
      </w:pPr>
      <w:r w:rsidRPr="006D631C">
        <w:rPr>
          <w:rFonts w:asciiTheme="majorBidi" w:hAnsiTheme="majorBidi" w:cstheme="majorBidi"/>
          <w:sz w:val="22"/>
          <w:szCs w:val="22"/>
        </w:rPr>
        <w:lastRenderedPageBreak/>
        <w:t xml:space="preserve">Table B1. </w:t>
      </w:r>
      <w:r w:rsidRPr="006D631C">
        <w:rPr>
          <w:rFonts w:asciiTheme="majorBidi" w:hAnsiTheme="majorBidi" w:cstheme="majorBidi"/>
          <w:i/>
          <w:iCs/>
          <w:sz w:val="22"/>
          <w:szCs w:val="22"/>
        </w:rPr>
        <w:t>(Contd.)</w:t>
      </w:r>
    </w:p>
    <w:tbl>
      <w:tblPr>
        <w:tblW w:w="8931" w:type="dxa"/>
        <w:jc w:val="center"/>
        <w:tblLayout w:type="fixed"/>
        <w:tblLook w:val="04A0" w:firstRow="1" w:lastRow="0" w:firstColumn="1" w:lastColumn="0" w:noHBand="0" w:noVBand="1"/>
      </w:tblPr>
      <w:tblGrid>
        <w:gridCol w:w="426"/>
        <w:gridCol w:w="850"/>
        <w:gridCol w:w="7655"/>
      </w:tblGrid>
      <w:tr w:rsidR="00164006" w:rsidRPr="006D631C" w14:paraId="1B875B76" w14:textId="77777777" w:rsidTr="00F463F6">
        <w:trPr>
          <w:cantSplit/>
          <w:trHeight w:val="20"/>
          <w:jc w:val="center"/>
        </w:trPr>
        <w:tc>
          <w:tcPr>
            <w:tcW w:w="426" w:type="dxa"/>
            <w:tcBorders>
              <w:top w:val="single" w:sz="8" w:space="0" w:color="auto"/>
              <w:left w:val="nil"/>
              <w:bottom w:val="single" w:sz="8" w:space="0" w:color="auto"/>
              <w:right w:val="nil"/>
            </w:tcBorders>
            <w:shd w:val="clear" w:color="000000" w:fill="FFFFFF"/>
            <w:noWrap/>
            <w:hideMark/>
          </w:tcPr>
          <w:p w14:paraId="6EFCE098" w14:textId="77777777" w:rsidR="00164006" w:rsidRPr="006D631C" w:rsidRDefault="00164006" w:rsidP="00F463F6">
            <w:pPr>
              <w:spacing w:line="240" w:lineRule="auto"/>
              <w:jc w:val="center"/>
              <w:rPr>
                <w:rFonts w:ascii="Calibri" w:hAnsi="Calibri" w:cs="Calibri"/>
                <w:color w:val="000000"/>
                <w:sz w:val="20"/>
                <w:szCs w:val="20"/>
              </w:rPr>
            </w:pPr>
          </w:p>
        </w:tc>
        <w:tc>
          <w:tcPr>
            <w:tcW w:w="850" w:type="dxa"/>
            <w:tcBorders>
              <w:top w:val="single" w:sz="8" w:space="0" w:color="auto"/>
              <w:left w:val="nil"/>
              <w:bottom w:val="single" w:sz="8" w:space="0" w:color="auto"/>
              <w:right w:val="nil"/>
            </w:tcBorders>
            <w:shd w:val="clear" w:color="000000" w:fill="FFFFFF"/>
            <w:noWrap/>
            <w:hideMark/>
          </w:tcPr>
          <w:p w14:paraId="76412578" w14:textId="77777777" w:rsidR="00164006" w:rsidRPr="006D631C" w:rsidRDefault="00164006" w:rsidP="00F463F6">
            <w:pPr>
              <w:spacing w:line="240" w:lineRule="auto"/>
              <w:jc w:val="center"/>
              <w:rPr>
                <w:b/>
                <w:bCs/>
                <w:color w:val="000000"/>
                <w:sz w:val="20"/>
                <w:szCs w:val="20"/>
              </w:rPr>
            </w:pPr>
            <w:r w:rsidRPr="006D631C">
              <w:rPr>
                <w:b/>
                <w:bCs/>
                <w:color w:val="000000"/>
                <w:sz w:val="20"/>
                <w:szCs w:val="20"/>
              </w:rPr>
              <w:t>No.</w:t>
            </w:r>
          </w:p>
        </w:tc>
        <w:tc>
          <w:tcPr>
            <w:tcW w:w="7655" w:type="dxa"/>
            <w:tcBorders>
              <w:top w:val="single" w:sz="8" w:space="0" w:color="auto"/>
              <w:left w:val="nil"/>
              <w:bottom w:val="single" w:sz="8" w:space="0" w:color="auto"/>
              <w:right w:val="nil"/>
            </w:tcBorders>
            <w:shd w:val="clear" w:color="000000" w:fill="FFFFFF"/>
            <w:noWrap/>
            <w:hideMark/>
          </w:tcPr>
          <w:p w14:paraId="3C476F58" w14:textId="77777777" w:rsidR="00164006" w:rsidRPr="006D631C" w:rsidRDefault="00164006" w:rsidP="00F463F6">
            <w:pPr>
              <w:spacing w:line="240" w:lineRule="auto"/>
              <w:ind w:right="31"/>
              <w:jc w:val="center"/>
              <w:rPr>
                <w:b/>
                <w:bCs/>
                <w:color w:val="000000"/>
                <w:sz w:val="20"/>
                <w:szCs w:val="20"/>
              </w:rPr>
            </w:pPr>
            <w:r w:rsidRPr="006D631C">
              <w:rPr>
                <w:b/>
                <w:bCs/>
                <w:color w:val="000000"/>
                <w:sz w:val="20"/>
                <w:szCs w:val="20"/>
              </w:rPr>
              <w:t>Name/Chemical Formula</w:t>
            </w:r>
          </w:p>
        </w:tc>
      </w:tr>
      <w:tr w:rsidR="00172730" w:rsidRPr="006D631C" w14:paraId="023F3835" w14:textId="77777777" w:rsidTr="00F463F6">
        <w:trPr>
          <w:cantSplit/>
          <w:trHeight w:val="20"/>
          <w:jc w:val="center"/>
        </w:trPr>
        <w:tc>
          <w:tcPr>
            <w:tcW w:w="426" w:type="dxa"/>
            <w:vMerge w:val="restart"/>
            <w:tcBorders>
              <w:top w:val="nil"/>
              <w:left w:val="nil"/>
              <w:bottom w:val="single" w:sz="8" w:space="0" w:color="000000"/>
              <w:right w:val="nil"/>
            </w:tcBorders>
            <w:shd w:val="clear" w:color="000000" w:fill="FFFFFF"/>
            <w:noWrap/>
            <w:textDirection w:val="btLr"/>
            <w:hideMark/>
          </w:tcPr>
          <w:p w14:paraId="32CC8533" w14:textId="77777777" w:rsidR="00172730" w:rsidRPr="006D631C" w:rsidRDefault="00172730" w:rsidP="00172730">
            <w:pPr>
              <w:spacing w:line="240" w:lineRule="auto"/>
              <w:jc w:val="center"/>
              <w:rPr>
                <w:b/>
                <w:bCs/>
                <w:color w:val="000000"/>
                <w:sz w:val="22"/>
                <w:szCs w:val="22"/>
              </w:rPr>
            </w:pPr>
            <w:r w:rsidRPr="006D631C">
              <w:rPr>
                <w:b/>
                <w:bCs/>
                <w:color w:val="000000"/>
                <w:sz w:val="22"/>
                <w:szCs w:val="22"/>
              </w:rPr>
              <w:t xml:space="preserve">Polymerizable </w:t>
            </w:r>
            <w:proofErr w:type="spellStart"/>
            <w:r w:rsidRPr="006D631C">
              <w:rPr>
                <w:b/>
                <w:bCs/>
                <w:color w:val="000000"/>
                <w:sz w:val="22"/>
                <w:szCs w:val="22"/>
              </w:rPr>
              <w:t>Amphiphiles</w:t>
            </w:r>
            <w:proofErr w:type="spellEnd"/>
          </w:p>
        </w:tc>
        <w:tc>
          <w:tcPr>
            <w:tcW w:w="850" w:type="dxa"/>
            <w:tcBorders>
              <w:top w:val="nil"/>
              <w:left w:val="nil"/>
              <w:bottom w:val="nil"/>
              <w:right w:val="nil"/>
            </w:tcBorders>
            <w:shd w:val="clear" w:color="000000" w:fill="FFFFFF"/>
            <w:noWrap/>
            <w:vAlign w:val="center"/>
          </w:tcPr>
          <w:p w14:paraId="6B1ECC5E" w14:textId="794936A0" w:rsidR="00172730" w:rsidRPr="006D631C" w:rsidRDefault="00172730" w:rsidP="00172730">
            <w:pPr>
              <w:spacing w:line="240" w:lineRule="auto"/>
              <w:jc w:val="center"/>
              <w:rPr>
                <w:color w:val="000000"/>
                <w:sz w:val="20"/>
                <w:szCs w:val="20"/>
              </w:rPr>
            </w:pPr>
            <w:r w:rsidRPr="006D631C">
              <w:rPr>
                <w:color w:val="000000"/>
                <w:sz w:val="20"/>
                <w:szCs w:val="20"/>
              </w:rPr>
              <w:t>P-A-43</w:t>
            </w:r>
          </w:p>
        </w:tc>
        <w:tc>
          <w:tcPr>
            <w:tcW w:w="7655" w:type="dxa"/>
            <w:tcBorders>
              <w:top w:val="nil"/>
              <w:left w:val="nil"/>
              <w:bottom w:val="nil"/>
              <w:right w:val="nil"/>
            </w:tcBorders>
            <w:shd w:val="clear" w:color="000000" w:fill="FFFFFF"/>
            <w:noWrap/>
          </w:tcPr>
          <w:p w14:paraId="17931FFF" w14:textId="3F0ED05A" w:rsidR="00172730" w:rsidRPr="006D631C" w:rsidRDefault="00172730" w:rsidP="00172730">
            <w:pPr>
              <w:spacing w:line="240" w:lineRule="auto"/>
              <w:jc w:val="center"/>
              <w:rPr>
                <w:color w:val="000000"/>
                <w:sz w:val="20"/>
                <w:szCs w:val="20"/>
              </w:rPr>
            </w:pPr>
            <w:r w:rsidRPr="006D631C">
              <w:rPr>
                <w:color w:val="000000"/>
                <w:sz w:val="20"/>
                <w:szCs w:val="20"/>
              </w:rPr>
              <w:t>1-Dodecyl-3-Propargylimidazolium Bromide</w:t>
            </w:r>
          </w:p>
        </w:tc>
      </w:tr>
      <w:tr w:rsidR="00172730" w:rsidRPr="006D631C" w14:paraId="182DFDC0" w14:textId="77777777" w:rsidTr="00F463F6">
        <w:trPr>
          <w:cantSplit/>
          <w:trHeight w:val="20"/>
          <w:jc w:val="center"/>
        </w:trPr>
        <w:tc>
          <w:tcPr>
            <w:tcW w:w="426" w:type="dxa"/>
            <w:vMerge/>
            <w:tcBorders>
              <w:top w:val="nil"/>
              <w:left w:val="nil"/>
              <w:bottom w:val="single" w:sz="8" w:space="0" w:color="000000"/>
              <w:right w:val="nil"/>
            </w:tcBorders>
          </w:tcPr>
          <w:p w14:paraId="1A5B6748"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3F95F273" w14:textId="056826FE" w:rsidR="00172730" w:rsidRPr="006D631C" w:rsidRDefault="00172730" w:rsidP="00172730">
            <w:pPr>
              <w:spacing w:line="240" w:lineRule="auto"/>
              <w:jc w:val="center"/>
              <w:rPr>
                <w:color w:val="000000"/>
                <w:sz w:val="20"/>
                <w:szCs w:val="20"/>
              </w:rPr>
            </w:pPr>
            <w:r w:rsidRPr="006D631C">
              <w:rPr>
                <w:color w:val="000000"/>
                <w:sz w:val="20"/>
                <w:szCs w:val="20"/>
              </w:rPr>
              <w:t>P-A-44</w:t>
            </w:r>
          </w:p>
        </w:tc>
        <w:tc>
          <w:tcPr>
            <w:tcW w:w="7655" w:type="dxa"/>
            <w:tcBorders>
              <w:top w:val="nil"/>
              <w:left w:val="nil"/>
              <w:bottom w:val="nil"/>
              <w:right w:val="nil"/>
            </w:tcBorders>
            <w:shd w:val="clear" w:color="000000" w:fill="FFFFFF"/>
            <w:noWrap/>
          </w:tcPr>
          <w:p w14:paraId="7682EF94" w14:textId="7EEFC434" w:rsidR="00172730" w:rsidRPr="006D631C" w:rsidRDefault="00172730" w:rsidP="00172730">
            <w:pPr>
              <w:spacing w:line="240" w:lineRule="auto"/>
              <w:jc w:val="center"/>
              <w:rPr>
                <w:color w:val="000000"/>
                <w:sz w:val="20"/>
                <w:szCs w:val="20"/>
              </w:rPr>
            </w:pPr>
            <w:r w:rsidRPr="006D631C">
              <w:rPr>
                <w:color w:val="000000"/>
                <w:sz w:val="20"/>
                <w:szCs w:val="20"/>
              </w:rPr>
              <w:t>3-Decyl-1-vinylimidazolium chloride</w:t>
            </w:r>
          </w:p>
        </w:tc>
      </w:tr>
      <w:tr w:rsidR="00172730" w:rsidRPr="006D631C" w14:paraId="62867505" w14:textId="77777777" w:rsidTr="00A13B39">
        <w:trPr>
          <w:cantSplit/>
          <w:trHeight w:val="20"/>
          <w:jc w:val="center"/>
        </w:trPr>
        <w:tc>
          <w:tcPr>
            <w:tcW w:w="426" w:type="dxa"/>
            <w:vMerge/>
            <w:tcBorders>
              <w:top w:val="nil"/>
              <w:left w:val="nil"/>
              <w:bottom w:val="single" w:sz="8" w:space="0" w:color="000000"/>
              <w:right w:val="nil"/>
            </w:tcBorders>
          </w:tcPr>
          <w:p w14:paraId="08EAE068"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35AFA43D" w14:textId="00F8F497" w:rsidR="00172730" w:rsidRPr="006D631C" w:rsidRDefault="00172730" w:rsidP="00172730">
            <w:pPr>
              <w:spacing w:line="240" w:lineRule="auto"/>
              <w:jc w:val="center"/>
              <w:rPr>
                <w:color w:val="000000"/>
                <w:sz w:val="20"/>
                <w:szCs w:val="20"/>
              </w:rPr>
            </w:pPr>
            <w:r w:rsidRPr="006D631C">
              <w:rPr>
                <w:color w:val="000000"/>
                <w:sz w:val="20"/>
                <w:szCs w:val="20"/>
              </w:rPr>
              <w:t>P-A-45</w:t>
            </w:r>
          </w:p>
        </w:tc>
        <w:tc>
          <w:tcPr>
            <w:tcW w:w="7655" w:type="dxa"/>
            <w:tcBorders>
              <w:top w:val="nil"/>
              <w:left w:val="nil"/>
              <w:right w:val="nil"/>
            </w:tcBorders>
            <w:shd w:val="clear" w:color="000000" w:fill="FFFFFF"/>
            <w:noWrap/>
          </w:tcPr>
          <w:p w14:paraId="2E3C8351" w14:textId="7372997E" w:rsidR="00172730" w:rsidRPr="006D631C" w:rsidRDefault="00172730" w:rsidP="00172730">
            <w:pPr>
              <w:spacing w:line="240" w:lineRule="auto"/>
              <w:jc w:val="center"/>
              <w:rPr>
                <w:color w:val="000000"/>
                <w:sz w:val="20"/>
                <w:szCs w:val="20"/>
              </w:rPr>
            </w:pPr>
            <w:proofErr w:type="spellStart"/>
            <w:r w:rsidRPr="006D631C">
              <w:rPr>
                <w:color w:val="000000"/>
                <w:sz w:val="20"/>
                <w:szCs w:val="20"/>
              </w:rPr>
              <w:t>Nanodiamond</w:t>
            </w:r>
            <w:proofErr w:type="spellEnd"/>
            <w:r w:rsidRPr="006D631C">
              <w:rPr>
                <w:color w:val="000000"/>
                <w:sz w:val="20"/>
                <w:szCs w:val="20"/>
              </w:rPr>
              <w:t>-[COOC</w:t>
            </w:r>
            <w:r w:rsidRPr="006D631C">
              <w:rPr>
                <w:color w:val="000000"/>
                <w:sz w:val="20"/>
                <w:szCs w:val="20"/>
                <w:vertAlign w:val="subscript"/>
              </w:rPr>
              <w:t>10</w:t>
            </w:r>
            <w:r w:rsidRPr="006D631C">
              <w:rPr>
                <w:color w:val="000000"/>
                <w:sz w:val="20"/>
                <w:szCs w:val="20"/>
              </w:rPr>
              <w:t>H</w:t>
            </w:r>
            <w:r w:rsidRPr="006D631C">
              <w:rPr>
                <w:color w:val="000000"/>
                <w:sz w:val="20"/>
                <w:szCs w:val="20"/>
                <w:vertAlign w:val="subscript"/>
              </w:rPr>
              <w:t>20</w:t>
            </w:r>
            <w:r w:rsidRPr="006D631C">
              <w:rPr>
                <w:color w:val="000000"/>
                <w:sz w:val="20"/>
                <w:szCs w:val="20"/>
              </w:rPr>
              <w:t>VIm</w:t>
            </w:r>
            <w:r w:rsidRPr="006D631C">
              <w:rPr>
                <w:color w:val="000000"/>
                <w:sz w:val="20"/>
                <w:szCs w:val="20"/>
                <w:vertAlign w:val="superscript"/>
              </w:rPr>
              <w:t>+</w:t>
            </w:r>
            <w:r w:rsidRPr="006D631C">
              <w:rPr>
                <w:color w:val="000000"/>
                <w:sz w:val="20"/>
                <w:szCs w:val="20"/>
              </w:rPr>
              <w:t>][Br</w:t>
            </w:r>
            <w:r w:rsidRPr="006D631C">
              <w:rPr>
                <w:color w:val="000000"/>
                <w:sz w:val="20"/>
                <w:szCs w:val="20"/>
                <w:vertAlign w:val="superscript"/>
              </w:rPr>
              <w:t>−</w:t>
            </w:r>
            <w:r w:rsidRPr="006D631C">
              <w:rPr>
                <w:color w:val="000000"/>
                <w:sz w:val="20"/>
                <w:szCs w:val="20"/>
              </w:rPr>
              <w:t>]</w:t>
            </w:r>
          </w:p>
        </w:tc>
      </w:tr>
      <w:tr w:rsidR="00172730" w:rsidRPr="006D631C" w14:paraId="26F34380" w14:textId="77777777" w:rsidTr="00A13B39">
        <w:trPr>
          <w:cantSplit/>
          <w:trHeight w:val="20"/>
          <w:jc w:val="center"/>
        </w:trPr>
        <w:tc>
          <w:tcPr>
            <w:tcW w:w="426" w:type="dxa"/>
            <w:vMerge/>
            <w:tcBorders>
              <w:top w:val="nil"/>
              <w:left w:val="nil"/>
              <w:bottom w:val="single" w:sz="8" w:space="0" w:color="000000"/>
              <w:right w:val="nil"/>
            </w:tcBorders>
          </w:tcPr>
          <w:p w14:paraId="2D40E0F7"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2D032F2F" w14:textId="5366EB01" w:rsidR="00172730" w:rsidRPr="006D631C" w:rsidRDefault="00172730" w:rsidP="00172730">
            <w:pPr>
              <w:spacing w:line="240" w:lineRule="auto"/>
              <w:jc w:val="center"/>
              <w:rPr>
                <w:color w:val="000000"/>
                <w:sz w:val="20"/>
                <w:szCs w:val="20"/>
              </w:rPr>
            </w:pPr>
            <w:r w:rsidRPr="006D631C">
              <w:rPr>
                <w:color w:val="000000"/>
                <w:sz w:val="20"/>
                <w:szCs w:val="20"/>
              </w:rPr>
              <w:t>P-A-46</w:t>
            </w:r>
          </w:p>
        </w:tc>
        <w:tc>
          <w:tcPr>
            <w:tcW w:w="7655" w:type="dxa"/>
            <w:tcBorders>
              <w:top w:val="nil"/>
              <w:left w:val="nil"/>
              <w:right w:val="nil"/>
            </w:tcBorders>
            <w:shd w:val="clear" w:color="000000" w:fill="FFFFFF"/>
            <w:noWrap/>
          </w:tcPr>
          <w:p w14:paraId="6E35F48A" w14:textId="16645A6F" w:rsidR="00172730" w:rsidRPr="006D631C" w:rsidRDefault="00172730" w:rsidP="00172730">
            <w:pPr>
              <w:spacing w:line="240" w:lineRule="auto"/>
              <w:jc w:val="center"/>
              <w:rPr>
                <w:color w:val="000000"/>
                <w:sz w:val="20"/>
                <w:szCs w:val="20"/>
              </w:rPr>
            </w:pPr>
            <w:r w:rsidRPr="006D631C">
              <w:rPr>
                <w:color w:val="000000"/>
                <w:sz w:val="20"/>
                <w:szCs w:val="20"/>
              </w:rPr>
              <w:t>Quantum-Dot-[SC</w:t>
            </w:r>
            <w:r w:rsidRPr="006D631C">
              <w:rPr>
                <w:color w:val="000000"/>
                <w:sz w:val="20"/>
                <w:szCs w:val="20"/>
                <w:vertAlign w:val="subscript"/>
              </w:rPr>
              <w:t>10</w:t>
            </w:r>
            <w:r w:rsidRPr="006D631C">
              <w:rPr>
                <w:color w:val="000000"/>
                <w:sz w:val="20"/>
                <w:szCs w:val="20"/>
              </w:rPr>
              <w:t>BrVIm</w:t>
            </w:r>
            <w:r w:rsidRPr="006D631C">
              <w:rPr>
                <w:color w:val="000000"/>
                <w:sz w:val="20"/>
                <w:szCs w:val="20"/>
                <w:vertAlign w:val="superscript"/>
              </w:rPr>
              <w:t>+</w:t>
            </w:r>
            <w:r w:rsidRPr="006D631C">
              <w:rPr>
                <w:color w:val="000000"/>
                <w:sz w:val="20"/>
                <w:szCs w:val="20"/>
              </w:rPr>
              <w:t>][Cl</w:t>
            </w:r>
            <w:r w:rsidRPr="006D631C">
              <w:rPr>
                <w:color w:val="000000"/>
                <w:sz w:val="20"/>
                <w:szCs w:val="20"/>
                <w:vertAlign w:val="superscript"/>
              </w:rPr>
              <w:t>−</w:t>
            </w:r>
            <w:r w:rsidRPr="006D631C">
              <w:rPr>
                <w:color w:val="000000"/>
                <w:sz w:val="20"/>
                <w:szCs w:val="20"/>
              </w:rPr>
              <w:t>]</w:t>
            </w:r>
          </w:p>
        </w:tc>
      </w:tr>
      <w:tr w:rsidR="00172730" w:rsidRPr="006D631C" w14:paraId="29D35EC7" w14:textId="77777777" w:rsidTr="00F463F6">
        <w:trPr>
          <w:cantSplit/>
          <w:trHeight w:val="20"/>
          <w:jc w:val="center"/>
        </w:trPr>
        <w:tc>
          <w:tcPr>
            <w:tcW w:w="426" w:type="dxa"/>
            <w:vMerge/>
            <w:tcBorders>
              <w:top w:val="nil"/>
              <w:left w:val="nil"/>
              <w:bottom w:val="single" w:sz="8" w:space="0" w:color="000000"/>
              <w:right w:val="nil"/>
            </w:tcBorders>
          </w:tcPr>
          <w:p w14:paraId="40085EF6"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1C2FE959" w14:textId="2B7104AA" w:rsidR="00172730" w:rsidRPr="006D631C" w:rsidRDefault="00172730" w:rsidP="00172730">
            <w:pPr>
              <w:spacing w:line="240" w:lineRule="auto"/>
              <w:jc w:val="center"/>
              <w:rPr>
                <w:color w:val="000000"/>
                <w:sz w:val="20"/>
                <w:szCs w:val="20"/>
              </w:rPr>
            </w:pPr>
            <w:r w:rsidRPr="006D631C">
              <w:rPr>
                <w:color w:val="000000"/>
                <w:sz w:val="20"/>
                <w:szCs w:val="20"/>
              </w:rPr>
              <w:t>P-A-47</w:t>
            </w:r>
          </w:p>
        </w:tc>
        <w:tc>
          <w:tcPr>
            <w:tcW w:w="7655" w:type="dxa"/>
            <w:tcBorders>
              <w:left w:val="nil"/>
              <w:bottom w:val="nil"/>
              <w:right w:val="nil"/>
            </w:tcBorders>
            <w:shd w:val="clear" w:color="auto" w:fill="auto"/>
            <w:noWrap/>
          </w:tcPr>
          <w:p w14:paraId="7517B6F9" w14:textId="3256EA36" w:rsidR="00172730" w:rsidRPr="006D631C" w:rsidRDefault="00172730" w:rsidP="00172730">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330</w:t>
            </w:r>
            <w:r w:rsidRPr="006D631C">
              <w:rPr>
                <w:color w:val="000000"/>
                <w:sz w:val="20"/>
                <w:szCs w:val="20"/>
              </w:rPr>
              <w:t>H</w:t>
            </w:r>
            <w:r w:rsidRPr="006D631C">
              <w:rPr>
                <w:color w:val="000000"/>
                <w:sz w:val="20"/>
                <w:szCs w:val="20"/>
                <w:vertAlign w:val="subscript"/>
              </w:rPr>
              <w:t>528</w:t>
            </w:r>
            <w:r w:rsidRPr="006D631C">
              <w:rPr>
                <w:color w:val="000000"/>
                <w:sz w:val="20"/>
                <w:szCs w:val="20"/>
              </w:rPr>
              <w:t>N</w:t>
            </w:r>
            <w:r w:rsidRPr="006D631C">
              <w:rPr>
                <w:color w:val="000000"/>
                <w:sz w:val="20"/>
                <w:szCs w:val="20"/>
                <w:vertAlign w:val="subscript"/>
              </w:rPr>
              <w:t>8</w:t>
            </w:r>
            <w:r w:rsidRPr="006D631C">
              <w:rPr>
                <w:color w:val="000000"/>
                <w:sz w:val="20"/>
                <w:szCs w:val="20"/>
              </w:rPr>
              <w:t>O</w:t>
            </w:r>
            <w:r w:rsidRPr="006D631C">
              <w:rPr>
                <w:color w:val="000000"/>
                <w:sz w:val="20"/>
                <w:szCs w:val="20"/>
                <w:vertAlign w:val="subscript"/>
              </w:rPr>
              <w:t>50</w:t>
            </w:r>
            <w:r w:rsidRPr="006D631C">
              <w:rPr>
                <w:color w:val="000000"/>
                <w:sz w:val="20"/>
                <w:szCs w:val="20"/>
              </w:rPr>
              <w:t>Pt</w:t>
            </w:r>
            <w:r w:rsidRPr="006D631C">
              <w:rPr>
                <w:color w:val="000000"/>
                <w:sz w:val="20"/>
                <w:szCs w:val="20"/>
                <w:vertAlign w:val="subscript"/>
              </w:rPr>
              <w:t>2</w:t>
            </w:r>
            <w:r w:rsidRPr="006D631C">
              <w:rPr>
                <w:color w:val="000000"/>
                <w:sz w:val="20"/>
                <w:szCs w:val="20"/>
              </w:rPr>
              <w:t>P</w:t>
            </w:r>
            <w:r w:rsidRPr="006D631C">
              <w:rPr>
                <w:color w:val="000000"/>
                <w:sz w:val="20"/>
                <w:szCs w:val="20"/>
                <w:vertAlign w:val="subscript"/>
              </w:rPr>
              <w:t>4</w:t>
            </w:r>
            <w:r w:rsidRPr="006D631C">
              <w:rPr>
                <w:color w:val="000000"/>
                <w:sz w:val="20"/>
                <w:szCs w:val="20"/>
                <w:vertAlign w:val="superscript"/>
              </w:rPr>
              <w:t>4+</w:t>
            </w:r>
            <w:r w:rsidRPr="006D631C">
              <w:rPr>
                <w:color w:val="000000"/>
                <w:sz w:val="20"/>
                <w:szCs w:val="20"/>
              </w:rPr>
              <w:t xml:space="preserve"> (PF</w:t>
            </w:r>
            <w:r w:rsidRPr="006D631C">
              <w:rPr>
                <w:color w:val="000000"/>
                <w:sz w:val="20"/>
                <w:szCs w:val="20"/>
                <w:vertAlign w:val="subscript"/>
              </w:rPr>
              <w:t>6</w:t>
            </w:r>
            <w:r w:rsidRPr="006D631C">
              <w:rPr>
                <w:color w:val="000000"/>
                <w:sz w:val="20"/>
                <w:szCs w:val="20"/>
                <w:vertAlign w:val="superscript"/>
              </w:rPr>
              <w:t>-</w:t>
            </w:r>
            <w:r w:rsidRPr="006D631C">
              <w:rPr>
                <w:color w:val="000000"/>
                <w:sz w:val="20"/>
                <w:szCs w:val="20"/>
              </w:rPr>
              <w:t>)</w:t>
            </w:r>
            <w:r w:rsidRPr="006D631C">
              <w:rPr>
                <w:color w:val="000000"/>
                <w:sz w:val="20"/>
                <w:szCs w:val="20"/>
                <w:vertAlign w:val="subscript"/>
              </w:rPr>
              <w:t>4</w:t>
            </w:r>
          </w:p>
        </w:tc>
      </w:tr>
      <w:tr w:rsidR="00172730" w:rsidRPr="006D631C" w14:paraId="239DC949" w14:textId="77777777" w:rsidTr="00F463F6">
        <w:trPr>
          <w:cantSplit/>
          <w:trHeight w:val="20"/>
          <w:jc w:val="center"/>
        </w:trPr>
        <w:tc>
          <w:tcPr>
            <w:tcW w:w="426" w:type="dxa"/>
            <w:vMerge/>
            <w:tcBorders>
              <w:top w:val="nil"/>
              <w:left w:val="nil"/>
              <w:bottom w:val="single" w:sz="8" w:space="0" w:color="000000"/>
              <w:right w:val="nil"/>
            </w:tcBorders>
            <w:hideMark/>
          </w:tcPr>
          <w:p w14:paraId="4E5BF011"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38159977" w14:textId="2E06E1CB" w:rsidR="00172730" w:rsidRPr="006D631C" w:rsidRDefault="00172730" w:rsidP="00172730">
            <w:pPr>
              <w:spacing w:line="240" w:lineRule="auto"/>
              <w:jc w:val="center"/>
              <w:rPr>
                <w:color w:val="000000"/>
                <w:sz w:val="20"/>
                <w:szCs w:val="20"/>
              </w:rPr>
            </w:pPr>
            <w:r w:rsidRPr="006D631C">
              <w:rPr>
                <w:color w:val="000000"/>
                <w:sz w:val="20"/>
                <w:szCs w:val="20"/>
              </w:rPr>
              <w:t>P-A-48</w:t>
            </w:r>
          </w:p>
        </w:tc>
        <w:tc>
          <w:tcPr>
            <w:tcW w:w="7655" w:type="dxa"/>
            <w:tcBorders>
              <w:top w:val="nil"/>
              <w:left w:val="nil"/>
              <w:bottom w:val="nil"/>
              <w:right w:val="nil"/>
            </w:tcBorders>
            <w:shd w:val="clear" w:color="000000" w:fill="FFFFFF"/>
            <w:noWrap/>
          </w:tcPr>
          <w:p w14:paraId="2FAD3A2E" w14:textId="66645179" w:rsidR="00172730" w:rsidRPr="006D631C" w:rsidRDefault="00172730" w:rsidP="00172730">
            <w:pPr>
              <w:spacing w:line="240" w:lineRule="auto"/>
              <w:jc w:val="center"/>
              <w:rPr>
                <w:color w:val="000000"/>
                <w:sz w:val="20"/>
                <w:szCs w:val="20"/>
              </w:rPr>
            </w:pPr>
            <w:proofErr w:type="spellStart"/>
            <w:r w:rsidRPr="006D631C">
              <w:rPr>
                <w:color w:val="000000"/>
                <w:sz w:val="20"/>
                <w:szCs w:val="20"/>
              </w:rPr>
              <w:t>Monoacylglycerol</w:t>
            </w:r>
            <w:proofErr w:type="spellEnd"/>
          </w:p>
        </w:tc>
      </w:tr>
      <w:tr w:rsidR="00172730" w:rsidRPr="006D631C" w14:paraId="4042B205" w14:textId="77777777" w:rsidTr="00F463F6">
        <w:trPr>
          <w:cantSplit/>
          <w:trHeight w:val="20"/>
          <w:jc w:val="center"/>
        </w:trPr>
        <w:tc>
          <w:tcPr>
            <w:tcW w:w="426" w:type="dxa"/>
            <w:vMerge/>
            <w:tcBorders>
              <w:top w:val="nil"/>
              <w:left w:val="nil"/>
              <w:bottom w:val="single" w:sz="8" w:space="0" w:color="000000"/>
              <w:right w:val="nil"/>
            </w:tcBorders>
            <w:hideMark/>
          </w:tcPr>
          <w:p w14:paraId="773FAF70"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613A452F" w14:textId="79F6A4AF" w:rsidR="00172730" w:rsidRPr="006D631C" w:rsidRDefault="00172730" w:rsidP="00172730">
            <w:pPr>
              <w:spacing w:line="240" w:lineRule="auto"/>
              <w:jc w:val="center"/>
              <w:rPr>
                <w:color w:val="000000"/>
                <w:sz w:val="20"/>
                <w:szCs w:val="20"/>
              </w:rPr>
            </w:pPr>
            <w:r w:rsidRPr="006D631C">
              <w:rPr>
                <w:color w:val="000000"/>
                <w:sz w:val="20"/>
                <w:szCs w:val="20"/>
              </w:rPr>
              <w:t>P-A-49</w:t>
            </w:r>
          </w:p>
        </w:tc>
        <w:tc>
          <w:tcPr>
            <w:tcW w:w="7655" w:type="dxa"/>
            <w:tcBorders>
              <w:top w:val="nil"/>
              <w:left w:val="nil"/>
              <w:bottom w:val="nil"/>
              <w:right w:val="nil"/>
            </w:tcBorders>
            <w:shd w:val="clear" w:color="000000" w:fill="FFFFFF"/>
            <w:noWrap/>
          </w:tcPr>
          <w:p w14:paraId="137D12B0" w14:textId="746712F3" w:rsidR="00172730" w:rsidRPr="006D631C" w:rsidRDefault="00172730" w:rsidP="00172730">
            <w:pPr>
              <w:spacing w:line="240" w:lineRule="auto"/>
              <w:jc w:val="center"/>
              <w:rPr>
                <w:color w:val="000000"/>
                <w:sz w:val="20"/>
                <w:szCs w:val="20"/>
              </w:rPr>
            </w:pPr>
            <w:r w:rsidRPr="006D631C">
              <w:rPr>
                <w:color w:val="000000"/>
                <w:sz w:val="20"/>
                <w:szCs w:val="20"/>
              </w:rPr>
              <w:t>1,2-Diacylglycerol</w:t>
            </w:r>
          </w:p>
        </w:tc>
      </w:tr>
      <w:tr w:rsidR="00172730" w:rsidRPr="006D631C" w14:paraId="5513D2C9" w14:textId="77777777" w:rsidTr="00F463F6">
        <w:trPr>
          <w:cantSplit/>
          <w:trHeight w:val="20"/>
          <w:jc w:val="center"/>
        </w:trPr>
        <w:tc>
          <w:tcPr>
            <w:tcW w:w="426" w:type="dxa"/>
            <w:vMerge/>
            <w:tcBorders>
              <w:top w:val="nil"/>
              <w:left w:val="nil"/>
              <w:bottom w:val="single" w:sz="8" w:space="0" w:color="000000"/>
              <w:right w:val="nil"/>
            </w:tcBorders>
            <w:hideMark/>
          </w:tcPr>
          <w:p w14:paraId="59B4399D"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72132708" w14:textId="7CCF88C0" w:rsidR="00172730" w:rsidRPr="006D631C" w:rsidRDefault="00172730" w:rsidP="00172730">
            <w:pPr>
              <w:spacing w:line="240" w:lineRule="auto"/>
              <w:jc w:val="center"/>
              <w:rPr>
                <w:color w:val="000000"/>
                <w:sz w:val="20"/>
                <w:szCs w:val="20"/>
              </w:rPr>
            </w:pPr>
            <w:r w:rsidRPr="006D631C">
              <w:rPr>
                <w:color w:val="000000"/>
                <w:sz w:val="20"/>
                <w:szCs w:val="20"/>
              </w:rPr>
              <w:t>P-A-50</w:t>
            </w:r>
          </w:p>
        </w:tc>
        <w:tc>
          <w:tcPr>
            <w:tcW w:w="7655" w:type="dxa"/>
            <w:tcBorders>
              <w:top w:val="nil"/>
              <w:left w:val="nil"/>
              <w:bottom w:val="nil"/>
              <w:right w:val="nil"/>
            </w:tcBorders>
            <w:shd w:val="clear" w:color="000000" w:fill="FFFFFF"/>
            <w:noWrap/>
          </w:tcPr>
          <w:p w14:paraId="63CD466E" w14:textId="395CCE97" w:rsidR="00172730" w:rsidRPr="006D631C" w:rsidRDefault="00172730" w:rsidP="00172730">
            <w:pPr>
              <w:spacing w:line="240" w:lineRule="auto"/>
              <w:jc w:val="center"/>
              <w:rPr>
                <w:color w:val="000000"/>
                <w:sz w:val="20"/>
                <w:szCs w:val="20"/>
              </w:rPr>
            </w:pPr>
            <w:proofErr w:type="spellStart"/>
            <w:r w:rsidRPr="006D631C">
              <w:rPr>
                <w:color w:val="000000"/>
                <w:sz w:val="20"/>
                <w:szCs w:val="20"/>
              </w:rPr>
              <w:t>Noigen</w:t>
            </w:r>
            <w:proofErr w:type="spellEnd"/>
            <w:r w:rsidRPr="006D631C">
              <w:rPr>
                <w:color w:val="000000"/>
                <w:sz w:val="20"/>
                <w:szCs w:val="20"/>
              </w:rPr>
              <w:t xml:space="preserve"> RN-10</w:t>
            </w:r>
          </w:p>
        </w:tc>
      </w:tr>
      <w:tr w:rsidR="00172730" w:rsidRPr="006D631C" w14:paraId="4F09C5CE" w14:textId="77777777" w:rsidTr="00F463F6">
        <w:trPr>
          <w:cantSplit/>
          <w:trHeight w:val="20"/>
          <w:jc w:val="center"/>
        </w:trPr>
        <w:tc>
          <w:tcPr>
            <w:tcW w:w="426" w:type="dxa"/>
            <w:vMerge/>
            <w:tcBorders>
              <w:top w:val="nil"/>
              <w:left w:val="nil"/>
              <w:bottom w:val="single" w:sz="8" w:space="0" w:color="000000"/>
              <w:right w:val="nil"/>
            </w:tcBorders>
            <w:hideMark/>
          </w:tcPr>
          <w:p w14:paraId="748A4747"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77DD5BF6" w14:textId="57F63DD7" w:rsidR="00172730" w:rsidRPr="006D631C" w:rsidRDefault="00172730" w:rsidP="00172730">
            <w:pPr>
              <w:spacing w:line="240" w:lineRule="auto"/>
              <w:jc w:val="center"/>
              <w:rPr>
                <w:color w:val="000000"/>
                <w:sz w:val="20"/>
                <w:szCs w:val="20"/>
              </w:rPr>
            </w:pPr>
            <w:r w:rsidRPr="006D631C">
              <w:rPr>
                <w:color w:val="000000"/>
                <w:sz w:val="20"/>
                <w:szCs w:val="20"/>
              </w:rPr>
              <w:t>P-A-51</w:t>
            </w:r>
          </w:p>
        </w:tc>
        <w:tc>
          <w:tcPr>
            <w:tcW w:w="7655" w:type="dxa"/>
            <w:tcBorders>
              <w:top w:val="nil"/>
              <w:left w:val="nil"/>
              <w:bottom w:val="nil"/>
              <w:right w:val="nil"/>
            </w:tcBorders>
            <w:shd w:val="clear" w:color="000000" w:fill="FFFFFF"/>
            <w:noWrap/>
          </w:tcPr>
          <w:p w14:paraId="021DDF3D" w14:textId="7C3161CA" w:rsidR="00172730" w:rsidRPr="006D631C" w:rsidRDefault="00172730" w:rsidP="00172730">
            <w:pPr>
              <w:spacing w:line="240" w:lineRule="auto"/>
              <w:jc w:val="center"/>
              <w:rPr>
                <w:color w:val="000000"/>
                <w:sz w:val="20"/>
                <w:szCs w:val="20"/>
              </w:rPr>
            </w:pPr>
            <w:r w:rsidRPr="006D631C">
              <w:rPr>
                <w:rFonts w:ascii="Calibri" w:hAnsi="Calibri" w:cs="Calibri"/>
                <w:i/>
                <w:iCs/>
                <w:color w:val="000000"/>
                <w:sz w:val="20"/>
                <w:szCs w:val="20"/>
              </w:rPr>
              <w:t>α</w:t>
            </w:r>
            <w:r w:rsidRPr="006D631C">
              <w:rPr>
                <w:i/>
                <w:iCs/>
                <w:color w:val="000000"/>
                <w:sz w:val="20"/>
                <w:szCs w:val="20"/>
              </w:rPr>
              <w:t>,ω</w:t>
            </w:r>
            <w:r w:rsidRPr="006D631C">
              <w:rPr>
                <w:color w:val="000000"/>
                <w:sz w:val="20"/>
                <w:szCs w:val="20"/>
              </w:rPr>
              <w:t>-</w:t>
            </w:r>
            <w:proofErr w:type="spellStart"/>
            <w:r w:rsidRPr="006D631C">
              <w:rPr>
                <w:color w:val="000000"/>
                <w:sz w:val="20"/>
                <w:szCs w:val="20"/>
              </w:rPr>
              <w:t>hydrophobically</w:t>
            </w:r>
            <w:proofErr w:type="spellEnd"/>
            <w:r w:rsidRPr="006D631C">
              <w:rPr>
                <w:color w:val="000000"/>
                <w:sz w:val="20"/>
                <w:szCs w:val="20"/>
              </w:rPr>
              <w:t xml:space="preserve"> modified poly(</w:t>
            </w:r>
            <w:proofErr w:type="spellStart"/>
            <w:r w:rsidRPr="006D631C">
              <w:rPr>
                <w:color w:val="000000"/>
                <w:sz w:val="20"/>
                <w:szCs w:val="20"/>
              </w:rPr>
              <w:t>oxyethylene</w:t>
            </w:r>
            <w:proofErr w:type="spellEnd"/>
            <w:r w:rsidRPr="006D631C">
              <w:rPr>
                <w:color w:val="000000"/>
                <w:sz w:val="20"/>
                <w:szCs w:val="20"/>
              </w:rPr>
              <w:t>)</w:t>
            </w:r>
          </w:p>
        </w:tc>
      </w:tr>
      <w:tr w:rsidR="00172730" w:rsidRPr="006D631C" w14:paraId="17FE7EA1" w14:textId="77777777" w:rsidTr="00F463F6">
        <w:trPr>
          <w:cantSplit/>
          <w:trHeight w:val="20"/>
          <w:jc w:val="center"/>
        </w:trPr>
        <w:tc>
          <w:tcPr>
            <w:tcW w:w="426" w:type="dxa"/>
            <w:vMerge/>
            <w:tcBorders>
              <w:top w:val="nil"/>
              <w:left w:val="nil"/>
              <w:bottom w:val="single" w:sz="8" w:space="0" w:color="000000"/>
              <w:right w:val="nil"/>
            </w:tcBorders>
            <w:hideMark/>
          </w:tcPr>
          <w:p w14:paraId="44F654D7"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3921A741" w14:textId="0D4F1B3B" w:rsidR="00172730" w:rsidRPr="006D631C" w:rsidRDefault="00172730" w:rsidP="00172730">
            <w:pPr>
              <w:spacing w:line="240" w:lineRule="auto"/>
              <w:jc w:val="center"/>
              <w:rPr>
                <w:color w:val="000000"/>
                <w:sz w:val="20"/>
                <w:szCs w:val="20"/>
              </w:rPr>
            </w:pPr>
            <w:r w:rsidRPr="006D631C">
              <w:rPr>
                <w:color w:val="000000"/>
                <w:sz w:val="20"/>
                <w:szCs w:val="20"/>
              </w:rPr>
              <w:t>P-A-52</w:t>
            </w:r>
          </w:p>
        </w:tc>
        <w:tc>
          <w:tcPr>
            <w:tcW w:w="7655" w:type="dxa"/>
            <w:tcBorders>
              <w:top w:val="nil"/>
              <w:left w:val="nil"/>
              <w:bottom w:val="nil"/>
              <w:right w:val="nil"/>
            </w:tcBorders>
            <w:shd w:val="clear" w:color="000000" w:fill="FFFFFF"/>
            <w:noWrap/>
          </w:tcPr>
          <w:p w14:paraId="5B1A38B6" w14:textId="3A0042E5" w:rsidR="00172730" w:rsidRPr="006D631C" w:rsidRDefault="00172730" w:rsidP="00172730">
            <w:pPr>
              <w:spacing w:line="240" w:lineRule="auto"/>
              <w:jc w:val="center"/>
              <w:rPr>
                <w:color w:val="000000"/>
                <w:sz w:val="20"/>
                <w:szCs w:val="20"/>
              </w:rPr>
            </w:pPr>
            <w:r w:rsidRPr="006D631C">
              <w:rPr>
                <w:color w:val="000000"/>
                <w:sz w:val="20"/>
                <w:szCs w:val="20"/>
              </w:rPr>
              <w:t xml:space="preserve">Ether-substituted </w:t>
            </w:r>
            <w:proofErr w:type="spellStart"/>
            <w:r w:rsidRPr="006D631C">
              <w:rPr>
                <w:color w:val="000000"/>
                <w:sz w:val="20"/>
                <w:szCs w:val="20"/>
              </w:rPr>
              <w:t>perfluoroalkyl</w:t>
            </w:r>
            <w:proofErr w:type="spellEnd"/>
            <w:r w:rsidRPr="006D631C">
              <w:rPr>
                <w:color w:val="000000"/>
                <w:sz w:val="20"/>
                <w:szCs w:val="20"/>
              </w:rPr>
              <w:t xml:space="preserve"> </w:t>
            </w:r>
            <w:proofErr w:type="spellStart"/>
            <w:r w:rsidRPr="006D631C">
              <w:rPr>
                <w:color w:val="000000"/>
                <w:sz w:val="20"/>
                <w:szCs w:val="20"/>
              </w:rPr>
              <w:t>methacrylic</w:t>
            </w:r>
            <w:proofErr w:type="spellEnd"/>
            <w:r w:rsidRPr="006D631C">
              <w:rPr>
                <w:color w:val="000000"/>
                <w:sz w:val="20"/>
                <w:szCs w:val="20"/>
              </w:rPr>
              <w:t xml:space="preserve"> acid</w:t>
            </w:r>
          </w:p>
        </w:tc>
      </w:tr>
      <w:tr w:rsidR="00172730" w:rsidRPr="006D631C" w14:paraId="5862B08F" w14:textId="77777777" w:rsidTr="00F463F6">
        <w:trPr>
          <w:cantSplit/>
          <w:trHeight w:val="20"/>
          <w:jc w:val="center"/>
        </w:trPr>
        <w:tc>
          <w:tcPr>
            <w:tcW w:w="426" w:type="dxa"/>
            <w:vMerge/>
            <w:tcBorders>
              <w:top w:val="nil"/>
              <w:left w:val="nil"/>
              <w:bottom w:val="single" w:sz="8" w:space="0" w:color="000000"/>
              <w:right w:val="nil"/>
            </w:tcBorders>
            <w:hideMark/>
          </w:tcPr>
          <w:p w14:paraId="194C982B"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2A766D82" w14:textId="245BE7E1" w:rsidR="00172730" w:rsidRPr="006D631C" w:rsidRDefault="00172730" w:rsidP="00172730">
            <w:pPr>
              <w:spacing w:line="240" w:lineRule="auto"/>
              <w:jc w:val="center"/>
              <w:rPr>
                <w:color w:val="000000"/>
                <w:sz w:val="20"/>
                <w:szCs w:val="20"/>
              </w:rPr>
            </w:pPr>
            <w:r w:rsidRPr="006D631C">
              <w:rPr>
                <w:color w:val="000000"/>
                <w:sz w:val="20"/>
                <w:szCs w:val="20"/>
              </w:rPr>
              <w:t>P-A-53</w:t>
            </w:r>
          </w:p>
        </w:tc>
        <w:tc>
          <w:tcPr>
            <w:tcW w:w="7655" w:type="dxa"/>
            <w:tcBorders>
              <w:top w:val="nil"/>
              <w:left w:val="nil"/>
              <w:bottom w:val="nil"/>
              <w:right w:val="nil"/>
            </w:tcBorders>
            <w:shd w:val="clear" w:color="auto" w:fill="auto"/>
            <w:noWrap/>
          </w:tcPr>
          <w:p w14:paraId="1C53DD6F" w14:textId="75078F7F" w:rsidR="00172730" w:rsidRPr="006D631C" w:rsidRDefault="00172730" w:rsidP="00172730">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52</w:t>
            </w:r>
            <w:r w:rsidRPr="006D631C">
              <w:rPr>
                <w:color w:val="000000"/>
                <w:sz w:val="20"/>
                <w:szCs w:val="20"/>
              </w:rPr>
              <w:t>H</w:t>
            </w:r>
            <w:r w:rsidRPr="006D631C">
              <w:rPr>
                <w:color w:val="000000"/>
                <w:sz w:val="20"/>
                <w:szCs w:val="20"/>
                <w:vertAlign w:val="subscript"/>
              </w:rPr>
              <w:t>89</w:t>
            </w:r>
            <w:r w:rsidRPr="006D631C">
              <w:rPr>
                <w:color w:val="000000"/>
                <w:sz w:val="20"/>
                <w:szCs w:val="20"/>
              </w:rPr>
              <w:t>NO</w:t>
            </w:r>
            <w:r w:rsidRPr="006D631C">
              <w:rPr>
                <w:color w:val="000000"/>
                <w:sz w:val="20"/>
                <w:szCs w:val="20"/>
                <w:vertAlign w:val="subscript"/>
              </w:rPr>
              <w:t>13</w:t>
            </w:r>
            <w:r w:rsidRPr="006D631C">
              <w:rPr>
                <w:color w:val="000000"/>
                <w:sz w:val="20"/>
                <w:szCs w:val="20"/>
              </w:rPr>
              <w:t>S</w:t>
            </w:r>
          </w:p>
        </w:tc>
      </w:tr>
      <w:tr w:rsidR="00172730" w:rsidRPr="006D631C" w14:paraId="11C3D184" w14:textId="77777777" w:rsidTr="00F463F6">
        <w:trPr>
          <w:cantSplit/>
          <w:trHeight w:val="20"/>
          <w:jc w:val="center"/>
        </w:trPr>
        <w:tc>
          <w:tcPr>
            <w:tcW w:w="426" w:type="dxa"/>
            <w:vMerge/>
            <w:tcBorders>
              <w:top w:val="nil"/>
              <w:left w:val="nil"/>
              <w:bottom w:val="single" w:sz="8" w:space="0" w:color="000000"/>
              <w:right w:val="nil"/>
            </w:tcBorders>
            <w:hideMark/>
          </w:tcPr>
          <w:p w14:paraId="5D1C317E"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1DA39CEC" w14:textId="1E5EE3F5" w:rsidR="00172730" w:rsidRPr="006D631C" w:rsidRDefault="00172730" w:rsidP="00172730">
            <w:pPr>
              <w:spacing w:line="240" w:lineRule="auto"/>
              <w:jc w:val="center"/>
              <w:rPr>
                <w:color w:val="000000"/>
                <w:sz w:val="20"/>
                <w:szCs w:val="20"/>
              </w:rPr>
            </w:pPr>
            <w:r w:rsidRPr="006D631C">
              <w:rPr>
                <w:color w:val="000000"/>
                <w:sz w:val="20"/>
                <w:szCs w:val="20"/>
              </w:rPr>
              <w:t>P-A-54</w:t>
            </w:r>
          </w:p>
        </w:tc>
        <w:tc>
          <w:tcPr>
            <w:tcW w:w="7655" w:type="dxa"/>
            <w:tcBorders>
              <w:top w:val="nil"/>
              <w:left w:val="nil"/>
              <w:bottom w:val="nil"/>
              <w:right w:val="nil"/>
            </w:tcBorders>
            <w:shd w:val="clear" w:color="000000" w:fill="FFFFFF"/>
          </w:tcPr>
          <w:p w14:paraId="28C7BDA9" w14:textId="5F15EE49" w:rsidR="00172730" w:rsidRPr="006D631C" w:rsidRDefault="00172730" w:rsidP="00172730">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53</w:t>
            </w:r>
            <w:r w:rsidRPr="006D631C">
              <w:rPr>
                <w:color w:val="000000"/>
                <w:sz w:val="20"/>
                <w:szCs w:val="20"/>
              </w:rPr>
              <w:t>H</w:t>
            </w:r>
            <w:r w:rsidRPr="006D631C">
              <w:rPr>
                <w:color w:val="000000"/>
                <w:sz w:val="20"/>
                <w:szCs w:val="20"/>
                <w:vertAlign w:val="subscript"/>
              </w:rPr>
              <w:t>89</w:t>
            </w:r>
            <w:r w:rsidRPr="006D631C">
              <w:rPr>
                <w:color w:val="000000"/>
                <w:sz w:val="20"/>
                <w:szCs w:val="20"/>
              </w:rPr>
              <w:t>NO</w:t>
            </w:r>
            <w:r w:rsidRPr="006D631C">
              <w:rPr>
                <w:color w:val="000000"/>
                <w:sz w:val="20"/>
                <w:szCs w:val="20"/>
                <w:vertAlign w:val="subscript"/>
              </w:rPr>
              <w:t>12</w:t>
            </w:r>
          </w:p>
        </w:tc>
      </w:tr>
      <w:tr w:rsidR="00172730" w:rsidRPr="006D631C" w14:paraId="5053596F" w14:textId="77777777" w:rsidTr="00F463F6">
        <w:trPr>
          <w:cantSplit/>
          <w:trHeight w:val="20"/>
          <w:jc w:val="center"/>
        </w:trPr>
        <w:tc>
          <w:tcPr>
            <w:tcW w:w="426" w:type="dxa"/>
            <w:vMerge/>
            <w:tcBorders>
              <w:top w:val="nil"/>
              <w:left w:val="nil"/>
              <w:bottom w:val="single" w:sz="8" w:space="0" w:color="000000"/>
              <w:right w:val="nil"/>
            </w:tcBorders>
            <w:hideMark/>
          </w:tcPr>
          <w:p w14:paraId="2049759E"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3D31FEDF" w14:textId="148441C1" w:rsidR="00172730" w:rsidRPr="006D631C" w:rsidRDefault="00172730" w:rsidP="00172730">
            <w:pPr>
              <w:spacing w:line="240" w:lineRule="auto"/>
              <w:jc w:val="center"/>
              <w:rPr>
                <w:color w:val="000000"/>
                <w:sz w:val="20"/>
                <w:szCs w:val="20"/>
              </w:rPr>
            </w:pPr>
            <w:r w:rsidRPr="006D631C">
              <w:rPr>
                <w:color w:val="000000"/>
                <w:sz w:val="20"/>
                <w:szCs w:val="20"/>
              </w:rPr>
              <w:t>P-A-55</w:t>
            </w:r>
          </w:p>
        </w:tc>
        <w:tc>
          <w:tcPr>
            <w:tcW w:w="7655" w:type="dxa"/>
            <w:tcBorders>
              <w:top w:val="nil"/>
              <w:left w:val="nil"/>
              <w:bottom w:val="nil"/>
              <w:right w:val="nil"/>
            </w:tcBorders>
            <w:shd w:val="clear" w:color="auto" w:fill="auto"/>
            <w:noWrap/>
          </w:tcPr>
          <w:p w14:paraId="420B8DFF" w14:textId="677D6603" w:rsidR="00172730" w:rsidRPr="006D631C" w:rsidRDefault="00172730" w:rsidP="00172730">
            <w:pPr>
              <w:spacing w:line="240" w:lineRule="auto"/>
              <w:jc w:val="center"/>
              <w:rPr>
                <w:color w:val="000000"/>
                <w:sz w:val="20"/>
                <w:szCs w:val="20"/>
              </w:rPr>
            </w:pPr>
            <w:r w:rsidRPr="006D631C">
              <w:rPr>
                <w:color w:val="000000"/>
                <w:sz w:val="20"/>
                <w:szCs w:val="20"/>
              </w:rPr>
              <w:t>C</w:t>
            </w:r>
            <w:r w:rsidRPr="006D631C">
              <w:rPr>
                <w:color w:val="000000"/>
                <w:sz w:val="20"/>
                <w:szCs w:val="20"/>
                <w:vertAlign w:val="subscript"/>
              </w:rPr>
              <w:t>64</w:t>
            </w:r>
            <w:r w:rsidRPr="006D631C">
              <w:rPr>
                <w:color w:val="000000"/>
                <w:sz w:val="20"/>
                <w:szCs w:val="20"/>
              </w:rPr>
              <w:t>H</w:t>
            </w:r>
            <w:r w:rsidRPr="006D631C">
              <w:rPr>
                <w:color w:val="000000"/>
                <w:sz w:val="20"/>
                <w:szCs w:val="20"/>
                <w:vertAlign w:val="subscript"/>
              </w:rPr>
              <w:t>103</w:t>
            </w:r>
            <w:r w:rsidRPr="006D631C">
              <w:rPr>
                <w:color w:val="000000"/>
                <w:sz w:val="20"/>
                <w:szCs w:val="20"/>
              </w:rPr>
              <w:t>N</w:t>
            </w:r>
            <w:r w:rsidRPr="006D631C">
              <w:rPr>
                <w:color w:val="000000"/>
                <w:sz w:val="20"/>
                <w:szCs w:val="20"/>
                <w:vertAlign w:val="subscript"/>
              </w:rPr>
              <w:t>3</w:t>
            </w:r>
            <w:r w:rsidRPr="006D631C">
              <w:rPr>
                <w:color w:val="000000"/>
                <w:sz w:val="20"/>
                <w:szCs w:val="20"/>
              </w:rPr>
              <w:t>O</w:t>
            </w:r>
            <w:r w:rsidRPr="006D631C">
              <w:rPr>
                <w:color w:val="000000"/>
                <w:sz w:val="20"/>
                <w:szCs w:val="20"/>
                <w:vertAlign w:val="subscript"/>
              </w:rPr>
              <w:t>11</w:t>
            </w:r>
          </w:p>
        </w:tc>
      </w:tr>
      <w:tr w:rsidR="00172730" w:rsidRPr="006D631C" w14:paraId="16F692E6" w14:textId="77777777" w:rsidTr="00F463F6">
        <w:trPr>
          <w:cantSplit/>
          <w:trHeight w:val="20"/>
          <w:jc w:val="center"/>
        </w:trPr>
        <w:tc>
          <w:tcPr>
            <w:tcW w:w="426" w:type="dxa"/>
            <w:vMerge/>
            <w:tcBorders>
              <w:top w:val="nil"/>
              <w:left w:val="nil"/>
              <w:bottom w:val="single" w:sz="8" w:space="0" w:color="000000"/>
              <w:right w:val="nil"/>
            </w:tcBorders>
            <w:hideMark/>
          </w:tcPr>
          <w:p w14:paraId="289AE373"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59146A5F" w14:textId="695F141B" w:rsidR="00172730" w:rsidRPr="006D631C" w:rsidRDefault="00172730" w:rsidP="00172730">
            <w:pPr>
              <w:spacing w:line="240" w:lineRule="auto"/>
              <w:jc w:val="center"/>
              <w:rPr>
                <w:color w:val="000000"/>
                <w:sz w:val="20"/>
                <w:szCs w:val="20"/>
              </w:rPr>
            </w:pPr>
            <w:r w:rsidRPr="006D631C">
              <w:rPr>
                <w:color w:val="000000"/>
                <w:sz w:val="20"/>
                <w:szCs w:val="20"/>
              </w:rPr>
              <w:t>P-A-56</w:t>
            </w:r>
          </w:p>
        </w:tc>
        <w:tc>
          <w:tcPr>
            <w:tcW w:w="7655" w:type="dxa"/>
            <w:tcBorders>
              <w:top w:val="nil"/>
              <w:left w:val="nil"/>
              <w:bottom w:val="nil"/>
              <w:right w:val="nil"/>
            </w:tcBorders>
            <w:shd w:val="clear" w:color="000000" w:fill="FFFFFF"/>
            <w:noWrap/>
          </w:tcPr>
          <w:p w14:paraId="7F41B62B" w14:textId="5AD06E72" w:rsidR="00172730" w:rsidRPr="006D631C" w:rsidRDefault="00172730" w:rsidP="00172730">
            <w:pPr>
              <w:spacing w:line="240" w:lineRule="auto"/>
              <w:jc w:val="center"/>
              <w:rPr>
                <w:color w:val="000000"/>
                <w:sz w:val="20"/>
                <w:szCs w:val="20"/>
              </w:rPr>
            </w:pPr>
            <w:r w:rsidRPr="006D631C">
              <w:rPr>
                <w:color w:val="000000"/>
                <w:sz w:val="20"/>
                <w:szCs w:val="20"/>
              </w:rPr>
              <w:t>Poly(ethylene oxide)-</w:t>
            </w:r>
            <w:r w:rsidRPr="006D631C">
              <w:rPr>
                <w:i/>
                <w:iCs/>
                <w:color w:val="000000"/>
                <w:sz w:val="20"/>
                <w:szCs w:val="20"/>
              </w:rPr>
              <w:t>b</w:t>
            </w:r>
            <w:r w:rsidRPr="006D631C">
              <w:rPr>
                <w:color w:val="000000"/>
                <w:sz w:val="20"/>
                <w:szCs w:val="20"/>
              </w:rPr>
              <w:t>-poly(butadiene)</w:t>
            </w:r>
          </w:p>
        </w:tc>
      </w:tr>
      <w:tr w:rsidR="00172730" w:rsidRPr="006D631C" w14:paraId="4F201D2A" w14:textId="77777777" w:rsidTr="00F463F6">
        <w:trPr>
          <w:cantSplit/>
          <w:trHeight w:val="20"/>
          <w:jc w:val="center"/>
        </w:trPr>
        <w:tc>
          <w:tcPr>
            <w:tcW w:w="426" w:type="dxa"/>
            <w:vMerge/>
            <w:tcBorders>
              <w:top w:val="nil"/>
              <w:left w:val="nil"/>
              <w:bottom w:val="single" w:sz="8" w:space="0" w:color="000000"/>
              <w:right w:val="nil"/>
            </w:tcBorders>
            <w:hideMark/>
          </w:tcPr>
          <w:p w14:paraId="0C6E3E06"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7C4E360E" w14:textId="5007250E" w:rsidR="00172730" w:rsidRPr="006D631C" w:rsidRDefault="00172730" w:rsidP="00172730">
            <w:pPr>
              <w:spacing w:line="240" w:lineRule="auto"/>
              <w:jc w:val="center"/>
              <w:rPr>
                <w:color w:val="000000"/>
                <w:sz w:val="20"/>
                <w:szCs w:val="20"/>
              </w:rPr>
            </w:pPr>
            <w:r w:rsidRPr="006D631C">
              <w:rPr>
                <w:color w:val="000000"/>
                <w:sz w:val="20"/>
                <w:szCs w:val="20"/>
              </w:rPr>
              <w:t>P-A-57</w:t>
            </w:r>
          </w:p>
        </w:tc>
        <w:tc>
          <w:tcPr>
            <w:tcW w:w="7655" w:type="dxa"/>
            <w:tcBorders>
              <w:top w:val="nil"/>
              <w:left w:val="nil"/>
              <w:bottom w:val="nil"/>
              <w:right w:val="nil"/>
            </w:tcBorders>
            <w:shd w:val="clear" w:color="000000" w:fill="FFFFFF"/>
            <w:noWrap/>
          </w:tcPr>
          <w:p w14:paraId="5F7CBB08" w14:textId="2B26B3EE" w:rsidR="00172730" w:rsidRPr="006D631C" w:rsidRDefault="00172730" w:rsidP="00172730">
            <w:pPr>
              <w:spacing w:line="240" w:lineRule="auto"/>
              <w:jc w:val="center"/>
              <w:rPr>
                <w:color w:val="000000"/>
                <w:sz w:val="20"/>
                <w:szCs w:val="20"/>
              </w:rPr>
            </w:pPr>
            <w:r w:rsidRPr="006D631C">
              <w:rPr>
                <w:color w:val="000000"/>
                <w:sz w:val="20"/>
                <w:szCs w:val="20"/>
              </w:rPr>
              <w:t>MA-PEO-PDMS-PEO-MA</w:t>
            </w:r>
          </w:p>
        </w:tc>
      </w:tr>
      <w:tr w:rsidR="00172730" w:rsidRPr="006D631C" w14:paraId="6351E534" w14:textId="77777777" w:rsidTr="00F463F6">
        <w:trPr>
          <w:cantSplit/>
          <w:trHeight w:val="20"/>
          <w:jc w:val="center"/>
        </w:trPr>
        <w:tc>
          <w:tcPr>
            <w:tcW w:w="426" w:type="dxa"/>
            <w:vMerge/>
            <w:tcBorders>
              <w:top w:val="nil"/>
              <w:left w:val="nil"/>
              <w:bottom w:val="single" w:sz="8" w:space="0" w:color="000000"/>
              <w:right w:val="nil"/>
            </w:tcBorders>
            <w:hideMark/>
          </w:tcPr>
          <w:p w14:paraId="1E0BA662"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3FFAB413" w14:textId="6179AA1C" w:rsidR="00172730" w:rsidRPr="006D631C" w:rsidRDefault="00172730" w:rsidP="00172730">
            <w:pPr>
              <w:spacing w:line="240" w:lineRule="auto"/>
              <w:jc w:val="center"/>
              <w:rPr>
                <w:color w:val="000000"/>
                <w:sz w:val="20"/>
                <w:szCs w:val="20"/>
              </w:rPr>
            </w:pPr>
            <w:r w:rsidRPr="006D631C">
              <w:rPr>
                <w:color w:val="000000"/>
                <w:sz w:val="20"/>
                <w:szCs w:val="20"/>
              </w:rPr>
              <w:t>P-A-58</w:t>
            </w:r>
          </w:p>
        </w:tc>
        <w:tc>
          <w:tcPr>
            <w:tcW w:w="7655" w:type="dxa"/>
            <w:tcBorders>
              <w:top w:val="nil"/>
              <w:left w:val="nil"/>
              <w:bottom w:val="nil"/>
              <w:right w:val="nil"/>
            </w:tcBorders>
            <w:shd w:val="clear" w:color="000000" w:fill="FFFFFF"/>
            <w:noWrap/>
          </w:tcPr>
          <w:p w14:paraId="0FDB18C5" w14:textId="2AEBF36C" w:rsidR="00172730" w:rsidRPr="006D631C" w:rsidRDefault="00172730" w:rsidP="00172730">
            <w:pPr>
              <w:spacing w:line="240" w:lineRule="auto"/>
              <w:jc w:val="center"/>
              <w:rPr>
                <w:color w:val="000000"/>
                <w:sz w:val="20"/>
                <w:szCs w:val="20"/>
              </w:rPr>
            </w:pPr>
            <w:r w:rsidRPr="006D631C">
              <w:rPr>
                <w:color w:val="000000"/>
                <w:sz w:val="20"/>
                <w:szCs w:val="20"/>
              </w:rPr>
              <w:t>PEO-b-PDMS-b-PEO-</w:t>
            </w:r>
            <w:proofErr w:type="spellStart"/>
            <w:r w:rsidRPr="006D631C">
              <w:rPr>
                <w:color w:val="000000"/>
                <w:sz w:val="20"/>
                <w:szCs w:val="20"/>
              </w:rPr>
              <w:t>cinnamate</w:t>
            </w:r>
            <w:proofErr w:type="spellEnd"/>
            <w:r w:rsidRPr="006D631C">
              <w:rPr>
                <w:color w:val="000000"/>
                <w:sz w:val="20"/>
                <w:szCs w:val="20"/>
              </w:rPr>
              <w:t xml:space="preserve"> triblock copolymer</w:t>
            </w:r>
          </w:p>
        </w:tc>
      </w:tr>
      <w:tr w:rsidR="00172730" w:rsidRPr="006D631C" w14:paraId="45D09960" w14:textId="77777777" w:rsidTr="00F463F6">
        <w:trPr>
          <w:cantSplit/>
          <w:trHeight w:val="20"/>
          <w:jc w:val="center"/>
        </w:trPr>
        <w:tc>
          <w:tcPr>
            <w:tcW w:w="426" w:type="dxa"/>
            <w:vMerge/>
            <w:tcBorders>
              <w:top w:val="nil"/>
              <w:left w:val="nil"/>
              <w:bottom w:val="single" w:sz="8" w:space="0" w:color="000000"/>
              <w:right w:val="nil"/>
            </w:tcBorders>
            <w:hideMark/>
          </w:tcPr>
          <w:p w14:paraId="57D2D91A" w14:textId="77777777" w:rsidR="00172730" w:rsidRPr="006D631C" w:rsidRDefault="00172730" w:rsidP="00172730">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4EDF92C9" w14:textId="2A344D92" w:rsidR="00172730" w:rsidRPr="006D631C" w:rsidRDefault="00172730" w:rsidP="00172730">
            <w:pPr>
              <w:spacing w:line="240" w:lineRule="auto"/>
              <w:jc w:val="center"/>
              <w:rPr>
                <w:color w:val="000000"/>
                <w:sz w:val="20"/>
                <w:szCs w:val="20"/>
              </w:rPr>
            </w:pPr>
            <w:r w:rsidRPr="006D631C">
              <w:rPr>
                <w:color w:val="000000"/>
                <w:sz w:val="20"/>
                <w:szCs w:val="20"/>
              </w:rPr>
              <w:t>P-A-59</w:t>
            </w:r>
          </w:p>
        </w:tc>
        <w:tc>
          <w:tcPr>
            <w:tcW w:w="7655" w:type="dxa"/>
            <w:tcBorders>
              <w:top w:val="nil"/>
              <w:left w:val="nil"/>
              <w:bottom w:val="nil"/>
              <w:right w:val="nil"/>
            </w:tcBorders>
            <w:shd w:val="clear" w:color="000000" w:fill="FFFFFF"/>
            <w:noWrap/>
          </w:tcPr>
          <w:p w14:paraId="720F08C6" w14:textId="71B29316" w:rsidR="00172730" w:rsidRPr="006D631C" w:rsidRDefault="00172730" w:rsidP="00172730">
            <w:pPr>
              <w:spacing w:line="240" w:lineRule="auto"/>
              <w:jc w:val="center"/>
              <w:rPr>
                <w:color w:val="000000"/>
                <w:sz w:val="20"/>
                <w:szCs w:val="20"/>
              </w:rPr>
            </w:pPr>
            <w:r w:rsidRPr="006D631C">
              <w:rPr>
                <w:color w:val="000000"/>
                <w:sz w:val="20"/>
                <w:szCs w:val="20"/>
              </w:rPr>
              <w:t>Pluronic diacrylate</w:t>
            </w:r>
          </w:p>
        </w:tc>
      </w:tr>
      <w:tr w:rsidR="00A13B39" w:rsidRPr="006D631C" w14:paraId="23BE2091" w14:textId="77777777" w:rsidTr="00F463F6">
        <w:trPr>
          <w:cantSplit/>
          <w:trHeight w:val="20"/>
          <w:jc w:val="center"/>
        </w:trPr>
        <w:tc>
          <w:tcPr>
            <w:tcW w:w="426" w:type="dxa"/>
            <w:vMerge/>
            <w:tcBorders>
              <w:top w:val="nil"/>
              <w:left w:val="nil"/>
              <w:bottom w:val="single" w:sz="8" w:space="0" w:color="000000"/>
              <w:right w:val="nil"/>
            </w:tcBorders>
            <w:hideMark/>
          </w:tcPr>
          <w:p w14:paraId="6E98E50B"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single" w:sz="8" w:space="0" w:color="auto"/>
              <w:right w:val="nil"/>
            </w:tcBorders>
            <w:shd w:val="clear" w:color="000000" w:fill="FFFFFF"/>
            <w:noWrap/>
          </w:tcPr>
          <w:p w14:paraId="7A97C9C8" w14:textId="04F10468" w:rsidR="00A13B39" w:rsidRPr="006D631C" w:rsidRDefault="00A13B39" w:rsidP="00172730">
            <w:pPr>
              <w:spacing w:line="240" w:lineRule="auto"/>
              <w:jc w:val="center"/>
              <w:rPr>
                <w:color w:val="000000"/>
                <w:sz w:val="20"/>
                <w:szCs w:val="20"/>
              </w:rPr>
            </w:pPr>
            <w:r w:rsidRPr="006D631C">
              <w:rPr>
                <w:color w:val="000000"/>
                <w:sz w:val="20"/>
                <w:szCs w:val="20"/>
              </w:rPr>
              <w:t>P-A-</w:t>
            </w:r>
            <w:r w:rsidR="00172730" w:rsidRPr="006D631C">
              <w:rPr>
                <w:color w:val="000000"/>
                <w:sz w:val="20"/>
                <w:szCs w:val="20"/>
              </w:rPr>
              <w:t>60</w:t>
            </w:r>
          </w:p>
        </w:tc>
        <w:tc>
          <w:tcPr>
            <w:tcW w:w="7655" w:type="dxa"/>
            <w:tcBorders>
              <w:top w:val="nil"/>
              <w:left w:val="nil"/>
              <w:bottom w:val="single" w:sz="8" w:space="0" w:color="auto"/>
              <w:right w:val="nil"/>
            </w:tcBorders>
            <w:shd w:val="clear" w:color="000000" w:fill="FFFFFF"/>
            <w:noWrap/>
          </w:tcPr>
          <w:p w14:paraId="2C25085A" w14:textId="239FBB5D" w:rsidR="00A13B39" w:rsidRPr="006D631C" w:rsidRDefault="00A13B39" w:rsidP="00A13B39">
            <w:pPr>
              <w:spacing w:line="240" w:lineRule="auto"/>
              <w:jc w:val="center"/>
              <w:rPr>
                <w:color w:val="000000"/>
                <w:sz w:val="20"/>
                <w:szCs w:val="20"/>
              </w:rPr>
            </w:pPr>
            <w:r w:rsidRPr="006D631C">
              <w:rPr>
                <w:color w:val="000000"/>
                <w:sz w:val="20"/>
                <w:szCs w:val="20"/>
              </w:rPr>
              <w:t>3-(2,4,13-(E,E)-</w:t>
            </w:r>
            <w:proofErr w:type="spellStart"/>
            <w:r w:rsidRPr="006D631C">
              <w:rPr>
                <w:color w:val="000000"/>
                <w:sz w:val="20"/>
                <w:szCs w:val="20"/>
              </w:rPr>
              <w:t>tetradecatrienoyl</w:t>
            </w:r>
            <w:proofErr w:type="spellEnd"/>
            <w:r w:rsidRPr="006D631C">
              <w:rPr>
                <w:color w:val="000000"/>
                <w:sz w:val="20"/>
                <w:szCs w:val="20"/>
              </w:rPr>
              <w:t>)-</w:t>
            </w:r>
            <w:proofErr w:type="spellStart"/>
            <w:r w:rsidRPr="006D631C">
              <w:rPr>
                <w:i/>
                <w:iCs/>
                <w:color w:val="000000"/>
                <w:sz w:val="20"/>
                <w:szCs w:val="20"/>
              </w:rPr>
              <w:t>sn</w:t>
            </w:r>
            <w:proofErr w:type="spellEnd"/>
            <w:r w:rsidRPr="006D631C">
              <w:rPr>
                <w:color w:val="000000"/>
                <w:sz w:val="20"/>
                <w:szCs w:val="20"/>
              </w:rPr>
              <w:t>-glycerol</w:t>
            </w:r>
          </w:p>
        </w:tc>
      </w:tr>
      <w:tr w:rsidR="00A13B39" w:rsidRPr="006D631C" w14:paraId="4160C655" w14:textId="77777777" w:rsidTr="00F463F6">
        <w:trPr>
          <w:cantSplit/>
          <w:trHeight w:val="20"/>
          <w:jc w:val="center"/>
        </w:trPr>
        <w:tc>
          <w:tcPr>
            <w:tcW w:w="426" w:type="dxa"/>
            <w:vMerge w:val="restart"/>
            <w:tcBorders>
              <w:top w:val="nil"/>
              <w:left w:val="nil"/>
              <w:bottom w:val="single" w:sz="8" w:space="0" w:color="000000"/>
              <w:right w:val="nil"/>
            </w:tcBorders>
            <w:shd w:val="clear" w:color="000000" w:fill="FFFFFF"/>
            <w:noWrap/>
            <w:textDirection w:val="btLr"/>
            <w:hideMark/>
          </w:tcPr>
          <w:p w14:paraId="384236CA" w14:textId="77777777" w:rsidR="00A13B39" w:rsidRPr="006D631C" w:rsidRDefault="00A13B39" w:rsidP="00A13B39">
            <w:pPr>
              <w:spacing w:line="240" w:lineRule="auto"/>
              <w:jc w:val="center"/>
              <w:rPr>
                <w:b/>
                <w:bCs/>
                <w:color w:val="000000"/>
                <w:sz w:val="20"/>
                <w:szCs w:val="20"/>
              </w:rPr>
            </w:pPr>
            <w:r w:rsidRPr="006D631C">
              <w:rPr>
                <w:b/>
                <w:bCs/>
                <w:color w:val="000000"/>
                <w:sz w:val="22"/>
                <w:szCs w:val="22"/>
              </w:rPr>
              <w:t xml:space="preserve">Non-Polymerizable </w:t>
            </w:r>
            <w:proofErr w:type="spellStart"/>
            <w:r w:rsidRPr="006D631C">
              <w:rPr>
                <w:b/>
                <w:bCs/>
                <w:color w:val="000000"/>
                <w:sz w:val="22"/>
                <w:szCs w:val="22"/>
              </w:rPr>
              <w:t>Amphiphiles</w:t>
            </w:r>
            <w:proofErr w:type="spellEnd"/>
          </w:p>
        </w:tc>
        <w:tc>
          <w:tcPr>
            <w:tcW w:w="850" w:type="dxa"/>
            <w:tcBorders>
              <w:top w:val="nil"/>
              <w:left w:val="nil"/>
              <w:bottom w:val="nil"/>
              <w:right w:val="nil"/>
            </w:tcBorders>
            <w:shd w:val="clear" w:color="000000" w:fill="FFFFFF"/>
            <w:noWrap/>
            <w:hideMark/>
          </w:tcPr>
          <w:p w14:paraId="5F3CA2B2" w14:textId="77777777" w:rsidR="00A13B39" w:rsidRPr="006D631C" w:rsidRDefault="00A13B39" w:rsidP="00A13B39">
            <w:pPr>
              <w:spacing w:line="240" w:lineRule="auto"/>
              <w:jc w:val="center"/>
              <w:rPr>
                <w:color w:val="000000"/>
                <w:sz w:val="20"/>
                <w:szCs w:val="20"/>
              </w:rPr>
            </w:pPr>
            <w:r w:rsidRPr="006D631C">
              <w:rPr>
                <w:color w:val="000000"/>
                <w:sz w:val="20"/>
                <w:szCs w:val="20"/>
              </w:rPr>
              <w:t>A-1</w:t>
            </w:r>
          </w:p>
        </w:tc>
        <w:tc>
          <w:tcPr>
            <w:tcW w:w="7655" w:type="dxa"/>
            <w:tcBorders>
              <w:top w:val="nil"/>
              <w:left w:val="nil"/>
              <w:bottom w:val="nil"/>
              <w:right w:val="nil"/>
            </w:tcBorders>
            <w:shd w:val="clear" w:color="000000" w:fill="FFFFFF"/>
            <w:noWrap/>
            <w:hideMark/>
          </w:tcPr>
          <w:p w14:paraId="343A7329"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Didodecyldimethylammonium</w:t>
            </w:r>
            <w:proofErr w:type="spellEnd"/>
            <w:r w:rsidRPr="006D631C">
              <w:rPr>
                <w:color w:val="000000"/>
                <w:sz w:val="20"/>
                <w:szCs w:val="20"/>
              </w:rPr>
              <w:t xml:space="preserve"> bromide</w:t>
            </w:r>
          </w:p>
        </w:tc>
      </w:tr>
      <w:tr w:rsidR="00A13B39" w:rsidRPr="006D631C" w14:paraId="5A6B1C22" w14:textId="77777777" w:rsidTr="00F463F6">
        <w:trPr>
          <w:cantSplit/>
          <w:trHeight w:val="20"/>
          <w:jc w:val="center"/>
        </w:trPr>
        <w:tc>
          <w:tcPr>
            <w:tcW w:w="426" w:type="dxa"/>
            <w:vMerge/>
            <w:tcBorders>
              <w:top w:val="nil"/>
              <w:left w:val="nil"/>
              <w:bottom w:val="single" w:sz="8" w:space="0" w:color="000000"/>
              <w:right w:val="nil"/>
            </w:tcBorders>
            <w:hideMark/>
          </w:tcPr>
          <w:p w14:paraId="38A58DEF"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4242E89C" w14:textId="77777777" w:rsidR="00A13B39" w:rsidRPr="006D631C" w:rsidRDefault="00A13B39" w:rsidP="00A13B39">
            <w:pPr>
              <w:spacing w:line="240" w:lineRule="auto"/>
              <w:jc w:val="center"/>
              <w:rPr>
                <w:color w:val="000000"/>
                <w:sz w:val="20"/>
                <w:szCs w:val="20"/>
              </w:rPr>
            </w:pPr>
            <w:r w:rsidRPr="006D631C">
              <w:rPr>
                <w:color w:val="000000"/>
                <w:sz w:val="20"/>
                <w:szCs w:val="20"/>
              </w:rPr>
              <w:t>A-2</w:t>
            </w:r>
          </w:p>
        </w:tc>
        <w:tc>
          <w:tcPr>
            <w:tcW w:w="7655" w:type="dxa"/>
            <w:tcBorders>
              <w:top w:val="nil"/>
              <w:left w:val="nil"/>
              <w:bottom w:val="nil"/>
              <w:right w:val="nil"/>
            </w:tcBorders>
            <w:shd w:val="clear" w:color="000000" w:fill="FFFFFF"/>
            <w:noWrap/>
            <w:hideMark/>
          </w:tcPr>
          <w:p w14:paraId="1BE279E6"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Dioctadecyldimethylammonium</w:t>
            </w:r>
            <w:proofErr w:type="spellEnd"/>
            <w:r w:rsidRPr="006D631C">
              <w:rPr>
                <w:color w:val="000000"/>
                <w:sz w:val="20"/>
                <w:szCs w:val="20"/>
              </w:rPr>
              <w:t xml:space="preserve"> bromide</w:t>
            </w:r>
          </w:p>
        </w:tc>
      </w:tr>
      <w:tr w:rsidR="00A13B39" w:rsidRPr="006D631C" w14:paraId="7800EE0A" w14:textId="77777777" w:rsidTr="00F463F6">
        <w:trPr>
          <w:cantSplit/>
          <w:trHeight w:val="20"/>
          <w:jc w:val="center"/>
        </w:trPr>
        <w:tc>
          <w:tcPr>
            <w:tcW w:w="426" w:type="dxa"/>
            <w:vMerge/>
            <w:tcBorders>
              <w:top w:val="nil"/>
              <w:left w:val="nil"/>
              <w:bottom w:val="single" w:sz="8" w:space="0" w:color="000000"/>
              <w:right w:val="nil"/>
            </w:tcBorders>
            <w:hideMark/>
          </w:tcPr>
          <w:p w14:paraId="5A232B4D"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124118D8" w14:textId="77777777" w:rsidR="00A13B39" w:rsidRPr="006D631C" w:rsidRDefault="00A13B39" w:rsidP="00A13B39">
            <w:pPr>
              <w:spacing w:line="240" w:lineRule="auto"/>
              <w:jc w:val="center"/>
              <w:rPr>
                <w:color w:val="000000"/>
                <w:sz w:val="20"/>
                <w:szCs w:val="20"/>
              </w:rPr>
            </w:pPr>
            <w:r w:rsidRPr="006D631C">
              <w:rPr>
                <w:color w:val="000000"/>
                <w:sz w:val="20"/>
                <w:szCs w:val="20"/>
              </w:rPr>
              <w:t>A-3</w:t>
            </w:r>
          </w:p>
        </w:tc>
        <w:tc>
          <w:tcPr>
            <w:tcW w:w="7655" w:type="dxa"/>
            <w:tcBorders>
              <w:top w:val="nil"/>
              <w:left w:val="nil"/>
              <w:bottom w:val="nil"/>
              <w:right w:val="nil"/>
            </w:tcBorders>
            <w:shd w:val="clear" w:color="000000" w:fill="FFFFFF"/>
            <w:noWrap/>
            <w:hideMark/>
          </w:tcPr>
          <w:p w14:paraId="6662D136"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Dodecyltrimethylammonium</w:t>
            </w:r>
            <w:proofErr w:type="spellEnd"/>
            <w:r w:rsidRPr="006D631C">
              <w:rPr>
                <w:color w:val="000000"/>
                <w:sz w:val="20"/>
                <w:szCs w:val="20"/>
              </w:rPr>
              <w:t xml:space="preserve"> bromide</w:t>
            </w:r>
          </w:p>
        </w:tc>
      </w:tr>
      <w:tr w:rsidR="00A13B39" w:rsidRPr="006D631C" w14:paraId="32E6CFC0" w14:textId="77777777" w:rsidTr="00F463F6">
        <w:trPr>
          <w:cantSplit/>
          <w:trHeight w:val="20"/>
          <w:jc w:val="center"/>
        </w:trPr>
        <w:tc>
          <w:tcPr>
            <w:tcW w:w="426" w:type="dxa"/>
            <w:vMerge/>
            <w:tcBorders>
              <w:top w:val="nil"/>
              <w:left w:val="nil"/>
              <w:bottom w:val="single" w:sz="8" w:space="0" w:color="000000"/>
              <w:right w:val="nil"/>
            </w:tcBorders>
            <w:hideMark/>
          </w:tcPr>
          <w:p w14:paraId="56B8E546"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0E40A126" w14:textId="77777777" w:rsidR="00A13B39" w:rsidRPr="006D631C" w:rsidRDefault="00A13B39" w:rsidP="00A13B39">
            <w:pPr>
              <w:spacing w:line="240" w:lineRule="auto"/>
              <w:jc w:val="center"/>
              <w:rPr>
                <w:color w:val="000000"/>
                <w:sz w:val="20"/>
                <w:szCs w:val="20"/>
              </w:rPr>
            </w:pPr>
            <w:r w:rsidRPr="006D631C">
              <w:rPr>
                <w:color w:val="000000"/>
                <w:sz w:val="20"/>
                <w:szCs w:val="20"/>
              </w:rPr>
              <w:t>A-4</w:t>
            </w:r>
          </w:p>
        </w:tc>
        <w:tc>
          <w:tcPr>
            <w:tcW w:w="7655" w:type="dxa"/>
            <w:tcBorders>
              <w:top w:val="nil"/>
              <w:left w:val="nil"/>
              <w:bottom w:val="nil"/>
              <w:right w:val="nil"/>
            </w:tcBorders>
            <w:shd w:val="clear" w:color="000000" w:fill="FFFFFF"/>
            <w:noWrap/>
            <w:hideMark/>
          </w:tcPr>
          <w:p w14:paraId="6072E5CD"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Tetradecyltrimethylammonium</w:t>
            </w:r>
            <w:proofErr w:type="spellEnd"/>
            <w:r w:rsidRPr="006D631C">
              <w:rPr>
                <w:color w:val="000000"/>
                <w:sz w:val="20"/>
                <w:szCs w:val="20"/>
              </w:rPr>
              <w:t xml:space="preserve"> bromide</w:t>
            </w:r>
          </w:p>
        </w:tc>
      </w:tr>
      <w:tr w:rsidR="00A13B39" w:rsidRPr="006D631C" w14:paraId="659A9A69" w14:textId="77777777" w:rsidTr="00F463F6">
        <w:trPr>
          <w:cantSplit/>
          <w:trHeight w:val="20"/>
          <w:jc w:val="center"/>
        </w:trPr>
        <w:tc>
          <w:tcPr>
            <w:tcW w:w="426" w:type="dxa"/>
            <w:vMerge/>
            <w:tcBorders>
              <w:top w:val="nil"/>
              <w:left w:val="nil"/>
              <w:bottom w:val="single" w:sz="8" w:space="0" w:color="000000"/>
              <w:right w:val="nil"/>
            </w:tcBorders>
            <w:hideMark/>
          </w:tcPr>
          <w:p w14:paraId="5BBCD044"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758EA089" w14:textId="77777777" w:rsidR="00A13B39" w:rsidRPr="006D631C" w:rsidRDefault="00A13B39" w:rsidP="00A13B39">
            <w:pPr>
              <w:spacing w:line="240" w:lineRule="auto"/>
              <w:jc w:val="center"/>
              <w:rPr>
                <w:color w:val="000000"/>
                <w:sz w:val="20"/>
                <w:szCs w:val="20"/>
              </w:rPr>
            </w:pPr>
            <w:r w:rsidRPr="006D631C">
              <w:rPr>
                <w:color w:val="000000"/>
                <w:sz w:val="20"/>
                <w:szCs w:val="20"/>
              </w:rPr>
              <w:t>A-5</w:t>
            </w:r>
          </w:p>
        </w:tc>
        <w:tc>
          <w:tcPr>
            <w:tcW w:w="7655" w:type="dxa"/>
            <w:tcBorders>
              <w:top w:val="nil"/>
              <w:left w:val="nil"/>
              <w:bottom w:val="nil"/>
              <w:right w:val="nil"/>
            </w:tcBorders>
            <w:shd w:val="clear" w:color="000000" w:fill="FFFFFF"/>
            <w:noWrap/>
            <w:hideMark/>
          </w:tcPr>
          <w:p w14:paraId="7BB18DD2"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Cetyltrimethylammonium</w:t>
            </w:r>
            <w:proofErr w:type="spellEnd"/>
            <w:r w:rsidRPr="006D631C">
              <w:rPr>
                <w:color w:val="000000"/>
                <w:sz w:val="20"/>
                <w:szCs w:val="20"/>
              </w:rPr>
              <w:t xml:space="preserve"> bromide</w:t>
            </w:r>
          </w:p>
        </w:tc>
      </w:tr>
      <w:tr w:rsidR="00A13B39" w:rsidRPr="006D631C" w14:paraId="1997DADC" w14:textId="77777777" w:rsidTr="00F463F6">
        <w:trPr>
          <w:cantSplit/>
          <w:trHeight w:val="20"/>
          <w:jc w:val="center"/>
        </w:trPr>
        <w:tc>
          <w:tcPr>
            <w:tcW w:w="426" w:type="dxa"/>
            <w:vMerge/>
            <w:tcBorders>
              <w:top w:val="nil"/>
              <w:left w:val="nil"/>
              <w:bottom w:val="single" w:sz="8" w:space="0" w:color="000000"/>
              <w:right w:val="nil"/>
            </w:tcBorders>
            <w:hideMark/>
          </w:tcPr>
          <w:p w14:paraId="7722A859"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07A1685B" w14:textId="77777777" w:rsidR="00A13B39" w:rsidRPr="006D631C" w:rsidRDefault="00A13B39" w:rsidP="00A13B39">
            <w:pPr>
              <w:spacing w:line="240" w:lineRule="auto"/>
              <w:jc w:val="center"/>
              <w:rPr>
                <w:color w:val="000000"/>
                <w:sz w:val="20"/>
                <w:szCs w:val="20"/>
              </w:rPr>
            </w:pPr>
            <w:r w:rsidRPr="006D631C">
              <w:rPr>
                <w:color w:val="000000"/>
                <w:sz w:val="20"/>
                <w:szCs w:val="20"/>
              </w:rPr>
              <w:t>A-6</w:t>
            </w:r>
          </w:p>
        </w:tc>
        <w:tc>
          <w:tcPr>
            <w:tcW w:w="7655" w:type="dxa"/>
            <w:tcBorders>
              <w:top w:val="nil"/>
              <w:left w:val="nil"/>
              <w:bottom w:val="nil"/>
              <w:right w:val="nil"/>
            </w:tcBorders>
            <w:shd w:val="clear" w:color="000000" w:fill="FFFFFF"/>
            <w:noWrap/>
            <w:hideMark/>
          </w:tcPr>
          <w:p w14:paraId="562D0EA6"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Octadecyltrimethylammonium</w:t>
            </w:r>
            <w:proofErr w:type="spellEnd"/>
            <w:r w:rsidRPr="006D631C">
              <w:rPr>
                <w:color w:val="000000"/>
                <w:sz w:val="20"/>
                <w:szCs w:val="20"/>
              </w:rPr>
              <w:t xml:space="preserve"> bromide</w:t>
            </w:r>
          </w:p>
        </w:tc>
      </w:tr>
      <w:tr w:rsidR="00A13B39" w:rsidRPr="006D631C" w14:paraId="5CFC6DAB" w14:textId="77777777" w:rsidTr="00F463F6">
        <w:trPr>
          <w:cantSplit/>
          <w:trHeight w:val="20"/>
          <w:jc w:val="center"/>
        </w:trPr>
        <w:tc>
          <w:tcPr>
            <w:tcW w:w="426" w:type="dxa"/>
            <w:vMerge/>
            <w:tcBorders>
              <w:top w:val="nil"/>
              <w:left w:val="nil"/>
              <w:bottom w:val="single" w:sz="8" w:space="0" w:color="000000"/>
              <w:right w:val="nil"/>
            </w:tcBorders>
            <w:hideMark/>
          </w:tcPr>
          <w:p w14:paraId="71B3FA9E"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20A2714B" w14:textId="77777777" w:rsidR="00A13B39" w:rsidRPr="006D631C" w:rsidRDefault="00A13B39" w:rsidP="00A13B39">
            <w:pPr>
              <w:spacing w:line="240" w:lineRule="auto"/>
              <w:jc w:val="center"/>
              <w:rPr>
                <w:color w:val="000000"/>
                <w:sz w:val="20"/>
                <w:szCs w:val="20"/>
              </w:rPr>
            </w:pPr>
            <w:r w:rsidRPr="006D631C">
              <w:rPr>
                <w:color w:val="000000"/>
                <w:sz w:val="20"/>
                <w:szCs w:val="20"/>
              </w:rPr>
              <w:t>A-7</w:t>
            </w:r>
          </w:p>
        </w:tc>
        <w:tc>
          <w:tcPr>
            <w:tcW w:w="7655" w:type="dxa"/>
            <w:tcBorders>
              <w:top w:val="nil"/>
              <w:left w:val="nil"/>
              <w:bottom w:val="nil"/>
              <w:right w:val="nil"/>
            </w:tcBorders>
            <w:shd w:val="clear" w:color="000000" w:fill="FFFFFF"/>
            <w:noWrap/>
            <w:hideMark/>
          </w:tcPr>
          <w:p w14:paraId="12E10152" w14:textId="77777777" w:rsidR="00A13B39" w:rsidRPr="006D631C" w:rsidRDefault="00A13B39" w:rsidP="00A13B39">
            <w:pPr>
              <w:spacing w:line="240" w:lineRule="auto"/>
              <w:jc w:val="center"/>
              <w:rPr>
                <w:color w:val="000000"/>
                <w:sz w:val="20"/>
                <w:szCs w:val="20"/>
              </w:rPr>
            </w:pPr>
            <w:r w:rsidRPr="006D631C">
              <w:rPr>
                <w:i/>
                <w:iCs/>
                <w:color w:val="000000"/>
                <w:sz w:val="20"/>
                <w:szCs w:val="20"/>
              </w:rPr>
              <w:t>N,N</w:t>
            </w:r>
            <w:r w:rsidRPr="006D631C">
              <w:rPr>
                <w:color w:val="000000"/>
                <w:sz w:val="20"/>
                <w:szCs w:val="20"/>
              </w:rPr>
              <w:t>-</w:t>
            </w:r>
            <w:proofErr w:type="spellStart"/>
            <w:r w:rsidRPr="006D631C">
              <w:rPr>
                <w:color w:val="000000"/>
                <w:sz w:val="20"/>
                <w:szCs w:val="20"/>
              </w:rPr>
              <w:t>dimethyldodecylamine</w:t>
            </w:r>
            <w:proofErr w:type="spellEnd"/>
            <w:r w:rsidRPr="006D631C">
              <w:rPr>
                <w:color w:val="000000"/>
                <w:sz w:val="20"/>
                <w:szCs w:val="20"/>
              </w:rPr>
              <w:t>-</w:t>
            </w:r>
            <w:r w:rsidRPr="006D631C">
              <w:rPr>
                <w:i/>
                <w:iCs/>
                <w:color w:val="000000"/>
                <w:sz w:val="20"/>
                <w:szCs w:val="20"/>
              </w:rPr>
              <w:t>N</w:t>
            </w:r>
            <w:r w:rsidRPr="006D631C">
              <w:rPr>
                <w:color w:val="000000"/>
                <w:sz w:val="20"/>
                <w:szCs w:val="20"/>
              </w:rPr>
              <w:t>-oxide</w:t>
            </w:r>
          </w:p>
        </w:tc>
      </w:tr>
      <w:tr w:rsidR="00A13B39" w:rsidRPr="006D631C" w14:paraId="11E540C9" w14:textId="77777777" w:rsidTr="00F463F6">
        <w:trPr>
          <w:cantSplit/>
          <w:trHeight w:val="20"/>
          <w:jc w:val="center"/>
        </w:trPr>
        <w:tc>
          <w:tcPr>
            <w:tcW w:w="426" w:type="dxa"/>
            <w:vMerge/>
            <w:tcBorders>
              <w:top w:val="nil"/>
              <w:left w:val="nil"/>
              <w:bottom w:val="single" w:sz="8" w:space="0" w:color="000000"/>
              <w:right w:val="nil"/>
            </w:tcBorders>
            <w:hideMark/>
          </w:tcPr>
          <w:p w14:paraId="5B0832E1"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6494C1F2" w14:textId="77777777" w:rsidR="00A13B39" w:rsidRPr="006D631C" w:rsidRDefault="00A13B39" w:rsidP="00A13B39">
            <w:pPr>
              <w:spacing w:line="240" w:lineRule="auto"/>
              <w:jc w:val="center"/>
              <w:rPr>
                <w:color w:val="000000"/>
                <w:sz w:val="20"/>
                <w:szCs w:val="20"/>
              </w:rPr>
            </w:pPr>
            <w:r w:rsidRPr="006D631C">
              <w:rPr>
                <w:color w:val="000000"/>
                <w:sz w:val="20"/>
                <w:szCs w:val="20"/>
              </w:rPr>
              <w:t>A-8</w:t>
            </w:r>
          </w:p>
        </w:tc>
        <w:tc>
          <w:tcPr>
            <w:tcW w:w="7655" w:type="dxa"/>
            <w:tcBorders>
              <w:top w:val="nil"/>
              <w:left w:val="nil"/>
              <w:bottom w:val="nil"/>
              <w:right w:val="nil"/>
            </w:tcBorders>
            <w:shd w:val="clear" w:color="000000" w:fill="FFFFFF"/>
            <w:noWrap/>
            <w:hideMark/>
          </w:tcPr>
          <w:p w14:paraId="39E14372"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Dimyristoylphosphatidylcholine</w:t>
            </w:r>
            <w:proofErr w:type="spellEnd"/>
          </w:p>
        </w:tc>
      </w:tr>
      <w:tr w:rsidR="00A13B39" w:rsidRPr="006D631C" w14:paraId="188966D5" w14:textId="77777777" w:rsidTr="00F463F6">
        <w:trPr>
          <w:cantSplit/>
          <w:trHeight w:val="20"/>
          <w:jc w:val="center"/>
        </w:trPr>
        <w:tc>
          <w:tcPr>
            <w:tcW w:w="426" w:type="dxa"/>
            <w:vMerge/>
            <w:tcBorders>
              <w:top w:val="nil"/>
              <w:left w:val="nil"/>
              <w:bottom w:val="single" w:sz="8" w:space="0" w:color="000000"/>
              <w:right w:val="nil"/>
            </w:tcBorders>
            <w:hideMark/>
          </w:tcPr>
          <w:p w14:paraId="22F326BA"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652180E3" w14:textId="77777777" w:rsidR="00A13B39" w:rsidRPr="006D631C" w:rsidRDefault="00A13B39" w:rsidP="00A13B39">
            <w:pPr>
              <w:spacing w:line="240" w:lineRule="auto"/>
              <w:jc w:val="center"/>
              <w:rPr>
                <w:color w:val="000000"/>
                <w:sz w:val="20"/>
                <w:szCs w:val="20"/>
              </w:rPr>
            </w:pPr>
            <w:r w:rsidRPr="006D631C">
              <w:rPr>
                <w:color w:val="000000"/>
                <w:sz w:val="20"/>
                <w:szCs w:val="20"/>
              </w:rPr>
              <w:t>A-9</w:t>
            </w:r>
          </w:p>
        </w:tc>
        <w:tc>
          <w:tcPr>
            <w:tcW w:w="7655" w:type="dxa"/>
            <w:tcBorders>
              <w:top w:val="nil"/>
              <w:left w:val="nil"/>
              <w:bottom w:val="nil"/>
              <w:right w:val="nil"/>
            </w:tcBorders>
            <w:shd w:val="clear" w:color="000000" w:fill="FFFFFF"/>
            <w:noWrap/>
            <w:hideMark/>
          </w:tcPr>
          <w:p w14:paraId="515A8411" w14:textId="77777777" w:rsidR="00A13B39" w:rsidRPr="006D631C" w:rsidRDefault="00A13B39" w:rsidP="00A13B39">
            <w:pPr>
              <w:spacing w:line="240" w:lineRule="auto"/>
              <w:jc w:val="center"/>
              <w:rPr>
                <w:color w:val="000000"/>
                <w:sz w:val="20"/>
                <w:szCs w:val="20"/>
              </w:rPr>
            </w:pPr>
            <w:r w:rsidRPr="006D631C">
              <w:rPr>
                <w:color w:val="000000"/>
                <w:sz w:val="20"/>
                <w:szCs w:val="20"/>
              </w:rPr>
              <w:t>1-Decyl-3-methylimidazolium Chloride</w:t>
            </w:r>
          </w:p>
        </w:tc>
      </w:tr>
      <w:tr w:rsidR="00A13B39" w:rsidRPr="006D631C" w14:paraId="7B9E440F" w14:textId="77777777" w:rsidTr="00F463F6">
        <w:trPr>
          <w:cantSplit/>
          <w:trHeight w:val="20"/>
          <w:jc w:val="center"/>
        </w:trPr>
        <w:tc>
          <w:tcPr>
            <w:tcW w:w="426" w:type="dxa"/>
            <w:vMerge/>
            <w:tcBorders>
              <w:top w:val="nil"/>
              <w:left w:val="nil"/>
              <w:bottom w:val="single" w:sz="8" w:space="0" w:color="000000"/>
              <w:right w:val="nil"/>
            </w:tcBorders>
            <w:hideMark/>
          </w:tcPr>
          <w:p w14:paraId="6A3AA702"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6725E951" w14:textId="77777777" w:rsidR="00A13B39" w:rsidRPr="006D631C" w:rsidRDefault="00A13B39" w:rsidP="00A13B39">
            <w:pPr>
              <w:spacing w:line="240" w:lineRule="auto"/>
              <w:jc w:val="center"/>
              <w:rPr>
                <w:color w:val="000000"/>
                <w:sz w:val="20"/>
                <w:szCs w:val="20"/>
              </w:rPr>
            </w:pPr>
            <w:r w:rsidRPr="006D631C">
              <w:rPr>
                <w:color w:val="000000"/>
                <w:sz w:val="20"/>
                <w:szCs w:val="20"/>
              </w:rPr>
              <w:t>A-10</w:t>
            </w:r>
          </w:p>
        </w:tc>
        <w:tc>
          <w:tcPr>
            <w:tcW w:w="7655" w:type="dxa"/>
            <w:tcBorders>
              <w:top w:val="nil"/>
              <w:left w:val="nil"/>
              <w:bottom w:val="nil"/>
              <w:right w:val="nil"/>
            </w:tcBorders>
            <w:shd w:val="clear" w:color="000000" w:fill="FFFFFF"/>
            <w:noWrap/>
            <w:hideMark/>
          </w:tcPr>
          <w:p w14:paraId="3474B05A" w14:textId="77777777" w:rsidR="00A13B39" w:rsidRPr="006D631C" w:rsidRDefault="00A13B39" w:rsidP="00A13B39">
            <w:pPr>
              <w:spacing w:line="240" w:lineRule="auto"/>
              <w:jc w:val="center"/>
              <w:rPr>
                <w:color w:val="000000"/>
                <w:sz w:val="20"/>
                <w:szCs w:val="20"/>
              </w:rPr>
            </w:pPr>
            <w:r w:rsidRPr="006D631C">
              <w:rPr>
                <w:color w:val="000000"/>
                <w:sz w:val="20"/>
                <w:szCs w:val="20"/>
              </w:rPr>
              <w:t>Sodium dodecyl sulfate</w:t>
            </w:r>
          </w:p>
        </w:tc>
      </w:tr>
      <w:tr w:rsidR="00A13B39" w:rsidRPr="006D631C" w14:paraId="3C17B5B9" w14:textId="77777777" w:rsidTr="00F463F6">
        <w:trPr>
          <w:cantSplit/>
          <w:trHeight w:val="20"/>
          <w:jc w:val="center"/>
        </w:trPr>
        <w:tc>
          <w:tcPr>
            <w:tcW w:w="426" w:type="dxa"/>
            <w:vMerge/>
            <w:tcBorders>
              <w:top w:val="nil"/>
              <w:left w:val="nil"/>
              <w:bottom w:val="single" w:sz="8" w:space="0" w:color="000000"/>
              <w:right w:val="nil"/>
            </w:tcBorders>
            <w:hideMark/>
          </w:tcPr>
          <w:p w14:paraId="01A5EBB7"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55506D1F" w14:textId="77777777" w:rsidR="00A13B39" w:rsidRPr="006D631C" w:rsidRDefault="00A13B39" w:rsidP="00A13B39">
            <w:pPr>
              <w:spacing w:line="240" w:lineRule="auto"/>
              <w:jc w:val="center"/>
              <w:rPr>
                <w:color w:val="000000"/>
                <w:sz w:val="20"/>
                <w:szCs w:val="20"/>
              </w:rPr>
            </w:pPr>
            <w:r w:rsidRPr="006D631C">
              <w:rPr>
                <w:color w:val="000000"/>
                <w:sz w:val="20"/>
                <w:szCs w:val="20"/>
              </w:rPr>
              <w:t>A-11</w:t>
            </w:r>
          </w:p>
        </w:tc>
        <w:tc>
          <w:tcPr>
            <w:tcW w:w="7655" w:type="dxa"/>
            <w:tcBorders>
              <w:top w:val="nil"/>
              <w:left w:val="nil"/>
              <w:bottom w:val="nil"/>
              <w:right w:val="nil"/>
            </w:tcBorders>
            <w:shd w:val="clear" w:color="000000" w:fill="FFFFFF"/>
            <w:noWrap/>
            <w:hideMark/>
          </w:tcPr>
          <w:p w14:paraId="09772D76"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Cetyltrimethylammonium</w:t>
            </w:r>
            <w:proofErr w:type="spellEnd"/>
            <w:r w:rsidRPr="006D631C">
              <w:rPr>
                <w:color w:val="000000"/>
                <w:sz w:val="20"/>
                <w:szCs w:val="20"/>
              </w:rPr>
              <w:t xml:space="preserve"> tartrate</w:t>
            </w:r>
          </w:p>
        </w:tc>
      </w:tr>
      <w:tr w:rsidR="00A13B39" w:rsidRPr="006D631C" w14:paraId="21FB509C" w14:textId="77777777" w:rsidTr="00F463F6">
        <w:trPr>
          <w:cantSplit/>
          <w:trHeight w:val="20"/>
          <w:jc w:val="center"/>
        </w:trPr>
        <w:tc>
          <w:tcPr>
            <w:tcW w:w="426" w:type="dxa"/>
            <w:vMerge/>
            <w:tcBorders>
              <w:top w:val="nil"/>
              <w:left w:val="nil"/>
              <w:bottom w:val="single" w:sz="8" w:space="0" w:color="000000"/>
              <w:right w:val="nil"/>
            </w:tcBorders>
            <w:hideMark/>
          </w:tcPr>
          <w:p w14:paraId="74A35A56"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39CD972B" w14:textId="77777777" w:rsidR="00A13B39" w:rsidRPr="006D631C" w:rsidRDefault="00A13B39" w:rsidP="00A13B39">
            <w:pPr>
              <w:spacing w:line="240" w:lineRule="auto"/>
              <w:jc w:val="center"/>
              <w:rPr>
                <w:color w:val="000000"/>
                <w:sz w:val="20"/>
                <w:szCs w:val="20"/>
              </w:rPr>
            </w:pPr>
            <w:r w:rsidRPr="006D631C">
              <w:rPr>
                <w:color w:val="000000"/>
                <w:sz w:val="20"/>
                <w:szCs w:val="20"/>
              </w:rPr>
              <w:t>A-12</w:t>
            </w:r>
          </w:p>
        </w:tc>
        <w:tc>
          <w:tcPr>
            <w:tcW w:w="7655" w:type="dxa"/>
            <w:tcBorders>
              <w:top w:val="nil"/>
              <w:left w:val="nil"/>
              <w:bottom w:val="nil"/>
              <w:right w:val="nil"/>
            </w:tcBorders>
            <w:shd w:val="clear" w:color="000000" w:fill="FFFFFF"/>
            <w:noWrap/>
            <w:hideMark/>
          </w:tcPr>
          <w:p w14:paraId="1F2D2543"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Dioctyl</w:t>
            </w:r>
            <w:proofErr w:type="spellEnd"/>
            <w:r w:rsidRPr="006D631C">
              <w:rPr>
                <w:color w:val="000000"/>
                <w:sz w:val="20"/>
                <w:szCs w:val="20"/>
              </w:rPr>
              <w:t xml:space="preserve"> sodium sulfosuccinate</w:t>
            </w:r>
          </w:p>
        </w:tc>
      </w:tr>
      <w:tr w:rsidR="00A13B39" w:rsidRPr="006D631C" w14:paraId="763709BE" w14:textId="77777777" w:rsidTr="00F463F6">
        <w:trPr>
          <w:cantSplit/>
          <w:trHeight w:val="20"/>
          <w:jc w:val="center"/>
        </w:trPr>
        <w:tc>
          <w:tcPr>
            <w:tcW w:w="426" w:type="dxa"/>
            <w:vMerge/>
            <w:tcBorders>
              <w:top w:val="nil"/>
              <w:left w:val="nil"/>
              <w:bottom w:val="single" w:sz="8" w:space="0" w:color="000000"/>
              <w:right w:val="nil"/>
            </w:tcBorders>
            <w:hideMark/>
          </w:tcPr>
          <w:p w14:paraId="41503F46"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3E9828A9" w14:textId="77777777" w:rsidR="00A13B39" w:rsidRPr="006D631C" w:rsidRDefault="00A13B39" w:rsidP="00A13B39">
            <w:pPr>
              <w:spacing w:line="240" w:lineRule="auto"/>
              <w:jc w:val="center"/>
              <w:rPr>
                <w:color w:val="000000"/>
                <w:sz w:val="20"/>
                <w:szCs w:val="20"/>
              </w:rPr>
            </w:pPr>
            <w:r w:rsidRPr="006D631C">
              <w:rPr>
                <w:color w:val="000000"/>
                <w:sz w:val="20"/>
                <w:szCs w:val="20"/>
              </w:rPr>
              <w:t>A-13</w:t>
            </w:r>
          </w:p>
        </w:tc>
        <w:tc>
          <w:tcPr>
            <w:tcW w:w="7655" w:type="dxa"/>
            <w:tcBorders>
              <w:top w:val="nil"/>
              <w:left w:val="nil"/>
              <w:bottom w:val="nil"/>
              <w:right w:val="nil"/>
            </w:tcBorders>
            <w:shd w:val="clear" w:color="000000" w:fill="FFFFFF"/>
            <w:noWrap/>
            <w:hideMark/>
          </w:tcPr>
          <w:p w14:paraId="6E5CB921"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Brij</w:t>
            </w:r>
            <w:proofErr w:type="spellEnd"/>
            <w:r w:rsidRPr="006D631C">
              <w:rPr>
                <w:color w:val="000000"/>
                <w:sz w:val="20"/>
                <w:szCs w:val="20"/>
              </w:rPr>
              <w:t xml:space="preserve"> 52</w:t>
            </w:r>
          </w:p>
        </w:tc>
      </w:tr>
      <w:tr w:rsidR="00A13B39" w:rsidRPr="006D631C" w14:paraId="32B46EFC" w14:textId="77777777" w:rsidTr="00F463F6">
        <w:trPr>
          <w:cantSplit/>
          <w:trHeight w:val="20"/>
          <w:jc w:val="center"/>
        </w:trPr>
        <w:tc>
          <w:tcPr>
            <w:tcW w:w="426" w:type="dxa"/>
            <w:vMerge/>
            <w:tcBorders>
              <w:top w:val="nil"/>
              <w:left w:val="nil"/>
              <w:bottom w:val="single" w:sz="8" w:space="0" w:color="000000"/>
              <w:right w:val="nil"/>
            </w:tcBorders>
            <w:hideMark/>
          </w:tcPr>
          <w:p w14:paraId="387DA773"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478DB022" w14:textId="77777777" w:rsidR="00A13B39" w:rsidRPr="006D631C" w:rsidRDefault="00A13B39" w:rsidP="00A13B39">
            <w:pPr>
              <w:spacing w:line="240" w:lineRule="auto"/>
              <w:jc w:val="center"/>
              <w:rPr>
                <w:color w:val="000000"/>
                <w:sz w:val="20"/>
                <w:szCs w:val="20"/>
              </w:rPr>
            </w:pPr>
            <w:r w:rsidRPr="006D631C">
              <w:rPr>
                <w:color w:val="000000"/>
                <w:sz w:val="20"/>
                <w:szCs w:val="20"/>
              </w:rPr>
              <w:t>A-14</w:t>
            </w:r>
          </w:p>
        </w:tc>
        <w:tc>
          <w:tcPr>
            <w:tcW w:w="7655" w:type="dxa"/>
            <w:tcBorders>
              <w:top w:val="nil"/>
              <w:left w:val="nil"/>
              <w:bottom w:val="nil"/>
              <w:right w:val="nil"/>
            </w:tcBorders>
            <w:shd w:val="clear" w:color="000000" w:fill="FFFFFF"/>
            <w:noWrap/>
            <w:hideMark/>
          </w:tcPr>
          <w:p w14:paraId="21AADB86"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Brij</w:t>
            </w:r>
            <w:proofErr w:type="spellEnd"/>
            <w:r w:rsidRPr="006D631C">
              <w:rPr>
                <w:color w:val="000000"/>
                <w:sz w:val="20"/>
                <w:szCs w:val="20"/>
              </w:rPr>
              <w:t xml:space="preserve"> 56</w:t>
            </w:r>
          </w:p>
        </w:tc>
      </w:tr>
      <w:tr w:rsidR="00A13B39" w:rsidRPr="006D631C" w14:paraId="096C15B3" w14:textId="77777777" w:rsidTr="00F463F6">
        <w:trPr>
          <w:cantSplit/>
          <w:trHeight w:val="20"/>
          <w:jc w:val="center"/>
        </w:trPr>
        <w:tc>
          <w:tcPr>
            <w:tcW w:w="426" w:type="dxa"/>
            <w:vMerge/>
            <w:tcBorders>
              <w:top w:val="nil"/>
              <w:left w:val="nil"/>
              <w:bottom w:val="single" w:sz="8" w:space="0" w:color="000000"/>
              <w:right w:val="nil"/>
            </w:tcBorders>
            <w:hideMark/>
          </w:tcPr>
          <w:p w14:paraId="4F128214"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14150C84" w14:textId="77777777" w:rsidR="00A13B39" w:rsidRPr="006D631C" w:rsidRDefault="00A13B39" w:rsidP="00A13B39">
            <w:pPr>
              <w:spacing w:line="240" w:lineRule="auto"/>
              <w:jc w:val="center"/>
              <w:rPr>
                <w:color w:val="000000"/>
                <w:sz w:val="20"/>
                <w:szCs w:val="20"/>
              </w:rPr>
            </w:pPr>
            <w:r w:rsidRPr="006D631C">
              <w:rPr>
                <w:color w:val="000000"/>
                <w:sz w:val="20"/>
                <w:szCs w:val="20"/>
              </w:rPr>
              <w:t>A-15</w:t>
            </w:r>
          </w:p>
        </w:tc>
        <w:tc>
          <w:tcPr>
            <w:tcW w:w="7655" w:type="dxa"/>
            <w:tcBorders>
              <w:top w:val="nil"/>
              <w:left w:val="nil"/>
              <w:bottom w:val="nil"/>
              <w:right w:val="nil"/>
            </w:tcBorders>
            <w:shd w:val="clear" w:color="000000" w:fill="FFFFFF"/>
            <w:noWrap/>
            <w:hideMark/>
          </w:tcPr>
          <w:p w14:paraId="068DCFDD" w14:textId="77777777" w:rsidR="00A13B39" w:rsidRPr="006D631C" w:rsidRDefault="00A13B39" w:rsidP="00A13B39">
            <w:pPr>
              <w:spacing w:line="240" w:lineRule="auto"/>
              <w:jc w:val="center"/>
              <w:rPr>
                <w:color w:val="000000"/>
                <w:sz w:val="20"/>
                <w:szCs w:val="20"/>
              </w:rPr>
            </w:pPr>
            <w:proofErr w:type="spellStart"/>
            <w:r w:rsidRPr="006D631C">
              <w:rPr>
                <w:color w:val="000000"/>
                <w:sz w:val="20"/>
                <w:szCs w:val="20"/>
              </w:rPr>
              <w:t>Brij</w:t>
            </w:r>
            <w:proofErr w:type="spellEnd"/>
            <w:r w:rsidRPr="006D631C">
              <w:rPr>
                <w:color w:val="000000"/>
                <w:sz w:val="20"/>
                <w:szCs w:val="20"/>
              </w:rPr>
              <w:t xml:space="preserve"> 58</w:t>
            </w:r>
          </w:p>
        </w:tc>
      </w:tr>
      <w:tr w:rsidR="00A13B39" w:rsidRPr="006D631C" w14:paraId="634CC84A" w14:textId="77777777" w:rsidTr="00F463F6">
        <w:trPr>
          <w:cantSplit/>
          <w:trHeight w:val="20"/>
          <w:jc w:val="center"/>
        </w:trPr>
        <w:tc>
          <w:tcPr>
            <w:tcW w:w="426" w:type="dxa"/>
            <w:vMerge/>
            <w:tcBorders>
              <w:top w:val="nil"/>
              <w:left w:val="nil"/>
              <w:bottom w:val="single" w:sz="8" w:space="0" w:color="000000"/>
              <w:right w:val="nil"/>
            </w:tcBorders>
            <w:hideMark/>
          </w:tcPr>
          <w:p w14:paraId="1289214A"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31CEBC45" w14:textId="77777777" w:rsidR="00A13B39" w:rsidRPr="006D631C" w:rsidRDefault="00A13B39" w:rsidP="00A13B39">
            <w:pPr>
              <w:spacing w:line="240" w:lineRule="auto"/>
              <w:jc w:val="center"/>
              <w:rPr>
                <w:color w:val="000000"/>
                <w:sz w:val="20"/>
                <w:szCs w:val="20"/>
              </w:rPr>
            </w:pPr>
            <w:r w:rsidRPr="006D631C">
              <w:rPr>
                <w:color w:val="000000"/>
                <w:sz w:val="20"/>
                <w:szCs w:val="20"/>
              </w:rPr>
              <w:t>A-16</w:t>
            </w:r>
          </w:p>
        </w:tc>
        <w:tc>
          <w:tcPr>
            <w:tcW w:w="7655" w:type="dxa"/>
            <w:tcBorders>
              <w:top w:val="nil"/>
              <w:left w:val="nil"/>
              <w:bottom w:val="nil"/>
              <w:right w:val="nil"/>
            </w:tcBorders>
            <w:shd w:val="clear" w:color="000000" w:fill="FFFFFF"/>
            <w:noWrap/>
            <w:hideMark/>
          </w:tcPr>
          <w:p w14:paraId="6319793B" w14:textId="77777777" w:rsidR="00A13B39" w:rsidRPr="006D631C" w:rsidRDefault="00A13B39" w:rsidP="00A13B39">
            <w:pPr>
              <w:spacing w:line="240" w:lineRule="auto"/>
              <w:jc w:val="center"/>
              <w:rPr>
                <w:color w:val="000000"/>
                <w:sz w:val="20"/>
                <w:szCs w:val="20"/>
              </w:rPr>
            </w:pPr>
            <w:r w:rsidRPr="006D631C">
              <w:rPr>
                <w:color w:val="000000"/>
                <w:sz w:val="20"/>
                <w:szCs w:val="20"/>
              </w:rPr>
              <w:t>Dodecyl poly(</w:t>
            </w:r>
            <w:proofErr w:type="spellStart"/>
            <w:r w:rsidRPr="006D631C">
              <w:rPr>
                <w:color w:val="000000"/>
                <w:sz w:val="20"/>
                <w:szCs w:val="20"/>
              </w:rPr>
              <w:t>ethyleneglycol</w:t>
            </w:r>
            <w:proofErr w:type="spellEnd"/>
            <w:r w:rsidRPr="006D631C">
              <w:rPr>
                <w:color w:val="000000"/>
                <w:sz w:val="20"/>
                <w:szCs w:val="20"/>
              </w:rPr>
              <w:t>) ether</w:t>
            </w:r>
          </w:p>
        </w:tc>
      </w:tr>
      <w:tr w:rsidR="00A13B39" w:rsidRPr="006D631C" w14:paraId="45CC295F" w14:textId="77777777" w:rsidTr="00F463F6">
        <w:trPr>
          <w:cantSplit/>
          <w:trHeight w:val="20"/>
          <w:jc w:val="center"/>
        </w:trPr>
        <w:tc>
          <w:tcPr>
            <w:tcW w:w="426" w:type="dxa"/>
            <w:vMerge/>
            <w:tcBorders>
              <w:top w:val="nil"/>
              <w:left w:val="nil"/>
              <w:bottom w:val="single" w:sz="8" w:space="0" w:color="000000"/>
              <w:right w:val="nil"/>
            </w:tcBorders>
            <w:hideMark/>
          </w:tcPr>
          <w:p w14:paraId="13ACA264"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60DE9232" w14:textId="77777777" w:rsidR="00A13B39" w:rsidRPr="006D631C" w:rsidRDefault="00A13B39" w:rsidP="00A13B39">
            <w:pPr>
              <w:spacing w:line="240" w:lineRule="auto"/>
              <w:jc w:val="center"/>
              <w:rPr>
                <w:color w:val="000000"/>
                <w:sz w:val="20"/>
                <w:szCs w:val="20"/>
              </w:rPr>
            </w:pPr>
            <w:r w:rsidRPr="006D631C">
              <w:rPr>
                <w:color w:val="000000"/>
                <w:sz w:val="20"/>
                <w:szCs w:val="20"/>
              </w:rPr>
              <w:t>A-17</w:t>
            </w:r>
          </w:p>
        </w:tc>
        <w:tc>
          <w:tcPr>
            <w:tcW w:w="7655" w:type="dxa"/>
            <w:tcBorders>
              <w:top w:val="nil"/>
              <w:left w:val="nil"/>
              <w:bottom w:val="nil"/>
              <w:right w:val="nil"/>
            </w:tcBorders>
            <w:shd w:val="clear" w:color="000000" w:fill="FFFFFF"/>
            <w:noWrap/>
            <w:hideMark/>
          </w:tcPr>
          <w:p w14:paraId="559B6706" w14:textId="77777777" w:rsidR="00A13B39" w:rsidRPr="006D631C" w:rsidRDefault="00A13B39" w:rsidP="00A13B39">
            <w:pPr>
              <w:spacing w:line="240" w:lineRule="auto"/>
              <w:jc w:val="center"/>
              <w:rPr>
                <w:color w:val="000000"/>
                <w:sz w:val="20"/>
                <w:szCs w:val="20"/>
              </w:rPr>
            </w:pPr>
            <w:r w:rsidRPr="006D631C">
              <w:rPr>
                <w:color w:val="000000"/>
                <w:sz w:val="20"/>
                <w:szCs w:val="20"/>
              </w:rPr>
              <w:t>PS-</w:t>
            </w:r>
            <w:r w:rsidRPr="006D631C">
              <w:rPr>
                <w:i/>
                <w:iCs/>
                <w:color w:val="000000"/>
                <w:sz w:val="20"/>
                <w:szCs w:val="20"/>
              </w:rPr>
              <w:t>b</w:t>
            </w:r>
            <w:r w:rsidRPr="006D631C">
              <w:rPr>
                <w:color w:val="000000"/>
                <w:sz w:val="20"/>
                <w:szCs w:val="20"/>
              </w:rPr>
              <w:t>-PEO (SE10/10)</w:t>
            </w:r>
          </w:p>
        </w:tc>
      </w:tr>
      <w:tr w:rsidR="00A13B39" w:rsidRPr="006D631C" w14:paraId="0A9FEEAA" w14:textId="77777777" w:rsidTr="00F463F6">
        <w:trPr>
          <w:cantSplit/>
          <w:trHeight w:val="20"/>
          <w:jc w:val="center"/>
        </w:trPr>
        <w:tc>
          <w:tcPr>
            <w:tcW w:w="426" w:type="dxa"/>
            <w:vMerge/>
            <w:tcBorders>
              <w:top w:val="nil"/>
              <w:left w:val="nil"/>
              <w:bottom w:val="single" w:sz="8" w:space="0" w:color="000000"/>
              <w:right w:val="nil"/>
            </w:tcBorders>
            <w:hideMark/>
          </w:tcPr>
          <w:p w14:paraId="445BF355"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1692EB35" w14:textId="77777777" w:rsidR="00A13B39" w:rsidRPr="006D631C" w:rsidRDefault="00A13B39" w:rsidP="00A13B39">
            <w:pPr>
              <w:spacing w:line="240" w:lineRule="auto"/>
              <w:jc w:val="center"/>
              <w:rPr>
                <w:color w:val="000000"/>
                <w:sz w:val="20"/>
                <w:szCs w:val="20"/>
              </w:rPr>
            </w:pPr>
            <w:r w:rsidRPr="006D631C">
              <w:rPr>
                <w:color w:val="000000"/>
                <w:sz w:val="20"/>
                <w:szCs w:val="20"/>
              </w:rPr>
              <w:t>A-18</w:t>
            </w:r>
          </w:p>
        </w:tc>
        <w:tc>
          <w:tcPr>
            <w:tcW w:w="7655" w:type="dxa"/>
            <w:tcBorders>
              <w:top w:val="nil"/>
              <w:left w:val="nil"/>
              <w:bottom w:val="nil"/>
              <w:right w:val="nil"/>
            </w:tcBorders>
            <w:shd w:val="clear" w:color="000000" w:fill="FFFFFF"/>
            <w:noWrap/>
            <w:hideMark/>
          </w:tcPr>
          <w:p w14:paraId="1D56163D" w14:textId="77777777" w:rsidR="00A13B39" w:rsidRPr="006D631C" w:rsidRDefault="00A13B39" w:rsidP="00A13B39">
            <w:pPr>
              <w:spacing w:line="240" w:lineRule="auto"/>
              <w:jc w:val="center"/>
              <w:rPr>
                <w:color w:val="000000"/>
                <w:sz w:val="20"/>
                <w:szCs w:val="20"/>
              </w:rPr>
            </w:pPr>
            <w:r w:rsidRPr="006D631C">
              <w:rPr>
                <w:color w:val="000000"/>
                <w:sz w:val="20"/>
                <w:szCs w:val="20"/>
              </w:rPr>
              <w:t>Poly(</w:t>
            </w:r>
            <w:proofErr w:type="spellStart"/>
            <w:r w:rsidRPr="006D631C">
              <w:rPr>
                <w:color w:val="000000"/>
                <w:sz w:val="20"/>
                <w:szCs w:val="20"/>
              </w:rPr>
              <w:t>oxyethylene</w:t>
            </w:r>
            <w:proofErr w:type="spellEnd"/>
            <w:r w:rsidRPr="006D631C">
              <w:rPr>
                <w:color w:val="000000"/>
                <w:sz w:val="20"/>
                <w:szCs w:val="20"/>
              </w:rPr>
              <w:t xml:space="preserve">) </w:t>
            </w:r>
            <w:proofErr w:type="spellStart"/>
            <w:r w:rsidRPr="006D631C">
              <w:rPr>
                <w:color w:val="000000"/>
                <w:sz w:val="20"/>
                <w:szCs w:val="20"/>
              </w:rPr>
              <w:t>oleyl</w:t>
            </w:r>
            <w:proofErr w:type="spellEnd"/>
            <w:r w:rsidRPr="006D631C">
              <w:rPr>
                <w:color w:val="000000"/>
                <w:sz w:val="20"/>
                <w:szCs w:val="20"/>
              </w:rPr>
              <w:t xml:space="preserve"> ether</w:t>
            </w:r>
          </w:p>
        </w:tc>
      </w:tr>
      <w:tr w:rsidR="00A13B39" w:rsidRPr="006D631C" w14:paraId="0F7F4B05" w14:textId="77777777" w:rsidTr="00F463F6">
        <w:trPr>
          <w:cantSplit/>
          <w:trHeight w:val="20"/>
          <w:jc w:val="center"/>
        </w:trPr>
        <w:tc>
          <w:tcPr>
            <w:tcW w:w="426" w:type="dxa"/>
            <w:vMerge/>
            <w:tcBorders>
              <w:top w:val="nil"/>
              <w:left w:val="nil"/>
              <w:bottom w:val="single" w:sz="8" w:space="0" w:color="000000"/>
              <w:right w:val="nil"/>
            </w:tcBorders>
            <w:hideMark/>
          </w:tcPr>
          <w:p w14:paraId="3493B4B1"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hideMark/>
          </w:tcPr>
          <w:p w14:paraId="2187C857" w14:textId="77777777" w:rsidR="00A13B39" w:rsidRPr="006D631C" w:rsidRDefault="00A13B39" w:rsidP="00A13B39">
            <w:pPr>
              <w:spacing w:line="240" w:lineRule="auto"/>
              <w:jc w:val="center"/>
              <w:rPr>
                <w:color w:val="000000"/>
                <w:sz w:val="20"/>
                <w:szCs w:val="20"/>
              </w:rPr>
            </w:pPr>
            <w:r w:rsidRPr="006D631C">
              <w:rPr>
                <w:color w:val="000000"/>
                <w:sz w:val="20"/>
                <w:szCs w:val="20"/>
              </w:rPr>
              <w:t>A-19</w:t>
            </w:r>
          </w:p>
        </w:tc>
        <w:tc>
          <w:tcPr>
            <w:tcW w:w="7655" w:type="dxa"/>
            <w:tcBorders>
              <w:top w:val="nil"/>
              <w:left w:val="nil"/>
              <w:bottom w:val="nil"/>
              <w:right w:val="nil"/>
            </w:tcBorders>
            <w:shd w:val="clear" w:color="000000" w:fill="FFFFFF"/>
            <w:noWrap/>
            <w:hideMark/>
          </w:tcPr>
          <w:p w14:paraId="711D6381" w14:textId="77777777" w:rsidR="00A13B39" w:rsidRPr="006D631C" w:rsidRDefault="00A13B39" w:rsidP="00A13B39">
            <w:pPr>
              <w:spacing w:line="240" w:lineRule="auto"/>
              <w:jc w:val="center"/>
              <w:rPr>
                <w:color w:val="000000"/>
                <w:sz w:val="20"/>
                <w:szCs w:val="20"/>
              </w:rPr>
            </w:pPr>
            <w:r w:rsidRPr="006D631C">
              <w:rPr>
                <w:color w:val="000000"/>
                <w:sz w:val="20"/>
                <w:szCs w:val="20"/>
              </w:rPr>
              <w:t>Pluronic</w:t>
            </w:r>
          </w:p>
        </w:tc>
      </w:tr>
      <w:tr w:rsidR="00A13B39" w:rsidRPr="006D631C" w14:paraId="47FCC89D" w14:textId="77777777" w:rsidTr="007C61E4">
        <w:trPr>
          <w:cantSplit/>
          <w:trHeight w:val="20"/>
          <w:jc w:val="center"/>
        </w:trPr>
        <w:tc>
          <w:tcPr>
            <w:tcW w:w="426" w:type="dxa"/>
            <w:vMerge/>
            <w:tcBorders>
              <w:top w:val="nil"/>
              <w:left w:val="nil"/>
              <w:bottom w:val="single" w:sz="4" w:space="0" w:color="auto"/>
              <w:right w:val="nil"/>
            </w:tcBorders>
            <w:hideMark/>
          </w:tcPr>
          <w:p w14:paraId="216DBBBC" w14:textId="77777777" w:rsidR="00A13B39" w:rsidRPr="006D631C" w:rsidRDefault="00A13B39" w:rsidP="00A13B39">
            <w:pPr>
              <w:spacing w:line="240" w:lineRule="auto"/>
              <w:jc w:val="center"/>
              <w:rPr>
                <w:b/>
                <w:bCs/>
                <w:color w:val="000000"/>
                <w:sz w:val="20"/>
                <w:szCs w:val="20"/>
              </w:rPr>
            </w:pPr>
          </w:p>
        </w:tc>
        <w:tc>
          <w:tcPr>
            <w:tcW w:w="850" w:type="dxa"/>
            <w:tcBorders>
              <w:top w:val="nil"/>
              <w:left w:val="nil"/>
              <w:bottom w:val="single" w:sz="4" w:space="0" w:color="auto"/>
              <w:right w:val="nil"/>
            </w:tcBorders>
            <w:shd w:val="clear" w:color="000000" w:fill="FFFFFF"/>
            <w:noWrap/>
            <w:hideMark/>
          </w:tcPr>
          <w:p w14:paraId="09C7E8A0" w14:textId="77777777" w:rsidR="00A13B39" w:rsidRPr="006D631C" w:rsidRDefault="00A13B39" w:rsidP="00A13B39">
            <w:pPr>
              <w:spacing w:line="240" w:lineRule="auto"/>
              <w:jc w:val="center"/>
              <w:rPr>
                <w:color w:val="000000"/>
                <w:sz w:val="20"/>
                <w:szCs w:val="20"/>
              </w:rPr>
            </w:pPr>
            <w:r w:rsidRPr="006D631C">
              <w:rPr>
                <w:color w:val="000000"/>
                <w:sz w:val="20"/>
                <w:szCs w:val="20"/>
              </w:rPr>
              <w:t>A-20</w:t>
            </w:r>
          </w:p>
        </w:tc>
        <w:tc>
          <w:tcPr>
            <w:tcW w:w="7655" w:type="dxa"/>
            <w:tcBorders>
              <w:top w:val="nil"/>
              <w:left w:val="nil"/>
              <w:bottom w:val="single" w:sz="4" w:space="0" w:color="auto"/>
              <w:right w:val="nil"/>
            </w:tcBorders>
            <w:shd w:val="clear" w:color="000000" w:fill="FFFFFF"/>
            <w:noWrap/>
            <w:hideMark/>
          </w:tcPr>
          <w:p w14:paraId="553406FC" w14:textId="77777777" w:rsidR="00A13B39" w:rsidRPr="006D631C" w:rsidRDefault="00A13B39" w:rsidP="00A13B39">
            <w:pPr>
              <w:spacing w:line="240" w:lineRule="auto"/>
              <w:jc w:val="center"/>
              <w:rPr>
                <w:color w:val="000000"/>
                <w:sz w:val="20"/>
                <w:szCs w:val="20"/>
              </w:rPr>
            </w:pPr>
            <w:r w:rsidRPr="006D631C">
              <w:rPr>
                <w:color w:val="000000"/>
                <w:sz w:val="20"/>
                <w:szCs w:val="20"/>
              </w:rPr>
              <w:t>Tween 60</w:t>
            </w:r>
          </w:p>
        </w:tc>
      </w:tr>
      <w:tr w:rsidR="005E1FCD" w:rsidRPr="006D631C" w14:paraId="27B4706E" w14:textId="77777777" w:rsidTr="00F463F6">
        <w:trPr>
          <w:cantSplit/>
          <w:trHeight w:val="20"/>
          <w:jc w:val="center"/>
        </w:trPr>
        <w:tc>
          <w:tcPr>
            <w:tcW w:w="426" w:type="dxa"/>
            <w:vMerge w:val="restart"/>
            <w:tcBorders>
              <w:top w:val="single" w:sz="4" w:space="0" w:color="auto"/>
              <w:left w:val="nil"/>
              <w:right w:val="nil"/>
            </w:tcBorders>
            <w:textDirection w:val="btLr"/>
          </w:tcPr>
          <w:p w14:paraId="167E9717" w14:textId="58D0A718" w:rsidR="005E1FCD" w:rsidRPr="006D631C" w:rsidRDefault="005E1FCD" w:rsidP="005E1FCD">
            <w:pPr>
              <w:spacing w:line="240" w:lineRule="auto"/>
              <w:ind w:left="113" w:right="113"/>
              <w:jc w:val="center"/>
              <w:rPr>
                <w:b/>
                <w:bCs/>
                <w:color w:val="000000"/>
                <w:sz w:val="22"/>
                <w:szCs w:val="22"/>
              </w:rPr>
            </w:pPr>
            <w:r w:rsidRPr="006D631C">
              <w:rPr>
                <w:b/>
                <w:bCs/>
                <w:color w:val="000000"/>
                <w:sz w:val="22"/>
                <w:szCs w:val="22"/>
              </w:rPr>
              <w:t>(Co)Monomers</w:t>
            </w:r>
          </w:p>
        </w:tc>
        <w:tc>
          <w:tcPr>
            <w:tcW w:w="850" w:type="dxa"/>
            <w:tcBorders>
              <w:top w:val="single" w:sz="4" w:space="0" w:color="auto"/>
              <w:left w:val="nil"/>
              <w:right w:val="nil"/>
            </w:tcBorders>
            <w:shd w:val="clear" w:color="000000" w:fill="FFFFFF"/>
            <w:noWrap/>
            <w:vAlign w:val="center"/>
          </w:tcPr>
          <w:p w14:paraId="11770987" w14:textId="2198B4BC" w:rsidR="005E1FCD" w:rsidRPr="006D631C" w:rsidRDefault="005E1FCD" w:rsidP="005E1FCD">
            <w:pPr>
              <w:spacing w:line="240" w:lineRule="auto"/>
              <w:jc w:val="center"/>
              <w:rPr>
                <w:color w:val="000000"/>
                <w:sz w:val="20"/>
                <w:szCs w:val="20"/>
              </w:rPr>
            </w:pPr>
            <w:r w:rsidRPr="006D631C">
              <w:rPr>
                <w:color w:val="000000"/>
                <w:sz w:val="20"/>
                <w:szCs w:val="20"/>
              </w:rPr>
              <w:t>M-1</w:t>
            </w:r>
          </w:p>
        </w:tc>
        <w:tc>
          <w:tcPr>
            <w:tcW w:w="7655" w:type="dxa"/>
            <w:tcBorders>
              <w:top w:val="single" w:sz="4" w:space="0" w:color="auto"/>
              <w:left w:val="nil"/>
              <w:right w:val="nil"/>
            </w:tcBorders>
            <w:shd w:val="clear" w:color="000000" w:fill="FFFFFF"/>
            <w:noWrap/>
            <w:vAlign w:val="center"/>
          </w:tcPr>
          <w:p w14:paraId="1EB52E0D" w14:textId="7A5A5B26" w:rsidR="005E1FCD" w:rsidRPr="006D631C" w:rsidRDefault="005E1FCD" w:rsidP="005E1FCD">
            <w:pPr>
              <w:spacing w:line="240" w:lineRule="auto"/>
              <w:jc w:val="center"/>
              <w:rPr>
                <w:color w:val="000000"/>
                <w:sz w:val="20"/>
                <w:szCs w:val="20"/>
              </w:rPr>
            </w:pPr>
            <w:r w:rsidRPr="006D631C">
              <w:rPr>
                <w:color w:val="000000"/>
                <w:sz w:val="20"/>
                <w:szCs w:val="20"/>
              </w:rPr>
              <w:t>Styrene</w:t>
            </w:r>
          </w:p>
        </w:tc>
      </w:tr>
      <w:tr w:rsidR="005E1FCD" w:rsidRPr="006D631C" w14:paraId="40BFDC99" w14:textId="77777777" w:rsidTr="00F463F6">
        <w:trPr>
          <w:cantSplit/>
          <w:trHeight w:val="20"/>
          <w:jc w:val="center"/>
        </w:trPr>
        <w:tc>
          <w:tcPr>
            <w:tcW w:w="426" w:type="dxa"/>
            <w:vMerge/>
            <w:tcBorders>
              <w:left w:val="nil"/>
              <w:right w:val="nil"/>
            </w:tcBorders>
          </w:tcPr>
          <w:p w14:paraId="40F8CB52" w14:textId="77777777" w:rsidR="005E1FCD" w:rsidRPr="006D631C" w:rsidRDefault="005E1FCD" w:rsidP="005E1FCD">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239CE687" w14:textId="7767AC40" w:rsidR="005E1FCD" w:rsidRPr="006D631C" w:rsidRDefault="005E1FCD" w:rsidP="005E1FCD">
            <w:pPr>
              <w:spacing w:line="240" w:lineRule="auto"/>
              <w:jc w:val="center"/>
              <w:rPr>
                <w:color w:val="000000"/>
                <w:sz w:val="20"/>
                <w:szCs w:val="20"/>
              </w:rPr>
            </w:pPr>
            <w:r w:rsidRPr="006D631C">
              <w:rPr>
                <w:color w:val="000000"/>
                <w:sz w:val="20"/>
                <w:szCs w:val="20"/>
              </w:rPr>
              <w:t>M-2</w:t>
            </w:r>
          </w:p>
        </w:tc>
        <w:tc>
          <w:tcPr>
            <w:tcW w:w="7655" w:type="dxa"/>
            <w:tcBorders>
              <w:left w:val="nil"/>
              <w:right w:val="nil"/>
            </w:tcBorders>
            <w:shd w:val="clear" w:color="000000" w:fill="FFFFFF"/>
            <w:noWrap/>
            <w:vAlign w:val="center"/>
          </w:tcPr>
          <w:p w14:paraId="5544856F" w14:textId="5F47FF5F" w:rsidR="005E1FCD" w:rsidRPr="006D631C" w:rsidRDefault="005E1FCD" w:rsidP="005E1FCD">
            <w:pPr>
              <w:spacing w:line="240" w:lineRule="auto"/>
              <w:jc w:val="center"/>
              <w:rPr>
                <w:color w:val="000000"/>
                <w:sz w:val="20"/>
                <w:szCs w:val="20"/>
              </w:rPr>
            </w:pPr>
            <w:r w:rsidRPr="006D631C">
              <w:rPr>
                <w:color w:val="000000"/>
                <w:sz w:val="20"/>
                <w:szCs w:val="20"/>
              </w:rPr>
              <w:t>Methyl methacrylate</w:t>
            </w:r>
          </w:p>
        </w:tc>
      </w:tr>
      <w:tr w:rsidR="005E1FCD" w:rsidRPr="006D631C" w14:paraId="4F5BB28D" w14:textId="77777777" w:rsidTr="00F463F6">
        <w:trPr>
          <w:cantSplit/>
          <w:trHeight w:val="20"/>
          <w:jc w:val="center"/>
        </w:trPr>
        <w:tc>
          <w:tcPr>
            <w:tcW w:w="426" w:type="dxa"/>
            <w:vMerge/>
            <w:tcBorders>
              <w:left w:val="nil"/>
              <w:right w:val="nil"/>
            </w:tcBorders>
          </w:tcPr>
          <w:p w14:paraId="4A3F591E" w14:textId="77777777" w:rsidR="005E1FCD" w:rsidRPr="006D631C" w:rsidRDefault="005E1FCD" w:rsidP="005E1FCD">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7B4AC184" w14:textId="681CBD8B" w:rsidR="005E1FCD" w:rsidRPr="006D631C" w:rsidRDefault="005E1FCD" w:rsidP="005E1FCD">
            <w:pPr>
              <w:spacing w:line="240" w:lineRule="auto"/>
              <w:jc w:val="center"/>
              <w:rPr>
                <w:color w:val="000000"/>
                <w:sz w:val="20"/>
                <w:szCs w:val="20"/>
              </w:rPr>
            </w:pPr>
            <w:r w:rsidRPr="006D631C">
              <w:rPr>
                <w:color w:val="000000"/>
                <w:sz w:val="20"/>
                <w:szCs w:val="20"/>
              </w:rPr>
              <w:t>M-3</w:t>
            </w:r>
          </w:p>
        </w:tc>
        <w:tc>
          <w:tcPr>
            <w:tcW w:w="7655" w:type="dxa"/>
            <w:tcBorders>
              <w:left w:val="nil"/>
              <w:right w:val="nil"/>
            </w:tcBorders>
            <w:shd w:val="clear" w:color="000000" w:fill="FFFFFF"/>
            <w:noWrap/>
            <w:vAlign w:val="center"/>
          </w:tcPr>
          <w:p w14:paraId="7DEEDB30" w14:textId="31A07C20" w:rsidR="005E1FCD" w:rsidRPr="006D631C" w:rsidRDefault="005E1FCD" w:rsidP="005E1FCD">
            <w:pPr>
              <w:spacing w:line="240" w:lineRule="auto"/>
              <w:jc w:val="center"/>
              <w:rPr>
                <w:color w:val="000000"/>
                <w:sz w:val="20"/>
                <w:szCs w:val="20"/>
              </w:rPr>
            </w:pPr>
            <w:r w:rsidRPr="006D631C">
              <w:rPr>
                <w:color w:val="000000"/>
                <w:sz w:val="20"/>
                <w:szCs w:val="20"/>
              </w:rPr>
              <w:t>Methyl acrylate</w:t>
            </w:r>
          </w:p>
        </w:tc>
      </w:tr>
      <w:tr w:rsidR="005E1FCD" w:rsidRPr="006D631C" w14:paraId="602DE360" w14:textId="77777777" w:rsidTr="00F463F6">
        <w:trPr>
          <w:cantSplit/>
          <w:trHeight w:val="20"/>
          <w:jc w:val="center"/>
        </w:trPr>
        <w:tc>
          <w:tcPr>
            <w:tcW w:w="426" w:type="dxa"/>
            <w:vMerge/>
            <w:tcBorders>
              <w:left w:val="nil"/>
              <w:right w:val="nil"/>
            </w:tcBorders>
          </w:tcPr>
          <w:p w14:paraId="33769791" w14:textId="77777777" w:rsidR="005E1FCD" w:rsidRPr="006D631C" w:rsidRDefault="005E1FCD" w:rsidP="005E1FCD">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67A156F0" w14:textId="74C6B06A" w:rsidR="005E1FCD" w:rsidRPr="006D631C" w:rsidRDefault="005E1FCD" w:rsidP="005E1FCD">
            <w:pPr>
              <w:spacing w:line="240" w:lineRule="auto"/>
              <w:jc w:val="center"/>
              <w:rPr>
                <w:color w:val="000000"/>
                <w:sz w:val="20"/>
                <w:szCs w:val="20"/>
              </w:rPr>
            </w:pPr>
            <w:r w:rsidRPr="006D631C">
              <w:rPr>
                <w:color w:val="000000"/>
                <w:sz w:val="20"/>
                <w:szCs w:val="20"/>
              </w:rPr>
              <w:t>M-4</w:t>
            </w:r>
          </w:p>
        </w:tc>
        <w:tc>
          <w:tcPr>
            <w:tcW w:w="7655" w:type="dxa"/>
            <w:tcBorders>
              <w:left w:val="nil"/>
              <w:right w:val="nil"/>
            </w:tcBorders>
            <w:shd w:val="clear" w:color="000000" w:fill="FFFFFF"/>
            <w:noWrap/>
            <w:vAlign w:val="center"/>
          </w:tcPr>
          <w:p w14:paraId="3391170C" w14:textId="056AB5B7" w:rsidR="005E1FCD" w:rsidRPr="006D631C" w:rsidRDefault="005E1FCD" w:rsidP="005E1FCD">
            <w:pPr>
              <w:spacing w:line="240" w:lineRule="auto"/>
              <w:jc w:val="center"/>
              <w:rPr>
                <w:color w:val="000000"/>
                <w:sz w:val="20"/>
                <w:szCs w:val="20"/>
              </w:rPr>
            </w:pPr>
            <w:r w:rsidRPr="006D631C">
              <w:rPr>
                <w:i/>
                <w:iCs/>
                <w:color w:val="000000"/>
                <w:sz w:val="20"/>
                <w:szCs w:val="20"/>
              </w:rPr>
              <w:t>n</w:t>
            </w:r>
            <w:r w:rsidRPr="006D631C">
              <w:rPr>
                <w:color w:val="000000"/>
                <w:sz w:val="20"/>
                <w:szCs w:val="20"/>
              </w:rPr>
              <w:t>-Butyl acrylate</w:t>
            </w:r>
          </w:p>
        </w:tc>
      </w:tr>
      <w:tr w:rsidR="005E1FCD" w:rsidRPr="006D631C" w14:paraId="02826ACB" w14:textId="77777777" w:rsidTr="00F463F6">
        <w:trPr>
          <w:cantSplit/>
          <w:trHeight w:val="20"/>
          <w:jc w:val="center"/>
        </w:trPr>
        <w:tc>
          <w:tcPr>
            <w:tcW w:w="426" w:type="dxa"/>
            <w:vMerge/>
            <w:tcBorders>
              <w:left w:val="nil"/>
              <w:right w:val="nil"/>
            </w:tcBorders>
          </w:tcPr>
          <w:p w14:paraId="57A3196D" w14:textId="77777777" w:rsidR="005E1FCD" w:rsidRPr="006D631C" w:rsidRDefault="005E1FCD" w:rsidP="005E1FCD">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27135645" w14:textId="69C9F3D6" w:rsidR="005E1FCD" w:rsidRPr="006D631C" w:rsidRDefault="005E1FCD" w:rsidP="005E1FCD">
            <w:pPr>
              <w:spacing w:line="240" w:lineRule="auto"/>
              <w:jc w:val="center"/>
              <w:rPr>
                <w:color w:val="000000"/>
                <w:sz w:val="20"/>
                <w:szCs w:val="20"/>
              </w:rPr>
            </w:pPr>
            <w:r w:rsidRPr="006D631C">
              <w:rPr>
                <w:color w:val="000000"/>
                <w:sz w:val="20"/>
                <w:szCs w:val="20"/>
              </w:rPr>
              <w:t>M-5</w:t>
            </w:r>
          </w:p>
        </w:tc>
        <w:tc>
          <w:tcPr>
            <w:tcW w:w="7655" w:type="dxa"/>
            <w:tcBorders>
              <w:left w:val="nil"/>
              <w:right w:val="nil"/>
            </w:tcBorders>
            <w:shd w:val="clear" w:color="000000" w:fill="FFFFFF"/>
            <w:noWrap/>
            <w:vAlign w:val="center"/>
          </w:tcPr>
          <w:p w14:paraId="2BE16F95" w14:textId="039C4817" w:rsidR="005E1FCD" w:rsidRPr="006D631C" w:rsidRDefault="005E1FCD" w:rsidP="005E1FCD">
            <w:pPr>
              <w:spacing w:line="240" w:lineRule="auto"/>
              <w:jc w:val="center"/>
              <w:rPr>
                <w:color w:val="000000"/>
                <w:sz w:val="20"/>
                <w:szCs w:val="20"/>
              </w:rPr>
            </w:pPr>
            <w:r w:rsidRPr="006D631C">
              <w:rPr>
                <w:i/>
                <w:iCs/>
                <w:color w:val="000000"/>
                <w:sz w:val="20"/>
                <w:szCs w:val="20"/>
              </w:rPr>
              <w:t>n</w:t>
            </w:r>
            <w:r w:rsidRPr="006D631C">
              <w:rPr>
                <w:color w:val="000000"/>
                <w:sz w:val="20"/>
                <w:szCs w:val="20"/>
              </w:rPr>
              <w:t>-Hexyl acrylate</w:t>
            </w:r>
          </w:p>
        </w:tc>
      </w:tr>
      <w:tr w:rsidR="005E1FCD" w:rsidRPr="006D631C" w14:paraId="25805B82" w14:textId="77777777" w:rsidTr="00F463F6">
        <w:trPr>
          <w:cantSplit/>
          <w:trHeight w:val="20"/>
          <w:jc w:val="center"/>
        </w:trPr>
        <w:tc>
          <w:tcPr>
            <w:tcW w:w="426" w:type="dxa"/>
            <w:vMerge/>
            <w:tcBorders>
              <w:left w:val="nil"/>
              <w:right w:val="nil"/>
            </w:tcBorders>
          </w:tcPr>
          <w:p w14:paraId="2392239D" w14:textId="77777777" w:rsidR="005E1FCD" w:rsidRPr="006D631C" w:rsidRDefault="005E1FCD" w:rsidP="005E1FCD">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386D08F7" w14:textId="1D864AB0" w:rsidR="005E1FCD" w:rsidRPr="006D631C" w:rsidRDefault="005E1FCD" w:rsidP="005E1FCD">
            <w:pPr>
              <w:spacing w:line="240" w:lineRule="auto"/>
              <w:jc w:val="center"/>
              <w:rPr>
                <w:color w:val="000000"/>
                <w:sz w:val="20"/>
                <w:szCs w:val="20"/>
              </w:rPr>
            </w:pPr>
            <w:r w:rsidRPr="006D631C">
              <w:rPr>
                <w:color w:val="000000"/>
                <w:sz w:val="20"/>
                <w:szCs w:val="20"/>
              </w:rPr>
              <w:t>M-6</w:t>
            </w:r>
          </w:p>
        </w:tc>
        <w:tc>
          <w:tcPr>
            <w:tcW w:w="7655" w:type="dxa"/>
            <w:tcBorders>
              <w:left w:val="nil"/>
              <w:right w:val="nil"/>
            </w:tcBorders>
            <w:shd w:val="clear" w:color="000000" w:fill="FFFFFF"/>
            <w:noWrap/>
            <w:vAlign w:val="center"/>
          </w:tcPr>
          <w:p w14:paraId="49FDB7C8" w14:textId="43EBFB7C" w:rsidR="005E1FCD" w:rsidRPr="006D631C" w:rsidRDefault="005E1FCD" w:rsidP="005E1FCD">
            <w:pPr>
              <w:spacing w:line="240" w:lineRule="auto"/>
              <w:jc w:val="center"/>
              <w:rPr>
                <w:color w:val="000000"/>
                <w:sz w:val="20"/>
                <w:szCs w:val="20"/>
              </w:rPr>
            </w:pPr>
            <w:r w:rsidRPr="006D631C">
              <w:rPr>
                <w:i/>
                <w:iCs/>
                <w:color w:val="000000"/>
                <w:sz w:val="20"/>
                <w:szCs w:val="20"/>
              </w:rPr>
              <w:t>n</w:t>
            </w:r>
            <w:r w:rsidRPr="006D631C">
              <w:rPr>
                <w:color w:val="000000"/>
                <w:sz w:val="20"/>
                <w:szCs w:val="20"/>
              </w:rPr>
              <w:t>-</w:t>
            </w:r>
            <w:proofErr w:type="spellStart"/>
            <w:r w:rsidRPr="006D631C">
              <w:rPr>
                <w:color w:val="000000"/>
                <w:sz w:val="20"/>
                <w:szCs w:val="20"/>
              </w:rPr>
              <w:t>Decyl</w:t>
            </w:r>
            <w:proofErr w:type="spellEnd"/>
            <w:r w:rsidRPr="006D631C">
              <w:rPr>
                <w:color w:val="000000"/>
                <w:sz w:val="20"/>
                <w:szCs w:val="20"/>
              </w:rPr>
              <w:t xml:space="preserve"> acrylate</w:t>
            </w:r>
          </w:p>
        </w:tc>
      </w:tr>
      <w:tr w:rsidR="005E1FCD" w:rsidRPr="006D631C" w14:paraId="44AE8645" w14:textId="77777777" w:rsidTr="00F463F6">
        <w:trPr>
          <w:cantSplit/>
          <w:trHeight w:val="20"/>
          <w:jc w:val="center"/>
        </w:trPr>
        <w:tc>
          <w:tcPr>
            <w:tcW w:w="426" w:type="dxa"/>
            <w:vMerge/>
            <w:tcBorders>
              <w:left w:val="nil"/>
              <w:right w:val="nil"/>
            </w:tcBorders>
          </w:tcPr>
          <w:p w14:paraId="321DC2FE" w14:textId="77777777" w:rsidR="005E1FCD" w:rsidRPr="006D631C" w:rsidRDefault="005E1FCD" w:rsidP="005E1FCD">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3ACE4637" w14:textId="4F1B8AB4" w:rsidR="005E1FCD" w:rsidRPr="006D631C" w:rsidRDefault="005E1FCD" w:rsidP="005E1FCD">
            <w:pPr>
              <w:spacing w:line="240" w:lineRule="auto"/>
              <w:jc w:val="center"/>
              <w:rPr>
                <w:color w:val="000000"/>
                <w:sz w:val="20"/>
                <w:szCs w:val="20"/>
              </w:rPr>
            </w:pPr>
            <w:r w:rsidRPr="006D631C">
              <w:rPr>
                <w:color w:val="000000"/>
                <w:sz w:val="20"/>
                <w:szCs w:val="20"/>
              </w:rPr>
              <w:t>M-7</w:t>
            </w:r>
          </w:p>
        </w:tc>
        <w:tc>
          <w:tcPr>
            <w:tcW w:w="7655" w:type="dxa"/>
            <w:tcBorders>
              <w:left w:val="nil"/>
              <w:right w:val="nil"/>
            </w:tcBorders>
            <w:shd w:val="clear" w:color="000000" w:fill="FFFFFF"/>
            <w:noWrap/>
            <w:vAlign w:val="center"/>
          </w:tcPr>
          <w:p w14:paraId="166891D0" w14:textId="6EA5003E" w:rsidR="005E1FCD" w:rsidRPr="006D631C" w:rsidRDefault="005E1FCD" w:rsidP="005E1FCD">
            <w:pPr>
              <w:spacing w:line="240" w:lineRule="auto"/>
              <w:jc w:val="center"/>
              <w:rPr>
                <w:color w:val="000000"/>
                <w:sz w:val="20"/>
                <w:szCs w:val="20"/>
              </w:rPr>
            </w:pPr>
            <w:r w:rsidRPr="006D631C">
              <w:rPr>
                <w:i/>
                <w:iCs/>
                <w:color w:val="000000"/>
                <w:sz w:val="20"/>
                <w:szCs w:val="20"/>
              </w:rPr>
              <w:t>n</w:t>
            </w:r>
            <w:r w:rsidRPr="006D631C">
              <w:rPr>
                <w:color w:val="000000"/>
                <w:sz w:val="20"/>
                <w:szCs w:val="20"/>
              </w:rPr>
              <w:t>-Dodecyl methacrylate</w:t>
            </w:r>
          </w:p>
        </w:tc>
      </w:tr>
      <w:tr w:rsidR="005E1FCD" w:rsidRPr="006D631C" w14:paraId="42555540" w14:textId="77777777" w:rsidTr="00F463F6">
        <w:trPr>
          <w:cantSplit/>
          <w:trHeight w:val="20"/>
          <w:jc w:val="center"/>
        </w:trPr>
        <w:tc>
          <w:tcPr>
            <w:tcW w:w="426" w:type="dxa"/>
            <w:vMerge/>
            <w:tcBorders>
              <w:left w:val="nil"/>
              <w:right w:val="nil"/>
            </w:tcBorders>
          </w:tcPr>
          <w:p w14:paraId="7201D331" w14:textId="77777777" w:rsidR="005E1FCD" w:rsidRPr="006D631C" w:rsidRDefault="005E1FCD" w:rsidP="005E1FCD">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4B0FEA8C" w14:textId="4B073718" w:rsidR="005E1FCD" w:rsidRPr="006D631C" w:rsidRDefault="005E1FCD" w:rsidP="005E1FCD">
            <w:pPr>
              <w:spacing w:line="240" w:lineRule="auto"/>
              <w:jc w:val="center"/>
              <w:rPr>
                <w:color w:val="000000"/>
                <w:sz w:val="20"/>
                <w:szCs w:val="20"/>
              </w:rPr>
            </w:pPr>
            <w:r w:rsidRPr="006D631C">
              <w:rPr>
                <w:color w:val="000000"/>
                <w:sz w:val="20"/>
                <w:szCs w:val="20"/>
              </w:rPr>
              <w:t>M-8</w:t>
            </w:r>
          </w:p>
        </w:tc>
        <w:tc>
          <w:tcPr>
            <w:tcW w:w="7655" w:type="dxa"/>
            <w:tcBorders>
              <w:left w:val="nil"/>
              <w:right w:val="nil"/>
            </w:tcBorders>
            <w:shd w:val="clear" w:color="000000" w:fill="FFFFFF"/>
            <w:noWrap/>
            <w:vAlign w:val="center"/>
          </w:tcPr>
          <w:p w14:paraId="3CA5DE7E" w14:textId="6ED97533" w:rsidR="005E1FCD" w:rsidRPr="006D631C" w:rsidRDefault="005E1FCD" w:rsidP="005E1FCD">
            <w:pPr>
              <w:spacing w:line="240" w:lineRule="auto"/>
              <w:jc w:val="center"/>
              <w:rPr>
                <w:color w:val="000000"/>
                <w:sz w:val="20"/>
                <w:szCs w:val="20"/>
              </w:rPr>
            </w:pPr>
            <w:proofErr w:type="spellStart"/>
            <w:r w:rsidRPr="006D631C">
              <w:rPr>
                <w:color w:val="000000"/>
                <w:sz w:val="20"/>
                <w:szCs w:val="20"/>
              </w:rPr>
              <w:t>Glycidyl</w:t>
            </w:r>
            <w:proofErr w:type="spellEnd"/>
            <w:r w:rsidRPr="006D631C">
              <w:rPr>
                <w:color w:val="000000"/>
                <w:sz w:val="20"/>
                <w:szCs w:val="20"/>
              </w:rPr>
              <w:t xml:space="preserve"> methacrylate</w:t>
            </w:r>
          </w:p>
        </w:tc>
      </w:tr>
      <w:tr w:rsidR="005E1FCD" w:rsidRPr="006D631C" w14:paraId="71B9EEFC" w14:textId="77777777" w:rsidTr="00F463F6">
        <w:trPr>
          <w:cantSplit/>
          <w:trHeight w:val="20"/>
          <w:jc w:val="center"/>
        </w:trPr>
        <w:tc>
          <w:tcPr>
            <w:tcW w:w="426" w:type="dxa"/>
            <w:vMerge/>
            <w:tcBorders>
              <w:left w:val="nil"/>
              <w:right w:val="nil"/>
            </w:tcBorders>
          </w:tcPr>
          <w:p w14:paraId="3D071283" w14:textId="77777777" w:rsidR="005E1FCD" w:rsidRPr="006D631C" w:rsidRDefault="005E1FCD" w:rsidP="005E1FCD">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535DFF6F" w14:textId="27720B6F" w:rsidR="005E1FCD" w:rsidRPr="006D631C" w:rsidRDefault="005E1FCD" w:rsidP="005E1FCD">
            <w:pPr>
              <w:spacing w:line="240" w:lineRule="auto"/>
              <w:jc w:val="center"/>
              <w:rPr>
                <w:color w:val="000000"/>
                <w:sz w:val="20"/>
                <w:szCs w:val="20"/>
              </w:rPr>
            </w:pPr>
            <w:r w:rsidRPr="006D631C">
              <w:rPr>
                <w:color w:val="000000"/>
                <w:sz w:val="20"/>
                <w:szCs w:val="20"/>
              </w:rPr>
              <w:t>M-9</w:t>
            </w:r>
          </w:p>
        </w:tc>
        <w:tc>
          <w:tcPr>
            <w:tcW w:w="7655" w:type="dxa"/>
            <w:tcBorders>
              <w:left w:val="nil"/>
              <w:right w:val="nil"/>
            </w:tcBorders>
            <w:shd w:val="clear" w:color="000000" w:fill="FFFFFF"/>
            <w:noWrap/>
            <w:vAlign w:val="center"/>
          </w:tcPr>
          <w:p w14:paraId="581D28FA" w14:textId="5D2D55FF" w:rsidR="005E1FCD" w:rsidRPr="006D631C" w:rsidRDefault="005E1FCD" w:rsidP="005E1FCD">
            <w:pPr>
              <w:spacing w:line="240" w:lineRule="auto"/>
              <w:jc w:val="center"/>
              <w:rPr>
                <w:color w:val="000000"/>
                <w:sz w:val="20"/>
                <w:szCs w:val="20"/>
              </w:rPr>
            </w:pPr>
            <w:r w:rsidRPr="006D631C">
              <w:rPr>
                <w:color w:val="000000"/>
                <w:sz w:val="20"/>
                <w:szCs w:val="20"/>
              </w:rPr>
              <w:t>Acrylamide</w:t>
            </w:r>
          </w:p>
        </w:tc>
      </w:tr>
      <w:tr w:rsidR="005E1FCD" w:rsidRPr="006D631C" w14:paraId="29AC6C4A" w14:textId="77777777" w:rsidTr="005E1FCD">
        <w:trPr>
          <w:cantSplit/>
          <w:trHeight w:val="20"/>
          <w:jc w:val="center"/>
        </w:trPr>
        <w:tc>
          <w:tcPr>
            <w:tcW w:w="426" w:type="dxa"/>
            <w:vMerge/>
            <w:tcBorders>
              <w:left w:val="nil"/>
              <w:right w:val="nil"/>
            </w:tcBorders>
          </w:tcPr>
          <w:p w14:paraId="55973B18" w14:textId="77777777" w:rsidR="005E1FCD" w:rsidRPr="006D631C" w:rsidRDefault="005E1FCD" w:rsidP="005E1FCD">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25C2F557" w14:textId="2F490C14" w:rsidR="005E1FCD" w:rsidRPr="006D631C" w:rsidRDefault="005E1FCD" w:rsidP="005E1FCD">
            <w:pPr>
              <w:spacing w:line="240" w:lineRule="auto"/>
              <w:jc w:val="center"/>
              <w:rPr>
                <w:color w:val="000000"/>
                <w:sz w:val="20"/>
                <w:szCs w:val="20"/>
              </w:rPr>
            </w:pPr>
            <w:r w:rsidRPr="006D631C">
              <w:rPr>
                <w:color w:val="000000"/>
                <w:sz w:val="20"/>
                <w:szCs w:val="20"/>
              </w:rPr>
              <w:t>M-10</w:t>
            </w:r>
          </w:p>
        </w:tc>
        <w:tc>
          <w:tcPr>
            <w:tcW w:w="7655" w:type="dxa"/>
            <w:tcBorders>
              <w:left w:val="nil"/>
              <w:right w:val="nil"/>
            </w:tcBorders>
            <w:shd w:val="clear" w:color="000000" w:fill="FFFFFF"/>
            <w:noWrap/>
            <w:vAlign w:val="center"/>
          </w:tcPr>
          <w:p w14:paraId="434ADA7B" w14:textId="20611915" w:rsidR="005E1FCD" w:rsidRPr="006D631C" w:rsidRDefault="005E1FCD" w:rsidP="005E1FCD">
            <w:pPr>
              <w:spacing w:line="240" w:lineRule="auto"/>
              <w:jc w:val="center"/>
              <w:rPr>
                <w:color w:val="000000"/>
                <w:sz w:val="20"/>
                <w:szCs w:val="20"/>
              </w:rPr>
            </w:pPr>
            <w:r w:rsidRPr="006D631C">
              <w:rPr>
                <w:i/>
                <w:iCs/>
                <w:color w:val="000000"/>
                <w:sz w:val="20"/>
                <w:szCs w:val="20"/>
              </w:rPr>
              <w:t>N</w:t>
            </w:r>
            <w:r w:rsidRPr="006D631C">
              <w:rPr>
                <w:color w:val="000000"/>
                <w:sz w:val="20"/>
                <w:szCs w:val="20"/>
              </w:rPr>
              <w:t>-</w:t>
            </w:r>
            <w:proofErr w:type="spellStart"/>
            <w:r w:rsidRPr="006D631C">
              <w:rPr>
                <w:color w:val="000000"/>
                <w:sz w:val="20"/>
                <w:szCs w:val="20"/>
              </w:rPr>
              <w:t>Isopropylacrylamide</w:t>
            </w:r>
            <w:proofErr w:type="spellEnd"/>
          </w:p>
        </w:tc>
      </w:tr>
      <w:tr w:rsidR="005E1FCD" w:rsidRPr="006D631C" w14:paraId="7A599CE7" w14:textId="77777777" w:rsidTr="005E1FCD">
        <w:trPr>
          <w:cantSplit/>
          <w:trHeight w:val="20"/>
          <w:jc w:val="center"/>
        </w:trPr>
        <w:tc>
          <w:tcPr>
            <w:tcW w:w="426" w:type="dxa"/>
            <w:vMerge/>
            <w:tcBorders>
              <w:left w:val="nil"/>
              <w:bottom w:val="single" w:sz="8" w:space="0" w:color="000000"/>
              <w:right w:val="nil"/>
            </w:tcBorders>
          </w:tcPr>
          <w:p w14:paraId="6F6F5950" w14:textId="77777777" w:rsidR="005E1FCD" w:rsidRPr="006D631C" w:rsidRDefault="005E1FCD" w:rsidP="005E1FCD">
            <w:pPr>
              <w:spacing w:line="240" w:lineRule="auto"/>
              <w:jc w:val="center"/>
              <w:rPr>
                <w:b/>
                <w:bCs/>
                <w:color w:val="000000"/>
                <w:sz w:val="20"/>
                <w:szCs w:val="20"/>
              </w:rPr>
            </w:pPr>
          </w:p>
        </w:tc>
        <w:tc>
          <w:tcPr>
            <w:tcW w:w="850" w:type="dxa"/>
            <w:tcBorders>
              <w:left w:val="nil"/>
              <w:bottom w:val="single" w:sz="4" w:space="0" w:color="auto"/>
              <w:right w:val="nil"/>
            </w:tcBorders>
            <w:shd w:val="clear" w:color="000000" w:fill="FFFFFF"/>
            <w:noWrap/>
            <w:vAlign w:val="center"/>
          </w:tcPr>
          <w:p w14:paraId="1DC255F0" w14:textId="03F80367" w:rsidR="005E1FCD" w:rsidRPr="006D631C" w:rsidRDefault="005E1FCD" w:rsidP="005E1FCD">
            <w:pPr>
              <w:spacing w:line="240" w:lineRule="auto"/>
              <w:jc w:val="center"/>
              <w:rPr>
                <w:color w:val="000000"/>
                <w:sz w:val="20"/>
                <w:szCs w:val="20"/>
              </w:rPr>
            </w:pPr>
            <w:r w:rsidRPr="006D631C">
              <w:rPr>
                <w:color w:val="000000"/>
                <w:sz w:val="20"/>
                <w:szCs w:val="20"/>
              </w:rPr>
              <w:t>M-11</w:t>
            </w:r>
          </w:p>
        </w:tc>
        <w:tc>
          <w:tcPr>
            <w:tcW w:w="7655" w:type="dxa"/>
            <w:tcBorders>
              <w:left w:val="nil"/>
              <w:bottom w:val="single" w:sz="4" w:space="0" w:color="auto"/>
              <w:right w:val="nil"/>
            </w:tcBorders>
            <w:shd w:val="clear" w:color="000000" w:fill="FFFFFF"/>
            <w:noWrap/>
            <w:vAlign w:val="center"/>
          </w:tcPr>
          <w:p w14:paraId="4367A60A" w14:textId="5CA73F23" w:rsidR="005E1FCD" w:rsidRPr="006D631C" w:rsidRDefault="005E1FCD" w:rsidP="005E1FCD">
            <w:pPr>
              <w:spacing w:line="240" w:lineRule="auto"/>
              <w:jc w:val="center"/>
              <w:rPr>
                <w:color w:val="000000"/>
                <w:sz w:val="20"/>
                <w:szCs w:val="20"/>
              </w:rPr>
            </w:pPr>
            <w:r w:rsidRPr="006D631C">
              <w:rPr>
                <w:i/>
                <w:iCs/>
                <w:color w:val="000000"/>
                <w:sz w:val="20"/>
                <w:szCs w:val="20"/>
              </w:rPr>
              <w:t>N,N</w:t>
            </w:r>
            <w:r w:rsidRPr="006D631C">
              <w:rPr>
                <w:color w:val="000000"/>
                <w:sz w:val="20"/>
                <w:szCs w:val="20"/>
              </w:rPr>
              <w:t>-</w:t>
            </w:r>
            <w:proofErr w:type="spellStart"/>
            <w:r w:rsidRPr="006D631C">
              <w:rPr>
                <w:color w:val="000000"/>
                <w:sz w:val="20"/>
                <w:szCs w:val="20"/>
              </w:rPr>
              <w:t>Dimethylacrylamide</w:t>
            </w:r>
            <w:proofErr w:type="spellEnd"/>
          </w:p>
        </w:tc>
      </w:tr>
    </w:tbl>
    <w:p w14:paraId="0107CA17" w14:textId="77777777" w:rsidR="008737C3" w:rsidRPr="006D631C" w:rsidRDefault="008737C3" w:rsidP="008737C3">
      <w:pPr>
        <w:tabs>
          <w:tab w:val="left" w:pos="90"/>
          <w:tab w:val="left" w:pos="360"/>
          <w:tab w:val="left" w:pos="992"/>
        </w:tabs>
        <w:spacing w:line="276" w:lineRule="auto"/>
        <w:jc w:val="center"/>
        <w:rPr>
          <w:rFonts w:asciiTheme="majorBidi" w:hAnsiTheme="majorBidi" w:cstheme="majorBidi"/>
          <w:sz w:val="22"/>
          <w:szCs w:val="22"/>
        </w:rPr>
      </w:pPr>
      <w:r w:rsidRPr="006D631C">
        <w:rPr>
          <w:rFonts w:asciiTheme="majorBidi" w:hAnsiTheme="majorBidi" w:cstheme="majorBidi"/>
          <w:sz w:val="22"/>
          <w:szCs w:val="22"/>
        </w:rPr>
        <w:lastRenderedPageBreak/>
        <w:t xml:space="preserve">Table B1. </w:t>
      </w:r>
      <w:r w:rsidRPr="006D631C">
        <w:rPr>
          <w:rFonts w:asciiTheme="majorBidi" w:hAnsiTheme="majorBidi" w:cstheme="majorBidi"/>
          <w:i/>
          <w:iCs/>
          <w:sz w:val="22"/>
          <w:szCs w:val="22"/>
        </w:rPr>
        <w:t>(Contd.)</w:t>
      </w:r>
    </w:p>
    <w:tbl>
      <w:tblPr>
        <w:tblW w:w="0" w:type="auto"/>
        <w:jc w:val="center"/>
        <w:tblLayout w:type="fixed"/>
        <w:tblLook w:val="04A0" w:firstRow="1" w:lastRow="0" w:firstColumn="1" w:lastColumn="0" w:noHBand="0" w:noVBand="1"/>
      </w:tblPr>
      <w:tblGrid>
        <w:gridCol w:w="426"/>
        <w:gridCol w:w="850"/>
        <w:gridCol w:w="7655"/>
      </w:tblGrid>
      <w:tr w:rsidR="00CE3832" w:rsidRPr="006D631C" w14:paraId="2A4B2426" w14:textId="77777777" w:rsidTr="00761EE3">
        <w:trPr>
          <w:cantSplit/>
          <w:trHeight w:val="20"/>
          <w:jc w:val="center"/>
        </w:trPr>
        <w:tc>
          <w:tcPr>
            <w:tcW w:w="426" w:type="dxa"/>
            <w:tcBorders>
              <w:top w:val="single" w:sz="8" w:space="0" w:color="auto"/>
              <w:left w:val="nil"/>
              <w:bottom w:val="single" w:sz="4" w:space="0" w:color="auto"/>
              <w:right w:val="nil"/>
            </w:tcBorders>
            <w:shd w:val="clear" w:color="000000" w:fill="FFFFFF"/>
            <w:noWrap/>
            <w:vAlign w:val="center"/>
            <w:hideMark/>
          </w:tcPr>
          <w:p w14:paraId="1CE255C6" w14:textId="77777777" w:rsidR="00CE3832" w:rsidRPr="006D631C" w:rsidRDefault="00CE3832" w:rsidP="00F463F6">
            <w:pPr>
              <w:spacing w:line="240" w:lineRule="auto"/>
              <w:jc w:val="center"/>
              <w:rPr>
                <w:rFonts w:ascii="Calibri" w:hAnsi="Calibri" w:cs="Calibri"/>
                <w:color w:val="000000"/>
                <w:sz w:val="20"/>
                <w:szCs w:val="20"/>
              </w:rPr>
            </w:pPr>
          </w:p>
        </w:tc>
        <w:tc>
          <w:tcPr>
            <w:tcW w:w="850" w:type="dxa"/>
            <w:tcBorders>
              <w:top w:val="single" w:sz="8" w:space="0" w:color="auto"/>
              <w:left w:val="nil"/>
              <w:bottom w:val="single" w:sz="4" w:space="0" w:color="auto"/>
              <w:right w:val="nil"/>
            </w:tcBorders>
            <w:shd w:val="clear" w:color="000000" w:fill="FFFFFF"/>
            <w:noWrap/>
            <w:vAlign w:val="center"/>
            <w:hideMark/>
          </w:tcPr>
          <w:p w14:paraId="3201511E" w14:textId="77777777" w:rsidR="00CE3832" w:rsidRPr="006D631C" w:rsidRDefault="00CE3832" w:rsidP="00F463F6">
            <w:pPr>
              <w:spacing w:line="240" w:lineRule="auto"/>
              <w:jc w:val="center"/>
              <w:rPr>
                <w:b/>
                <w:bCs/>
                <w:color w:val="000000"/>
                <w:sz w:val="20"/>
                <w:szCs w:val="20"/>
              </w:rPr>
            </w:pPr>
            <w:r w:rsidRPr="006D631C">
              <w:rPr>
                <w:b/>
                <w:bCs/>
                <w:color w:val="000000"/>
                <w:sz w:val="20"/>
                <w:szCs w:val="20"/>
              </w:rPr>
              <w:t>No.</w:t>
            </w:r>
          </w:p>
        </w:tc>
        <w:tc>
          <w:tcPr>
            <w:tcW w:w="7655" w:type="dxa"/>
            <w:tcBorders>
              <w:top w:val="single" w:sz="8" w:space="0" w:color="auto"/>
              <w:left w:val="nil"/>
              <w:bottom w:val="single" w:sz="4" w:space="0" w:color="auto"/>
              <w:right w:val="nil"/>
            </w:tcBorders>
            <w:shd w:val="clear" w:color="000000" w:fill="FFFFFF"/>
            <w:noWrap/>
            <w:vAlign w:val="center"/>
            <w:hideMark/>
          </w:tcPr>
          <w:p w14:paraId="7791AA9C" w14:textId="77777777" w:rsidR="00CE3832" w:rsidRPr="006D631C" w:rsidRDefault="00CE3832" w:rsidP="00F463F6">
            <w:pPr>
              <w:spacing w:line="240" w:lineRule="auto"/>
              <w:jc w:val="center"/>
              <w:rPr>
                <w:b/>
                <w:bCs/>
                <w:color w:val="000000"/>
                <w:sz w:val="20"/>
                <w:szCs w:val="20"/>
              </w:rPr>
            </w:pPr>
            <w:r w:rsidRPr="006D631C">
              <w:rPr>
                <w:b/>
                <w:bCs/>
                <w:color w:val="000000"/>
                <w:sz w:val="20"/>
                <w:szCs w:val="20"/>
              </w:rPr>
              <w:t>Name</w:t>
            </w:r>
          </w:p>
        </w:tc>
      </w:tr>
      <w:tr w:rsidR="00CE3832" w:rsidRPr="006D631C" w14:paraId="29209D85" w14:textId="77777777" w:rsidTr="00761EE3">
        <w:trPr>
          <w:cantSplit/>
          <w:trHeight w:val="20"/>
          <w:jc w:val="center"/>
        </w:trPr>
        <w:tc>
          <w:tcPr>
            <w:tcW w:w="426" w:type="dxa"/>
            <w:vMerge w:val="restart"/>
            <w:tcBorders>
              <w:left w:val="nil"/>
              <w:right w:val="nil"/>
            </w:tcBorders>
            <w:textDirection w:val="btLr"/>
            <w:vAlign w:val="center"/>
            <w:hideMark/>
          </w:tcPr>
          <w:p w14:paraId="0B2B151D" w14:textId="2260CF92" w:rsidR="00CE3832" w:rsidRPr="006D631C" w:rsidRDefault="0019115B" w:rsidP="0019115B">
            <w:pPr>
              <w:spacing w:line="240" w:lineRule="auto"/>
              <w:ind w:left="113" w:right="113"/>
              <w:jc w:val="center"/>
              <w:rPr>
                <w:color w:val="000000"/>
                <w:sz w:val="22"/>
                <w:szCs w:val="22"/>
              </w:rPr>
            </w:pPr>
            <w:r w:rsidRPr="006D631C">
              <w:rPr>
                <w:b/>
                <w:bCs/>
                <w:color w:val="000000"/>
                <w:sz w:val="22"/>
                <w:szCs w:val="22"/>
              </w:rPr>
              <w:t>(Co)Monomers</w:t>
            </w:r>
          </w:p>
        </w:tc>
        <w:tc>
          <w:tcPr>
            <w:tcW w:w="850" w:type="dxa"/>
            <w:tcBorders>
              <w:left w:val="nil"/>
              <w:right w:val="nil"/>
            </w:tcBorders>
            <w:shd w:val="clear" w:color="000000" w:fill="FFFFFF"/>
            <w:noWrap/>
            <w:vAlign w:val="center"/>
            <w:hideMark/>
          </w:tcPr>
          <w:p w14:paraId="0ED5B927" w14:textId="77777777" w:rsidR="00CE3832" w:rsidRPr="006D631C" w:rsidRDefault="00CE3832" w:rsidP="00F463F6">
            <w:pPr>
              <w:spacing w:line="240" w:lineRule="auto"/>
              <w:jc w:val="center"/>
              <w:rPr>
                <w:color w:val="000000"/>
                <w:sz w:val="20"/>
                <w:szCs w:val="20"/>
              </w:rPr>
            </w:pPr>
            <w:r w:rsidRPr="006D631C">
              <w:rPr>
                <w:color w:val="000000"/>
                <w:sz w:val="20"/>
                <w:szCs w:val="20"/>
              </w:rPr>
              <w:t>M-12</w:t>
            </w:r>
          </w:p>
        </w:tc>
        <w:tc>
          <w:tcPr>
            <w:tcW w:w="7655" w:type="dxa"/>
            <w:tcBorders>
              <w:left w:val="nil"/>
              <w:right w:val="nil"/>
            </w:tcBorders>
            <w:shd w:val="clear" w:color="000000" w:fill="FFFFFF"/>
            <w:noWrap/>
            <w:vAlign w:val="center"/>
            <w:hideMark/>
          </w:tcPr>
          <w:p w14:paraId="382CC8D0" w14:textId="77777777" w:rsidR="00CE3832" w:rsidRPr="006D631C" w:rsidRDefault="00CE3832" w:rsidP="00F463F6">
            <w:pPr>
              <w:spacing w:line="240" w:lineRule="auto"/>
              <w:jc w:val="center"/>
              <w:rPr>
                <w:color w:val="000000"/>
                <w:sz w:val="20"/>
                <w:szCs w:val="20"/>
              </w:rPr>
            </w:pPr>
            <w:r w:rsidRPr="006D631C">
              <w:rPr>
                <w:color w:val="000000"/>
                <w:sz w:val="20"/>
                <w:szCs w:val="20"/>
              </w:rPr>
              <w:t>2-(</w:t>
            </w:r>
            <w:proofErr w:type="spellStart"/>
            <w:r w:rsidRPr="006D631C">
              <w:rPr>
                <w:color w:val="000000"/>
                <w:sz w:val="20"/>
                <w:szCs w:val="20"/>
              </w:rPr>
              <w:t>Dimethylamino</w:t>
            </w:r>
            <w:proofErr w:type="spellEnd"/>
            <w:r w:rsidRPr="006D631C">
              <w:rPr>
                <w:color w:val="000000"/>
                <w:sz w:val="20"/>
                <w:szCs w:val="20"/>
              </w:rPr>
              <w:t>)ethyl methacrylate</w:t>
            </w:r>
          </w:p>
        </w:tc>
      </w:tr>
      <w:tr w:rsidR="00CE3832" w:rsidRPr="006D631C" w14:paraId="64F3F68F" w14:textId="77777777" w:rsidTr="00761EE3">
        <w:trPr>
          <w:cantSplit/>
          <w:trHeight w:val="20"/>
          <w:jc w:val="center"/>
        </w:trPr>
        <w:tc>
          <w:tcPr>
            <w:tcW w:w="426" w:type="dxa"/>
            <w:vMerge/>
            <w:tcBorders>
              <w:left w:val="nil"/>
              <w:right w:val="nil"/>
            </w:tcBorders>
            <w:vAlign w:val="center"/>
            <w:hideMark/>
          </w:tcPr>
          <w:p w14:paraId="6347B581" w14:textId="77777777" w:rsidR="00CE3832" w:rsidRPr="006D631C" w:rsidRDefault="00CE3832" w:rsidP="00F463F6">
            <w:pPr>
              <w:spacing w:line="240" w:lineRule="auto"/>
              <w:jc w:val="center"/>
              <w:rPr>
                <w:color w:val="000000"/>
                <w:sz w:val="20"/>
                <w:szCs w:val="20"/>
              </w:rPr>
            </w:pPr>
          </w:p>
        </w:tc>
        <w:tc>
          <w:tcPr>
            <w:tcW w:w="850" w:type="dxa"/>
            <w:tcBorders>
              <w:left w:val="nil"/>
              <w:right w:val="nil"/>
            </w:tcBorders>
            <w:shd w:val="clear" w:color="000000" w:fill="FFFFFF"/>
            <w:noWrap/>
            <w:vAlign w:val="center"/>
            <w:hideMark/>
          </w:tcPr>
          <w:p w14:paraId="510B0CEC" w14:textId="77777777" w:rsidR="00CE3832" w:rsidRPr="006D631C" w:rsidRDefault="00CE3832" w:rsidP="00F463F6">
            <w:pPr>
              <w:spacing w:line="240" w:lineRule="auto"/>
              <w:jc w:val="center"/>
              <w:rPr>
                <w:color w:val="000000"/>
                <w:sz w:val="20"/>
                <w:szCs w:val="20"/>
              </w:rPr>
            </w:pPr>
            <w:r w:rsidRPr="006D631C">
              <w:rPr>
                <w:color w:val="000000"/>
                <w:sz w:val="20"/>
                <w:szCs w:val="20"/>
              </w:rPr>
              <w:t>M-13</w:t>
            </w:r>
          </w:p>
        </w:tc>
        <w:tc>
          <w:tcPr>
            <w:tcW w:w="7655" w:type="dxa"/>
            <w:tcBorders>
              <w:left w:val="nil"/>
              <w:right w:val="nil"/>
            </w:tcBorders>
            <w:shd w:val="clear" w:color="000000" w:fill="FFFFFF"/>
            <w:noWrap/>
            <w:vAlign w:val="center"/>
            <w:hideMark/>
          </w:tcPr>
          <w:p w14:paraId="2FFBABA0" w14:textId="77777777" w:rsidR="00CE3832" w:rsidRPr="006D631C" w:rsidRDefault="00CE3832" w:rsidP="00F463F6">
            <w:pPr>
              <w:spacing w:line="240" w:lineRule="auto"/>
              <w:jc w:val="center"/>
              <w:rPr>
                <w:color w:val="000000"/>
                <w:sz w:val="20"/>
                <w:szCs w:val="20"/>
              </w:rPr>
            </w:pPr>
            <w:r w:rsidRPr="006D631C">
              <w:rPr>
                <w:color w:val="000000"/>
                <w:sz w:val="20"/>
                <w:szCs w:val="20"/>
              </w:rPr>
              <w:t>2-Hydroxyethyl methacrylate</w:t>
            </w:r>
          </w:p>
        </w:tc>
      </w:tr>
      <w:tr w:rsidR="00CE3832" w:rsidRPr="006D631C" w14:paraId="72CA4D01" w14:textId="77777777" w:rsidTr="00761EE3">
        <w:trPr>
          <w:cantSplit/>
          <w:trHeight w:val="20"/>
          <w:jc w:val="center"/>
        </w:trPr>
        <w:tc>
          <w:tcPr>
            <w:tcW w:w="426" w:type="dxa"/>
            <w:vMerge/>
            <w:tcBorders>
              <w:left w:val="nil"/>
              <w:right w:val="nil"/>
            </w:tcBorders>
            <w:vAlign w:val="center"/>
            <w:hideMark/>
          </w:tcPr>
          <w:p w14:paraId="7E46B931"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7A3B868E" w14:textId="77777777" w:rsidR="00CE3832" w:rsidRPr="006D631C" w:rsidRDefault="00CE3832" w:rsidP="00F463F6">
            <w:pPr>
              <w:spacing w:line="240" w:lineRule="auto"/>
              <w:jc w:val="center"/>
              <w:rPr>
                <w:color w:val="000000"/>
                <w:sz w:val="20"/>
                <w:szCs w:val="20"/>
              </w:rPr>
            </w:pPr>
            <w:r w:rsidRPr="006D631C">
              <w:rPr>
                <w:color w:val="000000"/>
                <w:sz w:val="20"/>
                <w:szCs w:val="20"/>
              </w:rPr>
              <w:t>M-14</w:t>
            </w:r>
          </w:p>
        </w:tc>
        <w:tc>
          <w:tcPr>
            <w:tcW w:w="7655" w:type="dxa"/>
            <w:tcBorders>
              <w:left w:val="nil"/>
              <w:right w:val="nil"/>
            </w:tcBorders>
            <w:shd w:val="clear" w:color="000000" w:fill="FFFFFF"/>
            <w:noWrap/>
            <w:vAlign w:val="center"/>
            <w:hideMark/>
          </w:tcPr>
          <w:p w14:paraId="58A5FC3B" w14:textId="77777777" w:rsidR="00CE3832" w:rsidRPr="006D631C" w:rsidRDefault="00CE3832" w:rsidP="00F463F6">
            <w:pPr>
              <w:spacing w:line="240" w:lineRule="auto"/>
              <w:jc w:val="center"/>
              <w:rPr>
                <w:color w:val="000000"/>
                <w:sz w:val="20"/>
                <w:szCs w:val="20"/>
              </w:rPr>
            </w:pPr>
            <w:r w:rsidRPr="006D631C">
              <w:rPr>
                <w:color w:val="000000"/>
                <w:sz w:val="20"/>
                <w:szCs w:val="20"/>
              </w:rPr>
              <w:t>2-Carboxyethyl acrylate</w:t>
            </w:r>
          </w:p>
        </w:tc>
      </w:tr>
      <w:tr w:rsidR="00CE3832" w:rsidRPr="006D631C" w14:paraId="01C82A57" w14:textId="77777777" w:rsidTr="00761EE3">
        <w:trPr>
          <w:cantSplit/>
          <w:trHeight w:val="20"/>
          <w:jc w:val="center"/>
        </w:trPr>
        <w:tc>
          <w:tcPr>
            <w:tcW w:w="426" w:type="dxa"/>
            <w:vMerge/>
            <w:tcBorders>
              <w:left w:val="nil"/>
              <w:right w:val="nil"/>
            </w:tcBorders>
            <w:vAlign w:val="center"/>
            <w:hideMark/>
          </w:tcPr>
          <w:p w14:paraId="55F91CF1"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50D833E0" w14:textId="77777777" w:rsidR="00CE3832" w:rsidRPr="006D631C" w:rsidRDefault="00CE3832" w:rsidP="00F463F6">
            <w:pPr>
              <w:spacing w:line="240" w:lineRule="auto"/>
              <w:jc w:val="center"/>
              <w:rPr>
                <w:color w:val="000000"/>
                <w:sz w:val="20"/>
                <w:szCs w:val="20"/>
              </w:rPr>
            </w:pPr>
            <w:r w:rsidRPr="006D631C">
              <w:rPr>
                <w:color w:val="000000"/>
                <w:sz w:val="20"/>
                <w:szCs w:val="20"/>
              </w:rPr>
              <w:t>M-15</w:t>
            </w:r>
          </w:p>
        </w:tc>
        <w:tc>
          <w:tcPr>
            <w:tcW w:w="7655" w:type="dxa"/>
            <w:tcBorders>
              <w:left w:val="nil"/>
              <w:right w:val="nil"/>
            </w:tcBorders>
            <w:shd w:val="clear" w:color="000000" w:fill="FFFFFF"/>
            <w:noWrap/>
            <w:vAlign w:val="center"/>
            <w:hideMark/>
          </w:tcPr>
          <w:p w14:paraId="114AE88D" w14:textId="77777777" w:rsidR="00CE3832" w:rsidRPr="006D631C" w:rsidRDefault="00CE3832" w:rsidP="00F463F6">
            <w:pPr>
              <w:spacing w:line="240" w:lineRule="auto"/>
              <w:jc w:val="center"/>
              <w:rPr>
                <w:color w:val="000000"/>
                <w:sz w:val="20"/>
                <w:szCs w:val="20"/>
              </w:rPr>
            </w:pPr>
            <w:r w:rsidRPr="006D631C">
              <w:rPr>
                <w:color w:val="000000"/>
                <w:sz w:val="20"/>
                <w:szCs w:val="20"/>
              </w:rPr>
              <w:t>2-(</w:t>
            </w:r>
            <w:proofErr w:type="spellStart"/>
            <w:r w:rsidRPr="006D631C">
              <w:rPr>
                <w:color w:val="000000"/>
                <w:sz w:val="20"/>
                <w:szCs w:val="20"/>
              </w:rPr>
              <w:t>Acrylamido</w:t>
            </w:r>
            <w:proofErr w:type="spellEnd"/>
            <w:r w:rsidRPr="006D631C">
              <w:rPr>
                <w:color w:val="000000"/>
                <w:sz w:val="20"/>
                <w:szCs w:val="20"/>
              </w:rPr>
              <w:t>)-2-methyl-1-propansulfonic acid</w:t>
            </w:r>
          </w:p>
        </w:tc>
      </w:tr>
      <w:tr w:rsidR="00CE3832" w:rsidRPr="006D631C" w14:paraId="09EB574B" w14:textId="77777777" w:rsidTr="00761EE3">
        <w:trPr>
          <w:cantSplit/>
          <w:trHeight w:val="20"/>
          <w:jc w:val="center"/>
        </w:trPr>
        <w:tc>
          <w:tcPr>
            <w:tcW w:w="426" w:type="dxa"/>
            <w:vMerge/>
            <w:tcBorders>
              <w:left w:val="nil"/>
              <w:right w:val="nil"/>
            </w:tcBorders>
            <w:vAlign w:val="center"/>
            <w:hideMark/>
          </w:tcPr>
          <w:p w14:paraId="770CF929"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47BF8485" w14:textId="77777777" w:rsidR="00CE3832" w:rsidRPr="006D631C" w:rsidRDefault="00CE3832" w:rsidP="00F463F6">
            <w:pPr>
              <w:spacing w:line="240" w:lineRule="auto"/>
              <w:jc w:val="center"/>
              <w:rPr>
                <w:color w:val="000000"/>
                <w:sz w:val="20"/>
                <w:szCs w:val="20"/>
              </w:rPr>
            </w:pPr>
            <w:r w:rsidRPr="006D631C">
              <w:rPr>
                <w:color w:val="000000"/>
                <w:sz w:val="20"/>
                <w:szCs w:val="20"/>
              </w:rPr>
              <w:t>M-16</w:t>
            </w:r>
          </w:p>
        </w:tc>
        <w:tc>
          <w:tcPr>
            <w:tcW w:w="7655" w:type="dxa"/>
            <w:tcBorders>
              <w:left w:val="nil"/>
              <w:right w:val="nil"/>
            </w:tcBorders>
            <w:shd w:val="clear" w:color="000000" w:fill="FFFFFF"/>
            <w:noWrap/>
            <w:vAlign w:val="center"/>
            <w:hideMark/>
          </w:tcPr>
          <w:p w14:paraId="194BBF01" w14:textId="77777777" w:rsidR="00CE3832" w:rsidRPr="006D631C" w:rsidRDefault="00CE3832" w:rsidP="00F463F6">
            <w:pPr>
              <w:spacing w:line="240" w:lineRule="auto"/>
              <w:jc w:val="center"/>
              <w:rPr>
                <w:color w:val="000000"/>
                <w:sz w:val="20"/>
                <w:szCs w:val="20"/>
              </w:rPr>
            </w:pPr>
            <w:r w:rsidRPr="006D631C">
              <w:rPr>
                <w:color w:val="000000"/>
                <w:sz w:val="20"/>
                <w:szCs w:val="20"/>
              </w:rPr>
              <w:t>Sodium acrylate</w:t>
            </w:r>
          </w:p>
        </w:tc>
      </w:tr>
      <w:tr w:rsidR="00CE3832" w:rsidRPr="006D631C" w14:paraId="3104748F" w14:textId="77777777" w:rsidTr="00761EE3">
        <w:trPr>
          <w:cantSplit/>
          <w:trHeight w:val="20"/>
          <w:jc w:val="center"/>
        </w:trPr>
        <w:tc>
          <w:tcPr>
            <w:tcW w:w="426" w:type="dxa"/>
            <w:vMerge/>
            <w:tcBorders>
              <w:left w:val="nil"/>
              <w:right w:val="nil"/>
            </w:tcBorders>
            <w:vAlign w:val="center"/>
            <w:hideMark/>
          </w:tcPr>
          <w:p w14:paraId="24808821"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71F31015" w14:textId="77777777" w:rsidR="00CE3832" w:rsidRPr="006D631C" w:rsidRDefault="00CE3832" w:rsidP="00F463F6">
            <w:pPr>
              <w:spacing w:line="240" w:lineRule="auto"/>
              <w:jc w:val="center"/>
              <w:rPr>
                <w:color w:val="000000"/>
                <w:sz w:val="20"/>
                <w:szCs w:val="20"/>
              </w:rPr>
            </w:pPr>
            <w:r w:rsidRPr="006D631C">
              <w:rPr>
                <w:color w:val="000000"/>
                <w:sz w:val="20"/>
                <w:szCs w:val="20"/>
              </w:rPr>
              <w:t>M-17</w:t>
            </w:r>
          </w:p>
        </w:tc>
        <w:tc>
          <w:tcPr>
            <w:tcW w:w="7655" w:type="dxa"/>
            <w:tcBorders>
              <w:left w:val="nil"/>
              <w:right w:val="nil"/>
            </w:tcBorders>
            <w:shd w:val="clear" w:color="000000" w:fill="FFFFFF"/>
            <w:noWrap/>
            <w:vAlign w:val="center"/>
            <w:hideMark/>
          </w:tcPr>
          <w:p w14:paraId="14BCFB61" w14:textId="77777777" w:rsidR="00CE3832" w:rsidRPr="006D631C" w:rsidRDefault="00CE3832" w:rsidP="00F463F6">
            <w:pPr>
              <w:spacing w:line="240" w:lineRule="auto"/>
              <w:jc w:val="center"/>
              <w:rPr>
                <w:color w:val="000000"/>
                <w:sz w:val="20"/>
                <w:szCs w:val="20"/>
              </w:rPr>
            </w:pPr>
            <w:r w:rsidRPr="006D631C">
              <w:rPr>
                <w:color w:val="000000"/>
                <w:sz w:val="20"/>
                <w:szCs w:val="20"/>
              </w:rPr>
              <w:t>Acrylic acid</w:t>
            </w:r>
          </w:p>
        </w:tc>
      </w:tr>
      <w:tr w:rsidR="00CE3832" w:rsidRPr="006D631C" w14:paraId="74CA25A4" w14:textId="77777777" w:rsidTr="00761EE3">
        <w:trPr>
          <w:cantSplit/>
          <w:trHeight w:val="20"/>
          <w:jc w:val="center"/>
        </w:trPr>
        <w:tc>
          <w:tcPr>
            <w:tcW w:w="426" w:type="dxa"/>
            <w:vMerge/>
            <w:tcBorders>
              <w:left w:val="nil"/>
              <w:right w:val="nil"/>
            </w:tcBorders>
            <w:vAlign w:val="center"/>
            <w:hideMark/>
          </w:tcPr>
          <w:p w14:paraId="12F84DE5"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5AD109A8" w14:textId="77777777" w:rsidR="00CE3832" w:rsidRPr="006D631C" w:rsidRDefault="00CE3832" w:rsidP="00F463F6">
            <w:pPr>
              <w:spacing w:line="240" w:lineRule="auto"/>
              <w:jc w:val="center"/>
              <w:rPr>
                <w:color w:val="000000"/>
                <w:sz w:val="20"/>
                <w:szCs w:val="20"/>
              </w:rPr>
            </w:pPr>
            <w:r w:rsidRPr="006D631C">
              <w:rPr>
                <w:color w:val="000000"/>
                <w:sz w:val="20"/>
                <w:szCs w:val="20"/>
              </w:rPr>
              <w:t>M-18</w:t>
            </w:r>
          </w:p>
        </w:tc>
        <w:tc>
          <w:tcPr>
            <w:tcW w:w="7655" w:type="dxa"/>
            <w:tcBorders>
              <w:left w:val="nil"/>
              <w:right w:val="nil"/>
            </w:tcBorders>
            <w:shd w:val="clear" w:color="000000" w:fill="FFFFFF"/>
            <w:noWrap/>
            <w:vAlign w:val="center"/>
            <w:hideMark/>
          </w:tcPr>
          <w:p w14:paraId="206C461A" w14:textId="77777777" w:rsidR="00CE3832" w:rsidRPr="006D631C" w:rsidRDefault="00CE3832" w:rsidP="00F463F6">
            <w:pPr>
              <w:spacing w:line="240" w:lineRule="auto"/>
              <w:jc w:val="center"/>
              <w:rPr>
                <w:color w:val="000000"/>
                <w:sz w:val="20"/>
                <w:szCs w:val="20"/>
              </w:rPr>
            </w:pPr>
            <w:r w:rsidRPr="006D631C">
              <w:rPr>
                <w:color w:val="000000"/>
                <w:sz w:val="20"/>
                <w:szCs w:val="20"/>
              </w:rPr>
              <w:t>2,3-Dihydrothieno[3,4-b]-1,4-dioxin</w:t>
            </w:r>
          </w:p>
        </w:tc>
      </w:tr>
      <w:tr w:rsidR="00CE3832" w:rsidRPr="006D631C" w14:paraId="5325D6A8" w14:textId="77777777" w:rsidTr="00761EE3">
        <w:trPr>
          <w:cantSplit/>
          <w:trHeight w:val="20"/>
          <w:jc w:val="center"/>
        </w:trPr>
        <w:tc>
          <w:tcPr>
            <w:tcW w:w="426" w:type="dxa"/>
            <w:vMerge/>
            <w:tcBorders>
              <w:left w:val="nil"/>
              <w:right w:val="nil"/>
            </w:tcBorders>
            <w:vAlign w:val="center"/>
            <w:hideMark/>
          </w:tcPr>
          <w:p w14:paraId="0A12E863"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1269CF58" w14:textId="77777777" w:rsidR="00CE3832" w:rsidRPr="006D631C" w:rsidRDefault="00CE3832" w:rsidP="00F463F6">
            <w:pPr>
              <w:spacing w:line="240" w:lineRule="auto"/>
              <w:jc w:val="center"/>
              <w:rPr>
                <w:color w:val="000000"/>
                <w:sz w:val="20"/>
                <w:szCs w:val="20"/>
              </w:rPr>
            </w:pPr>
            <w:r w:rsidRPr="006D631C">
              <w:rPr>
                <w:color w:val="000000"/>
                <w:sz w:val="20"/>
                <w:szCs w:val="20"/>
              </w:rPr>
              <w:t>M-19</w:t>
            </w:r>
          </w:p>
        </w:tc>
        <w:tc>
          <w:tcPr>
            <w:tcW w:w="7655" w:type="dxa"/>
            <w:tcBorders>
              <w:left w:val="nil"/>
              <w:right w:val="nil"/>
            </w:tcBorders>
            <w:shd w:val="clear" w:color="000000" w:fill="FFFFFF"/>
            <w:noWrap/>
            <w:vAlign w:val="center"/>
            <w:hideMark/>
          </w:tcPr>
          <w:p w14:paraId="00443159"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dimethyldimethoxysilane</w:t>
            </w:r>
            <w:proofErr w:type="spellEnd"/>
          </w:p>
        </w:tc>
      </w:tr>
      <w:tr w:rsidR="00CE3832" w:rsidRPr="006D631C" w14:paraId="0C9692D7" w14:textId="77777777" w:rsidTr="00761EE3">
        <w:trPr>
          <w:cantSplit/>
          <w:trHeight w:val="20"/>
          <w:jc w:val="center"/>
        </w:trPr>
        <w:tc>
          <w:tcPr>
            <w:tcW w:w="426" w:type="dxa"/>
            <w:vMerge/>
            <w:tcBorders>
              <w:left w:val="nil"/>
              <w:right w:val="nil"/>
            </w:tcBorders>
            <w:vAlign w:val="center"/>
            <w:hideMark/>
          </w:tcPr>
          <w:p w14:paraId="6DA8D521"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01054303" w14:textId="77777777" w:rsidR="00CE3832" w:rsidRPr="006D631C" w:rsidRDefault="00CE3832" w:rsidP="00F463F6">
            <w:pPr>
              <w:spacing w:line="240" w:lineRule="auto"/>
              <w:jc w:val="center"/>
              <w:rPr>
                <w:color w:val="000000"/>
                <w:sz w:val="20"/>
                <w:szCs w:val="20"/>
              </w:rPr>
            </w:pPr>
            <w:r w:rsidRPr="006D631C">
              <w:rPr>
                <w:color w:val="000000"/>
                <w:sz w:val="20"/>
                <w:szCs w:val="20"/>
              </w:rPr>
              <w:t>M-20</w:t>
            </w:r>
          </w:p>
        </w:tc>
        <w:tc>
          <w:tcPr>
            <w:tcW w:w="7655" w:type="dxa"/>
            <w:tcBorders>
              <w:left w:val="nil"/>
              <w:right w:val="nil"/>
            </w:tcBorders>
            <w:shd w:val="clear" w:color="000000" w:fill="FFFFFF"/>
            <w:noWrap/>
            <w:vAlign w:val="center"/>
            <w:hideMark/>
          </w:tcPr>
          <w:p w14:paraId="41E86C7B" w14:textId="77777777" w:rsidR="00CE3832" w:rsidRPr="006D631C" w:rsidRDefault="00CE3832" w:rsidP="00F463F6">
            <w:pPr>
              <w:spacing w:line="240" w:lineRule="auto"/>
              <w:jc w:val="center"/>
              <w:rPr>
                <w:color w:val="000000"/>
                <w:sz w:val="20"/>
                <w:szCs w:val="20"/>
              </w:rPr>
            </w:pPr>
            <w:r w:rsidRPr="006D631C">
              <w:rPr>
                <w:color w:val="000000"/>
                <w:sz w:val="20"/>
                <w:szCs w:val="20"/>
              </w:rPr>
              <w:t>1,6-Hexanediol diacrylate</w:t>
            </w:r>
          </w:p>
        </w:tc>
      </w:tr>
      <w:tr w:rsidR="00CE3832" w:rsidRPr="006D631C" w14:paraId="44E50899" w14:textId="77777777" w:rsidTr="00761EE3">
        <w:trPr>
          <w:cantSplit/>
          <w:trHeight w:val="20"/>
          <w:jc w:val="center"/>
        </w:trPr>
        <w:tc>
          <w:tcPr>
            <w:tcW w:w="426" w:type="dxa"/>
            <w:vMerge/>
            <w:tcBorders>
              <w:left w:val="nil"/>
              <w:right w:val="nil"/>
            </w:tcBorders>
            <w:vAlign w:val="center"/>
            <w:hideMark/>
          </w:tcPr>
          <w:p w14:paraId="078BED1E"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1E14556B" w14:textId="77777777" w:rsidR="00CE3832" w:rsidRPr="006D631C" w:rsidRDefault="00CE3832" w:rsidP="00F463F6">
            <w:pPr>
              <w:spacing w:line="240" w:lineRule="auto"/>
              <w:jc w:val="center"/>
              <w:rPr>
                <w:color w:val="000000"/>
                <w:sz w:val="20"/>
                <w:szCs w:val="20"/>
              </w:rPr>
            </w:pPr>
            <w:r w:rsidRPr="006D631C">
              <w:rPr>
                <w:color w:val="000000"/>
                <w:sz w:val="20"/>
                <w:szCs w:val="20"/>
              </w:rPr>
              <w:t>M-21</w:t>
            </w:r>
          </w:p>
        </w:tc>
        <w:tc>
          <w:tcPr>
            <w:tcW w:w="7655" w:type="dxa"/>
            <w:tcBorders>
              <w:left w:val="nil"/>
              <w:right w:val="nil"/>
            </w:tcBorders>
            <w:shd w:val="clear" w:color="000000" w:fill="FFFFFF"/>
            <w:noWrap/>
            <w:vAlign w:val="center"/>
            <w:hideMark/>
          </w:tcPr>
          <w:p w14:paraId="0D1DA238" w14:textId="77777777" w:rsidR="00CE3832" w:rsidRPr="006D631C" w:rsidRDefault="00CE3832" w:rsidP="00F463F6">
            <w:pPr>
              <w:spacing w:line="240" w:lineRule="auto"/>
              <w:jc w:val="center"/>
              <w:rPr>
                <w:color w:val="000000"/>
                <w:sz w:val="20"/>
                <w:szCs w:val="20"/>
              </w:rPr>
            </w:pPr>
            <w:r w:rsidRPr="006D631C">
              <w:rPr>
                <w:color w:val="000000"/>
                <w:sz w:val="20"/>
                <w:szCs w:val="20"/>
              </w:rPr>
              <w:t xml:space="preserve">Ethylene glycol </w:t>
            </w:r>
            <w:proofErr w:type="spellStart"/>
            <w:r w:rsidRPr="006D631C">
              <w:rPr>
                <w:color w:val="000000"/>
                <w:sz w:val="20"/>
                <w:szCs w:val="20"/>
              </w:rPr>
              <w:t>dimethacrylate</w:t>
            </w:r>
            <w:proofErr w:type="spellEnd"/>
          </w:p>
        </w:tc>
      </w:tr>
      <w:tr w:rsidR="00CE3832" w:rsidRPr="006D631C" w14:paraId="2EC8F952" w14:textId="77777777" w:rsidTr="00761EE3">
        <w:trPr>
          <w:cantSplit/>
          <w:trHeight w:val="20"/>
          <w:jc w:val="center"/>
        </w:trPr>
        <w:tc>
          <w:tcPr>
            <w:tcW w:w="426" w:type="dxa"/>
            <w:vMerge/>
            <w:tcBorders>
              <w:left w:val="nil"/>
              <w:right w:val="nil"/>
            </w:tcBorders>
            <w:vAlign w:val="center"/>
            <w:hideMark/>
          </w:tcPr>
          <w:p w14:paraId="2187AFA6"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6D6A3384" w14:textId="77777777" w:rsidR="00CE3832" w:rsidRPr="006D631C" w:rsidRDefault="00CE3832" w:rsidP="00F463F6">
            <w:pPr>
              <w:spacing w:line="240" w:lineRule="auto"/>
              <w:jc w:val="center"/>
              <w:rPr>
                <w:color w:val="000000"/>
                <w:sz w:val="20"/>
                <w:szCs w:val="20"/>
              </w:rPr>
            </w:pPr>
            <w:r w:rsidRPr="006D631C">
              <w:rPr>
                <w:color w:val="000000"/>
                <w:sz w:val="20"/>
                <w:szCs w:val="20"/>
              </w:rPr>
              <w:t>M-22</w:t>
            </w:r>
          </w:p>
        </w:tc>
        <w:tc>
          <w:tcPr>
            <w:tcW w:w="7655" w:type="dxa"/>
            <w:tcBorders>
              <w:left w:val="nil"/>
              <w:right w:val="nil"/>
            </w:tcBorders>
            <w:shd w:val="clear" w:color="000000" w:fill="FFFFFF"/>
            <w:noWrap/>
            <w:vAlign w:val="center"/>
            <w:hideMark/>
          </w:tcPr>
          <w:p w14:paraId="1E474258" w14:textId="77777777" w:rsidR="00CE3832" w:rsidRPr="006D631C" w:rsidRDefault="00CE3832" w:rsidP="00F463F6">
            <w:pPr>
              <w:spacing w:line="240" w:lineRule="auto"/>
              <w:jc w:val="center"/>
              <w:rPr>
                <w:color w:val="000000"/>
                <w:sz w:val="20"/>
                <w:szCs w:val="20"/>
              </w:rPr>
            </w:pPr>
            <w:r w:rsidRPr="006D631C">
              <w:rPr>
                <w:color w:val="000000"/>
                <w:sz w:val="20"/>
                <w:szCs w:val="20"/>
              </w:rPr>
              <w:t xml:space="preserve">1,6-Hexanediol </w:t>
            </w:r>
            <w:proofErr w:type="spellStart"/>
            <w:r w:rsidRPr="006D631C">
              <w:rPr>
                <w:color w:val="000000"/>
                <w:sz w:val="20"/>
                <w:szCs w:val="20"/>
              </w:rPr>
              <w:t>dimethacrylate</w:t>
            </w:r>
            <w:proofErr w:type="spellEnd"/>
          </w:p>
        </w:tc>
      </w:tr>
      <w:tr w:rsidR="00CE3832" w:rsidRPr="006D631C" w14:paraId="5C65CBE7" w14:textId="77777777" w:rsidTr="00761EE3">
        <w:trPr>
          <w:cantSplit/>
          <w:trHeight w:val="20"/>
          <w:jc w:val="center"/>
        </w:trPr>
        <w:tc>
          <w:tcPr>
            <w:tcW w:w="426" w:type="dxa"/>
            <w:vMerge/>
            <w:tcBorders>
              <w:left w:val="nil"/>
              <w:right w:val="nil"/>
            </w:tcBorders>
            <w:vAlign w:val="center"/>
            <w:hideMark/>
          </w:tcPr>
          <w:p w14:paraId="6F117FF9"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0D6774B6" w14:textId="77777777" w:rsidR="00CE3832" w:rsidRPr="006D631C" w:rsidRDefault="00CE3832" w:rsidP="00F463F6">
            <w:pPr>
              <w:spacing w:line="240" w:lineRule="auto"/>
              <w:jc w:val="center"/>
              <w:rPr>
                <w:color w:val="000000"/>
                <w:sz w:val="20"/>
                <w:szCs w:val="20"/>
              </w:rPr>
            </w:pPr>
            <w:r w:rsidRPr="006D631C">
              <w:rPr>
                <w:color w:val="000000"/>
                <w:sz w:val="20"/>
                <w:szCs w:val="20"/>
              </w:rPr>
              <w:t>M-23</w:t>
            </w:r>
          </w:p>
        </w:tc>
        <w:tc>
          <w:tcPr>
            <w:tcW w:w="7655" w:type="dxa"/>
            <w:tcBorders>
              <w:left w:val="nil"/>
              <w:right w:val="nil"/>
            </w:tcBorders>
            <w:shd w:val="clear" w:color="000000" w:fill="FFFFFF"/>
            <w:noWrap/>
            <w:vAlign w:val="center"/>
            <w:hideMark/>
          </w:tcPr>
          <w:p w14:paraId="54F52A54" w14:textId="77777777" w:rsidR="00CE3832" w:rsidRPr="006D631C" w:rsidRDefault="00CE3832" w:rsidP="00F463F6">
            <w:pPr>
              <w:spacing w:line="240" w:lineRule="auto"/>
              <w:jc w:val="center"/>
              <w:rPr>
                <w:color w:val="000000"/>
                <w:sz w:val="20"/>
                <w:szCs w:val="20"/>
              </w:rPr>
            </w:pPr>
            <w:r w:rsidRPr="006D631C">
              <w:rPr>
                <w:color w:val="000000"/>
                <w:sz w:val="20"/>
                <w:szCs w:val="20"/>
              </w:rPr>
              <w:t xml:space="preserve">Poly(ethylene glycol) </w:t>
            </w:r>
            <w:proofErr w:type="spellStart"/>
            <w:r w:rsidRPr="006D631C">
              <w:rPr>
                <w:color w:val="000000"/>
                <w:sz w:val="20"/>
                <w:szCs w:val="20"/>
              </w:rPr>
              <w:t>dimethacrylate</w:t>
            </w:r>
            <w:proofErr w:type="spellEnd"/>
          </w:p>
        </w:tc>
      </w:tr>
      <w:tr w:rsidR="00CE3832" w:rsidRPr="006D631C" w14:paraId="4F3C68D1" w14:textId="77777777" w:rsidTr="00761EE3">
        <w:trPr>
          <w:cantSplit/>
          <w:trHeight w:val="20"/>
          <w:jc w:val="center"/>
        </w:trPr>
        <w:tc>
          <w:tcPr>
            <w:tcW w:w="426" w:type="dxa"/>
            <w:vMerge/>
            <w:tcBorders>
              <w:left w:val="nil"/>
              <w:right w:val="nil"/>
            </w:tcBorders>
            <w:vAlign w:val="center"/>
            <w:hideMark/>
          </w:tcPr>
          <w:p w14:paraId="484C52A1"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330AD20A" w14:textId="77777777" w:rsidR="00CE3832" w:rsidRPr="006D631C" w:rsidRDefault="00CE3832" w:rsidP="00F463F6">
            <w:pPr>
              <w:spacing w:line="240" w:lineRule="auto"/>
              <w:jc w:val="center"/>
              <w:rPr>
                <w:color w:val="000000"/>
                <w:sz w:val="20"/>
                <w:szCs w:val="20"/>
              </w:rPr>
            </w:pPr>
            <w:r w:rsidRPr="006D631C">
              <w:rPr>
                <w:color w:val="000000"/>
                <w:sz w:val="20"/>
                <w:szCs w:val="20"/>
              </w:rPr>
              <w:t>M-24</w:t>
            </w:r>
          </w:p>
        </w:tc>
        <w:tc>
          <w:tcPr>
            <w:tcW w:w="7655" w:type="dxa"/>
            <w:tcBorders>
              <w:left w:val="nil"/>
              <w:right w:val="nil"/>
            </w:tcBorders>
            <w:shd w:val="clear" w:color="000000" w:fill="FFFFFF"/>
            <w:noWrap/>
            <w:vAlign w:val="center"/>
            <w:hideMark/>
          </w:tcPr>
          <w:p w14:paraId="4128A485" w14:textId="77777777" w:rsidR="00CE3832" w:rsidRPr="006D631C" w:rsidRDefault="00CE3832" w:rsidP="00F463F6">
            <w:pPr>
              <w:spacing w:line="240" w:lineRule="auto"/>
              <w:jc w:val="center"/>
              <w:rPr>
                <w:color w:val="000000"/>
                <w:sz w:val="20"/>
                <w:szCs w:val="20"/>
              </w:rPr>
            </w:pPr>
            <w:r w:rsidRPr="006D631C">
              <w:rPr>
                <w:color w:val="000000"/>
                <w:sz w:val="20"/>
                <w:szCs w:val="20"/>
              </w:rPr>
              <w:t>Poly(ethylene glycol) diacrylate</w:t>
            </w:r>
          </w:p>
        </w:tc>
      </w:tr>
      <w:tr w:rsidR="00CE3832" w:rsidRPr="006D631C" w14:paraId="52DDD0CA" w14:textId="77777777" w:rsidTr="00761EE3">
        <w:trPr>
          <w:cantSplit/>
          <w:trHeight w:val="20"/>
          <w:jc w:val="center"/>
        </w:trPr>
        <w:tc>
          <w:tcPr>
            <w:tcW w:w="426" w:type="dxa"/>
            <w:vMerge/>
            <w:tcBorders>
              <w:left w:val="nil"/>
              <w:right w:val="nil"/>
            </w:tcBorders>
            <w:vAlign w:val="center"/>
            <w:hideMark/>
          </w:tcPr>
          <w:p w14:paraId="5B8E0658"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729657CD" w14:textId="77777777" w:rsidR="00CE3832" w:rsidRPr="006D631C" w:rsidRDefault="00CE3832" w:rsidP="00F463F6">
            <w:pPr>
              <w:spacing w:line="240" w:lineRule="auto"/>
              <w:jc w:val="center"/>
              <w:rPr>
                <w:color w:val="000000"/>
                <w:sz w:val="20"/>
                <w:szCs w:val="20"/>
              </w:rPr>
            </w:pPr>
            <w:r w:rsidRPr="006D631C">
              <w:rPr>
                <w:color w:val="000000"/>
                <w:sz w:val="20"/>
                <w:szCs w:val="20"/>
              </w:rPr>
              <w:t>M-25</w:t>
            </w:r>
          </w:p>
        </w:tc>
        <w:tc>
          <w:tcPr>
            <w:tcW w:w="7655" w:type="dxa"/>
            <w:tcBorders>
              <w:left w:val="nil"/>
              <w:right w:val="nil"/>
            </w:tcBorders>
            <w:shd w:val="clear" w:color="000000" w:fill="FFFFFF"/>
            <w:noWrap/>
            <w:vAlign w:val="center"/>
            <w:hideMark/>
          </w:tcPr>
          <w:p w14:paraId="0CB33AA7"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Ethyloxy</w:t>
            </w:r>
            <w:proofErr w:type="spellEnd"/>
            <w:r w:rsidRPr="006D631C">
              <w:rPr>
                <w:color w:val="000000"/>
                <w:sz w:val="20"/>
                <w:szCs w:val="20"/>
              </w:rPr>
              <w:t xml:space="preserve"> succinate </w:t>
            </w:r>
            <w:proofErr w:type="spellStart"/>
            <w:r w:rsidRPr="006D631C">
              <w:rPr>
                <w:color w:val="000000"/>
                <w:sz w:val="20"/>
                <w:szCs w:val="20"/>
              </w:rPr>
              <w:t>dimethacrylate</w:t>
            </w:r>
            <w:proofErr w:type="spellEnd"/>
          </w:p>
        </w:tc>
      </w:tr>
      <w:tr w:rsidR="00CE3832" w:rsidRPr="006D631C" w14:paraId="2E9F04C9" w14:textId="77777777" w:rsidTr="00761EE3">
        <w:trPr>
          <w:cantSplit/>
          <w:trHeight w:val="20"/>
          <w:jc w:val="center"/>
        </w:trPr>
        <w:tc>
          <w:tcPr>
            <w:tcW w:w="426" w:type="dxa"/>
            <w:vMerge/>
            <w:tcBorders>
              <w:left w:val="nil"/>
              <w:right w:val="nil"/>
            </w:tcBorders>
            <w:vAlign w:val="center"/>
            <w:hideMark/>
          </w:tcPr>
          <w:p w14:paraId="229FB119"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6359CC25" w14:textId="77777777" w:rsidR="00CE3832" w:rsidRPr="006D631C" w:rsidRDefault="00CE3832" w:rsidP="00F463F6">
            <w:pPr>
              <w:spacing w:line="240" w:lineRule="auto"/>
              <w:jc w:val="center"/>
              <w:rPr>
                <w:color w:val="000000"/>
                <w:sz w:val="20"/>
                <w:szCs w:val="20"/>
              </w:rPr>
            </w:pPr>
            <w:r w:rsidRPr="006D631C">
              <w:rPr>
                <w:color w:val="000000"/>
                <w:sz w:val="20"/>
                <w:szCs w:val="20"/>
              </w:rPr>
              <w:t>M-26</w:t>
            </w:r>
          </w:p>
        </w:tc>
        <w:tc>
          <w:tcPr>
            <w:tcW w:w="7655" w:type="dxa"/>
            <w:tcBorders>
              <w:left w:val="nil"/>
              <w:right w:val="nil"/>
            </w:tcBorders>
            <w:shd w:val="clear" w:color="000000" w:fill="FFFFFF"/>
            <w:noWrap/>
            <w:vAlign w:val="center"/>
            <w:hideMark/>
          </w:tcPr>
          <w:p w14:paraId="06F98CE6" w14:textId="77777777" w:rsidR="00CE3832" w:rsidRPr="006D631C" w:rsidRDefault="00CE3832" w:rsidP="00F463F6">
            <w:pPr>
              <w:spacing w:line="240" w:lineRule="auto"/>
              <w:jc w:val="center"/>
              <w:rPr>
                <w:color w:val="000000"/>
                <w:sz w:val="20"/>
                <w:szCs w:val="20"/>
              </w:rPr>
            </w:pPr>
            <w:r w:rsidRPr="006D631C">
              <w:rPr>
                <w:color w:val="000000"/>
                <w:sz w:val="20"/>
                <w:szCs w:val="20"/>
              </w:rPr>
              <w:t>PLA-</w:t>
            </w:r>
            <w:r w:rsidRPr="006D631C">
              <w:rPr>
                <w:i/>
                <w:iCs/>
                <w:color w:val="000000"/>
                <w:sz w:val="20"/>
                <w:szCs w:val="20"/>
              </w:rPr>
              <w:t>b</w:t>
            </w:r>
            <w:r w:rsidRPr="006D631C">
              <w:rPr>
                <w:color w:val="000000"/>
                <w:sz w:val="20"/>
                <w:szCs w:val="20"/>
              </w:rPr>
              <w:t>-PEG-</w:t>
            </w:r>
            <w:r w:rsidRPr="006D631C">
              <w:rPr>
                <w:i/>
                <w:iCs/>
                <w:color w:val="000000"/>
                <w:sz w:val="20"/>
                <w:szCs w:val="20"/>
              </w:rPr>
              <w:t>b</w:t>
            </w:r>
            <w:r w:rsidRPr="006D631C">
              <w:rPr>
                <w:color w:val="000000"/>
                <w:sz w:val="20"/>
                <w:szCs w:val="20"/>
              </w:rPr>
              <w:t>-PLA diacrylate</w:t>
            </w:r>
          </w:p>
        </w:tc>
      </w:tr>
      <w:tr w:rsidR="00CE3832" w:rsidRPr="006D631C" w14:paraId="0A24072A" w14:textId="77777777" w:rsidTr="00761EE3">
        <w:trPr>
          <w:cantSplit/>
          <w:trHeight w:val="20"/>
          <w:jc w:val="center"/>
        </w:trPr>
        <w:tc>
          <w:tcPr>
            <w:tcW w:w="426" w:type="dxa"/>
            <w:vMerge/>
            <w:tcBorders>
              <w:left w:val="nil"/>
              <w:right w:val="nil"/>
            </w:tcBorders>
            <w:vAlign w:val="center"/>
            <w:hideMark/>
          </w:tcPr>
          <w:p w14:paraId="25875376"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5399916F" w14:textId="77777777" w:rsidR="00CE3832" w:rsidRPr="006D631C" w:rsidRDefault="00CE3832" w:rsidP="00F463F6">
            <w:pPr>
              <w:spacing w:line="240" w:lineRule="auto"/>
              <w:jc w:val="center"/>
              <w:rPr>
                <w:color w:val="000000"/>
                <w:sz w:val="20"/>
                <w:szCs w:val="20"/>
              </w:rPr>
            </w:pPr>
            <w:r w:rsidRPr="006D631C">
              <w:rPr>
                <w:color w:val="000000"/>
                <w:sz w:val="20"/>
                <w:szCs w:val="20"/>
              </w:rPr>
              <w:t>M-27</w:t>
            </w:r>
          </w:p>
        </w:tc>
        <w:tc>
          <w:tcPr>
            <w:tcW w:w="7655" w:type="dxa"/>
            <w:tcBorders>
              <w:left w:val="nil"/>
              <w:right w:val="nil"/>
            </w:tcBorders>
            <w:shd w:val="clear" w:color="000000" w:fill="FFFFFF"/>
            <w:noWrap/>
            <w:vAlign w:val="center"/>
            <w:hideMark/>
          </w:tcPr>
          <w:p w14:paraId="456D38AC" w14:textId="77777777" w:rsidR="00CE3832" w:rsidRPr="006D631C" w:rsidRDefault="00CE3832" w:rsidP="00F463F6">
            <w:pPr>
              <w:spacing w:line="240" w:lineRule="auto"/>
              <w:jc w:val="center"/>
              <w:rPr>
                <w:color w:val="000000"/>
                <w:sz w:val="20"/>
                <w:szCs w:val="20"/>
              </w:rPr>
            </w:pPr>
            <w:r w:rsidRPr="006D631C">
              <w:rPr>
                <w:color w:val="000000"/>
                <w:sz w:val="20"/>
                <w:szCs w:val="20"/>
              </w:rPr>
              <w:t>PLA-</w:t>
            </w:r>
            <w:r w:rsidRPr="006D631C">
              <w:rPr>
                <w:i/>
                <w:iCs/>
                <w:color w:val="000000"/>
                <w:sz w:val="20"/>
                <w:szCs w:val="20"/>
              </w:rPr>
              <w:t>b</w:t>
            </w:r>
            <w:r w:rsidRPr="006D631C">
              <w:rPr>
                <w:color w:val="000000"/>
                <w:sz w:val="20"/>
                <w:szCs w:val="20"/>
              </w:rPr>
              <w:t>-PEG-</w:t>
            </w:r>
            <w:r w:rsidRPr="006D631C">
              <w:rPr>
                <w:i/>
                <w:iCs/>
                <w:color w:val="000000"/>
                <w:sz w:val="20"/>
                <w:szCs w:val="20"/>
              </w:rPr>
              <w:t>b</w:t>
            </w:r>
            <w:r w:rsidRPr="006D631C">
              <w:rPr>
                <w:color w:val="000000"/>
                <w:sz w:val="20"/>
                <w:szCs w:val="20"/>
              </w:rPr>
              <w:t xml:space="preserve">-PLA </w:t>
            </w:r>
            <w:proofErr w:type="spellStart"/>
            <w:r w:rsidRPr="006D631C">
              <w:rPr>
                <w:color w:val="000000"/>
                <w:sz w:val="20"/>
                <w:szCs w:val="20"/>
              </w:rPr>
              <w:t>dimethacrylate</w:t>
            </w:r>
            <w:proofErr w:type="spellEnd"/>
          </w:p>
        </w:tc>
      </w:tr>
      <w:tr w:rsidR="00CE3832" w:rsidRPr="006D631C" w14:paraId="7CE20284" w14:textId="77777777" w:rsidTr="00761EE3">
        <w:trPr>
          <w:cantSplit/>
          <w:trHeight w:val="20"/>
          <w:jc w:val="center"/>
        </w:trPr>
        <w:tc>
          <w:tcPr>
            <w:tcW w:w="426" w:type="dxa"/>
            <w:vMerge/>
            <w:tcBorders>
              <w:left w:val="nil"/>
              <w:right w:val="nil"/>
            </w:tcBorders>
            <w:vAlign w:val="center"/>
            <w:hideMark/>
          </w:tcPr>
          <w:p w14:paraId="23338038"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09CAB366" w14:textId="77777777" w:rsidR="00CE3832" w:rsidRPr="006D631C" w:rsidRDefault="00CE3832" w:rsidP="00F463F6">
            <w:pPr>
              <w:spacing w:line="240" w:lineRule="auto"/>
              <w:jc w:val="center"/>
              <w:rPr>
                <w:color w:val="000000"/>
                <w:sz w:val="20"/>
                <w:szCs w:val="20"/>
              </w:rPr>
            </w:pPr>
            <w:r w:rsidRPr="006D631C">
              <w:rPr>
                <w:color w:val="000000"/>
                <w:sz w:val="20"/>
                <w:szCs w:val="20"/>
              </w:rPr>
              <w:t>M-28</w:t>
            </w:r>
          </w:p>
        </w:tc>
        <w:tc>
          <w:tcPr>
            <w:tcW w:w="7655" w:type="dxa"/>
            <w:tcBorders>
              <w:left w:val="nil"/>
              <w:right w:val="nil"/>
            </w:tcBorders>
            <w:shd w:val="clear" w:color="000000" w:fill="FFFFFF"/>
            <w:noWrap/>
            <w:vAlign w:val="center"/>
            <w:hideMark/>
          </w:tcPr>
          <w:p w14:paraId="4050F55F"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Caprolactone</w:t>
            </w:r>
            <w:proofErr w:type="spellEnd"/>
            <w:r w:rsidRPr="006D631C">
              <w:rPr>
                <w:color w:val="000000"/>
                <w:sz w:val="20"/>
                <w:szCs w:val="20"/>
              </w:rPr>
              <w:t xml:space="preserve"> </w:t>
            </w:r>
            <w:proofErr w:type="spellStart"/>
            <w:r w:rsidRPr="006D631C">
              <w:rPr>
                <w:color w:val="000000"/>
                <w:sz w:val="20"/>
                <w:szCs w:val="20"/>
              </w:rPr>
              <w:t>dimethacrylate</w:t>
            </w:r>
            <w:proofErr w:type="spellEnd"/>
          </w:p>
        </w:tc>
      </w:tr>
      <w:tr w:rsidR="00CE3832" w:rsidRPr="006D631C" w14:paraId="61E4B498" w14:textId="77777777" w:rsidTr="00761EE3">
        <w:trPr>
          <w:cantSplit/>
          <w:trHeight w:val="20"/>
          <w:jc w:val="center"/>
        </w:trPr>
        <w:tc>
          <w:tcPr>
            <w:tcW w:w="426" w:type="dxa"/>
            <w:vMerge/>
            <w:tcBorders>
              <w:left w:val="nil"/>
              <w:right w:val="nil"/>
            </w:tcBorders>
            <w:vAlign w:val="center"/>
            <w:hideMark/>
          </w:tcPr>
          <w:p w14:paraId="05878D53"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3C4556EF" w14:textId="77777777" w:rsidR="00CE3832" w:rsidRPr="006D631C" w:rsidRDefault="00CE3832" w:rsidP="00F463F6">
            <w:pPr>
              <w:spacing w:line="240" w:lineRule="auto"/>
              <w:jc w:val="center"/>
              <w:rPr>
                <w:color w:val="000000"/>
                <w:sz w:val="20"/>
                <w:szCs w:val="20"/>
              </w:rPr>
            </w:pPr>
            <w:r w:rsidRPr="006D631C">
              <w:rPr>
                <w:color w:val="000000"/>
                <w:sz w:val="20"/>
                <w:szCs w:val="20"/>
              </w:rPr>
              <w:t>M-29</w:t>
            </w:r>
          </w:p>
        </w:tc>
        <w:tc>
          <w:tcPr>
            <w:tcW w:w="7655" w:type="dxa"/>
            <w:tcBorders>
              <w:left w:val="nil"/>
              <w:right w:val="nil"/>
            </w:tcBorders>
            <w:shd w:val="clear" w:color="000000" w:fill="FFFFFF"/>
            <w:noWrap/>
            <w:vAlign w:val="center"/>
            <w:hideMark/>
          </w:tcPr>
          <w:p w14:paraId="4B24E7FD"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Methacrylated</w:t>
            </w:r>
            <w:proofErr w:type="spellEnd"/>
            <w:r w:rsidRPr="006D631C">
              <w:rPr>
                <w:color w:val="000000"/>
                <w:sz w:val="20"/>
                <w:szCs w:val="20"/>
              </w:rPr>
              <w:t xml:space="preserve"> poly(</w:t>
            </w:r>
            <w:proofErr w:type="spellStart"/>
            <w:r w:rsidRPr="006D631C">
              <w:rPr>
                <w:color w:val="000000"/>
                <w:sz w:val="20"/>
                <w:szCs w:val="20"/>
              </w:rPr>
              <w:t>dimethylsiloxane</w:t>
            </w:r>
            <w:proofErr w:type="spellEnd"/>
            <w:r w:rsidRPr="006D631C">
              <w:rPr>
                <w:color w:val="000000"/>
                <w:sz w:val="20"/>
                <w:szCs w:val="20"/>
              </w:rPr>
              <w:t>)</w:t>
            </w:r>
          </w:p>
        </w:tc>
      </w:tr>
      <w:tr w:rsidR="00CE3832" w:rsidRPr="006D631C" w14:paraId="4B57D83B" w14:textId="77777777" w:rsidTr="00761EE3">
        <w:trPr>
          <w:cantSplit/>
          <w:trHeight w:val="20"/>
          <w:jc w:val="center"/>
        </w:trPr>
        <w:tc>
          <w:tcPr>
            <w:tcW w:w="426" w:type="dxa"/>
            <w:vMerge/>
            <w:tcBorders>
              <w:left w:val="nil"/>
              <w:right w:val="nil"/>
            </w:tcBorders>
            <w:vAlign w:val="center"/>
            <w:hideMark/>
          </w:tcPr>
          <w:p w14:paraId="1DF10356"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4219C519" w14:textId="77777777" w:rsidR="00CE3832" w:rsidRPr="006D631C" w:rsidRDefault="00CE3832" w:rsidP="00F463F6">
            <w:pPr>
              <w:spacing w:line="240" w:lineRule="auto"/>
              <w:jc w:val="center"/>
              <w:rPr>
                <w:color w:val="000000"/>
                <w:sz w:val="20"/>
                <w:szCs w:val="20"/>
              </w:rPr>
            </w:pPr>
            <w:r w:rsidRPr="006D631C">
              <w:rPr>
                <w:color w:val="000000"/>
                <w:sz w:val="20"/>
                <w:szCs w:val="20"/>
              </w:rPr>
              <w:t>M-30</w:t>
            </w:r>
          </w:p>
        </w:tc>
        <w:tc>
          <w:tcPr>
            <w:tcW w:w="7655" w:type="dxa"/>
            <w:tcBorders>
              <w:left w:val="nil"/>
              <w:right w:val="nil"/>
            </w:tcBorders>
            <w:shd w:val="clear" w:color="000000" w:fill="FFFFFF"/>
            <w:noWrap/>
            <w:vAlign w:val="center"/>
            <w:hideMark/>
          </w:tcPr>
          <w:p w14:paraId="71AB152A" w14:textId="77777777" w:rsidR="00CE3832" w:rsidRPr="006D631C" w:rsidRDefault="00CE3832" w:rsidP="00F463F6">
            <w:pPr>
              <w:spacing w:line="240" w:lineRule="auto"/>
              <w:jc w:val="center"/>
              <w:rPr>
                <w:color w:val="000000"/>
                <w:sz w:val="20"/>
                <w:szCs w:val="20"/>
              </w:rPr>
            </w:pPr>
            <w:r w:rsidRPr="006D631C">
              <w:rPr>
                <w:color w:val="000000"/>
                <w:sz w:val="20"/>
                <w:szCs w:val="20"/>
              </w:rPr>
              <w:t>Poly(</w:t>
            </w:r>
            <w:proofErr w:type="spellStart"/>
            <w:r w:rsidRPr="006D631C">
              <w:rPr>
                <w:color w:val="000000"/>
                <w:sz w:val="20"/>
                <w:szCs w:val="20"/>
              </w:rPr>
              <w:t>ethyleneglycol</w:t>
            </w:r>
            <w:proofErr w:type="spellEnd"/>
            <w:r w:rsidRPr="006D631C">
              <w:rPr>
                <w:color w:val="000000"/>
                <w:sz w:val="20"/>
                <w:szCs w:val="20"/>
              </w:rPr>
              <w:t>)-poly(lactic acid)-</w:t>
            </w:r>
            <w:proofErr w:type="spellStart"/>
            <w:r w:rsidRPr="006D631C">
              <w:rPr>
                <w:color w:val="000000"/>
                <w:sz w:val="20"/>
                <w:szCs w:val="20"/>
              </w:rPr>
              <w:t>hexamethylene</w:t>
            </w:r>
            <w:proofErr w:type="spellEnd"/>
            <w:r w:rsidRPr="006D631C">
              <w:rPr>
                <w:color w:val="000000"/>
                <w:sz w:val="20"/>
                <w:szCs w:val="20"/>
              </w:rPr>
              <w:t xml:space="preserve"> </w:t>
            </w:r>
            <w:proofErr w:type="spellStart"/>
            <w:r w:rsidRPr="006D631C">
              <w:rPr>
                <w:color w:val="000000"/>
                <w:sz w:val="20"/>
                <w:szCs w:val="20"/>
              </w:rPr>
              <w:t>dimethacrylate</w:t>
            </w:r>
            <w:proofErr w:type="spellEnd"/>
          </w:p>
        </w:tc>
      </w:tr>
      <w:tr w:rsidR="00CE3832" w:rsidRPr="006D631C" w14:paraId="62A8FF9B" w14:textId="77777777" w:rsidTr="00761EE3">
        <w:trPr>
          <w:cantSplit/>
          <w:trHeight w:val="20"/>
          <w:jc w:val="center"/>
        </w:trPr>
        <w:tc>
          <w:tcPr>
            <w:tcW w:w="426" w:type="dxa"/>
            <w:vMerge/>
            <w:tcBorders>
              <w:left w:val="nil"/>
              <w:right w:val="nil"/>
            </w:tcBorders>
            <w:vAlign w:val="center"/>
            <w:hideMark/>
          </w:tcPr>
          <w:p w14:paraId="040F1F89"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533984EA" w14:textId="77777777" w:rsidR="00CE3832" w:rsidRPr="006D631C" w:rsidRDefault="00CE3832" w:rsidP="00F463F6">
            <w:pPr>
              <w:spacing w:line="240" w:lineRule="auto"/>
              <w:jc w:val="center"/>
              <w:rPr>
                <w:color w:val="000000"/>
                <w:sz w:val="20"/>
                <w:szCs w:val="20"/>
              </w:rPr>
            </w:pPr>
            <w:r w:rsidRPr="006D631C">
              <w:rPr>
                <w:color w:val="000000"/>
                <w:sz w:val="20"/>
                <w:szCs w:val="20"/>
              </w:rPr>
              <w:t>M-31</w:t>
            </w:r>
          </w:p>
        </w:tc>
        <w:tc>
          <w:tcPr>
            <w:tcW w:w="7655" w:type="dxa"/>
            <w:tcBorders>
              <w:left w:val="nil"/>
              <w:right w:val="nil"/>
            </w:tcBorders>
            <w:shd w:val="clear" w:color="000000" w:fill="FFFFFF"/>
            <w:noWrap/>
            <w:vAlign w:val="center"/>
            <w:hideMark/>
          </w:tcPr>
          <w:p w14:paraId="60ACDD0C" w14:textId="77777777" w:rsidR="00CE3832" w:rsidRPr="006D631C" w:rsidRDefault="00CE3832" w:rsidP="00F463F6">
            <w:pPr>
              <w:spacing w:line="240" w:lineRule="auto"/>
              <w:jc w:val="center"/>
              <w:rPr>
                <w:color w:val="000000"/>
                <w:sz w:val="20"/>
                <w:szCs w:val="20"/>
              </w:rPr>
            </w:pPr>
            <w:r w:rsidRPr="006D631C">
              <w:rPr>
                <w:color w:val="000000"/>
                <w:sz w:val="20"/>
                <w:szCs w:val="20"/>
              </w:rPr>
              <w:t>3-Sulfopropyl acrylate</w:t>
            </w:r>
          </w:p>
        </w:tc>
      </w:tr>
      <w:tr w:rsidR="00CE3832" w:rsidRPr="006D631C" w14:paraId="17F55A26" w14:textId="77777777" w:rsidTr="00761EE3">
        <w:trPr>
          <w:cantSplit/>
          <w:trHeight w:val="20"/>
          <w:jc w:val="center"/>
        </w:trPr>
        <w:tc>
          <w:tcPr>
            <w:tcW w:w="426" w:type="dxa"/>
            <w:vMerge/>
            <w:tcBorders>
              <w:left w:val="nil"/>
              <w:right w:val="nil"/>
            </w:tcBorders>
            <w:vAlign w:val="center"/>
            <w:hideMark/>
          </w:tcPr>
          <w:p w14:paraId="0862CCE1"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515A98F9" w14:textId="77777777" w:rsidR="00CE3832" w:rsidRPr="006D631C" w:rsidRDefault="00CE3832" w:rsidP="00F463F6">
            <w:pPr>
              <w:spacing w:line="240" w:lineRule="auto"/>
              <w:jc w:val="center"/>
              <w:rPr>
                <w:color w:val="000000"/>
                <w:sz w:val="20"/>
                <w:szCs w:val="20"/>
              </w:rPr>
            </w:pPr>
            <w:r w:rsidRPr="006D631C">
              <w:rPr>
                <w:color w:val="000000"/>
                <w:sz w:val="20"/>
                <w:szCs w:val="20"/>
              </w:rPr>
              <w:t>M-32</w:t>
            </w:r>
          </w:p>
        </w:tc>
        <w:tc>
          <w:tcPr>
            <w:tcW w:w="7655" w:type="dxa"/>
            <w:tcBorders>
              <w:left w:val="nil"/>
              <w:right w:val="nil"/>
            </w:tcBorders>
            <w:shd w:val="clear" w:color="000000" w:fill="FFFFFF"/>
            <w:noWrap/>
            <w:vAlign w:val="center"/>
            <w:hideMark/>
          </w:tcPr>
          <w:p w14:paraId="1BAB5C01" w14:textId="77777777" w:rsidR="00CE3832" w:rsidRPr="006D631C" w:rsidRDefault="00CE3832" w:rsidP="00F463F6">
            <w:pPr>
              <w:spacing w:line="240" w:lineRule="auto"/>
              <w:jc w:val="center"/>
              <w:rPr>
                <w:color w:val="000000"/>
                <w:sz w:val="20"/>
                <w:szCs w:val="20"/>
              </w:rPr>
            </w:pPr>
            <w:r w:rsidRPr="006D631C">
              <w:rPr>
                <w:color w:val="000000"/>
                <w:sz w:val="20"/>
                <w:szCs w:val="20"/>
              </w:rPr>
              <w:t>[2-(</w:t>
            </w:r>
            <w:proofErr w:type="spellStart"/>
            <w:r w:rsidRPr="006D631C">
              <w:rPr>
                <w:color w:val="000000"/>
                <w:sz w:val="20"/>
                <w:szCs w:val="20"/>
              </w:rPr>
              <w:t>Acryloyloxy</w:t>
            </w:r>
            <w:proofErr w:type="spellEnd"/>
            <w:r w:rsidRPr="006D631C">
              <w:rPr>
                <w:color w:val="000000"/>
                <w:sz w:val="20"/>
                <w:szCs w:val="20"/>
              </w:rPr>
              <w:t>)ethyl]</w:t>
            </w:r>
            <w:proofErr w:type="spellStart"/>
            <w:r w:rsidRPr="006D631C">
              <w:rPr>
                <w:color w:val="000000"/>
                <w:sz w:val="20"/>
                <w:szCs w:val="20"/>
              </w:rPr>
              <w:t>trimethylammonium</w:t>
            </w:r>
            <w:proofErr w:type="spellEnd"/>
            <w:r w:rsidRPr="006D631C">
              <w:rPr>
                <w:color w:val="000000"/>
                <w:sz w:val="20"/>
                <w:szCs w:val="20"/>
              </w:rPr>
              <w:t xml:space="preserve"> chloride</w:t>
            </w:r>
          </w:p>
        </w:tc>
      </w:tr>
      <w:tr w:rsidR="00CE3832" w:rsidRPr="006D631C" w14:paraId="314FD139" w14:textId="77777777" w:rsidTr="00761EE3">
        <w:trPr>
          <w:cantSplit/>
          <w:trHeight w:val="20"/>
          <w:jc w:val="center"/>
        </w:trPr>
        <w:tc>
          <w:tcPr>
            <w:tcW w:w="426" w:type="dxa"/>
            <w:vMerge/>
            <w:tcBorders>
              <w:left w:val="nil"/>
              <w:right w:val="nil"/>
            </w:tcBorders>
            <w:vAlign w:val="center"/>
            <w:hideMark/>
          </w:tcPr>
          <w:p w14:paraId="3A9017BB"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44EB360D" w14:textId="77777777" w:rsidR="00CE3832" w:rsidRPr="006D631C" w:rsidRDefault="00CE3832" w:rsidP="00F463F6">
            <w:pPr>
              <w:spacing w:line="240" w:lineRule="auto"/>
              <w:jc w:val="center"/>
              <w:rPr>
                <w:color w:val="000000"/>
                <w:sz w:val="20"/>
                <w:szCs w:val="20"/>
              </w:rPr>
            </w:pPr>
            <w:r w:rsidRPr="006D631C">
              <w:rPr>
                <w:color w:val="000000"/>
                <w:sz w:val="20"/>
                <w:szCs w:val="20"/>
              </w:rPr>
              <w:t>M-33</w:t>
            </w:r>
          </w:p>
        </w:tc>
        <w:tc>
          <w:tcPr>
            <w:tcW w:w="7655" w:type="dxa"/>
            <w:tcBorders>
              <w:left w:val="nil"/>
              <w:right w:val="nil"/>
            </w:tcBorders>
            <w:shd w:val="clear" w:color="000000" w:fill="FFFFFF"/>
            <w:noWrap/>
            <w:vAlign w:val="center"/>
            <w:hideMark/>
          </w:tcPr>
          <w:p w14:paraId="0E8577C1" w14:textId="77777777" w:rsidR="00CE3832" w:rsidRPr="006D631C" w:rsidRDefault="00CE3832" w:rsidP="00F463F6">
            <w:pPr>
              <w:spacing w:line="240" w:lineRule="auto"/>
              <w:jc w:val="center"/>
              <w:rPr>
                <w:color w:val="000000"/>
                <w:sz w:val="20"/>
                <w:szCs w:val="20"/>
              </w:rPr>
            </w:pPr>
            <w:r w:rsidRPr="006D631C">
              <w:rPr>
                <w:color w:val="000000"/>
                <w:sz w:val="20"/>
                <w:szCs w:val="20"/>
              </w:rPr>
              <w:t>Silver acrylate</w:t>
            </w:r>
          </w:p>
        </w:tc>
      </w:tr>
      <w:tr w:rsidR="00CE3832" w:rsidRPr="006D631C" w14:paraId="0D4F5BDB" w14:textId="77777777" w:rsidTr="00761EE3">
        <w:trPr>
          <w:cantSplit/>
          <w:trHeight w:val="20"/>
          <w:jc w:val="center"/>
        </w:trPr>
        <w:tc>
          <w:tcPr>
            <w:tcW w:w="426" w:type="dxa"/>
            <w:vMerge/>
            <w:tcBorders>
              <w:left w:val="nil"/>
              <w:right w:val="nil"/>
            </w:tcBorders>
            <w:vAlign w:val="center"/>
            <w:hideMark/>
          </w:tcPr>
          <w:p w14:paraId="5E1A54B1"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332FF41A" w14:textId="77777777" w:rsidR="00CE3832" w:rsidRPr="006D631C" w:rsidRDefault="00CE3832" w:rsidP="00F463F6">
            <w:pPr>
              <w:spacing w:line="240" w:lineRule="auto"/>
              <w:jc w:val="center"/>
              <w:rPr>
                <w:color w:val="000000"/>
                <w:sz w:val="20"/>
                <w:szCs w:val="20"/>
              </w:rPr>
            </w:pPr>
            <w:r w:rsidRPr="006D631C">
              <w:rPr>
                <w:color w:val="000000"/>
                <w:sz w:val="20"/>
                <w:szCs w:val="20"/>
              </w:rPr>
              <w:t>M-34</w:t>
            </w:r>
          </w:p>
        </w:tc>
        <w:tc>
          <w:tcPr>
            <w:tcW w:w="7655" w:type="dxa"/>
            <w:tcBorders>
              <w:left w:val="nil"/>
              <w:right w:val="nil"/>
            </w:tcBorders>
            <w:shd w:val="clear" w:color="000000" w:fill="FFFFFF"/>
            <w:noWrap/>
            <w:vAlign w:val="center"/>
            <w:hideMark/>
          </w:tcPr>
          <w:p w14:paraId="51B44F34" w14:textId="77777777" w:rsidR="00CE3832" w:rsidRPr="006D631C" w:rsidRDefault="00CE3832" w:rsidP="00F463F6">
            <w:pPr>
              <w:spacing w:line="240" w:lineRule="auto"/>
              <w:jc w:val="center"/>
              <w:rPr>
                <w:color w:val="000000"/>
                <w:sz w:val="20"/>
                <w:szCs w:val="20"/>
              </w:rPr>
            </w:pPr>
            <w:r w:rsidRPr="006D631C">
              <w:rPr>
                <w:color w:val="000000"/>
                <w:sz w:val="20"/>
                <w:szCs w:val="20"/>
              </w:rPr>
              <w:t>Phenol/formaldehyde</w:t>
            </w:r>
          </w:p>
        </w:tc>
      </w:tr>
      <w:tr w:rsidR="00CE3832" w:rsidRPr="006D631C" w14:paraId="33D570A9" w14:textId="77777777" w:rsidTr="00761EE3">
        <w:trPr>
          <w:cantSplit/>
          <w:trHeight w:val="20"/>
          <w:jc w:val="center"/>
        </w:trPr>
        <w:tc>
          <w:tcPr>
            <w:tcW w:w="426" w:type="dxa"/>
            <w:vMerge/>
            <w:tcBorders>
              <w:left w:val="nil"/>
              <w:right w:val="nil"/>
            </w:tcBorders>
            <w:vAlign w:val="center"/>
            <w:hideMark/>
          </w:tcPr>
          <w:p w14:paraId="38838B7E"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298B3DB0" w14:textId="77777777" w:rsidR="00CE3832" w:rsidRPr="006D631C" w:rsidRDefault="00CE3832" w:rsidP="00F463F6">
            <w:pPr>
              <w:spacing w:line="240" w:lineRule="auto"/>
              <w:jc w:val="center"/>
              <w:rPr>
                <w:color w:val="000000"/>
                <w:sz w:val="20"/>
                <w:szCs w:val="20"/>
              </w:rPr>
            </w:pPr>
            <w:r w:rsidRPr="006D631C">
              <w:rPr>
                <w:color w:val="000000"/>
                <w:sz w:val="20"/>
                <w:szCs w:val="20"/>
              </w:rPr>
              <w:t>M-35</w:t>
            </w:r>
          </w:p>
        </w:tc>
        <w:tc>
          <w:tcPr>
            <w:tcW w:w="7655" w:type="dxa"/>
            <w:tcBorders>
              <w:left w:val="nil"/>
              <w:right w:val="nil"/>
            </w:tcBorders>
            <w:shd w:val="clear" w:color="000000" w:fill="FFFFFF"/>
            <w:noWrap/>
            <w:vAlign w:val="center"/>
            <w:hideMark/>
          </w:tcPr>
          <w:p w14:paraId="5DCA4567" w14:textId="77777777" w:rsidR="00CE3832" w:rsidRPr="006D631C" w:rsidRDefault="00CE3832" w:rsidP="00F463F6">
            <w:pPr>
              <w:spacing w:line="240" w:lineRule="auto"/>
              <w:jc w:val="center"/>
              <w:rPr>
                <w:color w:val="000000"/>
                <w:sz w:val="20"/>
                <w:szCs w:val="20"/>
              </w:rPr>
            </w:pPr>
            <w:r w:rsidRPr="006D631C">
              <w:rPr>
                <w:color w:val="000000"/>
                <w:sz w:val="20"/>
                <w:szCs w:val="20"/>
              </w:rPr>
              <w:t>3,9-Dioxidophenanthrene-1,5-dicarboxylate</w:t>
            </w:r>
          </w:p>
        </w:tc>
      </w:tr>
      <w:tr w:rsidR="00CE3832" w:rsidRPr="006D631C" w14:paraId="1FEF17FD" w14:textId="77777777" w:rsidTr="00761EE3">
        <w:trPr>
          <w:cantSplit/>
          <w:trHeight w:val="20"/>
          <w:jc w:val="center"/>
        </w:trPr>
        <w:tc>
          <w:tcPr>
            <w:tcW w:w="426" w:type="dxa"/>
            <w:vMerge/>
            <w:tcBorders>
              <w:left w:val="nil"/>
              <w:right w:val="nil"/>
            </w:tcBorders>
            <w:vAlign w:val="center"/>
            <w:hideMark/>
          </w:tcPr>
          <w:p w14:paraId="1E4FE0FB"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7976D200" w14:textId="77777777" w:rsidR="00CE3832" w:rsidRPr="006D631C" w:rsidRDefault="00CE3832" w:rsidP="00F463F6">
            <w:pPr>
              <w:spacing w:line="240" w:lineRule="auto"/>
              <w:jc w:val="center"/>
              <w:rPr>
                <w:color w:val="000000"/>
                <w:sz w:val="20"/>
                <w:szCs w:val="20"/>
              </w:rPr>
            </w:pPr>
            <w:r w:rsidRPr="006D631C">
              <w:rPr>
                <w:color w:val="000000"/>
                <w:sz w:val="20"/>
                <w:szCs w:val="20"/>
              </w:rPr>
              <w:t>M-36</w:t>
            </w:r>
          </w:p>
        </w:tc>
        <w:tc>
          <w:tcPr>
            <w:tcW w:w="7655" w:type="dxa"/>
            <w:tcBorders>
              <w:left w:val="nil"/>
              <w:right w:val="nil"/>
            </w:tcBorders>
            <w:shd w:val="clear" w:color="000000" w:fill="FFFFFF"/>
            <w:noWrap/>
            <w:vAlign w:val="center"/>
            <w:hideMark/>
          </w:tcPr>
          <w:p w14:paraId="5E633B84"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Phloroglucinol</w:t>
            </w:r>
            <w:proofErr w:type="spellEnd"/>
          </w:p>
        </w:tc>
      </w:tr>
      <w:tr w:rsidR="00CE3832" w:rsidRPr="006D631C" w14:paraId="657374DA" w14:textId="77777777" w:rsidTr="00761EE3">
        <w:trPr>
          <w:cantSplit/>
          <w:trHeight w:val="20"/>
          <w:jc w:val="center"/>
        </w:trPr>
        <w:tc>
          <w:tcPr>
            <w:tcW w:w="426" w:type="dxa"/>
            <w:vMerge/>
            <w:tcBorders>
              <w:left w:val="nil"/>
              <w:right w:val="nil"/>
            </w:tcBorders>
            <w:vAlign w:val="center"/>
            <w:hideMark/>
          </w:tcPr>
          <w:p w14:paraId="32780101"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hideMark/>
          </w:tcPr>
          <w:p w14:paraId="40CB50C4" w14:textId="77777777" w:rsidR="00CE3832" w:rsidRPr="006D631C" w:rsidRDefault="00CE3832" w:rsidP="00F463F6">
            <w:pPr>
              <w:spacing w:line="240" w:lineRule="auto"/>
              <w:jc w:val="center"/>
              <w:rPr>
                <w:color w:val="000000"/>
                <w:sz w:val="20"/>
                <w:szCs w:val="20"/>
              </w:rPr>
            </w:pPr>
            <w:r w:rsidRPr="006D631C">
              <w:rPr>
                <w:color w:val="000000"/>
                <w:sz w:val="20"/>
                <w:szCs w:val="20"/>
              </w:rPr>
              <w:t>M-37</w:t>
            </w:r>
          </w:p>
        </w:tc>
        <w:tc>
          <w:tcPr>
            <w:tcW w:w="7655" w:type="dxa"/>
            <w:tcBorders>
              <w:left w:val="nil"/>
              <w:right w:val="nil"/>
            </w:tcBorders>
            <w:shd w:val="clear" w:color="000000" w:fill="FFFFFF"/>
            <w:noWrap/>
            <w:vAlign w:val="center"/>
            <w:hideMark/>
          </w:tcPr>
          <w:p w14:paraId="52E63B08" w14:textId="77777777" w:rsidR="00CE3832" w:rsidRPr="006D631C" w:rsidRDefault="00CE3832" w:rsidP="00F463F6">
            <w:pPr>
              <w:spacing w:line="240" w:lineRule="auto"/>
              <w:jc w:val="center"/>
              <w:rPr>
                <w:color w:val="000000"/>
                <w:sz w:val="20"/>
                <w:szCs w:val="20"/>
              </w:rPr>
            </w:pPr>
            <w:r w:rsidRPr="006D631C">
              <w:rPr>
                <w:color w:val="000000"/>
                <w:sz w:val="20"/>
                <w:szCs w:val="20"/>
              </w:rPr>
              <w:t>Resorcinol</w:t>
            </w:r>
          </w:p>
        </w:tc>
      </w:tr>
      <w:tr w:rsidR="00CE3832" w:rsidRPr="006D631C" w14:paraId="47F8C8AF" w14:textId="77777777" w:rsidTr="00761EE3">
        <w:trPr>
          <w:cantSplit/>
          <w:trHeight w:val="20"/>
          <w:jc w:val="center"/>
        </w:trPr>
        <w:tc>
          <w:tcPr>
            <w:tcW w:w="426" w:type="dxa"/>
            <w:vMerge/>
            <w:tcBorders>
              <w:left w:val="nil"/>
              <w:right w:val="nil"/>
            </w:tcBorders>
            <w:vAlign w:val="center"/>
          </w:tcPr>
          <w:p w14:paraId="1956ABF6"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2D0FAAE6" w14:textId="77777777" w:rsidR="00CE3832" w:rsidRPr="006D631C" w:rsidRDefault="00CE3832" w:rsidP="00F463F6">
            <w:pPr>
              <w:spacing w:line="240" w:lineRule="auto"/>
              <w:jc w:val="center"/>
              <w:rPr>
                <w:color w:val="000000"/>
                <w:sz w:val="20"/>
                <w:szCs w:val="20"/>
              </w:rPr>
            </w:pPr>
            <w:r w:rsidRPr="006D631C">
              <w:rPr>
                <w:color w:val="000000"/>
                <w:sz w:val="20"/>
                <w:szCs w:val="20"/>
              </w:rPr>
              <w:t>M-38</w:t>
            </w:r>
          </w:p>
        </w:tc>
        <w:tc>
          <w:tcPr>
            <w:tcW w:w="7655" w:type="dxa"/>
            <w:tcBorders>
              <w:left w:val="nil"/>
              <w:right w:val="nil"/>
            </w:tcBorders>
            <w:shd w:val="clear" w:color="000000" w:fill="FFFFFF"/>
            <w:noWrap/>
            <w:vAlign w:val="center"/>
          </w:tcPr>
          <w:p w14:paraId="4D1C0BAD"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Bisphenol</w:t>
            </w:r>
            <w:proofErr w:type="spellEnd"/>
            <w:r w:rsidRPr="006D631C">
              <w:rPr>
                <w:color w:val="000000"/>
                <w:sz w:val="20"/>
                <w:szCs w:val="20"/>
              </w:rPr>
              <w:t xml:space="preserve"> A </w:t>
            </w:r>
            <w:proofErr w:type="spellStart"/>
            <w:r w:rsidRPr="006D631C">
              <w:rPr>
                <w:color w:val="000000"/>
                <w:sz w:val="20"/>
                <w:szCs w:val="20"/>
              </w:rPr>
              <w:t>diglycidyl</w:t>
            </w:r>
            <w:proofErr w:type="spellEnd"/>
            <w:r w:rsidRPr="006D631C">
              <w:rPr>
                <w:color w:val="000000"/>
                <w:sz w:val="20"/>
                <w:szCs w:val="20"/>
              </w:rPr>
              <w:t xml:space="preserve"> ether</w:t>
            </w:r>
          </w:p>
        </w:tc>
      </w:tr>
      <w:tr w:rsidR="00CE3832" w:rsidRPr="006D631C" w14:paraId="11192A26" w14:textId="77777777" w:rsidTr="00761EE3">
        <w:trPr>
          <w:cantSplit/>
          <w:trHeight w:val="20"/>
          <w:jc w:val="center"/>
        </w:trPr>
        <w:tc>
          <w:tcPr>
            <w:tcW w:w="426" w:type="dxa"/>
            <w:vMerge/>
            <w:tcBorders>
              <w:left w:val="nil"/>
              <w:right w:val="nil"/>
            </w:tcBorders>
            <w:vAlign w:val="center"/>
          </w:tcPr>
          <w:p w14:paraId="2E37BD70"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2B6B3FB0" w14:textId="77777777" w:rsidR="00CE3832" w:rsidRPr="006D631C" w:rsidRDefault="00CE3832" w:rsidP="00F463F6">
            <w:pPr>
              <w:spacing w:line="240" w:lineRule="auto"/>
              <w:jc w:val="center"/>
              <w:rPr>
                <w:color w:val="000000"/>
                <w:sz w:val="20"/>
                <w:szCs w:val="20"/>
              </w:rPr>
            </w:pPr>
            <w:r w:rsidRPr="006D631C">
              <w:rPr>
                <w:color w:val="000000"/>
                <w:sz w:val="20"/>
                <w:szCs w:val="20"/>
              </w:rPr>
              <w:t>M-39</w:t>
            </w:r>
          </w:p>
        </w:tc>
        <w:tc>
          <w:tcPr>
            <w:tcW w:w="7655" w:type="dxa"/>
            <w:tcBorders>
              <w:left w:val="nil"/>
              <w:right w:val="nil"/>
            </w:tcBorders>
            <w:shd w:val="clear" w:color="000000" w:fill="FFFFFF"/>
            <w:noWrap/>
            <w:vAlign w:val="center"/>
          </w:tcPr>
          <w:p w14:paraId="4C772026" w14:textId="77777777" w:rsidR="00CE3832" w:rsidRPr="006D631C" w:rsidRDefault="00CE3832" w:rsidP="00F463F6">
            <w:pPr>
              <w:spacing w:line="240" w:lineRule="auto"/>
              <w:jc w:val="center"/>
              <w:rPr>
                <w:color w:val="000000"/>
                <w:sz w:val="20"/>
                <w:szCs w:val="20"/>
              </w:rPr>
            </w:pPr>
            <w:r w:rsidRPr="006D631C">
              <w:rPr>
                <w:color w:val="000000"/>
                <w:sz w:val="20"/>
                <w:szCs w:val="20"/>
              </w:rPr>
              <w:t>1,4-Diphenylbutadiyne</w:t>
            </w:r>
          </w:p>
        </w:tc>
      </w:tr>
      <w:tr w:rsidR="00CE3832" w:rsidRPr="006D631C" w14:paraId="70FF8006" w14:textId="77777777" w:rsidTr="00761EE3">
        <w:trPr>
          <w:cantSplit/>
          <w:trHeight w:val="20"/>
          <w:jc w:val="center"/>
        </w:trPr>
        <w:tc>
          <w:tcPr>
            <w:tcW w:w="426" w:type="dxa"/>
            <w:vMerge/>
            <w:tcBorders>
              <w:left w:val="nil"/>
              <w:right w:val="nil"/>
            </w:tcBorders>
            <w:vAlign w:val="center"/>
          </w:tcPr>
          <w:p w14:paraId="0D72AD34"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036B5C9E" w14:textId="77777777" w:rsidR="00CE3832" w:rsidRPr="006D631C" w:rsidRDefault="00CE3832" w:rsidP="00F463F6">
            <w:pPr>
              <w:spacing w:line="240" w:lineRule="auto"/>
              <w:jc w:val="center"/>
              <w:rPr>
                <w:color w:val="000000"/>
                <w:sz w:val="20"/>
                <w:szCs w:val="20"/>
              </w:rPr>
            </w:pPr>
            <w:r w:rsidRPr="006D631C">
              <w:rPr>
                <w:color w:val="000000"/>
                <w:sz w:val="20"/>
                <w:szCs w:val="20"/>
              </w:rPr>
              <w:t>M-40</w:t>
            </w:r>
          </w:p>
        </w:tc>
        <w:tc>
          <w:tcPr>
            <w:tcW w:w="7655" w:type="dxa"/>
            <w:tcBorders>
              <w:left w:val="nil"/>
              <w:right w:val="nil"/>
            </w:tcBorders>
            <w:shd w:val="clear" w:color="000000" w:fill="FFFFFF"/>
            <w:noWrap/>
            <w:vAlign w:val="center"/>
          </w:tcPr>
          <w:p w14:paraId="48CCB9C4" w14:textId="77777777" w:rsidR="00CE3832" w:rsidRPr="006D631C" w:rsidRDefault="00CE3832" w:rsidP="00F463F6">
            <w:pPr>
              <w:spacing w:line="240" w:lineRule="auto"/>
              <w:jc w:val="center"/>
              <w:rPr>
                <w:color w:val="000000"/>
                <w:sz w:val="20"/>
                <w:szCs w:val="20"/>
              </w:rPr>
            </w:pPr>
            <w:r w:rsidRPr="006D631C">
              <w:rPr>
                <w:color w:val="000000"/>
                <w:sz w:val="20"/>
                <w:szCs w:val="20"/>
              </w:rPr>
              <w:t>3-Hexylthiophene</w:t>
            </w:r>
          </w:p>
        </w:tc>
      </w:tr>
      <w:tr w:rsidR="00CE3832" w:rsidRPr="006D631C" w14:paraId="085A4F06" w14:textId="77777777" w:rsidTr="00761EE3">
        <w:trPr>
          <w:cantSplit/>
          <w:trHeight w:val="20"/>
          <w:jc w:val="center"/>
        </w:trPr>
        <w:tc>
          <w:tcPr>
            <w:tcW w:w="426" w:type="dxa"/>
            <w:vMerge/>
            <w:tcBorders>
              <w:left w:val="nil"/>
              <w:right w:val="nil"/>
            </w:tcBorders>
            <w:vAlign w:val="center"/>
          </w:tcPr>
          <w:p w14:paraId="14DF4EA2"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55D8586B" w14:textId="77777777" w:rsidR="00CE3832" w:rsidRPr="006D631C" w:rsidRDefault="00CE3832" w:rsidP="00F463F6">
            <w:pPr>
              <w:spacing w:line="240" w:lineRule="auto"/>
              <w:jc w:val="center"/>
              <w:rPr>
                <w:color w:val="000000"/>
                <w:sz w:val="20"/>
                <w:szCs w:val="20"/>
              </w:rPr>
            </w:pPr>
            <w:r w:rsidRPr="006D631C">
              <w:rPr>
                <w:color w:val="000000"/>
                <w:sz w:val="20"/>
                <w:szCs w:val="20"/>
              </w:rPr>
              <w:t>M-41</w:t>
            </w:r>
          </w:p>
        </w:tc>
        <w:tc>
          <w:tcPr>
            <w:tcW w:w="7655" w:type="dxa"/>
            <w:tcBorders>
              <w:left w:val="nil"/>
              <w:right w:val="nil"/>
            </w:tcBorders>
            <w:shd w:val="clear" w:color="000000" w:fill="FFFFFF"/>
            <w:noWrap/>
            <w:vAlign w:val="center"/>
          </w:tcPr>
          <w:p w14:paraId="67C4EA38" w14:textId="77777777" w:rsidR="00CE3832" w:rsidRPr="006D631C" w:rsidRDefault="00CE3832" w:rsidP="00F463F6">
            <w:pPr>
              <w:spacing w:line="240" w:lineRule="auto"/>
              <w:jc w:val="center"/>
              <w:rPr>
                <w:color w:val="000000"/>
                <w:sz w:val="20"/>
                <w:szCs w:val="20"/>
              </w:rPr>
            </w:pPr>
            <w:r w:rsidRPr="006D631C">
              <w:rPr>
                <w:color w:val="000000"/>
                <w:sz w:val="20"/>
                <w:szCs w:val="20"/>
              </w:rPr>
              <w:t>Aniline</w:t>
            </w:r>
          </w:p>
        </w:tc>
      </w:tr>
      <w:tr w:rsidR="00CE3832" w:rsidRPr="006D631C" w14:paraId="679C3121" w14:textId="77777777" w:rsidTr="00761EE3">
        <w:trPr>
          <w:cantSplit/>
          <w:trHeight w:val="20"/>
          <w:jc w:val="center"/>
        </w:trPr>
        <w:tc>
          <w:tcPr>
            <w:tcW w:w="426" w:type="dxa"/>
            <w:vMerge/>
            <w:tcBorders>
              <w:left w:val="nil"/>
              <w:right w:val="nil"/>
            </w:tcBorders>
            <w:vAlign w:val="center"/>
          </w:tcPr>
          <w:p w14:paraId="0B964325"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1E9A8B21" w14:textId="77777777" w:rsidR="00CE3832" w:rsidRPr="006D631C" w:rsidRDefault="00CE3832" w:rsidP="00F463F6">
            <w:pPr>
              <w:spacing w:line="240" w:lineRule="auto"/>
              <w:jc w:val="center"/>
              <w:rPr>
                <w:sz w:val="20"/>
                <w:szCs w:val="20"/>
              </w:rPr>
            </w:pPr>
            <w:r w:rsidRPr="006D631C">
              <w:rPr>
                <w:sz w:val="20"/>
                <w:szCs w:val="20"/>
              </w:rPr>
              <w:t>M-42</w:t>
            </w:r>
          </w:p>
        </w:tc>
        <w:tc>
          <w:tcPr>
            <w:tcW w:w="7655" w:type="dxa"/>
            <w:tcBorders>
              <w:left w:val="nil"/>
              <w:right w:val="nil"/>
            </w:tcBorders>
            <w:shd w:val="clear" w:color="000000" w:fill="FFFFFF"/>
            <w:noWrap/>
            <w:vAlign w:val="center"/>
          </w:tcPr>
          <w:p w14:paraId="29D83CAB" w14:textId="77777777" w:rsidR="00CE3832" w:rsidRPr="006D631C" w:rsidRDefault="00CE3832" w:rsidP="00F463F6">
            <w:pPr>
              <w:spacing w:line="240" w:lineRule="auto"/>
              <w:jc w:val="center"/>
              <w:rPr>
                <w:sz w:val="20"/>
                <w:szCs w:val="20"/>
              </w:rPr>
            </w:pPr>
            <w:r w:rsidRPr="006D631C">
              <w:rPr>
                <w:sz w:val="20"/>
                <w:szCs w:val="20"/>
              </w:rPr>
              <w:t>(E)-1’,3’,3’-Trimethyl-6-(octadeca-15,17-dien-1-yloxy)spiro[chromene-2,2’-indoline]</w:t>
            </w:r>
          </w:p>
        </w:tc>
      </w:tr>
      <w:tr w:rsidR="00CE3832" w:rsidRPr="006D631C" w14:paraId="2E2865D3" w14:textId="77777777" w:rsidTr="00761EE3">
        <w:trPr>
          <w:cantSplit/>
          <w:trHeight w:val="20"/>
          <w:jc w:val="center"/>
        </w:trPr>
        <w:tc>
          <w:tcPr>
            <w:tcW w:w="426" w:type="dxa"/>
            <w:vMerge/>
            <w:tcBorders>
              <w:left w:val="nil"/>
              <w:bottom w:val="single" w:sz="8" w:space="0" w:color="auto"/>
              <w:right w:val="nil"/>
            </w:tcBorders>
            <w:vAlign w:val="center"/>
          </w:tcPr>
          <w:p w14:paraId="6E15A3FD" w14:textId="77777777" w:rsidR="00CE3832" w:rsidRPr="006D631C" w:rsidRDefault="00CE3832" w:rsidP="00F463F6">
            <w:pPr>
              <w:spacing w:line="240" w:lineRule="auto"/>
              <w:jc w:val="center"/>
              <w:rPr>
                <w:b/>
                <w:bCs/>
                <w:color w:val="000000"/>
                <w:sz w:val="20"/>
                <w:szCs w:val="20"/>
              </w:rPr>
            </w:pPr>
          </w:p>
        </w:tc>
        <w:tc>
          <w:tcPr>
            <w:tcW w:w="850" w:type="dxa"/>
            <w:tcBorders>
              <w:left w:val="nil"/>
              <w:bottom w:val="single" w:sz="8" w:space="0" w:color="auto"/>
              <w:right w:val="nil"/>
            </w:tcBorders>
            <w:shd w:val="clear" w:color="000000" w:fill="FFFFFF"/>
            <w:noWrap/>
          </w:tcPr>
          <w:p w14:paraId="4F411B6B" w14:textId="77777777" w:rsidR="00CE3832" w:rsidRPr="006D631C" w:rsidRDefault="00CE3832" w:rsidP="00761EE3">
            <w:pPr>
              <w:spacing w:line="240" w:lineRule="auto"/>
              <w:jc w:val="center"/>
              <w:rPr>
                <w:sz w:val="20"/>
                <w:szCs w:val="20"/>
              </w:rPr>
            </w:pPr>
            <w:r w:rsidRPr="006D631C">
              <w:rPr>
                <w:sz w:val="20"/>
                <w:szCs w:val="20"/>
              </w:rPr>
              <w:t>M-43</w:t>
            </w:r>
          </w:p>
        </w:tc>
        <w:tc>
          <w:tcPr>
            <w:tcW w:w="7655" w:type="dxa"/>
            <w:tcBorders>
              <w:left w:val="nil"/>
              <w:bottom w:val="single" w:sz="8" w:space="0" w:color="auto"/>
              <w:right w:val="nil"/>
            </w:tcBorders>
            <w:shd w:val="clear" w:color="000000" w:fill="FFFFFF"/>
            <w:noWrap/>
            <w:vAlign w:val="center"/>
          </w:tcPr>
          <w:p w14:paraId="0FC5B11D" w14:textId="77777777" w:rsidR="00CE3832" w:rsidRPr="006D631C" w:rsidRDefault="00CE3832" w:rsidP="00F463F6">
            <w:pPr>
              <w:spacing w:line="240" w:lineRule="auto"/>
              <w:jc w:val="center"/>
              <w:rPr>
                <w:sz w:val="20"/>
                <w:szCs w:val="20"/>
              </w:rPr>
            </w:pPr>
            <w:r w:rsidRPr="006D631C">
              <w:rPr>
                <w:sz w:val="20"/>
                <w:szCs w:val="20"/>
              </w:rPr>
              <w:t>2-((Z)-2-Hydroxy-5-(((E)-octadeca-15,17-dien-1-yl)oxy)styryl)-1,3,3-trimethyl-3H-indol-1-ium bromide</w:t>
            </w:r>
          </w:p>
        </w:tc>
      </w:tr>
      <w:tr w:rsidR="00CE3832" w:rsidRPr="006D631C" w14:paraId="62650B52" w14:textId="77777777" w:rsidTr="00761EE3">
        <w:trPr>
          <w:cantSplit/>
          <w:trHeight w:val="20"/>
          <w:jc w:val="center"/>
        </w:trPr>
        <w:tc>
          <w:tcPr>
            <w:tcW w:w="426" w:type="dxa"/>
            <w:vMerge w:val="restart"/>
            <w:tcBorders>
              <w:top w:val="single" w:sz="8" w:space="0" w:color="auto"/>
              <w:left w:val="nil"/>
              <w:right w:val="nil"/>
            </w:tcBorders>
            <w:shd w:val="clear" w:color="000000" w:fill="FFFFFF"/>
            <w:noWrap/>
            <w:textDirection w:val="btLr"/>
            <w:vAlign w:val="center"/>
            <w:hideMark/>
          </w:tcPr>
          <w:p w14:paraId="5ED723A5" w14:textId="77777777" w:rsidR="00CE3832" w:rsidRPr="006D631C" w:rsidRDefault="00CE3832" w:rsidP="00F463F6">
            <w:pPr>
              <w:spacing w:line="240" w:lineRule="auto"/>
              <w:jc w:val="center"/>
              <w:rPr>
                <w:b/>
                <w:bCs/>
                <w:color w:val="000000"/>
                <w:sz w:val="22"/>
                <w:szCs w:val="22"/>
              </w:rPr>
            </w:pPr>
            <w:r w:rsidRPr="006D631C">
              <w:rPr>
                <w:b/>
                <w:bCs/>
                <w:color w:val="000000"/>
                <w:sz w:val="22"/>
                <w:szCs w:val="22"/>
              </w:rPr>
              <w:t>Cross-linkers</w:t>
            </w:r>
          </w:p>
        </w:tc>
        <w:tc>
          <w:tcPr>
            <w:tcW w:w="850" w:type="dxa"/>
            <w:tcBorders>
              <w:top w:val="single" w:sz="8" w:space="0" w:color="auto"/>
              <w:left w:val="nil"/>
              <w:bottom w:val="nil"/>
              <w:right w:val="nil"/>
            </w:tcBorders>
            <w:shd w:val="clear" w:color="000000" w:fill="FFFFFF"/>
            <w:noWrap/>
            <w:vAlign w:val="center"/>
            <w:hideMark/>
          </w:tcPr>
          <w:p w14:paraId="7E7F6287" w14:textId="77777777" w:rsidR="00CE3832" w:rsidRPr="006D631C" w:rsidRDefault="00CE3832" w:rsidP="00F463F6">
            <w:pPr>
              <w:spacing w:line="240" w:lineRule="auto"/>
              <w:jc w:val="center"/>
              <w:rPr>
                <w:color w:val="000000"/>
                <w:sz w:val="20"/>
                <w:szCs w:val="20"/>
              </w:rPr>
            </w:pPr>
            <w:r w:rsidRPr="006D631C">
              <w:rPr>
                <w:color w:val="000000"/>
                <w:sz w:val="20"/>
                <w:szCs w:val="20"/>
              </w:rPr>
              <w:t>C-1</w:t>
            </w:r>
          </w:p>
        </w:tc>
        <w:tc>
          <w:tcPr>
            <w:tcW w:w="7655" w:type="dxa"/>
            <w:tcBorders>
              <w:top w:val="single" w:sz="8" w:space="0" w:color="auto"/>
              <w:left w:val="nil"/>
              <w:bottom w:val="nil"/>
              <w:right w:val="nil"/>
            </w:tcBorders>
            <w:shd w:val="clear" w:color="000000" w:fill="FFFFFF"/>
            <w:noWrap/>
            <w:vAlign w:val="center"/>
            <w:hideMark/>
          </w:tcPr>
          <w:p w14:paraId="77F3E354" w14:textId="77777777" w:rsidR="00CE3832" w:rsidRPr="006D631C" w:rsidRDefault="00CE3832" w:rsidP="00F463F6">
            <w:pPr>
              <w:spacing w:line="240" w:lineRule="auto"/>
              <w:jc w:val="center"/>
              <w:rPr>
                <w:color w:val="000000"/>
                <w:sz w:val="20"/>
                <w:szCs w:val="20"/>
              </w:rPr>
            </w:pPr>
            <w:r w:rsidRPr="006D631C">
              <w:rPr>
                <w:color w:val="000000"/>
                <w:sz w:val="20"/>
                <w:szCs w:val="20"/>
              </w:rPr>
              <w:t>1,4-Divinylbenzene</w:t>
            </w:r>
          </w:p>
        </w:tc>
      </w:tr>
      <w:tr w:rsidR="00CE3832" w:rsidRPr="006D631C" w14:paraId="1F8AEE50" w14:textId="77777777" w:rsidTr="00761EE3">
        <w:trPr>
          <w:cantSplit/>
          <w:trHeight w:val="20"/>
          <w:jc w:val="center"/>
        </w:trPr>
        <w:tc>
          <w:tcPr>
            <w:tcW w:w="426" w:type="dxa"/>
            <w:vMerge/>
            <w:tcBorders>
              <w:left w:val="nil"/>
              <w:right w:val="nil"/>
            </w:tcBorders>
            <w:shd w:val="clear" w:color="000000" w:fill="FFFFFF"/>
            <w:vAlign w:val="center"/>
            <w:hideMark/>
          </w:tcPr>
          <w:p w14:paraId="597021BA"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3DCACDB6" w14:textId="77777777" w:rsidR="00CE3832" w:rsidRPr="006D631C" w:rsidRDefault="00CE3832" w:rsidP="00F463F6">
            <w:pPr>
              <w:spacing w:line="240" w:lineRule="auto"/>
              <w:jc w:val="center"/>
              <w:rPr>
                <w:color w:val="000000"/>
                <w:sz w:val="20"/>
                <w:szCs w:val="20"/>
              </w:rPr>
            </w:pPr>
            <w:r w:rsidRPr="006D631C">
              <w:rPr>
                <w:color w:val="000000"/>
                <w:sz w:val="20"/>
                <w:szCs w:val="20"/>
              </w:rPr>
              <w:t>C-2</w:t>
            </w:r>
          </w:p>
        </w:tc>
        <w:tc>
          <w:tcPr>
            <w:tcW w:w="7655" w:type="dxa"/>
            <w:tcBorders>
              <w:top w:val="nil"/>
              <w:left w:val="nil"/>
              <w:bottom w:val="nil"/>
              <w:right w:val="nil"/>
            </w:tcBorders>
            <w:shd w:val="clear" w:color="000000" w:fill="FFFFFF"/>
            <w:noWrap/>
            <w:vAlign w:val="center"/>
            <w:hideMark/>
          </w:tcPr>
          <w:p w14:paraId="2842A399" w14:textId="77777777" w:rsidR="00CE3832" w:rsidRPr="006D631C" w:rsidRDefault="00CE3832" w:rsidP="00F463F6">
            <w:pPr>
              <w:spacing w:line="240" w:lineRule="auto"/>
              <w:jc w:val="center"/>
              <w:rPr>
                <w:color w:val="000000"/>
                <w:sz w:val="20"/>
                <w:szCs w:val="20"/>
              </w:rPr>
            </w:pPr>
            <w:r w:rsidRPr="006D631C">
              <w:rPr>
                <w:i/>
                <w:iCs/>
                <w:color w:val="000000"/>
                <w:sz w:val="20"/>
                <w:szCs w:val="20"/>
              </w:rPr>
              <w:t>N,N'</w:t>
            </w:r>
            <w:r w:rsidRPr="006D631C">
              <w:rPr>
                <w:color w:val="000000"/>
                <w:sz w:val="20"/>
                <w:szCs w:val="20"/>
              </w:rPr>
              <w:t>-</w:t>
            </w:r>
            <w:proofErr w:type="spellStart"/>
            <w:r w:rsidRPr="006D631C">
              <w:rPr>
                <w:color w:val="000000"/>
                <w:sz w:val="20"/>
                <w:szCs w:val="20"/>
              </w:rPr>
              <w:t>Methylenebisacrylamide</w:t>
            </w:r>
            <w:proofErr w:type="spellEnd"/>
          </w:p>
        </w:tc>
      </w:tr>
      <w:tr w:rsidR="00CE3832" w:rsidRPr="006D631C" w14:paraId="5F969889" w14:textId="77777777" w:rsidTr="00761EE3">
        <w:trPr>
          <w:cantSplit/>
          <w:trHeight w:val="20"/>
          <w:jc w:val="center"/>
        </w:trPr>
        <w:tc>
          <w:tcPr>
            <w:tcW w:w="426" w:type="dxa"/>
            <w:vMerge/>
            <w:tcBorders>
              <w:left w:val="nil"/>
              <w:right w:val="nil"/>
            </w:tcBorders>
            <w:shd w:val="clear" w:color="000000" w:fill="FFFFFF"/>
            <w:vAlign w:val="center"/>
            <w:hideMark/>
          </w:tcPr>
          <w:p w14:paraId="2FE542B6"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093D1D2F" w14:textId="77777777" w:rsidR="00CE3832" w:rsidRPr="006D631C" w:rsidRDefault="00CE3832" w:rsidP="00F463F6">
            <w:pPr>
              <w:spacing w:line="240" w:lineRule="auto"/>
              <w:jc w:val="center"/>
              <w:rPr>
                <w:color w:val="000000"/>
                <w:sz w:val="20"/>
                <w:szCs w:val="20"/>
              </w:rPr>
            </w:pPr>
            <w:r w:rsidRPr="006D631C">
              <w:rPr>
                <w:color w:val="000000"/>
                <w:sz w:val="20"/>
                <w:szCs w:val="20"/>
              </w:rPr>
              <w:t>C-3</w:t>
            </w:r>
          </w:p>
        </w:tc>
        <w:tc>
          <w:tcPr>
            <w:tcW w:w="7655" w:type="dxa"/>
            <w:tcBorders>
              <w:top w:val="nil"/>
              <w:left w:val="nil"/>
              <w:bottom w:val="nil"/>
              <w:right w:val="nil"/>
            </w:tcBorders>
            <w:shd w:val="clear" w:color="000000" w:fill="FFFFFF"/>
            <w:noWrap/>
            <w:vAlign w:val="center"/>
            <w:hideMark/>
          </w:tcPr>
          <w:p w14:paraId="0895381E"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Neopentyl</w:t>
            </w:r>
            <w:proofErr w:type="spellEnd"/>
            <w:r w:rsidRPr="006D631C">
              <w:rPr>
                <w:color w:val="000000"/>
                <w:sz w:val="20"/>
                <w:szCs w:val="20"/>
              </w:rPr>
              <w:t xml:space="preserve"> glycol diacrylate</w:t>
            </w:r>
          </w:p>
        </w:tc>
      </w:tr>
      <w:tr w:rsidR="00CE3832" w:rsidRPr="006D631C" w14:paraId="1CA6E7D1" w14:textId="77777777" w:rsidTr="00761EE3">
        <w:trPr>
          <w:cantSplit/>
          <w:trHeight w:val="20"/>
          <w:jc w:val="center"/>
        </w:trPr>
        <w:tc>
          <w:tcPr>
            <w:tcW w:w="426" w:type="dxa"/>
            <w:vMerge/>
            <w:tcBorders>
              <w:left w:val="nil"/>
              <w:right w:val="nil"/>
            </w:tcBorders>
            <w:shd w:val="clear" w:color="000000" w:fill="FFFFFF"/>
            <w:vAlign w:val="center"/>
            <w:hideMark/>
          </w:tcPr>
          <w:p w14:paraId="2F669E1B"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0ECC3F96" w14:textId="77777777" w:rsidR="00CE3832" w:rsidRPr="006D631C" w:rsidRDefault="00CE3832" w:rsidP="00F463F6">
            <w:pPr>
              <w:spacing w:line="240" w:lineRule="auto"/>
              <w:jc w:val="center"/>
              <w:rPr>
                <w:color w:val="000000"/>
                <w:sz w:val="20"/>
                <w:szCs w:val="20"/>
              </w:rPr>
            </w:pPr>
            <w:r w:rsidRPr="006D631C">
              <w:rPr>
                <w:color w:val="000000"/>
                <w:sz w:val="20"/>
                <w:szCs w:val="20"/>
              </w:rPr>
              <w:t>C-4</w:t>
            </w:r>
          </w:p>
        </w:tc>
        <w:tc>
          <w:tcPr>
            <w:tcW w:w="7655" w:type="dxa"/>
            <w:tcBorders>
              <w:top w:val="nil"/>
              <w:left w:val="nil"/>
              <w:bottom w:val="nil"/>
              <w:right w:val="nil"/>
            </w:tcBorders>
            <w:shd w:val="clear" w:color="000000" w:fill="FFFFFF"/>
            <w:noWrap/>
            <w:vAlign w:val="center"/>
            <w:hideMark/>
          </w:tcPr>
          <w:p w14:paraId="4CB025CC"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Methyltrimethoxysilane</w:t>
            </w:r>
            <w:proofErr w:type="spellEnd"/>
          </w:p>
        </w:tc>
      </w:tr>
      <w:tr w:rsidR="00CE3832" w:rsidRPr="006D631C" w14:paraId="486E7297" w14:textId="77777777" w:rsidTr="00761EE3">
        <w:trPr>
          <w:cantSplit/>
          <w:trHeight w:val="20"/>
          <w:jc w:val="center"/>
        </w:trPr>
        <w:tc>
          <w:tcPr>
            <w:tcW w:w="426" w:type="dxa"/>
            <w:vMerge/>
            <w:tcBorders>
              <w:left w:val="nil"/>
              <w:right w:val="nil"/>
            </w:tcBorders>
            <w:shd w:val="clear" w:color="000000" w:fill="FFFFFF"/>
            <w:vAlign w:val="center"/>
            <w:hideMark/>
          </w:tcPr>
          <w:p w14:paraId="4A17F532"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142668D1" w14:textId="77777777" w:rsidR="00CE3832" w:rsidRPr="006D631C" w:rsidRDefault="00CE3832" w:rsidP="00F463F6">
            <w:pPr>
              <w:spacing w:line="240" w:lineRule="auto"/>
              <w:jc w:val="center"/>
              <w:rPr>
                <w:color w:val="000000"/>
                <w:sz w:val="20"/>
                <w:szCs w:val="20"/>
              </w:rPr>
            </w:pPr>
            <w:r w:rsidRPr="006D631C">
              <w:rPr>
                <w:color w:val="000000"/>
                <w:sz w:val="20"/>
                <w:szCs w:val="20"/>
              </w:rPr>
              <w:t>C-5</w:t>
            </w:r>
          </w:p>
        </w:tc>
        <w:tc>
          <w:tcPr>
            <w:tcW w:w="7655" w:type="dxa"/>
            <w:tcBorders>
              <w:top w:val="nil"/>
              <w:left w:val="nil"/>
              <w:bottom w:val="nil"/>
              <w:right w:val="nil"/>
            </w:tcBorders>
            <w:shd w:val="clear" w:color="000000" w:fill="FFFFFF"/>
            <w:noWrap/>
            <w:vAlign w:val="center"/>
            <w:hideMark/>
          </w:tcPr>
          <w:p w14:paraId="208FD1C0" w14:textId="77777777" w:rsidR="00CE3832" w:rsidRPr="006D631C" w:rsidRDefault="00CE3832" w:rsidP="00F463F6">
            <w:pPr>
              <w:spacing w:line="240" w:lineRule="auto"/>
              <w:jc w:val="center"/>
              <w:rPr>
                <w:color w:val="000000"/>
                <w:sz w:val="20"/>
                <w:szCs w:val="20"/>
              </w:rPr>
            </w:pPr>
            <w:r w:rsidRPr="006D631C">
              <w:rPr>
                <w:color w:val="000000"/>
                <w:sz w:val="20"/>
                <w:szCs w:val="20"/>
              </w:rPr>
              <w:t xml:space="preserve">1,8-Octanediol </w:t>
            </w:r>
            <w:proofErr w:type="spellStart"/>
            <w:r w:rsidRPr="006D631C">
              <w:rPr>
                <w:color w:val="000000"/>
                <w:sz w:val="20"/>
                <w:szCs w:val="20"/>
              </w:rPr>
              <w:t>dimethacrylate</w:t>
            </w:r>
            <w:proofErr w:type="spellEnd"/>
          </w:p>
        </w:tc>
      </w:tr>
      <w:tr w:rsidR="00CE3832" w:rsidRPr="006D631C" w14:paraId="4781E9EF" w14:textId="77777777" w:rsidTr="00761EE3">
        <w:trPr>
          <w:cantSplit/>
          <w:trHeight w:val="20"/>
          <w:jc w:val="center"/>
        </w:trPr>
        <w:tc>
          <w:tcPr>
            <w:tcW w:w="426" w:type="dxa"/>
            <w:vMerge/>
            <w:tcBorders>
              <w:left w:val="nil"/>
              <w:right w:val="nil"/>
            </w:tcBorders>
            <w:shd w:val="clear" w:color="000000" w:fill="FFFFFF"/>
            <w:vAlign w:val="center"/>
            <w:hideMark/>
          </w:tcPr>
          <w:p w14:paraId="502EDB67"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30A3E260" w14:textId="77777777" w:rsidR="00CE3832" w:rsidRPr="006D631C" w:rsidRDefault="00CE3832" w:rsidP="00F463F6">
            <w:pPr>
              <w:spacing w:line="240" w:lineRule="auto"/>
              <w:jc w:val="center"/>
              <w:rPr>
                <w:color w:val="000000"/>
                <w:sz w:val="20"/>
                <w:szCs w:val="20"/>
              </w:rPr>
            </w:pPr>
            <w:r w:rsidRPr="006D631C">
              <w:rPr>
                <w:color w:val="000000"/>
                <w:sz w:val="20"/>
                <w:szCs w:val="20"/>
              </w:rPr>
              <w:t>C-6</w:t>
            </w:r>
          </w:p>
        </w:tc>
        <w:tc>
          <w:tcPr>
            <w:tcW w:w="7655" w:type="dxa"/>
            <w:tcBorders>
              <w:top w:val="nil"/>
              <w:left w:val="nil"/>
              <w:bottom w:val="nil"/>
              <w:right w:val="nil"/>
            </w:tcBorders>
            <w:shd w:val="clear" w:color="000000" w:fill="FFFFFF"/>
            <w:noWrap/>
            <w:vAlign w:val="center"/>
            <w:hideMark/>
          </w:tcPr>
          <w:p w14:paraId="1A303C31" w14:textId="77777777" w:rsidR="00CE3832" w:rsidRPr="006D631C" w:rsidRDefault="00CE3832" w:rsidP="00F463F6">
            <w:pPr>
              <w:spacing w:line="240" w:lineRule="auto"/>
              <w:jc w:val="center"/>
              <w:rPr>
                <w:color w:val="000000"/>
                <w:sz w:val="20"/>
                <w:szCs w:val="20"/>
              </w:rPr>
            </w:pPr>
            <w:r w:rsidRPr="006D631C">
              <w:rPr>
                <w:color w:val="000000"/>
                <w:sz w:val="20"/>
                <w:szCs w:val="20"/>
              </w:rPr>
              <w:t xml:space="preserve">1,6-Hexanediol </w:t>
            </w:r>
            <w:proofErr w:type="spellStart"/>
            <w:r w:rsidRPr="006D631C">
              <w:rPr>
                <w:color w:val="000000"/>
                <w:sz w:val="20"/>
                <w:szCs w:val="20"/>
              </w:rPr>
              <w:t>dimethacrylate</w:t>
            </w:r>
            <w:proofErr w:type="spellEnd"/>
          </w:p>
        </w:tc>
      </w:tr>
      <w:tr w:rsidR="00CE3832" w:rsidRPr="006D631C" w14:paraId="65C41B8A" w14:textId="77777777" w:rsidTr="00761EE3">
        <w:trPr>
          <w:cantSplit/>
          <w:trHeight w:val="20"/>
          <w:jc w:val="center"/>
        </w:trPr>
        <w:tc>
          <w:tcPr>
            <w:tcW w:w="426" w:type="dxa"/>
            <w:vMerge/>
            <w:tcBorders>
              <w:left w:val="nil"/>
              <w:right w:val="nil"/>
            </w:tcBorders>
            <w:shd w:val="clear" w:color="000000" w:fill="FFFFFF"/>
            <w:vAlign w:val="center"/>
            <w:hideMark/>
          </w:tcPr>
          <w:p w14:paraId="5DF85043"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1A2BFD66" w14:textId="77777777" w:rsidR="00CE3832" w:rsidRPr="006D631C" w:rsidRDefault="00CE3832" w:rsidP="00F463F6">
            <w:pPr>
              <w:spacing w:line="240" w:lineRule="auto"/>
              <w:jc w:val="center"/>
              <w:rPr>
                <w:color w:val="000000"/>
                <w:sz w:val="20"/>
                <w:szCs w:val="20"/>
              </w:rPr>
            </w:pPr>
            <w:r w:rsidRPr="006D631C">
              <w:rPr>
                <w:color w:val="000000"/>
                <w:sz w:val="20"/>
                <w:szCs w:val="20"/>
              </w:rPr>
              <w:t>C-7</w:t>
            </w:r>
          </w:p>
        </w:tc>
        <w:tc>
          <w:tcPr>
            <w:tcW w:w="7655" w:type="dxa"/>
            <w:tcBorders>
              <w:top w:val="nil"/>
              <w:left w:val="nil"/>
              <w:bottom w:val="nil"/>
              <w:right w:val="nil"/>
            </w:tcBorders>
            <w:shd w:val="clear" w:color="000000" w:fill="FFFFFF"/>
            <w:noWrap/>
            <w:vAlign w:val="center"/>
            <w:hideMark/>
          </w:tcPr>
          <w:p w14:paraId="24A4EA7A" w14:textId="77777777" w:rsidR="00CE3832" w:rsidRPr="006D631C" w:rsidRDefault="00CE3832" w:rsidP="00F463F6">
            <w:pPr>
              <w:spacing w:line="240" w:lineRule="auto"/>
              <w:jc w:val="center"/>
              <w:rPr>
                <w:color w:val="000000"/>
                <w:sz w:val="20"/>
                <w:szCs w:val="20"/>
              </w:rPr>
            </w:pPr>
            <w:r w:rsidRPr="006D631C">
              <w:rPr>
                <w:color w:val="000000"/>
                <w:sz w:val="20"/>
                <w:szCs w:val="20"/>
              </w:rPr>
              <w:t>1,4-Butanediol diacrylate</w:t>
            </w:r>
          </w:p>
        </w:tc>
      </w:tr>
      <w:tr w:rsidR="00CE3832" w:rsidRPr="006D631C" w14:paraId="176193BD" w14:textId="77777777" w:rsidTr="00761EE3">
        <w:trPr>
          <w:cantSplit/>
          <w:trHeight w:val="20"/>
          <w:jc w:val="center"/>
        </w:trPr>
        <w:tc>
          <w:tcPr>
            <w:tcW w:w="426" w:type="dxa"/>
            <w:vMerge/>
            <w:tcBorders>
              <w:left w:val="nil"/>
              <w:right w:val="nil"/>
            </w:tcBorders>
            <w:shd w:val="clear" w:color="000000" w:fill="FFFFFF"/>
            <w:vAlign w:val="center"/>
            <w:hideMark/>
          </w:tcPr>
          <w:p w14:paraId="2F617971"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497CA4A4" w14:textId="77777777" w:rsidR="00CE3832" w:rsidRPr="006D631C" w:rsidRDefault="00CE3832" w:rsidP="00F463F6">
            <w:pPr>
              <w:spacing w:line="240" w:lineRule="auto"/>
              <w:jc w:val="center"/>
              <w:rPr>
                <w:color w:val="000000"/>
                <w:sz w:val="20"/>
                <w:szCs w:val="20"/>
              </w:rPr>
            </w:pPr>
            <w:r w:rsidRPr="006D631C">
              <w:rPr>
                <w:color w:val="000000"/>
                <w:sz w:val="20"/>
                <w:szCs w:val="20"/>
              </w:rPr>
              <w:t>C-8</w:t>
            </w:r>
          </w:p>
        </w:tc>
        <w:tc>
          <w:tcPr>
            <w:tcW w:w="7655" w:type="dxa"/>
            <w:tcBorders>
              <w:top w:val="nil"/>
              <w:left w:val="nil"/>
              <w:bottom w:val="nil"/>
              <w:right w:val="nil"/>
            </w:tcBorders>
            <w:shd w:val="clear" w:color="000000" w:fill="FFFFFF"/>
            <w:noWrap/>
            <w:vAlign w:val="center"/>
            <w:hideMark/>
          </w:tcPr>
          <w:p w14:paraId="4DC4F115" w14:textId="77777777" w:rsidR="00CE3832" w:rsidRPr="006D631C" w:rsidRDefault="00CE3832" w:rsidP="00F463F6">
            <w:pPr>
              <w:spacing w:line="240" w:lineRule="auto"/>
              <w:jc w:val="center"/>
              <w:rPr>
                <w:color w:val="000000"/>
                <w:sz w:val="20"/>
                <w:szCs w:val="20"/>
              </w:rPr>
            </w:pPr>
            <w:r w:rsidRPr="006D631C">
              <w:rPr>
                <w:color w:val="000000"/>
                <w:sz w:val="20"/>
                <w:szCs w:val="20"/>
              </w:rPr>
              <w:t xml:space="preserve">Ethylene glycol </w:t>
            </w:r>
            <w:proofErr w:type="spellStart"/>
            <w:r w:rsidRPr="006D631C">
              <w:rPr>
                <w:color w:val="000000"/>
                <w:sz w:val="20"/>
                <w:szCs w:val="20"/>
              </w:rPr>
              <w:t>dimethacrylate</w:t>
            </w:r>
            <w:proofErr w:type="spellEnd"/>
          </w:p>
        </w:tc>
      </w:tr>
      <w:tr w:rsidR="00CE3832" w:rsidRPr="006D631C" w14:paraId="046DDF77" w14:textId="77777777" w:rsidTr="00761EE3">
        <w:trPr>
          <w:cantSplit/>
          <w:trHeight w:val="20"/>
          <w:jc w:val="center"/>
        </w:trPr>
        <w:tc>
          <w:tcPr>
            <w:tcW w:w="426" w:type="dxa"/>
            <w:vMerge/>
            <w:tcBorders>
              <w:left w:val="nil"/>
              <w:right w:val="nil"/>
            </w:tcBorders>
            <w:shd w:val="clear" w:color="000000" w:fill="FFFFFF"/>
            <w:vAlign w:val="center"/>
            <w:hideMark/>
          </w:tcPr>
          <w:p w14:paraId="156D7CB9"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24568E7D" w14:textId="77777777" w:rsidR="00CE3832" w:rsidRPr="006D631C" w:rsidRDefault="00CE3832" w:rsidP="00F463F6">
            <w:pPr>
              <w:spacing w:line="240" w:lineRule="auto"/>
              <w:jc w:val="center"/>
              <w:rPr>
                <w:color w:val="000000"/>
                <w:sz w:val="20"/>
                <w:szCs w:val="20"/>
              </w:rPr>
            </w:pPr>
            <w:r w:rsidRPr="006D631C">
              <w:rPr>
                <w:color w:val="000000"/>
                <w:sz w:val="20"/>
                <w:szCs w:val="20"/>
              </w:rPr>
              <w:t>C-9</w:t>
            </w:r>
          </w:p>
        </w:tc>
        <w:tc>
          <w:tcPr>
            <w:tcW w:w="7655" w:type="dxa"/>
            <w:tcBorders>
              <w:top w:val="nil"/>
              <w:left w:val="nil"/>
              <w:bottom w:val="nil"/>
              <w:right w:val="nil"/>
            </w:tcBorders>
            <w:shd w:val="clear" w:color="000000" w:fill="FFFFFF"/>
            <w:noWrap/>
            <w:vAlign w:val="center"/>
            <w:hideMark/>
          </w:tcPr>
          <w:p w14:paraId="27A51D9D" w14:textId="77777777" w:rsidR="00CE3832" w:rsidRPr="006D631C" w:rsidRDefault="00CE3832" w:rsidP="00F463F6">
            <w:pPr>
              <w:spacing w:line="240" w:lineRule="auto"/>
              <w:jc w:val="center"/>
              <w:rPr>
                <w:color w:val="000000"/>
                <w:sz w:val="20"/>
                <w:szCs w:val="20"/>
              </w:rPr>
            </w:pPr>
            <w:r w:rsidRPr="006D631C">
              <w:rPr>
                <w:color w:val="000000"/>
                <w:sz w:val="20"/>
                <w:szCs w:val="20"/>
              </w:rPr>
              <w:t xml:space="preserve">Poly(ethylene glycol) </w:t>
            </w:r>
            <w:proofErr w:type="spellStart"/>
            <w:r w:rsidRPr="006D631C">
              <w:rPr>
                <w:color w:val="000000"/>
                <w:sz w:val="20"/>
                <w:szCs w:val="20"/>
              </w:rPr>
              <w:t>dimethacrylate</w:t>
            </w:r>
            <w:proofErr w:type="spellEnd"/>
          </w:p>
        </w:tc>
      </w:tr>
      <w:tr w:rsidR="00CE3832" w:rsidRPr="006D631C" w14:paraId="09D46E5C" w14:textId="77777777" w:rsidTr="00761EE3">
        <w:trPr>
          <w:cantSplit/>
          <w:trHeight w:val="20"/>
          <w:jc w:val="center"/>
        </w:trPr>
        <w:tc>
          <w:tcPr>
            <w:tcW w:w="426" w:type="dxa"/>
            <w:vMerge/>
            <w:tcBorders>
              <w:left w:val="nil"/>
              <w:right w:val="nil"/>
            </w:tcBorders>
            <w:shd w:val="clear" w:color="000000" w:fill="FFFFFF"/>
            <w:vAlign w:val="center"/>
            <w:hideMark/>
          </w:tcPr>
          <w:p w14:paraId="06227A07"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73B00EF2" w14:textId="77777777" w:rsidR="00CE3832" w:rsidRPr="006D631C" w:rsidRDefault="00CE3832" w:rsidP="00F463F6">
            <w:pPr>
              <w:spacing w:line="240" w:lineRule="auto"/>
              <w:jc w:val="center"/>
              <w:rPr>
                <w:color w:val="000000"/>
                <w:sz w:val="20"/>
                <w:szCs w:val="20"/>
              </w:rPr>
            </w:pPr>
            <w:r w:rsidRPr="006D631C">
              <w:rPr>
                <w:color w:val="000000"/>
                <w:sz w:val="20"/>
                <w:szCs w:val="20"/>
              </w:rPr>
              <w:t>C-10</w:t>
            </w:r>
          </w:p>
        </w:tc>
        <w:tc>
          <w:tcPr>
            <w:tcW w:w="7655" w:type="dxa"/>
            <w:tcBorders>
              <w:top w:val="nil"/>
              <w:left w:val="nil"/>
              <w:bottom w:val="nil"/>
              <w:right w:val="nil"/>
            </w:tcBorders>
            <w:shd w:val="clear" w:color="000000" w:fill="FFFFFF"/>
            <w:noWrap/>
            <w:vAlign w:val="center"/>
            <w:hideMark/>
          </w:tcPr>
          <w:p w14:paraId="443A40CA" w14:textId="77777777" w:rsidR="00CE3832" w:rsidRPr="006D631C" w:rsidRDefault="00CE3832" w:rsidP="00F463F6">
            <w:pPr>
              <w:spacing w:line="240" w:lineRule="auto"/>
              <w:jc w:val="center"/>
              <w:rPr>
                <w:color w:val="000000"/>
                <w:sz w:val="20"/>
                <w:szCs w:val="20"/>
              </w:rPr>
            </w:pPr>
            <w:r w:rsidRPr="006D631C">
              <w:rPr>
                <w:color w:val="000000"/>
                <w:sz w:val="20"/>
                <w:szCs w:val="20"/>
              </w:rPr>
              <w:t>Poly(ethylene glycol) diacrylate</w:t>
            </w:r>
          </w:p>
        </w:tc>
      </w:tr>
      <w:tr w:rsidR="00CE3832" w:rsidRPr="006D631C" w14:paraId="2F8FEBC5" w14:textId="77777777" w:rsidTr="00761EE3">
        <w:trPr>
          <w:cantSplit/>
          <w:trHeight w:val="20"/>
          <w:jc w:val="center"/>
        </w:trPr>
        <w:tc>
          <w:tcPr>
            <w:tcW w:w="426" w:type="dxa"/>
            <w:vMerge/>
            <w:tcBorders>
              <w:left w:val="nil"/>
              <w:right w:val="nil"/>
            </w:tcBorders>
            <w:shd w:val="clear" w:color="000000" w:fill="FFFFFF"/>
            <w:vAlign w:val="center"/>
            <w:hideMark/>
          </w:tcPr>
          <w:p w14:paraId="359A8542"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03F6F38C" w14:textId="77777777" w:rsidR="00CE3832" w:rsidRPr="006D631C" w:rsidRDefault="00CE3832" w:rsidP="00F463F6">
            <w:pPr>
              <w:spacing w:line="240" w:lineRule="auto"/>
              <w:jc w:val="center"/>
              <w:rPr>
                <w:color w:val="000000"/>
                <w:sz w:val="20"/>
                <w:szCs w:val="20"/>
              </w:rPr>
            </w:pPr>
            <w:r w:rsidRPr="006D631C">
              <w:rPr>
                <w:color w:val="000000"/>
                <w:sz w:val="20"/>
                <w:szCs w:val="20"/>
              </w:rPr>
              <w:t>C-11</w:t>
            </w:r>
          </w:p>
        </w:tc>
        <w:tc>
          <w:tcPr>
            <w:tcW w:w="7655" w:type="dxa"/>
            <w:tcBorders>
              <w:top w:val="nil"/>
              <w:left w:val="nil"/>
              <w:bottom w:val="nil"/>
              <w:right w:val="nil"/>
            </w:tcBorders>
            <w:shd w:val="clear" w:color="000000" w:fill="FFFFFF"/>
            <w:noWrap/>
            <w:vAlign w:val="center"/>
            <w:hideMark/>
          </w:tcPr>
          <w:p w14:paraId="33E9E8AC"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Diallylamine</w:t>
            </w:r>
            <w:proofErr w:type="spellEnd"/>
          </w:p>
        </w:tc>
      </w:tr>
      <w:tr w:rsidR="00CE3832" w:rsidRPr="006D631C" w14:paraId="08111270" w14:textId="77777777" w:rsidTr="00761EE3">
        <w:trPr>
          <w:cantSplit/>
          <w:trHeight w:val="20"/>
          <w:jc w:val="center"/>
        </w:trPr>
        <w:tc>
          <w:tcPr>
            <w:tcW w:w="426" w:type="dxa"/>
            <w:vMerge/>
            <w:tcBorders>
              <w:left w:val="nil"/>
              <w:right w:val="nil"/>
            </w:tcBorders>
            <w:shd w:val="clear" w:color="000000" w:fill="FFFFFF"/>
            <w:vAlign w:val="center"/>
            <w:hideMark/>
          </w:tcPr>
          <w:p w14:paraId="3F54C3E0"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31EB4403" w14:textId="77777777" w:rsidR="00CE3832" w:rsidRPr="006D631C" w:rsidRDefault="00CE3832" w:rsidP="00F463F6">
            <w:pPr>
              <w:spacing w:line="240" w:lineRule="auto"/>
              <w:jc w:val="center"/>
              <w:rPr>
                <w:color w:val="000000"/>
                <w:sz w:val="20"/>
                <w:szCs w:val="20"/>
              </w:rPr>
            </w:pPr>
            <w:r w:rsidRPr="006D631C">
              <w:rPr>
                <w:color w:val="000000"/>
                <w:sz w:val="20"/>
                <w:szCs w:val="20"/>
              </w:rPr>
              <w:t>C-12</w:t>
            </w:r>
          </w:p>
        </w:tc>
        <w:tc>
          <w:tcPr>
            <w:tcW w:w="7655" w:type="dxa"/>
            <w:tcBorders>
              <w:top w:val="nil"/>
              <w:left w:val="nil"/>
              <w:bottom w:val="nil"/>
              <w:right w:val="nil"/>
            </w:tcBorders>
            <w:shd w:val="clear" w:color="000000" w:fill="FFFFFF"/>
            <w:noWrap/>
            <w:vAlign w:val="center"/>
            <w:hideMark/>
          </w:tcPr>
          <w:p w14:paraId="299D068D" w14:textId="77777777" w:rsidR="00CE3832" w:rsidRPr="006D631C" w:rsidRDefault="00CE3832" w:rsidP="00F463F6">
            <w:pPr>
              <w:spacing w:line="240" w:lineRule="auto"/>
              <w:jc w:val="center"/>
              <w:rPr>
                <w:color w:val="000000"/>
                <w:sz w:val="20"/>
                <w:szCs w:val="20"/>
              </w:rPr>
            </w:pPr>
            <w:r w:rsidRPr="006D631C">
              <w:rPr>
                <w:color w:val="000000"/>
                <w:sz w:val="20"/>
                <w:szCs w:val="20"/>
              </w:rPr>
              <w:t>Formaldehyde</w:t>
            </w:r>
          </w:p>
        </w:tc>
      </w:tr>
      <w:tr w:rsidR="00CE3832" w:rsidRPr="006D631C" w14:paraId="761E3352" w14:textId="77777777" w:rsidTr="00761EE3">
        <w:trPr>
          <w:cantSplit/>
          <w:trHeight w:val="68"/>
          <w:jc w:val="center"/>
        </w:trPr>
        <w:tc>
          <w:tcPr>
            <w:tcW w:w="426" w:type="dxa"/>
            <w:vMerge/>
            <w:tcBorders>
              <w:left w:val="nil"/>
              <w:right w:val="nil"/>
            </w:tcBorders>
            <w:shd w:val="clear" w:color="000000" w:fill="FFFFFF"/>
            <w:vAlign w:val="center"/>
            <w:hideMark/>
          </w:tcPr>
          <w:p w14:paraId="11FD038B"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right w:val="nil"/>
            </w:tcBorders>
            <w:shd w:val="clear" w:color="000000" w:fill="FFFFFF"/>
            <w:noWrap/>
            <w:vAlign w:val="center"/>
            <w:hideMark/>
          </w:tcPr>
          <w:p w14:paraId="327DAF75" w14:textId="77777777" w:rsidR="00CE3832" w:rsidRPr="006D631C" w:rsidRDefault="00CE3832" w:rsidP="00F463F6">
            <w:pPr>
              <w:spacing w:line="240" w:lineRule="auto"/>
              <w:jc w:val="center"/>
              <w:rPr>
                <w:color w:val="000000"/>
                <w:sz w:val="20"/>
                <w:szCs w:val="20"/>
              </w:rPr>
            </w:pPr>
            <w:r w:rsidRPr="006D631C">
              <w:rPr>
                <w:color w:val="000000"/>
                <w:sz w:val="20"/>
                <w:szCs w:val="20"/>
              </w:rPr>
              <w:t>C-13</w:t>
            </w:r>
          </w:p>
        </w:tc>
        <w:tc>
          <w:tcPr>
            <w:tcW w:w="7655" w:type="dxa"/>
            <w:tcBorders>
              <w:top w:val="nil"/>
              <w:left w:val="nil"/>
              <w:right w:val="nil"/>
            </w:tcBorders>
            <w:shd w:val="clear" w:color="000000" w:fill="FFFFFF"/>
            <w:noWrap/>
            <w:vAlign w:val="center"/>
            <w:hideMark/>
          </w:tcPr>
          <w:p w14:paraId="1AC0EBAE" w14:textId="77777777" w:rsidR="00CE3832" w:rsidRPr="006D631C" w:rsidRDefault="00CE3832" w:rsidP="00F463F6">
            <w:pPr>
              <w:spacing w:line="240" w:lineRule="auto"/>
              <w:jc w:val="center"/>
              <w:rPr>
                <w:color w:val="000000"/>
                <w:sz w:val="20"/>
                <w:szCs w:val="20"/>
              </w:rPr>
            </w:pPr>
            <w:proofErr w:type="spellStart"/>
            <w:r w:rsidRPr="006D631C">
              <w:rPr>
                <w:color w:val="000000"/>
                <w:sz w:val="20"/>
                <w:szCs w:val="20"/>
              </w:rPr>
              <w:t>Glyoxal</w:t>
            </w:r>
            <w:proofErr w:type="spellEnd"/>
          </w:p>
        </w:tc>
      </w:tr>
      <w:tr w:rsidR="00CE3832" w:rsidRPr="006D631C" w14:paraId="7476E069" w14:textId="77777777" w:rsidTr="00761EE3">
        <w:trPr>
          <w:cantSplit/>
          <w:trHeight w:val="20"/>
          <w:jc w:val="center"/>
        </w:trPr>
        <w:tc>
          <w:tcPr>
            <w:tcW w:w="426" w:type="dxa"/>
            <w:vMerge/>
            <w:tcBorders>
              <w:left w:val="nil"/>
              <w:right w:val="nil"/>
            </w:tcBorders>
            <w:shd w:val="clear" w:color="000000" w:fill="FFFFFF"/>
            <w:vAlign w:val="center"/>
            <w:hideMark/>
          </w:tcPr>
          <w:p w14:paraId="7FA3CB12" w14:textId="77777777" w:rsidR="00CE3832" w:rsidRPr="006D631C" w:rsidRDefault="00CE3832" w:rsidP="00F463F6">
            <w:pPr>
              <w:spacing w:line="240" w:lineRule="auto"/>
              <w:jc w:val="center"/>
              <w:rPr>
                <w:b/>
                <w:bCs/>
                <w:color w:val="000000"/>
                <w:sz w:val="20"/>
                <w:szCs w:val="20"/>
              </w:rPr>
            </w:pPr>
          </w:p>
        </w:tc>
        <w:tc>
          <w:tcPr>
            <w:tcW w:w="850" w:type="dxa"/>
            <w:tcBorders>
              <w:top w:val="nil"/>
              <w:left w:val="nil"/>
              <w:right w:val="nil"/>
            </w:tcBorders>
            <w:shd w:val="clear" w:color="000000" w:fill="FFFFFF"/>
            <w:noWrap/>
            <w:vAlign w:val="center"/>
            <w:hideMark/>
          </w:tcPr>
          <w:p w14:paraId="49B25C29" w14:textId="77777777" w:rsidR="00CE3832" w:rsidRPr="006D631C" w:rsidRDefault="00CE3832" w:rsidP="00F463F6">
            <w:pPr>
              <w:spacing w:line="240" w:lineRule="auto"/>
              <w:jc w:val="center"/>
              <w:rPr>
                <w:color w:val="000000"/>
                <w:sz w:val="20"/>
                <w:szCs w:val="20"/>
              </w:rPr>
            </w:pPr>
            <w:r w:rsidRPr="006D631C">
              <w:rPr>
                <w:color w:val="000000"/>
                <w:sz w:val="20"/>
                <w:szCs w:val="20"/>
              </w:rPr>
              <w:t>C-14</w:t>
            </w:r>
          </w:p>
        </w:tc>
        <w:tc>
          <w:tcPr>
            <w:tcW w:w="7655" w:type="dxa"/>
            <w:tcBorders>
              <w:top w:val="nil"/>
              <w:left w:val="nil"/>
              <w:right w:val="nil"/>
            </w:tcBorders>
            <w:shd w:val="clear" w:color="000000" w:fill="FFFFFF"/>
            <w:noWrap/>
            <w:vAlign w:val="center"/>
            <w:hideMark/>
          </w:tcPr>
          <w:p w14:paraId="5A867D04" w14:textId="77777777" w:rsidR="00CE3832" w:rsidRPr="006D631C" w:rsidRDefault="00CE3832" w:rsidP="00F463F6">
            <w:pPr>
              <w:spacing w:line="240" w:lineRule="auto"/>
              <w:jc w:val="center"/>
              <w:rPr>
                <w:color w:val="000000"/>
                <w:sz w:val="20"/>
                <w:szCs w:val="20"/>
              </w:rPr>
            </w:pPr>
            <w:r w:rsidRPr="006D631C">
              <w:rPr>
                <w:color w:val="000000"/>
                <w:sz w:val="20"/>
                <w:szCs w:val="20"/>
              </w:rPr>
              <w:t>1,4-Bis(</w:t>
            </w:r>
            <w:proofErr w:type="spellStart"/>
            <w:r w:rsidRPr="006D631C">
              <w:rPr>
                <w:color w:val="000000"/>
                <w:sz w:val="20"/>
                <w:szCs w:val="20"/>
              </w:rPr>
              <w:t>chloromethyl</w:t>
            </w:r>
            <w:proofErr w:type="spellEnd"/>
            <w:r w:rsidRPr="006D631C">
              <w:rPr>
                <w:color w:val="000000"/>
                <w:sz w:val="20"/>
                <w:szCs w:val="20"/>
              </w:rPr>
              <w:t>)benzene</w:t>
            </w:r>
          </w:p>
        </w:tc>
      </w:tr>
      <w:tr w:rsidR="00CE3832" w:rsidRPr="006D631C" w14:paraId="19B5041E" w14:textId="77777777" w:rsidTr="00761EE3">
        <w:trPr>
          <w:cantSplit/>
          <w:trHeight w:val="68"/>
          <w:jc w:val="center"/>
        </w:trPr>
        <w:tc>
          <w:tcPr>
            <w:tcW w:w="426" w:type="dxa"/>
            <w:vMerge/>
            <w:tcBorders>
              <w:left w:val="nil"/>
              <w:right w:val="nil"/>
            </w:tcBorders>
            <w:shd w:val="clear" w:color="000000" w:fill="FFFFFF"/>
            <w:vAlign w:val="center"/>
          </w:tcPr>
          <w:p w14:paraId="0F8C13CF"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0BE0A2D3" w14:textId="77777777" w:rsidR="00CE3832" w:rsidRPr="006D631C" w:rsidRDefault="00CE3832" w:rsidP="00F463F6">
            <w:pPr>
              <w:spacing w:line="240" w:lineRule="auto"/>
              <w:jc w:val="center"/>
              <w:rPr>
                <w:color w:val="000000"/>
                <w:sz w:val="20"/>
                <w:szCs w:val="20"/>
              </w:rPr>
            </w:pPr>
            <w:r w:rsidRPr="006D631C">
              <w:rPr>
                <w:color w:val="000000"/>
                <w:sz w:val="20"/>
                <w:szCs w:val="20"/>
              </w:rPr>
              <w:t>C-15</w:t>
            </w:r>
          </w:p>
        </w:tc>
        <w:tc>
          <w:tcPr>
            <w:tcW w:w="7655" w:type="dxa"/>
            <w:tcBorders>
              <w:left w:val="nil"/>
              <w:right w:val="nil"/>
            </w:tcBorders>
            <w:shd w:val="clear" w:color="000000" w:fill="FFFFFF"/>
            <w:noWrap/>
            <w:vAlign w:val="center"/>
          </w:tcPr>
          <w:p w14:paraId="43D33C17" w14:textId="77777777" w:rsidR="00CE3832" w:rsidRPr="006D631C" w:rsidRDefault="00CE3832" w:rsidP="00F463F6">
            <w:pPr>
              <w:spacing w:line="240" w:lineRule="auto"/>
              <w:jc w:val="center"/>
              <w:rPr>
                <w:color w:val="000000"/>
                <w:sz w:val="20"/>
                <w:szCs w:val="20"/>
              </w:rPr>
            </w:pPr>
            <w:r w:rsidRPr="006D631C">
              <w:rPr>
                <w:color w:val="000000"/>
                <w:sz w:val="20"/>
                <w:szCs w:val="20"/>
              </w:rPr>
              <w:t xml:space="preserve">1-Ethyl-3-methylimidazolium </w:t>
            </w:r>
            <w:proofErr w:type="spellStart"/>
            <w:r w:rsidRPr="006D631C">
              <w:rPr>
                <w:color w:val="000000"/>
                <w:sz w:val="20"/>
                <w:szCs w:val="20"/>
              </w:rPr>
              <w:t>dicyanamide</w:t>
            </w:r>
            <w:proofErr w:type="spellEnd"/>
          </w:p>
        </w:tc>
      </w:tr>
      <w:tr w:rsidR="00CE3832" w:rsidRPr="006D631C" w14:paraId="58C7B6A0" w14:textId="77777777" w:rsidTr="00761EE3">
        <w:trPr>
          <w:cantSplit/>
          <w:trHeight w:val="98"/>
          <w:jc w:val="center"/>
        </w:trPr>
        <w:tc>
          <w:tcPr>
            <w:tcW w:w="426" w:type="dxa"/>
            <w:vMerge/>
            <w:tcBorders>
              <w:left w:val="nil"/>
              <w:right w:val="nil"/>
            </w:tcBorders>
            <w:shd w:val="clear" w:color="000000" w:fill="FFFFFF"/>
            <w:vAlign w:val="center"/>
          </w:tcPr>
          <w:p w14:paraId="506BAA7F"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4D789B6F" w14:textId="77777777" w:rsidR="00CE3832" w:rsidRPr="006D631C" w:rsidRDefault="00CE3832" w:rsidP="00F463F6">
            <w:pPr>
              <w:spacing w:line="240" w:lineRule="auto"/>
              <w:jc w:val="center"/>
              <w:rPr>
                <w:sz w:val="20"/>
                <w:szCs w:val="20"/>
              </w:rPr>
            </w:pPr>
            <w:r w:rsidRPr="006D631C">
              <w:rPr>
                <w:sz w:val="20"/>
                <w:szCs w:val="20"/>
              </w:rPr>
              <w:t>C-16</w:t>
            </w:r>
          </w:p>
        </w:tc>
        <w:tc>
          <w:tcPr>
            <w:tcW w:w="7655" w:type="dxa"/>
            <w:tcBorders>
              <w:left w:val="nil"/>
              <w:right w:val="nil"/>
            </w:tcBorders>
            <w:shd w:val="clear" w:color="000000" w:fill="FFFFFF"/>
            <w:noWrap/>
            <w:vAlign w:val="center"/>
          </w:tcPr>
          <w:p w14:paraId="26EFCE3D" w14:textId="77777777" w:rsidR="00CE3832" w:rsidRPr="006D631C" w:rsidRDefault="00CE3832" w:rsidP="00F463F6">
            <w:pPr>
              <w:spacing w:line="240" w:lineRule="auto"/>
              <w:jc w:val="center"/>
              <w:rPr>
                <w:sz w:val="20"/>
                <w:szCs w:val="20"/>
              </w:rPr>
            </w:pPr>
            <w:proofErr w:type="spellStart"/>
            <w:r w:rsidRPr="006D631C">
              <w:rPr>
                <w:sz w:val="20"/>
                <w:szCs w:val="20"/>
              </w:rPr>
              <w:t>Pentaerythritol</w:t>
            </w:r>
            <w:proofErr w:type="spellEnd"/>
            <w:r w:rsidRPr="006D631C">
              <w:rPr>
                <w:sz w:val="20"/>
                <w:szCs w:val="20"/>
              </w:rPr>
              <w:t xml:space="preserve"> </w:t>
            </w:r>
            <w:proofErr w:type="spellStart"/>
            <w:r w:rsidRPr="006D631C">
              <w:rPr>
                <w:sz w:val="20"/>
                <w:szCs w:val="20"/>
              </w:rPr>
              <w:t>tetraacrylate</w:t>
            </w:r>
            <w:proofErr w:type="spellEnd"/>
          </w:p>
        </w:tc>
      </w:tr>
      <w:tr w:rsidR="00CE3832" w:rsidRPr="006D631C" w14:paraId="5B7AA584" w14:textId="77777777" w:rsidTr="00761EE3">
        <w:trPr>
          <w:cantSplit/>
          <w:trHeight w:val="98"/>
          <w:jc w:val="center"/>
        </w:trPr>
        <w:tc>
          <w:tcPr>
            <w:tcW w:w="426" w:type="dxa"/>
            <w:vMerge/>
            <w:tcBorders>
              <w:left w:val="nil"/>
              <w:right w:val="nil"/>
            </w:tcBorders>
            <w:shd w:val="clear" w:color="000000" w:fill="FFFFFF"/>
            <w:vAlign w:val="center"/>
          </w:tcPr>
          <w:p w14:paraId="00B6085F" w14:textId="77777777" w:rsidR="00CE3832" w:rsidRPr="006D631C" w:rsidRDefault="00CE3832" w:rsidP="00F463F6">
            <w:pPr>
              <w:spacing w:line="240" w:lineRule="auto"/>
              <w:jc w:val="center"/>
              <w:rPr>
                <w:b/>
                <w:bCs/>
                <w:color w:val="000000"/>
                <w:sz w:val="20"/>
                <w:szCs w:val="20"/>
              </w:rPr>
            </w:pPr>
          </w:p>
        </w:tc>
        <w:tc>
          <w:tcPr>
            <w:tcW w:w="850" w:type="dxa"/>
            <w:tcBorders>
              <w:left w:val="nil"/>
              <w:right w:val="nil"/>
            </w:tcBorders>
            <w:shd w:val="clear" w:color="000000" w:fill="FFFFFF"/>
            <w:noWrap/>
            <w:vAlign w:val="center"/>
          </w:tcPr>
          <w:p w14:paraId="626BDBBB" w14:textId="77777777" w:rsidR="00CE3832" w:rsidRPr="006D631C" w:rsidRDefault="00CE3832" w:rsidP="00F463F6">
            <w:pPr>
              <w:spacing w:line="240" w:lineRule="auto"/>
              <w:jc w:val="center"/>
              <w:rPr>
                <w:sz w:val="20"/>
                <w:szCs w:val="20"/>
              </w:rPr>
            </w:pPr>
            <w:r w:rsidRPr="006D631C">
              <w:rPr>
                <w:sz w:val="20"/>
                <w:szCs w:val="20"/>
              </w:rPr>
              <w:t>C-17</w:t>
            </w:r>
          </w:p>
        </w:tc>
        <w:tc>
          <w:tcPr>
            <w:tcW w:w="7655" w:type="dxa"/>
            <w:tcBorders>
              <w:left w:val="nil"/>
              <w:right w:val="nil"/>
            </w:tcBorders>
            <w:shd w:val="clear" w:color="000000" w:fill="FFFFFF"/>
            <w:noWrap/>
            <w:vAlign w:val="center"/>
          </w:tcPr>
          <w:p w14:paraId="5ED9901E" w14:textId="77777777" w:rsidR="00CE3832" w:rsidRPr="006D631C" w:rsidRDefault="00CE3832" w:rsidP="00F463F6">
            <w:pPr>
              <w:spacing w:line="240" w:lineRule="auto"/>
              <w:jc w:val="center"/>
              <w:rPr>
                <w:sz w:val="20"/>
                <w:szCs w:val="20"/>
              </w:rPr>
            </w:pPr>
            <w:r w:rsidRPr="006D631C">
              <w:rPr>
                <w:sz w:val="20"/>
                <w:szCs w:val="20"/>
              </w:rPr>
              <w:t xml:space="preserve">1,10-Decanediol </w:t>
            </w:r>
            <w:proofErr w:type="spellStart"/>
            <w:r w:rsidRPr="006D631C">
              <w:rPr>
                <w:sz w:val="20"/>
                <w:szCs w:val="20"/>
              </w:rPr>
              <w:t>dimethacrylate</w:t>
            </w:r>
            <w:proofErr w:type="spellEnd"/>
          </w:p>
        </w:tc>
      </w:tr>
      <w:tr w:rsidR="00CE3832" w:rsidRPr="006D631C" w14:paraId="3A77EF22" w14:textId="77777777" w:rsidTr="00761EE3">
        <w:trPr>
          <w:cantSplit/>
          <w:trHeight w:val="98"/>
          <w:jc w:val="center"/>
        </w:trPr>
        <w:tc>
          <w:tcPr>
            <w:tcW w:w="426" w:type="dxa"/>
            <w:vMerge/>
            <w:tcBorders>
              <w:left w:val="nil"/>
              <w:bottom w:val="single" w:sz="8" w:space="0" w:color="000000"/>
              <w:right w:val="nil"/>
            </w:tcBorders>
            <w:vAlign w:val="center"/>
          </w:tcPr>
          <w:p w14:paraId="0B2C91E6" w14:textId="77777777" w:rsidR="00CE3832" w:rsidRPr="006D631C" w:rsidRDefault="00CE3832" w:rsidP="00F463F6">
            <w:pPr>
              <w:spacing w:line="240" w:lineRule="auto"/>
              <w:jc w:val="center"/>
              <w:rPr>
                <w:b/>
                <w:bCs/>
                <w:color w:val="000000"/>
                <w:sz w:val="20"/>
                <w:szCs w:val="20"/>
              </w:rPr>
            </w:pPr>
          </w:p>
        </w:tc>
        <w:tc>
          <w:tcPr>
            <w:tcW w:w="850" w:type="dxa"/>
            <w:tcBorders>
              <w:left w:val="nil"/>
              <w:bottom w:val="single" w:sz="8" w:space="0" w:color="auto"/>
              <w:right w:val="nil"/>
            </w:tcBorders>
            <w:shd w:val="clear" w:color="000000" w:fill="FFFFFF"/>
            <w:noWrap/>
            <w:vAlign w:val="center"/>
          </w:tcPr>
          <w:p w14:paraId="47E5C8F8" w14:textId="77777777" w:rsidR="00CE3832" w:rsidRPr="006D631C" w:rsidRDefault="00CE3832" w:rsidP="00F463F6">
            <w:pPr>
              <w:spacing w:line="240" w:lineRule="auto"/>
              <w:jc w:val="center"/>
              <w:rPr>
                <w:sz w:val="20"/>
                <w:szCs w:val="20"/>
              </w:rPr>
            </w:pPr>
            <w:r w:rsidRPr="006D631C">
              <w:rPr>
                <w:sz w:val="20"/>
                <w:szCs w:val="20"/>
              </w:rPr>
              <w:t>C-18</w:t>
            </w:r>
          </w:p>
        </w:tc>
        <w:tc>
          <w:tcPr>
            <w:tcW w:w="7655" w:type="dxa"/>
            <w:tcBorders>
              <w:left w:val="nil"/>
              <w:bottom w:val="single" w:sz="8" w:space="0" w:color="auto"/>
              <w:right w:val="nil"/>
            </w:tcBorders>
            <w:shd w:val="clear" w:color="000000" w:fill="FFFFFF"/>
            <w:noWrap/>
            <w:vAlign w:val="center"/>
          </w:tcPr>
          <w:p w14:paraId="555BB692" w14:textId="77777777" w:rsidR="00CE3832" w:rsidRPr="006D631C" w:rsidRDefault="00CE3832" w:rsidP="00F463F6">
            <w:pPr>
              <w:spacing w:line="240" w:lineRule="auto"/>
              <w:jc w:val="center"/>
              <w:rPr>
                <w:sz w:val="20"/>
                <w:szCs w:val="20"/>
              </w:rPr>
            </w:pPr>
            <w:r w:rsidRPr="006D631C">
              <w:rPr>
                <w:sz w:val="20"/>
                <w:szCs w:val="20"/>
              </w:rPr>
              <w:t>1,6-Hexanediol diacrylate</w:t>
            </w:r>
          </w:p>
        </w:tc>
      </w:tr>
    </w:tbl>
    <w:p w14:paraId="03139160" w14:textId="18C4FE3B" w:rsidR="00CE3832" w:rsidRPr="006D631C" w:rsidRDefault="00CE3832" w:rsidP="00CE3832">
      <w:pPr>
        <w:tabs>
          <w:tab w:val="left" w:pos="90"/>
          <w:tab w:val="left" w:pos="360"/>
          <w:tab w:val="left" w:pos="992"/>
        </w:tabs>
        <w:rPr>
          <w:rFonts w:asciiTheme="majorBidi" w:hAnsiTheme="majorBidi" w:cstheme="majorBidi"/>
        </w:rPr>
      </w:pPr>
    </w:p>
    <w:p w14:paraId="27862E9A" w14:textId="77777777" w:rsidR="007960DB" w:rsidRPr="006D631C" w:rsidRDefault="007960DB" w:rsidP="007960DB">
      <w:pPr>
        <w:tabs>
          <w:tab w:val="left" w:pos="90"/>
          <w:tab w:val="left" w:pos="360"/>
          <w:tab w:val="left" w:pos="992"/>
        </w:tabs>
        <w:spacing w:line="276" w:lineRule="auto"/>
        <w:jc w:val="center"/>
        <w:rPr>
          <w:rFonts w:asciiTheme="majorBidi" w:hAnsiTheme="majorBidi" w:cstheme="majorBidi"/>
          <w:sz w:val="22"/>
          <w:szCs w:val="22"/>
        </w:rPr>
      </w:pPr>
      <w:r w:rsidRPr="006D631C">
        <w:rPr>
          <w:rFonts w:asciiTheme="majorBidi" w:hAnsiTheme="majorBidi" w:cstheme="majorBidi"/>
          <w:sz w:val="22"/>
          <w:szCs w:val="22"/>
        </w:rPr>
        <w:lastRenderedPageBreak/>
        <w:t xml:space="preserve">Table B1. </w:t>
      </w:r>
      <w:r w:rsidRPr="006D631C">
        <w:rPr>
          <w:rFonts w:asciiTheme="majorBidi" w:hAnsiTheme="majorBidi" w:cstheme="majorBidi"/>
          <w:i/>
          <w:iCs/>
          <w:sz w:val="22"/>
          <w:szCs w:val="22"/>
        </w:rPr>
        <w:t>(Contd.)</w:t>
      </w:r>
    </w:p>
    <w:tbl>
      <w:tblPr>
        <w:tblW w:w="0" w:type="auto"/>
        <w:jc w:val="center"/>
        <w:tblLayout w:type="fixed"/>
        <w:tblLook w:val="04A0" w:firstRow="1" w:lastRow="0" w:firstColumn="1" w:lastColumn="0" w:noHBand="0" w:noVBand="1"/>
      </w:tblPr>
      <w:tblGrid>
        <w:gridCol w:w="426"/>
        <w:gridCol w:w="850"/>
        <w:gridCol w:w="7655"/>
      </w:tblGrid>
      <w:tr w:rsidR="005F7B99" w:rsidRPr="006D631C" w14:paraId="5BD29034" w14:textId="77777777" w:rsidTr="00F463F6">
        <w:trPr>
          <w:cantSplit/>
          <w:trHeight w:val="20"/>
          <w:jc w:val="center"/>
        </w:trPr>
        <w:tc>
          <w:tcPr>
            <w:tcW w:w="426" w:type="dxa"/>
            <w:tcBorders>
              <w:top w:val="single" w:sz="8" w:space="0" w:color="auto"/>
              <w:left w:val="nil"/>
              <w:bottom w:val="single" w:sz="4" w:space="0" w:color="auto"/>
              <w:right w:val="nil"/>
            </w:tcBorders>
            <w:shd w:val="clear" w:color="000000" w:fill="FFFFFF"/>
            <w:noWrap/>
            <w:vAlign w:val="center"/>
            <w:hideMark/>
          </w:tcPr>
          <w:p w14:paraId="0688CDFC" w14:textId="77777777" w:rsidR="005F7B99" w:rsidRPr="006D631C" w:rsidRDefault="005F7B99" w:rsidP="00F463F6">
            <w:pPr>
              <w:spacing w:line="240" w:lineRule="auto"/>
              <w:jc w:val="center"/>
              <w:rPr>
                <w:rFonts w:ascii="Calibri" w:hAnsi="Calibri" w:cs="Calibri"/>
                <w:color w:val="000000"/>
                <w:sz w:val="20"/>
                <w:szCs w:val="20"/>
              </w:rPr>
            </w:pPr>
          </w:p>
        </w:tc>
        <w:tc>
          <w:tcPr>
            <w:tcW w:w="850" w:type="dxa"/>
            <w:tcBorders>
              <w:top w:val="single" w:sz="8" w:space="0" w:color="auto"/>
              <w:left w:val="nil"/>
              <w:bottom w:val="single" w:sz="4" w:space="0" w:color="auto"/>
              <w:right w:val="nil"/>
            </w:tcBorders>
            <w:shd w:val="clear" w:color="000000" w:fill="FFFFFF"/>
            <w:noWrap/>
            <w:vAlign w:val="center"/>
            <w:hideMark/>
          </w:tcPr>
          <w:p w14:paraId="4952E4A2" w14:textId="77777777" w:rsidR="005F7B99" w:rsidRPr="006D631C" w:rsidRDefault="005F7B99" w:rsidP="00F463F6">
            <w:pPr>
              <w:spacing w:line="240" w:lineRule="auto"/>
              <w:jc w:val="center"/>
              <w:rPr>
                <w:b/>
                <w:bCs/>
                <w:color w:val="000000"/>
                <w:sz w:val="20"/>
                <w:szCs w:val="20"/>
              </w:rPr>
            </w:pPr>
            <w:r w:rsidRPr="006D631C">
              <w:rPr>
                <w:b/>
                <w:bCs/>
                <w:color w:val="000000"/>
                <w:sz w:val="20"/>
                <w:szCs w:val="20"/>
              </w:rPr>
              <w:t>No.</w:t>
            </w:r>
          </w:p>
        </w:tc>
        <w:tc>
          <w:tcPr>
            <w:tcW w:w="7655" w:type="dxa"/>
            <w:tcBorders>
              <w:top w:val="single" w:sz="8" w:space="0" w:color="auto"/>
              <w:left w:val="nil"/>
              <w:bottom w:val="single" w:sz="4" w:space="0" w:color="auto"/>
              <w:right w:val="nil"/>
            </w:tcBorders>
            <w:shd w:val="clear" w:color="000000" w:fill="FFFFFF"/>
            <w:noWrap/>
            <w:vAlign w:val="center"/>
            <w:hideMark/>
          </w:tcPr>
          <w:p w14:paraId="0C19FB83" w14:textId="77777777" w:rsidR="005F7B99" w:rsidRPr="006D631C" w:rsidRDefault="005F7B99" w:rsidP="00F463F6">
            <w:pPr>
              <w:spacing w:line="240" w:lineRule="auto"/>
              <w:jc w:val="center"/>
              <w:rPr>
                <w:b/>
                <w:bCs/>
                <w:color w:val="000000"/>
                <w:sz w:val="20"/>
                <w:szCs w:val="20"/>
              </w:rPr>
            </w:pPr>
            <w:r w:rsidRPr="006D631C">
              <w:rPr>
                <w:b/>
                <w:bCs/>
                <w:color w:val="000000"/>
                <w:sz w:val="20"/>
                <w:szCs w:val="20"/>
              </w:rPr>
              <w:t>Name</w:t>
            </w:r>
          </w:p>
        </w:tc>
      </w:tr>
      <w:tr w:rsidR="005F7B99" w:rsidRPr="006D631C" w14:paraId="6D5550B7" w14:textId="77777777" w:rsidTr="00F463F6">
        <w:trPr>
          <w:cantSplit/>
          <w:trHeight w:val="20"/>
          <w:jc w:val="center"/>
        </w:trPr>
        <w:tc>
          <w:tcPr>
            <w:tcW w:w="426" w:type="dxa"/>
            <w:vMerge w:val="restart"/>
            <w:tcBorders>
              <w:top w:val="nil"/>
              <w:left w:val="nil"/>
              <w:bottom w:val="single" w:sz="8" w:space="0" w:color="000000"/>
              <w:right w:val="nil"/>
            </w:tcBorders>
            <w:shd w:val="clear" w:color="000000" w:fill="FFFFFF"/>
            <w:noWrap/>
            <w:textDirection w:val="btLr"/>
            <w:vAlign w:val="center"/>
            <w:hideMark/>
          </w:tcPr>
          <w:p w14:paraId="7D8426FA" w14:textId="77777777" w:rsidR="005F7B99" w:rsidRPr="006D631C" w:rsidRDefault="005F7B99" w:rsidP="00F463F6">
            <w:pPr>
              <w:spacing w:line="240" w:lineRule="auto"/>
              <w:jc w:val="center"/>
              <w:rPr>
                <w:b/>
                <w:bCs/>
                <w:color w:val="000000"/>
                <w:sz w:val="22"/>
                <w:szCs w:val="22"/>
              </w:rPr>
            </w:pPr>
            <w:r w:rsidRPr="006D631C">
              <w:rPr>
                <w:b/>
                <w:bCs/>
                <w:color w:val="000000"/>
                <w:sz w:val="22"/>
                <w:szCs w:val="22"/>
              </w:rPr>
              <w:t>Initiators</w:t>
            </w:r>
          </w:p>
        </w:tc>
        <w:tc>
          <w:tcPr>
            <w:tcW w:w="850" w:type="dxa"/>
            <w:tcBorders>
              <w:top w:val="nil"/>
              <w:left w:val="nil"/>
              <w:bottom w:val="nil"/>
              <w:right w:val="nil"/>
            </w:tcBorders>
            <w:shd w:val="clear" w:color="000000" w:fill="FFFFFF"/>
            <w:noWrap/>
            <w:vAlign w:val="center"/>
            <w:hideMark/>
          </w:tcPr>
          <w:p w14:paraId="51D8331D" w14:textId="77777777" w:rsidR="005F7B99" w:rsidRPr="006D631C" w:rsidRDefault="005F7B99" w:rsidP="00F463F6">
            <w:pPr>
              <w:spacing w:line="240" w:lineRule="auto"/>
              <w:jc w:val="center"/>
              <w:rPr>
                <w:color w:val="000000"/>
                <w:sz w:val="20"/>
                <w:szCs w:val="20"/>
              </w:rPr>
            </w:pPr>
            <w:r w:rsidRPr="006D631C">
              <w:rPr>
                <w:color w:val="000000"/>
                <w:sz w:val="20"/>
                <w:szCs w:val="20"/>
              </w:rPr>
              <w:t>I-1</w:t>
            </w:r>
          </w:p>
        </w:tc>
        <w:tc>
          <w:tcPr>
            <w:tcW w:w="7655" w:type="dxa"/>
            <w:tcBorders>
              <w:top w:val="nil"/>
              <w:left w:val="nil"/>
              <w:bottom w:val="nil"/>
              <w:right w:val="nil"/>
            </w:tcBorders>
            <w:shd w:val="clear" w:color="000000" w:fill="FFFFFF"/>
            <w:noWrap/>
            <w:vAlign w:val="center"/>
            <w:hideMark/>
          </w:tcPr>
          <w:p w14:paraId="6E2DC7C2" w14:textId="77777777" w:rsidR="005F7B99" w:rsidRPr="006D631C" w:rsidRDefault="005F7B99" w:rsidP="00F463F6">
            <w:pPr>
              <w:spacing w:line="240" w:lineRule="auto"/>
              <w:jc w:val="center"/>
              <w:rPr>
                <w:color w:val="000000"/>
                <w:sz w:val="20"/>
                <w:szCs w:val="20"/>
              </w:rPr>
            </w:pPr>
            <w:r w:rsidRPr="006D631C">
              <w:rPr>
                <w:color w:val="000000"/>
                <w:sz w:val="20"/>
                <w:szCs w:val="20"/>
              </w:rPr>
              <w:t>2-Hydroxy-2-methylpropiophenone</w:t>
            </w:r>
          </w:p>
        </w:tc>
      </w:tr>
      <w:tr w:rsidR="005F7B99" w:rsidRPr="006D631C" w14:paraId="12A72B29"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7D066467"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7946C138" w14:textId="77777777" w:rsidR="005F7B99" w:rsidRPr="006D631C" w:rsidRDefault="005F7B99" w:rsidP="00F463F6">
            <w:pPr>
              <w:spacing w:line="240" w:lineRule="auto"/>
              <w:jc w:val="center"/>
              <w:rPr>
                <w:color w:val="000000"/>
                <w:sz w:val="20"/>
                <w:szCs w:val="20"/>
              </w:rPr>
            </w:pPr>
            <w:r w:rsidRPr="006D631C">
              <w:rPr>
                <w:color w:val="000000"/>
                <w:sz w:val="20"/>
                <w:szCs w:val="20"/>
              </w:rPr>
              <w:t>I-2</w:t>
            </w:r>
          </w:p>
        </w:tc>
        <w:tc>
          <w:tcPr>
            <w:tcW w:w="7655" w:type="dxa"/>
            <w:tcBorders>
              <w:top w:val="nil"/>
              <w:left w:val="nil"/>
              <w:bottom w:val="nil"/>
              <w:right w:val="nil"/>
            </w:tcBorders>
            <w:shd w:val="clear" w:color="000000" w:fill="FFFFFF"/>
            <w:noWrap/>
            <w:vAlign w:val="center"/>
            <w:hideMark/>
          </w:tcPr>
          <w:p w14:paraId="2A6F80A6" w14:textId="77777777" w:rsidR="005F7B99" w:rsidRPr="006D631C" w:rsidRDefault="005F7B99" w:rsidP="00F463F6">
            <w:pPr>
              <w:spacing w:line="240" w:lineRule="auto"/>
              <w:jc w:val="center"/>
              <w:rPr>
                <w:color w:val="000000"/>
                <w:sz w:val="20"/>
                <w:szCs w:val="20"/>
              </w:rPr>
            </w:pPr>
            <w:r w:rsidRPr="006D631C">
              <w:rPr>
                <w:color w:val="000000"/>
                <w:sz w:val="20"/>
                <w:szCs w:val="20"/>
              </w:rPr>
              <w:t>2,2-Dimethoxy-2-phenylacetophenone</w:t>
            </w:r>
          </w:p>
        </w:tc>
      </w:tr>
      <w:tr w:rsidR="005F7B99" w:rsidRPr="006D631C" w14:paraId="44B7681B"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322F88FB"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64A6CACA" w14:textId="77777777" w:rsidR="005F7B99" w:rsidRPr="006D631C" w:rsidRDefault="005F7B99" w:rsidP="00F463F6">
            <w:pPr>
              <w:spacing w:line="240" w:lineRule="auto"/>
              <w:jc w:val="center"/>
              <w:rPr>
                <w:color w:val="000000"/>
                <w:sz w:val="20"/>
                <w:szCs w:val="20"/>
              </w:rPr>
            </w:pPr>
            <w:r w:rsidRPr="006D631C">
              <w:rPr>
                <w:color w:val="000000"/>
                <w:sz w:val="20"/>
                <w:szCs w:val="20"/>
              </w:rPr>
              <w:t>I-3</w:t>
            </w:r>
          </w:p>
        </w:tc>
        <w:tc>
          <w:tcPr>
            <w:tcW w:w="7655" w:type="dxa"/>
            <w:tcBorders>
              <w:top w:val="nil"/>
              <w:left w:val="nil"/>
              <w:bottom w:val="nil"/>
              <w:right w:val="nil"/>
            </w:tcBorders>
            <w:shd w:val="clear" w:color="000000" w:fill="FFFFFF"/>
            <w:noWrap/>
            <w:vAlign w:val="center"/>
            <w:hideMark/>
          </w:tcPr>
          <w:p w14:paraId="6DBE9DC4" w14:textId="77777777" w:rsidR="005F7B99" w:rsidRPr="006D631C" w:rsidRDefault="005F7B99" w:rsidP="00F463F6">
            <w:pPr>
              <w:spacing w:line="240" w:lineRule="auto"/>
              <w:jc w:val="center"/>
              <w:rPr>
                <w:color w:val="000000"/>
                <w:sz w:val="20"/>
                <w:szCs w:val="20"/>
              </w:rPr>
            </w:pPr>
            <w:r w:rsidRPr="006D631C">
              <w:rPr>
                <w:color w:val="000000"/>
                <w:sz w:val="20"/>
                <w:szCs w:val="20"/>
              </w:rPr>
              <w:t>2-Methoxy-2-phenylacetophenone</w:t>
            </w:r>
          </w:p>
        </w:tc>
      </w:tr>
      <w:tr w:rsidR="005F7B99" w:rsidRPr="006D631C" w14:paraId="6EDB5654"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4B21B00C"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666B86D6" w14:textId="77777777" w:rsidR="005F7B99" w:rsidRPr="006D631C" w:rsidRDefault="005F7B99" w:rsidP="00F463F6">
            <w:pPr>
              <w:spacing w:line="240" w:lineRule="auto"/>
              <w:jc w:val="center"/>
              <w:rPr>
                <w:color w:val="000000"/>
                <w:sz w:val="20"/>
                <w:szCs w:val="20"/>
              </w:rPr>
            </w:pPr>
            <w:r w:rsidRPr="006D631C">
              <w:rPr>
                <w:color w:val="000000"/>
                <w:sz w:val="20"/>
                <w:szCs w:val="20"/>
              </w:rPr>
              <w:t>I-4</w:t>
            </w:r>
          </w:p>
        </w:tc>
        <w:tc>
          <w:tcPr>
            <w:tcW w:w="7655" w:type="dxa"/>
            <w:tcBorders>
              <w:top w:val="nil"/>
              <w:left w:val="nil"/>
              <w:bottom w:val="nil"/>
              <w:right w:val="nil"/>
            </w:tcBorders>
            <w:shd w:val="clear" w:color="000000" w:fill="FFFFFF"/>
            <w:noWrap/>
            <w:vAlign w:val="center"/>
            <w:hideMark/>
          </w:tcPr>
          <w:p w14:paraId="4620AEB6" w14:textId="77777777" w:rsidR="005F7B99" w:rsidRPr="006D631C" w:rsidRDefault="005F7B99" w:rsidP="00F463F6">
            <w:pPr>
              <w:spacing w:line="240" w:lineRule="auto"/>
              <w:jc w:val="center"/>
              <w:rPr>
                <w:color w:val="000000"/>
                <w:sz w:val="20"/>
                <w:szCs w:val="20"/>
              </w:rPr>
            </w:pPr>
            <w:r w:rsidRPr="006D631C">
              <w:rPr>
                <w:color w:val="000000"/>
                <w:sz w:val="20"/>
                <w:szCs w:val="20"/>
              </w:rPr>
              <w:t>Diphenyl(2,4,6-trimethylbenzoyl)phosphine oxide</w:t>
            </w:r>
          </w:p>
        </w:tc>
      </w:tr>
      <w:tr w:rsidR="005F7B99" w:rsidRPr="006D631C" w14:paraId="21888D53"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6F8BC907"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60ABFCC4" w14:textId="77777777" w:rsidR="005F7B99" w:rsidRPr="006D631C" w:rsidRDefault="005F7B99" w:rsidP="00F463F6">
            <w:pPr>
              <w:spacing w:line="240" w:lineRule="auto"/>
              <w:jc w:val="center"/>
              <w:rPr>
                <w:color w:val="000000"/>
                <w:sz w:val="20"/>
                <w:szCs w:val="20"/>
              </w:rPr>
            </w:pPr>
            <w:r w:rsidRPr="006D631C">
              <w:rPr>
                <w:color w:val="000000"/>
                <w:sz w:val="20"/>
                <w:szCs w:val="20"/>
              </w:rPr>
              <w:t>I-5</w:t>
            </w:r>
          </w:p>
        </w:tc>
        <w:tc>
          <w:tcPr>
            <w:tcW w:w="7655" w:type="dxa"/>
            <w:tcBorders>
              <w:top w:val="nil"/>
              <w:left w:val="nil"/>
              <w:bottom w:val="nil"/>
              <w:right w:val="nil"/>
            </w:tcBorders>
            <w:shd w:val="clear" w:color="000000" w:fill="FFFFFF"/>
            <w:vAlign w:val="center"/>
            <w:hideMark/>
          </w:tcPr>
          <w:p w14:paraId="410CC258" w14:textId="77777777" w:rsidR="005F7B99" w:rsidRPr="006D631C" w:rsidRDefault="005F7B99" w:rsidP="00F463F6">
            <w:pPr>
              <w:spacing w:line="240" w:lineRule="auto"/>
              <w:jc w:val="center"/>
              <w:rPr>
                <w:color w:val="000000"/>
                <w:sz w:val="20"/>
                <w:szCs w:val="20"/>
              </w:rPr>
            </w:pPr>
            <w:r w:rsidRPr="006D631C">
              <w:rPr>
                <w:color w:val="000000"/>
                <w:sz w:val="20"/>
                <w:szCs w:val="20"/>
              </w:rPr>
              <w:t>2-Hydroxy-4′-(2-hydroxyethoxy)-2-methylpropiophenone</w:t>
            </w:r>
          </w:p>
        </w:tc>
      </w:tr>
      <w:tr w:rsidR="005F7B99" w:rsidRPr="006D631C" w14:paraId="00FB0B8F"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0EA27D73"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0AB36585" w14:textId="77777777" w:rsidR="005F7B99" w:rsidRPr="006D631C" w:rsidRDefault="005F7B99" w:rsidP="00F463F6">
            <w:pPr>
              <w:spacing w:line="240" w:lineRule="auto"/>
              <w:jc w:val="center"/>
              <w:rPr>
                <w:color w:val="000000"/>
                <w:sz w:val="20"/>
                <w:szCs w:val="20"/>
              </w:rPr>
            </w:pPr>
            <w:r w:rsidRPr="006D631C">
              <w:rPr>
                <w:color w:val="000000"/>
                <w:sz w:val="20"/>
                <w:szCs w:val="20"/>
              </w:rPr>
              <w:t>I-6</w:t>
            </w:r>
          </w:p>
        </w:tc>
        <w:tc>
          <w:tcPr>
            <w:tcW w:w="7655" w:type="dxa"/>
            <w:tcBorders>
              <w:top w:val="nil"/>
              <w:left w:val="nil"/>
              <w:bottom w:val="nil"/>
              <w:right w:val="nil"/>
            </w:tcBorders>
            <w:shd w:val="clear" w:color="000000" w:fill="FFFFFF"/>
            <w:noWrap/>
            <w:vAlign w:val="center"/>
            <w:hideMark/>
          </w:tcPr>
          <w:p w14:paraId="1F4A5066" w14:textId="77777777" w:rsidR="005F7B99" w:rsidRPr="006D631C" w:rsidRDefault="005F7B99" w:rsidP="00F463F6">
            <w:pPr>
              <w:spacing w:line="240" w:lineRule="auto"/>
              <w:jc w:val="center"/>
              <w:rPr>
                <w:color w:val="000000"/>
                <w:sz w:val="20"/>
                <w:szCs w:val="20"/>
              </w:rPr>
            </w:pPr>
            <w:r w:rsidRPr="006D631C">
              <w:rPr>
                <w:color w:val="000000"/>
                <w:sz w:val="20"/>
                <w:szCs w:val="20"/>
              </w:rPr>
              <w:t>2-Benzyl-2-dimethylamino-1-(4-morpholinophenyl)-butanone-1</w:t>
            </w:r>
          </w:p>
        </w:tc>
      </w:tr>
      <w:tr w:rsidR="005F7B99" w:rsidRPr="006D631C" w14:paraId="2FE11E26"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39F730C3"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5B166B14" w14:textId="77777777" w:rsidR="005F7B99" w:rsidRPr="006D631C" w:rsidRDefault="005F7B99" w:rsidP="00F463F6">
            <w:pPr>
              <w:spacing w:line="240" w:lineRule="auto"/>
              <w:jc w:val="center"/>
              <w:rPr>
                <w:color w:val="000000"/>
                <w:sz w:val="20"/>
                <w:szCs w:val="20"/>
              </w:rPr>
            </w:pPr>
            <w:r w:rsidRPr="006D631C">
              <w:rPr>
                <w:color w:val="000000"/>
                <w:sz w:val="20"/>
                <w:szCs w:val="20"/>
              </w:rPr>
              <w:t>I-7</w:t>
            </w:r>
          </w:p>
        </w:tc>
        <w:tc>
          <w:tcPr>
            <w:tcW w:w="7655" w:type="dxa"/>
            <w:tcBorders>
              <w:top w:val="nil"/>
              <w:left w:val="nil"/>
              <w:bottom w:val="nil"/>
              <w:right w:val="nil"/>
            </w:tcBorders>
            <w:shd w:val="clear" w:color="000000" w:fill="FFFFFF"/>
            <w:noWrap/>
            <w:vAlign w:val="center"/>
            <w:hideMark/>
          </w:tcPr>
          <w:p w14:paraId="0616B317" w14:textId="77777777" w:rsidR="005F7B99" w:rsidRPr="006D631C" w:rsidRDefault="005F7B99" w:rsidP="00F463F6">
            <w:pPr>
              <w:spacing w:line="240" w:lineRule="auto"/>
              <w:jc w:val="center"/>
              <w:rPr>
                <w:color w:val="000000"/>
                <w:sz w:val="20"/>
                <w:szCs w:val="20"/>
              </w:rPr>
            </w:pPr>
            <w:r w:rsidRPr="006D631C">
              <w:rPr>
                <w:color w:val="000000"/>
                <w:sz w:val="20"/>
                <w:szCs w:val="20"/>
              </w:rPr>
              <w:t xml:space="preserve">2-Hydroxy-2 methyl-1-4(1-methylvinyl)phenyl </w:t>
            </w:r>
            <w:proofErr w:type="spellStart"/>
            <w:r w:rsidRPr="006D631C">
              <w:rPr>
                <w:color w:val="000000"/>
                <w:sz w:val="20"/>
                <w:szCs w:val="20"/>
              </w:rPr>
              <w:t>propanone</w:t>
            </w:r>
            <w:proofErr w:type="spellEnd"/>
          </w:p>
        </w:tc>
      </w:tr>
      <w:tr w:rsidR="005F7B99" w:rsidRPr="006D631C" w14:paraId="3A2EB745"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6A4E5265"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59BBEE8A" w14:textId="77777777" w:rsidR="005F7B99" w:rsidRPr="006D631C" w:rsidRDefault="005F7B99" w:rsidP="00F463F6">
            <w:pPr>
              <w:spacing w:line="240" w:lineRule="auto"/>
              <w:jc w:val="center"/>
              <w:rPr>
                <w:color w:val="000000"/>
                <w:sz w:val="20"/>
                <w:szCs w:val="20"/>
              </w:rPr>
            </w:pPr>
            <w:r w:rsidRPr="006D631C">
              <w:rPr>
                <w:color w:val="000000"/>
                <w:sz w:val="20"/>
                <w:szCs w:val="20"/>
              </w:rPr>
              <w:t>I-8</w:t>
            </w:r>
          </w:p>
        </w:tc>
        <w:tc>
          <w:tcPr>
            <w:tcW w:w="7655" w:type="dxa"/>
            <w:tcBorders>
              <w:top w:val="nil"/>
              <w:left w:val="nil"/>
              <w:bottom w:val="nil"/>
              <w:right w:val="nil"/>
            </w:tcBorders>
            <w:shd w:val="clear" w:color="000000" w:fill="FFFFFF"/>
            <w:noWrap/>
            <w:vAlign w:val="center"/>
            <w:hideMark/>
          </w:tcPr>
          <w:p w14:paraId="19BB1C05" w14:textId="77777777" w:rsidR="005F7B99" w:rsidRPr="006D631C" w:rsidRDefault="005F7B99" w:rsidP="00F463F6">
            <w:pPr>
              <w:spacing w:line="240" w:lineRule="auto"/>
              <w:jc w:val="center"/>
              <w:rPr>
                <w:color w:val="000000"/>
                <w:sz w:val="20"/>
                <w:szCs w:val="20"/>
              </w:rPr>
            </w:pPr>
            <w:proofErr w:type="spellStart"/>
            <w:r w:rsidRPr="006D631C">
              <w:rPr>
                <w:color w:val="000000"/>
                <w:sz w:val="20"/>
                <w:szCs w:val="20"/>
              </w:rPr>
              <w:t>Phenylbis</w:t>
            </w:r>
            <w:proofErr w:type="spellEnd"/>
            <w:r w:rsidRPr="006D631C">
              <w:rPr>
                <w:color w:val="000000"/>
                <w:sz w:val="20"/>
                <w:szCs w:val="20"/>
              </w:rPr>
              <w:t>(2,4,6-trimethylbenzoyl)phosphine oxide</w:t>
            </w:r>
          </w:p>
        </w:tc>
      </w:tr>
      <w:tr w:rsidR="005F7B99" w:rsidRPr="006D631C" w14:paraId="4268BE02"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2D39A889"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18035AC7" w14:textId="77777777" w:rsidR="005F7B99" w:rsidRPr="006D631C" w:rsidRDefault="005F7B99" w:rsidP="00F463F6">
            <w:pPr>
              <w:spacing w:line="240" w:lineRule="auto"/>
              <w:jc w:val="center"/>
              <w:rPr>
                <w:color w:val="000000"/>
                <w:sz w:val="20"/>
                <w:szCs w:val="20"/>
              </w:rPr>
            </w:pPr>
            <w:r w:rsidRPr="006D631C">
              <w:rPr>
                <w:color w:val="000000"/>
                <w:sz w:val="20"/>
                <w:szCs w:val="20"/>
              </w:rPr>
              <w:t>I-9</w:t>
            </w:r>
          </w:p>
        </w:tc>
        <w:tc>
          <w:tcPr>
            <w:tcW w:w="7655" w:type="dxa"/>
            <w:tcBorders>
              <w:top w:val="nil"/>
              <w:left w:val="nil"/>
              <w:bottom w:val="nil"/>
              <w:right w:val="nil"/>
            </w:tcBorders>
            <w:shd w:val="clear" w:color="000000" w:fill="FFFFFF"/>
            <w:noWrap/>
            <w:vAlign w:val="center"/>
            <w:hideMark/>
          </w:tcPr>
          <w:p w14:paraId="53BE30F3" w14:textId="77777777" w:rsidR="005F7B99" w:rsidRPr="006D631C" w:rsidRDefault="005F7B99" w:rsidP="00F463F6">
            <w:pPr>
              <w:spacing w:line="240" w:lineRule="auto"/>
              <w:jc w:val="center"/>
              <w:rPr>
                <w:color w:val="000000"/>
                <w:sz w:val="20"/>
                <w:szCs w:val="20"/>
              </w:rPr>
            </w:pPr>
            <w:r w:rsidRPr="006D631C">
              <w:rPr>
                <w:color w:val="000000"/>
                <w:sz w:val="20"/>
                <w:szCs w:val="20"/>
              </w:rPr>
              <w:t>1-Hydroxycyclohexyl phenyl ketone</w:t>
            </w:r>
          </w:p>
        </w:tc>
      </w:tr>
      <w:tr w:rsidR="005F7B99" w:rsidRPr="006D631C" w14:paraId="45F679E6"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474E2380"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1BB4B800" w14:textId="77777777" w:rsidR="005F7B99" w:rsidRPr="006D631C" w:rsidRDefault="005F7B99" w:rsidP="00F463F6">
            <w:pPr>
              <w:spacing w:line="240" w:lineRule="auto"/>
              <w:jc w:val="center"/>
              <w:rPr>
                <w:color w:val="000000"/>
                <w:sz w:val="20"/>
                <w:szCs w:val="20"/>
              </w:rPr>
            </w:pPr>
            <w:r w:rsidRPr="006D631C">
              <w:rPr>
                <w:color w:val="000000"/>
                <w:sz w:val="20"/>
                <w:szCs w:val="20"/>
              </w:rPr>
              <w:t>I-10</w:t>
            </w:r>
          </w:p>
        </w:tc>
        <w:tc>
          <w:tcPr>
            <w:tcW w:w="7655" w:type="dxa"/>
            <w:tcBorders>
              <w:top w:val="nil"/>
              <w:left w:val="nil"/>
              <w:bottom w:val="nil"/>
              <w:right w:val="nil"/>
            </w:tcBorders>
            <w:shd w:val="clear" w:color="000000" w:fill="FFFFFF"/>
            <w:noWrap/>
            <w:vAlign w:val="center"/>
            <w:hideMark/>
          </w:tcPr>
          <w:p w14:paraId="7F038AF3" w14:textId="77777777" w:rsidR="005F7B99" w:rsidRPr="006D631C" w:rsidRDefault="005F7B99" w:rsidP="00F463F6">
            <w:pPr>
              <w:spacing w:line="240" w:lineRule="auto"/>
              <w:jc w:val="center"/>
              <w:rPr>
                <w:color w:val="000000"/>
                <w:sz w:val="20"/>
                <w:szCs w:val="20"/>
              </w:rPr>
            </w:pPr>
            <w:r w:rsidRPr="006D631C">
              <w:rPr>
                <w:color w:val="000000"/>
                <w:sz w:val="20"/>
                <w:szCs w:val="20"/>
              </w:rPr>
              <w:t>2-Methyl-1-[4-(</w:t>
            </w:r>
            <w:proofErr w:type="spellStart"/>
            <w:r w:rsidRPr="006D631C">
              <w:rPr>
                <w:color w:val="000000"/>
                <w:sz w:val="20"/>
                <w:szCs w:val="20"/>
              </w:rPr>
              <w:t>methylthio</w:t>
            </w:r>
            <w:proofErr w:type="spellEnd"/>
            <w:r w:rsidRPr="006D631C">
              <w:rPr>
                <w:color w:val="000000"/>
                <w:sz w:val="20"/>
                <w:szCs w:val="20"/>
              </w:rPr>
              <w:t>)phenyl]-2-(4-morpholinyl)-1-propanone</w:t>
            </w:r>
          </w:p>
        </w:tc>
      </w:tr>
      <w:tr w:rsidR="005F7B99" w:rsidRPr="006D631C" w14:paraId="5D7E28CE"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1BAF3C81"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2CB0F370" w14:textId="77777777" w:rsidR="005F7B99" w:rsidRPr="006D631C" w:rsidRDefault="005F7B99" w:rsidP="00F463F6">
            <w:pPr>
              <w:spacing w:line="240" w:lineRule="auto"/>
              <w:jc w:val="center"/>
              <w:rPr>
                <w:color w:val="000000"/>
                <w:sz w:val="20"/>
                <w:szCs w:val="20"/>
              </w:rPr>
            </w:pPr>
            <w:r w:rsidRPr="006D631C">
              <w:rPr>
                <w:color w:val="000000"/>
                <w:sz w:val="20"/>
                <w:szCs w:val="20"/>
              </w:rPr>
              <w:t>I-11</w:t>
            </w:r>
          </w:p>
        </w:tc>
        <w:tc>
          <w:tcPr>
            <w:tcW w:w="7655" w:type="dxa"/>
            <w:tcBorders>
              <w:top w:val="nil"/>
              <w:left w:val="nil"/>
              <w:bottom w:val="nil"/>
              <w:right w:val="nil"/>
            </w:tcBorders>
            <w:shd w:val="clear" w:color="000000" w:fill="FFFFFF"/>
            <w:noWrap/>
            <w:vAlign w:val="center"/>
            <w:hideMark/>
          </w:tcPr>
          <w:p w14:paraId="1B77C99C" w14:textId="77777777" w:rsidR="005F7B99" w:rsidRPr="006D631C" w:rsidRDefault="005F7B99" w:rsidP="00F463F6">
            <w:pPr>
              <w:spacing w:line="240" w:lineRule="auto"/>
              <w:jc w:val="center"/>
              <w:rPr>
                <w:color w:val="000000"/>
                <w:sz w:val="20"/>
                <w:szCs w:val="20"/>
              </w:rPr>
            </w:pPr>
            <w:r w:rsidRPr="006D631C">
              <w:rPr>
                <w:color w:val="000000"/>
                <w:sz w:val="20"/>
                <w:szCs w:val="20"/>
              </w:rPr>
              <w:t>Benzophenone</w:t>
            </w:r>
          </w:p>
        </w:tc>
      </w:tr>
      <w:tr w:rsidR="005F7B99" w:rsidRPr="006D631C" w14:paraId="6174F4D7"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4BF05D72"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5F3DCCDB" w14:textId="77777777" w:rsidR="005F7B99" w:rsidRPr="006D631C" w:rsidRDefault="005F7B99" w:rsidP="00F463F6">
            <w:pPr>
              <w:spacing w:line="240" w:lineRule="auto"/>
              <w:jc w:val="center"/>
              <w:rPr>
                <w:color w:val="000000"/>
                <w:sz w:val="20"/>
                <w:szCs w:val="20"/>
              </w:rPr>
            </w:pPr>
            <w:r w:rsidRPr="006D631C">
              <w:rPr>
                <w:color w:val="000000"/>
                <w:sz w:val="20"/>
                <w:szCs w:val="20"/>
              </w:rPr>
              <w:t>I-12</w:t>
            </w:r>
          </w:p>
        </w:tc>
        <w:tc>
          <w:tcPr>
            <w:tcW w:w="7655" w:type="dxa"/>
            <w:tcBorders>
              <w:top w:val="nil"/>
              <w:left w:val="nil"/>
              <w:bottom w:val="nil"/>
              <w:right w:val="nil"/>
            </w:tcBorders>
            <w:shd w:val="clear" w:color="000000" w:fill="FFFFFF"/>
            <w:noWrap/>
            <w:vAlign w:val="center"/>
            <w:hideMark/>
          </w:tcPr>
          <w:p w14:paraId="60E8E3B8" w14:textId="77777777" w:rsidR="005F7B99" w:rsidRPr="006D631C" w:rsidRDefault="005F7B99" w:rsidP="00F463F6">
            <w:pPr>
              <w:spacing w:line="240" w:lineRule="auto"/>
              <w:jc w:val="center"/>
              <w:rPr>
                <w:color w:val="000000"/>
                <w:sz w:val="20"/>
                <w:szCs w:val="20"/>
              </w:rPr>
            </w:pPr>
            <w:r w:rsidRPr="006D631C">
              <w:rPr>
                <w:color w:val="000000"/>
                <w:sz w:val="20"/>
                <w:szCs w:val="20"/>
              </w:rPr>
              <w:t>4-(</w:t>
            </w:r>
            <w:proofErr w:type="spellStart"/>
            <w:r w:rsidRPr="006D631C">
              <w:rPr>
                <w:color w:val="000000"/>
                <w:sz w:val="20"/>
                <w:szCs w:val="20"/>
              </w:rPr>
              <w:t>Dimethylamino</w:t>
            </w:r>
            <w:proofErr w:type="spellEnd"/>
            <w:r w:rsidRPr="006D631C">
              <w:rPr>
                <w:color w:val="000000"/>
                <w:sz w:val="20"/>
                <w:szCs w:val="20"/>
              </w:rPr>
              <w:t>)benzophenone</w:t>
            </w:r>
          </w:p>
        </w:tc>
      </w:tr>
      <w:tr w:rsidR="005F7B99" w:rsidRPr="006D631C" w14:paraId="5B9E4111"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5EE1C4A1"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16413D3E" w14:textId="77777777" w:rsidR="005F7B99" w:rsidRPr="006D631C" w:rsidRDefault="005F7B99" w:rsidP="00F463F6">
            <w:pPr>
              <w:spacing w:line="240" w:lineRule="auto"/>
              <w:jc w:val="center"/>
              <w:rPr>
                <w:color w:val="000000"/>
                <w:sz w:val="20"/>
                <w:szCs w:val="20"/>
              </w:rPr>
            </w:pPr>
            <w:r w:rsidRPr="006D631C">
              <w:rPr>
                <w:color w:val="000000"/>
                <w:sz w:val="20"/>
                <w:szCs w:val="20"/>
              </w:rPr>
              <w:t>I-13</w:t>
            </w:r>
          </w:p>
        </w:tc>
        <w:tc>
          <w:tcPr>
            <w:tcW w:w="7655" w:type="dxa"/>
            <w:tcBorders>
              <w:top w:val="nil"/>
              <w:left w:val="nil"/>
              <w:bottom w:val="nil"/>
              <w:right w:val="nil"/>
            </w:tcBorders>
            <w:shd w:val="clear" w:color="000000" w:fill="FFFFFF"/>
            <w:noWrap/>
            <w:vAlign w:val="center"/>
            <w:hideMark/>
          </w:tcPr>
          <w:p w14:paraId="5FD72473" w14:textId="77777777" w:rsidR="005F7B99" w:rsidRPr="006D631C" w:rsidRDefault="005F7B99" w:rsidP="00F463F6">
            <w:pPr>
              <w:spacing w:line="240" w:lineRule="auto"/>
              <w:jc w:val="center"/>
              <w:rPr>
                <w:color w:val="000000"/>
                <w:sz w:val="20"/>
                <w:szCs w:val="20"/>
              </w:rPr>
            </w:pPr>
            <w:proofErr w:type="spellStart"/>
            <w:r w:rsidRPr="006D631C">
              <w:rPr>
                <w:color w:val="000000"/>
                <w:sz w:val="20"/>
                <w:szCs w:val="20"/>
              </w:rPr>
              <w:t>Eosine</w:t>
            </w:r>
            <w:proofErr w:type="spellEnd"/>
            <w:r w:rsidRPr="006D631C">
              <w:rPr>
                <w:color w:val="000000"/>
                <w:sz w:val="20"/>
                <w:szCs w:val="20"/>
              </w:rPr>
              <w:t xml:space="preserve"> Y/</w:t>
            </w:r>
            <w:proofErr w:type="spellStart"/>
            <w:r w:rsidRPr="006D631C">
              <w:rPr>
                <w:color w:val="000000"/>
                <w:sz w:val="20"/>
                <w:szCs w:val="20"/>
              </w:rPr>
              <w:t>Triethanolamine</w:t>
            </w:r>
            <w:proofErr w:type="spellEnd"/>
          </w:p>
        </w:tc>
      </w:tr>
      <w:tr w:rsidR="005F7B99" w:rsidRPr="006D631C" w14:paraId="7C9A2D2F"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61331B97"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00B657B6" w14:textId="77777777" w:rsidR="005F7B99" w:rsidRPr="006D631C" w:rsidRDefault="005F7B99" w:rsidP="00F463F6">
            <w:pPr>
              <w:spacing w:line="240" w:lineRule="auto"/>
              <w:jc w:val="center"/>
              <w:rPr>
                <w:color w:val="000000"/>
                <w:sz w:val="20"/>
                <w:szCs w:val="20"/>
              </w:rPr>
            </w:pPr>
            <w:r w:rsidRPr="006D631C">
              <w:rPr>
                <w:color w:val="000000"/>
                <w:sz w:val="20"/>
                <w:szCs w:val="20"/>
              </w:rPr>
              <w:t>I-14</w:t>
            </w:r>
          </w:p>
        </w:tc>
        <w:tc>
          <w:tcPr>
            <w:tcW w:w="7655" w:type="dxa"/>
            <w:tcBorders>
              <w:top w:val="nil"/>
              <w:left w:val="nil"/>
              <w:bottom w:val="nil"/>
              <w:right w:val="nil"/>
            </w:tcBorders>
            <w:shd w:val="clear" w:color="000000" w:fill="FFFFFF"/>
            <w:noWrap/>
            <w:vAlign w:val="center"/>
            <w:hideMark/>
          </w:tcPr>
          <w:p w14:paraId="6E4F8B26" w14:textId="77777777" w:rsidR="005F7B99" w:rsidRPr="006D631C" w:rsidRDefault="005F7B99" w:rsidP="00F463F6">
            <w:pPr>
              <w:spacing w:line="240" w:lineRule="auto"/>
              <w:jc w:val="center"/>
              <w:rPr>
                <w:color w:val="000000"/>
                <w:sz w:val="20"/>
                <w:szCs w:val="20"/>
              </w:rPr>
            </w:pPr>
            <w:proofErr w:type="spellStart"/>
            <w:r w:rsidRPr="006D631C">
              <w:rPr>
                <w:color w:val="000000"/>
                <w:sz w:val="20"/>
                <w:szCs w:val="20"/>
              </w:rPr>
              <w:t>Eosine</w:t>
            </w:r>
            <w:proofErr w:type="spellEnd"/>
            <w:r w:rsidRPr="006D631C">
              <w:rPr>
                <w:color w:val="000000"/>
                <w:sz w:val="20"/>
                <w:szCs w:val="20"/>
              </w:rPr>
              <w:t>/Methylene blue/Ethanolamine</w:t>
            </w:r>
          </w:p>
        </w:tc>
      </w:tr>
      <w:tr w:rsidR="005F7B99" w:rsidRPr="006D631C" w14:paraId="4D51E0A1"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41C45D88"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2545152E" w14:textId="77777777" w:rsidR="005F7B99" w:rsidRPr="006D631C" w:rsidRDefault="005F7B99" w:rsidP="00F463F6">
            <w:pPr>
              <w:spacing w:line="240" w:lineRule="auto"/>
              <w:jc w:val="center"/>
              <w:rPr>
                <w:color w:val="000000"/>
                <w:sz w:val="20"/>
                <w:szCs w:val="20"/>
              </w:rPr>
            </w:pPr>
            <w:r w:rsidRPr="006D631C">
              <w:rPr>
                <w:color w:val="000000"/>
                <w:sz w:val="20"/>
                <w:szCs w:val="20"/>
              </w:rPr>
              <w:t>I-15</w:t>
            </w:r>
          </w:p>
        </w:tc>
        <w:tc>
          <w:tcPr>
            <w:tcW w:w="7655" w:type="dxa"/>
            <w:tcBorders>
              <w:top w:val="nil"/>
              <w:left w:val="nil"/>
              <w:bottom w:val="nil"/>
              <w:right w:val="nil"/>
            </w:tcBorders>
            <w:shd w:val="clear" w:color="000000" w:fill="FFFFFF"/>
            <w:noWrap/>
            <w:vAlign w:val="center"/>
            <w:hideMark/>
          </w:tcPr>
          <w:p w14:paraId="664A5954" w14:textId="77777777" w:rsidR="005F7B99" w:rsidRPr="006D631C" w:rsidRDefault="005F7B99" w:rsidP="00F463F6">
            <w:pPr>
              <w:spacing w:line="240" w:lineRule="auto"/>
              <w:jc w:val="center"/>
              <w:rPr>
                <w:color w:val="000000"/>
                <w:sz w:val="20"/>
                <w:szCs w:val="20"/>
              </w:rPr>
            </w:pPr>
            <w:r w:rsidRPr="006D631C">
              <w:rPr>
                <w:color w:val="000000"/>
                <w:sz w:val="20"/>
                <w:szCs w:val="20"/>
              </w:rPr>
              <w:t>Azobisisobutyronitrile</w:t>
            </w:r>
          </w:p>
        </w:tc>
      </w:tr>
      <w:tr w:rsidR="005F7B99" w:rsidRPr="006D631C" w14:paraId="7410454D"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592356A8"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3BC04086" w14:textId="77777777" w:rsidR="005F7B99" w:rsidRPr="006D631C" w:rsidRDefault="005F7B99" w:rsidP="00F463F6">
            <w:pPr>
              <w:spacing w:line="240" w:lineRule="auto"/>
              <w:jc w:val="center"/>
              <w:rPr>
                <w:color w:val="000000"/>
                <w:sz w:val="20"/>
                <w:szCs w:val="20"/>
              </w:rPr>
            </w:pPr>
            <w:r w:rsidRPr="006D631C">
              <w:rPr>
                <w:color w:val="000000"/>
                <w:sz w:val="20"/>
                <w:szCs w:val="20"/>
              </w:rPr>
              <w:t>I-16</w:t>
            </w:r>
          </w:p>
        </w:tc>
        <w:tc>
          <w:tcPr>
            <w:tcW w:w="7655" w:type="dxa"/>
            <w:tcBorders>
              <w:top w:val="nil"/>
              <w:left w:val="nil"/>
              <w:bottom w:val="nil"/>
              <w:right w:val="nil"/>
            </w:tcBorders>
            <w:shd w:val="clear" w:color="000000" w:fill="FFFFFF"/>
            <w:noWrap/>
            <w:vAlign w:val="center"/>
            <w:hideMark/>
          </w:tcPr>
          <w:p w14:paraId="5978382F" w14:textId="77777777" w:rsidR="005F7B99" w:rsidRPr="006D631C" w:rsidRDefault="005F7B99" w:rsidP="00F463F6">
            <w:pPr>
              <w:spacing w:line="240" w:lineRule="auto"/>
              <w:jc w:val="center"/>
              <w:rPr>
                <w:color w:val="000000"/>
                <w:sz w:val="20"/>
                <w:szCs w:val="20"/>
              </w:rPr>
            </w:pPr>
            <w:r w:rsidRPr="006D631C">
              <w:rPr>
                <w:color w:val="000000"/>
                <w:sz w:val="20"/>
                <w:szCs w:val="20"/>
              </w:rPr>
              <w:t>Hydrogen peroxide</w:t>
            </w:r>
          </w:p>
        </w:tc>
      </w:tr>
      <w:tr w:rsidR="005F7B99" w:rsidRPr="006D631C" w14:paraId="2F433CD9"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2F3FA032"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36F17681" w14:textId="77777777" w:rsidR="005F7B99" w:rsidRPr="006D631C" w:rsidRDefault="005F7B99" w:rsidP="00F463F6">
            <w:pPr>
              <w:spacing w:line="240" w:lineRule="auto"/>
              <w:jc w:val="center"/>
              <w:rPr>
                <w:color w:val="000000"/>
                <w:sz w:val="20"/>
                <w:szCs w:val="20"/>
              </w:rPr>
            </w:pPr>
            <w:r w:rsidRPr="006D631C">
              <w:rPr>
                <w:color w:val="000000"/>
                <w:sz w:val="20"/>
                <w:szCs w:val="20"/>
              </w:rPr>
              <w:t>I-17</w:t>
            </w:r>
          </w:p>
        </w:tc>
        <w:tc>
          <w:tcPr>
            <w:tcW w:w="7655" w:type="dxa"/>
            <w:tcBorders>
              <w:top w:val="nil"/>
              <w:left w:val="nil"/>
              <w:bottom w:val="nil"/>
              <w:right w:val="nil"/>
            </w:tcBorders>
            <w:shd w:val="clear" w:color="000000" w:fill="FFFFFF"/>
            <w:noWrap/>
            <w:vAlign w:val="center"/>
            <w:hideMark/>
          </w:tcPr>
          <w:p w14:paraId="685C129F" w14:textId="77777777" w:rsidR="005F7B99" w:rsidRPr="006D631C" w:rsidRDefault="005F7B99" w:rsidP="00F463F6">
            <w:pPr>
              <w:spacing w:line="240" w:lineRule="auto"/>
              <w:jc w:val="center"/>
              <w:rPr>
                <w:color w:val="000000"/>
                <w:sz w:val="20"/>
                <w:szCs w:val="20"/>
              </w:rPr>
            </w:pPr>
            <w:r w:rsidRPr="006D631C">
              <w:rPr>
                <w:color w:val="000000"/>
                <w:sz w:val="20"/>
                <w:szCs w:val="20"/>
              </w:rPr>
              <w:t>Ammonium persulfate</w:t>
            </w:r>
          </w:p>
        </w:tc>
      </w:tr>
      <w:tr w:rsidR="005F7B99" w:rsidRPr="006D631C" w14:paraId="41CE8D41"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41821791"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36CEDB23" w14:textId="77777777" w:rsidR="005F7B99" w:rsidRPr="006D631C" w:rsidRDefault="005F7B99" w:rsidP="00F463F6">
            <w:pPr>
              <w:spacing w:line="240" w:lineRule="auto"/>
              <w:jc w:val="center"/>
              <w:rPr>
                <w:color w:val="000000"/>
                <w:sz w:val="20"/>
                <w:szCs w:val="20"/>
              </w:rPr>
            </w:pPr>
            <w:r w:rsidRPr="006D631C">
              <w:rPr>
                <w:color w:val="000000"/>
                <w:sz w:val="20"/>
                <w:szCs w:val="20"/>
              </w:rPr>
              <w:t>I-18</w:t>
            </w:r>
          </w:p>
        </w:tc>
        <w:tc>
          <w:tcPr>
            <w:tcW w:w="7655" w:type="dxa"/>
            <w:tcBorders>
              <w:top w:val="nil"/>
              <w:left w:val="nil"/>
              <w:bottom w:val="nil"/>
              <w:right w:val="nil"/>
            </w:tcBorders>
            <w:shd w:val="clear" w:color="000000" w:fill="FFFFFF"/>
            <w:noWrap/>
            <w:vAlign w:val="center"/>
            <w:hideMark/>
          </w:tcPr>
          <w:p w14:paraId="38B98FCD" w14:textId="77777777" w:rsidR="005F7B99" w:rsidRPr="006D631C" w:rsidRDefault="005F7B99" w:rsidP="00F463F6">
            <w:pPr>
              <w:spacing w:line="240" w:lineRule="auto"/>
              <w:jc w:val="center"/>
              <w:rPr>
                <w:color w:val="000000"/>
                <w:sz w:val="20"/>
                <w:szCs w:val="20"/>
              </w:rPr>
            </w:pPr>
            <w:r w:rsidRPr="006D631C">
              <w:rPr>
                <w:color w:val="000000"/>
                <w:sz w:val="20"/>
                <w:szCs w:val="20"/>
              </w:rPr>
              <w:t>Potassium persulfate</w:t>
            </w:r>
          </w:p>
        </w:tc>
      </w:tr>
      <w:tr w:rsidR="005F7B99" w:rsidRPr="006D631C" w14:paraId="022B8221"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2C0DD207"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293F2119" w14:textId="77777777" w:rsidR="005F7B99" w:rsidRPr="006D631C" w:rsidRDefault="005F7B99" w:rsidP="00F463F6">
            <w:pPr>
              <w:spacing w:line="240" w:lineRule="auto"/>
              <w:jc w:val="center"/>
              <w:rPr>
                <w:color w:val="000000"/>
                <w:sz w:val="20"/>
                <w:szCs w:val="20"/>
              </w:rPr>
            </w:pPr>
            <w:r w:rsidRPr="006D631C">
              <w:rPr>
                <w:color w:val="000000"/>
                <w:sz w:val="20"/>
                <w:szCs w:val="20"/>
              </w:rPr>
              <w:t>I-19</w:t>
            </w:r>
          </w:p>
        </w:tc>
        <w:tc>
          <w:tcPr>
            <w:tcW w:w="7655" w:type="dxa"/>
            <w:tcBorders>
              <w:top w:val="nil"/>
              <w:left w:val="nil"/>
              <w:bottom w:val="nil"/>
              <w:right w:val="nil"/>
            </w:tcBorders>
            <w:shd w:val="clear" w:color="000000" w:fill="FFFFFF"/>
            <w:noWrap/>
            <w:vAlign w:val="center"/>
            <w:hideMark/>
          </w:tcPr>
          <w:p w14:paraId="75E58BA7" w14:textId="77777777" w:rsidR="005F7B99" w:rsidRPr="006D631C" w:rsidRDefault="005F7B99" w:rsidP="00F463F6">
            <w:pPr>
              <w:spacing w:line="240" w:lineRule="auto"/>
              <w:jc w:val="center"/>
              <w:rPr>
                <w:color w:val="000000"/>
                <w:sz w:val="20"/>
                <w:szCs w:val="20"/>
              </w:rPr>
            </w:pPr>
            <w:r w:rsidRPr="006D631C">
              <w:rPr>
                <w:color w:val="000000"/>
                <w:sz w:val="20"/>
                <w:szCs w:val="20"/>
              </w:rPr>
              <w:t>Potassium persulfate/</w:t>
            </w:r>
            <w:r w:rsidRPr="006D631C">
              <w:rPr>
                <w:i/>
                <w:iCs/>
                <w:color w:val="000000"/>
                <w:sz w:val="20"/>
                <w:szCs w:val="20"/>
              </w:rPr>
              <w:t>L</w:t>
            </w:r>
            <w:r w:rsidRPr="006D631C">
              <w:rPr>
                <w:color w:val="000000"/>
                <w:sz w:val="20"/>
                <w:szCs w:val="20"/>
              </w:rPr>
              <w:t>-Cysteine</w:t>
            </w:r>
          </w:p>
        </w:tc>
      </w:tr>
      <w:tr w:rsidR="005F7B99" w:rsidRPr="006D631C" w14:paraId="376E0ACF"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5A2BD439"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hideMark/>
          </w:tcPr>
          <w:p w14:paraId="5E797D4D" w14:textId="77777777" w:rsidR="005F7B99" w:rsidRPr="006D631C" w:rsidRDefault="005F7B99" w:rsidP="00F463F6">
            <w:pPr>
              <w:spacing w:line="240" w:lineRule="auto"/>
              <w:jc w:val="center"/>
              <w:rPr>
                <w:color w:val="000000"/>
                <w:sz w:val="20"/>
                <w:szCs w:val="20"/>
              </w:rPr>
            </w:pPr>
            <w:r w:rsidRPr="006D631C">
              <w:rPr>
                <w:color w:val="000000"/>
                <w:sz w:val="20"/>
                <w:szCs w:val="20"/>
              </w:rPr>
              <w:t>I-20</w:t>
            </w:r>
          </w:p>
        </w:tc>
        <w:tc>
          <w:tcPr>
            <w:tcW w:w="7655" w:type="dxa"/>
            <w:tcBorders>
              <w:top w:val="nil"/>
              <w:left w:val="nil"/>
              <w:bottom w:val="nil"/>
              <w:right w:val="nil"/>
            </w:tcBorders>
            <w:shd w:val="clear" w:color="000000" w:fill="FFFFFF"/>
            <w:noWrap/>
            <w:vAlign w:val="center"/>
            <w:hideMark/>
          </w:tcPr>
          <w:p w14:paraId="75C8E7B5" w14:textId="77777777" w:rsidR="005F7B99" w:rsidRPr="006D631C" w:rsidRDefault="005F7B99" w:rsidP="00F463F6">
            <w:pPr>
              <w:spacing w:line="240" w:lineRule="auto"/>
              <w:jc w:val="center"/>
              <w:rPr>
                <w:color w:val="000000"/>
                <w:sz w:val="20"/>
                <w:szCs w:val="20"/>
              </w:rPr>
            </w:pPr>
            <w:r w:rsidRPr="006D631C">
              <w:rPr>
                <w:color w:val="000000"/>
                <w:sz w:val="20"/>
                <w:szCs w:val="20"/>
              </w:rPr>
              <w:t>Potassium persulfate/Sodium bisulfite</w:t>
            </w:r>
          </w:p>
        </w:tc>
      </w:tr>
      <w:tr w:rsidR="005F7B99" w:rsidRPr="006D631C" w14:paraId="6EBE752E" w14:textId="77777777" w:rsidTr="00F463F6">
        <w:trPr>
          <w:cantSplit/>
          <w:trHeight w:val="20"/>
          <w:jc w:val="center"/>
        </w:trPr>
        <w:tc>
          <w:tcPr>
            <w:tcW w:w="426" w:type="dxa"/>
            <w:vMerge/>
            <w:tcBorders>
              <w:top w:val="nil"/>
              <w:left w:val="nil"/>
              <w:bottom w:val="single" w:sz="8" w:space="0" w:color="000000"/>
              <w:right w:val="nil"/>
            </w:tcBorders>
            <w:vAlign w:val="center"/>
          </w:tcPr>
          <w:p w14:paraId="13A16B03"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32931454" w14:textId="77777777" w:rsidR="005F7B99" w:rsidRPr="006D631C" w:rsidRDefault="005F7B99" w:rsidP="00F463F6">
            <w:pPr>
              <w:spacing w:line="240" w:lineRule="auto"/>
              <w:jc w:val="center"/>
              <w:rPr>
                <w:color w:val="000000"/>
                <w:sz w:val="20"/>
                <w:szCs w:val="20"/>
              </w:rPr>
            </w:pPr>
            <w:r w:rsidRPr="006D631C">
              <w:rPr>
                <w:color w:val="000000"/>
                <w:sz w:val="20"/>
                <w:szCs w:val="20"/>
              </w:rPr>
              <w:t>I-21</w:t>
            </w:r>
          </w:p>
        </w:tc>
        <w:tc>
          <w:tcPr>
            <w:tcW w:w="7655" w:type="dxa"/>
            <w:tcBorders>
              <w:top w:val="nil"/>
              <w:left w:val="nil"/>
              <w:bottom w:val="nil"/>
              <w:right w:val="nil"/>
            </w:tcBorders>
            <w:shd w:val="clear" w:color="000000" w:fill="FFFFFF"/>
            <w:noWrap/>
            <w:vAlign w:val="center"/>
          </w:tcPr>
          <w:p w14:paraId="4F7FA3DF" w14:textId="77777777" w:rsidR="005F7B99" w:rsidRPr="006D631C" w:rsidRDefault="005F7B99" w:rsidP="00F463F6">
            <w:pPr>
              <w:spacing w:line="240" w:lineRule="auto"/>
              <w:jc w:val="center"/>
              <w:rPr>
                <w:color w:val="000000"/>
                <w:sz w:val="20"/>
                <w:szCs w:val="20"/>
              </w:rPr>
            </w:pPr>
            <w:r w:rsidRPr="006D631C">
              <w:rPr>
                <w:color w:val="000000"/>
                <w:sz w:val="20"/>
                <w:szCs w:val="20"/>
              </w:rPr>
              <w:t>Rhodium(III) chloride hydrate</w:t>
            </w:r>
          </w:p>
        </w:tc>
      </w:tr>
      <w:tr w:rsidR="005F7B99" w:rsidRPr="006D631C" w14:paraId="2647ABBA" w14:textId="77777777" w:rsidTr="00F463F6">
        <w:trPr>
          <w:cantSplit/>
          <w:trHeight w:val="20"/>
          <w:jc w:val="center"/>
        </w:trPr>
        <w:tc>
          <w:tcPr>
            <w:tcW w:w="426" w:type="dxa"/>
            <w:vMerge/>
            <w:tcBorders>
              <w:top w:val="nil"/>
              <w:left w:val="nil"/>
              <w:bottom w:val="single" w:sz="8" w:space="0" w:color="000000"/>
              <w:right w:val="nil"/>
            </w:tcBorders>
            <w:vAlign w:val="center"/>
          </w:tcPr>
          <w:p w14:paraId="1BA25761"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nil"/>
              <w:right w:val="nil"/>
            </w:tcBorders>
            <w:shd w:val="clear" w:color="000000" w:fill="FFFFFF"/>
            <w:noWrap/>
            <w:vAlign w:val="center"/>
          </w:tcPr>
          <w:p w14:paraId="3DFEECD8" w14:textId="77777777" w:rsidR="005F7B99" w:rsidRPr="006D631C" w:rsidRDefault="005F7B99" w:rsidP="00F463F6">
            <w:pPr>
              <w:spacing w:line="240" w:lineRule="auto"/>
              <w:jc w:val="center"/>
              <w:rPr>
                <w:color w:val="000000"/>
                <w:sz w:val="20"/>
                <w:szCs w:val="20"/>
              </w:rPr>
            </w:pPr>
            <w:r w:rsidRPr="006D631C">
              <w:rPr>
                <w:color w:val="000000"/>
                <w:sz w:val="20"/>
                <w:szCs w:val="20"/>
              </w:rPr>
              <w:t>I-22</w:t>
            </w:r>
          </w:p>
        </w:tc>
        <w:tc>
          <w:tcPr>
            <w:tcW w:w="7655" w:type="dxa"/>
            <w:tcBorders>
              <w:top w:val="nil"/>
              <w:left w:val="nil"/>
              <w:bottom w:val="nil"/>
              <w:right w:val="nil"/>
            </w:tcBorders>
            <w:shd w:val="clear" w:color="000000" w:fill="FFFFFF"/>
            <w:noWrap/>
            <w:vAlign w:val="center"/>
          </w:tcPr>
          <w:p w14:paraId="77D0F4AE" w14:textId="77777777" w:rsidR="005F7B99" w:rsidRPr="006D631C" w:rsidRDefault="005F7B99" w:rsidP="00F463F6">
            <w:pPr>
              <w:spacing w:line="240" w:lineRule="auto"/>
              <w:jc w:val="center"/>
              <w:rPr>
                <w:color w:val="000000"/>
                <w:sz w:val="20"/>
                <w:szCs w:val="20"/>
              </w:rPr>
            </w:pPr>
            <w:r w:rsidRPr="006D631C">
              <w:rPr>
                <w:color w:val="000000"/>
                <w:sz w:val="20"/>
                <w:szCs w:val="20"/>
              </w:rPr>
              <w:t>FeCl</w:t>
            </w:r>
            <w:r w:rsidRPr="006D631C">
              <w:rPr>
                <w:color w:val="000000"/>
                <w:sz w:val="20"/>
                <w:szCs w:val="20"/>
                <w:vertAlign w:val="subscript"/>
              </w:rPr>
              <w:t>3</w:t>
            </w:r>
          </w:p>
        </w:tc>
      </w:tr>
      <w:tr w:rsidR="005F7B99" w:rsidRPr="006D631C" w14:paraId="4735C4E0" w14:textId="77777777" w:rsidTr="00F463F6">
        <w:trPr>
          <w:cantSplit/>
          <w:trHeight w:val="20"/>
          <w:jc w:val="center"/>
        </w:trPr>
        <w:tc>
          <w:tcPr>
            <w:tcW w:w="426" w:type="dxa"/>
            <w:vMerge/>
            <w:tcBorders>
              <w:top w:val="nil"/>
              <w:left w:val="nil"/>
              <w:bottom w:val="single" w:sz="8" w:space="0" w:color="000000"/>
              <w:right w:val="nil"/>
            </w:tcBorders>
            <w:vAlign w:val="center"/>
            <w:hideMark/>
          </w:tcPr>
          <w:p w14:paraId="2693C36E" w14:textId="77777777" w:rsidR="005F7B99" w:rsidRPr="006D631C" w:rsidRDefault="005F7B99" w:rsidP="00F463F6">
            <w:pPr>
              <w:spacing w:line="240" w:lineRule="auto"/>
              <w:jc w:val="center"/>
              <w:rPr>
                <w:b/>
                <w:bCs/>
                <w:color w:val="000000"/>
                <w:sz w:val="20"/>
                <w:szCs w:val="20"/>
              </w:rPr>
            </w:pPr>
          </w:p>
        </w:tc>
        <w:tc>
          <w:tcPr>
            <w:tcW w:w="850" w:type="dxa"/>
            <w:tcBorders>
              <w:top w:val="nil"/>
              <w:left w:val="nil"/>
              <w:bottom w:val="single" w:sz="8" w:space="0" w:color="auto"/>
              <w:right w:val="nil"/>
            </w:tcBorders>
            <w:shd w:val="clear" w:color="000000" w:fill="FFFFFF"/>
            <w:noWrap/>
            <w:vAlign w:val="center"/>
          </w:tcPr>
          <w:p w14:paraId="0DBD2A08" w14:textId="77777777" w:rsidR="005F7B99" w:rsidRPr="006D631C" w:rsidRDefault="005F7B99" w:rsidP="00F463F6">
            <w:pPr>
              <w:spacing w:line="240" w:lineRule="auto"/>
              <w:jc w:val="center"/>
              <w:rPr>
                <w:color w:val="000000"/>
                <w:sz w:val="20"/>
                <w:szCs w:val="20"/>
              </w:rPr>
            </w:pPr>
            <w:r w:rsidRPr="006D631C">
              <w:rPr>
                <w:color w:val="000000"/>
                <w:sz w:val="20"/>
                <w:szCs w:val="20"/>
              </w:rPr>
              <w:t>I-23</w:t>
            </w:r>
          </w:p>
        </w:tc>
        <w:tc>
          <w:tcPr>
            <w:tcW w:w="7655" w:type="dxa"/>
            <w:tcBorders>
              <w:top w:val="nil"/>
              <w:left w:val="nil"/>
              <w:bottom w:val="single" w:sz="8" w:space="0" w:color="auto"/>
              <w:right w:val="nil"/>
            </w:tcBorders>
            <w:shd w:val="clear" w:color="000000" w:fill="FFFFFF"/>
            <w:noWrap/>
            <w:vAlign w:val="center"/>
          </w:tcPr>
          <w:p w14:paraId="2D022AEE" w14:textId="77777777" w:rsidR="005F7B99" w:rsidRPr="006D631C" w:rsidRDefault="005F7B99" w:rsidP="00F463F6">
            <w:pPr>
              <w:spacing w:line="240" w:lineRule="auto"/>
              <w:jc w:val="center"/>
              <w:rPr>
                <w:color w:val="000000"/>
                <w:sz w:val="20"/>
                <w:szCs w:val="20"/>
              </w:rPr>
            </w:pPr>
            <w:r w:rsidRPr="006D631C">
              <w:rPr>
                <w:color w:val="000000"/>
                <w:sz w:val="20"/>
                <w:szCs w:val="20"/>
              </w:rPr>
              <w:t>Benzoyl peroxide</w:t>
            </w:r>
          </w:p>
        </w:tc>
      </w:tr>
    </w:tbl>
    <w:p w14:paraId="1A0F99AC" w14:textId="5EC66782" w:rsidR="00DB48F7" w:rsidRPr="006D631C" w:rsidRDefault="00DB48F7" w:rsidP="00100CA1">
      <w:pPr>
        <w:tabs>
          <w:tab w:val="left" w:pos="630"/>
        </w:tabs>
        <w:spacing w:after="100" w:afterAutospacing="1"/>
        <w:ind w:firstLine="360"/>
        <w:rPr>
          <w:color w:val="020202"/>
        </w:rPr>
      </w:pPr>
    </w:p>
    <w:p w14:paraId="7C7DCBAD" w14:textId="2E4FDFA9" w:rsidR="00DE376C" w:rsidRPr="006D631C" w:rsidRDefault="00DE376C" w:rsidP="00861405">
      <w:pPr>
        <w:pStyle w:val="TOC1"/>
      </w:pPr>
    </w:p>
    <w:p w14:paraId="49441290" w14:textId="4B812D9A" w:rsidR="00DE376C" w:rsidRPr="006D631C" w:rsidRDefault="00DE376C" w:rsidP="00DE376C"/>
    <w:p w14:paraId="35BF4C68" w14:textId="72FFB311" w:rsidR="00DE376C" w:rsidRPr="006D631C" w:rsidRDefault="00DE376C" w:rsidP="00861405">
      <w:pPr>
        <w:pStyle w:val="TOC1"/>
      </w:pPr>
    </w:p>
    <w:p w14:paraId="56858D88" w14:textId="53A71679" w:rsidR="00DE376C" w:rsidRPr="006D631C" w:rsidRDefault="00DE376C" w:rsidP="00DE376C"/>
    <w:p w14:paraId="4C15F394" w14:textId="0E5E21D9" w:rsidR="00DE376C" w:rsidRPr="006D631C" w:rsidRDefault="00DE376C" w:rsidP="00861405">
      <w:pPr>
        <w:pStyle w:val="TOC1"/>
      </w:pPr>
    </w:p>
    <w:p w14:paraId="4C45299E" w14:textId="78F58DBC" w:rsidR="00DE376C" w:rsidRPr="006D631C" w:rsidRDefault="00DE376C" w:rsidP="00DE376C"/>
    <w:p w14:paraId="7F4B5503" w14:textId="63BE94BC" w:rsidR="00DE376C" w:rsidRPr="006D631C" w:rsidRDefault="00DE376C" w:rsidP="00861405">
      <w:pPr>
        <w:pStyle w:val="TOC1"/>
      </w:pPr>
    </w:p>
    <w:p w14:paraId="215CC9EA" w14:textId="2ED8D678" w:rsidR="00DE376C" w:rsidRPr="006D631C" w:rsidRDefault="00DE376C" w:rsidP="00DE376C"/>
    <w:p w14:paraId="4FA8959B" w14:textId="00BC6AEE" w:rsidR="00DE376C" w:rsidRPr="006D631C" w:rsidRDefault="00DE376C" w:rsidP="00861405">
      <w:pPr>
        <w:pStyle w:val="TOC1"/>
      </w:pPr>
    </w:p>
    <w:p w14:paraId="575ECC74" w14:textId="5F125552" w:rsidR="00DE376C" w:rsidRPr="006D631C" w:rsidRDefault="00DE376C" w:rsidP="00DE376C"/>
    <w:p w14:paraId="5D601662" w14:textId="5FC06AE1" w:rsidR="00DE376C" w:rsidRPr="006D631C" w:rsidRDefault="00DE376C" w:rsidP="00861405">
      <w:pPr>
        <w:pStyle w:val="TOC1"/>
      </w:pPr>
    </w:p>
    <w:p w14:paraId="73D13092" w14:textId="78C73A16" w:rsidR="00DE376C" w:rsidRPr="006D631C" w:rsidRDefault="00DE376C" w:rsidP="00DE376C"/>
    <w:p w14:paraId="3F71F9D6" w14:textId="2A79D25E" w:rsidR="00B34AE4" w:rsidRPr="006D631C" w:rsidRDefault="00B34AE4" w:rsidP="002E4278">
      <w:pPr>
        <w:pStyle w:val="Heading2"/>
        <w:jc w:val="center"/>
      </w:pPr>
      <w:bookmarkStart w:id="244" w:name="_Toc148175900"/>
      <w:r w:rsidRPr="006D631C">
        <w:lastRenderedPageBreak/>
        <w:t xml:space="preserve">APPENDIX </w:t>
      </w:r>
      <w:r w:rsidR="00EA6425" w:rsidRPr="006D631C">
        <w:t>C</w:t>
      </w:r>
      <w:bookmarkEnd w:id="244"/>
    </w:p>
    <w:p w14:paraId="128A4E27" w14:textId="0FAD1067" w:rsidR="00EA6425" w:rsidRPr="006D631C" w:rsidRDefault="00EA6425" w:rsidP="001B2C4E">
      <w:pPr>
        <w:pStyle w:val="Heading2"/>
        <w:jc w:val="center"/>
      </w:pPr>
      <w:bookmarkStart w:id="245" w:name="_Toc148175901"/>
      <w:r w:rsidRPr="006D631C">
        <w:t>SUPPORTING INFORMATION FOR CHAPTER 2</w:t>
      </w:r>
      <w:bookmarkEnd w:id="245"/>
    </w:p>
    <w:p w14:paraId="5FA53997" w14:textId="77777777" w:rsidR="00A2070C" w:rsidRPr="006D631C" w:rsidRDefault="00A2070C" w:rsidP="00A2070C">
      <w:pPr>
        <w:tabs>
          <w:tab w:val="left" w:pos="90"/>
          <w:tab w:val="left" w:pos="360"/>
          <w:tab w:val="left" w:pos="992"/>
        </w:tabs>
        <w:rPr>
          <w:rFonts w:asciiTheme="majorBidi" w:hAnsiTheme="majorBidi" w:cstheme="majorBidi"/>
          <w:b/>
          <w:bCs/>
          <w:sz w:val="10"/>
          <w:szCs w:val="10"/>
        </w:rPr>
      </w:pPr>
    </w:p>
    <w:p w14:paraId="329E7DAA" w14:textId="77777777" w:rsidR="00A2070C" w:rsidRPr="006D631C" w:rsidRDefault="00A2070C" w:rsidP="00A2070C">
      <w:pPr>
        <w:tabs>
          <w:tab w:val="left" w:pos="90"/>
          <w:tab w:val="left" w:pos="360"/>
          <w:tab w:val="left" w:pos="992"/>
        </w:tabs>
        <w:jc w:val="center"/>
        <w:rPr>
          <w:rFonts w:eastAsiaTheme="minorHAnsi" w:cstheme="minorBidi"/>
          <w:iCs/>
          <w:color w:val="000000" w:themeColor="text1"/>
          <w:sz w:val="22"/>
          <w:szCs w:val="22"/>
        </w:rPr>
      </w:pPr>
      <w:r w:rsidRPr="006D631C">
        <w:rPr>
          <w:rFonts w:eastAsiaTheme="minorHAnsi" w:cstheme="minorBidi"/>
          <w:iCs/>
          <w:noProof/>
          <w:color w:val="000000" w:themeColor="text1"/>
          <w:sz w:val="22"/>
          <w:szCs w:val="22"/>
        </w:rPr>
        <w:drawing>
          <wp:inline distT="0" distB="0" distL="0" distR="0" wp14:anchorId="751A63FC" wp14:editId="107ABA87">
            <wp:extent cx="5940000" cy="2418451"/>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40000" cy="2418451"/>
                    </a:xfrm>
                    <a:prstGeom prst="rect">
                      <a:avLst/>
                    </a:prstGeom>
                    <a:noFill/>
                  </pic:spPr>
                </pic:pic>
              </a:graphicData>
            </a:graphic>
          </wp:inline>
        </w:drawing>
      </w:r>
    </w:p>
    <w:p w14:paraId="0547AB38" w14:textId="49DA596E" w:rsidR="00A2070C" w:rsidRPr="006D631C" w:rsidRDefault="008A56AE" w:rsidP="00013197">
      <w:pPr>
        <w:pStyle w:val="Caption"/>
        <w:jc w:val="center"/>
        <w:rPr>
          <w:sz w:val="22"/>
          <w:szCs w:val="22"/>
        </w:rPr>
      </w:pPr>
      <w:r w:rsidRPr="006D631C">
        <w:rPr>
          <w:sz w:val="22"/>
          <w:szCs w:val="22"/>
        </w:rPr>
        <w:t>Figure C</w:t>
      </w:r>
      <w:r w:rsidRPr="006D631C">
        <w:rPr>
          <w:sz w:val="22"/>
          <w:szCs w:val="22"/>
        </w:rPr>
        <w:fldChar w:fldCharType="begin"/>
      </w:r>
      <w:r w:rsidRPr="006D631C">
        <w:rPr>
          <w:sz w:val="22"/>
          <w:szCs w:val="22"/>
        </w:rPr>
        <w:instrText xml:space="preserve"> SEQ Figure_C \* ARABIC </w:instrText>
      </w:r>
      <w:r w:rsidRPr="006D631C">
        <w:rPr>
          <w:sz w:val="22"/>
          <w:szCs w:val="22"/>
        </w:rPr>
        <w:fldChar w:fldCharType="separate"/>
      </w:r>
      <w:r w:rsidR="005014F7" w:rsidRPr="006D631C">
        <w:rPr>
          <w:sz w:val="22"/>
          <w:szCs w:val="22"/>
        </w:rPr>
        <w:t>1</w:t>
      </w:r>
      <w:r w:rsidRPr="006D631C">
        <w:rPr>
          <w:sz w:val="22"/>
          <w:szCs w:val="22"/>
        </w:rPr>
        <w:fldChar w:fldCharType="end"/>
      </w:r>
      <w:r w:rsidR="00A2070C" w:rsidRPr="006D631C">
        <w:rPr>
          <w:sz w:val="22"/>
          <w:szCs w:val="22"/>
        </w:rPr>
        <w:t>. Confirming the absence of wall slip during rheological measurements: typical rheological behavior of the sample with lamellar LLC structure (a) during polymerization by APS and (b) after polymerization under different gaps between the measuring plates.</w:t>
      </w:r>
    </w:p>
    <w:p w14:paraId="2688FEEC" w14:textId="77777777" w:rsidR="00F15B8E" w:rsidRPr="006D631C" w:rsidRDefault="00F15B8E" w:rsidP="00F15B8E"/>
    <w:p w14:paraId="02A3A901" w14:textId="77777777" w:rsidR="00A2070C" w:rsidRPr="006D631C" w:rsidRDefault="00A2070C" w:rsidP="00A2070C">
      <w:pPr>
        <w:tabs>
          <w:tab w:val="left" w:pos="90"/>
          <w:tab w:val="left" w:pos="360"/>
          <w:tab w:val="left" w:pos="992"/>
        </w:tabs>
        <w:rPr>
          <w:rFonts w:asciiTheme="majorBidi" w:hAnsiTheme="majorBidi" w:cstheme="majorBidi"/>
          <w:b/>
          <w:bCs/>
        </w:rPr>
      </w:pPr>
      <w:r w:rsidRPr="006D631C">
        <w:rPr>
          <w:rFonts w:asciiTheme="majorBidi" w:hAnsiTheme="majorBidi" w:cstheme="majorBidi"/>
          <w:b/>
          <w:bCs/>
          <w:noProof/>
        </w:rPr>
        <w:drawing>
          <wp:inline distT="0" distB="0" distL="0" distR="0" wp14:anchorId="4F5289CF" wp14:editId="2C7DAFF4">
            <wp:extent cx="5943600" cy="236569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43600" cy="2365692"/>
                    </a:xfrm>
                    <a:prstGeom prst="rect">
                      <a:avLst/>
                    </a:prstGeom>
                    <a:noFill/>
                  </pic:spPr>
                </pic:pic>
              </a:graphicData>
            </a:graphic>
          </wp:inline>
        </w:drawing>
      </w:r>
    </w:p>
    <w:p w14:paraId="5B97485B" w14:textId="267315F5" w:rsidR="00A2070C" w:rsidRPr="006D631C" w:rsidRDefault="00013197" w:rsidP="00013197">
      <w:pPr>
        <w:pStyle w:val="Caption"/>
        <w:jc w:val="center"/>
        <w:rPr>
          <w:sz w:val="22"/>
          <w:szCs w:val="22"/>
        </w:rPr>
      </w:pPr>
      <w:r w:rsidRPr="006D631C">
        <w:rPr>
          <w:sz w:val="22"/>
          <w:szCs w:val="22"/>
        </w:rPr>
        <w:t>Figure C</w:t>
      </w:r>
      <w:r w:rsidRPr="006D631C">
        <w:rPr>
          <w:sz w:val="22"/>
          <w:szCs w:val="22"/>
        </w:rPr>
        <w:fldChar w:fldCharType="begin"/>
      </w:r>
      <w:r w:rsidRPr="006D631C">
        <w:rPr>
          <w:sz w:val="22"/>
          <w:szCs w:val="22"/>
        </w:rPr>
        <w:instrText xml:space="preserve"> SEQ Figure_C \* ARABIC </w:instrText>
      </w:r>
      <w:r w:rsidRPr="006D631C">
        <w:rPr>
          <w:sz w:val="22"/>
          <w:szCs w:val="22"/>
        </w:rPr>
        <w:fldChar w:fldCharType="separate"/>
      </w:r>
      <w:r w:rsidR="005014F7" w:rsidRPr="006D631C">
        <w:rPr>
          <w:sz w:val="22"/>
          <w:szCs w:val="22"/>
        </w:rPr>
        <w:t>2</w:t>
      </w:r>
      <w:r w:rsidRPr="006D631C">
        <w:rPr>
          <w:sz w:val="22"/>
          <w:szCs w:val="22"/>
        </w:rPr>
        <w:fldChar w:fldCharType="end"/>
      </w:r>
      <w:r w:rsidR="00A2070C" w:rsidRPr="006D631C">
        <w:rPr>
          <w:sz w:val="22"/>
          <w:szCs w:val="22"/>
        </w:rPr>
        <w:t>. Typical raw DSC data for the polymerization in (a) lamellar and (b) hexagonal structures using different initiators. The heat flow has been normalized to the total weight of the mesophase used for the analysis (not total monomer content).</w:t>
      </w:r>
    </w:p>
    <w:p w14:paraId="33513DCD" w14:textId="77777777" w:rsidR="00A2070C" w:rsidRPr="006D631C" w:rsidRDefault="00A2070C" w:rsidP="00A2070C">
      <w:pPr>
        <w:tabs>
          <w:tab w:val="left" w:pos="90"/>
          <w:tab w:val="left" w:pos="360"/>
          <w:tab w:val="left" w:pos="992"/>
        </w:tabs>
        <w:rPr>
          <w:rFonts w:asciiTheme="majorBidi" w:hAnsiTheme="majorBidi" w:cstheme="majorBidi"/>
          <w:b/>
          <w:bCs/>
        </w:rPr>
      </w:pPr>
      <w:r w:rsidRPr="006D631C">
        <w:rPr>
          <w:rFonts w:asciiTheme="majorBidi" w:hAnsiTheme="majorBidi" w:cstheme="majorBidi"/>
          <w:b/>
          <w:bCs/>
        </w:rPr>
        <w:lastRenderedPageBreak/>
        <w:t>Theoretical</w:t>
      </w:r>
      <w:r w:rsidRPr="006D631C">
        <w:rPr>
          <w:rFonts w:asciiTheme="majorBidi" w:hAnsiTheme="majorBidi" w:cstheme="majorBidi"/>
        </w:rPr>
        <w:t xml:space="preserve"> </w:t>
      </w:r>
      <w:r w:rsidRPr="006D631C">
        <w:rPr>
          <w:rFonts w:asciiTheme="majorBidi" w:hAnsiTheme="majorBidi" w:cstheme="majorBidi"/>
          <w:b/>
          <w:bCs/>
        </w:rPr>
        <w:t>concentration of the free radicals generated by different initiators over time</w:t>
      </w:r>
    </w:p>
    <w:p w14:paraId="4EBCAFD9" w14:textId="53833D36" w:rsidR="00A2070C" w:rsidRPr="006D631C" w:rsidRDefault="00A2070C" w:rsidP="0072669A">
      <w:pPr>
        <w:tabs>
          <w:tab w:val="left" w:pos="90"/>
          <w:tab w:val="left" w:pos="360"/>
          <w:tab w:val="left" w:pos="992"/>
        </w:tabs>
        <w:rPr>
          <w:rFonts w:asciiTheme="majorBidi" w:hAnsiTheme="majorBidi" w:cstheme="majorBidi"/>
        </w:rPr>
      </w:pPr>
      <w:r w:rsidRPr="006D631C">
        <w:rPr>
          <w:rFonts w:asciiTheme="majorBidi" w:hAnsiTheme="majorBidi" w:cstheme="majorBidi"/>
        </w:rPr>
        <w:t xml:space="preserve">    The theoretical cumulative concentration of free radicals generated through the decomposition of initiators was calculated by the following equation:</w:t>
      </w:r>
      <w:r w:rsidRPr="006D631C">
        <w:rPr>
          <w:rFonts w:asciiTheme="majorBidi" w:hAnsiTheme="majorBidi" w:cstheme="majorBidi"/>
        </w:rPr>
        <w:fldChar w:fldCharType="begin" w:fldLock="1"/>
      </w:r>
      <w:r w:rsidR="00E95125" w:rsidRPr="006D631C">
        <w:rPr>
          <w:rFonts w:asciiTheme="majorBidi" w:hAnsiTheme="majorBidi" w:cstheme="majorBidi"/>
        </w:rPr>
        <w:instrText>ADDIN CSL_CITATION {"citationItems":[{"id":"ITEM-1","itemData":{"DOI":"10.1002/047147875X.ch6","ISBN":"0471274003","abstract":"Chain copolymerization allows the modification of polymer structure and properties by the incorporation of two or more different monomers into the polymer chain. Copolymer composition depends on the relative amounts of monomers present in the reaction system as well as the monomer reactivities. Pairs of monomers follow either an alternating or ideal behavior depending on their structures and whether copolymerization proceeds by radical, anionic, or cationic propagation. The different behaviors are discussed in terms of the terminal, penultimate, depropagation and complex participation models for copolymerization behavior. The Q-e and patterns of reactivity schemes place monomer reactivities on a theoretical basis in radical copolymerization. Cyclopolymerization occurs in some polymerizations of diene monomers. Copolymerization is important for many commercial products, including polystyrene, polyethylene, unsaturated polyesters, allyl resins, and other commercial polymers.","author":[{"dropping-particle":"","family":"Odian","given":"George","non-dropping-particle":"","parse-names":false,"suffix":""}],"container-title":"Principles of Polymerization","id":"ITEM-1","issued":{"date-parts":[["2004"]]},"publisher":"John Wiley &amp; Sons, Inc.","publisher-place":"Hoboken, NJ, USA","title":"Chain Copolymerization","type":"chapter"},"uris":["http://www.mendeley.com/documents/?uuid=decefd3a-c596-4623-acf3-7cf2bb6b9257"]}],"mendeley":{"formattedCitation":"&lt;sup&gt;216&lt;/sup&gt;","plainTextFormattedCitation":"216","previouslyFormattedCitation":"&lt;sup&gt;216&lt;/sup&gt;"},"properties":{"noteIndex":0},"schema":"https://github.com/citation-style-language/schema/raw/master/csl-citation.json"}</w:instrText>
      </w:r>
      <w:r w:rsidRPr="006D631C">
        <w:rPr>
          <w:rFonts w:asciiTheme="majorBidi" w:hAnsiTheme="majorBidi" w:cstheme="majorBidi"/>
        </w:rPr>
        <w:fldChar w:fldCharType="separate"/>
      </w:r>
      <w:r w:rsidR="0072669A" w:rsidRPr="006D631C">
        <w:rPr>
          <w:rFonts w:asciiTheme="majorBidi" w:hAnsiTheme="majorBidi" w:cstheme="majorBidi"/>
          <w:noProof/>
          <w:vertAlign w:val="superscript"/>
        </w:rPr>
        <w:t>216</w:t>
      </w:r>
      <w:r w:rsidRPr="006D631C">
        <w:rPr>
          <w:rFonts w:asciiTheme="majorBidi" w:hAnsiTheme="majorBidi" w:cstheme="majorBidi"/>
        </w:rPr>
        <w:fldChar w:fldCharType="end"/>
      </w:r>
    </w:p>
    <w:p w14:paraId="0EDEACAA" w14:textId="4183EF11" w:rsidR="001E5EBB" w:rsidRPr="006D631C" w:rsidRDefault="001E5EBB" w:rsidP="00387F3D">
      <w:pPr>
        <w:pStyle w:val="Caption"/>
        <w:spacing w:after="0"/>
        <w:rPr>
          <w:rFonts w:asciiTheme="majorBidi" w:hAnsiTheme="majorBidi" w:cstheme="majorBidi"/>
        </w:rPr>
      </w:pPr>
      <w:r w:rsidRPr="006D631C">
        <w:rPr>
          <w:rFonts w:asciiTheme="majorBidi" w:hAnsiTheme="majorBidi" w:cstheme="majorBidi"/>
          <w:position w:val="-16"/>
          <w:szCs w:val="24"/>
        </w:rPr>
        <w:object w:dxaOrig="2160" w:dyaOrig="440" w14:anchorId="5F6C3AD9">
          <v:shape id="_x0000_i1071" type="#_x0000_t75" style="width:108pt;height:21.6pt" o:ole="">
            <v:imagedata r:id="rId161" o:title=""/>
          </v:shape>
          <o:OLEObject Type="Embed" ProgID="Equation.DSMT4" ShapeID="_x0000_i1071" DrawAspect="Content" ObjectID="_1760013339" r:id="rId162"/>
        </w:object>
      </w:r>
      <w:r w:rsidRPr="006D631C">
        <w:rPr>
          <w:rFonts w:asciiTheme="majorBidi" w:hAnsiTheme="majorBidi" w:cstheme="majorBidi"/>
        </w:rPr>
        <w:t xml:space="preserve">                                                                                                </w:t>
      </w:r>
      <w:r w:rsidRPr="006D631C">
        <w:rPr>
          <w:rFonts w:asciiTheme="majorBidi" w:hAnsiTheme="majorBidi" w:cstheme="majorBidi"/>
        </w:rPr>
        <w:tab/>
        <w:t>(C-1)</w:t>
      </w:r>
    </w:p>
    <w:p w14:paraId="787C515F" w14:textId="32D7CAD9" w:rsidR="00976910" w:rsidRPr="006D631C" w:rsidRDefault="001E5EBB" w:rsidP="005C60C1">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w</w:t>
      </w:r>
      <w:r w:rsidR="00A2070C" w:rsidRPr="006D631C">
        <w:rPr>
          <w:rFonts w:asciiTheme="majorBidi" w:hAnsiTheme="majorBidi" w:cstheme="majorBidi"/>
        </w:rPr>
        <w:t xml:space="preserve">here </w:t>
      </w:r>
      <w:r w:rsidR="00A2070C" w:rsidRPr="006D631C">
        <w:rPr>
          <w:rFonts w:asciiTheme="majorBidi" w:hAnsiTheme="majorBidi" w:cstheme="majorBidi"/>
          <w:i/>
          <w:iCs/>
        </w:rPr>
        <w:t>[R]</w:t>
      </w:r>
      <w:r w:rsidR="00A2070C" w:rsidRPr="006D631C">
        <w:rPr>
          <w:rFonts w:asciiTheme="majorBidi" w:hAnsiTheme="majorBidi" w:cstheme="majorBidi"/>
        </w:rPr>
        <w:t xml:space="preserve">, </w:t>
      </w:r>
      <w:r w:rsidR="00A2070C" w:rsidRPr="006D631C">
        <w:rPr>
          <w:rFonts w:asciiTheme="majorBidi" w:hAnsiTheme="majorBidi" w:cstheme="majorBidi"/>
          <w:i/>
          <w:iCs/>
        </w:rPr>
        <w:t>f</w:t>
      </w:r>
      <w:r w:rsidR="00A2070C" w:rsidRPr="006D631C">
        <w:rPr>
          <w:rFonts w:asciiTheme="majorBidi" w:hAnsiTheme="majorBidi" w:cstheme="majorBidi"/>
        </w:rPr>
        <w:t xml:space="preserve">, </w:t>
      </w:r>
      <w:r w:rsidR="00A2070C" w:rsidRPr="006D631C">
        <w:rPr>
          <w:rFonts w:asciiTheme="majorBidi" w:hAnsiTheme="majorBidi" w:cstheme="majorBidi"/>
          <w:i/>
          <w:iCs/>
        </w:rPr>
        <w:t>[I]</w:t>
      </w:r>
      <w:r w:rsidR="00A2070C" w:rsidRPr="006D631C">
        <w:rPr>
          <w:rFonts w:asciiTheme="majorBidi" w:hAnsiTheme="majorBidi" w:cstheme="majorBidi"/>
          <w:i/>
          <w:iCs/>
          <w:vertAlign w:val="subscript"/>
        </w:rPr>
        <w:t>0</w:t>
      </w:r>
      <w:r w:rsidR="00A2070C" w:rsidRPr="006D631C">
        <w:rPr>
          <w:rFonts w:asciiTheme="majorBidi" w:hAnsiTheme="majorBidi" w:cstheme="majorBidi"/>
        </w:rPr>
        <w:t xml:space="preserve">, </w:t>
      </w:r>
      <w:proofErr w:type="spellStart"/>
      <w:r w:rsidR="00A2070C" w:rsidRPr="006D631C">
        <w:rPr>
          <w:rFonts w:asciiTheme="majorBidi" w:hAnsiTheme="majorBidi" w:cstheme="majorBidi"/>
          <w:i/>
          <w:iCs/>
        </w:rPr>
        <w:t>k</w:t>
      </w:r>
      <w:r w:rsidR="00A2070C" w:rsidRPr="006D631C">
        <w:rPr>
          <w:rFonts w:asciiTheme="majorBidi" w:hAnsiTheme="majorBidi" w:cstheme="majorBidi"/>
          <w:i/>
          <w:iCs/>
          <w:vertAlign w:val="subscript"/>
        </w:rPr>
        <w:t>d</w:t>
      </w:r>
      <w:proofErr w:type="spellEnd"/>
      <w:r w:rsidR="00A2070C" w:rsidRPr="006D631C">
        <w:rPr>
          <w:rFonts w:asciiTheme="majorBidi" w:hAnsiTheme="majorBidi" w:cstheme="majorBidi"/>
        </w:rPr>
        <w:t xml:space="preserve"> and </w:t>
      </w:r>
      <w:r w:rsidR="00A2070C" w:rsidRPr="006D631C">
        <w:rPr>
          <w:rFonts w:asciiTheme="majorBidi" w:hAnsiTheme="majorBidi" w:cstheme="majorBidi"/>
          <w:i/>
          <w:iCs/>
        </w:rPr>
        <w:t>t</w:t>
      </w:r>
      <w:r w:rsidR="00A2070C" w:rsidRPr="006D631C">
        <w:rPr>
          <w:rFonts w:asciiTheme="majorBidi" w:hAnsiTheme="majorBidi" w:cstheme="majorBidi"/>
        </w:rPr>
        <w:t xml:space="preserve"> are the cumulative concentration of free radicals, the initiator efficiency, initial concentration of the initiator, decomposition rate constant of the initiator, and time, respectively. The average value of 0.5 is commonly used for </w:t>
      </w:r>
      <w:r w:rsidR="00A2070C" w:rsidRPr="006D631C">
        <w:rPr>
          <w:rFonts w:asciiTheme="majorBidi" w:hAnsiTheme="majorBidi" w:cstheme="majorBidi"/>
          <w:i/>
          <w:iCs/>
        </w:rPr>
        <w:t>f</w:t>
      </w:r>
      <w:r w:rsidR="00A2070C" w:rsidRPr="006D631C">
        <w:rPr>
          <w:rFonts w:asciiTheme="majorBidi" w:hAnsiTheme="majorBidi" w:cstheme="majorBidi"/>
        </w:rPr>
        <w:t xml:space="preserve"> in the case of AIBN.</w:t>
      </w:r>
      <w:r w:rsidR="00A2070C"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{"citationItems":[{"id":"ITEM-1","itemData":{"DOI":"10.1016/j.progpolymsci.2018.08.003","ISSN":"00796700","abstract":"The dialkyldiazene or azo-compound initiators, which include azonitriles such as azobis(isobutyronitrile) (AIBN), are one of the most important classes of initiator being widely used in both conventional and reversible-deactivation radical polymerization (RDRP). This paper briefly reviews the mechanism of radical generation from dialkyldiazenes and provides a critical assessment and recommended values for the decomposition rate coefficients (kd) and efficiencies (f) of those that are commercially available. A critique of the methods that have been used for the determination of these kinetic parameters is also provided. In this review, a focus is placed on initiation of radical polymerization of the more reactive monomers such as methyl methacrylate (MMA) and styrene at low monomer conversions; where addition of the initiator-derived radicals to monomer is not rate determining (i.e., ki&gt;kp) and, thus, the efficiencies for radical generation (fg) and for initiation of polymerization (fi) are similar. However, the dependence of the kinetic parameters on such factors as monomer type, monomer conversion, reaction medium, temperature, photo-irradiation, microwave irradiation and magnetic fields is also discussed. We additionally provide comment on the use of dialkyldiazenes in heterogeneous polymerization (emulsion or dispersion polymerization) and in RDRP. Dialkyldiazenes are the most used initiators in RAFT (reversible addition-fragmentation chain-transfer) polymerization and other RDRP based on degenerative chain transfer, which include iodine transfer polymerization (ITP) and tellurium-mediated polymerization (TERP). They also find significant use in various forms of stable-radical-mediated radical polymerization (SRMP), in particular nitroxide-mediated polymerization (NMP) and cobalt-mediated radical polymerization (CMRP), and have an integral role in certain atom-transfer radical polymerization (ATRP) processes, such as reverse and ICAR (initiators for continuous activator regeneration) ATRP and variations on these procedures. In each of these RDRP methods, knowledge of the parameters that characterize the kinetics and efficiency of dialkyldiazene decomposition and the mechanism of initiation is beneficial to understanding and for optimizing control over the process.","author":[{"dropping-particle":"","family":"Moad","given":"Graeme","non-dropping-particle":"","parse-names":false,"suffix":""}],"container-title":"Progress in Polymer Science","id":"ITEM-1","issued":{"date-parts":[["2019","1"]]},"page":"130-188","title":"A Critical Assessment of the Kinetics and Mechanism of Initiation of Radical Polymerization with Commercially Available Dialkyldiazene Initiators","type":"article-journal","volume":"88"},"uris":["http://www.mendeley.com/documents/?uuid=7993ffce-4127-440a-8842-1ec9053abdce"]}],"mendeley":{"formattedCitation":"&lt;sup&gt;305&lt;/sup&gt;","plainTextFormattedCitation":"305","previouslyFormattedCitation":"&lt;sup&gt;304&lt;/sup&gt;"},"properties":{"noteIndex":0},"schema":"https://github.com/citation-style-language/schema/raw/master/csl-citation.json"}</w:instrText>
      </w:r>
      <w:r w:rsidR="00A2070C"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305</w:t>
      </w:r>
      <w:r w:rsidR="00A2070C" w:rsidRPr="006D631C">
        <w:rPr>
          <w:rFonts w:asciiTheme="majorBidi" w:hAnsiTheme="majorBidi" w:cstheme="majorBidi"/>
        </w:rPr>
        <w:fldChar w:fldCharType="end"/>
      </w:r>
      <w:r w:rsidR="00A2070C" w:rsidRPr="006D631C">
        <w:rPr>
          <w:rFonts w:asciiTheme="majorBidi" w:hAnsiTheme="majorBidi" w:cstheme="majorBidi"/>
        </w:rPr>
        <w:t xml:space="preserve"> However, there is not a firm average value reported in the literature for BPO</w:t>
      </w:r>
      <w:r w:rsidR="00A2070C"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{"citationItems":[{"id":"ITEM-1","itemData":{"DOI":"10.1021/ma049803n","ISSN":"0024-9297","author":[{"dropping-particle":"","family":"Achilias","given":"Dimitris S.","non-dropping-particle":"","parse-names":false,"suffix":""},{"dropping-particle":"","family":"Sideridou","given":"Irini D.","non-dropping-particle":"","parse-names":false,"suffix":""}],"container-title":"Macromolecules","id":"ITEM-1","issue":"11","issued":{"date-parts":[["2004","6"]]},"page":"4254-4265","title":"Kinetics of the Benzoyl Peroxide/Amine Initiated Free-Radical Polymerization of Dental Dimethacrylate Monomers: Experimental Studies and Mathematical Modeling for TEGDMA and Bis-EMA","type":"article-journal","volume":"37"},"uris":["http://www.mendeley.com/documents/?uuid=f5924c3e-5557-4f24-b1d5-74c0c5ce1b7d"]}],"mendeley":{"formattedCitation":"&lt;sup&gt;306&lt;/sup&gt;","plainTextFormattedCitation":"306","previouslyFormattedCitation":"&lt;sup&gt;305&lt;/sup&gt;"},"properties":{"noteIndex":0},"schema":"https://github.com/citation-style-language/schema/raw/master/csl-citation.json"}</w:instrText>
      </w:r>
      <w:r w:rsidR="00A2070C"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306</w:t>
      </w:r>
      <w:r w:rsidR="00A2070C" w:rsidRPr="006D631C">
        <w:rPr>
          <w:rFonts w:asciiTheme="majorBidi" w:hAnsiTheme="majorBidi" w:cstheme="majorBidi"/>
        </w:rPr>
        <w:fldChar w:fldCharType="end"/>
      </w:r>
      <w:r w:rsidR="00A2070C" w:rsidRPr="006D631C">
        <w:rPr>
          <w:rFonts w:asciiTheme="majorBidi" w:hAnsiTheme="majorBidi" w:cstheme="majorBidi"/>
        </w:rPr>
        <w:t xml:space="preserve"> and APS.</w:t>
      </w:r>
      <w:r w:rsidR="00A2070C"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10.1007/s289-001-8181-2","ISSN":"01700839","author":[{"dropping-particle":"","family":"Schneider","given":"M.","non-dropping-particle":"","parse-names":false,"suffix":""},{"dropping-particle":"","family":"Graillat","given":"C.","non-dropping-particle":"","parse-names":false,"suffix":""},{"dropping-particle":"","family":"Boutti","given":"S.","non-dropping-particle":"","parse-names":false,"suffix":""},{"dropping-particle":"","family":"McKenna","given":"T. F.","non-dropping-particle":"","parse-names":false,"suffix":""}],"container-title":"Polymer Bulletin","id":"ITEM-1","issue":"3-4","issued":{"date-parts":[["2001"]]},"page":"269-275","title":"Decomposition of APS and H2O2 for emulsion polymerisation","type":"article-journal","volume":"47"},"uris":["http://www.mendeley.com/documents/?uuid=c25d8867-6bac-4e61-89ae-6898cf13be0d"]}],"mendeley":{"formattedCitation":"&lt;sup&gt;307&lt;/sup&gt;","plainTextFormattedCitation":"307","previouslyFormattedCitation":"&lt;sup&gt;306&lt;/sup&gt;"},"properties":{"noteIndex":0},"schema":"https://github.com/citation-style-language/schema/raw/master/csl-citation.json"}</w:instrText>
      </w:r>
      <w:r w:rsidR="00A2070C"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307</w:t>
      </w:r>
      <w:r w:rsidR="00A2070C" w:rsidRPr="006D631C">
        <w:rPr>
          <w:rFonts w:asciiTheme="majorBidi" w:hAnsiTheme="majorBidi" w:cstheme="majorBidi"/>
        </w:rPr>
        <w:fldChar w:fldCharType="end"/>
      </w:r>
      <w:r w:rsidR="00A2070C" w:rsidRPr="006D631C">
        <w:rPr>
          <w:rFonts w:asciiTheme="majorBidi" w:hAnsiTheme="majorBidi" w:cstheme="majorBidi"/>
        </w:rPr>
        <w:t xml:space="preserve"> Therefore, to cancel out the effect of </w:t>
      </w:r>
      <w:r w:rsidR="00A2070C" w:rsidRPr="006D631C">
        <w:rPr>
          <w:rFonts w:asciiTheme="majorBidi" w:hAnsiTheme="majorBidi" w:cstheme="majorBidi"/>
          <w:i/>
          <w:iCs/>
        </w:rPr>
        <w:t>f</w:t>
      </w:r>
      <w:r w:rsidR="00A2070C" w:rsidRPr="006D631C">
        <w:rPr>
          <w:rFonts w:asciiTheme="majorBidi" w:hAnsiTheme="majorBidi" w:cstheme="majorBidi"/>
        </w:rPr>
        <w:t xml:space="preserve">, we normalized </w:t>
      </w:r>
      <w:r w:rsidR="00A2070C" w:rsidRPr="006D631C">
        <w:rPr>
          <w:rFonts w:asciiTheme="majorBidi" w:hAnsiTheme="majorBidi" w:cstheme="majorBidi"/>
          <w:i/>
          <w:iCs/>
        </w:rPr>
        <w:t>[R]</w:t>
      </w:r>
      <w:r w:rsidR="00A2070C" w:rsidRPr="006D631C">
        <w:rPr>
          <w:rFonts w:asciiTheme="majorBidi" w:hAnsiTheme="majorBidi" w:cstheme="majorBidi"/>
        </w:rPr>
        <w:t xml:space="preserve"> to </w:t>
      </w:r>
      <w:r w:rsidR="00A2070C" w:rsidRPr="006D631C">
        <w:rPr>
          <w:rFonts w:asciiTheme="majorBidi" w:hAnsiTheme="majorBidi" w:cstheme="majorBidi"/>
          <w:i/>
          <w:iCs/>
        </w:rPr>
        <w:t>f</w:t>
      </w:r>
      <w:r w:rsidR="00A2070C" w:rsidRPr="006D631C">
        <w:rPr>
          <w:rFonts w:asciiTheme="majorBidi" w:hAnsiTheme="majorBidi" w:cstheme="majorBidi"/>
        </w:rPr>
        <w:t>, resulting in the following equation:</w:t>
      </w:r>
    </w:p>
    <w:p w14:paraId="217881CB" w14:textId="1BE3ECC0" w:rsidR="00976910" w:rsidRPr="006D631C" w:rsidRDefault="00976910" w:rsidP="00387F3D">
      <w:pPr>
        <w:pStyle w:val="Caption"/>
        <w:spacing w:after="0"/>
        <w:rPr>
          <w:rFonts w:asciiTheme="majorBidi" w:hAnsiTheme="majorBidi" w:cstheme="majorBidi"/>
        </w:rPr>
      </w:pPr>
      <w:r w:rsidRPr="006D631C">
        <w:rPr>
          <w:rFonts w:asciiTheme="majorBidi" w:hAnsiTheme="majorBidi" w:cstheme="majorBidi"/>
          <w:position w:val="-28"/>
          <w:szCs w:val="24"/>
        </w:rPr>
        <w:object w:dxaOrig="2040" w:dyaOrig="660" w14:anchorId="1498C6CC">
          <v:shape id="_x0000_i1072" type="#_x0000_t75" style="width:102pt;height:33pt" o:ole="">
            <v:imagedata r:id="rId163" o:title=""/>
          </v:shape>
          <o:OLEObject Type="Embed" ProgID="Equation.DSMT4" ShapeID="_x0000_i1072" DrawAspect="Content" ObjectID="_1760013340" r:id="rId164"/>
        </w:object>
      </w:r>
      <w:r w:rsidRPr="006D631C">
        <w:rPr>
          <w:rFonts w:asciiTheme="majorBidi" w:hAnsiTheme="majorBidi" w:cstheme="majorBidi"/>
        </w:rPr>
        <w:t xml:space="preserve">                                                                                                    </w:t>
      </w:r>
      <w:r w:rsidRPr="006D631C">
        <w:rPr>
          <w:rFonts w:asciiTheme="majorBidi" w:hAnsiTheme="majorBidi" w:cstheme="majorBidi"/>
        </w:rPr>
        <w:tab/>
        <w:t>(C-2)</w:t>
      </w:r>
    </w:p>
    <w:p w14:paraId="73A5B38D" w14:textId="0E5ABF3F" w:rsidR="00A2070C" w:rsidRPr="006D631C" w:rsidRDefault="00A2070C" w:rsidP="00976910">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 It should be noted that this calculation was made just to have a comparison among different initiators in terms of difference in the rate of free radical generation over time. So, the presented concentrations do not reflect the actual free radical concentration during LLC templating.</w:t>
      </w:r>
    </w:p>
    <w:p w14:paraId="36E62188" w14:textId="76C599B1" w:rsidR="00A2070C" w:rsidRPr="006D631C" w:rsidRDefault="00A2070C" w:rsidP="005C60C1">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 xml:space="preserve">The calculation was made for the monomer content used in the formulation of lamellar structure (the calculation itself does not depend on the LLC structure) at three different temperatures. To do so, the values shown in Table </w:t>
      </w:r>
      <w:r w:rsidR="00D22D66" w:rsidRPr="006D631C">
        <w:rPr>
          <w:rFonts w:asciiTheme="majorBidi" w:hAnsiTheme="majorBidi" w:cstheme="majorBidi"/>
        </w:rPr>
        <w:t>C1</w:t>
      </w:r>
      <w:r w:rsidRPr="006D631C">
        <w:rPr>
          <w:rFonts w:asciiTheme="majorBidi" w:hAnsiTheme="majorBidi" w:cstheme="majorBidi"/>
        </w:rPr>
        <w:t xml:space="preserve"> was used for </w:t>
      </w:r>
      <w:proofErr w:type="spellStart"/>
      <w:proofErr w:type="gramStart"/>
      <w:r w:rsidRPr="006D631C">
        <w:rPr>
          <w:rFonts w:asciiTheme="majorBidi" w:hAnsiTheme="majorBidi" w:cstheme="majorBidi"/>
          <w:i/>
          <w:iCs/>
        </w:rPr>
        <w:t>k</w:t>
      </w:r>
      <w:r w:rsidRPr="006D631C">
        <w:rPr>
          <w:rFonts w:asciiTheme="majorBidi" w:hAnsiTheme="majorBidi" w:cstheme="majorBidi"/>
          <w:i/>
          <w:iCs/>
          <w:vertAlign w:val="subscript"/>
        </w:rPr>
        <w:t>d</w:t>
      </w:r>
      <w:proofErr w:type="spellEnd"/>
      <w:proofErr w:type="gramEnd"/>
      <w:r w:rsidRPr="006D631C">
        <w:rPr>
          <w:rFonts w:asciiTheme="majorBidi" w:hAnsiTheme="majorBidi" w:cstheme="majorBidi"/>
        </w:rPr>
        <w:t xml:space="preserve"> of different initiators. To calculate the </w:t>
      </w:r>
      <w:proofErr w:type="spellStart"/>
      <w:r w:rsidRPr="006D631C">
        <w:rPr>
          <w:rFonts w:asciiTheme="majorBidi" w:hAnsiTheme="majorBidi" w:cstheme="majorBidi"/>
          <w:i/>
          <w:iCs/>
        </w:rPr>
        <w:t>k</w:t>
      </w:r>
      <w:r w:rsidRPr="006D631C">
        <w:rPr>
          <w:rFonts w:asciiTheme="majorBidi" w:hAnsiTheme="majorBidi" w:cstheme="majorBidi"/>
          <w:i/>
          <w:iCs/>
          <w:vertAlign w:val="subscript"/>
        </w:rPr>
        <w:t>d</w:t>
      </w:r>
      <w:proofErr w:type="spellEnd"/>
      <w:r w:rsidRPr="006D631C">
        <w:rPr>
          <w:rFonts w:asciiTheme="majorBidi" w:hAnsiTheme="majorBidi" w:cstheme="majorBidi"/>
        </w:rPr>
        <w:t xml:space="preserve"> values, the activation energy, pre-exponential factor, and </w:t>
      </w:r>
      <w:proofErr w:type="spellStart"/>
      <w:r w:rsidRPr="006D631C">
        <w:rPr>
          <w:rFonts w:asciiTheme="majorBidi" w:hAnsiTheme="majorBidi" w:cstheme="majorBidi"/>
          <w:i/>
          <w:iCs/>
        </w:rPr>
        <w:t>k</w:t>
      </w:r>
      <w:r w:rsidRPr="006D631C">
        <w:rPr>
          <w:rFonts w:asciiTheme="majorBidi" w:hAnsiTheme="majorBidi" w:cstheme="majorBidi"/>
          <w:i/>
          <w:iCs/>
          <w:vertAlign w:val="subscript"/>
        </w:rPr>
        <w:t>d</w:t>
      </w:r>
      <w:proofErr w:type="spellEnd"/>
      <w:r w:rsidRPr="006D631C">
        <w:rPr>
          <w:rFonts w:asciiTheme="majorBidi" w:hAnsiTheme="majorBidi" w:cstheme="majorBidi"/>
        </w:rPr>
        <w:t xml:space="preserve"> at the reference temperature were obtained from the literature for different initiators.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URL":"https://www.united-initiators.com/wp-content/uploads/2017/03/UI_NOROX_Broschüre_DS.pdf","id":"ITEM-1","issued":{"date-parts":[["0"]]},"title":"UI_NOROX_Broschüre_DS","type":"webpage"},"uris":["http://www.mendeley.com/documents/?uuid=48350b29-e4aa-44b1-bc1e-3bb23c60251e"]},{"id":"ITEM-2","itemData":{"URL":"http://www.neochemical.kz/File/Akzo_Data_110407-Initiators_for_High_Polymers.pdf","author":[{"dropping-particle":"","family":"Akzonobel","given":"","non-dropping-particle":"","parse-names":false,"suffix":""}],"id":"ITEM-2","issued":{"date-parts":[["0"]]},"title":"Initiators_for_High_Polymers","type":"webpage"},"uris":["http://www.mendeley.com/documents/?uuid=6209040f-5fce-42d3-9270-2e9e55243aaf"]},{"id":"ITEM-3","itemData":{"DOI":"10.1016/j.progpolymsci.2018.08.003","ISSN":"00796700","abstract":"The dialkyldiazene or azo-compound initiators, which include azonitriles such as azobis(isobutyronitrile) (AIBN), are one of the most important classes of initiator being widely used in both conventional and reversible-deactivation radical polymerization (RDRP). This paper briefly reviews the mechanism of radical generation from dialkyldiazenes and provides a critical assessment and recommended values for the decomposition rate coefficients (kd) and efficiencies (f) of those that are commercially available. A critique of the methods that have been used for the determination of these kinetic parameters is also provided. In this review, a focus is placed on initiation of radical polymerization of the more reactive monomers such as methyl methacrylate (MMA) and styrene at low monomer conversions; where addition of the initiator-derived radicals to monomer is not rate determining (i.e., ki&gt;kp) and, thus, the efficiencies for radical generation (fg) and for initiation of polymerization (fi) are similar. However, the dependence of the kinetic parameters on such factors as monomer type, monomer conversion, reaction medium, temperature, photo-irradiation, microwave irradiation and magnetic fields is also discussed. We additionally provide comment on the use of dialkyldiazenes in heterogeneous polymerization (emulsion or dispersion polymerization) and in RDRP. Dialkyldiazenes are the most used initiators in RAFT (reversible addition-fragmentation chain-transfer) polymerization and other RDRP based on degenerative chain transfer, which include iodine transfer polymerization (ITP) and tellurium-mediated polymerization (TERP). They also find significant use in various forms of stable-radical-mediated radical polymerization (SRMP), in particular nitroxide-mediated polymerization (NMP) and cobalt-mediated radical polymerization (CMRP), and have an integral role in certain atom-transfer radical polymerization (ATRP) processes, such as reverse and ICAR (initiators for continuous activator regeneration) ATRP and variations on these procedures. In each of these RDRP methods, knowledge of the parameters that characterize the kinetics and efficiency of dialkyldiazene decomposition and the mechanism of initiation is beneficial to understanding and for optimizing control over the process.","author":[{"dropping-particle":"","family":"Moad","given":"Graeme","non-dropping-particle":"","parse-names":false,"suffix":""}],"container-title":"Progress in Polymer Science","id":"ITEM-3","issued":{"date-parts":[["2019","1"]]},"page":"130-188","title":"A Critical Assessment of the Kinetics and Mechanism of Initiation of Radical Polymerization with Commercially Available Dialkyldiazene Initiators","type":"article-journal","volume":"88"},"uris":["http://www.mendeley.com/documents/?uuid=7993ffce-4127-440a-8842-1ec9053abdce"]},{"id":"ITEM-4","itemData":{"DOI":"10.1002/pol.1960.1204314101","ISSN":"00223832","author":[{"dropping-particle":"","family":"Lowell","given":"A. I.","non-dropping-particle":"","parse-names":false,"suffix":""},{"dropping-particle":"","family":"Price","given":"J. R.","non-dropping-particle":"","parse-names":false,"suffix":""}],"container-title":"Journal of Polymer Science","id":"ITEM-4","issue":"141","issued":{"date-parts":[["1960","3"]]},"page":"1-12","title":"Organic peroxides. I. Initiation of styrene polymerization","type":"article-journal","volume":"43"},"uris":["http://www.mendeley.com/documents/?uuid=93b8e20b-dce9-400b-b01e-956bff05f004"]},{"id":"ITEM-5","itemData":{"DOI":"10.1007/s289-001-8181-2","ISSN":"01700839","author":[{"dropping-particle":"","family":"Schneider","given":"M.","non-dropping-particle":"","parse-names":false,"suffix":""},{"dropping-particle":"","family":"Graillat","given":"C.","non-dropping-particle":"","parse-names":false,"suffix":""},{"dropping-particle":"","family":"Boutti","given":"S.","non-dropping-particle":"","parse-names":false,"suffix":""},{"dropping-particle":"","family":"McKenna","given":"T. F.","non-dropping-particle":"","parse-names":false,"suffix":""}],"container-title":"Polymer Bulletin","id":"ITEM-5","issue":"3-4","issued":{"date-parts":[["2001"]]},"page":"269-275","title":"Decomposition of APS and H2O2 for emulsion polymerisation","type":"article-journal","volume":"47"},"uris":["http://www.mendeley.com/documents/?uuid=c25d8867-6bac-4e61-89ae-6898cf13be0d"]}],"mendeley":{"formattedCitation":"&lt;sup&gt;305,307–310&lt;/sup&gt;","plainTextFormattedCitation":"305,307–310","previouslyFormattedCitation":"&lt;sup&gt;304,306–309&lt;/sup&gt;"},"properties":{"noteIndex":0},"schema":"https://github.com/citation-style-language/schema/raw/master/csl-citation.json"}</w:instrText>
      </w:r>
      <w:r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305,307–310</w:t>
      </w:r>
      <w:r w:rsidRPr="006D631C">
        <w:rPr>
          <w:rFonts w:asciiTheme="majorBidi" w:hAnsiTheme="majorBidi" w:cstheme="majorBidi"/>
        </w:rPr>
        <w:fldChar w:fldCharType="end"/>
      </w:r>
      <w:r w:rsidRPr="006D631C">
        <w:rPr>
          <w:rFonts w:asciiTheme="majorBidi" w:hAnsiTheme="majorBidi" w:cstheme="majorBidi"/>
        </w:rPr>
        <w:t xml:space="preserve"> </w:t>
      </w:r>
      <w:proofErr w:type="spellStart"/>
      <w:proofErr w:type="gramStart"/>
      <w:r w:rsidRPr="006D631C">
        <w:rPr>
          <w:rFonts w:asciiTheme="majorBidi" w:hAnsiTheme="majorBidi" w:cstheme="majorBidi"/>
          <w:i/>
          <w:iCs/>
        </w:rPr>
        <w:t>k</w:t>
      </w:r>
      <w:r w:rsidRPr="006D631C">
        <w:rPr>
          <w:rFonts w:asciiTheme="majorBidi" w:hAnsiTheme="majorBidi" w:cstheme="majorBidi"/>
          <w:i/>
          <w:iCs/>
          <w:vertAlign w:val="subscript"/>
        </w:rPr>
        <w:t>d</w:t>
      </w:r>
      <w:proofErr w:type="spellEnd"/>
      <w:proofErr w:type="gramEnd"/>
      <w:r w:rsidRPr="006D631C">
        <w:rPr>
          <w:rFonts w:asciiTheme="majorBidi" w:hAnsiTheme="majorBidi" w:cstheme="majorBidi"/>
        </w:rPr>
        <w:t xml:space="preserve"> was then calculated at the desired temperature using Arrhenius equation. The initial concentration for all of the initiators was 0.33 M with respect to the total monomer content. </w:t>
      </w:r>
    </w:p>
    <w:p w14:paraId="35A13B3E" w14:textId="75BF5517" w:rsidR="00A2070C" w:rsidRPr="006D631C" w:rsidRDefault="00A2070C" w:rsidP="00A2070C">
      <w:pPr>
        <w:tabs>
          <w:tab w:val="left" w:pos="90"/>
          <w:tab w:val="left" w:pos="360"/>
          <w:tab w:val="left" w:pos="992"/>
        </w:tabs>
        <w:rPr>
          <w:rFonts w:asciiTheme="majorBidi" w:hAnsiTheme="majorBidi" w:cstheme="majorBidi"/>
        </w:rPr>
      </w:pPr>
    </w:p>
    <w:p w14:paraId="48304818" w14:textId="62BF8887" w:rsidR="007A7193" w:rsidRPr="006D631C" w:rsidRDefault="007A7193" w:rsidP="00861405">
      <w:pPr>
        <w:pStyle w:val="TOC1"/>
      </w:pPr>
    </w:p>
    <w:p w14:paraId="68E590F6" w14:textId="77777777" w:rsidR="007A7193" w:rsidRPr="006D631C" w:rsidRDefault="007A7193" w:rsidP="007A7193"/>
    <w:p w14:paraId="056A9564" w14:textId="1F425CF4" w:rsidR="00A2070C" w:rsidRPr="006D631C" w:rsidRDefault="00FA2EE6" w:rsidP="005C60C1">
      <w:pPr>
        <w:pStyle w:val="Caption"/>
        <w:jc w:val="center"/>
        <w:rPr>
          <w:rFonts w:asciiTheme="majorBidi" w:hAnsiTheme="majorBidi" w:cstheme="majorBidi"/>
          <w:sz w:val="22"/>
          <w:szCs w:val="22"/>
        </w:rPr>
      </w:pPr>
      <w:r w:rsidRPr="006D631C">
        <w:rPr>
          <w:rFonts w:asciiTheme="majorBidi" w:hAnsiTheme="majorBidi" w:cstheme="majorBidi"/>
          <w:sz w:val="22"/>
          <w:szCs w:val="22"/>
        </w:rPr>
        <w:lastRenderedPageBreak/>
        <w:t>Table C</w:t>
      </w:r>
      <w:r w:rsidRPr="006D631C">
        <w:rPr>
          <w:rFonts w:asciiTheme="majorBidi" w:hAnsiTheme="majorBidi" w:cstheme="majorBidi"/>
          <w:sz w:val="22"/>
          <w:szCs w:val="22"/>
        </w:rPr>
        <w:fldChar w:fldCharType="begin"/>
      </w:r>
      <w:r w:rsidRPr="006D631C">
        <w:rPr>
          <w:rFonts w:asciiTheme="majorBidi" w:hAnsiTheme="majorBidi" w:cstheme="majorBidi"/>
          <w:sz w:val="22"/>
          <w:szCs w:val="22"/>
        </w:rPr>
        <w:instrText xml:space="preserve"> SEQ Table_C \* ARABIC </w:instrText>
      </w:r>
      <w:r w:rsidRPr="006D631C">
        <w:rPr>
          <w:rFonts w:asciiTheme="majorBidi" w:hAnsiTheme="majorBidi" w:cstheme="majorBidi"/>
          <w:sz w:val="22"/>
          <w:szCs w:val="22"/>
        </w:rPr>
        <w:fldChar w:fldCharType="separate"/>
      </w:r>
      <w:r w:rsidR="005014F7" w:rsidRPr="006D631C">
        <w:rPr>
          <w:rFonts w:asciiTheme="majorBidi" w:hAnsiTheme="majorBidi" w:cstheme="majorBidi"/>
          <w:sz w:val="22"/>
          <w:szCs w:val="22"/>
        </w:rPr>
        <w:t>1</w:t>
      </w:r>
      <w:r w:rsidRPr="006D631C">
        <w:rPr>
          <w:rFonts w:asciiTheme="majorBidi" w:hAnsiTheme="majorBidi" w:cstheme="majorBidi"/>
          <w:sz w:val="22"/>
          <w:szCs w:val="22"/>
        </w:rPr>
        <w:fldChar w:fldCharType="end"/>
      </w:r>
      <w:r w:rsidR="009709C3" w:rsidRPr="006D631C">
        <w:rPr>
          <w:rFonts w:asciiTheme="majorBidi" w:hAnsiTheme="majorBidi" w:cstheme="majorBidi"/>
          <w:sz w:val="22"/>
          <w:szCs w:val="22"/>
        </w:rPr>
        <w:t xml:space="preserve">. </w:t>
      </w:r>
      <w:r w:rsidR="00A2070C" w:rsidRPr="006D631C">
        <w:rPr>
          <w:rFonts w:asciiTheme="majorBidi" w:hAnsiTheme="majorBidi" w:cstheme="majorBidi"/>
          <w:sz w:val="22"/>
          <w:szCs w:val="22"/>
        </w:rPr>
        <w:t>Decomposition rate constant of different initiators at different temperatures.</w:t>
      </w:r>
      <w:r w:rsidR="00A2070C" w:rsidRPr="006D631C">
        <w:rPr>
          <w:rFonts w:asciiTheme="majorBidi" w:hAnsiTheme="majorBidi" w:cstheme="majorBidi"/>
          <w:sz w:val="22"/>
          <w:szCs w:val="22"/>
        </w:rPr>
        <w:fldChar w:fldCharType="begin" w:fldLock="1"/>
      </w:r>
      <w:r w:rsidR="005C60C1" w:rsidRPr="006D631C">
        <w:rPr>
          <w:rFonts w:asciiTheme="majorBidi" w:hAnsiTheme="majorBidi" w:cstheme="majorBidi"/>
          <w:sz w:val="22"/>
          <w:szCs w:val="22"/>
        </w:rPr>
        <w:instrText>ADDIN CSL_CITATION {"citationItems":[{"id":"ITEM-1","itemData":{"URL":"https://www.united-initiators.com/wp-content/uploads/2017/03/UI_NOROX_Broschüre_DS.pdf","id":"ITEM-1","issued":{"date-parts":[["0"]]},"title":"UI_NOROX_Broschüre_DS","type":"webpage"},"uris":["http://www.mendeley.com/documents/?uuid=48350b29-e4aa-44b1-bc1e-3bb23c60251e"]},{"id":"ITEM-2","itemData":{"URL":"http://www.neochemical.kz/File/Akzo_Data_110407-Initiators_for_High_Polymers.pdf","author":[{"dropping-particle":"","family":"Akzonobel","given":"","non-dropping-particle":"","parse-names":false,"suffix":""}],"id":"ITEM-2","issued":{"date-parts":[["0"]]},"title":"Initiators_for_High_Polymers","type":"webpage"},"uris":["http://www.mendeley.com/documents/?uuid=6209040f-5fce-42d3-9270-2e9e55243aaf"]},{"id":"ITEM-3","itemData":{"DOI":"10.1016/j.progpolymsci.2018.08.003","ISSN":"00796700","abstract":"The dialkyldiazene or azo-compound initiators, which include azonitriles such as azobis(isobutyronitrile) (AIBN), are one of the most important classes of initiator being widely used in both conventional and reversible-deactivation radical polymerization (RDRP). This paper briefly reviews the mechanism of radical generation from dialkyldiazenes and provides a critical assessment and recommended values for the decomposition rate coefficients (kd) and efficiencies (f) of those that are commercially available. A critique of the methods that have been used for the determination of these kinetic parameters is also provided. In this review, a focus is placed on initiation of radical polymerization of the more reactive monomers such as methyl methacrylate (MMA) and styrene at low monomer conversions; where addition of the initiator-derived radicals to monomer is not rate determining (i.e., ki&gt;kp) and, thus, the efficiencies for radical generation (fg) and for initiation of polymerization (fi) are similar. However, the dependence of the kinetic parameters on such factors as monomer type, monomer conversion, reaction medium, temperature, photo-irradiation, microwave irradiation and magnetic fields is also discussed. We additionally provide comment on the use of dialkyldiazenes in heterogeneous polymerization (emulsion or dispersion polymerization) and in RDRP. Dialkyldiazenes are the most used initiators in RAFT (reversible addition-fragmentation chain-transfer) polymerization and other RDRP based on degenerative chain transfer, which include iodine transfer polymerization (ITP) and tellurium-mediated polymerization (TERP). They also find significant use in various forms of stable-radical-mediated radical polymerization (SRMP), in particular nitroxide-mediated polymerization (NMP) and cobalt-mediated radical polymerization (CMRP), and have an integral role in certain atom-transfer radical polymerization (ATRP) processes, such as reverse and ICAR (initiators for continuous activator regeneration) ATRP and variations on these procedures. In each of these RDRP methods, knowledge of the parameters that characterize the kinetics and efficiency of dialkyldiazene decomposition and the mechanism of initiation is beneficial to understanding and for optimizing control over the process.","author":[{"dropping-particle":"","family":"Moad","given":"Graeme","non-dropping-particle":"","parse-names":false,"suffix":""}],"container-title":"Progress in Polymer Science","id":"ITEM-3","issued":{"date-parts":[["2019","1"]]},"page":"130-188","title":"A Critical Assessment of the Kinetics and Mechanism of Initiation of Radical Polymerization with Commercially Available Dialkyldiazene Initiators","type":"article-journal","volume":"88"},"uris":["http://www.mendeley.com/documents/?uuid=7993ffce-4127-440a-8842-1ec9053abdce"]},{"id":"ITEM-4","itemData":{"DOI":"10.1002/pol.1960.1204314101","ISSN":"00223832","author":[{"dropping-particle":"","family":"Lowell","given":"A. I.","non-dropping-particle":"","parse-names":false,"suffix":""},{"dropping-particle":"","family":"Price","given":"J. R.","non-dropping-particle":"","parse-names":false,"suffix":""}],"container-title":"Journal of Polymer Science","id":"ITEM-4","issue":"141","issued":{"date-parts":[["1960","3"]]},"page":"1-12","title":"Organic peroxides. I. Initiation of styrene polymerization","type":"article-journal","volume":"43"},"uris":["http://www.mendeley.com/documents/?uuid=93b8e20b-dce9-400b-b01e-956bff05f004"]},{"id":"ITEM-5","itemData":{"DOI":"10.1007/s289-001-8181-2","ISSN":"01700839","author":[{"dropping-particle":"","family":"Schneider","given":"M.","non-dropping-particle":"","parse-names":false,"suffix":""},{"dropping-particle":"","family":"Graillat","given":"C.","non-dropping-particle":"","parse-names":false,"suffix":""},{"dropping-particle":"","family":"Boutti","given":"S.","non-dropping-particle":"","parse-names":false,"suffix":""},{"dropping-particle":"","family":"McKenna","given":"T. F.","non-dropping-particle":"","parse-names":false,"suffix":""}],"container-title":"Polymer Bulletin","id":"ITEM-5","issue":"3-4","issued":{"date-parts":[["2001"]]},"page":"269-275","title":"Decomposition of APS and H2O2 for emulsion polymerisation","type":"article-journal","volume":"47"},"uris":["http://www.mendeley.com/documents/?uuid=c25d8867-6bac-4e61-89ae-6898cf13be0d"]}],"mendeley":{"formattedCitation":"&lt;sup&gt;305,307–310&lt;/sup&gt;","plainTextFormattedCitation":"305,307–310","previouslyFormattedCitation":"&lt;sup&gt;304,306–309&lt;/sup&gt;"},"properties":{"noteIndex":0},"schema":"https://github.com/citation-style-language/schema/raw/master/csl-citation.json"}</w:instrText>
      </w:r>
      <w:r w:rsidR="00A2070C" w:rsidRPr="006D631C">
        <w:rPr>
          <w:rFonts w:asciiTheme="majorBidi" w:hAnsiTheme="majorBidi" w:cstheme="majorBidi"/>
          <w:sz w:val="22"/>
          <w:szCs w:val="22"/>
        </w:rPr>
        <w:fldChar w:fldCharType="separate"/>
      </w:r>
      <w:r w:rsidR="005C60C1" w:rsidRPr="006D631C">
        <w:rPr>
          <w:rFonts w:asciiTheme="majorBidi" w:hAnsiTheme="majorBidi" w:cstheme="majorBidi"/>
          <w:noProof/>
          <w:sz w:val="22"/>
          <w:szCs w:val="22"/>
          <w:vertAlign w:val="superscript"/>
        </w:rPr>
        <w:t>305,307–310</w:t>
      </w:r>
      <w:r w:rsidR="00A2070C" w:rsidRPr="006D631C">
        <w:rPr>
          <w:rFonts w:asciiTheme="majorBidi" w:hAnsiTheme="majorBidi" w:cstheme="majorBidi"/>
          <w:sz w:val="22"/>
          <w:szCs w:val="22"/>
        </w:rPr>
        <w:fldChar w:fldCharType="end"/>
      </w:r>
    </w:p>
    <w:tbl>
      <w:tblPr>
        <w:tblW w:w="7143" w:type="dxa"/>
        <w:jc w:val="center"/>
        <w:tblLayout w:type="fixed"/>
        <w:tblLook w:val="04A0" w:firstRow="1" w:lastRow="0" w:firstColumn="1" w:lastColumn="0" w:noHBand="0" w:noVBand="1"/>
      </w:tblPr>
      <w:tblGrid>
        <w:gridCol w:w="1838"/>
        <w:gridCol w:w="2552"/>
        <w:gridCol w:w="2753"/>
      </w:tblGrid>
      <w:tr w:rsidR="00A2070C" w:rsidRPr="006D631C" w14:paraId="72B7BF95" w14:textId="77777777" w:rsidTr="00F463F6">
        <w:trPr>
          <w:trHeight w:val="481"/>
          <w:jc w:val="center"/>
        </w:trPr>
        <w:tc>
          <w:tcPr>
            <w:tcW w:w="1838" w:type="dxa"/>
            <w:tcBorders>
              <w:top w:val="single" w:sz="4" w:space="0" w:color="auto"/>
              <w:bottom w:val="single" w:sz="4" w:space="0" w:color="auto"/>
            </w:tcBorders>
            <w:shd w:val="clear" w:color="auto" w:fill="auto"/>
            <w:noWrap/>
            <w:vAlign w:val="center"/>
            <w:hideMark/>
          </w:tcPr>
          <w:p w14:paraId="64F1C4F7" w14:textId="77777777" w:rsidR="00A2070C" w:rsidRPr="006D631C" w:rsidRDefault="00A2070C" w:rsidP="00F463F6">
            <w:pPr>
              <w:spacing w:line="240" w:lineRule="auto"/>
              <w:jc w:val="center"/>
              <w:rPr>
                <w:rFonts w:asciiTheme="majorBidi" w:hAnsiTheme="majorBidi" w:cstheme="majorBidi"/>
                <w:b/>
                <w:bCs/>
                <w:color w:val="000000"/>
                <w:sz w:val="22"/>
                <w:szCs w:val="22"/>
              </w:rPr>
            </w:pPr>
            <w:r w:rsidRPr="006D631C">
              <w:rPr>
                <w:rFonts w:asciiTheme="majorBidi" w:hAnsiTheme="majorBidi" w:cstheme="majorBidi"/>
                <w:b/>
                <w:bCs/>
                <w:color w:val="000000"/>
                <w:sz w:val="22"/>
                <w:szCs w:val="22"/>
              </w:rPr>
              <w:t>Initiator</w:t>
            </w:r>
          </w:p>
        </w:tc>
        <w:tc>
          <w:tcPr>
            <w:tcW w:w="2552" w:type="dxa"/>
            <w:tcBorders>
              <w:top w:val="single" w:sz="4" w:space="0" w:color="auto"/>
              <w:bottom w:val="single" w:sz="4" w:space="0" w:color="auto"/>
            </w:tcBorders>
            <w:shd w:val="clear" w:color="auto" w:fill="auto"/>
            <w:noWrap/>
            <w:vAlign w:val="center"/>
            <w:hideMark/>
          </w:tcPr>
          <w:p w14:paraId="2A1E14F1" w14:textId="77777777" w:rsidR="00A2070C" w:rsidRPr="006D631C" w:rsidRDefault="00A2070C" w:rsidP="00F463F6">
            <w:pPr>
              <w:spacing w:line="240" w:lineRule="auto"/>
              <w:jc w:val="center"/>
              <w:rPr>
                <w:rFonts w:asciiTheme="majorBidi" w:hAnsiTheme="majorBidi" w:cstheme="majorBidi"/>
                <w:b/>
                <w:bCs/>
                <w:color w:val="000000"/>
                <w:sz w:val="22"/>
                <w:szCs w:val="22"/>
              </w:rPr>
            </w:pPr>
            <w:r w:rsidRPr="006D631C">
              <w:rPr>
                <w:rFonts w:asciiTheme="majorBidi" w:hAnsiTheme="majorBidi" w:cstheme="majorBidi"/>
                <w:b/>
                <w:bCs/>
                <w:i/>
                <w:color w:val="000000"/>
                <w:sz w:val="22"/>
                <w:szCs w:val="22"/>
              </w:rPr>
              <w:t>T</w:t>
            </w:r>
            <w:r w:rsidRPr="006D631C">
              <w:rPr>
                <w:rFonts w:asciiTheme="majorBidi" w:hAnsiTheme="majorBidi" w:cstheme="majorBidi"/>
                <w:b/>
                <w:bCs/>
                <w:color w:val="000000"/>
                <w:sz w:val="22"/>
                <w:szCs w:val="22"/>
              </w:rPr>
              <w:t xml:space="preserve"> (°C)</w:t>
            </w:r>
          </w:p>
        </w:tc>
        <w:tc>
          <w:tcPr>
            <w:tcW w:w="2753" w:type="dxa"/>
            <w:tcBorders>
              <w:top w:val="single" w:sz="4" w:space="0" w:color="auto"/>
              <w:bottom w:val="single" w:sz="4" w:space="0" w:color="auto"/>
            </w:tcBorders>
            <w:shd w:val="clear" w:color="auto" w:fill="auto"/>
            <w:noWrap/>
            <w:vAlign w:val="center"/>
            <w:hideMark/>
          </w:tcPr>
          <w:p w14:paraId="5F1639E4" w14:textId="77777777" w:rsidR="00A2070C" w:rsidRPr="006D631C" w:rsidRDefault="00A2070C" w:rsidP="00F463F6">
            <w:pPr>
              <w:spacing w:line="240" w:lineRule="auto"/>
              <w:jc w:val="center"/>
              <w:rPr>
                <w:rFonts w:asciiTheme="majorBidi" w:hAnsiTheme="majorBidi" w:cstheme="majorBidi"/>
                <w:b/>
                <w:bCs/>
                <w:color w:val="000000"/>
                <w:sz w:val="22"/>
                <w:szCs w:val="22"/>
              </w:rPr>
            </w:pPr>
            <w:proofErr w:type="spellStart"/>
            <w:r w:rsidRPr="006D631C">
              <w:rPr>
                <w:rFonts w:asciiTheme="majorBidi" w:hAnsiTheme="majorBidi" w:cstheme="majorBidi"/>
                <w:b/>
                <w:bCs/>
                <w:i/>
                <w:iCs/>
                <w:color w:val="000000"/>
                <w:sz w:val="22"/>
                <w:szCs w:val="22"/>
              </w:rPr>
              <w:t>k</w:t>
            </w:r>
            <w:r w:rsidRPr="006D631C">
              <w:rPr>
                <w:rFonts w:asciiTheme="majorBidi" w:hAnsiTheme="majorBidi" w:cstheme="majorBidi"/>
                <w:b/>
                <w:bCs/>
                <w:i/>
                <w:iCs/>
                <w:color w:val="000000"/>
                <w:sz w:val="22"/>
                <w:szCs w:val="22"/>
                <w:vertAlign w:val="subscript"/>
              </w:rPr>
              <w:t>d</w:t>
            </w:r>
            <w:proofErr w:type="spellEnd"/>
            <w:r w:rsidRPr="006D631C">
              <w:rPr>
                <w:rFonts w:asciiTheme="majorBidi" w:hAnsiTheme="majorBidi" w:cstheme="majorBidi"/>
                <w:b/>
                <w:bCs/>
                <w:color w:val="000000"/>
                <w:sz w:val="22"/>
                <w:szCs w:val="22"/>
              </w:rPr>
              <w:t xml:space="preserve"> (s</w:t>
            </w:r>
            <w:r w:rsidRPr="006D631C">
              <w:rPr>
                <w:rFonts w:asciiTheme="majorBidi" w:hAnsiTheme="majorBidi" w:cstheme="majorBidi"/>
                <w:b/>
                <w:bCs/>
                <w:color w:val="000000"/>
                <w:sz w:val="22"/>
                <w:szCs w:val="22"/>
                <w:vertAlign w:val="superscript"/>
              </w:rPr>
              <w:t>−1</w:t>
            </w:r>
            <w:r w:rsidRPr="006D631C">
              <w:rPr>
                <w:rFonts w:asciiTheme="majorBidi" w:hAnsiTheme="majorBidi" w:cstheme="majorBidi"/>
                <w:b/>
                <w:bCs/>
                <w:color w:val="000000"/>
                <w:sz w:val="22"/>
                <w:szCs w:val="22"/>
              </w:rPr>
              <w:t>)</w:t>
            </w:r>
          </w:p>
        </w:tc>
      </w:tr>
      <w:tr w:rsidR="00A2070C" w:rsidRPr="006D631C" w14:paraId="40CF9058" w14:textId="77777777" w:rsidTr="00F463F6">
        <w:trPr>
          <w:trHeight w:val="288"/>
          <w:jc w:val="center"/>
        </w:trPr>
        <w:tc>
          <w:tcPr>
            <w:tcW w:w="1838" w:type="dxa"/>
            <w:tcBorders>
              <w:top w:val="single" w:sz="4" w:space="0" w:color="auto"/>
            </w:tcBorders>
            <w:shd w:val="clear" w:color="auto" w:fill="auto"/>
            <w:noWrap/>
            <w:vAlign w:val="center"/>
            <w:hideMark/>
          </w:tcPr>
          <w:p w14:paraId="0E3DBC94"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APS</w:t>
            </w:r>
          </w:p>
        </w:tc>
        <w:tc>
          <w:tcPr>
            <w:tcW w:w="2552" w:type="dxa"/>
            <w:tcBorders>
              <w:top w:val="single" w:sz="4" w:space="0" w:color="auto"/>
            </w:tcBorders>
            <w:shd w:val="clear" w:color="auto" w:fill="auto"/>
            <w:noWrap/>
            <w:vAlign w:val="center"/>
          </w:tcPr>
          <w:p w14:paraId="71784092"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55</w:t>
            </w:r>
          </w:p>
        </w:tc>
        <w:tc>
          <w:tcPr>
            <w:tcW w:w="2753" w:type="dxa"/>
            <w:tcBorders>
              <w:top w:val="single" w:sz="4" w:space="0" w:color="auto"/>
            </w:tcBorders>
            <w:shd w:val="clear" w:color="auto" w:fill="auto"/>
            <w:noWrap/>
            <w:vAlign w:val="center"/>
          </w:tcPr>
          <w:p w14:paraId="2D5213D5"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2.54</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6</w:t>
            </w:r>
          </w:p>
        </w:tc>
      </w:tr>
      <w:tr w:rsidR="00A2070C" w:rsidRPr="006D631C" w14:paraId="59745B05" w14:textId="77777777" w:rsidTr="00F463F6">
        <w:trPr>
          <w:trHeight w:val="288"/>
          <w:jc w:val="center"/>
        </w:trPr>
        <w:tc>
          <w:tcPr>
            <w:tcW w:w="1838" w:type="dxa"/>
            <w:tcBorders>
              <w:top w:val="nil"/>
            </w:tcBorders>
            <w:shd w:val="clear" w:color="auto" w:fill="auto"/>
            <w:noWrap/>
            <w:vAlign w:val="center"/>
          </w:tcPr>
          <w:p w14:paraId="75E1621F" w14:textId="77777777" w:rsidR="00A2070C" w:rsidRPr="006D631C" w:rsidRDefault="00A2070C" w:rsidP="00F463F6">
            <w:pPr>
              <w:spacing w:line="240" w:lineRule="auto"/>
              <w:jc w:val="center"/>
              <w:rPr>
                <w:rFonts w:asciiTheme="majorBidi" w:hAnsiTheme="majorBidi" w:cstheme="majorBidi"/>
                <w:color w:val="000000"/>
                <w:sz w:val="22"/>
                <w:szCs w:val="22"/>
              </w:rPr>
            </w:pPr>
          </w:p>
        </w:tc>
        <w:tc>
          <w:tcPr>
            <w:tcW w:w="2552" w:type="dxa"/>
            <w:tcBorders>
              <w:top w:val="nil"/>
            </w:tcBorders>
            <w:shd w:val="clear" w:color="auto" w:fill="auto"/>
            <w:noWrap/>
            <w:vAlign w:val="center"/>
          </w:tcPr>
          <w:p w14:paraId="627E3D84"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65</w:t>
            </w:r>
          </w:p>
        </w:tc>
        <w:tc>
          <w:tcPr>
            <w:tcW w:w="2753" w:type="dxa"/>
            <w:tcBorders>
              <w:top w:val="nil"/>
            </w:tcBorders>
            <w:shd w:val="clear" w:color="auto" w:fill="auto"/>
            <w:noWrap/>
            <w:vAlign w:val="center"/>
          </w:tcPr>
          <w:p w14:paraId="200ACD58"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1.09</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5</w:t>
            </w:r>
          </w:p>
        </w:tc>
      </w:tr>
      <w:tr w:rsidR="00A2070C" w:rsidRPr="006D631C" w14:paraId="72D5A9D4" w14:textId="77777777" w:rsidTr="00F463F6">
        <w:trPr>
          <w:trHeight w:val="288"/>
          <w:jc w:val="center"/>
        </w:trPr>
        <w:tc>
          <w:tcPr>
            <w:tcW w:w="1838" w:type="dxa"/>
            <w:tcBorders>
              <w:top w:val="nil"/>
            </w:tcBorders>
            <w:shd w:val="clear" w:color="auto" w:fill="auto"/>
            <w:noWrap/>
            <w:vAlign w:val="center"/>
          </w:tcPr>
          <w:p w14:paraId="5FD4B58B" w14:textId="77777777" w:rsidR="00A2070C" w:rsidRPr="006D631C" w:rsidRDefault="00A2070C" w:rsidP="00F463F6">
            <w:pPr>
              <w:spacing w:line="240" w:lineRule="auto"/>
              <w:jc w:val="center"/>
              <w:rPr>
                <w:rFonts w:asciiTheme="majorBidi" w:hAnsiTheme="majorBidi" w:cstheme="majorBidi"/>
                <w:color w:val="000000"/>
                <w:sz w:val="22"/>
                <w:szCs w:val="22"/>
              </w:rPr>
            </w:pPr>
          </w:p>
        </w:tc>
        <w:tc>
          <w:tcPr>
            <w:tcW w:w="2552" w:type="dxa"/>
            <w:tcBorders>
              <w:top w:val="nil"/>
            </w:tcBorders>
            <w:shd w:val="clear" w:color="auto" w:fill="auto"/>
            <w:noWrap/>
            <w:vAlign w:val="center"/>
          </w:tcPr>
          <w:p w14:paraId="7E457075"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75</w:t>
            </w:r>
          </w:p>
        </w:tc>
        <w:tc>
          <w:tcPr>
            <w:tcW w:w="2753" w:type="dxa"/>
            <w:tcBorders>
              <w:top w:val="nil"/>
            </w:tcBorders>
            <w:shd w:val="clear" w:color="auto" w:fill="auto"/>
            <w:noWrap/>
            <w:vAlign w:val="center"/>
          </w:tcPr>
          <w:p w14:paraId="48F825F9"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4.36</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5</w:t>
            </w:r>
          </w:p>
        </w:tc>
      </w:tr>
      <w:tr w:rsidR="00A2070C" w:rsidRPr="006D631C" w14:paraId="0796E155" w14:textId="77777777" w:rsidTr="00F463F6">
        <w:trPr>
          <w:trHeight w:val="288"/>
          <w:jc w:val="center"/>
        </w:trPr>
        <w:tc>
          <w:tcPr>
            <w:tcW w:w="1838" w:type="dxa"/>
            <w:tcBorders>
              <w:top w:val="nil"/>
            </w:tcBorders>
            <w:shd w:val="clear" w:color="auto" w:fill="auto"/>
            <w:noWrap/>
            <w:vAlign w:val="center"/>
            <w:hideMark/>
          </w:tcPr>
          <w:p w14:paraId="09E12B32"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AIBN</w:t>
            </w:r>
          </w:p>
        </w:tc>
        <w:tc>
          <w:tcPr>
            <w:tcW w:w="2552" w:type="dxa"/>
            <w:tcBorders>
              <w:top w:val="nil"/>
            </w:tcBorders>
            <w:shd w:val="clear" w:color="auto" w:fill="auto"/>
            <w:noWrap/>
            <w:vAlign w:val="center"/>
          </w:tcPr>
          <w:p w14:paraId="1E42D656"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55</w:t>
            </w:r>
          </w:p>
        </w:tc>
        <w:tc>
          <w:tcPr>
            <w:tcW w:w="2753" w:type="dxa"/>
            <w:tcBorders>
              <w:top w:val="nil"/>
            </w:tcBorders>
            <w:shd w:val="clear" w:color="auto" w:fill="auto"/>
            <w:noWrap/>
            <w:vAlign w:val="center"/>
          </w:tcPr>
          <w:p w14:paraId="05256B6D"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6.18</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6</w:t>
            </w:r>
          </w:p>
        </w:tc>
      </w:tr>
      <w:tr w:rsidR="00A2070C" w:rsidRPr="006D631C" w14:paraId="093BB427" w14:textId="77777777" w:rsidTr="00F463F6">
        <w:trPr>
          <w:trHeight w:val="288"/>
          <w:jc w:val="center"/>
        </w:trPr>
        <w:tc>
          <w:tcPr>
            <w:tcW w:w="1838" w:type="dxa"/>
            <w:tcBorders>
              <w:top w:val="nil"/>
            </w:tcBorders>
            <w:shd w:val="clear" w:color="auto" w:fill="auto"/>
            <w:noWrap/>
            <w:vAlign w:val="center"/>
          </w:tcPr>
          <w:p w14:paraId="424F3E37" w14:textId="77777777" w:rsidR="00A2070C" w:rsidRPr="006D631C" w:rsidRDefault="00A2070C" w:rsidP="00F463F6">
            <w:pPr>
              <w:spacing w:line="240" w:lineRule="auto"/>
              <w:jc w:val="center"/>
              <w:rPr>
                <w:rFonts w:asciiTheme="majorBidi" w:hAnsiTheme="majorBidi" w:cstheme="majorBidi"/>
                <w:color w:val="000000"/>
                <w:sz w:val="22"/>
                <w:szCs w:val="22"/>
              </w:rPr>
            </w:pPr>
          </w:p>
        </w:tc>
        <w:tc>
          <w:tcPr>
            <w:tcW w:w="2552" w:type="dxa"/>
            <w:tcBorders>
              <w:top w:val="nil"/>
            </w:tcBorders>
            <w:shd w:val="clear" w:color="auto" w:fill="auto"/>
            <w:noWrap/>
            <w:vAlign w:val="center"/>
          </w:tcPr>
          <w:p w14:paraId="751290A1"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65</w:t>
            </w:r>
          </w:p>
        </w:tc>
        <w:tc>
          <w:tcPr>
            <w:tcW w:w="2753" w:type="dxa"/>
            <w:tcBorders>
              <w:top w:val="nil"/>
            </w:tcBorders>
            <w:shd w:val="clear" w:color="auto" w:fill="auto"/>
            <w:noWrap/>
            <w:vAlign w:val="center"/>
          </w:tcPr>
          <w:p w14:paraId="644369B8"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2.53</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5</w:t>
            </w:r>
          </w:p>
        </w:tc>
      </w:tr>
      <w:tr w:rsidR="00A2070C" w:rsidRPr="006D631C" w14:paraId="7FF6A54E" w14:textId="77777777" w:rsidTr="00F463F6">
        <w:trPr>
          <w:trHeight w:val="288"/>
          <w:jc w:val="center"/>
        </w:trPr>
        <w:tc>
          <w:tcPr>
            <w:tcW w:w="1838" w:type="dxa"/>
            <w:tcBorders>
              <w:top w:val="nil"/>
            </w:tcBorders>
            <w:shd w:val="clear" w:color="auto" w:fill="auto"/>
            <w:noWrap/>
            <w:vAlign w:val="center"/>
          </w:tcPr>
          <w:p w14:paraId="527AFCC1" w14:textId="77777777" w:rsidR="00A2070C" w:rsidRPr="006D631C" w:rsidRDefault="00A2070C" w:rsidP="00F463F6">
            <w:pPr>
              <w:spacing w:line="240" w:lineRule="auto"/>
              <w:jc w:val="center"/>
              <w:rPr>
                <w:rFonts w:asciiTheme="majorBidi" w:hAnsiTheme="majorBidi" w:cstheme="majorBidi"/>
                <w:color w:val="000000"/>
                <w:sz w:val="22"/>
                <w:szCs w:val="22"/>
              </w:rPr>
            </w:pPr>
          </w:p>
        </w:tc>
        <w:tc>
          <w:tcPr>
            <w:tcW w:w="2552" w:type="dxa"/>
            <w:tcBorders>
              <w:top w:val="nil"/>
            </w:tcBorders>
            <w:shd w:val="clear" w:color="auto" w:fill="auto"/>
            <w:noWrap/>
            <w:vAlign w:val="center"/>
          </w:tcPr>
          <w:p w14:paraId="533F67FB"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75</w:t>
            </w:r>
          </w:p>
        </w:tc>
        <w:tc>
          <w:tcPr>
            <w:tcW w:w="2753" w:type="dxa"/>
            <w:tcBorders>
              <w:top w:val="nil"/>
            </w:tcBorders>
            <w:shd w:val="clear" w:color="auto" w:fill="auto"/>
            <w:noWrap/>
            <w:vAlign w:val="center"/>
          </w:tcPr>
          <w:p w14:paraId="4284E94A"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9.57</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5</w:t>
            </w:r>
          </w:p>
        </w:tc>
      </w:tr>
      <w:tr w:rsidR="00A2070C" w:rsidRPr="006D631C" w14:paraId="79BDCA43" w14:textId="77777777" w:rsidTr="00F463F6">
        <w:trPr>
          <w:trHeight w:val="288"/>
          <w:jc w:val="center"/>
        </w:trPr>
        <w:tc>
          <w:tcPr>
            <w:tcW w:w="1838" w:type="dxa"/>
            <w:shd w:val="clear" w:color="auto" w:fill="auto"/>
            <w:noWrap/>
            <w:vAlign w:val="center"/>
            <w:hideMark/>
          </w:tcPr>
          <w:p w14:paraId="343090FB"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BPO</w:t>
            </w:r>
          </w:p>
        </w:tc>
        <w:tc>
          <w:tcPr>
            <w:tcW w:w="2552" w:type="dxa"/>
            <w:shd w:val="clear" w:color="auto" w:fill="auto"/>
            <w:noWrap/>
            <w:vAlign w:val="center"/>
          </w:tcPr>
          <w:p w14:paraId="4636B989"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55</w:t>
            </w:r>
          </w:p>
        </w:tc>
        <w:tc>
          <w:tcPr>
            <w:tcW w:w="2753" w:type="dxa"/>
            <w:shd w:val="clear" w:color="auto" w:fill="auto"/>
            <w:noWrap/>
            <w:vAlign w:val="center"/>
          </w:tcPr>
          <w:p w14:paraId="3C789A21"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2.04</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6</w:t>
            </w:r>
          </w:p>
        </w:tc>
      </w:tr>
      <w:tr w:rsidR="00A2070C" w:rsidRPr="006D631C" w14:paraId="2C68477F" w14:textId="77777777" w:rsidTr="00F463F6">
        <w:trPr>
          <w:trHeight w:val="288"/>
          <w:jc w:val="center"/>
        </w:trPr>
        <w:tc>
          <w:tcPr>
            <w:tcW w:w="1838" w:type="dxa"/>
            <w:shd w:val="clear" w:color="auto" w:fill="auto"/>
            <w:noWrap/>
            <w:vAlign w:val="center"/>
          </w:tcPr>
          <w:p w14:paraId="01056A39" w14:textId="77777777" w:rsidR="00A2070C" w:rsidRPr="006D631C" w:rsidRDefault="00A2070C" w:rsidP="00F463F6">
            <w:pPr>
              <w:spacing w:line="240" w:lineRule="auto"/>
              <w:jc w:val="center"/>
              <w:rPr>
                <w:rFonts w:asciiTheme="majorBidi" w:hAnsiTheme="majorBidi" w:cstheme="majorBidi"/>
                <w:color w:val="000000"/>
                <w:sz w:val="22"/>
                <w:szCs w:val="22"/>
              </w:rPr>
            </w:pPr>
          </w:p>
        </w:tc>
        <w:tc>
          <w:tcPr>
            <w:tcW w:w="2552" w:type="dxa"/>
            <w:shd w:val="clear" w:color="auto" w:fill="auto"/>
            <w:noWrap/>
            <w:vAlign w:val="center"/>
          </w:tcPr>
          <w:p w14:paraId="47C8C62D"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65</w:t>
            </w:r>
          </w:p>
        </w:tc>
        <w:tc>
          <w:tcPr>
            <w:tcW w:w="2753" w:type="dxa"/>
            <w:shd w:val="clear" w:color="auto" w:fill="auto"/>
            <w:noWrap/>
            <w:vAlign w:val="center"/>
          </w:tcPr>
          <w:p w14:paraId="7C679266"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7.85</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6</w:t>
            </w:r>
          </w:p>
        </w:tc>
      </w:tr>
      <w:tr w:rsidR="00A2070C" w:rsidRPr="006D631C" w14:paraId="0A34610F" w14:textId="77777777" w:rsidTr="00F463F6">
        <w:trPr>
          <w:trHeight w:val="288"/>
          <w:jc w:val="center"/>
        </w:trPr>
        <w:tc>
          <w:tcPr>
            <w:tcW w:w="1838" w:type="dxa"/>
            <w:tcBorders>
              <w:bottom w:val="single" w:sz="4" w:space="0" w:color="auto"/>
            </w:tcBorders>
            <w:shd w:val="clear" w:color="auto" w:fill="auto"/>
            <w:noWrap/>
            <w:vAlign w:val="center"/>
          </w:tcPr>
          <w:p w14:paraId="378B911A" w14:textId="77777777" w:rsidR="00A2070C" w:rsidRPr="006D631C" w:rsidRDefault="00A2070C" w:rsidP="00F463F6">
            <w:pPr>
              <w:spacing w:line="240" w:lineRule="auto"/>
              <w:jc w:val="center"/>
              <w:rPr>
                <w:rFonts w:asciiTheme="majorBidi" w:hAnsiTheme="majorBidi" w:cstheme="majorBidi"/>
                <w:color w:val="000000"/>
                <w:sz w:val="22"/>
                <w:szCs w:val="22"/>
              </w:rPr>
            </w:pPr>
          </w:p>
        </w:tc>
        <w:tc>
          <w:tcPr>
            <w:tcW w:w="2552" w:type="dxa"/>
            <w:tcBorders>
              <w:bottom w:val="single" w:sz="4" w:space="0" w:color="auto"/>
            </w:tcBorders>
            <w:shd w:val="clear" w:color="auto" w:fill="auto"/>
            <w:noWrap/>
            <w:vAlign w:val="center"/>
          </w:tcPr>
          <w:p w14:paraId="004A749B"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75</w:t>
            </w:r>
          </w:p>
        </w:tc>
        <w:tc>
          <w:tcPr>
            <w:tcW w:w="2753" w:type="dxa"/>
            <w:tcBorders>
              <w:bottom w:val="single" w:sz="4" w:space="0" w:color="auto"/>
            </w:tcBorders>
            <w:shd w:val="clear" w:color="auto" w:fill="auto"/>
            <w:noWrap/>
            <w:vAlign w:val="center"/>
          </w:tcPr>
          <w:p w14:paraId="43680FD6" w14:textId="77777777" w:rsidR="00A2070C" w:rsidRPr="006D631C" w:rsidRDefault="00A2070C" w:rsidP="00F463F6">
            <w:pPr>
              <w:spacing w:line="240" w:lineRule="auto"/>
              <w:jc w:val="center"/>
              <w:rPr>
                <w:rFonts w:asciiTheme="majorBidi" w:hAnsiTheme="majorBidi" w:cstheme="majorBidi"/>
                <w:color w:val="000000"/>
                <w:sz w:val="22"/>
                <w:szCs w:val="22"/>
              </w:rPr>
            </w:pPr>
            <w:r w:rsidRPr="006D631C">
              <w:rPr>
                <w:rFonts w:asciiTheme="majorBidi" w:hAnsiTheme="majorBidi" w:cstheme="majorBidi"/>
                <w:color w:val="000000"/>
                <w:sz w:val="22"/>
                <w:szCs w:val="22"/>
              </w:rPr>
              <w:t>2.79</w:t>
            </w:r>
            <w:r w:rsidRPr="006D631C">
              <w:rPr>
                <w:rFonts w:asciiTheme="majorBidi" w:hAnsiTheme="majorBidi" w:cstheme="majorBidi"/>
                <w:sz w:val="22"/>
                <w:szCs w:val="22"/>
              </w:rPr>
              <w:t>×</w:t>
            </w:r>
            <w:r w:rsidRPr="006D631C">
              <w:rPr>
                <w:color w:val="000000"/>
                <w:sz w:val="22"/>
                <w:szCs w:val="22"/>
              </w:rPr>
              <w:t>10</w:t>
            </w:r>
            <w:r w:rsidRPr="006D631C">
              <w:rPr>
                <w:rFonts w:asciiTheme="majorBidi" w:hAnsiTheme="majorBidi" w:cstheme="majorBidi"/>
                <w:sz w:val="22"/>
                <w:szCs w:val="22"/>
                <w:vertAlign w:val="superscript"/>
              </w:rPr>
              <w:t>−</w:t>
            </w:r>
            <w:r w:rsidRPr="006D631C">
              <w:rPr>
                <w:color w:val="000000"/>
                <w:sz w:val="22"/>
                <w:szCs w:val="22"/>
                <w:vertAlign w:val="superscript"/>
              </w:rPr>
              <w:t>5</w:t>
            </w:r>
          </w:p>
        </w:tc>
      </w:tr>
    </w:tbl>
    <w:p w14:paraId="167C35EC" w14:textId="77777777" w:rsidR="00A2070C" w:rsidRPr="006D631C" w:rsidRDefault="00A2070C" w:rsidP="00A2070C">
      <w:pPr>
        <w:tabs>
          <w:tab w:val="left" w:pos="90"/>
          <w:tab w:val="left" w:pos="360"/>
          <w:tab w:val="left" w:pos="992"/>
        </w:tabs>
        <w:rPr>
          <w:rFonts w:asciiTheme="majorBidi" w:hAnsiTheme="majorBidi" w:cstheme="majorBidi"/>
        </w:rPr>
      </w:pPr>
    </w:p>
    <w:p w14:paraId="362D5E6D" w14:textId="3EA8CE68" w:rsidR="00A2070C" w:rsidRPr="006D631C" w:rsidRDefault="00A2070C" w:rsidP="00A2070C">
      <w:pPr>
        <w:tabs>
          <w:tab w:val="left" w:pos="90"/>
          <w:tab w:val="left" w:pos="360"/>
          <w:tab w:val="left" w:pos="992"/>
        </w:tabs>
        <w:rPr>
          <w:rFonts w:asciiTheme="majorBidi" w:hAnsiTheme="majorBidi" w:cstheme="majorBidi"/>
        </w:rPr>
      </w:pPr>
      <w:r w:rsidRPr="006D631C">
        <w:rPr>
          <w:rFonts w:asciiTheme="majorBidi" w:hAnsiTheme="majorBidi" w:cstheme="majorBidi"/>
        </w:rPr>
        <w:t xml:space="preserve">    To make similar calculations for the systems in which the combination of two initiators with total concentration of 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is used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APS + 2.5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AIBN or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APS + 2.5 </w:t>
      </w:r>
      <w:proofErr w:type="spellStart"/>
      <w:r w:rsidRPr="006D631C">
        <w:rPr>
          <w:rFonts w:asciiTheme="majorBidi" w:hAnsiTheme="majorBidi" w:cstheme="majorBidi"/>
        </w:rPr>
        <w:t>mol</w:t>
      </w:r>
      <w:proofErr w:type="spellEnd"/>
      <w:r w:rsidRPr="006D631C">
        <w:rPr>
          <w:rFonts w:asciiTheme="majorBidi" w:hAnsiTheme="majorBidi" w:cstheme="majorBidi"/>
        </w:rPr>
        <w:t xml:space="preserve">% BPO), the following equation was used. In these samples, the initial concentration for each initiator was 0.165 M. </w:t>
      </w:r>
    </w:p>
    <w:p w14:paraId="74C1EC2C" w14:textId="6735E7E8" w:rsidR="00BD033F" w:rsidRPr="006D631C" w:rsidRDefault="00BD033F" w:rsidP="00BD033F">
      <w:pPr>
        <w:pStyle w:val="Caption"/>
        <w:spacing w:after="0"/>
        <w:rPr>
          <w:rFonts w:asciiTheme="majorBidi" w:hAnsiTheme="majorBidi" w:cstheme="majorBidi"/>
        </w:rPr>
      </w:pPr>
      <w:r w:rsidRPr="006D631C">
        <w:rPr>
          <w:rFonts w:asciiTheme="majorBidi" w:hAnsiTheme="majorBidi" w:cstheme="majorBidi"/>
          <w:position w:val="-34"/>
          <w:szCs w:val="24"/>
        </w:rPr>
        <w:object w:dxaOrig="2640" w:dyaOrig="760" w14:anchorId="6B3CD9B1">
          <v:shape id="_x0000_i1073" type="#_x0000_t75" style="width:131.4pt;height:38.4pt" o:ole="">
            <v:imagedata r:id="rId165" o:title=""/>
          </v:shape>
          <o:OLEObject Type="Embed" ProgID="Equation.DSMT4" ShapeID="_x0000_i1073" DrawAspect="Content" ObjectID="_1760013341" r:id="rId166"/>
        </w:object>
      </w:r>
      <w:r w:rsidRPr="006D631C">
        <w:rPr>
          <w:rFonts w:asciiTheme="majorBidi" w:hAnsiTheme="majorBidi" w:cstheme="majorBidi"/>
        </w:rPr>
        <w:t xml:space="preserve">                                                                                                    </w:t>
      </w:r>
      <w:r w:rsidRPr="006D631C">
        <w:rPr>
          <w:rFonts w:asciiTheme="majorBidi" w:hAnsiTheme="majorBidi" w:cstheme="majorBidi"/>
        </w:rPr>
        <w:tab/>
        <w:t>(C-3)</w:t>
      </w:r>
    </w:p>
    <w:p w14:paraId="6D0335A8" w14:textId="77777777" w:rsidR="00BD033F" w:rsidRPr="006D631C" w:rsidRDefault="00BD033F" w:rsidP="00861405">
      <w:pPr>
        <w:pStyle w:val="TOC1"/>
      </w:pPr>
    </w:p>
    <w:p w14:paraId="316317B5" w14:textId="77777777" w:rsidR="00A2070C" w:rsidRPr="006D631C" w:rsidRDefault="00A2070C" w:rsidP="00A2070C">
      <w:pPr>
        <w:tabs>
          <w:tab w:val="left" w:pos="90"/>
          <w:tab w:val="left" w:pos="360"/>
          <w:tab w:val="left" w:pos="992"/>
        </w:tabs>
        <w:jc w:val="center"/>
        <w:rPr>
          <w:rFonts w:asciiTheme="majorBidi" w:hAnsiTheme="majorBidi" w:cstheme="majorBidi"/>
        </w:rPr>
      </w:pPr>
      <w:r w:rsidRPr="006D631C">
        <w:rPr>
          <w:rFonts w:asciiTheme="majorBidi" w:hAnsiTheme="majorBidi" w:cstheme="majorBidi"/>
          <w:noProof/>
        </w:rPr>
        <w:lastRenderedPageBreak/>
        <w:drawing>
          <wp:inline distT="0" distB="0" distL="0" distR="0" wp14:anchorId="6CD3F0BD" wp14:editId="1966938B">
            <wp:extent cx="5904000" cy="4854594"/>
            <wp:effectExtent l="0" t="0" r="1905"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r="5647"/>
                    <a:stretch/>
                  </pic:blipFill>
                  <pic:spPr bwMode="auto">
                    <a:xfrm>
                      <a:off x="0" y="0"/>
                      <a:ext cx="5904000" cy="4854594"/>
                    </a:xfrm>
                    <a:prstGeom prst="rect">
                      <a:avLst/>
                    </a:prstGeom>
                    <a:noFill/>
                    <a:ln>
                      <a:noFill/>
                    </a:ln>
                    <a:extLst>
                      <a:ext uri="{53640926-AAD7-44D8-BBD7-CCE9431645EC}">
                        <a14:shadowObscured xmlns:a14="http://schemas.microsoft.com/office/drawing/2010/main"/>
                      </a:ext>
                    </a:extLst>
                  </pic:spPr>
                </pic:pic>
              </a:graphicData>
            </a:graphic>
          </wp:inline>
        </w:drawing>
      </w:r>
    </w:p>
    <w:p w14:paraId="41914801" w14:textId="3F8217BB" w:rsidR="00A2070C" w:rsidRPr="006D631C" w:rsidRDefault="00402B26" w:rsidP="00402B26">
      <w:pPr>
        <w:pStyle w:val="Caption"/>
        <w:jc w:val="center"/>
        <w:rPr>
          <w:sz w:val="22"/>
          <w:szCs w:val="22"/>
        </w:rPr>
      </w:pPr>
      <w:r w:rsidRPr="006D631C">
        <w:rPr>
          <w:sz w:val="22"/>
          <w:szCs w:val="22"/>
        </w:rPr>
        <w:t>Figure C</w:t>
      </w:r>
      <w:r w:rsidRPr="006D631C">
        <w:rPr>
          <w:sz w:val="22"/>
          <w:szCs w:val="22"/>
        </w:rPr>
        <w:fldChar w:fldCharType="begin"/>
      </w:r>
      <w:r w:rsidRPr="006D631C">
        <w:rPr>
          <w:sz w:val="22"/>
          <w:szCs w:val="22"/>
        </w:rPr>
        <w:instrText xml:space="preserve"> SEQ Figure_C \* ARABIC </w:instrText>
      </w:r>
      <w:r w:rsidRPr="006D631C">
        <w:rPr>
          <w:sz w:val="22"/>
          <w:szCs w:val="22"/>
        </w:rPr>
        <w:fldChar w:fldCharType="separate"/>
      </w:r>
      <w:r w:rsidR="005014F7" w:rsidRPr="006D631C">
        <w:rPr>
          <w:sz w:val="22"/>
          <w:szCs w:val="22"/>
        </w:rPr>
        <w:t>3</w:t>
      </w:r>
      <w:r w:rsidRPr="006D631C">
        <w:rPr>
          <w:sz w:val="22"/>
          <w:szCs w:val="22"/>
        </w:rPr>
        <w:fldChar w:fldCharType="end"/>
      </w:r>
      <w:r w:rsidR="00B81032" w:rsidRPr="006D631C">
        <w:rPr>
          <w:sz w:val="22"/>
          <w:szCs w:val="22"/>
        </w:rPr>
        <w:t>.</w:t>
      </w:r>
      <w:r w:rsidR="00A2070C" w:rsidRPr="006D631C">
        <w:rPr>
          <w:sz w:val="22"/>
          <w:szCs w:val="22"/>
        </w:rPr>
        <w:t xml:space="preserve"> Normalized theoretical concentration of the free radicals generated by different initiators over time at three different temperatures.</w:t>
      </w:r>
    </w:p>
    <w:p w14:paraId="140AE9D6" w14:textId="763BA8D3" w:rsidR="008B3961" w:rsidRPr="006D631C" w:rsidRDefault="008B3961" w:rsidP="008B3961"/>
    <w:p w14:paraId="69C89D90" w14:textId="12E07010" w:rsidR="008B3961" w:rsidRPr="006D631C" w:rsidRDefault="008B3961" w:rsidP="00861405">
      <w:pPr>
        <w:pStyle w:val="TOC1"/>
      </w:pPr>
    </w:p>
    <w:p w14:paraId="4737DA26" w14:textId="63B4D260" w:rsidR="008B3961" w:rsidRPr="006D631C" w:rsidRDefault="008B3961" w:rsidP="008B3961"/>
    <w:p w14:paraId="2AF7A9AB" w14:textId="3E7AA735" w:rsidR="008B3961" w:rsidRPr="006D631C" w:rsidRDefault="008B3961" w:rsidP="00861405">
      <w:pPr>
        <w:pStyle w:val="TOC1"/>
      </w:pPr>
    </w:p>
    <w:p w14:paraId="026D7CB1" w14:textId="5531B09E" w:rsidR="008B3961" w:rsidRPr="006D631C" w:rsidRDefault="008B3961" w:rsidP="008B3961"/>
    <w:p w14:paraId="6E516E2B" w14:textId="3BE866A0" w:rsidR="008B3961" w:rsidRPr="006D631C" w:rsidRDefault="008B3961" w:rsidP="00861405">
      <w:pPr>
        <w:pStyle w:val="TOC1"/>
      </w:pPr>
    </w:p>
    <w:p w14:paraId="5DB5D4B3" w14:textId="4F406047" w:rsidR="008B3961" w:rsidRPr="006D631C" w:rsidRDefault="008B3961" w:rsidP="008B3961"/>
    <w:p w14:paraId="73BA668C" w14:textId="77777777" w:rsidR="008B3961" w:rsidRPr="006D631C" w:rsidRDefault="008B3961" w:rsidP="00861405">
      <w:pPr>
        <w:pStyle w:val="TOC1"/>
      </w:pPr>
    </w:p>
    <w:p w14:paraId="4D816755" w14:textId="77777777" w:rsidR="00A2070C" w:rsidRPr="006D631C" w:rsidRDefault="00A2070C" w:rsidP="00A2070C">
      <w:pPr>
        <w:tabs>
          <w:tab w:val="left" w:pos="90"/>
          <w:tab w:val="left" w:pos="360"/>
          <w:tab w:val="left" w:pos="992"/>
        </w:tabs>
        <w:jc w:val="center"/>
        <w:rPr>
          <w:rFonts w:asciiTheme="majorBidi" w:hAnsiTheme="majorBidi" w:cstheme="majorBidi"/>
        </w:rPr>
      </w:pPr>
      <w:r w:rsidRPr="006D631C">
        <w:rPr>
          <w:noProof/>
        </w:rPr>
        <w:lastRenderedPageBreak/>
        <w:drawing>
          <wp:inline distT="0" distB="0" distL="0" distR="0" wp14:anchorId="156D100A" wp14:editId="76C78A45">
            <wp:extent cx="5903595" cy="4903932"/>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8">
                      <a:extLst>
                        <a:ext uri="{28A0092B-C50C-407E-A947-70E740481C1C}">
                          <a14:useLocalDpi xmlns:a14="http://schemas.microsoft.com/office/drawing/2010/main" val="0"/>
                        </a:ext>
                      </a:extLst>
                    </a:blip>
                    <a:srcRect t="7209" r="10179"/>
                    <a:stretch/>
                  </pic:blipFill>
                  <pic:spPr bwMode="auto">
                    <a:xfrm>
                      <a:off x="0" y="0"/>
                      <a:ext cx="5904000" cy="4904268"/>
                    </a:xfrm>
                    <a:prstGeom prst="rect">
                      <a:avLst/>
                    </a:prstGeom>
                    <a:noFill/>
                    <a:ln>
                      <a:noFill/>
                    </a:ln>
                    <a:extLst>
                      <a:ext uri="{53640926-AAD7-44D8-BBD7-CCE9431645EC}">
                        <a14:shadowObscured xmlns:a14="http://schemas.microsoft.com/office/drawing/2010/main"/>
                      </a:ext>
                    </a:extLst>
                  </pic:spPr>
                </pic:pic>
              </a:graphicData>
            </a:graphic>
          </wp:inline>
        </w:drawing>
      </w:r>
    </w:p>
    <w:p w14:paraId="78660157" w14:textId="56F83626" w:rsidR="00A2070C" w:rsidRPr="006D631C" w:rsidRDefault="004B3BD9" w:rsidP="004B3BD9">
      <w:pPr>
        <w:pStyle w:val="Caption"/>
        <w:jc w:val="center"/>
        <w:rPr>
          <w:rFonts w:asciiTheme="majorBidi" w:hAnsiTheme="majorBidi" w:cstheme="majorBidi"/>
          <w:sz w:val="22"/>
          <w:szCs w:val="22"/>
        </w:rPr>
      </w:pPr>
      <w:r w:rsidRPr="006D631C">
        <w:rPr>
          <w:rFonts w:asciiTheme="majorBidi" w:hAnsiTheme="majorBidi" w:cstheme="majorBidi"/>
          <w:sz w:val="22"/>
          <w:szCs w:val="22"/>
        </w:rPr>
        <w:t>Figure C</w:t>
      </w:r>
      <w:r w:rsidRPr="006D631C">
        <w:rPr>
          <w:rFonts w:asciiTheme="majorBidi" w:hAnsiTheme="majorBidi" w:cstheme="majorBidi"/>
          <w:sz w:val="22"/>
          <w:szCs w:val="22"/>
        </w:rPr>
        <w:fldChar w:fldCharType="begin"/>
      </w:r>
      <w:r w:rsidRPr="006D631C">
        <w:rPr>
          <w:rFonts w:asciiTheme="majorBidi" w:hAnsiTheme="majorBidi" w:cstheme="majorBidi"/>
          <w:sz w:val="22"/>
          <w:szCs w:val="22"/>
        </w:rPr>
        <w:instrText xml:space="preserve"> SEQ Figure_C \* ARABIC </w:instrText>
      </w:r>
      <w:r w:rsidRPr="006D631C">
        <w:rPr>
          <w:rFonts w:asciiTheme="majorBidi" w:hAnsiTheme="majorBidi" w:cstheme="majorBidi"/>
          <w:sz w:val="22"/>
          <w:szCs w:val="22"/>
        </w:rPr>
        <w:fldChar w:fldCharType="separate"/>
      </w:r>
      <w:r w:rsidR="005014F7" w:rsidRPr="006D631C">
        <w:rPr>
          <w:rFonts w:asciiTheme="majorBidi" w:hAnsiTheme="majorBidi" w:cstheme="majorBidi"/>
          <w:sz w:val="22"/>
          <w:szCs w:val="22"/>
        </w:rPr>
        <w:t>4</w:t>
      </w:r>
      <w:r w:rsidRPr="006D631C">
        <w:rPr>
          <w:rFonts w:asciiTheme="majorBidi" w:hAnsiTheme="majorBidi" w:cstheme="majorBidi"/>
          <w:sz w:val="22"/>
          <w:szCs w:val="22"/>
        </w:rPr>
        <w:fldChar w:fldCharType="end"/>
      </w:r>
      <w:r w:rsidR="00B267B7" w:rsidRPr="006D631C">
        <w:rPr>
          <w:rFonts w:asciiTheme="majorBidi" w:hAnsiTheme="majorBidi" w:cstheme="majorBidi"/>
          <w:sz w:val="22"/>
          <w:szCs w:val="22"/>
        </w:rPr>
        <w:t xml:space="preserve">. </w:t>
      </w:r>
      <w:r w:rsidR="00A2070C" w:rsidRPr="006D631C">
        <w:rPr>
          <w:rFonts w:asciiTheme="majorBidi" w:hAnsiTheme="majorBidi" w:cstheme="majorBidi"/>
          <w:sz w:val="22"/>
          <w:szCs w:val="22"/>
        </w:rPr>
        <w:t xml:space="preserve">Change in maximum polymerization rate in lamellar and hexagonal structures with a change in the content of different initiators. </w:t>
      </w:r>
      <w:proofErr w:type="spellStart"/>
      <w:r w:rsidR="00A2070C" w:rsidRPr="006D631C">
        <w:rPr>
          <w:rFonts w:asciiTheme="majorBidi" w:hAnsiTheme="majorBidi" w:cstheme="majorBidi"/>
          <w:i/>
          <w:sz w:val="22"/>
          <w:szCs w:val="22"/>
        </w:rPr>
        <w:t>R</w:t>
      </w:r>
      <w:r w:rsidR="00A2070C" w:rsidRPr="006D631C">
        <w:rPr>
          <w:rFonts w:asciiTheme="majorBidi" w:hAnsiTheme="majorBidi" w:cstheme="majorBidi"/>
          <w:i/>
          <w:sz w:val="22"/>
          <w:szCs w:val="22"/>
          <w:vertAlign w:val="subscript"/>
        </w:rPr>
        <w:t>p</w:t>
      </w:r>
      <w:proofErr w:type="spellEnd"/>
      <w:r w:rsidR="00A2070C" w:rsidRPr="006D631C">
        <w:rPr>
          <w:rFonts w:asciiTheme="majorBidi" w:hAnsiTheme="majorBidi" w:cstheme="majorBidi"/>
          <w:sz w:val="22"/>
          <w:szCs w:val="22"/>
          <w:vertAlign w:val="subscript"/>
        </w:rPr>
        <w:t>, 1</w:t>
      </w:r>
      <w:r w:rsidR="00A2070C" w:rsidRPr="006D631C">
        <w:rPr>
          <w:rFonts w:asciiTheme="majorBidi" w:hAnsiTheme="majorBidi" w:cstheme="majorBidi"/>
          <w:sz w:val="22"/>
          <w:szCs w:val="22"/>
        </w:rPr>
        <w:t xml:space="preserve"> and </w:t>
      </w:r>
      <w:proofErr w:type="spellStart"/>
      <w:r w:rsidR="00A2070C" w:rsidRPr="006D631C">
        <w:rPr>
          <w:rFonts w:asciiTheme="majorBidi" w:hAnsiTheme="majorBidi" w:cstheme="majorBidi"/>
          <w:i/>
          <w:sz w:val="22"/>
          <w:szCs w:val="22"/>
        </w:rPr>
        <w:t>R</w:t>
      </w:r>
      <w:r w:rsidR="00A2070C" w:rsidRPr="006D631C">
        <w:rPr>
          <w:rFonts w:asciiTheme="majorBidi" w:hAnsiTheme="majorBidi" w:cstheme="majorBidi"/>
          <w:i/>
          <w:sz w:val="22"/>
          <w:szCs w:val="22"/>
          <w:vertAlign w:val="subscript"/>
        </w:rPr>
        <w:t>p</w:t>
      </w:r>
      <w:proofErr w:type="spellEnd"/>
      <w:r w:rsidR="00A2070C" w:rsidRPr="006D631C">
        <w:rPr>
          <w:rFonts w:asciiTheme="majorBidi" w:hAnsiTheme="majorBidi" w:cstheme="majorBidi"/>
          <w:i/>
          <w:sz w:val="22"/>
          <w:szCs w:val="22"/>
          <w:vertAlign w:val="subscript"/>
        </w:rPr>
        <w:t>, 2</w:t>
      </w:r>
      <w:r w:rsidR="00A2070C" w:rsidRPr="006D631C">
        <w:rPr>
          <w:rFonts w:asciiTheme="majorBidi" w:hAnsiTheme="majorBidi" w:cstheme="majorBidi"/>
          <w:sz w:val="22"/>
          <w:szCs w:val="22"/>
        </w:rPr>
        <w:t xml:space="preserve"> are the maximum polymerization rate when initial initiator content of [</w:t>
      </w:r>
      <w:r w:rsidR="00A2070C" w:rsidRPr="006D631C">
        <w:rPr>
          <w:rFonts w:asciiTheme="majorBidi" w:hAnsiTheme="majorBidi" w:cstheme="majorBidi"/>
          <w:i/>
          <w:sz w:val="22"/>
          <w:szCs w:val="22"/>
        </w:rPr>
        <w:t>I</w:t>
      </w:r>
      <w:proofErr w:type="gramStart"/>
      <w:r w:rsidR="00A2070C" w:rsidRPr="006D631C">
        <w:rPr>
          <w:rFonts w:asciiTheme="majorBidi" w:hAnsiTheme="majorBidi" w:cstheme="majorBidi"/>
          <w:sz w:val="22"/>
          <w:szCs w:val="22"/>
        </w:rPr>
        <w:t>]</w:t>
      </w:r>
      <w:r w:rsidR="00A2070C" w:rsidRPr="006D631C">
        <w:rPr>
          <w:rFonts w:asciiTheme="majorBidi" w:hAnsiTheme="majorBidi" w:cstheme="majorBidi"/>
          <w:sz w:val="22"/>
          <w:szCs w:val="22"/>
          <w:vertAlign w:val="subscript"/>
        </w:rPr>
        <w:t>0</w:t>
      </w:r>
      <w:proofErr w:type="gramEnd"/>
      <w:r w:rsidR="00A2070C" w:rsidRPr="006D631C">
        <w:rPr>
          <w:rFonts w:asciiTheme="majorBidi" w:hAnsiTheme="majorBidi" w:cstheme="majorBidi"/>
          <w:sz w:val="22"/>
          <w:szCs w:val="22"/>
          <w:vertAlign w:val="subscript"/>
        </w:rPr>
        <w:t>, 1</w:t>
      </w:r>
      <w:r w:rsidR="00A2070C" w:rsidRPr="006D631C">
        <w:rPr>
          <w:rFonts w:asciiTheme="majorBidi" w:hAnsiTheme="majorBidi" w:cstheme="majorBidi"/>
          <w:sz w:val="22"/>
          <w:szCs w:val="22"/>
        </w:rPr>
        <w:t xml:space="preserve"> and [</w:t>
      </w:r>
      <w:r w:rsidR="00A2070C" w:rsidRPr="006D631C">
        <w:rPr>
          <w:rFonts w:asciiTheme="majorBidi" w:hAnsiTheme="majorBidi" w:cstheme="majorBidi"/>
          <w:i/>
          <w:sz w:val="22"/>
          <w:szCs w:val="22"/>
        </w:rPr>
        <w:t>I</w:t>
      </w:r>
      <w:r w:rsidR="00A2070C" w:rsidRPr="006D631C">
        <w:rPr>
          <w:rFonts w:asciiTheme="majorBidi" w:hAnsiTheme="majorBidi" w:cstheme="majorBidi"/>
          <w:sz w:val="22"/>
          <w:szCs w:val="22"/>
        </w:rPr>
        <w:t>]</w:t>
      </w:r>
      <w:r w:rsidR="00A2070C" w:rsidRPr="006D631C">
        <w:rPr>
          <w:rFonts w:asciiTheme="majorBidi" w:hAnsiTheme="majorBidi" w:cstheme="majorBidi"/>
          <w:sz w:val="22"/>
          <w:szCs w:val="22"/>
          <w:vertAlign w:val="subscript"/>
        </w:rPr>
        <w:t>0, 2</w:t>
      </w:r>
      <w:r w:rsidR="00A2070C" w:rsidRPr="006D631C">
        <w:rPr>
          <w:rFonts w:asciiTheme="majorBidi" w:hAnsiTheme="majorBidi" w:cstheme="majorBidi"/>
          <w:sz w:val="22"/>
          <w:szCs w:val="22"/>
        </w:rPr>
        <w:t xml:space="preserve"> are used respectively. For different polymerization systems, [</w:t>
      </w:r>
      <w:r w:rsidR="00A2070C" w:rsidRPr="006D631C">
        <w:rPr>
          <w:rFonts w:asciiTheme="majorBidi" w:hAnsiTheme="majorBidi" w:cstheme="majorBidi"/>
          <w:i/>
          <w:sz w:val="22"/>
          <w:szCs w:val="22"/>
        </w:rPr>
        <w:t>I</w:t>
      </w:r>
      <w:proofErr w:type="gramStart"/>
      <w:r w:rsidR="00A2070C" w:rsidRPr="006D631C">
        <w:rPr>
          <w:rFonts w:asciiTheme="majorBidi" w:hAnsiTheme="majorBidi" w:cstheme="majorBidi"/>
          <w:sz w:val="22"/>
          <w:szCs w:val="22"/>
        </w:rPr>
        <w:t>]</w:t>
      </w:r>
      <w:r w:rsidR="00A2070C" w:rsidRPr="006D631C">
        <w:rPr>
          <w:rFonts w:asciiTheme="majorBidi" w:hAnsiTheme="majorBidi" w:cstheme="majorBidi"/>
          <w:sz w:val="22"/>
          <w:szCs w:val="22"/>
          <w:vertAlign w:val="subscript"/>
        </w:rPr>
        <w:t>0</w:t>
      </w:r>
      <w:proofErr w:type="gramEnd"/>
      <w:r w:rsidR="00A2070C" w:rsidRPr="006D631C">
        <w:rPr>
          <w:rFonts w:asciiTheme="majorBidi" w:hAnsiTheme="majorBidi" w:cstheme="majorBidi"/>
          <w:sz w:val="22"/>
          <w:szCs w:val="22"/>
          <w:vertAlign w:val="subscript"/>
        </w:rPr>
        <w:t>, 1</w:t>
      </w:r>
      <w:r w:rsidR="00A2070C" w:rsidRPr="006D631C">
        <w:rPr>
          <w:rFonts w:asciiTheme="majorBidi" w:hAnsiTheme="majorBidi" w:cstheme="majorBidi"/>
          <w:sz w:val="22"/>
          <w:szCs w:val="22"/>
        </w:rPr>
        <w:t xml:space="preserve"> and [</w:t>
      </w:r>
      <w:r w:rsidR="00A2070C" w:rsidRPr="006D631C">
        <w:rPr>
          <w:rFonts w:asciiTheme="majorBidi" w:hAnsiTheme="majorBidi" w:cstheme="majorBidi"/>
          <w:i/>
          <w:sz w:val="22"/>
          <w:szCs w:val="22"/>
        </w:rPr>
        <w:t>I</w:t>
      </w:r>
      <w:r w:rsidR="00A2070C" w:rsidRPr="006D631C">
        <w:rPr>
          <w:rFonts w:asciiTheme="majorBidi" w:hAnsiTheme="majorBidi" w:cstheme="majorBidi"/>
          <w:sz w:val="22"/>
          <w:szCs w:val="22"/>
        </w:rPr>
        <w:t>]</w:t>
      </w:r>
      <w:r w:rsidR="00A2070C" w:rsidRPr="006D631C">
        <w:rPr>
          <w:rFonts w:asciiTheme="majorBidi" w:hAnsiTheme="majorBidi" w:cstheme="majorBidi"/>
          <w:sz w:val="22"/>
          <w:szCs w:val="22"/>
          <w:vertAlign w:val="subscript"/>
        </w:rPr>
        <w:t>0, 2</w:t>
      </w:r>
      <w:r w:rsidR="00A2070C" w:rsidRPr="006D631C">
        <w:rPr>
          <w:rFonts w:asciiTheme="majorBidi" w:hAnsiTheme="majorBidi" w:cstheme="majorBidi"/>
          <w:sz w:val="22"/>
          <w:szCs w:val="22"/>
        </w:rPr>
        <w:t xml:space="preserve"> are initiator content of 2.5 and 5 </w:t>
      </w:r>
      <w:proofErr w:type="spellStart"/>
      <w:r w:rsidR="00A2070C" w:rsidRPr="006D631C">
        <w:rPr>
          <w:rFonts w:asciiTheme="majorBidi" w:hAnsiTheme="majorBidi" w:cstheme="majorBidi"/>
          <w:sz w:val="22"/>
          <w:szCs w:val="22"/>
        </w:rPr>
        <w:t>mol</w:t>
      </w:r>
      <w:proofErr w:type="spellEnd"/>
      <w:r w:rsidR="00A2070C" w:rsidRPr="006D631C">
        <w:rPr>
          <w:rFonts w:asciiTheme="majorBidi" w:hAnsiTheme="majorBidi" w:cstheme="majorBidi"/>
          <w:sz w:val="22"/>
          <w:szCs w:val="22"/>
        </w:rPr>
        <w:t xml:space="preserve">% with respect to the total monomer content, respectively. In this figure, “Reference” represents the relation of reaction rate with the square root of initial initiator concentration, </w:t>
      </w:r>
      <w:proofErr w:type="spellStart"/>
      <w:r w:rsidR="00A2070C" w:rsidRPr="006D631C">
        <w:rPr>
          <w:rFonts w:asciiTheme="majorBidi" w:hAnsiTheme="majorBidi" w:cstheme="majorBidi"/>
          <w:i/>
          <w:sz w:val="22"/>
          <w:szCs w:val="22"/>
        </w:rPr>
        <w:t>R</w:t>
      </w:r>
      <w:r w:rsidR="00A2070C" w:rsidRPr="006D631C">
        <w:rPr>
          <w:rFonts w:asciiTheme="majorBidi" w:hAnsiTheme="majorBidi" w:cstheme="majorBidi"/>
          <w:i/>
          <w:sz w:val="22"/>
          <w:szCs w:val="22"/>
          <w:vertAlign w:val="subscript"/>
        </w:rPr>
        <w:t>p</w:t>
      </w:r>
      <w:proofErr w:type="spellEnd"/>
      <w:r w:rsidR="00A2070C" w:rsidRPr="006D631C">
        <w:rPr>
          <w:rFonts w:asciiTheme="majorBidi" w:hAnsiTheme="majorBidi" w:cstheme="majorBidi"/>
          <w:i/>
          <w:sz w:val="22"/>
          <w:szCs w:val="22"/>
        </w:rPr>
        <w:t xml:space="preserve"> </w:t>
      </w:r>
      <m:oMath>
        <m:r>
          <w:rPr>
            <w:rFonts w:ascii="Cambria Math" w:hAnsi="Cambria Math" w:cstheme="majorBidi"/>
            <w:sz w:val="22"/>
            <w:szCs w:val="22"/>
          </w:rPr>
          <m:t>∝</m:t>
        </m:r>
      </m:oMath>
      <w:r w:rsidR="00A2070C" w:rsidRPr="006D631C">
        <w:rPr>
          <w:rFonts w:asciiTheme="majorBidi" w:hAnsiTheme="majorBidi" w:cstheme="majorBidi"/>
          <w:i/>
          <w:sz w:val="22"/>
          <w:szCs w:val="22"/>
        </w:rPr>
        <w:t xml:space="preserve"> </w:t>
      </w:r>
      <w:r w:rsidR="00A2070C" w:rsidRPr="006D631C">
        <w:rPr>
          <w:rFonts w:asciiTheme="majorBidi" w:hAnsiTheme="majorBidi" w:cstheme="majorBidi"/>
          <w:sz w:val="22"/>
          <w:szCs w:val="22"/>
        </w:rPr>
        <w:t>([</w:t>
      </w:r>
      <w:r w:rsidR="00A2070C" w:rsidRPr="006D631C">
        <w:rPr>
          <w:rFonts w:asciiTheme="majorBidi" w:hAnsiTheme="majorBidi" w:cstheme="majorBidi"/>
          <w:i/>
          <w:sz w:val="22"/>
          <w:szCs w:val="22"/>
        </w:rPr>
        <w:t>I</w:t>
      </w:r>
      <w:proofErr w:type="gramStart"/>
      <w:r w:rsidR="00A2070C" w:rsidRPr="006D631C">
        <w:rPr>
          <w:rFonts w:asciiTheme="majorBidi" w:hAnsiTheme="majorBidi" w:cstheme="majorBidi"/>
          <w:sz w:val="22"/>
          <w:szCs w:val="22"/>
        </w:rPr>
        <w:t>]</w:t>
      </w:r>
      <w:r w:rsidR="00A2070C" w:rsidRPr="006D631C">
        <w:rPr>
          <w:rFonts w:asciiTheme="majorBidi" w:hAnsiTheme="majorBidi" w:cstheme="majorBidi"/>
          <w:sz w:val="22"/>
          <w:szCs w:val="22"/>
          <w:vertAlign w:val="subscript"/>
        </w:rPr>
        <w:t>0</w:t>
      </w:r>
      <w:proofErr w:type="gramEnd"/>
      <w:r w:rsidR="00A2070C" w:rsidRPr="006D631C">
        <w:rPr>
          <w:rFonts w:asciiTheme="majorBidi" w:hAnsiTheme="majorBidi" w:cstheme="majorBidi"/>
          <w:sz w:val="22"/>
          <w:szCs w:val="22"/>
        </w:rPr>
        <w:t>)</w:t>
      </w:r>
      <w:r w:rsidR="00A2070C" w:rsidRPr="006D631C">
        <w:rPr>
          <w:rFonts w:asciiTheme="majorBidi" w:hAnsiTheme="majorBidi" w:cstheme="majorBidi"/>
          <w:sz w:val="22"/>
          <w:szCs w:val="22"/>
          <w:vertAlign w:val="superscript"/>
        </w:rPr>
        <w:t>0.5</w:t>
      </w:r>
      <w:r w:rsidR="00A2070C" w:rsidRPr="006D631C">
        <w:rPr>
          <w:rFonts w:asciiTheme="majorBidi" w:hAnsiTheme="majorBidi" w:cstheme="majorBidi"/>
          <w:sz w:val="22"/>
          <w:szCs w:val="22"/>
        </w:rPr>
        <w:t>. The lines connecting the data point are added as a guide for the eye.</w:t>
      </w:r>
    </w:p>
    <w:p w14:paraId="7C4E6229" w14:textId="4B815440" w:rsidR="00A2070C" w:rsidRPr="006D631C" w:rsidRDefault="00A2070C" w:rsidP="00A2070C">
      <w:pPr>
        <w:tabs>
          <w:tab w:val="left" w:pos="90"/>
          <w:tab w:val="left" w:pos="360"/>
          <w:tab w:val="left" w:pos="992"/>
        </w:tabs>
        <w:jc w:val="center"/>
        <w:rPr>
          <w:rFonts w:asciiTheme="majorBidi" w:hAnsiTheme="majorBidi" w:cstheme="majorBidi"/>
        </w:rPr>
      </w:pPr>
    </w:p>
    <w:p w14:paraId="3B8A0BB8" w14:textId="5CC93A81" w:rsidR="00E7253D" w:rsidRPr="006D631C" w:rsidRDefault="00E7253D" w:rsidP="00861405">
      <w:pPr>
        <w:pStyle w:val="TOC1"/>
      </w:pPr>
    </w:p>
    <w:p w14:paraId="2ED63F5B" w14:textId="77777777" w:rsidR="00E7253D" w:rsidRPr="006D631C" w:rsidRDefault="00E7253D" w:rsidP="00E7253D"/>
    <w:p w14:paraId="6618ACF6" w14:textId="67A66C5E" w:rsidR="00A2070C" w:rsidRPr="006D631C" w:rsidRDefault="00A2070C" w:rsidP="00A2070C">
      <w:pPr>
        <w:tabs>
          <w:tab w:val="left" w:pos="90"/>
          <w:tab w:val="left" w:pos="360"/>
          <w:tab w:val="left" w:pos="992"/>
        </w:tabs>
        <w:jc w:val="center"/>
        <w:rPr>
          <w:rFonts w:asciiTheme="majorBidi" w:hAnsiTheme="majorBidi" w:cstheme="majorBidi"/>
        </w:rPr>
      </w:pPr>
    </w:p>
    <w:p w14:paraId="7698399F" w14:textId="77777777" w:rsidR="00F15B8E" w:rsidRPr="006D631C" w:rsidRDefault="00F15B8E" w:rsidP="00861405">
      <w:pPr>
        <w:pStyle w:val="TOC1"/>
      </w:pPr>
    </w:p>
    <w:p w14:paraId="62479F4A" w14:textId="77777777" w:rsidR="00A2070C" w:rsidRPr="006D631C" w:rsidRDefault="00A2070C" w:rsidP="00A2070C">
      <w:pPr>
        <w:tabs>
          <w:tab w:val="left" w:pos="90"/>
          <w:tab w:val="left" w:pos="360"/>
          <w:tab w:val="left" w:pos="992"/>
        </w:tabs>
        <w:jc w:val="center"/>
        <w:rPr>
          <w:rFonts w:asciiTheme="majorBidi" w:hAnsiTheme="majorBidi" w:cstheme="majorBidi"/>
        </w:rPr>
      </w:pPr>
      <w:r w:rsidRPr="006D631C">
        <w:rPr>
          <w:rFonts w:asciiTheme="majorBidi" w:hAnsiTheme="majorBidi" w:cstheme="majorBidi"/>
          <w:noProof/>
        </w:rPr>
        <w:drawing>
          <wp:inline distT="0" distB="0" distL="0" distR="0" wp14:anchorId="5273B863" wp14:editId="6DCA2C0C">
            <wp:extent cx="5903595" cy="451135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9">
                      <a:extLst>
                        <a:ext uri="{28A0092B-C50C-407E-A947-70E740481C1C}">
                          <a14:useLocalDpi xmlns:a14="http://schemas.microsoft.com/office/drawing/2010/main" val="0"/>
                        </a:ext>
                      </a:extLst>
                    </a:blip>
                    <a:srcRect t="8358" r="8420"/>
                    <a:stretch/>
                  </pic:blipFill>
                  <pic:spPr bwMode="auto">
                    <a:xfrm>
                      <a:off x="0" y="0"/>
                      <a:ext cx="5904000" cy="4511665"/>
                    </a:xfrm>
                    <a:prstGeom prst="rect">
                      <a:avLst/>
                    </a:prstGeom>
                    <a:noFill/>
                    <a:ln>
                      <a:noFill/>
                    </a:ln>
                    <a:extLst>
                      <a:ext uri="{53640926-AAD7-44D8-BBD7-CCE9431645EC}">
                        <a14:shadowObscured xmlns:a14="http://schemas.microsoft.com/office/drawing/2010/main"/>
                      </a:ext>
                    </a:extLst>
                  </pic:spPr>
                </pic:pic>
              </a:graphicData>
            </a:graphic>
          </wp:inline>
        </w:drawing>
      </w:r>
    </w:p>
    <w:p w14:paraId="70B6BA17" w14:textId="51EC7BEF" w:rsidR="00A2070C" w:rsidRPr="006D631C" w:rsidRDefault="0066190A" w:rsidP="0066190A">
      <w:pPr>
        <w:pStyle w:val="Caption"/>
        <w:jc w:val="center"/>
        <w:rPr>
          <w:rFonts w:asciiTheme="majorBidi" w:hAnsiTheme="majorBidi" w:cstheme="majorBidi"/>
          <w:sz w:val="22"/>
          <w:szCs w:val="22"/>
        </w:rPr>
      </w:pPr>
      <w:r w:rsidRPr="006D631C">
        <w:rPr>
          <w:rFonts w:asciiTheme="majorBidi" w:hAnsiTheme="majorBidi" w:cstheme="majorBidi"/>
          <w:sz w:val="22"/>
          <w:szCs w:val="22"/>
        </w:rPr>
        <w:t>Figure C</w:t>
      </w:r>
      <w:r w:rsidRPr="006D631C">
        <w:rPr>
          <w:rFonts w:asciiTheme="majorBidi" w:hAnsiTheme="majorBidi" w:cstheme="majorBidi"/>
          <w:sz w:val="22"/>
          <w:szCs w:val="22"/>
        </w:rPr>
        <w:fldChar w:fldCharType="begin"/>
      </w:r>
      <w:r w:rsidRPr="006D631C">
        <w:rPr>
          <w:rFonts w:asciiTheme="majorBidi" w:hAnsiTheme="majorBidi" w:cstheme="majorBidi"/>
          <w:sz w:val="22"/>
          <w:szCs w:val="22"/>
        </w:rPr>
        <w:instrText xml:space="preserve"> SEQ Figure_C \* ARABIC </w:instrText>
      </w:r>
      <w:r w:rsidRPr="006D631C">
        <w:rPr>
          <w:rFonts w:asciiTheme="majorBidi" w:hAnsiTheme="majorBidi" w:cstheme="majorBidi"/>
          <w:sz w:val="22"/>
          <w:szCs w:val="22"/>
        </w:rPr>
        <w:fldChar w:fldCharType="separate"/>
      </w:r>
      <w:r w:rsidR="005014F7" w:rsidRPr="006D631C">
        <w:rPr>
          <w:rFonts w:asciiTheme="majorBidi" w:hAnsiTheme="majorBidi" w:cstheme="majorBidi"/>
          <w:sz w:val="22"/>
          <w:szCs w:val="22"/>
        </w:rPr>
        <w:t>5</w:t>
      </w:r>
      <w:r w:rsidRPr="006D631C">
        <w:rPr>
          <w:rFonts w:asciiTheme="majorBidi" w:hAnsiTheme="majorBidi" w:cstheme="majorBidi"/>
          <w:sz w:val="22"/>
          <w:szCs w:val="22"/>
        </w:rPr>
        <w:fldChar w:fldCharType="end"/>
      </w:r>
      <w:r w:rsidR="00D56B1E" w:rsidRPr="006D631C">
        <w:rPr>
          <w:rFonts w:asciiTheme="majorBidi" w:hAnsiTheme="majorBidi" w:cstheme="majorBidi"/>
          <w:sz w:val="22"/>
          <w:szCs w:val="22"/>
        </w:rPr>
        <w:t>.</w:t>
      </w:r>
      <w:r w:rsidR="00A2070C" w:rsidRPr="006D631C">
        <w:rPr>
          <w:rFonts w:asciiTheme="majorBidi" w:hAnsiTheme="majorBidi" w:cstheme="majorBidi"/>
          <w:sz w:val="22"/>
          <w:szCs w:val="22"/>
        </w:rPr>
        <w:t xml:space="preserve"> Overall kinetics rate coefficient vs temperature in lamellar and hexagonal structures using different initiators. Lines are linear fits to data. For APS-initiated system, </w:t>
      </w:r>
      <w:r w:rsidR="00A2070C" w:rsidRPr="006D631C">
        <w:rPr>
          <w:rFonts w:asciiTheme="majorBidi" w:hAnsiTheme="majorBidi" w:cstheme="majorBidi"/>
          <w:i/>
          <w:sz w:val="22"/>
          <w:szCs w:val="22"/>
        </w:rPr>
        <w:t>K</w:t>
      </w:r>
      <w:r w:rsidR="00A2070C" w:rsidRPr="006D631C">
        <w:rPr>
          <w:rFonts w:asciiTheme="majorBidi" w:hAnsiTheme="majorBidi" w:cstheme="majorBidi"/>
          <w:sz w:val="22"/>
          <w:szCs w:val="22"/>
        </w:rPr>
        <w:t>' are bigger in lamellar structure compared to hexagonal one in all of the temperatures. The opposite trend is observed for the reactions initiated by AIBN and BPO.</w:t>
      </w:r>
    </w:p>
    <w:p w14:paraId="2D0DE6E3" w14:textId="77777777" w:rsidR="00A2070C" w:rsidRPr="006D631C" w:rsidRDefault="00A2070C" w:rsidP="00A2070C">
      <w:pPr>
        <w:tabs>
          <w:tab w:val="left" w:pos="90"/>
          <w:tab w:val="left" w:pos="360"/>
          <w:tab w:val="left" w:pos="992"/>
        </w:tabs>
        <w:jc w:val="center"/>
        <w:rPr>
          <w:rFonts w:asciiTheme="majorBidi" w:hAnsiTheme="majorBidi" w:cstheme="majorBidi"/>
        </w:rPr>
      </w:pPr>
    </w:p>
    <w:p w14:paraId="095F66EA" w14:textId="22C36A89" w:rsidR="00A2070C" w:rsidRPr="006D631C" w:rsidRDefault="00A2070C" w:rsidP="00A2070C">
      <w:pPr>
        <w:tabs>
          <w:tab w:val="left" w:pos="90"/>
          <w:tab w:val="left" w:pos="360"/>
          <w:tab w:val="left" w:pos="992"/>
        </w:tabs>
        <w:jc w:val="center"/>
        <w:rPr>
          <w:rFonts w:asciiTheme="majorBidi" w:hAnsiTheme="majorBidi" w:cstheme="majorBidi"/>
        </w:rPr>
      </w:pPr>
    </w:p>
    <w:p w14:paraId="3DDAD632" w14:textId="10AE742D" w:rsidR="007A0BD0" w:rsidRPr="006D631C" w:rsidRDefault="007A0BD0" w:rsidP="00861405">
      <w:pPr>
        <w:pStyle w:val="TOC1"/>
      </w:pPr>
    </w:p>
    <w:p w14:paraId="0FABA6E9" w14:textId="44BA3404" w:rsidR="007A0BD0" w:rsidRPr="006D631C" w:rsidRDefault="007A0BD0" w:rsidP="007A0BD0"/>
    <w:p w14:paraId="366A5412" w14:textId="37493C23" w:rsidR="007A0BD0" w:rsidRPr="006D631C" w:rsidRDefault="007A0BD0" w:rsidP="00861405">
      <w:pPr>
        <w:pStyle w:val="TOC1"/>
      </w:pPr>
    </w:p>
    <w:p w14:paraId="0F94D127" w14:textId="0529543F" w:rsidR="007A0BD0" w:rsidRPr="006D631C" w:rsidRDefault="007A0BD0" w:rsidP="007A0BD0"/>
    <w:p w14:paraId="24A9F246" w14:textId="21481FF1" w:rsidR="00B34AE4" w:rsidRPr="006D631C" w:rsidRDefault="00B34AE4" w:rsidP="001B2C4E">
      <w:pPr>
        <w:pStyle w:val="Heading2"/>
        <w:jc w:val="center"/>
      </w:pPr>
      <w:bookmarkStart w:id="246" w:name="_Toc148175902"/>
      <w:r w:rsidRPr="006D631C">
        <w:lastRenderedPageBreak/>
        <w:t xml:space="preserve">APPENDIX </w:t>
      </w:r>
      <w:r w:rsidR="00F32C5C" w:rsidRPr="006D631C">
        <w:t>D</w:t>
      </w:r>
      <w:bookmarkEnd w:id="246"/>
    </w:p>
    <w:p w14:paraId="26C02300" w14:textId="4C631CD7" w:rsidR="00F32C5C" w:rsidRPr="006D631C" w:rsidRDefault="00F32C5C" w:rsidP="001B2C4E">
      <w:pPr>
        <w:pStyle w:val="Heading2"/>
        <w:jc w:val="center"/>
      </w:pPr>
      <w:bookmarkStart w:id="247" w:name="_Toc148175903"/>
      <w:r w:rsidRPr="006D631C">
        <w:t>SUPPORTING INFORMATION FOR CHAPTER 3</w:t>
      </w:r>
      <w:bookmarkEnd w:id="247"/>
    </w:p>
    <w:p w14:paraId="5CC30BC9" w14:textId="0F3CD37C" w:rsidR="00BF0891" w:rsidRPr="006D631C" w:rsidRDefault="00BF0891" w:rsidP="00861405">
      <w:pPr>
        <w:pStyle w:val="TOC1"/>
      </w:pPr>
    </w:p>
    <w:p w14:paraId="2B89FB4A" w14:textId="77777777" w:rsidR="00BF0891" w:rsidRPr="006D631C" w:rsidRDefault="00BF0891" w:rsidP="00BF0891">
      <w:pPr>
        <w:rPr>
          <w:rFonts w:eastAsiaTheme="majorEastAsia"/>
        </w:rPr>
      </w:pPr>
    </w:p>
    <w:p w14:paraId="0FC856F3" w14:textId="77777777" w:rsidR="00790EDD" w:rsidRPr="006D631C" w:rsidRDefault="00790EDD" w:rsidP="00790EDD">
      <w:pPr>
        <w:tabs>
          <w:tab w:val="left" w:pos="90"/>
          <w:tab w:val="left" w:pos="360"/>
          <w:tab w:val="left" w:pos="992"/>
        </w:tabs>
        <w:jc w:val="center"/>
        <w:rPr>
          <w:rFonts w:asciiTheme="majorBidi" w:hAnsiTheme="majorBidi" w:cstheme="majorBidi"/>
        </w:rPr>
      </w:pPr>
      <w:r w:rsidRPr="006D631C">
        <w:rPr>
          <w:rFonts w:asciiTheme="majorBidi" w:hAnsiTheme="majorBidi" w:cstheme="majorBidi"/>
          <w:noProof/>
        </w:rPr>
        <w:drawing>
          <wp:inline distT="0" distB="0" distL="0" distR="0" wp14:anchorId="327DC362" wp14:editId="1D9342B3">
            <wp:extent cx="5904000" cy="3675731"/>
            <wp:effectExtent l="0" t="0" r="1905"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04000" cy="3675731"/>
                    </a:xfrm>
                    <a:prstGeom prst="rect">
                      <a:avLst/>
                    </a:prstGeom>
                    <a:noFill/>
                  </pic:spPr>
                </pic:pic>
              </a:graphicData>
            </a:graphic>
          </wp:inline>
        </w:drawing>
      </w:r>
    </w:p>
    <w:p w14:paraId="3B1058AF" w14:textId="4D16E89D" w:rsidR="00790EDD" w:rsidRPr="006D631C" w:rsidRDefault="00790EDD" w:rsidP="00BF0891">
      <w:pPr>
        <w:tabs>
          <w:tab w:val="left" w:pos="142"/>
          <w:tab w:val="left" w:pos="360"/>
          <w:tab w:val="left" w:pos="992"/>
        </w:tabs>
        <w:spacing w:line="360" w:lineRule="auto"/>
        <w:jc w:val="center"/>
        <w:rPr>
          <w:rFonts w:asciiTheme="majorBidi" w:hAnsiTheme="majorBidi" w:cstheme="majorBidi"/>
          <w:bCs/>
          <w:sz w:val="22"/>
          <w:szCs w:val="22"/>
        </w:rPr>
      </w:pPr>
      <w:r w:rsidRPr="006D631C">
        <w:rPr>
          <w:rFonts w:asciiTheme="majorBidi" w:hAnsiTheme="majorBidi" w:cstheme="majorBidi"/>
          <w:bCs/>
          <w:sz w:val="22"/>
          <w:szCs w:val="22"/>
        </w:rPr>
        <w:t>Figure D1. Schematic representation of polyLLC membrane preparation.</w:t>
      </w:r>
    </w:p>
    <w:p w14:paraId="7D270677" w14:textId="77777777" w:rsidR="00790EDD" w:rsidRPr="006D631C" w:rsidRDefault="00790EDD" w:rsidP="00790EDD">
      <w:pPr>
        <w:tabs>
          <w:tab w:val="left" w:pos="142"/>
          <w:tab w:val="left" w:pos="360"/>
          <w:tab w:val="left" w:pos="992"/>
        </w:tabs>
        <w:jc w:val="center"/>
        <w:rPr>
          <w:rFonts w:asciiTheme="majorBidi" w:hAnsiTheme="majorBidi" w:cstheme="majorBidi"/>
        </w:rPr>
      </w:pPr>
    </w:p>
    <w:p w14:paraId="5D2FFBB7" w14:textId="77777777" w:rsidR="00790EDD" w:rsidRPr="006D631C" w:rsidRDefault="00790EDD" w:rsidP="00790EDD">
      <w:pPr>
        <w:tabs>
          <w:tab w:val="left" w:pos="142"/>
          <w:tab w:val="left" w:pos="360"/>
          <w:tab w:val="left" w:pos="992"/>
        </w:tabs>
        <w:jc w:val="center"/>
        <w:rPr>
          <w:rFonts w:asciiTheme="majorBidi" w:hAnsiTheme="majorBidi" w:cstheme="majorBidi"/>
        </w:rPr>
      </w:pPr>
    </w:p>
    <w:p w14:paraId="14D87852" w14:textId="77777777" w:rsidR="00790EDD" w:rsidRPr="006D631C" w:rsidRDefault="00790EDD" w:rsidP="00790EDD">
      <w:pPr>
        <w:tabs>
          <w:tab w:val="left" w:pos="142"/>
          <w:tab w:val="left" w:pos="360"/>
          <w:tab w:val="left" w:pos="992"/>
        </w:tabs>
        <w:jc w:val="center"/>
        <w:rPr>
          <w:rFonts w:asciiTheme="majorBidi" w:hAnsiTheme="majorBidi" w:cstheme="majorBidi"/>
        </w:rPr>
      </w:pPr>
    </w:p>
    <w:p w14:paraId="4F8C974A" w14:textId="77777777" w:rsidR="00790EDD" w:rsidRPr="006D631C" w:rsidRDefault="00790EDD" w:rsidP="00790EDD">
      <w:pPr>
        <w:tabs>
          <w:tab w:val="left" w:pos="142"/>
          <w:tab w:val="left" w:pos="360"/>
          <w:tab w:val="left" w:pos="992"/>
        </w:tabs>
        <w:jc w:val="center"/>
        <w:rPr>
          <w:rFonts w:asciiTheme="majorBidi" w:hAnsiTheme="majorBidi" w:cstheme="majorBidi"/>
        </w:rPr>
      </w:pPr>
    </w:p>
    <w:p w14:paraId="5F94BFE2" w14:textId="77777777" w:rsidR="00790EDD" w:rsidRPr="006D631C" w:rsidRDefault="00790EDD" w:rsidP="00790EDD">
      <w:pPr>
        <w:tabs>
          <w:tab w:val="left" w:pos="142"/>
          <w:tab w:val="left" w:pos="360"/>
          <w:tab w:val="left" w:pos="992"/>
        </w:tabs>
        <w:jc w:val="center"/>
        <w:rPr>
          <w:rFonts w:asciiTheme="majorBidi" w:hAnsiTheme="majorBidi" w:cstheme="majorBidi"/>
        </w:rPr>
      </w:pPr>
    </w:p>
    <w:p w14:paraId="68921E4F" w14:textId="77777777" w:rsidR="00790EDD" w:rsidRPr="006D631C" w:rsidRDefault="00790EDD" w:rsidP="00790EDD">
      <w:pPr>
        <w:tabs>
          <w:tab w:val="left" w:pos="142"/>
          <w:tab w:val="left" w:pos="360"/>
          <w:tab w:val="left" w:pos="992"/>
        </w:tabs>
        <w:jc w:val="center"/>
        <w:rPr>
          <w:rFonts w:asciiTheme="majorBidi" w:hAnsiTheme="majorBidi" w:cstheme="majorBidi"/>
        </w:rPr>
      </w:pPr>
    </w:p>
    <w:p w14:paraId="48A1BB67" w14:textId="77777777" w:rsidR="00790EDD" w:rsidRPr="006D631C" w:rsidRDefault="00790EDD" w:rsidP="00790EDD">
      <w:pPr>
        <w:tabs>
          <w:tab w:val="left" w:pos="142"/>
          <w:tab w:val="left" w:pos="360"/>
          <w:tab w:val="left" w:pos="992"/>
        </w:tabs>
        <w:jc w:val="center"/>
        <w:rPr>
          <w:rFonts w:asciiTheme="majorBidi" w:hAnsiTheme="majorBidi" w:cstheme="majorBidi"/>
        </w:rPr>
      </w:pPr>
    </w:p>
    <w:p w14:paraId="7F9F3E2C" w14:textId="77777777" w:rsidR="00790EDD" w:rsidRPr="006D631C" w:rsidRDefault="00790EDD" w:rsidP="00790EDD">
      <w:pPr>
        <w:tabs>
          <w:tab w:val="left" w:pos="90"/>
          <w:tab w:val="left" w:pos="360"/>
          <w:tab w:val="left" w:pos="992"/>
        </w:tabs>
        <w:jc w:val="center"/>
        <w:rPr>
          <w:rFonts w:asciiTheme="majorBidi" w:hAnsiTheme="majorBidi" w:cstheme="majorBidi"/>
        </w:rPr>
      </w:pPr>
      <w:r w:rsidRPr="006D631C">
        <w:rPr>
          <w:rFonts w:asciiTheme="majorBidi" w:hAnsiTheme="majorBidi" w:cstheme="majorBidi"/>
          <w:noProof/>
        </w:rPr>
        <w:lastRenderedPageBreak/>
        <w:drawing>
          <wp:inline distT="0" distB="0" distL="0" distR="0" wp14:anchorId="05465F6F" wp14:editId="77C7D580">
            <wp:extent cx="6012000" cy="7237929"/>
            <wp:effectExtent l="0" t="0" r="8255"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t="2631" r="6458"/>
                    <a:stretch/>
                  </pic:blipFill>
                  <pic:spPr bwMode="auto">
                    <a:xfrm>
                      <a:off x="0" y="0"/>
                      <a:ext cx="6012000" cy="7237929"/>
                    </a:xfrm>
                    <a:prstGeom prst="rect">
                      <a:avLst/>
                    </a:prstGeom>
                    <a:noFill/>
                    <a:ln>
                      <a:noFill/>
                    </a:ln>
                    <a:extLst>
                      <a:ext uri="{53640926-AAD7-44D8-BBD7-CCE9431645EC}">
                        <a14:shadowObscured xmlns:a14="http://schemas.microsoft.com/office/drawing/2010/main"/>
                      </a:ext>
                    </a:extLst>
                  </pic:spPr>
                </pic:pic>
              </a:graphicData>
            </a:graphic>
          </wp:inline>
        </w:drawing>
      </w:r>
    </w:p>
    <w:p w14:paraId="1B21236F" w14:textId="770EE1FE" w:rsidR="00790EDD" w:rsidRPr="006D631C" w:rsidRDefault="0022240B" w:rsidP="0022240B">
      <w:pPr>
        <w:tabs>
          <w:tab w:val="left" w:pos="142"/>
          <w:tab w:val="left" w:pos="360"/>
          <w:tab w:val="left" w:pos="992"/>
        </w:tabs>
        <w:spacing w:line="360" w:lineRule="auto"/>
        <w:jc w:val="center"/>
        <w:rPr>
          <w:rFonts w:asciiTheme="majorBidi" w:hAnsiTheme="majorBidi" w:cstheme="majorBidi"/>
          <w:bCs/>
          <w:sz w:val="22"/>
          <w:szCs w:val="22"/>
        </w:rPr>
      </w:pPr>
      <w:r w:rsidRPr="006D631C">
        <w:rPr>
          <w:rFonts w:asciiTheme="majorBidi" w:hAnsiTheme="majorBidi" w:cstheme="majorBidi"/>
          <w:bCs/>
          <w:sz w:val="22"/>
          <w:szCs w:val="22"/>
        </w:rPr>
        <w:t>Figure D2</w:t>
      </w:r>
      <w:r w:rsidR="00790EDD" w:rsidRPr="006D631C">
        <w:rPr>
          <w:rFonts w:asciiTheme="majorBidi" w:hAnsiTheme="majorBidi" w:cstheme="majorBidi"/>
          <w:bCs/>
          <w:sz w:val="22"/>
          <w:szCs w:val="22"/>
        </w:rPr>
        <w:t>. Temperature-dependent chain size distribution for PEO having different molecular weights.</w:t>
      </w:r>
    </w:p>
    <w:p w14:paraId="61592021" w14:textId="77777777" w:rsidR="00790EDD" w:rsidRPr="006D631C" w:rsidRDefault="00790EDD" w:rsidP="00790EDD">
      <w:pPr>
        <w:tabs>
          <w:tab w:val="left" w:pos="142"/>
          <w:tab w:val="left" w:pos="360"/>
          <w:tab w:val="left" w:pos="992"/>
        </w:tabs>
        <w:jc w:val="center"/>
        <w:rPr>
          <w:rFonts w:asciiTheme="majorBidi" w:hAnsiTheme="majorBidi" w:cstheme="majorBidi"/>
        </w:rPr>
      </w:pPr>
    </w:p>
    <w:p w14:paraId="54674A43" w14:textId="77777777" w:rsidR="00790EDD" w:rsidRPr="006D631C" w:rsidRDefault="00790EDD" w:rsidP="00790EDD">
      <w:pPr>
        <w:tabs>
          <w:tab w:val="left" w:pos="142"/>
          <w:tab w:val="left" w:pos="360"/>
          <w:tab w:val="left" w:pos="992"/>
        </w:tabs>
        <w:jc w:val="center"/>
        <w:rPr>
          <w:rFonts w:asciiTheme="majorBidi" w:hAnsiTheme="majorBidi" w:cstheme="majorBidi"/>
        </w:rPr>
      </w:pPr>
      <w:r w:rsidRPr="006D631C">
        <w:rPr>
          <w:rFonts w:asciiTheme="majorBidi" w:hAnsiTheme="majorBidi" w:cstheme="majorBidi"/>
          <w:noProof/>
        </w:rPr>
        <w:lastRenderedPageBreak/>
        <w:drawing>
          <wp:inline distT="0" distB="0" distL="0" distR="0" wp14:anchorId="485687D6" wp14:editId="3AA5EBCB">
            <wp:extent cx="5976000" cy="4861175"/>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976000" cy="4861175"/>
                    </a:xfrm>
                    <a:prstGeom prst="rect">
                      <a:avLst/>
                    </a:prstGeom>
                    <a:noFill/>
                  </pic:spPr>
                </pic:pic>
              </a:graphicData>
            </a:graphic>
          </wp:inline>
        </w:drawing>
      </w:r>
    </w:p>
    <w:p w14:paraId="1556801E" w14:textId="2360BD30" w:rsidR="00790EDD" w:rsidRPr="006D631C" w:rsidRDefault="00505A51" w:rsidP="00505A51">
      <w:pPr>
        <w:tabs>
          <w:tab w:val="left" w:pos="142"/>
          <w:tab w:val="left" w:pos="360"/>
          <w:tab w:val="left" w:pos="992"/>
        </w:tabs>
        <w:spacing w:line="360" w:lineRule="auto"/>
        <w:jc w:val="center"/>
        <w:rPr>
          <w:rFonts w:asciiTheme="majorBidi" w:hAnsiTheme="majorBidi" w:cstheme="majorBidi"/>
          <w:bCs/>
          <w:sz w:val="22"/>
          <w:szCs w:val="22"/>
        </w:rPr>
      </w:pPr>
      <w:r w:rsidRPr="006D631C">
        <w:rPr>
          <w:rFonts w:asciiTheme="majorBidi" w:hAnsiTheme="majorBidi" w:cstheme="majorBidi"/>
          <w:bCs/>
          <w:sz w:val="22"/>
          <w:szCs w:val="22"/>
        </w:rPr>
        <w:t>Figure D3</w:t>
      </w:r>
      <w:r w:rsidR="00790EDD" w:rsidRPr="006D631C">
        <w:rPr>
          <w:rFonts w:asciiTheme="majorBidi" w:hAnsiTheme="majorBidi" w:cstheme="majorBidi"/>
          <w:bCs/>
          <w:sz w:val="22"/>
          <w:szCs w:val="22"/>
        </w:rPr>
        <w:t xml:space="preserve">. CPLM images of polyLLC with lamellar structure at (a) 25, (b) 35 and (c) 50 °C (scale bar: 50 </w:t>
      </w:r>
      <w:proofErr w:type="spellStart"/>
      <w:r w:rsidR="00790EDD" w:rsidRPr="006D631C">
        <w:rPr>
          <w:rFonts w:asciiTheme="majorBidi" w:hAnsiTheme="majorBidi" w:cstheme="majorBidi"/>
          <w:bCs/>
          <w:sz w:val="22"/>
          <w:szCs w:val="22"/>
        </w:rPr>
        <w:t>μm</w:t>
      </w:r>
      <w:proofErr w:type="spellEnd"/>
      <w:r w:rsidR="00790EDD" w:rsidRPr="006D631C">
        <w:rPr>
          <w:rFonts w:asciiTheme="majorBidi" w:hAnsiTheme="majorBidi" w:cstheme="majorBidi"/>
          <w:bCs/>
          <w:sz w:val="22"/>
          <w:szCs w:val="22"/>
        </w:rPr>
        <w:t>). (d) 1D SAXS data for the polyLLC at 25, 35 and 50 °C (the plots are vertically shifted for clarity).</w:t>
      </w:r>
    </w:p>
    <w:p w14:paraId="5AF1B627" w14:textId="1F8298FD" w:rsidR="007A0BD0" w:rsidRPr="006D631C" w:rsidRDefault="007A0BD0" w:rsidP="007A0BD0"/>
    <w:p w14:paraId="2BFBC752" w14:textId="2DD60BFA" w:rsidR="00A2070C" w:rsidRPr="006D631C" w:rsidRDefault="00A2070C" w:rsidP="00A2070C">
      <w:pPr>
        <w:tabs>
          <w:tab w:val="left" w:pos="90"/>
          <w:tab w:val="left" w:pos="360"/>
          <w:tab w:val="left" w:pos="992"/>
        </w:tabs>
        <w:jc w:val="center"/>
        <w:rPr>
          <w:rFonts w:asciiTheme="majorBidi" w:hAnsiTheme="majorBidi" w:cstheme="majorBidi"/>
        </w:rPr>
      </w:pPr>
    </w:p>
    <w:p w14:paraId="07962FAB" w14:textId="1150376A" w:rsidR="001F14F5" w:rsidRPr="006D631C" w:rsidRDefault="001F14F5" w:rsidP="00861405">
      <w:pPr>
        <w:pStyle w:val="TOC1"/>
      </w:pPr>
    </w:p>
    <w:p w14:paraId="4D6A9DCC" w14:textId="2F13EF4E" w:rsidR="001F14F5" w:rsidRPr="006D631C" w:rsidRDefault="001F14F5" w:rsidP="001F14F5"/>
    <w:p w14:paraId="2AD04B45" w14:textId="2ECCCD07" w:rsidR="001F14F5" w:rsidRPr="006D631C" w:rsidRDefault="001F14F5" w:rsidP="00861405">
      <w:pPr>
        <w:pStyle w:val="TOC1"/>
      </w:pPr>
    </w:p>
    <w:p w14:paraId="01E24CBB" w14:textId="63902376" w:rsidR="001F14F5" w:rsidRPr="006D631C" w:rsidRDefault="001F14F5" w:rsidP="001F14F5"/>
    <w:p w14:paraId="2BAD409B" w14:textId="2E59FE73" w:rsidR="001F14F5" w:rsidRPr="006D631C" w:rsidRDefault="001F14F5" w:rsidP="00861405">
      <w:pPr>
        <w:pStyle w:val="TOC1"/>
      </w:pPr>
    </w:p>
    <w:p w14:paraId="4D8352C6" w14:textId="4F84DDB5" w:rsidR="001F14F5" w:rsidRPr="006D631C" w:rsidRDefault="001F14F5" w:rsidP="001F14F5"/>
    <w:p w14:paraId="1E1021C7" w14:textId="43D3D367" w:rsidR="00B34AE4" w:rsidRPr="006D631C" w:rsidRDefault="00B34AE4" w:rsidP="001B2C4E">
      <w:pPr>
        <w:pStyle w:val="Heading2"/>
        <w:jc w:val="center"/>
      </w:pPr>
      <w:bookmarkStart w:id="248" w:name="_Toc148175904"/>
      <w:r w:rsidRPr="006D631C">
        <w:lastRenderedPageBreak/>
        <w:t xml:space="preserve">APPENDIX </w:t>
      </w:r>
      <w:r w:rsidR="00A27F0F" w:rsidRPr="006D631C">
        <w:t>E</w:t>
      </w:r>
      <w:bookmarkEnd w:id="248"/>
    </w:p>
    <w:p w14:paraId="6BEC9739" w14:textId="6362D0BB" w:rsidR="00A27F0F" w:rsidRPr="006D631C" w:rsidRDefault="00A27F0F" w:rsidP="001B2C4E">
      <w:pPr>
        <w:pStyle w:val="Heading2"/>
        <w:jc w:val="center"/>
      </w:pPr>
      <w:bookmarkStart w:id="249" w:name="_Toc148175905"/>
      <w:r w:rsidRPr="006D631C">
        <w:t>SUPPORTING INFORMATION FOR CHAPTER 4</w:t>
      </w:r>
      <w:bookmarkEnd w:id="249"/>
    </w:p>
    <w:p w14:paraId="0205D8D5" w14:textId="77777777" w:rsidR="00B52365" w:rsidRPr="006D631C" w:rsidRDefault="00B52365" w:rsidP="00861405">
      <w:pPr>
        <w:pStyle w:val="TOC1"/>
      </w:pPr>
    </w:p>
    <w:p w14:paraId="373A53AD" w14:textId="518CEFDF" w:rsidR="001F14F5" w:rsidRPr="006D631C" w:rsidRDefault="00B52365" w:rsidP="00B52365">
      <w:pPr>
        <w:tabs>
          <w:tab w:val="left" w:pos="90"/>
          <w:tab w:val="left" w:pos="360"/>
          <w:tab w:val="left" w:pos="992"/>
        </w:tabs>
        <w:rPr>
          <w:rFonts w:asciiTheme="majorBidi" w:hAnsiTheme="majorBidi" w:cstheme="majorBidi"/>
        </w:rPr>
      </w:pPr>
      <w:r w:rsidRPr="006D631C">
        <w:rPr>
          <w:rFonts w:asciiTheme="majorBidi" w:hAnsiTheme="majorBidi" w:cstheme="majorBidi"/>
          <w:b/>
          <w:bCs/>
        </w:rPr>
        <w:t xml:space="preserve">ATR-FTIR and </w:t>
      </w:r>
      <w:r w:rsidRPr="006D631C">
        <w:rPr>
          <w:rFonts w:asciiTheme="majorBidi" w:hAnsiTheme="majorBidi" w:cstheme="majorBidi"/>
          <w:b/>
          <w:bCs/>
          <w:vertAlign w:val="superscript"/>
        </w:rPr>
        <w:t>1</w:t>
      </w:r>
      <w:r w:rsidRPr="006D631C">
        <w:rPr>
          <w:rFonts w:asciiTheme="majorBidi" w:hAnsiTheme="majorBidi" w:cstheme="majorBidi"/>
          <w:b/>
          <w:bCs/>
        </w:rPr>
        <w:t>H NMR results for P84 and P84DA</w:t>
      </w:r>
    </w:p>
    <w:p w14:paraId="0E0C64B7" w14:textId="643CA68D" w:rsidR="00DE376C" w:rsidRPr="006D631C" w:rsidRDefault="00A434F4" w:rsidP="005C60C1">
      <w:pPr>
        <w:ind w:firstLine="360"/>
        <w:rPr>
          <w:rFonts w:asciiTheme="majorBidi" w:hAnsiTheme="majorBidi" w:cstheme="majorBidi"/>
          <w:lang w:bidi="fa-IR"/>
        </w:rPr>
      </w:pPr>
      <w:r w:rsidRPr="006D631C">
        <w:rPr>
          <w:rFonts w:asciiTheme="majorBidi" w:hAnsiTheme="majorBidi" w:cstheme="majorBidi"/>
        </w:rPr>
        <w:t xml:space="preserve">Figure </w:t>
      </w:r>
      <w:proofErr w:type="gramStart"/>
      <w:r w:rsidRPr="006D631C">
        <w:rPr>
          <w:rFonts w:asciiTheme="majorBidi" w:hAnsiTheme="majorBidi" w:cstheme="majorBidi"/>
        </w:rPr>
        <w:t>E1  shows</w:t>
      </w:r>
      <w:proofErr w:type="gramEnd"/>
      <w:r w:rsidRPr="006D631C">
        <w:rPr>
          <w:rFonts w:asciiTheme="majorBidi" w:hAnsiTheme="majorBidi" w:cstheme="majorBidi"/>
        </w:rPr>
        <w:t xml:space="preserve"> the chemical reaction based on which the diacrylation process is performed and (b) shows the ATR-FTIR spectrum of pure P84 and P84DA. The peak at 1725 cm</w:t>
      </w:r>
      <w:r w:rsidRPr="006D631C">
        <w:rPr>
          <w:rFonts w:asciiTheme="majorBidi" w:hAnsiTheme="majorBidi" w:cstheme="majorBidi"/>
          <w:vertAlign w:val="superscript"/>
        </w:rPr>
        <w:t>−1</w:t>
      </w:r>
      <w:r w:rsidRPr="006D631C">
        <w:rPr>
          <w:rFonts w:asciiTheme="majorBidi" w:hAnsiTheme="majorBidi" w:cstheme="majorBidi"/>
        </w:rPr>
        <w:t xml:space="preserve">, which is not detected for pure P84, is a proof of diacrylation and shows the </w:t>
      </w:r>
      <w:proofErr w:type="spellStart"/>
      <w:r w:rsidRPr="006D631C">
        <w:rPr>
          <w:rFonts w:asciiTheme="majorBidi" w:hAnsiTheme="majorBidi" w:cstheme="majorBidi"/>
        </w:rPr>
        <w:t>existance</w:t>
      </w:r>
      <w:proofErr w:type="spellEnd"/>
      <w:r w:rsidRPr="006D631C">
        <w:rPr>
          <w:rFonts w:asciiTheme="majorBidi" w:hAnsiTheme="majorBidi" w:cstheme="majorBidi"/>
        </w:rPr>
        <w:t xml:space="preserve"> of C=O bond</w:t>
      </w:r>
      <w:r w:rsidR="00525210" w:rsidRPr="006D631C">
        <w:rPr>
          <w:rFonts w:asciiTheme="majorBidi" w:hAnsiTheme="majorBidi" w:cstheme="majorBidi"/>
        </w:rPr>
        <w:t>.</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10.1016/j.eurpolymj.2005.04.006","ISSN":"00143057","author":[{"dropping-particle":"","family":"Zhu","given":"Wen","non-dropping-particle":"","parse-names":false,"suffix":""},{"dropping-particle":"","family":"Wang","given":"Biaobing","non-dropping-particle":"","parse-names":false,"suffix":""},{"dropping-particle":"","family":"Zhang","given":"Ying","non-dropping-particle":"","parse-names":false,"suffix":""},{"dropping-particle":"","family":"Ding","given":"Jiandong","non-dropping-particle":"","parse-names":false,"suffix":""}],"container-title":"European Polymer Journal","id":"ITEM-1","issue":"9","issued":{"date-parts":[["2005","9"]]},"page":"2161-2170","title":"Preparation of a thermosensitive and biodegradable microgel via polymerization of macromonomers based on diacrylated Pluronic/oligoester copolymers","type":"article-journal","volume":"41"},"uris":["http://www.mendeley.com/documents/?uuid=99d5753c-6cc8-4f8f-84ba-2fefbb5a6537"]}],"mendeley":{"formattedCitation":"&lt;sup&gt;311&lt;/sup&gt;","plainTextFormattedCitation":"311","previouslyFormattedCitation":"&lt;sup&gt;310&lt;/sup&gt;"},"properties":{"noteIndex":0},"schema":"https://github.com/citation-style-language/schema/raw/master/csl-citation.json"}</w:instrText>
      </w:r>
      <w:r w:rsidRPr="006D631C">
        <w:rPr>
          <w:rFonts w:asciiTheme="majorBidi" w:hAnsiTheme="majorBidi" w:cstheme="majorBidi"/>
        </w:rPr>
        <w:fldChar w:fldCharType="separate"/>
      </w:r>
      <w:r w:rsidR="005C60C1" w:rsidRPr="006D631C">
        <w:rPr>
          <w:rFonts w:asciiTheme="majorBidi" w:hAnsiTheme="majorBidi" w:cstheme="majorBidi"/>
          <w:noProof/>
          <w:vertAlign w:val="superscript"/>
        </w:rPr>
        <w:t>311</w:t>
      </w:r>
      <w:r w:rsidRPr="006D631C">
        <w:rPr>
          <w:rFonts w:asciiTheme="majorBidi" w:hAnsiTheme="majorBidi" w:cstheme="majorBidi"/>
        </w:rPr>
        <w:fldChar w:fldCharType="end"/>
      </w:r>
      <w:r w:rsidRPr="006D631C">
        <w:rPr>
          <w:rFonts w:asciiTheme="majorBidi" w:hAnsiTheme="majorBidi" w:cstheme="majorBidi"/>
        </w:rPr>
        <w:t xml:space="preserve"> We can also see a peak at 1635 cm</w:t>
      </w:r>
      <w:r w:rsidRPr="006D631C">
        <w:rPr>
          <w:rFonts w:asciiTheme="majorBidi" w:hAnsiTheme="majorBidi" w:cstheme="majorBidi"/>
          <w:vertAlign w:val="superscript"/>
        </w:rPr>
        <w:t>−1</w:t>
      </w:r>
      <w:r w:rsidRPr="006D631C">
        <w:rPr>
          <w:rFonts w:asciiTheme="majorBidi" w:hAnsiTheme="majorBidi" w:cstheme="majorBidi"/>
        </w:rPr>
        <w:t xml:space="preserve"> which corresponds to C=C bonds that belong to acrylate groups. Other peaks present in both samples are </w:t>
      </w:r>
      <w:r w:rsidRPr="006D631C">
        <w:rPr>
          <w:rFonts w:asciiTheme="majorBidi" w:hAnsiTheme="majorBidi" w:cstheme="majorBidi"/>
          <w:lang w:bidi="fa-IR"/>
        </w:rPr>
        <w:t>attributed to other bonds like CH</w:t>
      </w:r>
      <w:r w:rsidRPr="006D631C">
        <w:rPr>
          <w:rFonts w:asciiTheme="majorBidi" w:hAnsiTheme="majorBidi" w:cstheme="majorBidi"/>
          <w:vertAlign w:val="subscript"/>
          <w:lang w:bidi="fa-IR"/>
        </w:rPr>
        <w:t>2</w:t>
      </w:r>
      <w:r w:rsidRPr="006D631C">
        <w:rPr>
          <w:rFonts w:asciiTheme="majorBidi" w:hAnsiTheme="majorBidi" w:cstheme="majorBidi"/>
          <w:lang w:bidi="fa-IR"/>
        </w:rPr>
        <w:t xml:space="preserve"> (rocking at around 910 cm</w:t>
      </w:r>
      <w:r w:rsidRPr="006D631C">
        <w:rPr>
          <w:rFonts w:asciiTheme="majorBidi" w:hAnsiTheme="majorBidi" w:cstheme="majorBidi"/>
          <w:vertAlign w:val="superscript"/>
        </w:rPr>
        <w:t>−</w:t>
      </w:r>
      <w:r w:rsidRPr="006D631C">
        <w:rPr>
          <w:rFonts w:asciiTheme="majorBidi" w:hAnsiTheme="majorBidi" w:cstheme="majorBidi"/>
          <w:vertAlign w:val="superscript"/>
          <w:lang w:bidi="fa-IR"/>
        </w:rPr>
        <w:t>1</w:t>
      </w:r>
      <w:r w:rsidRPr="006D631C">
        <w:rPr>
          <w:rFonts w:asciiTheme="majorBidi" w:hAnsiTheme="majorBidi" w:cstheme="majorBidi"/>
          <w:lang w:bidi="fa-IR"/>
        </w:rPr>
        <w:t>, twisting at around 1281 cm</w:t>
      </w:r>
      <w:r w:rsidRPr="006D631C">
        <w:rPr>
          <w:rFonts w:asciiTheme="majorBidi" w:hAnsiTheme="majorBidi" w:cstheme="majorBidi"/>
          <w:vertAlign w:val="superscript"/>
        </w:rPr>
        <w:t>−</w:t>
      </w:r>
      <w:r w:rsidRPr="006D631C">
        <w:rPr>
          <w:rFonts w:asciiTheme="majorBidi" w:hAnsiTheme="majorBidi" w:cstheme="majorBidi"/>
          <w:vertAlign w:val="superscript"/>
          <w:lang w:bidi="fa-IR"/>
        </w:rPr>
        <w:t>1</w:t>
      </w:r>
      <w:r w:rsidRPr="006D631C">
        <w:rPr>
          <w:rFonts w:asciiTheme="majorBidi" w:hAnsiTheme="majorBidi" w:cstheme="majorBidi"/>
          <w:lang w:bidi="fa-IR"/>
        </w:rPr>
        <w:t xml:space="preserve"> and scissor at around 1480 cm</w:t>
      </w:r>
      <w:r w:rsidRPr="006D631C">
        <w:rPr>
          <w:rFonts w:asciiTheme="majorBidi" w:hAnsiTheme="majorBidi" w:cstheme="majorBidi"/>
          <w:vertAlign w:val="superscript"/>
        </w:rPr>
        <w:t>−</w:t>
      </w:r>
      <w:r w:rsidRPr="006D631C">
        <w:rPr>
          <w:rFonts w:asciiTheme="majorBidi" w:hAnsiTheme="majorBidi" w:cstheme="majorBidi"/>
          <w:vertAlign w:val="superscript"/>
          <w:lang w:bidi="fa-IR"/>
        </w:rPr>
        <w:t>1</w:t>
      </w:r>
      <w:r w:rsidRPr="006D631C">
        <w:rPr>
          <w:rFonts w:asciiTheme="majorBidi" w:hAnsiTheme="majorBidi" w:cstheme="majorBidi"/>
          <w:lang w:bidi="fa-IR"/>
        </w:rPr>
        <w:t>), CO (stretch at around 924, 1064 and 1140 cm</w:t>
      </w:r>
      <w:r w:rsidRPr="006D631C">
        <w:rPr>
          <w:rFonts w:asciiTheme="majorBidi" w:hAnsiTheme="majorBidi" w:cstheme="majorBidi"/>
          <w:vertAlign w:val="superscript"/>
        </w:rPr>
        <w:t>−</w:t>
      </w:r>
      <w:r w:rsidRPr="006D631C">
        <w:rPr>
          <w:rFonts w:asciiTheme="majorBidi" w:hAnsiTheme="majorBidi" w:cstheme="majorBidi"/>
          <w:vertAlign w:val="superscript"/>
          <w:lang w:bidi="fa-IR"/>
        </w:rPr>
        <w:t>1</w:t>
      </w:r>
      <w:r w:rsidRPr="006D631C">
        <w:rPr>
          <w:rFonts w:asciiTheme="majorBidi" w:hAnsiTheme="majorBidi" w:cstheme="majorBidi"/>
          <w:lang w:bidi="fa-IR"/>
        </w:rPr>
        <w:t>)</w:t>
      </w:r>
      <w:r w:rsidR="005E0CBC" w:rsidRPr="006D631C">
        <w:rPr>
          <w:rFonts w:asciiTheme="majorBidi" w:hAnsiTheme="majorBidi" w:cstheme="majorBidi"/>
          <w:lang w:bidi="fa-IR"/>
        </w:rPr>
        <w:t>.</w:t>
      </w:r>
      <w:r w:rsidRPr="006D631C">
        <w:rPr>
          <w:rFonts w:asciiTheme="majorBidi" w:hAnsiTheme="majorBidi" w:cstheme="majorBidi"/>
          <w:lang w:bidi="fa-IR"/>
        </w:rPr>
        <w:fldChar w:fldCharType="begin" w:fldLock="1"/>
      </w:r>
      <w:r w:rsidR="005C60C1" w:rsidRPr="006D631C">
        <w:rPr>
          <w:rFonts w:asciiTheme="majorBidi" w:hAnsiTheme="majorBidi" w:cstheme="majorBidi"/>
          <w:lang w:bidi="fa-IR"/>
        </w:rPr>
        <w:instrText>ADDIN CSL_CITATION {"citationItems":[{"id":"ITEM-1","itemData":{"DOI":"10.1006/jcis.1998.5897","ISSN":"00219797","author":[{"dropping-particle":"","family":"Guo","given":"Chen","non-dropping-particle":"","parse-names":false,"suffix":""},{"dropping-particle":"","family":"Liu","given":"Huizhou","non-dropping-particle":"","parse-names":false,"suffix":""},{"dropping-particle":"","family":"Wang","given":"Jing","non-dropping-particle":"","parse-names":false,"suffix":""},{"dropping-particle":"","family":"Chen","given":"Jiayong","non-dropping-particle":"","parse-names":false,"suffix":""}],"container-title":"Journal of Colloid and Interface Science","id":"ITEM-1","issue":"2","issued":{"date-parts":[["1999","1"]]},"page":"368-373","title":"Conformational Structure of Triblock Copolymers by FT-Raman and FTIR Spectroscopy","type":"article-journal","volume":"209"},"uris":["http://www.mendeley.com/documents/?uuid=9de4843c-d64c-41e1-98b4-9131eb640839"]}],"mendeley":{"formattedCitation":"&lt;sup&gt;312&lt;/sup&gt;","plainTextFormattedCitation":"312","previouslyFormattedCitation":"&lt;sup&gt;311&lt;/sup&gt;"},"properties":{"noteIndex":0},"schema":"https://github.com/citation-style-language/schema/raw/master/csl-citation.json"}</w:instrText>
      </w:r>
      <w:r w:rsidRPr="006D631C">
        <w:rPr>
          <w:rFonts w:asciiTheme="majorBidi" w:hAnsiTheme="majorBidi" w:cstheme="majorBidi"/>
          <w:lang w:bidi="fa-IR"/>
        </w:rPr>
        <w:fldChar w:fldCharType="separate"/>
      </w:r>
      <w:r w:rsidR="005C60C1" w:rsidRPr="006D631C">
        <w:rPr>
          <w:rFonts w:asciiTheme="majorBidi" w:hAnsiTheme="majorBidi" w:cstheme="majorBidi"/>
          <w:noProof/>
          <w:vertAlign w:val="superscript"/>
          <w:lang w:bidi="fa-IR"/>
        </w:rPr>
        <w:t>312</w:t>
      </w:r>
      <w:r w:rsidRPr="006D631C">
        <w:rPr>
          <w:rFonts w:asciiTheme="majorBidi" w:hAnsiTheme="majorBidi" w:cstheme="majorBidi"/>
          <w:lang w:bidi="fa-IR"/>
        </w:rPr>
        <w:fldChar w:fldCharType="end"/>
      </w:r>
    </w:p>
    <w:p w14:paraId="28A92215" w14:textId="77777777" w:rsidR="00BD618F" w:rsidRPr="006D631C" w:rsidRDefault="00BD618F" w:rsidP="00AA6C6D">
      <w:pPr>
        <w:tabs>
          <w:tab w:val="left" w:pos="90"/>
          <w:tab w:val="left" w:pos="360"/>
          <w:tab w:val="left" w:pos="992"/>
        </w:tabs>
        <w:spacing w:line="276" w:lineRule="auto"/>
        <w:jc w:val="center"/>
        <w:rPr>
          <w:rFonts w:asciiTheme="majorBidi" w:hAnsiTheme="majorBidi" w:cstheme="majorBidi"/>
        </w:rPr>
      </w:pPr>
      <w:r w:rsidRPr="006D631C">
        <w:rPr>
          <w:rFonts w:asciiTheme="majorBidi" w:hAnsiTheme="majorBidi" w:cstheme="majorBidi"/>
          <w:noProof/>
        </w:rPr>
        <w:drawing>
          <wp:inline distT="0" distB="0" distL="0" distR="0" wp14:anchorId="00EF7DBF" wp14:editId="73783D41">
            <wp:extent cx="4680000" cy="3796601"/>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680000" cy="3796601"/>
                    </a:xfrm>
                    <a:prstGeom prst="rect">
                      <a:avLst/>
                    </a:prstGeom>
                    <a:noFill/>
                  </pic:spPr>
                </pic:pic>
              </a:graphicData>
            </a:graphic>
          </wp:inline>
        </w:drawing>
      </w:r>
    </w:p>
    <w:p w14:paraId="7674FBDE" w14:textId="052B9133" w:rsidR="00BD618F" w:rsidRPr="006D631C" w:rsidRDefault="00BD618F" w:rsidP="00BD618F">
      <w:pPr>
        <w:tabs>
          <w:tab w:val="left" w:pos="90"/>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sz w:val="22"/>
          <w:szCs w:val="22"/>
        </w:rPr>
        <w:t xml:space="preserve">Figure E1. (a) Diacrylation reaction of P84DA with </w:t>
      </w:r>
      <w:proofErr w:type="spellStart"/>
      <w:r w:rsidRPr="006D631C">
        <w:rPr>
          <w:rFonts w:asciiTheme="majorBidi" w:hAnsiTheme="majorBidi" w:cstheme="majorBidi"/>
          <w:sz w:val="22"/>
          <w:szCs w:val="22"/>
        </w:rPr>
        <w:t>acryloyl</w:t>
      </w:r>
      <w:proofErr w:type="spellEnd"/>
      <w:r w:rsidRPr="006D631C">
        <w:rPr>
          <w:rFonts w:asciiTheme="majorBidi" w:hAnsiTheme="majorBidi" w:cstheme="majorBidi"/>
          <w:sz w:val="22"/>
          <w:szCs w:val="22"/>
        </w:rPr>
        <w:t xml:space="preserve"> chloride in the presence of </w:t>
      </w:r>
      <w:proofErr w:type="spellStart"/>
      <w:r w:rsidRPr="006D631C">
        <w:rPr>
          <w:rFonts w:asciiTheme="majorBidi" w:hAnsiTheme="majorBidi" w:cstheme="majorBidi"/>
          <w:sz w:val="22"/>
          <w:szCs w:val="22"/>
        </w:rPr>
        <w:t>triethylamine</w:t>
      </w:r>
      <w:proofErr w:type="spellEnd"/>
      <w:r w:rsidRPr="006D631C">
        <w:rPr>
          <w:rFonts w:asciiTheme="majorBidi" w:hAnsiTheme="majorBidi" w:cstheme="majorBidi"/>
          <w:sz w:val="22"/>
          <w:szCs w:val="22"/>
        </w:rPr>
        <w:t xml:space="preserve">. (b) </w:t>
      </w:r>
      <w:proofErr w:type="gramStart"/>
      <w:r w:rsidRPr="006D631C">
        <w:rPr>
          <w:rFonts w:asciiTheme="majorBidi" w:hAnsiTheme="majorBidi" w:cstheme="majorBidi"/>
          <w:sz w:val="22"/>
          <w:szCs w:val="22"/>
        </w:rPr>
        <w:t>the</w:t>
      </w:r>
      <w:proofErr w:type="gramEnd"/>
      <w:r w:rsidRPr="006D631C">
        <w:rPr>
          <w:rFonts w:asciiTheme="majorBidi" w:hAnsiTheme="majorBidi" w:cstheme="majorBidi"/>
          <w:sz w:val="22"/>
          <w:szCs w:val="22"/>
        </w:rPr>
        <w:t xml:space="preserve"> ATR-FTIR spectrum of pure P84 and P84DA.</w:t>
      </w:r>
    </w:p>
    <w:p w14:paraId="76C1952E" w14:textId="4E7698A6" w:rsidR="00BD618F" w:rsidRPr="006D631C" w:rsidRDefault="00D56D82" w:rsidP="002E14E4">
      <w:pPr>
        <w:ind w:firstLine="360"/>
        <w:rPr>
          <w:rFonts w:asciiTheme="majorBidi" w:hAnsiTheme="majorBidi" w:cstheme="majorBidi"/>
        </w:rPr>
      </w:pPr>
      <w:r w:rsidRPr="006D631C">
        <w:rPr>
          <w:rFonts w:asciiTheme="majorBidi" w:hAnsiTheme="majorBidi" w:cstheme="majorBidi"/>
        </w:rPr>
        <w:lastRenderedPageBreak/>
        <w:t xml:space="preserve">To further characterize the synthesized product, </w:t>
      </w:r>
      <w:r w:rsidRPr="006D631C">
        <w:rPr>
          <w:rFonts w:asciiTheme="majorBidi" w:hAnsiTheme="majorBidi" w:cstheme="majorBidi"/>
          <w:vertAlign w:val="superscript"/>
        </w:rPr>
        <w:t>1</w:t>
      </w:r>
      <w:r w:rsidRPr="006D631C">
        <w:rPr>
          <w:rFonts w:asciiTheme="majorBidi" w:hAnsiTheme="majorBidi" w:cstheme="majorBidi"/>
        </w:rPr>
        <w:t xml:space="preserve">H NMR analysis was performed on P84DA in </w:t>
      </w:r>
      <w:proofErr w:type="spellStart"/>
      <w:r w:rsidRPr="006D631C">
        <w:rPr>
          <w:rFonts w:asciiTheme="majorBidi" w:hAnsiTheme="majorBidi" w:cstheme="majorBidi"/>
        </w:rPr>
        <w:t>deutrated</w:t>
      </w:r>
      <w:proofErr w:type="spellEnd"/>
      <w:r w:rsidRPr="006D631C">
        <w:rPr>
          <w:rFonts w:asciiTheme="majorBidi" w:hAnsiTheme="majorBidi" w:cstheme="majorBidi"/>
        </w:rPr>
        <w:t xml:space="preserve"> chloroform as a solvent. Figure E2 shows the acquired result. Degree of diacrylation can be obtained by calculating the number of hydrogens corresponding to acrylate groups</w:t>
      </w:r>
      <w:r w:rsidR="00E52042" w:rsidRPr="006D631C">
        <w:rPr>
          <w:rFonts w:asciiTheme="majorBidi" w:hAnsiTheme="majorBidi" w:cstheme="majorBidi"/>
        </w:rPr>
        <w:t>.</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{"citationItems":[{"id":"ITEM-1","itemData":{"DOI":"10.1039/c1sm06364b","ISSN":"1744-683X","abstract":"A self-supporting biomimetic chemical hydrogel that can be reversibly swollen in water is described. An aqueous dispersion of a diacrylate end-derivatized PEO-PPO-PEO macromer, a saturated phospholipid, and a zwitterionic co-surfactant self-assembles into a multilamellar-structured physical gel at room temperature as determined by SAXS. The addition of a water soluble PEGDA co-monomer and photoinitiator within the water layers does not alter the self-assembled structure. ATR/FT-IR spectroscopy reveals that photoirradiation initiates the crosslinking between the acrylate end groups on the macromer with the PEGDA, forming a polymeric network within the aqueous domains. The primitive cytoskeleton mimic serves to stabilize the amphiphile bilayer, converting the physical gel into an elastic self-supporting chemical gel. Storage under ambient conditions causes dehydration of the hydrogel to 5 wt % water which can be reversed by swelling in water. The fully water swollen gel (85 wt % water) remains self-supporting but converts to a non-lamellar structure. As water is lost the chemical gel regains its lamellar structure. Incubation of the hydrogel in nonpolar organic solvents that do not dissolve the uncrosslinked lipid component (hexane) allow for swelling without loss of structural integrity. Chloroform, which readily solubilizes the lipid, causes irreversible loss of the lamellar structure. © 2011 The Royal Society of Chemistry.","author":[{"dropping-particle":"","family":"Grubjesic","given":"Simonida","non-dropping-particle":"","parse-names":false,"suffix":""},{"dropping-particle":"","family":"Lee","given":"Byeongdu","non-dropping-particle":"","parse-names":false,"suffix":""},{"dropping-particle":"","family":"Seifert","given":"Sönke","non-dropping-particle":"","parse-names":false,"suffix":""},{"dropping-particle":"","family":"Firestone","given":"Millicent A.","non-dropping-particle":"","parse-names":false,"suffix":""}],"container-title":"Soft Matter","id":"ITEM-1","issue":"20","issued":{"date-parts":[["2011"]]},"page":"9695","title":"Preparation of a self-supporting cell architecture mimic by water channel confined photocrosslinking within a lamellar structured hydrogel","type":"article-journal","volume":"7"},"uris":["http://www.mendeley.com/documents/?uuid=6ea39c6f-9a66-47d2-9f3e-f7229ea48288"]}],"mendeley":{"formattedCitation":"&lt;sup&gt;105&lt;/sup&gt;","plainTextFormattedCitation":"105","previouslyFormattedCitation":"&lt;sup&gt;105&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105</w:t>
      </w:r>
      <w:r w:rsidRPr="006D631C">
        <w:rPr>
          <w:rFonts w:asciiTheme="majorBidi" w:hAnsiTheme="majorBidi" w:cstheme="majorBidi"/>
        </w:rPr>
        <w:fldChar w:fldCharType="end"/>
      </w:r>
      <w:r w:rsidRPr="006D631C">
        <w:rPr>
          <w:rFonts w:asciiTheme="majorBidi" w:hAnsiTheme="majorBidi" w:cstheme="majorBidi"/>
        </w:rPr>
        <w:t xml:space="preserve"> The </w:t>
      </w:r>
      <w:proofErr w:type="spellStart"/>
      <w:r w:rsidRPr="006D631C">
        <w:rPr>
          <w:rFonts w:asciiTheme="majorBidi" w:hAnsiTheme="majorBidi" w:cstheme="majorBidi"/>
        </w:rPr>
        <w:t>theoritical</w:t>
      </w:r>
      <w:proofErr w:type="spellEnd"/>
      <w:r w:rsidRPr="006D631C">
        <w:rPr>
          <w:rFonts w:asciiTheme="majorBidi" w:hAnsiTheme="majorBidi" w:cstheme="majorBidi"/>
        </w:rPr>
        <w:t xml:space="preserve"> number of those hydrogens assuming complete diacrylation sho</w:t>
      </w:r>
      <w:r w:rsidR="00154D4D" w:rsidRPr="006D631C">
        <w:rPr>
          <w:rFonts w:asciiTheme="majorBidi" w:hAnsiTheme="majorBidi" w:cstheme="majorBidi"/>
        </w:rPr>
        <w:t>uld be 6. As can be seen in Figure E</w:t>
      </w:r>
      <w:r w:rsidRPr="006D631C">
        <w:rPr>
          <w:rFonts w:asciiTheme="majorBidi" w:hAnsiTheme="majorBidi" w:cstheme="majorBidi"/>
        </w:rPr>
        <w:t>2, the total number of hydrogens of acrylate groups normalized to the number of methyl hydrogens of PPO blocks (which should be 129 for P84) is 2.94. This number shows around 50% diacrylation with respect to complete diacrylation with 6 acrylic hydrogens.</w:t>
      </w:r>
    </w:p>
    <w:p w14:paraId="1D144277" w14:textId="5D50A0A2" w:rsidR="00AA6C6D" w:rsidRPr="006D631C" w:rsidRDefault="00AA6C6D" w:rsidP="00861405">
      <w:pPr>
        <w:pStyle w:val="TOC1"/>
        <w:rPr>
          <w:noProof w:val="0"/>
          <w:lang w:bidi="fa-IR"/>
        </w:rPr>
      </w:pPr>
      <w:r w:rsidRPr="006D631C">
        <w:drawing>
          <wp:inline distT="0" distB="0" distL="0" distR="0" wp14:anchorId="2ADE5363" wp14:editId="2E31BEE7">
            <wp:extent cx="5796000" cy="39822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796000" cy="3982275"/>
                    </a:xfrm>
                    <a:prstGeom prst="rect">
                      <a:avLst/>
                    </a:prstGeom>
                    <a:noFill/>
                    <a:ln>
                      <a:noFill/>
                    </a:ln>
                  </pic:spPr>
                </pic:pic>
              </a:graphicData>
            </a:graphic>
          </wp:inline>
        </w:drawing>
      </w:r>
    </w:p>
    <w:p w14:paraId="37DBAEF8" w14:textId="26719E0C" w:rsidR="00AA6C6D" w:rsidRPr="006D631C" w:rsidRDefault="00AA6C6D" w:rsidP="00AA6C6D">
      <w:pPr>
        <w:tabs>
          <w:tab w:val="left" w:pos="90"/>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sz w:val="22"/>
          <w:szCs w:val="22"/>
        </w:rPr>
        <w:t xml:space="preserve">Figure E2. </w:t>
      </w:r>
      <w:r w:rsidRPr="006D631C">
        <w:rPr>
          <w:rFonts w:asciiTheme="majorBidi" w:hAnsiTheme="majorBidi" w:cstheme="majorBidi"/>
          <w:sz w:val="22"/>
          <w:szCs w:val="22"/>
          <w:vertAlign w:val="superscript"/>
        </w:rPr>
        <w:t>1</w:t>
      </w:r>
      <w:r w:rsidRPr="006D631C">
        <w:rPr>
          <w:rFonts w:asciiTheme="majorBidi" w:hAnsiTheme="majorBidi" w:cstheme="majorBidi"/>
          <w:sz w:val="22"/>
          <w:szCs w:val="22"/>
        </w:rPr>
        <w:t>H NMR spectrum of P84DA.</w:t>
      </w:r>
    </w:p>
    <w:p w14:paraId="792F6182" w14:textId="16D5ACAF" w:rsidR="00AA6C6D" w:rsidRPr="006D631C" w:rsidRDefault="00AA6C6D" w:rsidP="00AA6C6D">
      <w:pPr>
        <w:rPr>
          <w:lang w:bidi="fa-IR"/>
        </w:rPr>
      </w:pPr>
    </w:p>
    <w:p w14:paraId="1E4E64A2" w14:textId="055D5690" w:rsidR="003A69E2" w:rsidRPr="006D631C" w:rsidRDefault="003A69E2" w:rsidP="00861405">
      <w:pPr>
        <w:pStyle w:val="TOC1"/>
        <w:rPr>
          <w:lang w:bidi="fa-IR"/>
        </w:rPr>
      </w:pPr>
    </w:p>
    <w:p w14:paraId="68CE9166" w14:textId="092DC7DF" w:rsidR="003A69E2" w:rsidRPr="006D631C" w:rsidRDefault="003A69E2" w:rsidP="003A69E2">
      <w:pPr>
        <w:rPr>
          <w:lang w:bidi="fa-IR"/>
        </w:rPr>
      </w:pPr>
    </w:p>
    <w:p w14:paraId="3C5961EC" w14:textId="4538042D" w:rsidR="003A69E2" w:rsidRPr="006D631C" w:rsidRDefault="003A69E2" w:rsidP="00861405">
      <w:pPr>
        <w:pStyle w:val="TOC1"/>
        <w:rPr>
          <w:lang w:bidi="fa-IR"/>
        </w:rPr>
      </w:pPr>
    </w:p>
    <w:p w14:paraId="110515DB" w14:textId="21F651AB" w:rsidR="003A69E2" w:rsidRPr="006D631C" w:rsidRDefault="003750C8" w:rsidP="003A69E2">
      <w:pPr>
        <w:rPr>
          <w:rFonts w:asciiTheme="majorBidi" w:hAnsiTheme="majorBidi" w:cstheme="majorBidi"/>
          <w:b/>
          <w:bCs/>
        </w:rPr>
      </w:pPr>
      <w:r w:rsidRPr="006D631C">
        <w:rPr>
          <w:rFonts w:asciiTheme="majorBidi" w:hAnsiTheme="majorBidi" w:cstheme="majorBidi"/>
          <w:b/>
          <w:bCs/>
        </w:rPr>
        <w:lastRenderedPageBreak/>
        <w:t>Reversible order-disorder structural transition of LLC upon heating and membrane preparation process</w:t>
      </w:r>
    </w:p>
    <w:p w14:paraId="7E520A0E" w14:textId="6FACE737" w:rsidR="00D3228D" w:rsidRPr="006D631C" w:rsidRDefault="00D3228D" w:rsidP="00E40DE0">
      <w:pPr>
        <w:tabs>
          <w:tab w:val="left" w:pos="90"/>
          <w:tab w:val="left" w:pos="360"/>
          <w:tab w:val="left" w:pos="992"/>
        </w:tabs>
        <w:ind w:firstLine="357"/>
        <w:rPr>
          <w:rFonts w:asciiTheme="majorBidi" w:hAnsiTheme="majorBidi" w:cstheme="majorBidi"/>
        </w:rPr>
      </w:pPr>
      <w:r w:rsidRPr="006D631C">
        <w:rPr>
          <w:rFonts w:asciiTheme="majorBidi" w:hAnsiTheme="majorBidi" w:cstheme="majorBidi"/>
        </w:rPr>
        <w:t>As shows in Figure E3, the obtained mesophase, which own H</w:t>
      </w:r>
      <w:r w:rsidRPr="006D631C">
        <w:rPr>
          <w:rFonts w:asciiTheme="majorBidi" w:hAnsiTheme="majorBidi" w:cstheme="majorBidi"/>
          <w:vertAlign w:val="subscript"/>
        </w:rPr>
        <w:t>1</w:t>
      </w:r>
      <w:r w:rsidRPr="006D631C">
        <w:rPr>
          <w:rFonts w:asciiTheme="majorBidi" w:hAnsiTheme="majorBidi" w:cstheme="majorBidi"/>
        </w:rPr>
        <w:t xml:space="preserve"> struc</w:t>
      </w:r>
      <w:r w:rsidR="00E40DE0" w:rsidRPr="006D631C">
        <w:rPr>
          <w:rFonts w:asciiTheme="majorBidi" w:hAnsiTheme="majorBidi" w:cstheme="majorBidi"/>
        </w:rPr>
        <w:t>tu</w:t>
      </w:r>
      <w:r w:rsidRPr="006D631C">
        <w:rPr>
          <w:rFonts w:asciiTheme="majorBidi" w:hAnsiTheme="majorBidi" w:cstheme="majorBidi"/>
        </w:rPr>
        <w:t>re (Bragg peaks with ratios of 1:</w:t>
      </w:r>
      <m:oMath>
        <m:rad>
          <m:radPr>
            <m:degHide m:val="1"/>
            <m:ctrlPr>
              <w:rPr>
                <w:rFonts w:ascii="Cambria Math" w:hAnsi="Cambria Math" w:cstheme="majorBidi"/>
                <w:i/>
              </w:rPr>
            </m:ctrlPr>
          </m:radPr>
          <m:deg/>
          <m:e>
            <m:r>
              <m:rPr>
                <m:nor/>
              </m:rPr>
              <w:rPr>
                <w:rFonts w:ascii="Cambria Math" w:hAnsi="Cambria Math" w:cstheme="majorBidi"/>
              </w:rPr>
              <m:t>3</m:t>
            </m:r>
          </m:e>
        </m:rad>
      </m:oMath>
      <w:r w:rsidRPr="006D631C">
        <w:rPr>
          <w:rFonts w:asciiTheme="majorBidi" w:eastAsiaTheme="minorEastAsia" w:hAnsiTheme="majorBidi" w:cstheme="majorBidi"/>
        </w:rPr>
        <w:t>:2:</w:t>
      </w:r>
      <m:oMath>
        <m:rad>
          <m:radPr>
            <m:degHide m:val="1"/>
            <m:ctrlPr>
              <w:rPr>
                <w:rFonts w:ascii="Cambria Math" w:eastAsiaTheme="minorEastAsia" w:hAnsi="Cambria Math" w:cstheme="majorBidi"/>
                <w:i/>
              </w:rPr>
            </m:ctrlPr>
          </m:radPr>
          <m:deg/>
          <m:e>
            <m:r>
              <w:rPr>
                <w:rFonts w:ascii="Cambria Math" w:eastAsiaTheme="minorEastAsia" w:hAnsi="Cambria Math" w:cstheme="majorBidi"/>
              </w:rPr>
              <m:t>7</m:t>
            </m:r>
          </m:e>
        </m:rad>
      </m:oMath>
      <w:r w:rsidRPr="006D631C">
        <w:rPr>
          <w:rFonts w:asciiTheme="majorBidi" w:eastAsiaTheme="minorEastAsia" w:hAnsiTheme="majorBidi" w:cstheme="majorBidi"/>
        </w:rPr>
        <w:t>)</w:t>
      </w:r>
      <w:r w:rsidRPr="006D631C">
        <w:rPr>
          <w:rFonts w:asciiTheme="majorBidi" w:hAnsiTheme="majorBidi" w:cstheme="majorBidi"/>
        </w:rPr>
        <w:t xml:space="preserve">, undergoes structural changes upon heating. The structural transition happens as the temperature increases from 25 to 45 °C. Further </w:t>
      </w:r>
      <w:proofErr w:type="spellStart"/>
      <w:r w:rsidRPr="006D631C">
        <w:rPr>
          <w:rFonts w:asciiTheme="majorBidi" w:hAnsiTheme="majorBidi" w:cstheme="majorBidi"/>
        </w:rPr>
        <w:t>increemnt</w:t>
      </w:r>
      <w:proofErr w:type="spellEnd"/>
      <w:r w:rsidRPr="006D631C">
        <w:rPr>
          <w:rFonts w:asciiTheme="majorBidi" w:hAnsiTheme="majorBidi" w:cstheme="majorBidi"/>
        </w:rPr>
        <w:t xml:space="preserve"> of the temperature to 65 °C results in the formation of L</w:t>
      </w:r>
      <w:r w:rsidRPr="006D631C">
        <w:rPr>
          <w:rFonts w:ascii="Cambria Math" w:hAnsi="Cambria Math" w:cstheme="majorBidi"/>
          <w:vertAlign w:val="subscript"/>
        </w:rPr>
        <w:t>𝛼</w:t>
      </w:r>
      <w:r w:rsidRPr="006D631C">
        <w:rPr>
          <w:rFonts w:asciiTheme="majorBidi" w:hAnsiTheme="majorBidi" w:cstheme="majorBidi"/>
        </w:rPr>
        <w:t xml:space="preserve"> struc</w:t>
      </w:r>
      <w:r w:rsidR="00E40DE0" w:rsidRPr="006D631C">
        <w:rPr>
          <w:rFonts w:asciiTheme="majorBidi" w:hAnsiTheme="majorBidi" w:cstheme="majorBidi"/>
        </w:rPr>
        <w:t>tu</w:t>
      </w:r>
      <w:r w:rsidRPr="006D631C">
        <w:rPr>
          <w:rFonts w:asciiTheme="majorBidi" w:hAnsiTheme="majorBidi" w:cstheme="majorBidi"/>
        </w:rPr>
        <w:t xml:space="preserve">re having Bragg peaks with a ratio of 1:2. These </w:t>
      </w:r>
      <w:proofErr w:type="spellStart"/>
      <w:r w:rsidRPr="006D631C">
        <w:rPr>
          <w:rFonts w:asciiTheme="majorBidi" w:hAnsiTheme="majorBidi" w:cstheme="majorBidi"/>
        </w:rPr>
        <w:t>strucutral</w:t>
      </w:r>
      <w:proofErr w:type="spellEnd"/>
      <w:r w:rsidRPr="006D631C">
        <w:rPr>
          <w:rFonts w:asciiTheme="majorBidi" w:hAnsiTheme="majorBidi" w:cstheme="majorBidi"/>
        </w:rPr>
        <w:t xml:space="preserve"> changes are perfectly eversible upon cooling the heated mesophase.      </w:t>
      </w:r>
    </w:p>
    <w:p w14:paraId="01A7E22B" w14:textId="7768F748" w:rsidR="003750C8" w:rsidRPr="006D631C" w:rsidRDefault="00384B02" w:rsidP="00384B02">
      <w:pPr>
        <w:ind w:firstLine="360"/>
        <w:rPr>
          <w:rFonts w:asciiTheme="majorBidi" w:hAnsiTheme="majorBidi" w:cstheme="majorBidi"/>
        </w:rPr>
      </w:pPr>
      <w:r w:rsidRPr="006D631C">
        <w:rPr>
          <w:rFonts w:asciiTheme="majorBidi" w:hAnsiTheme="majorBidi" w:cstheme="majorBidi"/>
        </w:rPr>
        <w:t>Figure</w:t>
      </w:r>
      <w:r w:rsidR="00D3228D" w:rsidRPr="006D631C">
        <w:rPr>
          <w:rFonts w:asciiTheme="majorBidi" w:hAnsiTheme="majorBidi" w:cstheme="majorBidi"/>
        </w:rPr>
        <w:t xml:space="preserve"> </w:t>
      </w:r>
      <w:r w:rsidRPr="006D631C">
        <w:rPr>
          <w:rFonts w:asciiTheme="majorBidi" w:hAnsiTheme="majorBidi" w:cstheme="majorBidi"/>
        </w:rPr>
        <w:t>E</w:t>
      </w:r>
      <w:r w:rsidR="00D3228D" w:rsidRPr="006D631C">
        <w:rPr>
          <w:rFonts w:asciiTheme="majorBidi" w:hAnsiTheme="majorBidi" w:cstheme="majorBidi"/>
        </w:rPr>
        <w:t>4 shows how the viscosity of the mesophase changes due to this transition. As can be seen, the viscosity drops significantly as the mesophase is heated to 45 °C. By using such viscosity drop, we were able to use knife coating technique to coat the LLC on a polyester sheet to fabricate the supported polyLLC membrane (see Fig</w:t>
      </w:r>
      <w:r w:rsidRPr="006D631C">
        <w:rPr>
          <w:rFonts w:asciiTheme="majorBidi" w:hAnsiTheme="majorBidi" w:cstheme="majorBidi"/>
        </w:rPr>
        <w:t>ure</w:t>
      </w:r>
      <w:r w:rsidR="00D3228D" w:rsidRPr="006D631C">
        <w:rPr>
          <w:rFonts w:asciiTheme="majorBidi" w:hAnsiTheme="majorBidi" w:cstheme="majorBidi"/>
        </w:rPr>
        <w:t xml:space="preserve"> </w:t>
      </w:r>
      <w:r w:rsidRPr="006D631C">
        <w:rPr>
          <w:rFonts w:asciiTheme="majorBidi" w:hAnsiTheme="majorBidi" w:cstheme="majorBidi"/>
        </w:rPr>
        <w:t>4-</w:t>
      </w:r>
      <w:r w:rsidR="00D3228D" w:rsidRPr="006D631C">
        <w:rPr>
          <w:rFonts w:asciiTheme="majorBidi" w:hAnsiTheme="majorBidi" w:cstheme="majorBidi"/>
        </w:rPr>
        <w:t>1).</w:t>
      </w:r>
    </w:p>
    <w:p w14:paraId="10E38390" w14:textId="7D8FD17E" w:rsidR="007F7F25" w:rsidRPr="006D631C" w:rsidRDefault="007F7F25" w:rsidP="00861405">
      <w:pPr>
        <w:pStyle w:val="TOC1"/>
        <w:rPr>
          <w:noProof w:val="0"/>
        </w:rPr>
      </w:pPr>
      <w:r w:rsidRPr="006D631C">
        <w:drawing>
          <wp:inline distT="0" distB="0" distL="0" distR="0" wp14:anchorId="5FC16C43" wp14:editId="51635CCF">
            <wp:extent cx="3780000" cy="365969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780000" cy="3659694"/>
                    </a:xfrm>
                    <a:prstGeom prst="rect">
                      <a:avLst/>
                    </a:prstGeom>
                    <a:noFill/>
                  </pic:spPr>
                </pic:pic>
              </a:graphicData>
            </a:graphic>
          </wp:inline>
        </w:drawing>
      </w:r>
    </w:p>
    <w:p w14:paraId="7100E272" w14:textId="037426D6" w:rsidR="007F7F25" w:rsidRPr="006D631C" w:rsidRDefault="007F7F25" w:rsidP="007F7F25">
      <w:pPr>
        <w:tabs>
          <w:tab w:val="left" w:pos="142"/>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sz w:val="22"/>
          <w:szCs w:val="22"/>
        </w:rPr>
        <w:t xml:space="preserve">Figure E3. SAXS scattering profiles of the LLC (before polymerization) upon heating and cooling. The topmost data for 25 °C is the start point of the experiment (the plots are vertically shifted for clarity). </w:t>
      </w:r>
    </w:p>
    <w:p w14:paraId="1164D9D8" w14:textId="69FA36C8" w:rsidR="007F7F25" w:rsidRPr="006D631C" w:rsidRDefault="00F463F6" w:rsidP="00F463F6">
      <w:pPr>
        <w:spacing w:line="276" w:lineRule="auto"/>
        <w:jc w:val="center"/>
      </w:pPr>
      <w:r w:rsidRPr="006D631C">
        <w:rPr>
          <w:rFonts w:asciiTheme="majorBidi" w:hAnsiTheme="majorBidi" w:cstheme="majorBidi"/>
          <w:noProof/>
        </w:rPr>
        <w:lastRenderedPageBreak/>
        <w:drawing>
          <wp:inline distT="0" distB="0" distL="0" distR="0" wp14:anchorId="5EADAC63" wp14:editId="3247292B">
            <wp:extent cx="3276000" cy="2528117"/>
            <wp:effectExtent l="0" t="0" r="63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276000" cy="2528117"/>
                    </a:xfrm>
                    <a:prstGeom prst="rect">
                      <a:avLst/>
                    </a:prstGeom>
                    <a:noFill/>
                  </pic:spPr>
                </pic:pic>
              </a:graphicData>
            </a:graphic>
          </wp:inline>
        </w:drawing>
      </w:r>
    </w:p>
    <w:p w14:paraId="0702BC01" w14:textId="091E0856" w:rsidR="00F463F6" w:rsidRPr="006D631C" w:rsidRDefault="00F463F6" w:rsidP="00F463F6">
      <w:pPr>
        <w:tabs>
          <w:tab w:val="left" w:pos="142"/>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sz w:val="22"/>
          <w:szCs w:val="22"/>
        </w:rPr>
        <w:t xml:space="preserve">Figure E4. Complex viscosity vs. temperature for the obtained mesophase. </w:t>
      </w:r>
    </w:p>
    <w:p w14:paraId="60328E74" w14:textId="77777777" w:rsidR="00494B9F" w:rsidRPr="006D631C" w:rsidRDefault="00494B9F" w:rsidP="00861405">
      <w:pPr>
        <w:pStyle w:val="TOC1"/>
      </w:pPr>
    </w:p>
    <w:p w14:paraId="3F147BE2" w14:textId="5E47F184" w:rsidR="00F463F6" w:rsidRPr="006D631C" w:rsidRDefault="00D43179" w:rsidP="00861405">
      <w:pPr>
        <w:pStyle w:val="TOC1"/>
        <w:rPr>
          <w:noProof w:val="0"/>
        </w:rPr>
      </w:pPr>
      <w:r w:rsidRPr="006D631C">
        <w:drawing>
          <wp:inline distT="0" distB="0" distL="0" distR="0" wp14:anchorId="0F48032A" wp14:editId="767835F3">
            <wp:extent cx="5868000" cy="44667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868000" cy="4466780"/>
                    </a:xfrm>
                    <a:prstGeom prst="rect">
                      <a:avLst/>
                    </a:prstGeom>
                    <a:noFill/>
                  </pic:spPr>
                </pic:pic>
              </a:graphicData>
            </a:graphic>
          </wp:inline>
        </w:drawing>
      </w:r>
    </w:p>
    <w:p w14:paraId="2A94E72E" w14:textId="3FB167E5" w:rsidR="00D43179" w:rsidRPr="006D631C" w:rsidRDefault="00D43179" w:rsidP="00D43179">
      <w:pPr>
        <w:tabs>
          <w:tab w:val="left" w:pos="142"/>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sz w:val="22"/>
          <w:szCs w:val="22"/>
        </w:rPr>
        <w:t xml:space="preserve">Figure E5. Temperature dependence of (a) permeability, (b) MWCO, and (c) red dyes rejection of a commercial non-thermoresponsive UF membrane. </w:t>
      </w:r>
    </w:p>
    <w:p w14:paraId="09093730" w14:textId="34FD2AE5" w:rsidR="00D43179" w:rsidRPr="006D631C" w:rsidRDefault="00341181" w:rsidP="00D43179">
      <w:r w:rsidRPr="006D631C">
        <w:rPr>
          <w:rFonts w:asciiTheme="majorBidi" w:hAnsiTheme="majorBidi" w:cstheme="majorBidi"/>
          <w:b/>
          <w:bCs/>
          <w:noProof/>
        </w:rPr>
        <w:lastRenderedPageBreak/>
        <w:drawing>
          <wp:inline distT="0" distB="0" distL="0" distR="0" wp14:anchorId="4333759B" wp14:editId="28338FE8">
            <wp:extent cx="5904000" cy="4413073"/>
            <wp:effectExtent l="0" t="0" r="1905"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904000" cy="4413073"/>
                    </a:xfrm>
                    <a:prstGeom prst="rect">
                      <a:avLst/>
                    </a:prstGeom>
                    <a:noFill/>
                  </pic:spPr>
                </pic:pic>
              </a:graphicData>
            </a:graphic>
          </wp:inline>
        </w:drawing>
      </w:r>
    </w:p>
    <w:p w14:paraId="0BCF0F5A" w14:textId="23957CC7" w:rsidR="00341181" w:rsidRPr="006D631C" w:rsidRDefault="00341181" w:rsidP="00341181">
      <w:pPr>
        <w:tabs>
          <w:tab w:val="left" w:pos="142"/>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sz w:val="22"/>
          <w:szCs w:val="22"/>
        </w:rPr>
        <w:t xml:space="preserve">Figure E6. UV-Vis data for aqueous solutions of (a) PEG with 10 </w:t>
      </w:r>
      <w:proofErr w:type="spellStart"/>
      <w:r w:rsidRPr="006D631C">
        <w:rPr>
          <w:rFonts w:asciiTheme="majorBidi" w:hAnsiTheme="majorBidi" w:cstheme="majorBidi"/>
          <w:sz w:val="22"/>
          <w:szCs w:val="22"/>
        </w:rPr>
        <w:t>kDa</w:t>
      </w:r>
      <w:proofErr w:type="spellEnd"/>
      <w:r w:rsidRPr="006D631C">
        <w:rPr>
          <w:rFonts w:asciiTheme="majorBidi" w:hAnsiTheme="majorBidi" w:cstheme="majorBidi"/>
          <w:sz w:val="22"/>
          <w:szCs w:val="22"/>
        </w:rPr>
        <w:t xml:space="preserve"> molecular weight (containing the potassium iodide/iodine reagent), (b) BSA, (c) DR23, and (d) DR80 before and after contact with polyLLC for 48 </w:t>
      </w:r>
      <w:proofErr w:type="spellStart"/>
      <w:r w:rsidRPr="006D631C">
        <w:rPr>
          <w:rFonts w:asciiTheme="majorBidi" w:hAnsiTheme="majorBidi" w:cstheme="majorBidi"/>
          <w:sz w:val="22"/>
          <w:szCs w:val="22"/>
        </w:rPr>
        <w:t>hrs</w:t>
      </w:r>
      <w:proofErr w:type="spellEnd"/>
      <w:r w:rsidRPr="006D631C">
        <w:rPr>
          <w:rFonts w:asciiTheme="majorBidi" w:hAnsiTheme="majorBidi" w:cstheme="majorBidi"/>
          <w:sz w:val="22"/>
          <w:szCs w:val="22"/>
        </w:rPr>
        <w:t xml:space="preserve"> at two different temperatures. </w:t>
      </w:r>
    </w:p>
    <w:p w14:paraId="6F635C3E" w14:textId="17AC156E" w:rsidR="00341181" w:rsidRPr="006D631C" w:rsidRDefault="00341181" w:rsidP="00861405">
      <w:pPr>
        <w:pStyle w:val="TOC1"/>
      </w:pPr>
    </w:p>
    <w:p w14:paraId="3FBECE57" w14:textId="3305DB50" w:rsidR="00850051" w:rsidRPr="006D631C" w:rsidRDefault="00850051" w:rsidP="00850051"/>
    <w:p w14:paraId="02BB5F03" w14:textId="2761E10E" w:rsidR="00850051" w:rsidRPr="006D631C" w:rsidRDefault="00850051" w:rsidP="00861405">
      <w:pPr>
        <w:pStyle w:val="TOC1"/>
      </w:pPr>
    </w:p>
    <w:p w14:paraId="71038B95" w14:textId="4C9D6DFE" w:rsidR="00850051" w:rsidRPr="006D631C" w:rsidRDefault="00850051" w:rsidP="00850051"/>
    <w:p w14:paraId="4E9192FF" w14:textId="65C10B04" w:rsidR="00850051" w:rsidRPr="006D631C" w:rsidRDefault="00850051" w:rsidP="00861405">
      <w:pPr>
        <w:pStyle w:val="TOC1"/>
      </w:pPr>
    </w:p>
    <w:p w14:paraId="39D086F9" w14:textId="3F7EFA9E" w:rsidR="00850051" w:rsidRPr="006D631C" w:rsidRDefault="00850051" w:rsidP="00850051"/>
    <w:p w14:paraId="05614C34" w14:textId="46B0B0F8" w:rsidR="00850051" w:rsidRPr="006D631C" w:rsidRDefault="00850051" w:rsidP="00861405">
      <w:pPr>
        <w:pStyle w:val="TOC1"/>
      </w:pPr>
    </w:p>
    <w:p w14:paraId="0381FD9A" w14:textId="02C80434" w:rsidR="00850051" w:rsidRPr="006D631C" w:rsidRDefault="00850051" w:rsidP="00850051"/>
    <w:p w14:paraId="4E55DE96" w14:textId="65DD8CFA" w:rsidR="00850051" w:rsidRPr="006D631C" w:rsidRDefault="00850051" w:rsidP="00861405">
      <w:pPr>
        <w:pStyle w:val="TOC1"/>
      </w:pPr>
    </w:p>
    <w:p w14:paraId="58ABDC63" w14:textId="61477E27" w:rsidR="00850051" w:rsidRPr="006D631C" w:rsidRDefault="00850051" w:rsidP="001B2C4E">
      <w:pPr>
        <w:pStyle w:val="Heading2"/>
        <w:jc w:val="center"/>
      </w:pPr>
      <w:bookmarkStart w:id="250" w:name="_Toc148175906"/>
      <w:r w:rsidRPr="006D631C">
        <w:lastRenderedPageBreak/>
        <w:t>APPENDIX F</w:t>
      </w:r>
      <w:bookmarkEnd w:id="250"/>
    </w:p>
    <w:p w14:paraId="5432B6B4" w14:textId="65EA7CDA" w:rsidR="00850051" w:rsidRPr="006D631C" w:rsidRDefault="00850051" w:rsidP="001B2C4E">
      <w:pPr>
        <w:pStyle w:val="Heading2"/>
        <w:jc w:val="center"/>
      </w:pPr>
      <w:bookmarkStart w:id="251" w:name="_Toc148175907"/>
      <w:r w:rsidRPr="006D631C">
        <w:t>SUPPORTING INFORMATION FOR CHAPTER 5</w:t>
      </w:r>
      <w:bookmarkEnd w:id="251"/>
    </w:p>
    <w:p w14:paraId="6FC49813" w14:textId="77777777" w:rsidR="00BE385D" w:rsidRPr="006D631C" w:rsidRDefault="00BE385D" w:rsidP="00BE385D"/>
    <w:p w14:paraId="7F7630ED" w14:textId="05D6BEC4" w:rsidR="00850051" w:rsidRPr="006D631C" w:rsidRDefault="00BE385D" w:rsidP="00850051">
      <w:r w:rsidRPr="006D631C">
        <w:rPr>
          <w:rFonts w:asciiTheme="majorBidi" w:hAnsiTheme="majorBidi" w:cstheme="majorBidi"/>
          <w:b/>
          <w:bCs/>
          <w:vertAlign w:val="superscript"/>
        </w:rPr>
        <w:t>1</w:t>
      </w:r>
      <w:r w:rsidRPr="006D631C">
        <w:rPr>
          <w:rFonts w:asciiTheme="majorBidi" w:hAnsiTheme="majorBidi" w:cstheme="majorBidi"/>
          <w:b/>
          <w:bCs/>
        </w:rPr>
        <w:t>H NMR results for P84DA</w:t>
      </w:r>
    </w:p>
    <w:p w14:paraId="0166CC38" w14:textId="00DF90DB" w:rsidR="002C7B3B" w:rsidRPr="006D631C" w:rsidRDefault="00BE385D" w:rsidP="002E14E4">
      <w:pPr>
        <w:ind w:firstLine="360"/>
        <w:rPr>
          <w:rFonts w:asciiTheme="majorBidi" w:hAnsiTheme="majorBidi" w:cstheme="majorBidi"/>
        </w:rPr>
      </w:pPr>
      <w:r w:rsidRPr="006D631C">
        <w:rPr>
          <w:rFonts w:asciiTheme="majorBidi" w:hAnsiTheme="majorBidi" w:cstheme="majorBidi"/>
        </w:rPr>
        <w:t xml:space="preserve">P84DA was synthesized using the chemical reaction depicted in Figure F1a. The extent of functionalization was determined using </w:t>
      </w:r>
      <w:r w:rsidRPr="006D631C">
        <w:rPr>
          <w:rFonts w:asciiTheme="majorBidi" w:hAnsiTheme="majorBidi" w:cstheme="majorBidi"/>
          <w:vertAlign w:val="superscript"/>
        </w:rPr>
        <w:t>1</w:t>
      </w:r>
      <w:r w:rsidRPr="006D631C">
        <w:rPr>
          <w:rFonts w:asciiTheme="majorBidi" w:hAnsiTheme="majorBidi" w:cstheme="majorBidi"/>
        </w:rPr>
        <w:t>HNMR. To perform this analysis, 10 mg of the functionalized polymer was dissolved in 1 ml of deuterated chloroform as the solvent. Figure F1b displays the obtained result. The degree of diacrylation can be calculated by determining the number of hydrogens that correspond to the acrylate groups.</w:t>
      </w:r>
      <w:r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{"citationItems":[{"id":"ITEM-1","itemData":{"DOI":"10.1039/c1sm06364b","ISSN":"1744-683X","abstract":"A self-supporting biomimetic chemical hydrogel that can be reversibly swollen in water is described. An aqueous dispersion of a diacrylate end-derivatized PEO-PPO-PEO macromer, a saturated phospholipid, and a zwitterionic co-surfactant self-assembles into a multilamellar-structured physical gel at room temperature as determined by SAXS. The addition of a water soluble PEGDA co-monomer and photoinitiator within the water layers does not alter the self-assembled structure. ATR/FT-IR spectroscopy reveals that photoirradiation initiates the crosslinking between the acrylate end groups on the macromer with the PEGDA, forming a polymeric network within the aqueous domains. The primitive cytoskeleton mimic serves to stabilize the amphiphile bilayer, converting the physical gel into an elastic self-supporting chemical gel. Storage under ambient conditions causes dehydration of the hydrogel to 5 wt % water which can be reversed by swelling in water. The fully water swollen gel (85 wt % water) remains self-supporting but converts to a non-lamellar structure. As water is lost the chemical gel regains its lamellar structure. Incubation of the hydrogel in nonpolar organic solvents that do not dissolve the uncrosslinked lipid component (hexane) allow for swelling without loss of structural integrity. Chloroform, which readily solubilizes the lipid, causes irreversible loss of the lamellar structure. © 2011 The Royal Society of Chemistry.","author":[{"dropping-particle":"","family":"Grubjesic","given":"Simonida","non-dropping-particle":"","parse-names":false,"suffix":""},{"dropping-particle":"","family":"Lee","given":"Byeongdu","non-dropping-particle":"","parse-names":false,"suffix":""},{"dropping-particle":"","family":"Seifert","given":"Sönke","non-dropping-particle":"","parse-names":false,"suffix":""},{"dropping-particle":"","family":"Firestone","given":"Millicent A.","non-dropping-particle":"","parse-names":false,"suffix":""}],"container-title":"Soft Matter","id":"ITEM-1","issue":"20","issued":{"date-parts":[["2011"]]},"page":"9695","title":"Preparation of a self-supporting cell architecture mimic by water channel confined photocrosslinking within a lamellar structured hydrogel","type":"article-journal","volume":"7"},"uris":["http://www.mendeley.com/documents/?uuid=6ea39c6f-9a66-47d2-9f3e-f7229ea48288"]}],"mendeley":{"formattedCitation":"&lt;sup&gt;105&lt;/sup&gt;","plainTextFormattedCitation":"105","previouslyFormattedCitation":"&lt;sup&gt;105&lt;/sup&gt;"},"properties":{"noteIndex":0},"schema":"https://github.com/citation-style-language/schema/raw/master/csl-citation.json"}</w:instrText>
      </w:r>
      <w:r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105</w:t>
      </w:r>
      <w:r w:rsidRPr="006D631C">
        <w:rPr>
          <w:rFonts w:asciiTheme="majorBidi" w:hAnsiTheme="majorBidi" w:cstheme="majorBidi"/>
        </w:rPr>
        <w:fldChar w:fldCharType="end"/>
      </w:r>
      <w:r w:rsidRPr="006D631C">
        <w:rPr>
          <w:rFonts w:asciiTheme="majorBidi" w:hAnsiTheme="majorBidi" w:cstheme="majorBidi"/>
        </w:rPr>
        <w:t xml:space="preserve"> The expected number of these hydrogens assuming complete diacrylation is 6. As shown in Fig</w:t>
      </w:r>
      <w:r w:rsidR="006E1EC3" w:rsidRPr="006D631C">
        <w:rPr>
          <w:rFonts w:asciiTheme="majorBidi" w:hAnsiTheme="majorBidi" w:cstheme="majorBidi"/>
        </w:rPr>
        <w:t>ure</w:t>
      </w:r>
      <w:r w:rsidRPr="006D631C">
        <w:rPr>
          <w:rFonts w:asciiTheme="majorBidi" w:hAnsiTheme="majorBidi" w:cstheme="majorBidi"/>
        </w:rPr>
        <w:t xml:space="preserve"> </w:t>
      </w:r>
      <w:r w:rsidR="006E1EC3" w:rsidRPr="006D631C">
        <w:rPr>
          <w:rFonts w:asciiTheme="majorBidi" w:hAnsiTheme="majorBidi" w:cstheme="majorBidi"/>
        </w:rPr>
        <w:t>F</w:t>
      </w:r>
      <w:r w:rsidRPr="006D631C">
        <w:rPr>
          <w:rFonts w:asciiTheme="majorBidi" w:hAnsiTheme="majorBidi" w:cstheme="majorBidi"/>
        </w:rPr>
        <w:t xml:space="preserve">1b, the total number of hydrogens in the acrylate groups normalized to the number of methyl hydrogens in the PPO blocks (which should be 129 for P84) is 3.65. This </w:t>
      </w:r>
      <w:r w:rsidR="004F6A04" w:rsidRPr="006D631C">
        <w:rPr>
          <w:rFonts w:asciiTheme="majorBidi" w:hAnsiTheme="majorBidi" w:cstheme="majorBidi"/>
        </w:rPr>
        <w:t>result</w:t>
      </w:r>
      <w:r w:rsidRPr="006D631C">
        <w:rPr>
          <w:rFonts w:asciiTheme="majorBidi" w:hAnsiTheme="majorBidi" w:cstheme="majorBidi"/>
        </w:rPr>
        <w:t xml:space="preserve"> indicates approximately 60% diacrylation in comparison to complete diacrylation with 6 acrylic hydrogens.</w:t>
      </w:r>
    </w:p>
    <w:p w14:paraId="2F06354C" w14:textId="75155089" w:rsidR="002C7B3B" w:rsidRPr="006D631C" w:rsidRDefault="005007B3" w:rsidP="002C7B3B">
      <w:r w:rsidRPr="006D631C">
        <w:rPr>
          <w:rFonts w:asciiTheme="majorBidi" w:hAnsiTheme="majorBidi" w:cstheme="majorBidi"/>
          <w:noProof/>
        </w:rPr>
        <w:lastRenderedPageBreak/>
        <w:drawing>
          <wp:inline distT="0" distB="0" distL="0" distR="0" wp14:anchorId="2627AEC8" wp14:editId="5B690426">
            <wp:extent cx="5904000" cy="5292308"/>
            <wp:effectExtent l="0" t="0" r="1905" b="381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904000" cy="5292308"/>
                    </a:xfrm>
                    <a:prstGeom prst="rect">
                      <a:avLst/>
                    </a:prstGeom>
                    <a:noFill/>
                  </pic:spPr>
                </pic:pic>
              </a:graphicData>
            </a:graphic>
          </wp:inline>
        </w:drawing>
      </w:r>
    </w:p>
    <w:p w14:paraId="3B246880" w14:textId="480C2FE6" w:rsidR="005007B3" w:rsidRPr="006D631C" w:rsidRDefault="005007B3" w:rsidP="005007B3">
      <w:pPr>
        <w:tabs>
          <w:tab w:val="left" w:pos="142"/>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sz w:val="22"/>
          <w:szCs w:val="22"/>
        </w:rPr>
        <w:t>Figure F1. (a) Schematic of the chemical reaction used to synthesize P84DA. (b) 1HNMR results for the synthesized P84DA.</w:t>
      </w:r>
    </w:p>
    <w:p w14:paraId="4DBF9BCB" w14:textId="77777777" w:rsidR="005007B3" w:rsidRPr="006D631C" w:rsidRDefault="005007B3" w:rsidP="00861405">
      <w:pPr>
        <w:pStyle w:val="TOC1"/>
      </w:pPr>
    </w:p>
    <w:p w14:paraId="047B392C" w14:textId="1EA9E4B7" w:rsidR="002C7B3B" w:rsidRPr="006D631C" w:rsidRDefault="002C7B3B" w:rsidP="00861405">
      <w:pPr>
        <w:pStyle w:val="TOC1"/>
      </w:pPr>
    </w:p>
    <w:p w14:paraId="76B80509" w14:textId="0801EF7C" w:rsidR="006B7E21" w:rsidRPr="006D631C" w:rsidRDefault="006B7E21" w:rsidP="006B7E21"/>
    <w:p w14:paraId="4D4D208B" w14:textId="097AB593" w:rsidR="006B7E21" w:rsidRPr="006D631C" w:rsidRDefault="006B7E21" w:rsidP="00861405">
      <w:pPr>
        <w:pStyle w:val="TOC1"/>
      </w:pPr>
    </w:p>
    <w:p w14:paraId="43948518" w14:textId="0B378B40" w:rsidR="006B7E21" w:rsidRPr="006D631C" w:rsidRDefault="006B7E21" w:rsidP="006B7E21"/>
    <w:p w14:paraId="6CE5D0B1" w14:textId="3F544063" w:rsidR="006B7E21" w:rsidRPr="006D631C" w:rsidRDefault="006B7E21" w:rsidP="00861405">
      <w:pPr>
        <w:pStyle w:val="TOC1"/>
      </w:pPr>
    </w:p>
    <w:p w14:paraId="1E36E8FD" w14:textId="38D9D0F7" w:rsidR="006B7E21" w:rsidRPr="006D631C" w:rsidRDefault="006B7E21" w:rsidP="006B7E21"/>
    <w:p w14:paraId="173277B0" w14:textId="7986F862" w:rsidR="006B7E21" w:rsidRPr="006D631C" w:rsidRDefault="006B7E21" w:rsidP="006B7E21">
      <w:pPr>
        <w:rPr>
          <w:rFonts w:asciiTheme="majorBidi" w:hAnsiTheme="majorBidi" w:cstheme="majorBidi"/>
        </w:rPr>
      </w:pPr>
      <w:r w:rsidRPr="006D631C">
        <w:rPr>
          <w:rFonts w:asciiTheme="majorBidi" w:hAnsiTheme="majorBidi" w:cstheme="majorBidi"/>
          <w:b/>
          <w:bCs/>
        </w:rPr>
        <w:lastRenderedPageBreak/>
        <w:t>Structural changes of the mesophase under a heating-cooling cycle</w:t>
      </w:r>
    </w:p>
    <w:p w14:paraId="6E644235" w14:textId="6A8F78B4" w:rsidR="002C7B3B" w:rsidRPr="006D631C" w:rsidRDefault="006B7E21" w:rsidP="000859B9">
      <w:pPr>
        <w:ind w:firstLine="360"/>
      </w:pPr>
      <w:r w:rsidRPr="006D631C">
        <w:rPr>
          <w:rFonts w:asciiTheme="majorBidi" w:hAnsiTheme="majorBidi" w:cstheme="majorBidi"/>
        </w:rPr>
        <w:t xml:space="preserve">The LLC containing </w:t>
      </w:r>
      <w:proofErr w:type="spellStart"/>
      <w:r w:rsidRPr="006D631C">
        <w:rPr>
          <w:rFonts w:asciiTheme="majorBidi" w:hAnsiTheme="majorBidi" w:cstheme="majorBidi"/>
        </w:rPr>
        <w:t>AAc</w:t>
      </w:r>
      <w:proofErr w:type="spellEnd"/>
      <w:r w:rsidRPr="006D631C">
        <w:rPr>
          <w:rFonts w:asciiTheme="majorBidi" w:hAnsiTheme="majorBidi" w:cstheme="majorBidi"/>
        </w:rPr>
        <w:t xml:space="preserve"> </w:t>
      </w:r>
      <w:r w:rsidR="000859B9" w:rsidRPr="006D631C">
        <w:rPr>
          <w:rFonts w:asciiTheme="majorBidi" w:hAnsiTheme="majorBidi" w:cstheme="majorBidi"/>
        </w:rPr>
        <w:t>shows</w:t>
      </w:r>
      <w:r w:rsidRPr="006D631C">
        <w:rPr>
          <w:rFonts w:asciiTheme="majorBidi" w:hAnsiTheme="majorBidi" w:cstheme="majorBidi"/>
        </w:rPr>
        <w:t xml:space="preserve"> a change in structure, transitioning from H</w:t>
      </w:r>
      <w:r w:rsidRPr="006D631C">
        <w:rPr>
          <w:rFonts w:asciiTheme="majorBidi" w:hAnsiTheme="majorBidi" w:cstheme="majorBidi"/>
          <w:vertAlign w:val="subscript"/>
        </w:rPr>
        <w:t>1</w:t>
      </w:r>
      <w:r w:rsidRPr="006D631C">
        <w:rPr>
          <w:rFonts w:asciiTheme="majorBidi" w:hAnsiTheme="majorBidi" w:cstheme="majorBidi"/>
        </w:rPr>
        <w:t xml:space="preserve"> at 25 °C to L</w:t>
      </w:r>
      <w:r w:rsidRPr="006D631C">
        <w:rPr>
          <w:rFonts w:asciiTheme="majorBidi" w:hAnsiTheme="majorBidi" w:cstheme="majorBidi"/>
          <w:vertAlign w:val="subscript"/>
        </w:rPr>
        <w:t>α</w:t>
      </w:r>
      <w:r w:rsidRPr="006D631C">
        <w:rPr>
          <w:rFonts w:asciiTheme="majorBidi" w:hAnsiTheme="majorBidi" w:cstheme="majorBidi"/>
        </w:rPr>
        <w:t xml:space="preserve"> at 65 °C. This </w:t>
      </w:r>
      <w:r w:rsidR="000859B9" w:rsidRPr="006D631C">
        <w:rPr>
          <w:rFonts w:asciiTheme="majorBidi" w:hAnsiTheme="majorBidi" w:cstheme="majorBidi"/>
        </w:rPr>
        <w:t>mesophase transition</w:t>
      </w:r>
      <w:r w:rsidRPr="006D631C">
        <w:rPr>
          <w:rFonts w:asciiTheme="majorBidi" w:hAnsiTheme="majorBidi" w:cstheme="majorBidi"/>
        </w:rPr>
        <w:t xml:space="preserve"> is completely reversible when the sample is cooled </w:t>
      </w:r>
      <w:r w:rsidR="000859B9" w:rsidRPr="006D631C">
        <w:rPr>
          <w:rFonts w:asciiTheme="majorBidi" w:hAnsiTheme="majorBidi" w:cstheme="majorBidi"/>
        </w:rPr>
        <w:t xml:space="preserve">down </w:t>
      </w:r>
      <w:r w:rsidRPr="006D631C">
        <w:rPr>
          <w:rFonts w:asciiTheme="majorBidi" w:hAnsiTheme="majorBidi" w:cstheme="majorBidi"/>
        </w:rPr>
        <w:t>back to 25 °C.</w:t>
      </w:r>
    </w:p>
    <w:p w14:paraId="23A91D8B" w14:textId="24A1CEEB" w:rsidR="002C7B3B" w:rsidRPr="006D631C" w:rsidRDefault="006B7E21" w:rsidP="002C7B3B">
      <w:r w:rsidRPr="006D631C">
        <w:rPr>
          <w:rFonts w:asciiTheme="majorBidi" w:hAnsiTheme="majorBidi" w:cstheme="majorBidi"/>
          <w:noProof/>
        </w:rPr>
        <w:drawing>
          <wp:inline distT="0" distB="0" distL="0" distR="0" wp14:anchorId="5B657B27" wp14:editId="5F3266ED">
            <wp:extent cx="5760000" cy="5755906"/>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60000" cy="5755906"/>
                    </a:xfrm>
                    <a:prstGeom prst="rect">
                      <a:avLst/>
                    </a:prstGeom>
                    <a:noFill/>
                  </pic:spPr>
                </pic:pic>
              </a:graphicData>
            </a:graphic>
          </wp:inline>
        </w:drawing>
      </w:r>
    </w:p>
    <w:p w14:paraId="3028FB48" w14:textId="1FE0034F" w:rsidR="00ED6290" w:rsidRPr="006D631C" w:rsidRDefault="00593BC2" w:rsidP="00ED6290">
      <w:pPr>
        <w:tabs>
          <w:tab w:val="left" w:pos="142"/>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sz w:val="22"/>
          <w:szCs w:val="22"/>
        </w:rPr>
        <w:t>Figure</w:t>
      </w:r>
      <w:r w:rsidR="00ED6290" w:rsidRPr="006D631C">
        <w:rPr>
          <w:rFonts w:asciiTheme="majorBidi" w:hAnsiTheme="majorBidi" w:cstheme="majorBidi"/>
          <w:sz w:val="22"/>
          <w:szCs w:val="22"/>
        </w:rPr>
        <w:t xml:space="preserve"> F2. Structural changes of the LLC containing </w:t>
      </w:r>
      <w:proofErr w:type="spellStart"/>
      <w:r w:rsidR="00ED6290" w:rsidRPr="006D631C">
        <w:rPr>
          <w:rFonts w:asciiTheme="majorBidi" w:hAnsiTheme="majorBidi" w:cstheme="majorBidi"/>
          <w:sz w:val="22"/>
          <w:szCs w:val="22"/>
        </w:rPr>
        <w:t>AAc</w:t>
      </w:r>
      <w:proofErr w:type="spellEnd"/>
      <w:r w:rsidR="00ED6290" w:rsidRPr="006D631C">
        <w:rPr>
          <w:rFonts w:asciiTheme="majorBidi" w:hAnsiTheme="majorBidi" w:cstheme="majorBidi"/>
          <w:sz w:val="22"/>
          <w:szCs w:val="22"/>
        </w:rPr>
        <w:t xml:space="preserve"> upon heating</w:t>
      </w:r>
      <w:r w:rsidR="00946007" w:rsidRPr="006D631C">
        <w:rPr>
          <w:rFonts w:asciiTheme="majorBidi" w:hAnsiTheme="majorBidi" w:cstheme="majorBidi"/>
          <w:sz w:val="22"/>
          <w:szCs w:val="22"/>
        </w:rPr>
        <w:t xml:space="preserve"> and cooling</w:t>
      </w:r>
      <w:r w:rsidR="00ED6290" w:rsidRPr="006D631C">
        <w:rPr>
          <w:rFonts w:asciiTheme="majorBidi" w:hAnsiTheme="majorBidi" w:cstheme="majorBidi"/>
          <w:sz w:val="22"/>
          <w:szCs w:val="22"/>
        </w:rPr>
        <w:t xml:space="preserve">. The plots have been vertically shifted to enhance clarity. </w:t>
      </w:r>
    </w:p>
    <w:p w14:paraId="6E8BE5EF" w14:textId="77777777" w:rsidR="006B7E21" w:rsidRPr="006D631C" w:rsidRDefault="006B7E21" w:rsidP="00861405">
      <w:pPr>
        <w:pStyle w:val="TOC1"/>
      </w:pPr>
    </w:p>
    <w:p w14:paraId="226B9CA3" w14:textId="58516948" w:rsidR="002C7B3B" w:rsidRPr="006D631C" w:rsidRDefault="00EA4E87" w:rsidP="00EA4E87">
      <w:pPr>
        <w:rPr>
          <w:rFonts w:asciiTheme="majorBidi" w:hAnsiTheme="majorBidi" w:cstheme="majorBidi"/>
          <w:b/>
          <w:bCs/>
        </w:rPr>
      </w:pPr>
      <w:r w:rsidRPr="006D631C">
        <w:rPr>
          <w:rFonts w:asciiTheme="majorBidi" w:hAnsiTheme="majorBidi" w:cstheme="majorBidi"/>
          <w:b/>
          <w:bCs/>
        </w:rPr>
        <w:lastRenderedPageBreak/>
        <w:t>The rejection performance of commercially available NF270 membrane for OG at different pH values.</w:t>
      </w:r>
    </w:p>
    <w:p w14:paraId="657D1933" w14:textId="5FDC4D29" w:rsidR="002C7B3B" w:rsidRPr="006D631C" w:rsidRDefault="00DA24CB" w:rsidP="00DA24CB">
      <w:pPr>
        <w:ind w:firstLine="360"/>
        <w:jc w:val="center"/>
      </w:pPr>
      <w:r w:rsidRPr="006D631C">
        <w:rPr>
          <w:rFonts w:asciiTheme="majorBidi" w:hAnsiTheme="majorBidi" w:cstheme="majorBidi"/>
          <w:noProof/>
        </w:rPr>
        <w:drawing>
          <wp:inline distT="0" distB="0" distL="0" distR="0" wp14:anchorId="31719F3E" wp14:editId="6EF6D0BB">
            <wp:extent cx="4808220" cy="397891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1">
                      <a:extLst>
                        <a:ext uri="{28A0092B-C50C-407E-A947-70E740481C1C}">
                          <a14:useLocalDpi xmlns:a14="http://schemas.microsoft.com/office/drawing/2010/main" val="0"/>
                        </a:ext>
                      </a:extLst>
                    </a:blip>
                    <a:srcRect l="5160" t="9528" r="11350"/>
                    <a:stretch/>
                  </pic:blipFill>
                  <pic:spPr bwMode="auto">
                    <a:xfrm>
                      <a:off x="0" y="0"/>
                      <a:ext cx="4809005" cy="3979560"/>
                    </a:xfrm>
                    <a:prstGeom prst="rect">
                      <a:avLst/>
                    </a:prstGeom>
                    <a:noFill/>
                    <a:ln>
                      <a:noFill/>
                    </a:ln>
                    <a:extLst>
                      <a:ext uri="{53640926-AAD7-44D8-BBD7-CCE9431645EC}">
                        <a14:shadowObscured xmlns:a14="http://schemas.microsoft.com/office/drawing/2010/main"/>
                      </a:ext>
                    </a:extLst>
                  </pic:spPr>
                </pic:pic>
              </a:graphicData>
            </a:graphic>
          </wp:inline>
        </w:drawing>
      </w:r>
    </w:p>
    <w:p w14:paraId="02E145AA" w14:textId="6F64E896" w:rsidR="00DA24CB" w:rsidRPr="006D631C" w:rsidRDefault="00F36046" w:rsidP="00DA24CB">
      <w:pPr>
        <w:tabs>
          <w:tab w:val="left" w:pos="142"/>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sz w:val="22"/>
          <w:szCs w:val="22"/>
        </w:rPr>
        <w:t>Figure</w:t>
      </w:r>
      <w:r w:rsidR="00DA24CB" w:rsidRPr="006D631C">
        <w:rPr>
          <w:rFonts w:asciiTheme="majorBidi" w:hAnsiTheme="majorBidi" w:cstheme="majorBidi"/>
          <w:sz w:val="22"/>
          <w:szCs w:val="22"/>
        </w:rPr>
        <w:t xml:space="preserve"> F3. Variation of the rejection rate for OG with pH using commercially available NF270 membrane.</w:t>
      </w:r>
    </w:p>
    <w:p w14:paraId="21891854" w14:textId="77777777" w:rsidR="00DA24CB" w:rsidRPr="006D631C" w:rsidRDefault="00DA24CB" w:rsidP="00861405">
      <w:pPr>
        <w:pStyle w:val="TOC1"/>
      </w:pPr>
    </w:p>
    <w:p w14:paraId="048EFD0F" w14:textId="6457A274" w:rsidR="002C7B3B" w:rsidRPr="006D631C" w:rsidRDefault="002C7B3B" w:rsidP="00861405">
      <w:pPr>
        <w:pStyle w:val="TOC1"/>
      </w:pPr>
    </w:p>
    <w:p w14:paraId="11001AA1" w14:textId="3183294B" w:rsidR="002C7B3B" w:rsidRPr="006D631C" w:rsidRDefault="002C7B3B" w:rsidP="002C7B3B"/>
    <w:p w14:paraId="0FD401EF" w14:textId="243417D8" w:rsidR="002C7B3B" w:rsidRPr="006D631C" w:rsidRDefault="002C7B3B" w:rsidP="00861405">
      <w:pPr>
        <w:pStyle w:val="TOC1"/>
      </w:pPr>
    </w:p>
    <w:p w14:paraId="7D837DF3" w14:textId="57919943" w:rsidR="002C7B3B" w:rsidRPr="006D631C" w:rsidRDefault="002C7B3B" w:rsidP="002C7B3B"/>
    <w:p w14:paraId="07B18ADE" w14:textId="359EB1ED" w:rsidR="002C7B3B" w:rsidRPr="006D631C" w:rsidRDefault="002C7B3B" w:rsidP="00861405">
      <w:pPr>
        <w:pStyle w:val="TOC1"/>
      </w:pPr>
    </w:p>
    <w:p w14:paraId="241C992E" w14:textId="61115423" w:rsidR="002C7B3B" w:rsidRPr="006D631C" w:rsidRDefault="002C7B3B" w:rsidP="002C7B3B"/>
    <w:p w14:paraId="70D5A5EB" w14:textId="12639A5B" w:rsidR="002C7B3B" w:rsidRPr="006D631C" w:rsidRDefault="002C7B3B" w:rsidP="00861405">
      <w:pPr>
        <w:pStyle w:val="TOC1"/>
      </w:pPr>
    </w:p>
    <w:p w14:paraId="12254671" w14:textId="6BC3C502" w:rsidR="002C7B3B" w:rsidRPr="006D631C" w:rsidRDefault="002C7B3B" w:rsidP="002C7B3B"/>
    <w:p w14:paraId="6420FB60" w14:textId="13103384" w:rsidR="002C7B3B" w:rsidRPr="006D631C" w:rsidRDefault="002C7B3B" w:rsidP="002C7B3B">
      <w:pPr>
        <w:pStyle w:val="Heading2"/>
        <w:jc w:val="center"/>
      </w:pPr>
      <w:bookmarkStart w:id="252" w:name="_Toc148175908"/>
      <w:r w:rsidRPr="006D631C">
        <w:lastRenderedPageBreak/>
        <w:t>APPENDIX G</w:t>
      </w:r>
      <w:bookmarkEnd w:id="252"/>
    </w:p>
    <w:p w14:paraId="60588FD4" w14:textId="1B8E32AA" w:rsidR="002C7B3B" w:rsidRPr="006D631C" w:rsidRDefault="003B4C98" w:rsidP="003B4C98">
      <w:pPr>
        <w:pStyle w:val="Heading2"/>
        <w:jc w:val="center"/>
      </w:pPr>
      <w:bookmarkStart w:id="253" w:name="_Toc148175909"/>
      <w:r w:rsidRPr="006D631C">
        <w:t>MEASUREMENTS</w:t>
      </w:r>
      <w:r w:rsidR="008B76CF" w:rsidRPr="006D631C">
        <w:t xml:space="preserve"> </w:t>
      </w:r>
      <w:r w:rsidRPr="006D631C">
        <w:t>UNCERTAINTY</w:t>
      </w:r>
      <w:r w:rsidR="008B76CF" w:rsidRPr="006D631C">
        <w:t xml:space="preserve"> </w:t>
      </w:r>
      <w:r w:rsidRPr="006D631C">
        <w:t>CACLULATIONS</w:t>
      </w:r>
      <w:bookmarkEnd w:id="253"/>
      <w:r w:rsidR="008B76CF" w:rsidRPr="006D631C">
        <w:t xml:space="preserve">   </w:t>
      </w:r>
    </w:p>
    <w:p w14:paraId="6CBA378C" w14:textId="0BAD1624" w:rsidR="00854E23" w:rsidRPr="006D631C" w:rsidRDefault="001D1E17" w:rsidP="005C60C1">
      <w:pPr>
        <w:ind w:firstLine="360"/>
      </w:pPr>
      <w:r w:rsidRPr="006D631C">
        <w:t>From the law of propagation of uncertainties, w</w:t>
      </w:r>
      <w:r w:rsidR="00773287" w:rsidRPr="006D631C">
        <w:t>e utilized the following equation</w:t>
      </w:r>
      <w:r w:rsidR="00487D5C" w:rsidRPr="006D631C">
        <w:fldChar w:fldCharType="begin" w:fldLock="1"/>
      </w:r>
      <w:r w:rsidR="005C60C1" w:rsidRPr="006D631C">
        <w:instrText>ADDIN CSL_CITATION {"citationItems":[{"id":"ITEM-1","itemData":{"author":[{"dropping-particle":"","family":"ISO-GUM","given":"","non-dropping-particle":"","parse-names":false,"suffix":""}],"id":"ITEM-1","issued":{"date-parts":[["2008"]]},"number":"JCGM 100:2008","title":"Evaluation of measurement data — Guide to the expression of uncertainty in measurement","type":"patent"},"uris":["http://www.mendeley.com/documents/?uuid=f6a78e6c-e800-42a1-a1d3-573a03a3077a"]}],"mendeley":{"formattedCitation":"&lt;sup&gt;313&lt;/sup&gt;","plainTextFormattedCitation":"313","previouslyFormattedCitation":"&lt;sup&gt;312&lt;/sup&gt;"},"properties":{"noteIndex":0},"schema":"https://github.com/citation-style-language/schema/raw/master/csl-citation.json"}</w:instrText>
      </w:r>
      <w:r w:rsidR="00487D5C" w:rsidRPr="006D631C">
        <w:fldChar w:fldCharType="separate"/>
      </w:r>
      <w:r w:rsidR="005C60C1" w:rsidRPr="006D631C">
        <w:rPr>
          <w:noProof/>
          <w:vertAlign w:val="superscript"/>
        </w:rPr>
        <w:t>313</w:t>
      </w:r>
      <w:r w:rsidR="00487D5C" w:rsidRPr="006D631C">
        <w:fldChar w:fldCharType="end"/>
      </w:r>
      <w:r w:rsidR="00773287" w:rsidRPr="006D631C">
        <w:t xml:space="preserve"> to determine the combined standard uncertainty</w:t>
      </w:r>
      <w:r w:rsidR="00EB6BE6" w:rsidRPr="006D631C">
        <w:t xml:space="preserve">, </w:t>
      </w:r>
      <w:proofErr w:type="spellStart"/>
      <w:r w:rsidR="00EB6BE6" w:rsidRPr="006D631C">
        <w:rPr>
          <w:i/>
          <w:iCs/>
        </w:rPr>
        <w:t>u</w:t>
      </w:r>
      <w:r w:rsidR="00EB6BE6" w:rsidRPr="006D631C">
        <w:rPr>
          <w:i/>
          <w:iCs/>
          <w:vertAlign w:val="subscript"/>
        </w:rPr>
        <w:t>c</w:t>
      </w:r>
      <w:proofErr w:type="spellEnd"/>
      <w:r w:rsidR="00EB6BE6" w:rsidRPr="006D631C">
        <w:rPr>
          <w:i/>
          <w:iCs/>
        </w:rPr>
        <w:t>(y)</w:t>
      </w:r>
      <w:r w:rsidR="00773287" w:rsidRPr="006D631C">
        <w:t>, in order to assess how the uncertainty of various measurement</w:t>
      </w:r>
      <w:r w:rsidR="00E1119E" w:rsidRPr="006D631C">
        <w:t xml:space="preserve"> and controller</w:t>
      </w:r>
      <w:r w:rsidR="00773287" w:rsidRPr="006D631C">
        <w:t xml:space="preserve"> devices impacted our reported data.</w:t>
      </w:r>
    </w:p>
    <w:p w14:paraId="222CD903" w14:textId="6AE0306A" w:rsidR="00854E23" w:rsidRPr="006D631C" w:rsidRDefault="00CE6A43" w:rsidP="001E7695">
      <w:pPr>
        <w:pStyle w:val="Caption"/>
        <w:spacing w:after="0"/>
        <w:rPr>
          <w:rFonts w:asciiTheme="majorBidi" w:hAnsiTheme="majorBidi" w:cstheme="majorBidi"/>
        </w:rPr>
      </w:pPr>
      <w:r w:rsidRPr="006D631C">
        <w:t xml:space="preserve"> </w:t>
      </w:r>
      <w:r w:rsidR="00D515F5" w:rsidRPr="006D631C">
        <w:rPr>
          <w:rFonts w:asciiTheme="majorBidi" w:hAnsiTheme="majorBidi" w:cstheme="majorBidi"/>
          <w:position w:val="-34"/>
          <w:szCs w:val="24"/>
        </w:rPr>
        <w:object w:dxaOrig="6180" w:dyaOrig="880" w14:anchorId="7F029C23">
          <v:shape id="_x0000_i1074" type="#_x0000_t75" style="width:307.2pt;height:44.4pt" o:ole="">
            <v:imagedata r:id="rId182" o:title=""/>
          </v:shape>
          <o:OLEObject Type="Embed" ProgID="Equation.DSMT4" ShapeID="_x0000_i1074" DrawAspect="Content" ObjectID="_1760013342" r:id="rId183"/>
        </w:object>
      </w:r>
      <w:r w:rsidR="001E7695" w:rsidRPr="006D631C">
        <w:rPr>
          <w:rFonts w:asciiTheme="majorBidi" w:hAnsiTheme="majorBidi" w:cstheme="majorBidi"/>
        </w:rPr>
        <w:t xml:space="preserve">  </w:t>
      </w:r>
      <w:r w:rsidR="00D515F5" w:rsidRPr="006D631C">
        <w:rPr>
          <w:rFonts w:asciiTheme="majorBidi" w:hAnsiTheme="majorBidi" w:cstheme="majorBidi"/>
        </w:rPr>
        <w:t xml:space="preserve">           </w:t>
      </w:r>
      <w:r w:rsidR="00854E23" w:rsidRPr="006D631C">
        <w:rPr>
          <w:rFonts w:asciiTheme="majorBidi" w:hAnsiTheme="majorBidi" w:cstheme="majorBidi"/>
        </w:rPr>
        <w:t xml:space="preserve">                           </w:t>
      </w:r>
      <w:r w:rsidR="00854E23" w:rsidRPr="006D631C">
        <w:rPr>
          <w:rFonts w:asciiTheme="majorBidi" w:hAnsiTheme="majorBidi" w:cstheme="majorBidi"/>
        </w:rPr>
        <w:tab/>
        <w:t>(G-1)</w:t>
      </w:r>
    </w:p>
    <w:p w14:paraId="5B597E00" w14:textId="5AE0CDDE" w:rsidR="002C7B3B" w:rsidRPr="006D631C" w:rsidRDefault="0060343C" w:rsidP="00C23C58">
      <w:pPr>
        <w:ind w:firstLine="360"/>
      </w:pPr>
      <w:r w:rsidRPr="006D631C">
        <w:t>I</w:t>
      </w:r>
      <w:r w:rsidR="000D2F7F" w:rsidRPr="006D631C">
        <w:t xml:space="preserve">n this equation, </w:t>
      </w:r>
      <w:r w:rsidR="000D2F7F" w:rsidRPr="006D631C">
        <w:rPr>
          <w:i/>
          <w:iCs/>
        </w:rPr>
        <w:t>y</w:t>
      </w:r>
      <w:r w:rsidR="000D2F7F" w:rsidRPr="006D631C">
        <w:t xml:space="preserve"> is the measured </w:t>
      </w:r>
      <w:r w:rsidR="00F86AE3" w:rsidRPr="006D631C">
        <w:t xml:space="preserve">dependent </w:t>
      </w:r>
      <w:r w:rsidR="000D2F7F" w:rsidRPr="006D631C">
        <w:t>quantity</w:t>
      </w:r>
      <w:r w:rsidR="00A57671" w:rsidRPr="006D631C">
        <w:t xml:space="preserve"> </w:t>
      </w:r>
      <w:r w:rsidR="00682400" w:rsidRPr="006D631C">
        <w:t>like</w:t>
      </w:r>
      <w:r w:rsidR="00A57671" w:rsidRPr="006D631C">
        <w:t xml:space="preserve"> membrane flux</w:t>
      </w:r>
      <w:r w:rsidR="000D2F7F" w:rsidRPr="006D631C">
        <w:t>,</w:t>
      </w:r>
      <w:r w:rsidR="00D515F5" w:rsidRPr="006D631C">
        <w:t xml:space="preserve"> </w:t>
      </w:r>
      <w:proofErr w:type="spellStart"/>
      <w:r w:rsidR="00D515F5" w:rsidRPr="006D631C">
        <w:rPr>
          <w:i/>
          <w:iCs/>
        </w:rPr>
        <w:t>σ</w:t>
      </w:r>
      <w:r w:rsidR="00D515F5" w:rsidRPr="006D631C">
        <w:rPr>
          <w:i/>
          <w:iCs/>
          <w:vertAlign w:val="subscript"/>
        </w:rPr>
        <w:t>y</w:t>
      </w:r>
      <w:proofErr w:type="spellEnd"/>
      <w:r w:rsidR="00D515F5" w:rsidRPr="006D631C">
        <w:t xml:space="preserve"> is the uncertainty in the measured y due to the standard deviation,</w:t>
      </w:r>
      <w:r w:rsidR="000D2F7F" w:rsidRPr="006D631C">
        <w:t xml:space="preserve"> </w:t>
      </w:r>
      <w:r w:rsidR="000D2F7F" w:rsidRPr="006D631C">
        <w:rPr>
          <w:i/>
          <w:iCs/>
        </w:rPr>
        <w:t>x</w:t>
      </w:r>
      <w:r w:rsidR="000D2F7F" w:rsidRPr="006D631C">
        <w:t xml:space="preserve"> is </w:t>
      </w:r>
      <w:r w:rsidR="008E2B7A" w:rsidRPr="006D631C">
        <w:t xml:space="preserve">an </w:t>
      </w:r>
      <w:r w:rsidR="00F86AE3" w:rsidRPr="006D631C">
        <w:t xml:space="preserve">independent variable like pressure and </w:t>
      </w:r>
      <w:r w:rsidR="00F86AE3" w:rsidRPr="006D631C">
        <w:rPr>
          <w:i/>
          <w:iCs/>
        </w:rPr>
        <w:t>u(x)</w:t>
      </w:r>
      <w:r w:rsidR="00F86AE3" w:rsidRPr="006D631C">
        <w:t xml:space="preserve"> is the</w:t>
      </w:r>
      <w:r w:rsidR="002947E0" w:rsidRPr="006D631C">
        <w:t xml:space="preserve"> </w:t>
      </w:r>
      <w:r w:rsidR="008E2B7A" w:rsidRPr="006D631C">
        <w:t xml:space="preserve">absolute uncertainty of the device measuring or controlling the independent variable. </w:t>
      </w:r>
      <w:r w:rsidR="00F86AE3" w:rsidRPr="006D631C">
        <w:t xml:space="preserve">  </w:t>
      </w:r>
      <w:r w:rsidR="000D2F7F" w:rsidRPr="006D631C">
        <w:t xml:space="preserve">  </w:t>
      </w:r>
    </w:p>
    <w:p w14:paraId="3C008D23" w14:textId="77777777" w:rsidR="007460D0" w:rsidRPr="006D631C" w:rsidRDefault="002F1277" w:rsidP="007460D0">
      <w:pPr>
        <w:ind w:firstLine="360"/>
      </w:pPr>
      <w:r w:rsidRPr="006D631C">
        <w:t xml:space="preserve">Pressure regulator, temperature controller, balance and pH meter are the main equipment employed in </w:t>
      </w:r>
      <w:r w:rsidR="007E1A8F" w:rsidRPr="006D631C">
        <w:t>different</w:t>
      </w:r>
      <w:r w:rsidRPr="006D631C">
        <w:t xml:space="preserve"> characterization experiments.</w:t>
      </w:r>
      <w:r w:rsidR="007E1A8F" w:rsidRPr="006D631C">
        <w:t xml:space="preserve"> </w:t>
      </w:r>
      <w:r w:rsidR="009F34E1" w:rsidRPr="006D631C">
        <w:t>In some experiments, we utilized a UV-Vis spectrophotometer and a conductivity meter. However, since the linear calibration data obtained from these methods displayed an R-squared value of ≥0.999, indicating negligible measurement error, we excluded them from our combined uncertainty calculations.</w:t>
      </w:r>
    </w:p>
    <w:p w14:paraId="30965269" w14:textId="3DF9CFCF" w:rsidR="002D70D0" w:rsidRPr="006D631C" w:rsidRDefault="007460D0" w:rsidP="007460D0">
      <w:pPr>
        <w:ind w:firstLine="360"/>
      </w:pPr>
      <w:r w:rsidRPr="006D631C">
        <w:t xml:space="preserve">Table G1 </w:t>
      </w:r>
      <w:r w:rsidR="00740A8A" w:rsidRPr="006D631C">
        <w:t xml:space="preserve">can be generated </w:t>
      </w:r>
      <w:r w:rsidRPr="006D631C">
        <w:t xml:space="preserve">for the identified </w:t>
      </w:r>
      <w:r w:rsidR="00650C14" w:rsidRPr="006D631C">
        <w:t xml:space="preserve">independent variables as the </w:t>
      </w:r>
      <w:r w:rsidRPr="006D631C">
        <w:t>source of measurement uncertainties.</w:t>
      </w:r>
    </w:p>
    <w:p w14:paraId="7B008B29" w14:textId="351C07D9" w:rsidR="00AE598B" w:rsidRPr="006D631C" w:rsidRDefault="007732CF" w:rsidP="00D567B5">
      <w:pPr>
        <w:tabs>
          <w:tab w:val="left" w:pos="90"/>
          <w:tab w:val="left" w:pos="360"/>
          <w:tab w:val="left" w:pos="992"/>
        </w:tabs>
        <w:spacing w:line="360" w:lineRule="auto"/>
        <w:jc w:val="center"/>
        <w:rPr>
          <w:rFonts w:asciiTheme="majorBidi" w:hAnsiTheme="majorBidi" w:cstheme="majorBidi"/>
          <w:sz w:val="22"/>
          <w:szCs w:val="22"/>
        </w:rPr>
      </w:pPr>
      <w:r w:rsidRPr="006D631C">
        <w:t xml:space="preserve">    </w:t>
      </w:r>
      <w:r w:rsidR="002F1277" w:rsidRPr="006D631C">
        <w:t xml:space="preserve"> </w:t>
      </w:r>
      <w:r w:rsidR="00AE598B" w:rsidRPr="006D631C">
        <w:rPr>
          <w:rFonts w:asciiTheme="majorBidi" w:hAnsiTheme="majorBidi" w:cstheme="majorBidi"/>
          <w:bCs/>
          <w:sz w:val="22"/>
          <w:szCs w:val="22"/>
        </w:rPr>
        <w:t>Table G1.</w:t>
      </w:r>
      <w:r w:rsidR="00650C14" w:rsidRPr="006D631C">
        <w:rPr>
          <w:rFonts w:asciiTheme="majorBidi" w:hAnsiTheme="majorBidi" w:cstheme="majorBidi"/>
          <w:bCs/>
          <w:sz w:val="22"/>
          <w:szCs w:val="22"/>
        </w:rPr>
        <w:t xml:space="preserve"> </w:t>
      </w:r>
      <w:proofErr w:type="gramStart"/>
      <w:r w:rsidR="00650C14" w:rsidRPr="006D631C">
        <w:rPr>
          <w:rFonts w:asciiTheme="majorBidi" w:hAnsiTheme="majorBidi" w:cstheme="majorBidi"/>
          <w:bCs/>
          <w:i/>
          <w:iCs/>
          <w:sz w:val="22"/>
          <w:szCs w:val="22"/>
        </w:rPr>
        <w:t>u(</w:t>
      </w:r>
      <w:proofErr w:type="gramEnd"/>
      <w:r w:rsidR="00650C14" w:rsidRPr="006D631C">
        <w:rPr>
          <w:rFonts w:asciiTheme="majorBidi" w:hAnsiTheme="majorBidi" w:cstheme="majorBidi"/>
          <w:bCs/>
          <w:i/>
          <w:iCs/>
          <w:sz w:val="22"/>
          <w:szCs w:val="22"/>
        </w:rPr>
        <w:t>x)</w:t>
      </w:r>
      <w:r w:rsidR="00650C14" w:rsidRPr="006D631C">
        <w:rPr>
          <w:rFonts w:asciiTheme="majorBidi" w:hAnsiTheme="majorBidi" w:cstheme="majorBidi"/>
          <w:bCs/>
          <w:sz w:val="22"/>
          <w:szCs w:val="22"/>
        </w:rPr>
        <w:t xml:space="preserve"> value for </w:t>
      </w:r>
      <w:r w:rsidR="00D567B5" w:rsidRPr="006D631C">
        <w:rPr>
          <w:rFonts w:asciiTheme="majorBidi" w:hAnsiTheme="majorBidi" w:cstheme="majorBidi"/>
          <w:bCs/>
          <w:sz w:val="22"/>
          <w:szCs w:val="22"/>
        </w:rPr>
        <w:t>the equipment employed in different characterization experiments</w:t>
      </w:r>
      <w:r w:rsidR="00650C14" w:rsidRPr="006D631C">
        <w:rPr>
          <w:rFonts w:asciiTheme="majorBidi" w:hAnsiTheme="majorBidi" w:cstheme="majorBidi"/>
          <w:bCs/>
          <w:sz w:val="22"/>
          <w:szCs w:val="22"/>
        </w:rPr>
        <w:t>.</w:t>
      </w:r>
      <w:r w:rsidR="00AE598B" w:rsidRPr="006D631C">
        <w:rPr>
          <w:rFonts w:asciiTheme="majorBidi" w:hAnsiTheme="majorBidi" w:cstheme="majorBidi"/>
          <w:b/>
          <w:sz w:val="22"/>
          <w:szCs w:val="22"/>
        </w:rPr>
        <w:t xml:space="preserve"> </w:t>
      </w:r>
    </w:p>
    <w:tbl>
      <w:tblPr>
        <w:tblW w:w="5246" w:type="dxa"/>
        <w:jc w:val="center"/>
        <w:tblLayout w:type="fixed"/>
        <w:tblLook w:val="04A0" w:firstRow="1" w:lastRow="0" w:firstColumn="1" w:lastColumn="0" w:noHBand="0" w:noVBand="1"/>
      </w:tblPr>
      <w:tblGrid>
        <w:gridCol w:w="3969"/>
        <w:gridCol w:w="1277"/>
      </w:tblGrid>
      <w:tr w:rsidR="00D20F17" w:rsidRPr="006D631C" w14:paraId="4D934BAF" w14:textId="77777777" w:rsidTr="008772DB">
        <w:trPr>
          <w:trHeight w:val="567"/>
          <w:jc w:val="center"/>
        </w:trPr>
        <w:tc>
          <w:tcPr>
            <w:tcW w:w="3969" w:type="dxa"/>
            <w:tcBorders>
              <w:top w:val="single" w:sz="4" w:space="0" w:color="auto"/>
              <w:bottom w:val="single" w:sz="4" w:space="0" w:color="auto"/>
            </w:tcBorders>
            <w:shd w:val="clear" w:color="auto" w:fill="auto"/>
            <w:noWrap/>
            <w:vAlign w:val="center"/>
            <w:hideMark/>
          </w:tcPr>
          <w:p w14:paraId="5EE7A55E" w14:textId="23FCE281" w:rsidR="00D20F17" w:rsidRPr="006D631C" w:rsidRDefault="00D20F17" w:rsidP="00D20F17">
            <w:pPr>
              <w:spacing w:line="240" w:lineRule="auto"/>
              <w:jc w:val="left"/>
              <w:rPr>
                <w:rFonts w:asciiTheme="majorBidi" w:hAnsiTheme="majorBidi" w:cstheme="majorBidi"/>
                <w:b/>
                <w:bCs/>
                <w:color w:val="000000"/>
                <w:sz w:val="22"/>
                <w:szCs w:val="22"/>
              </w:rPr>
            </w:pPr>
            <w:r w:rsidRPr="006D631C">
              <w:rPr>
                <w:rFonts w:asciiTheme="majorBidi" w:hAnsiTheme="majorBidi" w:cstheme="majorBidi"/>
                <w:b/>
                <w:bCs/>
                <w:color w:val="000000"/>
                <w:sz w:val="22"/>
                <w:szCs w:val="22"/>
              </w:rPr>
              <w:t>Equipment</w:t>
            </w:r>
          </w:p>
        </w:tc>
        <w:tc>
          <w:tcPr>
            <w:tcW w:w="1277" w:type="dxa"/>
            <w:tcBorders>
              <w:top w:val="single" w:sz="4" w:space="0" w:color="auto"/>
              <w:bottom w:val="single" w:sz="4" w:space="0" w:color="auto"/>
            </w:tcBorders>
            <w:shd w:val="clear" w:color="auto" w:fill="auto"/>
            <w:noWrap/>
            <w:vAlign w:val="center"/>
            <w:hideMark/>
          </w:tcPr>
          <w:p w14:paraId="77C0028D" w14:textId="391F867C" w:rsidR="00D20F17" w:rsidRPr="006D631C" w:rsidRDefault="00D20F17" w:rsidP="00D20F17">
            <w:pPr>
              <w:spacing w:line="240" w:lineRule="auto"/>
              <w:jc w:val="left"/>
              <w:rPr>
                <w:rFonts w:asciiTheme="majorBidi" w:hAnsiTheme="majorBidi" w:cstheme="majorBidi"/>
                <w:b/>
                <w:bCs/>
                <w:color w:val="000000"/>
                <w:sz w:val="22"/>
                <w:szCs w:val="22"/>
              </w:rPr>
            </w:pPr>
            <w:r w:rsidRPr="006D631C">
              <w:rPr>
                <w:b/>
                <w:bCs/>
                <w:i/>
                <w:iCs/>
              </w:rPr>
              <w:t>u(x)</w:t>
            </w:r>
          </w:p>
        </w:tc>
      </w:tr>
      <w:tr w:rsidR="00D20F17" w:rsidRPr="006D631C" w14:paraId="356084E3" w14:textId="77777777" w:rsidTr="008772DB">
        <w:trPr>
          <w:trHeight w:val="567"/>
          <w:jc w:val="center"/>
        </w:trPr>
        <w:tc>
          <w:tcPr>
            <w:tcW w:w="3969" w:type="dxa"/>
            <w:tcBorders>
              <w:top w:val="single" w:sz="4" w:space="0" w:color="auto"/>
            </w:tcBorders>
            <w:shd w:val="clear" w:color="auto" w:fill="auto"/>
            <w:noWrap/>
            <w:vAlign w:val="center"/>
            <w:hideMark/>
          </w:tcPr>
          <w:p w14:paraId="26CB6320" w14:textId="167B1BF9" w:rsidR="00D20F17" w:rsidRPr="006D631C" w:rsidRDefault="00D20F17" w:rsidP="00D20F17">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Pressure regulator</w:t>
            </w:r>
          </w:p>
        </w:tc>
        <w:tc>
          <w:tcPr>
            <w:tcW w:w="1277" w:type="dxa"/>
            <w:tcBorders>
              <w:top w:val="single" w:sz="4" w:space="0" w:color="auto"/>
            </w:tcBorders>
            <w:shd w:val="clear" w:color="auto" w:fill="auto"/>
            <w:noWrap/>
            <w:vAlign w:val="center"/>
          </w:tcPr>
          <w:p w14:paraId="63A68157" w14:textId="119D5F9D" w:rsidR="00D20F17" w:rsidRPr="006D631C" w:rsidRDefault="00D20F17" w:rsidP="00D20F17">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±0.1 psi</w:t>
            </w:r>
          </w:p>
        </w:tc>
      </w:tr>
      <w:tr w:rsidR="00D20F17" w:rsidRPr="006D631C" w14:paraId="5F05DCAF" w14:textId="77777777" w:rsidTr="008772DB">
        <w:trPr>
          <w:trHeight w:val="567"/>
          <w:jc w:val="center"/>
        </w:trPr>
        <w:tc>
          <w:tcPr>
            <w:tcW w:w="3969" w:type="dxa"/>
            <w:shd w:val="clear" w:color="auto" w:fill="auto"/>
            <w:noWrap/>
            <w:vAlign w:val="center"/>
          </w:tcPr>
          <w:p w14:paraId="3FB7DFC9" w14:textId="6A6E56CE" w:rsidR="00D20F17" w:rsidRPr="006D631C" w:rsidRDefault="00D20F17" w:rsidP="00D20F17">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Temperature controller</w:t>
            </w:r>
          </w:p>
        </w:tc>
        <w:tc>
          <w:tcPr>
            <w:tcW w:w="1277" w:type="dxa"/>
            <w:shd w:val="clear" w:color="auto" w:fill="auto"/>
            <w:noWrap/>
            <w:vAlign w:val="center"/>
          </w:tcPr>
          <w:p w14:paraId="0C10FA70" w14:textId="45021256" w:rsidR="00D20F17" w:rsidRPr="006D631C" w:rsidRDefault="00D20F17" w:rsidP="00D20F17">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±0.1 °C</w:t>
            </w:r>
          </w:p>
        </w:tc>
      </w:tr>
      <w:tr w:rsidR="00D20F17" w:rsidRPr="006D631C" w14:paraId="295B2194" w14:textId="77777777" w:rsidTr="008772DB">
        <w:trPr>
          <w:trHeight w:val="567"/>
          <w:jc w:val="center"/>
        </w:trPr>
        <w:tc>
          <w:tcPr>
            <w:tcW w:w="3969" w:type="dxa"/>
            <w:shd w:val="clear" w:color="auto" w:fill="auto"/>
            <w:noWrap/>
            <w:vAlign w:val="center"/>
          </w:tcPr>
          <w:p w14:paraId="250BED2C" w14:textId="40B8F203" w:rsidR="00D20F17" w:rsidRPr="006D631C" w:rsidRDefault="00D20F17" w:rsidP="00D20F17">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Balance</w:t>
            </w:r>
          </w:p>
        </w:tc>
        <w:tc>
          <w:tcPr>
            <w:tcW w:w="1277" w:type="dxa"/>
            <w:shd w:val="clear" w:color="auto" w:fill="auto"/>
            <w:noWrap/>
            <w:vAlign w:val="center"/>
          </w:tcPr>
          <w:p w14:paraId="559674DE" w14:textId="0F711C21" w:rsidR="00D20F17" w:rsidRPr="006D631C" w:rsidRDefault="00D20F17" w:rsidP="00D20F17">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±0.0001 g</w:t>
            </w:r>
          </w:p>
        </w:tc>
      </w:tr>
      <w:tr w:rsidR="00D20F17" w:rsidRPr="006D631C" w14:paraId="2FF71B0C" w14:textId="77777777" w:rsidTr="008772DB">
        <w:trPr>
          <w:trHeight w:val="567"/>
          <w:jc w:val="center"/>
        </w:trPr>
        <w:tc>
          <w:tcPr>
            <w:tcW w:w="3969" w:type="dxa"/>
            <w:tcBorders>
              <w:bottom w:val="single" w:sz="4" w:space="0" w:color="auto"/>
            </w:tcBorders>
            <w:shd w:val="clear" w:color="auto" w:fill="auto"/>
            <w:noWrap/>
            <w:vAlign w:val="center"/>
          </w:tcPr>
          <w:p w14:paraId="41ABA595" w14:textId="221D093C" w:rsidR="00D20F17" w:rsidRPr="006D631C" w:rsidRDefault="00D20F17" w:rsidP="00D20F17">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pH meter</w:t>
            </w:r>
          </w:p>
        </w:tc>
        <w:tc>
          <w:tcPr>
            <w:tcW w:w="1277" w:type="dxa"/>
            <w:tcBorders>
              <w:bottom w:val="single" w:sz="4" w:space="0" w:color="auto"/>
            </w:tcBorders>
            <w:shd w:val="clear" w:color="auto" w:fill="auto"/>
            <w:noWrap/>
            <w:vAlign w:val="center"/>
          </w:tcPr>
          <w:p w14:paraId="70FC0AE2" w14:textId="416319BE" w:rsidR="00D20F17" w:rsidRPr="006D631C" w:rsidRDefault="00D20F17" w:rsidP="00D20F17">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±0.001</w:t>
            </w:r>
          </w:p>
        </w:tc>
      </w:tr>
    </w:tbl>
    <w:p w14:paraId="6A086888" w14:textId="21AAF860" w:rsidR="00AE598B" w:rsidRPr="006D631C" w:rsidRDefault="008F6E42" w:rsidP="00EA5AA7">
      <w:pPr>
        <w:ind w:firstLine="360"/>
        <w:rPr>
          <w:rFonts w:asciiTheme="majorBidi" w:hAnsiTheme="majorBidi" w:cstheme="majorBidi"/>
        </w:rPr>
      </w:pPr>
      <w:r w:rsidRPr="006D631C">
        <w:rPr>
          <w:rFonts w:asciiTheme="majorBidi" w:hAnsiTheme="majorBidi" w:cstheme="majorBidi"/>
        </w:rPr>
        <w:lastRenderedPageBreak/>
        <w:t xml:space="preserve">Table G2 </w:t>
      </w:r>
      <w:r w:rsidR="003E4846" w:rsidRPr="006D631C">
        <w:rPr>
          <w:rFonts w:asciiTheme="majorBidi" w:hAnsiTheme="majorBidi" w:cstheme="majorBidi"/>
        </w:rPr>
        <w:t xml:space="preserve">present the values of </w:t>
      </w:r>
      <m:oMath>
        <m:f>
          <m:fPr>
            <m:ctrlPr>
              <w:rPr>
                <w:rFonts w:ascii="Cambria Math" w:hAnsi="Cambria Math" w:cstheme="majorBidi"/>
                <w:i/>
              </w:rPr>
            </m:ctrlPr>
          </m:fPr>
          <m:num>
            <m:r>
              <w:rPr>
                <w:rFonts w:ascii="Cambria Math" w:hAnsi="Cambria Math" w:cstheme="majorBidi"/>
              </w:rPr>
              <m:t>∆y</m:t>
            </m:r>
          </m:num>
          <m:den>
            <m:r>
              <w:rPr>
                <w:rFonts w:ascii="Cambria Math" w:hAnsi="Cambria Math" w:cstheme="majorBidi"/>
              </w:rPr>
              <m:t>∆x</m:t>
            </m:r>
          </m:den>
        </m:f>
      </m:oMath>
      <w:r w:rsidR="003E4846" w:rsidRPr="006D631C">
        <w:rPr>
          <w:rFonts w:asciiTheme="majorBidi" w:hAnsiTheme="majorBidi" w:cstheme="majorBidi"/>
        </w:rPr>
        <w:t xml:space="preserve"> for various measured dependent quantities and independent variables in </w:t>
      </w:r>
      <w:r w:rsidR="00EA5AA7" w:rsidRPr="006D631C">
        <w:rPr>
          <w:rFonts w:asciiTheme="majorBidi" w:hAnsiTheme="majorBidi" w:cstheme="majorBidi"/>
        </w:rPr>
        <w:t xml:space="preserve">Chapter </w:t>
      </w:r>
      <w:r w:rsidRPr="006D631C">
        <w:rPr>
          <w:rFonts w:asciiTheme="majorBidi" w:hAnsiTheme="majorBidi" w:cstheme="majorBidi"/>
        </w:rPr>
        <w:t>1</w:t>
      </w:r>
      <w:r w:rsidR="003E4846" w:rsidRPr="006D631C">
        <w:rPr>
          <w:rFonts w:asciiTheme="majorBidi" w:hAnsiTheme="majorBidi" w:cstheme="majorBidi"/>
        </w:rPr>
        <w:t>, as defined from the experimental data.</w:t>
      </w:r>
      <w:r w:rsidR="00263C3E" w:rsidRPr="006D631C">
        <w:rPr>
          <w:rFonts w:asciiTheme="majorBidi" w:hAnsiTheme="majorBidi" w:cstheme="majorBidi"/>
        </w:rPr>
        <w:t xml:space="preserve">  </w:t>
      </w:r>
    </w:p>
    <w:p w14:paraId="78A3E275" w14:textId="0ACAEFBE" w:rsidR="00D118BA" w:rsidRPr="006D631C" w:rsidRDefault="00D118BA" w:rsidP="00EA5AA7">
      <w:pPr>
        <w:tabs>
          <w:tab w:val="left" w:pos="90"/>
          <w:tab w:val="left" w:pos="360"/>
          <w:tab w:val="left" w:pos="992"/>
        </w:tabs>
        <w:spacing w:line="360" w:lineRule="auto"/>
        <w:jc w:val="center"/>
        <w:rPr>
          <w:rFonts w:asciiTheme="majorBidi" w:hAnsiTheme="majorBidi" w:cstheme="majorBidi"/>
          <w:sz w:val="22"/>
          <w:szCs w:val="22"/>
        </w:rPr>
      </w:pPr>
      <w:r w:rsidRPr="006D631C">
        <w:rPr>
          <w:rFonts w:asciiTheme="majorBidi" w:hAnsiTheme="majorBidi" w:cstheme="majorBidi"/>
          <w:bCs/>
          <w:sz w:val="22"/>
          <w:szCs w:val="22"/>
        </w:rPr>
        <w:t>Table G2.</w:t>
      </w:r>
      <w:r w:rsidR="003F6552" w:rsidRPr="006D631C">
        <w:rPr>
          <w:rFonts w:asciiTheme="majorBidi" w:hAnsiTheme="majorBidi" w:cstheme="majorBidi"/>
          <w:bCs/>
          <w:sz w:val="22"/>
          <w:szCs w:val="22"/>
        </w:rPr>
        <w:t xml:space="preserve"> Measured</w:t>
      </w:r>
      <w:r w:rsidRPr="006D631C">
        <w:rPr>
          <w:rFonts w:asciiTheme="majorBidi" w:hAnsiTheme="majorBidi" w:cstheme="majorBidi"/>
          <w:bCs/>
          <w:sz w:val="22"/>
          <w:szCs w:val="22"/>
        </w:rPr>
        <w:t xml:space="preserve"> </w:t>
      </w:r>
      <m:oMath>
        <m:f>
          <m:fPr>
            <m:ctrlPr>
              <w:rPr>
                <w:rFonts w:ascii="Cambria Math" w:hAnsi="Cambria Math" w:cstheme="majorBidi"/>
                <w:i/>
              </w:rPr>
            </m:ctrlPr>
          </m:fPr>
          <m:num>
            <m:r>
              <w:rPr>
                <w:rFonts w:ascii="Cambria Math" w:hAnsi="Cambria Math" w:cstheme="majorBidi"/>
              </w:rPr>
              <m:t>∆y</m:t>
            </m:r>
          </m:num>
          <m:den>
            <m:r>
              <w:rPr>
                <w:rFonts w:ascii="Cambria Math" w:hAnsi="Cambria Math" w:cstheme="majorBidi"/>
              </w:rPr>
              <m:t>∆x</m:t>
            </m:r>
          </m:den>
        </m:f>
      </m:oMath>
      <w:r w:rsidRPr="006D631C">
        <w:rPr>
          <w:rFonts w:asciiTheme="majorBidi" w:hAnsiTheme="majorBidi" w:cstheme="majorBidi"/>
          <w:bCs/>
          <w:sz w:val="22"/>
          <w:szCs w:val="22"/>
        </w:rPr>
        <w:t xml:space="preserve"> </w:t>
      </w:r>
      <w:r w:rsidR="003F6552" w:rsidRPr="006D631C">
        <w:rPr>
          <w:rFonts w:asciiTheme="majorBidi" w:hAnsiTheme="majorBidi" w:cstheme="majorBidi"/>
          <w:bCs/>
          <w:sz w:val="22"/>
          <w:szCs w:val="22"/>
        </w:rPr>
        <w:t xml:space="preserve">for different dependent quantities and independent variables in </w:t>
      </w:r>
      <w:r w:rsidR="00EA5AA7" w:rsidRPr="006D631C">
        <w:rPr>
          <w:rFonts w:asciiTheme="majorBidi" w:hAnsiTheme="majorBidi" w:cstheme="majorBidi"/>
          <w:bCs/>
          <w:sz w:val="22"/>
          <w:szCs w:val="22"/>
        </w:rPr>
        <w:t xml:space="preserve">Chapter </w:t>
      </w:r>
      <w:r w:rsidR="003F6552" w:rsidRPr="006D631C">
        <w:rPr>
          <w:rFonts w:asciiTheme="majorBidi" w:hAnsiTheme="majorBidi" w:cstheme="majorBidi"/>
          <w:bCs/>
          <w:sz w:val="22"/>
          <w:szCs w:val="22"/>
        </w:rPr>
        <w:t>1</w:t>
      </w:r>
      <w:r w:rsidRPr="006D631C">
        <w:rPr>
          <w:rFonts w:asciiTheme="majorBidi" w:hAnsiTheme="majorBidi" w:cstheme="majorBidi"/>
          <w:bCs/>
          <w:sz w:val="22"/>
          <w:szCs w:val="22"/>
        </w:rPr>
        <w:t>.</w:t>
      </w:r>
      <w:r w:rsidRPr="006D631C">
        <w:rPr>
          <w:rFonts w:asciiTheme="majorBidi" w:hAnsiTheme="majorBidi" w:cstheme="majorBidi"/>
          <w:b/>
          <w:sz w:val="22"/>
          <w:szCs w:val="22"/>
        </w:rPr>
        <w:t xml:space="preserve"> </w:t>
      </w:r>
    </w:p>
    <w:tbl>
      <w:tblPr>
        <w:tblW w:w="8720" w:type="dxa"/>
        <w:jc w:val="center"/>
        <w:tblLayout w:type="fixed"/>
        <w:tblLook w:val="04A0" w:firstRow="1" w:lastRow="0" w:firstColumn="1" w:lastColumn="0" w:noHBand="0" w:noVBand="1"/>
      </w:tblPr>
      <w:tblGrid>
        <w:gridCol w:w="1418"/>
        <w:gridCol w:w="1276"/>
        <w:gridCol w:w="1417"/>
        <w:gridCol w:w="1418"/>
        <w:gridCol w:w="1559"/>
        <w:gridCol w:w="1632"/>
      </w:tblGrid>
      <w:tr w:rsidR="00B255E8" w:rsidRPr="006D631C" w14:paraId="097835F4" w14:textId="0F1A5B46" w:rsidTr="00C1186A">
        <w:trPr>
          <w:trHeight w:val="567"/>
          <w:jc w:val="center"/>
        </w:trPr>
        <w:tc>
          <w:tcPr>
            <w:tcW w:w="1418" w:type="dxa"/>
            <w:vMerge w:val="restart"/>
            <w:tcBorders>
              <w:top w:val="single" w:sz="4" w:space="0" w:color="auto"/>
            </w:tcBorders>
            <w:shd w:val="clear" w:color="auto" w:fill="auto"/>
            <w:noWrap/>
            <w:vAlign w:val="center"/>
            <w:hideMark/>
          </w:tcPr>
          <w:p w14:paraId="42338B41" w14:textId="11F0D35F" w:rsidR="00B255E8" w:rsidRPr="006D631C" w:rsidRDefault="00B255E8" w:rsidP="00D118BA">
            <w:pPr>
              <w:spacing w:line="240" w:lineRule="auto"/>
              <w:jc w:val="left"/>
              <w:rPr>
                <w:rFonts w:asciiTheme="majorBidi" w:hAnsiTheme="majorBidi" w:cstheme="majorBidi"/>
                <w:b/>
                <w:bCs/>
                <w:color w:val="000000"/>
                <w:sz w:val="22"/>
                <w:szCs w:val="22"/>
              </w:rPr>
            </w:pPr>
            <w:r w:rsidRPr="006D631C">
              <w:rPr>
                <w:rFonts w:asciiTheme="majorBidi" w:hAnsiTheme="majorBidi" w:cstheme="majorBidi"/>
                <w:b/>
                <w:bCs/>
                <w:color w:val="000000"/>
                <w:sz w:val="22"/>
                <w:szCs w:val="22"/>
              </w:rPr>
              <w:t>Independent variable</w:t>
            </w:r>
          </w:p>
        </w:tc>
        <w:tc>
          <w:tcPr>
            <w:tcW w:w="7302" w:type="dxa"/>
            <w:gridSpan w:val="5"/>
            <w:tcBorders>
              <w:top w:val="single" w:sz="4" w:space="0" w:color="auto"/>
            </w:tcBorders>
          </w:tcPr>
          <w:p w14:paraId="012C3D36" w14:textId="2A46D3FB" w:rsidR="00B255E8" w:rsidRPr="006D631C" w:rsidRDefault="001A0507" w:rsidP="00D118BA">
            <w:pPr>
              <w:spacing w:line="240" w:lineRule="auto"/>
              <w:jc w:val="left"/>
              <w:rPr>
                <w:b/>
                <w:bCs/>
                <w:i/>
                <w:iCs/>
                <w:sz w:val="22"/>
                <w:szCs w:val="22"/>
              </w:rPr>
            </w:pPr>
            <m:oMathPara>
              <m:oMath>
                <m:f>
                  <m:fPr>
                    <m:ctrlPr>
                      <w:rPr>
                        <w:rFonts w:ascii="Cambria Math" w:hAnsi="Cambria Math" w:cstheme="majorBidi"/>
                        <w:i/>
                        <w:sz w:val="22"/>
                        <w:szCs w:val="22"/>
                      </w:rPr>
                    </m:ctrlPr>
                  </m:fPr>
                  <m:num>
                    <m:r>
                      <w:rPr>
                        <w:rFonts w:ascii="Cambria Math" w:hAnsi="Cambria Math" w:cstheme="majorBidi"/>
                        <w:sz w:val="22"/>
                        <w:szCs w:val="22"/>
                      </w:rPr>
                      <m:t>∆y</m:t>
                    </m:r>
                  </m:num>
                  <m:den>
                    <m:r>
                      <w:rPr>
                        <w:rFonts w:ascii="Cambria Math" w:hAnsi="Cambria Math" w:cstheme="majorBidi"/>
                        <w:sz w:val="22"/>
                        <w:szCs w:val="22"/>
                      </w:rPr>
                      <m:t>∆x</m:t>
                    </m:r>
                  </m:den>
                </m:f>
              </m:oMath>
            </m:oMathPara>
          </w:p>
        </w:tc>
      </w:tr>
      <w:tr w:rsidR="00B255E8" w:rsidRPr="006D631C" w14:paraId="3042481A" w14:textId="5E8D0A99" w:rsidTr="00C1186A">
        <w:trPr>
          <w:trHeight w:val="567"/>
          <w:jc w:val="center"/>
        </w:trPr>
        <w:tc>
          <w:tcPr>
            <w:tcW w:w="1418" w:type="dxa"/>
            <w:vMerge/>
            <w:tcBorders>
              <w:bottom w:val="single" w:sz="4" w:space="0" w:color="auto"/>
            </w:tcBorders>
            <w:shd w:val="clear" w:color="auto" w:fill="auto"/>
            <w:noWrap/>
            <w:vAlign w:val="center"/>
          </w:tcPr>
          <w:p w14:paraId="4B2FA9CA" w14:textId="77777777" w:rsidR="00B255E8" w:rsidRPr="006D631C" w:rsidRDefault="00B255E8" w:rsidP="00B255E8">
            <w:pPr>
              <w:spacing w:line="240" w:lineRule="auto"/>
              <w:jc w:val="left"/>
              <w:rPr>
                <w:rFonts w:asciiTheme="majorBidi" w:hAnsiTheme="majorBidi" w:cstheme="majorBidi"/>
                <w:b/>
                <w:bCs/>
                <w:color w:val="000000"/>
                <w:sz w:val="22"/>
                <w:szCs w:val="22"/>
              </w:rPr>
            </w:pPr>
          </w:p>
        </w:tc>
        <w:tc>
          <w:tcPr>
            <w:tcW w:w="1276" w:type="dxa"/>
            <w:tcBorders>
              <w:top w:val="single" w:sz="4" w:space="0" w:color="auto"/>
              <w:bottom w:val="single" w:sz="4" w:space="0" w:color="auto"/>
            </w:tcBorders>
            <w:shd w:val="clear" w:color="auto" w:fill="auto"/>
            <w:noWrap/>
            <w:vAlign w:val="center"/>
          </w:tcPr>
          <w:p w14:paraId="7E918904" w14:textId="27E63A19" w:rsidR="00B255E8" w:rsidRPr="006D631C" w:rsidRDefault="00B255E8" w:rsidP="00B255E8">
            <w:pPr>
              <w:spacing w:line="240" w:lineRule="auto"/>
              <w:jc w:val="left"/>
              <w:rPr>
                <w:sz w:val="22"/>
                <w:szCs w:val="22"/>
              </w:rPr>
            </w:pPr>
            <w:r w:rsidRPr="006D631C">
              <w:rPr>
                <w:sz w:val="22"/>
                <w:szCs w:val="22"/>
              </w:rPr>
              <w:t>Hydration Capacity</w:t>
            </w:r>
          </w:p>
        </w:tc>
        <w:tc>
          <w:tcPr>
            <w:tcW w:w="1417" w:type="dxa"/>
            <w:tcBorders>
              <w:top w:val="single" w:sz="4" w:space="0" w:color="auto"/>
              <w:bottom w:val="single" w:sz="4" w:space="0" w:color="auto"/>
            </w:tcBorders>
            <w:vAlign w:val="center"/>
          </w:tcPr>
          <w:p w14:paraId="4A923767" w14:textId="2C6886FC" w:rsidR="00B255E8" w:rsidRPr="006D631C" w:rsidRDefault="00B255E8" w:rsidP="00B255E8">
            <w:pPr>
              <w:spacing w:line="240" w:lineRule="auto"/>
              <w:jc w:val="left"/>
              <w:rPr>
                <w:sz w:val="22"/>
                <w:szCs w:val="22"/>
              </w:rPr>
            </w:pPr>
            <w:r w:rsidRPr="006D631C">
              <w:rPr>
                <w:sz w:val="22"/>
                <w:szCs w:val="22"/>
              </w:rPr>
              <w:t>Flux for polyLLC</w:t>
            </w:r>
          </w:p>
        </w:tc>
        <w:tc>
          <w:tcPr>
            <w:tcW w:w="1418" w:type="dxa"/>
            <w:tcBorders>
              <w:top w:val="single" w:sz="4" w:space="0" w:color="auto"/>
              <w:bottom w:val="single" w:sz="4" w:space="0" w:color="auto"/>
            </w:tcBorders>
            <w:vAlign w:val="center"/>
          </w:tcPr>
          <w:p w14:paraId="78A7CA3D" w14:textId="7863C471" w:rsidR="00B255E8" w:rsidRPr="006D631C" w:rsidRDefault="00B255E8" w:rsidP="00B255E8">
            <w:pPr>
              <w:spacing w:line="240" w:lineRule="auto"/>
              <w:jc w:val="left"/>
              <w:rPr>
                <w:sz w:val="22"/>
                <w:szCs w:val="22"/>
              </w:rPr>
            </w:pPr>
            <w:r w:rsidRPr="006D631C">
              <w:rPr>
                <w:sz w:val="22"/>
                <w:szCs w:val="22"/>
              </w:rPr>
              <w:t xml:space="preserve">Flux for PAN </w:t>
            </w:r>
          </w:p>
        </w:tc>
        <w:tc>
          <w:tcPr>
            <w:tcW w:w="1559" w:type="dxa"/>
            <w:tcBorders>
              <w:top w:val="single" w:sz="4" w:space="0" w:color="auto"/>
              <w:bottom w:val="single" w:sz="4" w:space="0" w:color="auto"/>
            </w:tcBorders>
            <w:vAlign w:val="center"/>
          </w:tcPr>
          <w:p w14:paraId="20F21DF8" w14:textId="101930A2" w:rsidR="00B255E8" w:rsidRPr="006D631C" w:rsidRDefault="00B255E8" w:rsidP="00B255E8">
            <w:pPr>
              <w:spacing w:line="240" w:lineRule="auto"/>
              <w:jc w:val="left"/>
              <w:rPr>
                <w:sz w:val="22"/>
                <w:szCs w:val="22"/>
              </w:rPr>
            </w:pPr>
            <w:r w:rsidRPr="006D631C">
              <w:rPr>
                <w:sz w:val="22"/>
                <w:szCs w:val="22"/>
              </w:rPr>
              <w:t>Permeability for polyLLC</w:t>
            </w:r>
          </w:p>
        </w:tc>
        <w:tc>
          <w:tcPr>
            <w:tcW w:w="1632" w:type="dxa"/>
            <w:tcBorders>
              <w:top w:val="single" w:sz="4" w:space="0" w:color="auto"/>
              <w:bottom w:val="single" w:sz="4" w:space="0" w:color="auto"/>
            </w:tcBorders>
            <w:vAlign w:val="center"/>
          </w:tcPr>
          <w:p w14:paraId="63DC6F6A" w14:textId="32B87AF8" w:rsidR="00B255E8" w:rsidRPr="006D631C" w:rsidRDefault="00B255E8" w:rsidP="00B255E8">
            <w:pPr>
              <w:spacing w:line="240" w:lineRule="auto"/>
              <w:jc w:val="left"/>
              <w:rPr>
                <w:sz w:val="22"/>
                <w:szCs w:val="22"/>
              </w:rPr>
            </w:pPr>
            <w:r w:rsidRPr="006D631C">
              <w:rPr>
                <w:sz w:val="22"/>
                <w:szCs w:val="22"/>
              </w:rPr>
              <w:t>Permeability for PAN</w:t>
            </w:r>
          </w:p>
        </w:tc>
      </w:tr>
      <w:tr w:rsidR="00365D81" w:rsidRPr="006D631C" w14:paraId="26E66398" w14:textId="1AAB1B90" w:rsidTr="00C1186A">
        <w:trPr>
          <w:trHeight w:val="567"/>
          <w:jc w:val="center"/>
        </w:trPr>
        <w:tc>
          <w:tcPr>
            <w:tcW w:w="1418" w:type="dxa"/>
            <w:tcBorders>
              <w:top w:val="single" w:sz="4" w:space="0" w:color="auto"/>
            </w:tcBorders>
            <w:shd w:val="clear" w:color="auto" w:fill="auto"/>
            <w:noWrap/>
            <w:vAlign w:val="center"/>
            <w:hideMark/>
          </w:tcPr>
          <w:p w14:paraId="63BA9573" w14:textId="0E439861"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 xml:space="preserve">Pressure </w:t>
            </w:r>
          </w:p>
        </w:tc>
        <w:tc>
          <w:tcPr>
            <w:tcW w:w="1276" w:type="dxa"/>
            <w:tcBorders>
              <w:top w:val="single" w:sz="4" w:space="0" w:color="auto"/>
            </w:tcBorders>
            <w:shd w:val="clear" w:color="auto" w:fill="auto"/>
            <w:noWrap/>
            <w:vAlign w:val="center"/>
          </w:tcPr>
          <w:p w14:paraId="08044562" w14:textId="1883B141"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No correlation</w:t>
            </w:r>
          </w:p>
        </w:tc>
        <w:tc>
          <w:tcPr>
            <w:tcW w:w="1417" w:type="dxa"/>
            <w:tcBorders>
              <w:top w:val="single" w:sz="4" w:space="0" w:color="auto"/>
            </w:tcBorders>
            <w:vAlign w:val="center"/>
          </w:tcPr>
          <w:p w14:paraId="2E36F9B0" w14:textId="3F2BA51A"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5.3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h</w:t>
            </w:r>
            <w:r w:rsidR="00B35BF5" w:rsidRPr="006D631C">
              <w:rPr>
                <w:rFonts w:asciiTheme="majorBidi" w:hAnsiTheme="majorBidi" w:cstheme="majorBidi"/>
                <w:color w:val="000000"/>
                <w:sz w:val="22"/>
                <w:szCs w:val="22"/>
              </w:rPr>
              <w:t>our</w:t>
            </w:r>
            <w:r w:rsidRPr="006D631C">
              <w:rPr>
                <w:rFonts w:asciiTheme="majorBidi" w:hAnsiTheme="majorBidi" w:cstheme="majorBidi"/>
                <w:color w:val="000000"/>
                <w:sz w:val="22"/>
                <w:szCs w:val="22"/>
                <w:vertAlign w:val="superscript"/>
              </w:rPr>
              <w:t>-1</w:t>
            </w:r>
            <w:r w:rsidRPr="006D631C">
              <w:rPr>
                <w:rFonts w:asciiTheme="majorBidi" w:hAnsiTheme="majorBidi" w:cstheme="majorBidi"/>
                <w:color w:val="000000"/>
                <w:sz w:val="22"/>
                <w:szCs w:val="22"/>
              </w:rPr>
              <w:t xml:space="preserve"> psi</w:t>
            </w:r>
            <w:r w:rsidRPr="006D631C">
              <w:rPr>
                <w:rFonts w:asciiTheme="majorBidi" w:hAnsiTheme="majorBidi" w:cstheme="majorBidi"/>
                <w:color w:val="000000"/>
                <w:sz w:val="22"/>
                <w:szCs w:val="22"/>
                <w:vertAlign w:val="superscript"/>
              </w:rPr>
              <w:t>-1</w:t>
            </w:r>
            <w:r w:rsidRPr="006D631C">
              <w:rPr>
                <w:rFonts w:asciiTheme="majorBidi" w:hAnsiTheme="majorBidi" w:cstheme="majorBidi"/>
                <w:color w:val="000000"/>
                <w:sz w:val="22"/>
                <w:szCs w:val="22"/>
              </w:rPr>
              <w:t xml:space="preserve"> </w:t>
            </w:r>
          </w:p>
        </w:tc>
        <w:tc>
          <w:tcPr>
            <w:tcW w:w="1418" w:type="dxa"/>
            <w:tcBorders>
              <w:top w:val="single" w:sz="4" w:space="0" w:color="auto"/>
            </w:tcBorders>
            <w:vAlign w:val="center"/>
          </w:tcPr>
          <w:p w14:paraId="0E3225F7" w14:textId="190A7D58"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6.8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h</w:t>
            </w:r>
            <w:r w:rsidR="00B35BF5" w:rsidRPr="006D631C">
              <w:rPr>
                <w:rFonts w:asciiTheme="majorBidi" w:hAnsiTheme="majorBidi" w:cstheme="majorBidi"/>
                <w:color w:val="000000"/>
                <w:sz w:val="22"/>
                <w:szCs w:val="22"/>
              </w:rPr>
              <w:t>our</w:t>
            </w:r>
            <w:r w:rsidRPr="006D631C">
              <w:rPr>
                <w:rFonts w:asciiTheme="majorBidi" w:hAnsiTheme="majorBidi" w:cstheme="majorBidi"/>
                <w:color w:val="000000"/>
                <w:sz w:val="22"/>
                <w:szCs w:val="22"/>
                <w:vertAlign w:val="superscript"/>
              </w:rPr>
              <w:t>-1</w:t>
            </w:r>
            <w:r w:rsidRPr="006D631C">
              <w:rPr>
                <w:rFonts w:asciiTheme="majorBidi" w:hAnsiTheme="majorBidi" w:cstheme="majorBidi"/>
                <w:color w:val="000000"/>
                <w:sz w:val="22"/>
                <w:szCs w:val="22"/>
              </w:rPr>
              <w:t xml:space="preserve"> psi</w:t>
            </w:r>
            <w:r w:rsidRPr="006D631C">
              <w:rPr>
                <w:rFonts w:asciiTheme="majorBidi" w:hAnsiTheme="majorBidi" w:cstheme="majorBidi"/>
                <w:color w:val="000000"/>
                <w:sz w:val="22"/>
                <w:szCs w:val="22"/>
                <w:vertAlign w:val="superscript"/>
              </w:rPr>
              <w:t>-1</w:t>
            </w:r>
            <w:r w:rsidRPr="006D631C">
              <w:rPr>
                <w:rFonts w:asciiTheme="majorBidi" w:hAnsiTheme="majorBidi" w:cstheme="majorBidi"/>
                <w:color w:val="000000"/>
                <w:sz w:val="22"/>
                <w:szCs w:val="22"/>
              </w:rPr>
              <w:t xml:space="preserve"> </w:t>
            </w:r>
          </w:p>
        </w:tc>
        <w:tc>
          <w:tcPr>
            <w:tcW w:w="1559" w:type="dxa"/>
            <w:tcBorders>
              <w:top w:val="single" w:sz="4" w:space="0" w:color="auto"/>
            </w:tcBorders>
          </w:tcPr>
          <w:p w14:paraId="2745C5F8" w14:textId="5565AC41" w:rsidR="00365D81" w:rsidRPr="006D631C" w:rsidRDefault="00365D81" w:rsidP="007107CF">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w:t>
            </w:r>
            <w:r w:rsidR="000A2C2D" w:rsidRPr="006D631C">
              <w:rPr>
                <w:rFonts w:asciiTheme="majorBidi" w:hAnsiTheme="majorBidi" w:cstheme="majorBidi"/>
                <w:color w:val="000000"/>
                <w:sz w:val="22"/>
                <w:szCs w:val="22"/>
              </w:rPr>
              <w:t>0</w:t>
            </w:r>
            <w:r w:rsidR="007107CF" w:rsidRPr="006D631C">
              <w:rPr>
                <w:rFonts w:asciiTheme="majorBidi" w:hAnsiTheme="majorBidi" w:cstheme="majorBidi"/>
                <w:color w:val="000000"/>
                <w:sz w:val="22"/>
                <w:szCs w:val="22"/>
              </w:rPr>
              <w:t>6</w:t>
            </w:r>
            <w:r w:rsidR="008B0295" w:rsidRPr="006D631C">
              <w:rPr>
                <w:rFonts w:asciiTheme="majorBidi" w:hAnsiTheme="majorBidi" w:cstheme="majorBidi"/>
                <w:color w:val="000000"/>
                <w:sz w:val="22"/>
                <w:szCs w:val="22"/>
              </w:rPr>
              <w:t>5</w:t>
            </w:r>
            <w:r w:rsidRPr="006D631C">
              <w:rPr>
                <w:rFonts w:asciiTheme="majorBidi" w:hAnsiTheme="majorBidi" w:cstheme="majorBidi"/>
                <w:color w:val="000000"/>
                <w:sz w:val="22"/>
                <w:szCs w:val="22"/>
              </w:rPr>
              <w:t>×10</w:t>
            </w:r>
            <w:r w:rsidRPr="006D631C">
              <w:rPr>
                <w:rFonts w:asciiTheme="majorBidi" w:hAnsiTheme="majorBidi" w:cstheme="majorBidi"/>
                <w:color w:val="000000"/>
                <w:sz w:val="22"/>
                <w:szCs w:val="22"/>
                <w:vertAlign w:val="superscript"/>
              </w:rPr>
              <w:t>-10</w:t>
            </w:r>
            <w:r w:rsidRPr="006D631C">
              <w:rPr>
                <w:rFonts w:asciiTheme="majorBidi" w:hAnsiTheme="majorBidi" w:cstheme="majorBidi"/>
                <w:color w:val="000000"/>
                <w:sz w:val="22"/>
                <w:szCs w:val="22"/>
              </w:rPr>
              <w:t xml:space="preserve">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psi</w:t>
            </w:r>
            <w:r w:rsidRPr="006D631C">
              <w:rPr>
                <w:rFonts w:asciiTheme="majorBidi" w:hAnsiTheme="majorBidi" w:cstheme="majorBidi"/>
                <w:color w:val="000000"/>
                <w:sz w:val="22"/>
                <w:szCs w:val="22"/>
                <w:vertAlign w:val="superscript"/>
              </w:rPr>
              <w:t>-1</w:t>
            </w:r>
          </w:p>
        </w:tc>
        <w:tc>
          <w:tcPr>
            <w:tcW w:w="1632" w:type="dxa"/>
            <w:tcBorders>
              <w:top w:val="single" w:sz="4" w:space="0" w:color="auto"/>
            </w:tcBorders>
          </w:tcPr>
          <w:p w14:paraId="314D25ED" w14:textId="3E5B5049"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0.12×10</w:t>
            </w:r>
            <w:r w:rsidRPr="006D631C">
              <w:rPr>
                <w:rFonts w:asciiTheme="majorBidi" w:hAnsiTheme="majorBidi" w:cstheme="majorBidi"/>
                <w:color w:val="000000"/>
                <w:sz w:val="22"/>
                <w:szCs w:val="22"/>
                <w:vertAlign w:val="superscript"/>
              </w:rPr>
              <w:t>-10</w:t>
            </w:r>
            <w:r w:rsidRPr="006D631C">
              <w:rPr>
                <w:rFonts w:asciiTheme="majorBidi" w:hAnsiTheme="majorBidi" w:cstheme="majorBidi"/>
                <w:color w:val="000000"/>
                <w:sz w:val="22"/>
                <w:szCs w:val="22"/>
              </w:rPr>
              <w:t xml:space="preserve">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psi</w:t>
            </w:r>
            <w:r w:rsidRPr="006D631C">
              <w:rPr>
                <w:rFonts w:asciiTheme="majorBidi" w:hAnsiTheme="majorBidi" w:cstheme="majorBidi"/>
                <w:color w:val="000000"/>
                <w:sz w:val="22"/>
                <w:szCs w:val="22"/>
                <w:vertAlign w:val="superscript"/>
              </w:rPr>
              <w:t>-1</w:t>
            </w:r>
          </w:p>
        </w:tc>
      </w:tr>
      <w:tr w:rsidR="00365D81" w:rsidRPr="006D631C" w14:paraId="6A443374" w14:textId="77B4BAEE" w:rsidTr="00C1186A">
        <w:trPr>
          <w:trHeight w:val="567"/>
          <w:jc w:val="center"/>
        </w:trPr>
        <w:tc>
          <w:tcPr>
            <w:tcW w:w="1418" w:type="dxa"/>
            <w:shd w:val="clear" w:color="auto" w:fill="auto"/>
            <w:noWrap/>
            <w:vAlign w:val="center"/>
          </w:tcPr>
          <w:p w14:paraId="6F879163" w14:textId="4BA76B11"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 xml:space="preserve">Temperature </w:t>
            </w:r>
          </w:p>
        </w:tc>
        <w:tc>
          <w:tcPr>
            <w:tcW w:w="1276" w:type="dxa"/>
            <w:shd w:val="clear" w:color="auto" w:fill="auto"/>
            <w:noWrap/>
            <w:vAlign w:val="center"/>
          </w:tcPr>
          <w:p w14:paraId="3EE174A2" w14:textId="6EF0C12B"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1.7 mg cm</w:t>
            </w:r>
            <w:r w:rsidRPr="006D631C">
              <w:rPr>
                <w:rFonts w:asciiTheme="majorBidi" w:hAnsiTheme="majorBidi" w:cstheme="majorBidi"/>
                <w:color w:val="000000"/>
                <w:sz w:val="22"/>
                <w:szCs w:val="22"/>
                <w:vertAlign w:val="superscript"/>
              </w:rPr>
              <w:t xml:space="preserve">-3 </w:t>
            </w:r>
            <w:r w:rsidRPr="006D631C">
              <w:rPr>
                <w:rFonts w:asciiTheme="majorBidi" w:hAnsiTheme="majorBidi" w:cstheme="majorBidi"/>
                <w:color w:val="000000"/>
                <w:sz w:val="22"/>
                <w:szCs w:val="22"/>
              </w:rPr>
              <w:t>°C</w:t>
            </w:r>
            <w:r w:rsidRPr="006D631C">
              <w:rPr>
                <w:rFonts w:asciiTheme="majorBidi" w:hAnsiTheme="majorBidi" w:cstheme="majorBidi"/>
                <w:color w:val="000000"/>
                <w:sz w:val="22"/>
                <w:szCs w:val="22"/>
                <w:vertAlign w:val="superscript"/>
              </w:rPr>
              <w:t>-1</w:t>
            </w:r>
          </w:p>
        </w:tc>
        <w:tc>
          <w:tcPr>
            <w:tcW w:w="1417" w:type="dxa"/>
            <w:vAlign w:val="center"/>
          </w:tcPr>
          <w:p w14:paraId="6CE547BE" w14:textId="304926BD"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2.8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h</w:t>
            </w:r>
            <w:r w:rsidR="00B35BF5" w:rsidRPr="006D631C">
              <w:rPr>
                <w:rFonts w:asciiTheme="majorBidi" w:hAnsiTheme="majorBidi" w:cstheme="majorBidi"/>
                <w:color w:val="000000"/>
                <w:sz w:val="22"/>
                <w:szCs w:val="22"/>
              </w:rPr>
              <w:t>our</w:t>
            </w:r>
            <w:r w:rsidRPr="006D631C">
              <w:rPr>
                <w:rFonts w:asciiTheme="majorBidi" w:hAnsiTheme="majorBidi" w:cstheme="majorBidi"/>
                <w:color w:val="000000"/>
                <w:sz w:val="22"/>
                <w:szCs w:val="22"/>
                <w:vertAlign w:val="superscript"/>
              </w:rPr>
              <w:t>-1</w:t>
            </w:r>
            <w:r w:rsidRPr="006D631C">
              <w:rPr>
                <w:rFonts w:asciiTheme="majorBidi" w:hAnsiTheme="majorBidi" w:cstheme="majorBidi"/>
                <w:color w:val="000000"/>
                <w:sz w:val="22"/>
                <w:szCs w:val="22"/>
              </w:rPr>
              <w:t xml:space="preserve"> °C</w:t>
            </w:r>
            <w:r w:rsidRPr="006D631C">
              <w:rPr>
                <w:rFonts w:asciiTheme="majorBidi" w:hAnsiTheme="majorBidi" w:cstheme="majorBidi"/>
                <w:color w:val="000000"/>
                <w:sz w:val="22"/>
                <w:szCs w:val="22"/>
                <w:vertAlign w:val="superscript"/>
              </w:rPr>
              <w:t>-1</w:t>
            </w:r>
          </w:p>
        </w:tc>
        <w:tc>
          <w:tcPr>
            <w:tcW w:w="1418" w:type="dxa"/>
            <w:vAlign w:val="center"/>
          </w:tcPr>
          <w:p w14:paraId="24431C50" w14:textId="75BB6347"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1.2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h</w:t>
            </w:r>
            <w:r w:rsidR="00B35BF5" w:rsidRPr="006D631C">
              <w:rPr>
                <w:rFonts w:asciiTheme="majorBidi" w:hAnsiTheme="majorBidi" w:cstheme="majorBidi"/>
                <w:color w:val="000000"/>
                <w:sz w:val="22"/>
                <w:szCs w:val="22"/>
              </w:rPr>
              <w:t>our</w:t>
            </w:r>
            <w:r w:rsidRPr="006D631C">
              <w:rPr>
                <w:rFonts w:asciiTheme="majorBidi" w:hAnsiTheme="majorBidi" w:cstheme="majorBidi"/>
                <w:color w:val="000000"/>
                <w:sz w:val="22"/>
                <w:szCs w:val="22"/>
                <w:vertAlign w:val="superscript"/>
              </w:rPr>
              <w:t>-1</w:t>
            </w:r>
            <w:r w:rsidRPr="006D631C">
              <w:rPr>
                <w:rFonts w:asciiTheme="majorBidi" w:hAnsiTheme="majorBidi" w:cstheme="majorBidi"/>
                <w:color w:val="000000"/>
                <w:sz w:val="22"/>
                <w:szCs w:val="22"/>
              </w:rPr>
              <w:t xml:space="preserve"> °C</w:t>
            </w:r>
            <w:r w:rsidRPr="006D631C">
              <w:rPr>
                <w:rFonts w:asciiTheme="majorBidi" w:hAnsiTheme="majorBidi" w:cstheme="majorBidi"/>
                <w:color w:val="000000"/>
                <w:sz w:val="22"/>
                <w:szCs w:val="22"/>
                <w:vertAlign w:val="superscript"/>
              </w:rPr>
              <w:t>-1</w:t>
            </w:r>
          </w:p>
        </w:tc>
        <w:tc>
          <w:tcPr>
            <w:tcW w:w="1559" w:type="dxa"/>
          </w:tcPr>
          <w:p w14:paraId="3BF0D777" w14:textId="52D932BE"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w:t>
            </w:r>
            <w:r w:rsidR="000A2C2D" w:rsidRPr="006D631C">
              <w:rPr>
                <w:rFonts w:asciiTheme="majorBidi" w:hAnsiTheme="majorBidi" w:cstheme="majorBidi"/>
                <w:color w:val="000000"/>
                <w:sz w:val="22"/>
                <w:szCs w:val="22"/>
              </w:rPr>
              <w:t>.0</w:t>
            </w:r>
            <w:r w:rsidRPr="006D631C">
              <w:rPr>
                <w:rFonts w:asciiTheme="majorBidi" w:hAnsiTheme="majorBidi" w:cstheme="majorBidi"/>
                <w:color w:val="000000"/>
                <w:sz w:val="22"/>
                <w:szCs w:val="22"/>
              </w:rPr>
              <w:t>2×10</w:t>
            </w:r>
            <w:r w:rsidRPr="006D631C">
              <w:rPr>
                <w:rFonts w:asciiTheme="majorBidi" w:hAnsiTheme="majorBidi" w:cstheme="majorBidi"/>
                <w:color w:val="000000"/>
                <w:sz w:val="22"/>
                <w:szCs w:val="22"/>
                <w:vertAlign w:val="superscript"/>
              </w:rPr>
              <w:t>-10</w:t>
            </w:r>
            <w:r w:rsidRPr="006D631C">
              <w:rPr>
                <w:rFonts w:asciiTheme="majorBidi" w:hAnsiTheme="majorBidi" w:cstheme="majorBidi"/>
                <w:color w:val="000000"/>
                <w:sz w:val="22"/>
                <w:szCs w:val="22"/>
              </w:rPr>
              <w:t xml:space="preserve">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°C</w:t>
            </w:r>
            <w:r w:rsidRPr="006D631C">
              <w:rPr>
                <w:rFonts w:asciiTheme="majorBidi" w:hAnsiTheme="majorBidi" w:cstheme="majorBidi"/>
                <w:color w:val="000000"/>
                <w:sz w:val="22"/>
                <w:szCs w:val="22"/>
                <w:vertAlign w:val="superscript"/>
              </w:rPr>
              <w:t>-1</w:t>
            </w:r>
          </w:p>
        </w:tc>
        <w:tc>
          <w:tcPr>
            <w:tcW w:w="1632" w:type="dxa"/>
          </w:tcPr>
          <w:p w14:paraId="6B742163" w14:textId="2DCA0196"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0.002×10</w:t>
            </w:r>
            <w:r w:rsidRPr="006D631C">
              <w:rPr>
                <w:rFonts w:asciiTheme="majorBidi" w:hAnsiTheme="majorBidi" w:cstheme="majorBidi"/>
                <w:color w:val="000000"/>
                <w:sz w:val="22"/>
                <w:szCs w:val="22"/>
                <w:vertAlign w:val="superscript"/>
              </w:rPr>
              <w:t>-10</w:t>
            </w:r>
            <w:r w:rsidRPr="006D631C">
              <w:rPr>
                <w:rFonts w:asciiTheme="majorBidi" w:hAnsiTheme="majorBidi" w:cstheme="majorBidi"/>
                <w:color w:val="000000"/>
                <w:sz w:val="22"/>
                <w:szCs w:val="22"/>
              </w:rPr>
              <w:t xml:space="preserve">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°C</w:t>
            </w:r>
            <w:r w:rsidRPr="006D631C">
              <w:rPr>
                <w:rFonts w:asciiTheme="majorBidi" w:hAnsiTheme="majorBidi" w:cstheme="majorBidi"/>
                <w:color w:val="000000"/>
                <w:sz w:val="22"/>
                <w:szCs w:val="22"/>
                <w:vertAlign w:val="superscript"/>
              </w:rPr>
              <w:t>-1</w:t>
            </w:r>
          </w:p>
        </w:tc>
      </w:tr>
      <w:tr w:rsidR="00365D81" w:rsidRPr="006D631C" w14:paraId="327FCC6C" w14:textId="6131C694" w:rsidTr="00C1186A">
        <w:trPr>
          <w:trHeight w:val="567"/>
          <w:jc w:val="center"/>
        </w:trPr>
        <w:tc>
          <w:tcPr>
            <w:tcW w:w="1418" w:type="dxa"/>
            <w:tcBorders>
              <w:bottom w:val="single" w:sz="4" w:space="0" w:color="auto"/>
            </w:tcBorders>
            <w:shd w:val="clear" w:color="auto" w:fill="auto"/>
            <w:noWrap/>
            <w:vAlign w:val="center"/>
          </w:tcPr>
          <w:p w14:paraId="5576E9B7" w14:textId="6837FE49"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Weight</w:t>
            </w:r>
          </w:p>
        </w:tc>
        <w:tc>
          <w:tcPr>
            <w:tcW w:w="1276" w:type="dxa"/>
            <w:tcBorders>
              <w:bottom w:val="single" w:sz="4" w:space="0" w:color="auto"/>
            </w:tcBorders>
            <w:shd w:val="clear" w:color="auto" w:fill="auto"/>
            <w:noWrap/>
            <w:vAlign w:val="center"/>
          </w:tcPr>
          <w:p w14:paraId="4DF105FE" w14:textId="7CC9D6EC"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0.1 mg cm</w:t>
            </w:r>
            <w:r w:rsidRPr="006D631C">
              <w:rPr>
                <w:rFonts w:asciiTheme="majorBidi" w:hAnsiTheme="majorBidi" w:cstheme="majorBidi"/>
                <w:color w:val="000000"/>
                <w:sz w:val="22"/>
                <w:szCs w:val="22"/>
                <w:vertAlign w:val="superscript"/>
              </w:rPr>
              <w:t xml:space="preserve">-3 </w:t>
            </w:r>
          </w:p>
        </w:tc>
        <w:tc>
          <w:tcPr>
            <w:tcW w:w="1417" w:type="dxa"/>
            <w:tcBorders>
              <w:bottom w:val="single" w:sz="4" w:space="0" w:color="auto"/>
            </w:tcBorders>
            <w:vAlign w:val="center"/>
          </w:tcPr>
          <w:p w14:paraId="5FA335C8" w14:textId="34F97086" w:rsidR="00365D81" w:rsidRPr="006D631C" w:rsidRDefault="00365D81" w:rsidP="00365D81">
            <w:pPr>
              <w:spacing w:line="240" w:lineRule="auto"/>
              <w:jc w:val="left"/>
              <w:rPr>
                <w:rFonts w:asciiTheme="majorBidi" w:hAnsiTheme="majorBidi" w:cstheme="majorBidi"/>
                <w:color w:val="000000"/>
                <w:sz w:val="22"/>
                <w:szCs w:val="22"/>
                <w:vertAlign w:val="superscript"/>
              </w:rPr>
            </w:pPr>
            <w:r w:rsidRPr="006D631C">
              <w:rPr>
                <w:rFonts w:asciiTheme="majorBidi" w:hAnsiTheme="majorBidi" w:cstheme="majorBidi"/>
                <w:color w:val="000000"/>
                <w:sz w:val="22"/>
                <w:szCs w:val="22"/>
              </w:rPr>
              <w:t>0.001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h</w:t>
            </w:r>
            <w:r w:rsidR="00B35BF5" w:rsidRPr="006D631C">
              <w:rPr>
                <w:rFonts w:asciiTheme="majorBidi" w:hAnsiTheme="majorBidi" w:cstheme="majorBidi"/>
                <w:color w:val="000000"/>
                <w:sz w:val="22"/>
                <w:szCs w:val="22"/>
              </w:rPr>
              <w:t>our</w:t>
            </w:r>
            <w:r w:rsidRPr="006D631C">
              <w:rPr>
                <w:rFonts w:asciiTheme="majorBidi" w:hAnsiTheme="majorBidi" w:cstheme="majorBidi"/>
                <w:color w:val="000000"/>
                <w:sz w:val="22"/>
                <w:szCs w:val="22"/>
                <w:vertAlign w:val="superscript"/>
              </w:rPr>
              <w:t>-1</w:t>
            </w:r>
            <w:r w:rsidRPr="006D631C">
              <w:rPr>
                <w:rFonts w:asciiTheme="majorBidi" w:hAnsiTheme="majorBidi" w:cstheme="majorBidi"/>
                <w:color w:val="000000"/>
                <w:sz w:val="22"/>
                <w:szCs w:val="22"/>
              </w:rPr>
              <w:t xml:space="preserve"> g</w:t>
            </w:r>
            <w:r w:rsidRPr="006D631C">
              <w:rPr>
                <w:rFonts w:asciiTheme="majorBidi" w:hAnsiTheme="majorBidi" w:cstheme="majorBidi"/>
                <w:color w:val="000000"/>
                <w:sz w:val="22"/>
                <w:szCs w:val="22"/>
                <w:vertAlign w:val="superscript"/>
              </w:rPr>
              <w:t>-1</w:t>
            </w:r>
          </w:p>
        </w:tc>
        <w:tc>
          <w:tcPr>
            <w:tcW w:w="1418" w:type="dxa"/>
            <w:tcBorders>
              <w:bottom w:val="single" w:sz="4" w:space="0" w:color="auto"/>
            </w:tcBorders>
            <w:vAlign w:val="center"/>
          </w:tcPr>
          <w:p w14:paraId="0A78D38D" w14:textId="186E3E46"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0.001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h</w:t>
            </w:r>
            <w:r w:rsidR="00B35BF5" w:rsidRPr="006D631C">
              <w:rPr>
                <w:rFonts w:asciiTheme="majorBidi" w:hAnsiTheme="majorBidi" w:cstheme="majorBidi"/>
                <w:color w:val="000000"/>
                <w:sz w:val="22"/>
                <w:szCs w:val="22"/>
              </w:rPr>
              <w:t>our</w:t>
            </w:r>
            <w:r w:rsidRPr="006D631C">
              <w:rPr>
                <w:rFonts w:asciiTheme="majorBidi" w:hAnsiTheme="majorBidi" w:cstheme="majorBidi"/>
                <w:color w:val="000000"/>
                <w:sz w:val="22"/>
                <w:szCs w:val="22"/>
                <w:vertAlign w:val="superscript"/>
              </w:rPr>
              <w:t>-1</w:t>
            </w:r>
            <w:r w:rsidRPr="006D631C">
              <w:rPr>
                <w:rFonts w:asciiTheme="majorBidi" w:hAnsiTheme="majorBidi" w:cstheme="majorBidi"/>
                <w:color w:val="000000"/>
                <w:sz w:val="22"/>
                <w:szCs w:val="22"/>
              </w:rPr>
              <w:t xml:space="preserve"> g</w:t>
            </w:r>
            <w:r w:rsidRPr="006D631C">
              <w:rPr>
                <w:rFonts w:asciiTheme="majorBidi" w:hAnsiTheme="majorBidi" w:cstheme="majorBidi"/>
                <w:color w:val="000000"/>
                <w:sz w:val="22"/>
                <w:szCs w:val="22"/>
                <w:vertAlign w:val="superscript"/>
              </w:rPr>
              <w:t>-1</w:t>
            </w:r>
          </w:p>
        </w:tc>
        <w:tc>
          <w:tcPr>
            <w:tcW w:w="1559" w:type="dxa"/>
            <w:tcBorders>
              <w:bottom w:val="single" w:sz="4" w:space="0" w:color="auto"/>
            </w:tcBorders>
          </w:tcPr>
          <w:p w14:paraId="4CB4F2AF" w14:textId="7189B665"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0.001×10</w:t>
            </w:r>
            <w:r w:rsidRPr="006D631C">
              <w:rPr>
                <w:rFonts w:asciiTheme="majorBidi" w:hAnsiTheme="majorBidi" w:cstheme="majorBidi"/>
                <w:color w:val="000000"/>
                <w:sz w:val="22"/>
                <w:szCs w:val="22"/>
                <w:vertAlign w:val="superscript"/>
              </w:rPr>
              <w:t>-10</w:t>
            </w:r>
            <w:r w:rsidRPr="006D631C">
              <w:rPr>
                <w:rFonts w:asciiTheme="majorBidi" w:hAnsiTheme="majorBidi" w:cstheme="majorBidi"/>
                <w:color w:val="000000"/>
                <w:sz w:val="22"/>
                <w:szCs w:val="22"/>
              </w:rPr>
              <w:t xml:space="preserve">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g</w:t>
            </w:r>
            <w:r w:rsidRPr="006D631C">
              <w:rPr>
                <w:rFonts w:asciiTheme="majorBidi" w:hAnsiTheme="majorBidi" w:cstheme="majorBidi"/>
                <w:color w:val="000000"/>
                <w:sz w:val="22"/>
                <w:szCs w:val="22"/>
                <w:vertAlign w:val="superscript"/>
              </w:rPr>
              <w:t>-1</w:t>
            </w:r>
          </w:p>
        </w:tc>
        <w:tc>
          <w:tcPr>
            <w:tcW w:w="1632" w:type="dxa"/>
            <w:tcBorders>
              <w:bottom w:val="single" w:sz="4" w:space="0" w:color="auto"/>
            </w:tcBorders>
          </w:tcPr>
          <w:p w14:paraId="4D9C0018" w14:textId="6797D5EA" w:rsidR="00365D81" w:rsidRPr="006D631C" w:rsidRDefault="00365D81" w:rsidP="00365D81">
            <w:pPr>
              <w:spacing w:line="240" w:lineRule="auto"/>
              <w:jc w:val="left"/>
              <w:rPr>
                <w:rFonts w:asciiTheme="majorBidi" w:hAnsiTheme="majorBidi" w:cstheme="majorBidi"/>
                <w:color w:val="000000"/>
                <w:sz w:val="22"/>
                <w:szCs w:val="22"/>
              </w:rPr>
            </w:pPr>
            <w:r w:rsidRPr="006D631C">
              <w:rPr>
                <w:rFonts w:asciiTheme="majorBidi" w:hAnsiTheme="majorBidi" w:cstheme="majorBidi"/>
                <w:color w:val="000000"/>
                <w:sz w:val="22"/>
                <w:szCs w:val="22"/>
              </w:rPr>
              <w:t>0.001×10</w:t>
            </w:r>
            <w:r w:rsidRPr="006D631C">
              <w:rPr>
                <w:rFonts w:asciiTheme="majorBidi" w:hAnsiTheme="majorBidi" w:cstheme="majorBidi"/>
                <w:color w:val="000000"/>
                <w:sz w:val="22"/>
                <w:szCs w:val="22"/>
                <w:vertAlign w:val="superscript"/>
              </w:rPr>
              <w:t>-10</w:t>
            </w:r>
            <w:r w:rsidRPr="006D631C">
              <w:rPr>
                <w:rFonts w:asciiTheme="majorBidi" w:hAnsiTheme="majorBidi" w:cstheme="majorBidi"/>
                <w:color w:val="000000"/>
                <w:sz w:val="22"/>
                <w:szCs w:val="22"/>
              </w:rPr>
              <w:t xml:space="preserve">  liters m</w:t>
            </w:r>
            <w:r w:rsidRPr="006D631C">
              <w:rPr>
                <w:rFonts w:asciiTheme="majorBidi" w:hAnsiTheme="majorBidi" w:cstheme="majorBidi"/>
                <w:color w:val="000000"/>
                <w:sz w:val="22"/>
                <w:szCs w:val="22"/>
                <w:vertAlign w:val="superscript"/>
              </w:rPr>
              <w:t>-2</w:t>
            </w:r>
            <w:r w:rsidRPr="006D631C">
              <w:rPr>
                <w:rFonts w:asciiTheme="majorBidi" w:hAnsiTheme="majorBidi" w:cstheme="majorBidi"/>
                <w:color w:val="000000"/>
                <w:sz w:val="22"/>
                <w:szCs w:val="22"/>
              </w:rPr>
              <w:t xml:space="preserve"> g</w:t>
            </w:r>
            <w:r w:rsidRPr="006D631C">
              <w:rPr>
                <w:rFonts w:asciiTheme="majorBidi" w:hAnsiTheme="majorBidi" w:cstheme="majorBidi"/>
                <w:color w:val="000000"/>
                <w:sz w:val="22"/>
                <w:szCs w:val="22"/>
                <w:vertAlign w:val="superscript"/>
              </w:rPr>
              <w:t>-1</w:t>
            </w:r>
          </w:p>
        </w:tc>
      </w:tr>
    </w:tbl>
    <w:p w14:paraId="71A7E2F9" w14:textId="411A3EE0" w:rsidR="00202391" w:rsidRPr="006D631C" w:rsidRDefault="00202391" w:rsidP="009F34E1">
      <w:pPr>
        <w:ind w:firstLine="360"/>
      </w:pPr>
    </w:p>
    <w:p w14:paraId="26EAE77A" w14:textId="6F2EB9BA" w:rsidR="00A84BE9" w:rsidRPr="003C7C9F" w:rsidRDefault="00A84BE9" w:rsidP="002E14E4">
      <w:pPr>
        <w:ind w:firstLine="360"/>
        <w:rPr>
          <w:rFonts w:asciiTheme="majorBidi" w:hAnsiTheme="majorBidi" w:cstheme="majorBidi"/>
        </w:rPr>
      </w:pPr>
      <w:r w:rsidRPr="006D631C">
        <w:rPr>
          <w:rFonts w:asciiTheme="majorBidi" w:hAnsiTheme="majorBidi" w:cstheme="majorBidi"/>
        </w:rPr>
        <w:t>As anticipated, our calculations indicate that the uncertainty of various measurement and controller devices had a negligible impact on our reported data.</w:t>
      </w:r>
      <w:r w:rsidR="00B22DD2" w:rsidRPr="006D631C">
        <w:rPr>
          <w:rFonts w:asciiTheme="majorBidi" w:hAnsiTheme="majorBidi" w:cstheme="majorBidi"/>
        </w:rPr>
        <w:t xml:space="preserve"> </w:t>
      </w:r>
      <w:r w:rsidR="00D46017" w:rsidRPr="006D631C">
        <w:rPr>
          <w:rFonts w:asciiTheme="majorBidi" w:hAnsiTheme="majorBidi" w:cstheme="majorBidi"/>
        </w:rPr>
        <w:t>An example of this can be seen in the data points for polyLLC membrane flux at 25 °C, where the standard deviation of 8 liters m</w:t>
      </w:r>
      <w:r w:rsidR="00D46017" w:rsidRPr="006D631C">
        <w:rPr>
          <w:rFonts w:asciiTheme="majorBidi" w:hAnsiTheme="majorBidi" w:cstheme="majorBidi"/>
          <w:vertAlign w:val="superscript"/>
        </w:rPr>
        <w:t>-2</w:t>
      </w:r>
      <w:r w:rsidR="00D46017" w:rsidRPr="006D631C">
        <w:rPr>
          <w:rFonts w:asciiTheme="majorBidi" w:hAnsiTheme="majorBidi" w:cstheme="majorBidi"/>
        </w:rPr>
        <w:t xml:space="preserve"> h</w:t>
      </w:r>
      <w:r w:rsidR="00D46017" w:rsidRPr="006D631C">
        <w:rPr>
          <w:rFonts w:asciiTheme="majorBidi" w:hAnsiTheme="majorBidi" w:cstheme="majorBidi"/>
          <w:vertAlign w:val="superscript"/>
        </w:rPr>
        <w:t>-1</w:t>
      </w:r>
      <w:r w:rsidR="00D46017" w:rsidRPr="006D631C">
        <w:rPr>
          <w:rFonts w:asciiTheme="majorBidi" w:hAnsiTheme="majorBidi" w:cstheme="majorBidi"/>
        </w:rPr>
        <w:t xml:space="preserve"> corresponds to a combined standard uncertainty of 8.02 liters m</w:t>
      </w:r>
      <w:r w:rsidR="00D46017" w:rsidRPr="006D631C">
        <w:rPr>
          <w:rFonts w:asciiTheme="majorBidi" w:hAnsiTheme="majorBidi" w:cstheme="majorBidi"/>
          <w:vertAlign w:val="superscript"/>
        </w:rPr>
        <w:t>-2</w:t>
      </w:r>
      <w:r w:rsidR="00D46017" w:rsidRPr="006D631C">
        <w:rPr>
          <w:rFonts w:asciiTheme="majorBidi" w:hAnsiTheme="majorBidi" w:cstheme="majorBidi"/>
        </w:rPr>
        <w:t xml:space="preserve"> h</w:t>
      </w:r>
      <w:r w:rsidR="00B35BF5" w:rsidRPr="006D631C">
        <w:rPr>
          <w:rFonts w:asciiTheme="majorBidi" w:hAnsiTheme="majorBidi" w:cstheme="majorBidi"/>
        </w:rPr>
        <w:t>our</w:t>
      </w:r>
      <w:r w:rsidR="00D46017" w:rsidRPr="006D631C">
        <w:rPr>
          <w:rFonts w:asciiTheme="majorBidi" w:hAnsiTheme="majorBidi" w:cstheme="majorBidi"/>
          <w:vertAlign w:val="superscript"/>
        </w:rPr>
        <w:t>-1</w:t>
      </w:r>
      <w:r w:rsidR="00D46017" w:rsidRPr="006D631C">
        <w:rPr>
          <w:rFonts w:asciiTheme="majorBidi" w:hAnsiTheme="majorBidi" w:cstheme="majorBidi"/>
        </w:rPr>
        <w:t>.</w:t>
      </w:r>
      <w:r w:rsidR="00975E22" w:rsidRPr="006D631C">
        <w:rPr>
          <w:rFonts w:asciiTheme="majorBidi" w:hAnsiTheme="majorBidi" w:cstheme="majorBidi"/>
        </w:rPr>
        <w:t xml:space="preserve"> </w:t>
      </w:r>
      <w:r w:rsidRPr="006D631C">
        <w:rPr>
          <w:rFonts w:asciiTheme="majorBidi" w:hAnsiTheme="majorBidi" w:cstheme="majorBidi"/>
        </w:rPr>
        <w:t>Consequently, the calculated combined standard uncertainty closely resembled the calculated standard deviation. In essence, using only the standard deviation is sufficient for reporting the uncertainty of our measurements. This method is also a widely accepted approach to data analysis that is commonly employed by other works in the literature within this field.</w:t>
      </w:r>
      <w:r w:rsidR="00B27357" w:rsidRPr="006D631C">
        <w:rPr>
          <w:rFonts w:asciiTheme="majorBidi" w:hAnsiTheme="majorBidi" w:cstheme="majorBidi"/>
        </w:rPr>
        <w:fldChar w:fldCharType="begin" w:fldLock="1"/>
      </w:r>
      <w:r w:rsidR="005C60C1" w:rsidRPr="006D631C">
        <w:rPr>
          <w:rFonts w:asciiTheme="majorBidi" w:hAnsiTheme="majorBidi" w:cstheme="majorBidi"/>
        </w:rPr>
        <w:instrText>ADDIN CSL_CITATION {"citationItems":[{"id":"ITEM-1","itemData":{"DOI":"10.1126/sciadv.aav9308","ISSN":"23752548","PMID":"31448326","abstract":"Self-assembled materials are attractive for next-generation membranes. However, the need to align selfassembled nanostructures (e.g. cylinders, lamellae) and the narrow stability windows for ordered bicontinuous systems present serious challenges. We propose and demonstrate a novel approach that circumvents these challenges by exploiting size-selective transport in the water-continuous medium of a nanostructured polymer templated from a self-assembled lyotropic H1 mesophase. Optimization of the mesophase composition enables high-fidelity retention of the H1 structure on photoinduced cross-linking. The resulting material is a mechanically robust nanostructured polymer possessing internally and externally cross-linked nanofibrils surrounded by a continuous aqueous medium. Fabricated membranes show size selectivity at the 1- to 2-nm length scale and water permeabilities of ~10 liters m-2 hour-1 bar-1 mm. Moreover, the membranes display excellent antimicrobial properties due to the quaternary ammonium groups on the nanofibril surfaces. These results represent a breakthrough for the potential use of polymerized lyotropic mesophase membranes in practical water purification applications.","author":[{"dropping-particle":"","family":"Feng","given":"Xunda","non-dropping-particle":"","parse-names":false,"suffix":""},{"dropping-particle":"","family":"Imran","given":"Qaboos","non-dropping-particle":"","parse-names":false,"suffix":""},{"dropping-particle":"","family":"Zhang","given":"Yizhou","non-dropping-particle":"","parse-names":false,"suffix":""},{"dropping-particle":"","family":"Sixdenier","given":"Lucas","non-dropping-particle":"","parse-names":false,"suffix":""},{"dropping-particle":"","family":"Lu","given":"Xinglin","non-dropping-particle":"","parse-names":false,"suffix":""},{"dropping-particle":"","family":"Kaufman","given":"Gilad","non-dropping-particle":"","parse-names":false,"suffix":""},{"dropping-particle":"","family":"Gabinet","given":"Uri","non-dropping-particle":"","parse-names":false,"suffix":""},{"dropping-particle":"","family":"Kawabata","given":"Kohsuke","non-dropping-particle":"","parse-names":false,"suffix":""},{"dropping-particle":"","family":"Elimelech","given":"Menachem","non-dropping-particle":"","parse-names":false,"suffix":""},{"dropping-particle":"","family":"Osuji","given":"Chinedum O.","non-dropping-particle":"","parse-names":false,"suffix":""}],"container-title":"Science Advances","id":"ITEM-1","issue":"8","issued":{"date-parts":[["2019","8","9"]]},"page":"eaav9308","title":"Precise nanofiltration in a fouling-resistant self-assembled membrane with water-continuous transport pathways","type":"article-journal","volume":"5"},"uris":["http://www.mendeley.com/documents/?uuid=d507d8b2-fc83-4bd7-9e6d-10370c7b5e6e"]},{"id":"ITEM-2","itemData":{"DOI":"10.1126/sciadv.abm5899","ISSN":"2375-2548","abstract":"Organic solvent–stable membranes exhibiting strong selectivity and high permeance have the potential to transform energy utilization in chemical separation processes. A key goal is developing materials with uniform, well-defined pores at the 1-nm scale, with sizes that can be tuned in small increments with high fidelity. Here, we demonstrate a class of organic solvent–stable nanoporous membranes derived from self-assembled liquid crystal mesophases that display such characteristics and elucidate their transport properties. The transport-regulating dimensions are defined by the mesophase geometry and can be controlled in increments of ~0.1 nm by modifying the chemical structure of the mesogen or the composition of the mesophase. The highly ordered nanostructure affords previously unidentified opportunities for the systematic design of organic solvent nanofiltration membranes with tailored selectivity and permeability and for understanding and modeling rejection in nanoscale flows. Hence, these membranes represent progress toward the goal of enabling precise organic solvent nanofiltration.","author":[{"dropping-particle":"","family":"Zhang","given":"Yizhou","non-dropping-particle":"","parse-names":false,"suffix":""},{"dropping-particle":"","family":"Kim","given":"Dahin","non-dropping-particle":"","parse-names":false,"suffix":""},{"dropping-particle":"","family":"Dong","given":"Ruiqi","non-dropping-particle":"","parse-names":false,"suffix":""},{"dropping-particle":"","family":"Feng","given":"Xunda","non-dropping-particle":"","parse-names":false,"suffix":""},{"dropping-particle":"","family":"Osuji","given":"Chinedum O.","non-dropping-particle":"","parse-names":false,"suffix":""}],"container-title":"Science Advances","id":"ITEM-2","issue":"11","issued":{"date-parts":[["2022","3","18"]]},"title":"Tunable organic solvent nanofiltration in self-assembled membranes at the sub–1 nm scale","type":"article-journal","volume":"8"},"uris":["http://www.mendeley.com/documents/?uuid=f4e7114e-b599-410a-a180-ef737c4d9ca1"]},{"id":"ITEM-3","itemData":{"DOI":"10.1039/D1CC04211D","ISSN":"1359-7345","abstract":"A simplified design for intrinsically cross-linkable gyroid-forming mesogens is introduced for the fabrication of solvent-resistant nanoporous membranes.","author":[{"dropping-particle":"","family":"Imran","given":"Omar Q.","non-dropping-particle":"","parse-names":false,"suffix":""},{"dropping-particle":"","family":"Li","given":"Patrick","non-dropping-particle":"","parse-names":false,"suffix":""},{"dropping-particle":"","family":"Kim","given":"Na Kyung","non-dropping-particle":"","parse-names":false,"suffix":""},{"dropping-particle":"","family":"Gin","given":"Douglas L.","non-dropping-particle":"","parse-names":false,"suffix":""},{"dropping-particle":"","family":"Osuji","given":"Chinedum O.","non-dropping-particle":"","parse-names":false,"suffix":""}],"container-title":"Chemical Communications","id":"ITEM-3","issue":"83","issued":{"date-parts":[["2021"]]},"page":"10931-10934","title":"Stable cross-linked lyotropic gyroid mesophases from single-head/single-tail cross-linkable monomers","type":"article-journal","volume":"57"},"uris":["http://www.mendeley.com/documents/?uuid=5f5251c9-3ef5-4cec-92bd-865b1d5ce967"]},{"id":"ITEM-4","itemData":{"DOI":"10.1021/cm1013027","ISSN":"08974756","abstract":"New polymerizable gemini ammonium surfactants can be cross-linked in a type I bicontinuous cubic lyotropic liquid crystal phase with water to afford nanoporous polymer membranes with sub-1 nm 3D pores for water nanofiltration applications. © 2010 American Chemical Society.","author":[{"dropping-particle":"","family":"Hatakeyama","given":"Evan S.","non-dropping-particle":"","parse-names":false,"suffix":""},{"dropping-particle":"","family":"Wiesenauer","given":"Brian R.","non-dropping-particle":"","parse-names":false,"suffix":""},{"dropping-particle":"","family":"Gabriel","given":"Christopher J.","non-dropping-particle":"","parse-names":false,"suffix":""},{"dropping-particle":"","family":"Noble","given":"Richard D.","non-dropping-particle":"","parse-names":false,"suffix":""},{"dropping-particle":"","family":"Gin","given":"Douglas L.","non-dropping-particle":"","parse-names":false,"suffix":""}],"container-title":"Chemistry of Materials","id":"ITEM-4","issue":"16","issued":{"date-parts":[["2010"]]},"page":"4525-4527","title":"Nanoporous, bicontinuous cubic lyotropic liquid crystal networks via polymerizable gemini ammonium surfactants","type":"article-journal","volume":"22"},"uris":["http://www.mendeley.com/documents/?uuid=ee60048f-096b-4632-81a8-8b2118bda996"]},{"id":"ITEM-5","itemData":{"DOI":"10.1016/j.memsci.2017.08.028","ISSN":"18733123","abstract":"A thin-film composite, bicontinuous cubic lyotropic liquid crystal polymer (TFC QI) membrane with uniform-size, ionic nanopores was studied for the treatment of hydraulic fracturing flowback water. The TFC QI membrane performance was compared to those of a commercial nanofiltration (NF) membrane (NF270) and a commercial reverse osmosis (RO) membrane (SW30HR) for the filtration of flowback water from the Denver-Julesburg Basin. The permeability, salt rejection, and organic solute rejection for each membrane was evaluated. The results illustrate that the TFC QI membrane maintained its performance to a similar degree as the commercial NF and RO membranes while demonstrating a unique selectivity not observed in the commercial membranes. Specifically, the TFC QI membrane rejected 75% of the salt while recovering 9.6% of the dissolved organic carbon (DOC) and 50% of the water. Of particular interest was the recovery of labile DOC, which was assessed through biodegradation experiments. Analysis following biodegradation of the TFC QI membrane permeate demonstrates the membrane's ability to recover labile DOC in a reduced-saline permeate. Improved recovery of labile DOC (increased to 22%) was demonstrated by reducing the pH of the flowback water. Therefore, the selectivity of the TFC QI membrane provides an opportunity to recover resources from hydraulic fracturing flowback.","author":[{"dropping-particle":"","family":"Dischinger","given":"Sarah M.","non-dropping-particle":"","parse-names":false,"suffix":""},{"dropping-particle":"","family":"Rosenblum","given":"James","non-dropping-particle":"","parse-names":false,"suffix":""},{"dropping-particle":"","family":"Noble","given":"Richard D.","non-dropping-particle":"","parse-names":false,"suffix":""},{"dropping-particle":"","family":"Gin","given":"Douglas L.","non-dropping-particle":"","parse-names":false,"suffix":""},{"dropping-particle":"","family":"Linden","given":"Karl G.","non-dropping-particle":"","parse-names":false,"suffix":""}],"container-title":"Journal of Membrane Science","id":"ITEM-5","issued":{"date-parts":[["2017"]]},"page":"319-327","title":"Application of a lyotropic liquid crystal nanofiltration membrane for hydraulic fracturing flowback water: Selectivity and implications for treatment","type":"article-journal","volume":"543"},"uris":["http://www.mendeley.com/documents/?uuid=5a46df75-f496-4fbd-8165-bd32a6b934a9"]}],"mendeley":{"formattedCitation":"&lt;sup&gt;31,33,118,125,127&lt;/sup&gt;","plainTextFormattedCitation":"31,33,118,125,127","previouslyFormattedCitation":"&lt;sup&gt;31,33,118,125,127&lt;/sup&gt;"},"properties":{"noteIndex":0},"schema":"https://github.com/citation-style-language/schema/raw/master/csl-citation.json"}</w:instrText>
      </w:r>
      <w:r w:rsidR="00B27357" w:rsidRPr="006D631C">
        <w:rPr>
          <w:rFonts w:asciiTheme="majorBidi" w:hAnsiTheme="majorBidi" w:cstheme="majorBidi"/>
        </w:rPr>
        <w:fldChar w:fldCharType="separate"/>
      </w:r>
      <w:r w:rsidR="002E14E4" w:rsidRPr="006D631C">
        <w:rPr>
          <w:rFonts w:asciiTheme="majorBidi" w:hAnsiTheme="majorBidi" w:cstheme="majorBidi"/>
          <w:noProof/>
          <w:vertAlign w:val="superscript"/>
        </w:rPr>
        <w:t>31,33,118,125,127</w:t>
      </w:r>
      <w:r w:rsidR="00B27357" w:rsidRPr="006D631C">
        <w:rPr>
          <w:rFonts w:asciiTheme="majorBidi" w:hAnsiTheme="majorBidi" w:cstheme="majorBidi"/>
        </w:rPr>
        <w:fldChar w:fldCharType="end"/>
      </w:r>
      <w:r w:rsidRPr="003C7C9F">
        <w:rPr>
          <w:rFonts w:asciiTheme="majorBidi" w:hAnsiTheme="majorBidi" w:cstheme="majorBidi"/>
        </w:rPr>
        <w:t xml:space="preserve">  </w:t>
      </w:r>
    </w:p>
    <w:sectPr w:rsidR="00A84BE9" w:rsidRPr="003C7C9F" w:rsidSect="00172905">
      <w:footnotePr>
        <w:numRestart w:val="eachPage"/>
      </w:footnotePr>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F08B3" w16cex:dateUtc="2023-09-03T18:29:00Z"/>
  <w16cex:commentExtensible w16cex:durableId="289F0D98" w16cex:dateUtc="2023-09-03T18:50:00Z"/>
  <w16cex:commentExtensible w16cex:durableId="28A41896" w16cex:dateUtc="2023-09-07T14:38:00Z"/>
  <w16cex:commentExtensible w16cex:durableId="28A4168E" w16cex:dateUtc="2023-09-07T14:29:00Z"/>
  <w16cex:commentExtensible w16cex:durableId="28A416C1" w16cex:dateUtc="2023-09-07T14:30:00Z"/>
  <w16cex:commentExtensible w16cex:durableId="28A4173D" w16cex:dateUtc="2023-09-07T14:32:00Z"/>
  <w16cex:commentExtensible w16cex:durableId="28A4177D" w16cex:dateUtc="2023-09-07T14:33:00Z"/>
  <w16cex:commentExtensible w16cex:durableId="28A4192C" w16cex:dateUtc="2023-09-07T14:41:00Z"/>
  <w16cex:commentExtensible w16cex:durableId="28A41FF3" w16cex:dateUtc="2023-09-07T15:09:00Z"/>
  <w16cex:commentExtensible w16cex:durableId="28A41FB7" w16cex:dateUtc="2023-09-07T15:08:00Z"/>
  <w16cex:commentExtensible w16cex:durableId="28A420BD" w16cex:dateUtc="2023-09-07T15:13:00Z"/>
  <w16cex:commentExtensible w16cex:durableId="28A421E2" w16cex:dateUtc="2023-09-07T15:18:00Z"/>
  <w16cex:commentExtensible w16cex:durableId="28A420F7" w16cex:dateUtc="2023-09-07T15:14:00Z"/>
  <w16cex:commentExtensible w16cex:durableId="28A42107" w16cex:dateUtc="2023-09-07T15:14:00Z"/>
  <w16cex:commentExtensible w16cex:durableId="28A42112" w16cex:dateUtc="2023-09-07T15:14:00Z"/>
  <w16cex:commentExtensible w16cex:durableId="28A42978" w16cex:dateUtc="2023-09-07T15:50:00Z"/>
  <w16cex:commentExtensible w16cex:durableId="28A42A29" w16cex:dateUtc="2023-09-07T15:53:00Z"/>
  <w16cex:commentExtensible w16cex:durableId="28A42AC5" w16cex:dateUtc="2023-09-07T15:56:00Z"/>
  <w16cex:commentExtensible w16cex:durableId="28A42B66" w16cex:dateUtc="2023-09-07T15:58:00Z"/>
  <w16cex:commentExtensible w16cex:durableId="28A42B9B" w16cex:dateUtc="2023-09-07T15:59:00Z"/>
  <w16cex:commentExtensible w16cex:durableId="28A42BD2" w16cex:dateUtc="2023-09-07T16:00:00Z"/>
  <w16cex:commentExtensible w16cex:durableId="28A44170" w16cex:dateUtc="2023-09-07T17:32:00Z"/>
  <w16cex:commentExtensible w16cex:durableId="28A44276" w16cex:dateUtc="2023-09-07T17:37:00Z"/>
  <w16cex:commentExtensible w16cex:durableId="28A44747" w16cex:dateUtc="2023-09-07T17:57:00Z"/>
  <w16cex:commentExtensible w16cex:durableId="28A447E9" w16cex:dateUtc="2023-09-07T18:00:00Z"/>
  <w16cex:commentExtensible w16cex:durableId="28A44800" w16cex:dateUtc="2023-09-07T18:00:00Z"/>
  <w16cex:commentExtensible w16cex:durableId="28A44BA0" w16cex:dateUtc="2023-09-07T1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52D12D" w16cid:durableId="289F08B3"/>
  <w16cid:commentId w16cid:paraId="6F5B81E1" w16cid:durableId="289F0D98"/>
  <w16cid:commentId w16cid:paraId="111B795E" w16cid:durableId="28A41896"/>
  <w16cid:commentId w16cid:paraId="22F00D54" w16cid:durableId="28A4168E"/>
  <w16cid:commentId w16cid:paraId="2D78F67F" w16cid:durableId="28A416C1"/>
  <w16cid:commentId w16cid:paraId="6BFEC4DE" w16cid:durableId="28A4173D"/>
  <w16cid:commentId w16cid:paraId="6685BDCA" w16cid:durableId="28A4177D"/>
  <w16cid:commentId w16cid:paraId="63ADB9FD" w16cid:durableId="28A4192C"/>
  <w16cid:commentId w16cid:paraId="25B756FE" w16cid:durableId="28A41FF3"/>
  <w16cid:commentId w16cid:paraId="28A322A7" w16cid:durableId="28A41FB7"/>
  <w16cid:commentId w16cid:paraId="5B0CD42A" w16cid:durableId="28A420BD"/>
  <w16cid:commentId w16cid:paraId="2DF8422F" w16cid:durableId="28A421E2"/>
  <w16cid:commentId w16cid:paraId="1EAEF6AF" w16cid:durableId="28A420F7"/>
  <w16cid:commentId w16cid:paraId="50B68DE9" w16cid:durableId="28A42107"/>
  <w16cid:commentId w16cid:paraId="0A5F2FFC" w16cid:durableId="28A42112"/>
  <w16cid:commentId w16cid:paraId="5E59FF29" w16cid:durableId="28A42978"/>
  <w16cid:commentId w16cid:paraId="15CE6DD2" w16cid:durableId="28A42A29"/>
  <w16cid:commentId w16cid:paraId="1B572E1B" w16cid:durableId="28A42AC5"/>
  <w16cid:commentId w16cid:paraId="1C92FF2A" w16cid:durableId="28A42B66"/>
  <w16cid:commentId w16cid:paraId="7A265716" w16cid:durableId="28A42B9B"/>
  <w16cid:commentId w16cid:paraId="07AF48C7" w16cid:durableId="28A42BD2"/>
  <w16cid:commentId w16cid:paraId="638FA0E5" w16cid:durableId="28A44170"/>
  <w16cid:commentId w16cid:paraId="7430BA44" w16cid:durableId="28A44276"/>
  <w16cid:commentId w16cid:paraId="3C5926CA" w16cid:durableId="28A44747"/>
  <w16cid:commentId w16cid:paraId="5473A5C3" w16cid:durableId="28A447E9"/>
  <w16cid:commentId w16cid:paraId="68A86A6F" w16cid:durableId="28A44800"/>
  <w16cid:commentId w16cid:paraId="1F25FF94" w16cid:durableId="28A44B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8B1A8" w14:textId="77777777" w:rsidR="008256F9" w:rsidRDefault="008256F9">
      <w:r>
        <w:separator/>
      </w:r>
    </w:p>
  </w:endnote>
  <w:endnote w:type="continuationSeparator" w:id="0">
    <w:p w14:paraId="7CD6DE0C" w14:textId="77777777" w:rsidR="008256F9" w:rsidRDefault="008256F9">
      <w:r>
        <w:continuationSeparator/>
      </w:r>
    </w:p>
  </w:endnote>
  <w:endnote w:type="continuationNotice" w:id="1">
    <w:p w14:paraId="68D541F5" w14:textId="77777777" w:rsidR="008256F9" w:rsidRDefault="00825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605434"/>
      <w:docPartObj>
        <w:docPartGallery w:val="Page Numbers (Bottom of Page)"/>
        <w:docPartUnique/>
      </w:docPartObj>
    </w:sdtPr>
    <w:sdtEndPr>
      <w:rPr>
        <w:noProof/>
      </w:rPr>
    </w:sdtEndPr>
    <w:sdtContent>
      <w:p w14:paraId="03C18673" w14:textId="2C5CC9E9" w:rsidR="008256F9" w:rsidRDefault="008256F9">
        <w:pPr>
          <w:pStyle w:val="Footer"/>
          <w:jc w:val="center"/>
        </w:pPr>
        <w:r>
          <w:fldChar w:fldCharType="begin"/>
        </w:r>
        <w:r>
          <w:instrText xml:space="preserve"> PAGE   \* MERGEFORMAT </w:instrText>
        </w:r>
        <w:r>
          <w:fldChar w:fldCharType="separate"/>
        </w:r>
        <w:r w:rsidR="001A0507">
          <w:rPr>
            <w:noProof/>
          </w:rPr>
          <w:t>xx</w:t>
        </w:r>
        <w:r>
          <w:rPr>
            <w:noProof/>
          </w:rPr>
          <w:fldChar w:fldCharType="end"/>
        </w:r>
      </w:p>
    </w:sdtContent>
  </w:sdt>
  <w:p w14:paraId="2A62DCE7" w14:textId="77777777" w:rsidR="008256F9" w:rsidRDefault="008256F9" w:rsidP="000319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3A4EA" w14:textId="77777777" w:rsidR="008256F9" w:rsidRDefault="008256F9">
      <w:r>
        <w:separator/>
      </w:r>
    </w:p>
  </w:footnote>
  <w:footnote w:type="continuationSeparator" w:id="0">
    <w:p w14:paraId="45568B60" w14:textId="77777777" w:rsidR="008256F9" w:rsidRDefault="008256F9">
      <w:r>
        <w:continuationSeparator/>
      </w:r>
    </w:p>
  </w:footnote>
  <w:footnote w:type="continuationNotice" w:id="1">
    <w:p w14:paraId="0B7E3686" w14:textId="77777777" w:rsidR="008256F9" w:rsidRDefault="008256F9"/>
  </w:footnote>
  <w:footnote w:id="2">
    <w:p w14:paraId="169E9AE6" w14:textId="0DEF6FBE" w:rsidR="008256F9" w:rsidRPr="003F2B63" w:rsidRDefault="008256F9" w:rsidP="003F2B63">
      <w:pPr>
        <w:pStyle w:val="FootnoteText"/>
        <w:rPr>
          <w:rFonts w:asciiTheme="majorBidi" w:hAnsiTheme="majorBidi" w:cstheme="majorBidi"/>
        </w:rPr>
      </w:pPr>
      <w:r w:rsidRPr="003F2B63">
        <w:rPr>
          <w:rStyle w:val="FootnoteReference"/>
          <w:rFonts w:asciiTheme="majorBidi" w:hAnsiTheme="majorBidi" w:cstheme="majorBidi"/>
        </w:rPr>
        <w:footnoteRef/>
      </w:r>
      <w:r w:rsidRPr="003F2B63">
        <w:rPr>
          <w:rFonts w:asciiTheme="majorBidi" w:hAnsiTheme="majorBidi" w:cstheme="majorBidi"/>
        </w:rPr>
        <w:t xml:space="preserve"> Reprinted with permission from Journal </w:t>
      </w:r>
      <w:r>
        <w:rPr>
          <w:rFonts w:asciiTheme="majorBidi" w:hAnsiTheme="majorBidi" w:cstheme="majorBidi"/>
        </w:rPr>
        <w:t>of Materials Chemistry</w:t>
      </w:r>
      <w:r w:rsidRPr="003F2B63">
        <w:rPr>
          <w:rFonts w:asciiTheme="majorBidi" w:hAnsiTheme="majorBidi" w:cstheme="majorBidi"/>
        </w:rPr>
        <w:t xml:space="preserve"> A, 2021,</w:t>
      </w:r>
      <w:r>
        <w:rPr>
          <w:rFonts w:asciiTheme="majorBidi" w:hAnsiTheme="majorBidi" w:cstheme="majorBidi"/>
        </w:rPr>
        <w:t xml:space="preserve"> </w:t>
      </w:r>
      <w:r w:rsidRPr="003F2B63">
        <w:rPr>
          <w:rFonts w:asciiTheme="majorBidi" w:hAnsiTheme="majorBidi" w:cstheme="majorBidi"/>
        </w:rPr>
        <w:t>9, 21607-21658</w:t>
      </w:r>
      <w:r>
        <w:rPr>
          <w:rFonts w:asciiTheme="majorBidi" w:hAnsiTheme="majorBidi" w:cstheme="majorBidi"/>
        </w:rPr>
        <w:t xml:space="preserve"> </w:t>
      </w:r>
      <w:r w:rsidRPr="003F2B63">
        <w:rPr>
          <w:rFonts w:asciiTheme="majorBidi" w:hAnsiTheme="majorBidi" w:cstheme="majorBidi"/>
        </w:rPr>
        <w:t xml:space="preserve">with </w:t>
      </w:r>
      <w:r>
        <w:rPr>
          <w:rFonts w:asciiTheme="majorBidi" w:hAnsiTheme="majorBidi" w:cstheme="majorBidi"/>
        </w:rPr>
        <w:t>some</w:t>
      </w:r>
      <w:r w:rsidRPr="003F2B63">
        <w:rPr>
          <w:rFonts w:asciiTheme="majorBidi" w:hAnsiTheme="majorBidi" w:cstheme="majorBidi"/>
        </w:rPr>
        <w:t xml:space="preserve"> modifications.   </w:t>
      </w:r>
    </w:p>
  </w:footnote>
  <w:footnote w:id="3">
    <w:p w14:paraId="2E6F84D0" w14:textId="75E7C064" w:rsidR="008256F9" w:rsidRPr="00C51AF1" w:rsidRDefault="008256F9" w:rsidP="00ED152C">
      <w:pPr>
        <w:pStyle w:val="FootnoteText"/>
        <w:rPr>
          <w:rFonts w:asciiTheme="majorBidi" w:hAnsiTheme="majorBidi" w:cstheme="majorBidi"/>
        </w:rPr>
      </w:pPr>
      <w:r w:rsidRPr="00C51AF1">
        <w:rPr>
          <w:rStyle w:val="FootnoteReference"/>
          <w:rFonts w:asciiTheme="majorBidi" w:hAnsiTheme="majorBidi" w:cstheme="majorBidi"/>
        </w:rPr>
        <w:footnoteRef/>
      </w:r>
      <w:r w:rsidRPr="00C51AF1">
        <w:rPr>
          <w:rFonts w:asciiTheme="majorBidi" w:hAnsiTheme="majorBidi" w:cstheme="majorBidi"/>
        </w:rPr>
        <w:t xml:space="preserve"> Reprinted with permission from </w:t>
      </w:r>
      <w:r>
        <w:rPr>
          <w:rFonts w:asciiTheme="majorBidi" w:hAnsiTheme="majorBidi" w:cstheme="majorBidi"/>
        </w:rPr>
        <w:t>Polymer Chemistry</w:t>
      </w:r>
      <w:r w:rsidRPr="00C51AF1">
        <w:rPr>
          <w:rFonts w:asciiTheme="majorBidi" w:hAnsiTheme="majorBidi" w:cstheme="majorBidi"/>
        </w:rPr>
        <w:t>, 2021, 12, 2236-2252</w:t>
      </w:r>
      <w:r>
        <w:rPr>
          <w:rFonts w:asciiTheme="majorBidi" w:hAnsiTheme="majorBidi" w:cstheme="majorBidi"/>
        </w:rPr>
        <w:t xml:space="preserve"> </w:t>
      </w:r>
      <w:r w:rsidRPr="00C51AF1">
        <w:rPr>
          <w:rFonts w:asciiTheme="majorBidi" w:hAnsiTheme="majorBidi" w:cstheme="majorBidi"/>
        </w:rPr>
        <w:t xml:space="preserve">with </w:t>
      </w:r>
      <w:r>
        <w:rPr>
          <w:rFonts w:asciiTheme="majorBidi" w:hAnsiTheme="majorBidi" w:cstheme="majorBidi"/>
        </w:rPr>
        <w:t>some</w:t>
      </w:r>
      <w:r w:rsidRPr="00C51AF1">
        <w:rPr>
          <w:rFonts w:asciiTheme="majorBidi" w:hAnsiTheme="majorBidi" w:cstheme="majorBidi"/>
        </w:rPr>
        <w:t xml:space="preserve"> modifications.</w:t>
      </w:r>
    </w:p>
  </w:footnote>
  <w:footnote w:id="4">
    <w:p w14:paraId="752D80B1" w14:textId="521A179D" w:rsidR="008256F9" w:rsidRPr="00B3763B" w:rsidRDefault="008256F9" w:rsidP="00ED152C">
      <w:pPr>
        <w:pStyle w:val="FootnoteText"/>
        <w:rPr>
          <w:rFonts w:asciiTheme="majorBidi" w:hAnsiTheme="majorBidi" w:cstheme="majorBidi"/>
        </w:rPr>
      </w:pPr>
      <w:r w:rsidRPr="00B3763B">
        <w:rPr>
          <w:rStyle w:val="FootnoteReference"/>
          <w:rFonts w:asciiTheme="majorBidi" w:hAnsiTheme="majorBidi" w:cstheme="majorBidi"/>
        </w:rPr>
        <w:footnoteRef/>
      </w:r>
      <w:r w:rsidRPr="00B3763B">
        <w:rPr>
          <w:rFonts w:asciiTheme="majorBidi" w:hAnsiTheme="majorBidi" w:cstheme="majorBidi"/>
        </w:rPr>
        <w:t xml:space="preserve"> Reprinted with permission from </w:t>
      </w:r>
      <w:r>
        <w:rPr>
          <w:rFonts w:asciiTheme="majorBidi" w:hAnsiTheme="majorBidi" w:cstheme="majorBidi"/>
        </w:rPr>
        <w:t>ACS Applied Polymer Materials</w:t>
      </w:r>
      <w:r w:rsidRPr="00B3763B">
        <w:rPr>
          <w:rFonts w:asciiTheme="majorBidi" w:hAnsiTheme="majorBidi" w:cstheme="majorBidi"/>
        </w:rPr>
        <w:t xml:space="preserve"> 2022, 4, 11, 8156–8165</w:t>
      </w:r>
      <w:r>
        <w:rPr>
          <w:rFonts w:asciiTheme="majorBidi" w:hAnsiTheme="majorBidi" w:cstheme="majorBidi"/>
        </w:rPr>
        <w:t xml:space="preserve"> </w:t>
      </w:r>
      <w:r w:rsidRPr="00B3763B">
        <w:rPr>
          <w:rFonts w:asciiTheme="majorBidi" w:hAnsiTheme="majorBidi" w:cstheme="majorBidi"/>
        </w:rPr>
        <w:t xml:space="preserve">with </w:t>
      </w:r>
      <w:r>
        <w:rPr>
          <w:rFonts w:asciiTheme="majorBidi" w:hAnsiTheme="majorBidi" w:cstheme="majorBidi"/>
        </w:rPr>
        <w:t>some</w:t>
      </w:r>
      <w:r w:rsidRPr="00B3763B">
        <w:rPr>
          <w:rFonts w:asciiTheme="majorBidi" w:hAnsiTheme="majorBidi" w:cstheme="majorBidi"/>
        </w:rPr>
        <w:t xml:space="preserve"> modifications.</w:t>
      </w:r>
    </w:p>
  </w:footnote>
  <w:footnote w:id="5">
    <w:p w14:paraId="4A1D5DA2" w14:textId="7A0CEAA9" w:rsidR="008256F9" w:rsidRPr="00016F62" w:rsidRDefault="008256F9" w:rsidP="00ED152C">
      <w:pPr>
        <w:pStyle w:val="FootnoteText"/>
        <w:rPr>
          <w:rFonts w:asciiTheme="majorBidi" w:hAnsiTheme="majorBidi" w:cstheme="majorBidi"/>
        </w:rPr>
      </w:pPr>
      <w:r w:rsidRPr="00016F62">
        <w:rPr>
          <w:rStyle w:val="FootnoteReference"/>
          <w:rFonts w:asciiTheme="majorBidi" w:hAnsiTheme="majorBidi" w:cstheme="majorBidi"/>
        </w:rPr>
        <w:footnoteRef/>
      </w:r>
      <w:r w:rsidRPr="00016F62">
        <w:rPr>
          <w:rFonts w:asciiTheme="majorBidi" w:hAnsiTheme="majorBidi" w:cstheme="majorBidi"/>
        </w:rPr>
        <w:t xml:space="preserve"> Reprinted with permission from </w:t>
      </w:r>
      <w:r w:rsidRPr="005B24D7">
        <w:rPr>
          <w:rFonts w:asciiTheme="majorBidi" w:hAnsiTheme="majorBidi" w:cstheme="majorBidi"/>
        </w:rPr>
        <w:t>Journal of Membrane Science</w:t>
      </w:r>
      <w:r>
        <w:rPr>
          <w:rFonts w:asciiTheme="majorBidi" w:hAnsiTheme="majorBidi" w:cstheme="majorBidi"/>
        </w:rPr>
        <w:t xml:space="preserve"> </w:t>
      </w:r>
      <w:r w:rsidRPr="00016F62">
        <w:rPr>
          <w:rFonts w:asciiTheme="majorBidi" w:hAnsiTheme="majorBidi" w:cstheme="majorBidi"/>
        </w:rPr>
        <w:t>202</w:t>
      </w:r>
      <w:r>
        <w:rPr>
          <w:rFonts w:asciiTheme="majorBidi" w:hAnsiTheme="majorBidi" w:cstheme="majorBidi"/>
        </w:rPr>
        <w:t>3</w:t>
      </w:r>
      <w:r w:rsidRPr="00016F62">
        <w:rPr>
          <w:rFonts w:asciiTheme="majorBidi" w:hAnsiTheme="majorBidi" w:cstheme="majorBidi"/>
        </w:rPr>
        <w:t xml:space="preserve">, </w:t>
      </w:r>
      <w:r>
        <w:rPr>
          <w:rFonts w:asciiTheme="majorBidi" w:hAnsiTheme="majorBidi" w:cstheme="majorBidi"/>
        </w:rPr>
        <w:t>684</w:t>
      </w:r>
      <w:r w:rsidRPr="00016F62">
        <w:rPr>
          <w:rFonts w:asciiTheme="majorBidi" w:hAnsiTheme="majorBidi" w:cstheme="majorBidi"/>
        </w:rPr>
        <w:t xml:space="preserve">, </w:t>
      </w:r>
      <w:r>
        <w:rPr>
          <w:rFonts w:asciiTheme="majorBidi" w:hAnsiTheme="majorBidi" w:cstheme="majorBidi"/>
        </w:rPr>
        <w:t>121861</w:t>
      </w:r>
      <w:r w:rsidRPr="00016F62">
        <w:rPr>
          <w:rFonts w:asciiTheme="majorBidi" w:hAnsiTheme="majorBidi" w:cstheme="majorBidi"/>
        </w:rPr>
        <w:t xml:space="preserve"> with </w:t>
      </w:r>
      <w:r>
        <w:rPr>
          <w:rFonts w:asciiTheme="majorBidi" w:hAnsiTheme="majorBidi" w:cstheme="majorBidi"/>
        </w:rPr>
        <w:t>some</w:t>
      </w:r>
      <w:r w:rsidRPr="00016F62">
        <w:rPr>
          <w:rFonts w:asciiTheme="majorBidi" w:hAnsiTheme="majorBidi" w:cstheme="majorBidi"/>
        </w:rPr>
        <w:t xml:space="preserve"> modifications.</w:t>
      </w:r>
    </w:p>
    <w:p w14:paraId="7FBDB340" w14:textId="339ED0D6" w:rsidR="008256F9" w:rsidRDefault="008256F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672C8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642E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238D9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D042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3FCED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C69B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DC0D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BA4A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5E70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52B4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5F6105"/>
    <w:multiLevelType w:val="hybridMultilevel"/>
    <w:tmpl w:val="5F5E0682"/>
    <w:lvl w:ilvl="0" w:tplc="5B9026D6">
      <w:start w:val="1"/>
      <w:numFmt w:val="decimal"/>
      <w:lvlRestart w:val="0"/>
      <w:pStyle w:val="MDPI71FootNotes"/>
      <w:lvlText w:val="%1."/>
      <w:lvlJc w:val="left"/>
      <w:pPr>
        <w:ind w:left="425" w:hanging="425"/>
      </w:pPr>
      <w:rPr>
        <w:rFonts w:hint="default"/>
        <w:b w:val="0"/>
        <w:i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B468F5"/>
    <w:multiLevelType w:val="hybridMultilevel"/>
    <w:tmpl w:val="C756EB9E"/>
    <w:lvl w:ilvl="0" w:tplc="DF2E7D7E">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C6F5D"/>
    <w:multiLevelType w:val="hybridMultilevel"/>
    <w:tmpl w:val="C430EAB2"/>
    <w:lvl w:ilvl="0" w:tplc="5BE0369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3" w15:restartNumberingAfterBreak="0">
    <w:nsid w:val="23F230F7"/>
    <w:multiLevelType w:val="hybridMultilevel"/>
    <w:tmpl w:val="509A9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A41D98"/>
    <w:multiLevelType w:val="hybridMultilevel"/>
    <w:tmpl w:val="0774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E45CF"/>
    <w:multiLevelType w:val="hybridMultilevel"/>
    <w:tmpl w:val="9CF8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F73207"/>
    <w:multiLevelType w:val="multilevel"/>
    <w:tmpl w:val="47A017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05E1E6F"/>
    <w:multiLevelType w:val="multilevel"/>
    <w:tmpl w:val="43D4A7C4"/>
    <w:lvl w:ilvl="0">
      <w:start w:val="1"/>
      <w:numFmt w:val="decimal"/>
      <w:pStyle w:val="Heading1"/>
      <w:suff w:val="space"/>
      <w:lvlText w:val="CHAPTER %1:"/>
      <w:lvlJc w:val="left"/>
      <w:pPr>
        <w:ind w:left="710" w:firstLine="0"/>
      </w:pPr>
      <w:rPr>
        <w:rFonts w:ascii="Times New Roman" w:hAnsi="Times New Roman"/>
        <w:b/>
        <w:bCs/>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8" w15:restartNumberingAfterBreak="0">
    <w:nsid w:val="49481F93"/>
    <w:multiLevelType w:val="multilevel"/>
    <w:tmpl w:val="E792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075B53"/>
    <w:multiLevelType w:val="hybridMultilevel"/>
    <w:tmpl w:val="06D6BC4E"/>
    <w:lvl w:ilvl="0" w:tplc="4464275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0" w15:restartNumberingAfterBreak="0">
    <w:nsid w:val="545761FC"/>
    <w:multiLevelType w:val="hybridMultilevel"/>
    <w:tmpl w:val="8A426E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624D43"/>
    <w:multiLevelType w:val="hybridMultilevel"/>
    <w:tmpl w:val="8034C5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67056C"/>
    <w:multiLevelType w:val="hybridMultilevel"/>
    <w:tmpl w:val="F970C43C"/>
    <w:lvl w:ilvl="0" w:tplc="478C3C9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EF70CD"/>
    <w:multiLevelType w:val="multilevel"/>
    <w:tmpl w:val="876CD3FC"/>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2"/>
  </w:num>
  <w:num w:numId="3">
    <w:abstractNumId w:val="11"/>
  </w:num>
  <w:num w:numId="4">
    <w:abstractNumId w:val="10"/>
  </w:num>
  <w:num w:numId="5">
    <w:abstractNumId w:val="17"/>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4"/>
  </w:num>
  <w:num w:numId="10">
    <w:abstractNumId w:val="13"/>
  </w:num>
  <w:num w:numId="11">
    <w:abstractNumId w:val="22"/>
  </w:num>
  <w:num w:numId="12">
    <w:abstractNumId w:val="2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8"/>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21"/>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7"/>
  </w:num>
  <w:num w:numId="3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2"/>
  <w:defaultTabStop w:val="720"/>
  <w:characterSpacingControl w:val="doNotCompress"/>
  <w:hdrShapeDefaults>
    <o:shapedefaults v:ext="edit" spidmax="210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asa9tsvvfzfpe8e2pvp5radxeapvetv0a2pv&quot;&gt;Generalexam_Copy&lt;record-ids&gt;&lt;item&gt;21&lt;/item&gt;&lt;item&gt;25&lt;/item&gt;&lt;item&gt;28&lt;/item&gt;&lt;item&gt;35&lt;/item&gt;&lt;item&gt;37&lt;/item&gt;&lt;item&gt;41&lt;/item&gt;&lt;item&gt;45&lt;/item&gt;&lt;item&gt;46&lt;/item&gt;&lt;item&gt;47&lt;/item&gt;&lt;item&gt;48&lt;/item&gt;&lt;item&gt;53&lt;/item&gt;&lt;item&gt;56&lt;/item&gt;&lt;item&gt;66&lt;/item&gt;&lt;item&gt;97&lt;/item&gt;&lt;item&gt;139&lt;/item&gt;&lt;item&gt;151&lt;/item&gt;&lt;item&gt;154&lt;/item&gt;&lt;item&gt;155&lt;/item&gt;&lt;item&gt;156&lt;/item&gt;&lt;item&gt;161&lt;/item&gt;&lt;item&gt;162&lt;/item&gt;&lt;item&gt;163&lt;/item&gt;&lt;item&gt;164&lt;/item&gt;&lt;item&gt;165&lt;/item&gt;&lt;item&gt;166&lt;/item&gt;&lt;item&gt;167&lt;/item&gt;&lt;item&gt;168&lt;/item&gt;&lt;item&gt;169&lt;/item&gt;&lt;item&gt;170&lt;/item&gt;&lt;item&gt;171&lt;/item&gt;&lt;item&gt;174&lt;/item&gt;&lt;item&gt;179&lt;/item&gt;&lt;item&gt;182&lt;/item&gt;&lt;item&gt;183&lt;/item&gt;&lt;item&gt;184&lt;/item&gt;&lt;item&gt;187&lt;/item&gt;&lt;item&gt;188&lt;/item&gt;&lt;item&gt;189&lt;/item&gt;&lt;item&gt;190&lt;/item&gt;&lt;item&gt;192&lt;/item&gt;&lt;item&gt;193&lt;/item&gt;&lt;item&gt;194&lt;/item&gt;&lt;item&gt;195&lt;/item&gt;&lt;item&gt;196&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26&lt;/item&gt;&lt;item&gt;246&lt;/item&gt;&lt;item&gt;247&lt;/item&gt;&lt;item&gt;249&lt;/item&gt;&lt;item&gt;254&lt;/item&gt;&lt;item&gt;276&lt;/item&gt;&lt;item&gt;280&lt;/item&gt;&lt;item&gt;281&lt;/item&gt;&lt;item&gt;284&lt;/item&gt;&lt;item&gt;287&lt;/item&gt;&lt;item&gt;288&lt;/item&gt;&lt;item&gt;289&lt;/item&gt;&lt;item&gt;291&lt;/item&gt;&lt;item&gt;297&lt;/item&gt;&lt;item&gt;299&lt;/item&gt;&lt;item&gt;306&lt;/item&gt;&lt;item&gt;307&lt;/item&gt;&lt;item&gt;309&lt;/item&gt;&lt;item&gt;322&lt;/item&gt;&lt;item&gt;323&lt;/item&gt;&lt;item&gt;326&lt;/item&gt;&lt;item&gt;330&lt;/item&gt;&lt;item&gt;331&lt;/item&gt;&lt;item&gt;332&lt;/item&gt;&lt;item&gt;338&lt;/item&gt;&lt;item&gt;339&lt;/item&gt;&lt;item&gt;340&lt;/item&gt;&lt;item&gt;342&lt;/item&gt;&lt;item&gt;343&lt;/item&gt;&lt;item&gt;346&lt;/item&gt;&lt;item&gt;348&lt;/item&gt;&lt;item&gt;350&lt;/item&gt;&lt;item&gt;352&lt;/item&gt;&lt;item&gt;353&lt;/item&gt;&lt;item&gt;355&lt;/item&gt;&lt;item&gt;357&lt;/item&gt;&lt;item&gt;358&lt;/item&gt;&lt;item&gt;359&lt;/item&gt;&lt;item&gt;360&lt;/item&gt;&lt;item&gt;384&lt;/item&gt;&lt;item&gt;410&lt;/item&gt;&lt;item&gt;413&lt;/item&gt;&lt;item&gt;416&lt;/item&gt;&lt;item&gt;417&lt;/item&gt;&lt;item&gt;418&lt;/item&gt;&lt;item&gt;419&lt;/item&gt;&lt;item&gt;420&lt;/item&gt;&lt;item&gt;421&lt;/item&gt;&lt;item&gt;422&lt;/item&gt;&lt;item&gt;423&lt;/item&gt;&lt;item&gt;425&lt;/item&gt;&lt;item&gt;427&lt;/item&gt;&lt;item&gt;429&lt;/item&gt;&lt;item&gt;431&lt;/item&gt;&lt;item&gt;432&lt;/item&gt;&lt;item&gt;433&lt;/item&gt;&lt;item&gt;434&lt;/item&gt;&lt;item&gt;435&lt;/item&gt;&lt;item&gt;436&lt;/item&gt;&lt;item&gt;437&lt;/item&gt;&lt;item&gt;438&lt;/item&gt;&lt;item&gt;439&lt;/item&gt;&lt;item&gt;440&lt;/item&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1&lt;/item&gt;&lt;item&gt;474&lt;/item&gt;&lt;item&gt;477&lt;/item&gt;&lt;item&gt;480&lt;/item&gt;&lt;item&gt;481&lt;/item&gt;&lt;item&gt;482&lt;/item&gt;&lt;item&gt;483&lt;/item&gt;&lt;item&gt;484&lt;/item&gt;&lt;item&gt;486&lt;/item&gt;&lt;item&gt;487&lt;/item&gt;&lt;item&gt;488&lt;/item&gt;&lt;item&gt;490&lt;/item&gt;&lt;item&gt;491&lt;/item&gt;&lt;item&gt;492&lt;/item&gt;&lt;item&gt;493&lt;/item&gt;&lt;item&gt;494&lt;/item&gt;&lt;item&gt;495&lt;/item&gt;&lt;item&gt;525&lt;/item&gt;&lt;item&gt;527&lt;/item&gt;&lt;item&gt;528&lt;/item&gt;&lt;item&gt;530&lt;/item&gt;&lt;item&gt;531&lt;/item&gt;&lt;item&gt;532&lt;/item&gt;&lt;item&gt;534&lt;/item&gt;&lt;item&gt;535&lt;/item&gt;&lt;item&gt;536&lt;/item&gt;&lt;item&gt;537&lt;/item&gt;&lt;item&gt;541&lt;/item&gt;&lt;item&gt;543&lt;/item&gt;&lt;item&gt;545&lt;/item&gt;&lt;item&gt;546&lt;/item&gt;&lt;item&gt;547&lt;/item&gt;&lt;item&gt;549&lt;/item&gt;&lt;item&gt;550&lt;/item&gt;&lt;item&gt;551&lt;/item&gt;&lt;item&gt;552&lt;/item&gt;&lt;item&gt;553&lt;/item&gt;&lt;item&gt;554&lt;/item&gt;&lt;item&gt;555&lt;/item&gt;&lt;item&gt;556&lt;/item&gt;&lt;/record-ids&gt;&lt;/item&gt;&lt;/Libraries&gt;"/>
  </w:docVars>
  <w:rsids>
    <w:rsidRoot w:val="003F40E5"/>
    <w:rsid w:val="000001DF"/>
    <w:rsid w:val="000008E3"/>
    <w:rsid w:val="00000E1C"/>
    <w:rsid w:val="00000EEE"/>
    <w:rsid w:val="00001069"/>
    <w:rsid w:val="00001A19"/>
    <w:rsid w:val="00004252"/>
    <w:rsid w:val="00004368"/>
    <w:rsid w:val="000051D3"/>
    <w:rsid w:val="000054F4"/>
    <w:rsid w:val="0000684A"/>
    <w:rsid w:val="0000749A"/>
    <w:rsid w:val="00007A03"/>
    <w:rsid w:val="00007C5D"/>
    <w:rsid w:val="00007FF9"/>
    <w:rsid w:val="00010373"/>
    <w:rsid w:val="000103AF"/>
    <w:rsid w:val="00010D3B"/>
    <w:rsid w:val="0001131A"/>
    <w:rsid w:val="000117AE"/>
    <w:rsid w:val="000117D6"/>
    <w:rsid w:val="00011A9F"/>
    <w:rsid w:val="00011AD3"/>
    <w:rsid w:val="000124EF"/>
    <w:rsid w:val="00012E19"/>
    <w:rsid w:val="00013197"/>
    <w:rsid w:val="000134EA"/>
    <w:rsid w:val="0001358A"/>
    <w:rsid w:val="00013B11"/>
    <w:rsid w:val="0001432F"/>
    <w:rsid w:val="00014FFD"/>
    <w:rsid w:val="00015157"/>
    <w:rsid w:val="000152F1"/>
    <w:rsid w:val="000153C5"/>
    <w:rsid w:val="000156A9"/>
    <w:rsid w:val="000157D2"/>
    <w:rsid w:val="000158C7"/>
    <w:rsid w:val="000160C0"/>
    <w:rsid w:val="00016E55"/>
    <w:rsid w:val="00016F62"/>
    <w:rsid w:val="00017625"/>
    <w:rsid w:val="00017B96"/>
    <w:rsid w:val="000200C4"/>
    <w:rsid w:val="0002026A"/>
    <w:rsid w:val="00020537"/>
    <w:rsid w:val="00020936"/>
    <w:rsid w:val="0002147F"/>
    <w:rsid w:val="000222D6"/>
    <w:rsid w:val="00022F9D"/>
    <w:rsid w:val="00023176"/>
    <w:rsid w:val="00023604"/>
    <w:rsid w:val="00023E1F"/>
    <w:rsid w:val="00024367"/>
    <w:rsid w:val="0002467E"/>
    <w:rsid w:val="00024707"/>
    <w:rsid w:val="00024C6E"/>
    <w:rsid w:val="00024EFA"/>
    <w:rsid w:val="000250F6"/>
    <w:rsid w:val="0002561A"/>
    <w:rsid w:val="000256C1"/>
    <w:rsid w:val="00025C72"/>
    <w:rsid w:val="00025E3A"/>
    <w:rsid w:val="00025E86"/>
    <w:rsid w:val="00026120"/>
    <w:rsid w:val="00026494"/>
    <w:rsid w:val="00026544"/>
    <w:rsid w:val="00026AF2"/>
    <w:rsid w:val="00027416"/>
    <w:rsid w:val="00027563"/>
    <w:rsid w:val="00027AB3"/>
    <w:rsid w:val="00027ABC"/>
    <w:rsid w:val="0003006F"/>
    <w:rsid w:val="00030118"/>
    <w:rsid w:val="00030B72"/>
    <w:rsid w:val="000319BB"/>
    <w:rsid w:val="00031BB5"/>
    <w:rsid w:val="00032264"/>
    <w:rsid w:val="00032907"/>
    <w:rsid w:val="00032DAB"/>
    <w:rsid w:val="00033A37"/>
    <w:rsid w:val="00033B21"/>
    <w:rsid w:val="00033B4D"/>
    <w:rsid w:val="00033F82"/>
    <w:rsid w:val="00034572"/>
    <w:rsid w:val="000347E8"/>
    <w:rsid w:val="00034E31"/>
    <w:rsid w:val="000351C4"/>
    <w:rsid w:val="00035489"/>
    <w:rsid w:val="000354BC"/>
    <w:rsid w:val="00035B1B"/>
    <w:rsid w:val="00036058"/>
    <w:rsid w:val="0003673F"/>
    <w:rsid w:val="00036E32"/>
    <w:rsid w:val="000375C8"/>
    <w:rsid w:val="00037AB4"/>
    <w:rsid w:val="000402ED"/>
    <w:rsid w:val="00040474"/>
    <w:rsid w:val="0004098B"/>
    <w:rsid w:val="000412A8"/>
    <w:rsid w:val="00041EB7"/>
    <w:rsid w:val="00042319"/>
    <w:rsid w:val="00042F47"/>
    <w:rsid w:val="000431A2"/>
    <w:rsid w:val="000434EE"/>
    <w:rsid w:val="0004445E"/>
    <w:rsid w:val="0004458B"/>
    <w:rsid w:val="00044D44"/>
    <w:rsid w:val="00045990"/>
    <w:rsid w:val="00045C5A"/>
    <w:rsid w:val="00045C5E"/>
    <w:rsid w:val="00045DAF"/>
    <w:rsid w:val="00045F7A"/>
    <w:rsid w:val="00046408"/>
    <w:rsid w:val="0004776F"/>
    <w:rsid w:val="00047796"/>
    <w:rsid w:val="00050891"/>
    <w:rsid w:val="00050DB2"/>
    <w:rsid w:val="00050F9A"/>
    <w:rsid w:val="00051E09"/>
    <w:rsid w:val="00051E79"/>
    <w:rsid w:val="0005214F"/>
    <w:rsid w:val="0005218C"/>
    <w:rsid w:val="00052322"/>
    <w:rsid w:val="00052836"/>
    <w:rsid w:val="00052F7A"/>
    <w:rsid w:val="00052F85"/>
    <w:rsid w:val="000537AA"/>
    <w:rsid w:val="00053AF9"/>
    <w:rsid w:val="00053ECD"/>
    <w:rsid w:val="00054935"/>
    <w:rsid w:val="00054A67"/>
    <w:rsid w:val="000556F3"/>
    <w:rsid w:val="0005573A"/>
    <w:rsid w:val="00056045"/>
    <w:rsid w:val="00056DBA"/>
    <w:rsid w:val="00057158"/>
    <w:rsid w:val="0006004E"/>
    <w:rsid w:val="000601A5"/>
    <w:rsid w:val="00060ADB"/>
    <w:rsid w:val="00060FEA"/>
    <w:rsid w:val="00061C4D"/>
    <w:rsid w:val="00062148"/>
    <w:rsid w:val="00062369"/>
    <w:rsid w:val="00062D0E"/>
    <w:rsid w:val="00062EDF"/>
    <w:rsid w:val="0006341F"/>
    <w:rsid w:val="000636F9"/>
    <w:rsid w:val="0006480A"/>
    <w:rsid w:val="00064AE2"/>
    <w:rsid w:val="00064D6B"/>
    <w:rsid w:val="00065112"/>
    <w:rsid w:val="00065BB6"/>
    <w:rsid w:val="00065F5B"/>
    <w:rsid w:val="00066CA4"/>
    <w:rsid w:val="00066CD3"/>
    <w:rsid w:val="00066F5C"/>
    <w:rsid w:val="00067154"/>
    <w:rsid w:val="000672B2"/>
    <w:rsid w:val="0006736F"/>
    <w:rsid w:val="00067861"/>
    <w:rsid w:val="000679C5"/>
    <w:rsid w:val="0007159B"/>
    <w:rsid w:val="00071A08"/>
    <w:rsid w:val="00071D2A"/>
    <w:rsid w:val="00071DA2"/>
    <w:rsid w:val="00071FFC"/>
    <w:rsid w:val="00072CC9"/>
    <w:rsid w:val="000737BD"/>
    <w:rsid w:val="000738E4"/>
    <w:rsid w:val="00073AD1"/>
    <w:rsid w:val="000746EC"/>
    <w:rsid w:val="00074832"/>
    <w:rsid w:val="000748CC"/>
    <w:rsid w:val="00074972"/>
    <w:rsid w:val="00074A8B"/>
    <w:rsid w:val="00074E8E"/>
    <w:rsid w:val="00075330"/>
    <w:rsid w:val="0007644D"/>
    <w:rsid w:val="00076472"/>
    <w:rsid w:val="0007648A"/>
    <w:rsid w:val="00076C92"/>
    <w:rsid w:val="0007741B"/>
    <w:rsid w:val="0007781D"/>
    <w:rsid w:val="00077E2F"/>
    <w:rsid w:val="00080070"/>
    <w:rsid w:val="00080097"/>
    <w:rsid w:val="00080348"/>
    <w:rsid w:val="0008058E"/>
    <w:rsid w:val="000805F5"/>
    <w:rsid w:val="00082243"/>
    <w:rsid w:val="00082609"/>
    <w:rsid w:val="00082DA6"/>
    <w:rsid w:val="00083164"/>
    <w:rsid w:val="000832F6"/>
    <w:rsid w:val="00083F5D"/>
    <w:rsid w:val="00084407"/>
    <w:rsid w:val="00084776"/>
    <w:rsid w:val="000848A0"/>
    <w:rsid w:val="00084C7D"/>
    <w:rsid w:val="000859B9"/>
    <w:rsid w:val="000859FF"/>
    <w:rsid w:val="0008658F"/>
    <w:rsid w:val="00086C24"/>
    <w:rsid w:val="00086C6E"/>
    <w:rsid w:val="00086EED"/>
    <w:rsid w:val="00086FD6"/>
    <w:rsid w:val="000871A4"/>
    <w:rsid w:val="00087214"/>
    <w:rsid w:val="0008730D"/>
    <w:rsid w:val="000874C9"/>
    <w:rsid w:val="0008790D"/>
    <w:rsid w:val="00087CB2"/>
    <w:rsid w:val="00087DCD"/>
    <w:rsid w:val="00090357"/>
    <w:rsid w:val="00090611"/>
    <w:rsid w:val="0009156C"/>
    <w:rsid w:val="00091C96"/>
    <w:rsid w:val="000921FF"/>
    <w:rsid w:val="000929BC"/>
    <w:rsid w:val="00093AAB"/>
    <w:rsid w:val="00094978"/>
    <w:rsid w:val="00094A70"/>
    <w:rsid w:val="00094E56"/>
    <w:rsid w:val="00094F20"/>
    <w:rsid w:val="000950D7"/>
    <w:rsid w:val="0009565D"/>
    <w:rsid w:val="00095F7E"/>
    <w:rsid w:val="000963BF"/>
    <w:rsid w:val="00096710"/>
    <w:rsid w:val="00096FED"/>
    <w:rsid w:val="000972C8"/>
    <w:rsid w:val="0009732C"/>
    <w:rsid w:val="000973BC"/>
    <w:rsid w:val="00097421"/>
    <w:rsid w:val="0009790B"/>
    <w:rsid w:val="000A06CA"/>
    <w:rsid w:val="000A0A04"/>
    <w:rsid w:val="000A1415"/>
    <w:rsid w:val="000A164A"/>
    <w:rsid w:val="000A193A"/>
    <w:rsid w:val="000A2353"/>
    <w:rsid w:val="000A2A4F"/>
    <w:rsid w:val="000A2C2D"/>
    <w:rsid w:val="000A3227"/>
    <w:rsid w:val="000A36DC"/>
    <w:rsid w:val="000A37D8"/>
    <w:rsid w:val="000A39AB"/>
    <w:rsid w:val="000A39C3"/>
    <w:rsid w:val="000A3A77"/>
    <w:rsid w:val="000A4860"/>
    <w:rsid w:val="000A51CA"/>
    <w:rsid w:val="000A5291"/>
    <w:rsid w:val="000A56A6"/>
    <w:rsid w:val="000A576C"/>
    <w:rsid w:val="000A62C0"/>
    <w:rsid w:val="000A6559"/>
    <w:rsid w:val="000A75F4"/>
    <w:rsid w:val="000A79C6"/>
    <w:rsid w:val="000A7ABD"/>
    <w:rsid w:val="000B1241"/>
    <w:rsid w:val="000B12AD"/>
    <w:rsid w:val="000B1738"/>
    <w:rsid w:val="000B1A7F"/>
    <w:rsid w:val="000B275F"/>
    <w:rsid w:val="000B2A0E"/>
    <w:rsid w:val="000B3794"/>
    <w:rsid w:val="000B37DA"/>
    <w:rsid w:val="000B4053"/>
    <w:rsid w:val="000B48E4"/>
    <w:rsid w:val="000B4CE6"/>
    <w:rsid w:val="000B5356"/>
    <w:rsid w:val="000B5518"/>
    <w:rsid w:val="000B6282"/>
    <w:rsid w:val="000B67AC"/>
    <w:rsid w:val="000B7E72"/>
    <w:rsid w:val="000C0045"/>
    <w:rsid w:val="000C05D0"/>
    <w:rsid w:val="000C064A"/>
    <w:rsid w:val="000C09B6"/>
    <w:rsid w:val="000C10FC"/>
    <w:rsid w:val="000C1288"/>
    <w:rsid w:val="000C2DB3"/>
    <w:rsid w:val="000C3681"/>
    <w:rsid w:val="000C37FE"/>
    <w:rsid w:val="000C3FEF"/>
    <w:rsid w:val="000C4121"/>
    <w:rsid w:val="000C4206"/>
    <w:rsid w:val="000C43E5"/>
    <w:rsid w:val="000C49DF"/>
    <w:rsid w:val="000C507F"/>
    <w:rsid w:val="000C51E8"/>
    <w:rsid w:val="000C52A7"/>
    <w:rsid w:val="000C56B7"/>
    <w:rsid w:val="000C69F1"/>
    <w:rsid w:val="000C6E5F"/>
    <w:rsid w:val="000C6EC2"/>
    <w:rsid w:val="000C72CB"/>
    <w:rsid w:val="000C7319"/>
    <w:rsid w:val="000C743E"/>
    <w:rsid w:val="000C7E0B"/>
    <w:rsid w:val="000D00F4"/>
    <w:rsid w:val="000D0565"/>
    <w:rsid w:val="000D0886"/>
    <w:rsid w:val="000D093D"/>
    <w:rsid w:val="000D0E6D"/>
    <w:rsid w:val="000D0FE4"/>
    <w:rsid w:val="000D109D"/>
    <w:rsid w:val="000D15E8"/>
    <w:rsid w:val="000D2204"/>
    <w:rsid w:val="000D2480"/>
    <w:rsid w:val="000D2979"/>
    <w:rsid w:val="000D2E51"/>
    <w:rsid w:val="000D2F7F"/>
    <w:rsid w:val="000D4498"/>
    <w:rsid w:val="000D5826"/>
    <w:rsid w:val="000D5A9E"/>
    <w:rsid w:val="000D5FD0"/>
    <w:rsid w:val="000D690F"/>
    <w:rsid w:val="000D700C"/>
    <w:rsid w:val="000D705B"/>
    <w:rsid w:val="000D73BC"/>
    <w:rsid w:val="000D75AC"/>
    <w:rsid w:val="000D77E2"/>
    <w:rsid w:val="000D7B6B"/>
    <w:rsid w:val="000D7D4F"/>
    <w:rsid w:val="000E009A"/>
    <w:rsid w:val="000E0413"/>
    <w:rsid w:val="000E0AD0"/>
    <w:rsid w:val="000E0B73"/>
    <w:rsid w:val="000E1893"/>
    <w:rsid w:val="000E1E03"/>
    <w:rsid w:val="000E1EE8"/>
    <w:rsid w:val="000E329D"/>
    <w:rsid w:val="000E33DF"/>
    <w:rsid w:val="000E3F9D"/>
    <w:rsid w:val="000E4335"/>
    <w:rsid w:val="000E44B6"/>
    <w:rsid w:val="000E48AA"/>
    <w:rsid w:val="000E50CC"/>
    <w:rsid w:val="000E693E"/>
    <w:rsid w:val="000E6A73"/>
    <w:rsid w:val="000E6FCC"/>
    <w:rsid w:val="000E7387"/>
    <w:rsid w:val="000E7EA0"/>
    <w:rsid w:val="000F0424"/>
    <w:rsid w:val="000F05FE"/>
    <w:rsid w:val="000F0C39"/>
    <w:rsid w:val="000F0DAE"/>
    <w:rsid w:val="000F0FA0"/>
    <w:rsid w:val="000F117A"/>
    <w:rsid w:val="000F143F"/>
    <w:rsid w:val="000F1441"/>
    <w:rsid w:val="000F178F"/>
    <w:rsid w:val="000F2275"/>
    <w:rsid w:val="000F301F"/>
    <w:rsid w:val="000F40C8"/>
    <w:rsid w:val="000F47E8"/>
    <w:rsid w:val="000F4E46"/>
    <w:rsid w:val="000F58B1"/>
    <w:rsid w:val="000F5A7F"/>
    <w:rsid w:val="000F636F"/>
    <w:rsid w:val="000F64C5"/>
    <w:rsid w:val="000F7B34"/>
    <w:rsid w:val="000F7B44"/>
    <w:rsid w:val="000F7D11"/>
    <w:rsid w:val="000F7E48"/>
    <w:rsid w:val="0010014A"/>
    <w:rsid w:val="0010020F"/>
    <w:rsid w:val="00100377"/>
    <w:rsid w:val="0010081F"/>
    <w:rsid w:val="0010084D"/>
    <w:rsid w:val="00100AB4"/>
    <w:rsid w:val="00100C3C"/>
    <w:rsid w:val="00100CA1"/>
    <w:rsid w:val="001011B8"/>
    <w:rsid w:val="001011E7"/>
    <w:rsid w:val="00101491"/>
    <w:rsid w:val="00101FAB"/>
    <w:rsid w:val="00101FD9"/>
    <w:rsid w:val="0010282D"/>
    <w:rsid w:val="001031DD"/>
    <w:rsid w:val="001037DA"/>
    <w:rsid w:val="00103C9C"/>
    <w:rsid w:val="00104444"/>
    <w:rsid w:val="001057EF"/>
    <w:rsid w:val="00105918"/>
    <w:rsid w:val="00105B1A"/>
    <w:rsid w:val="00105C0B"/>
    <w:rsid w:val="00105C90"/>
    <w:rsid w:val="0010610B"/>
    <w:rsid w:val="00106125"/>
    <w:rsid w:val="00106F15"/>
    <w:rsid w:val="00106FDB"/>
    <w:rsid w:val="00107293"/>
    <w:rsid w:val="00107361"/>
    <w:rsid w:val="00107474"/>
    <w:rsid w:val="00107656"/>
    <w:rsid w:val="0010787D"/>
    <w:rsid w:val="001102AA"/>
    <w:rsid w:val="001104E5"/>
    <w:rsid w:val="0011087A"/>
    <w:rsid w:val="00110FBC"/>
    <w:rsid w:val="001112F8"/>
    <w:rsid w:val="00111349"/>
    <w:rsid w:val="0011187A"/>
    <w:rsid w:val="00111899"/>
    <w:rsid w:val="00111C5C"/>
    <w:rsid w:val="00112839"/>
    <w:rsid w:val="00112851"/>
    <w:rsid w:val="00112BFA"/>
    <w:rsid w:val="00112DB2"/>
    <w:rsid w:val="001131AB"/>
    <w:rsid w:val="001132EE"/>
    <w:rsid w:val="001133D5"/>
    <w:rsid w:val="00113433"/>
    <w:rsid w:val="0011381D"/>
    <w:rsid w:val="001139EF"/>
    <w:rsid w:val="00113A7E"/>
    <w:rsid w:val="0011416B"/>
    <w:rsid w:val="00114C13"/>
    <w:rsid w:val="00115717"/>
    <w:rsid w:val="00115B15"/>
    <w:rsid w:val="00115CDA"/>
    <w:rsid w:val="00115F7B"/>
    <w:rsid w:val="001163C5"/>
    <w:rsid w:val="00116DB0"/>
    <w:rsid w:val="00116FA8"/>
    <w:rsid w:val="0011705A"/>
    <w:rsid w:val="00117408"/>
    <w:rsid w:val="00117778"/>
    <w:rsid w:val="001178DA"/>
    <w:rsid w:val="00117CE5"/>
    <w:rsid w:val="00120944"/>
    <w:rsid w:val="00120B24"/>
    <w:rsid w:val="00120F0F"/>
    <w:rsid w:val="00121052"/>
    <w:rsid w:val="001211A3"/>
    <w:rsid w:val="001219ED"/>
    <w:rsid w:val="00122210"/>
    <w:rsid w:val="00122A81"/>
    <w:rsid w:val="001230B7"/>
    <w:rsid w:val="00123A84"/>
    <w:rsid w:val="00123C66"/>
    <w:rsid w:val="00124133"/>
    <w:rsid w:val="00124469"/>
    <w:rsid w:val="00124FC6"/>
    <w:rsid w:val="00125FC6"/>
    <w:rsid w:val="00126475"/>
    <w:rsid w:val="001266A8"/>
    <w:rsid w:val="0012746C"/>
    <w:rsid w:val="00127A53"/>
    <w:rsid w:val="00127D1B"/>
    <w:rsid w:val="001304D7"/>
    <w:rsid w:val="00130C36"/>
    <w:rsid w:val="00131850"/>
    <w:rsid w:val="00131C5E"/>
    <w:rsid w:val="00132129"/>
    <w:rsid w:val="001322A8"/>
    <w:rsid w:val="0013337D"/>
    <w:rsid w:val="001333C2"/>
    <w:rsid w:val="0013376E"/>
    <w:rsid w:val="001339F0"/>
    <w:rsid w:val="00133BBB"/>
    <w:rsid w:val="00133CDF"/>
    <w:rsid w:val="00133E9E"/>
    <w:rsid w:val="00133F15"/>
    <w:rsid w:val="00133F7B"/>
    <w:rsid w:val="00134856"/>
    <w:rsid w:val="00135018"/>
    <w:rsid w:val="001351C3"/>
    <w:rsid w:val="0013547D"/>
    <w:rsid w:val="00135A9D"/>
    <w:rsid w:val="00135E49"/>
    <w:rsid w:val="00135F76"/>
    <w:rsid w:val="00136177"/>
    <w:rsid w:val="00136331"/>
    <w:rsid w:val="00136933"/>
    <w:rsid w:val="00136981"/>
    <w:rsid w:val="001369CB"/>
    <w:rsid w:val="001369D8"/>
    <w:rsid w:val="00136A56"/>
    <w:rsid w:val="001376FF"/>
    <w:rsid w:val="00137950"/>
    <w:rsid w:val="0014021F"/>
    <w:rsid w:val="00140277"/>
    <w:rsid w:val="00140E30"/>
    <w:rsid w:val="00140E6C"/>
    <w:rsid w:val="0014111C"/>
    <w:rsid w:val="0014127E"/>
    <w:rsid w:val="00141493"/>
    <w:rsid w:val="00141989"/>
    <w:rsid w:val="00142AB2"/>
    <w:rsid w:val="00142AD8"/>
    <w:rsid w:val="0014307A"/>
    <w:rsid w:val="00143172"/>
    <w:rsid w:val="001433F6"/>
    <w:rsid w:val="00143EA0"/>
    <w:rsid w:val="0014450E"/>
    <w:rsid w:val="0014488A"/>
    <w:rsid w:val="00144A6A"/>
    <w:rsid w:val="00144D00"/>
    <w:rsid w:val="0014513C"/>
    <w:rsid w:val="0014533F"/>
    <w:rsid w:val="00145DF6"/>
    <w:rsid w:val="0014635A"/>
    <w:rsid w:val="001463DF"/>
    <w:rsid w:val="001464AC"/>
    <w:rsid w:val="00147459"/>
    <w:rsid w:val="00147500"/>
    <w:rsid w:val="00147A77"/>
    <w:rsid w:val="001500E7"/>
    <w:rsid w:val="00150F90"/>
    <w:rsid w:val="0015139C"/>
    <w:rsid w:val="001517BA"/>
    <w:rsid w:val="00151959"/>
    <w:rsid w:val="00151DCF"/>
    <w:rsid w:val="00154021"/>
    <w:rsid w:val="00154338"/>
    <w:rsid w:val="00154727"/>
    <w:rsid w:val="001548FF"/>
    <w:rsid w:val="001549F6"/>
    <w:rsid w:val="00154D4D"/>
    <w:rsid w:val="00154D4E"/>
    <w:rsid w:val="00155455"/>
    <w:rsid w:val="00155658"/>
    <w:rsid w:val="001559FD"/>
    <w:rsid w:val="001563EF"/>
    <w:rsid w:val="001565BC"/>
    <w:rsid w:val="001566D7"/>
    <w:rsid w:val="00156B8B"/>
    <w:rsid w:val="00157475"/>
    <w:rsid w:val="00157873"/>
    <w:rsid w:val="001579C5"/>
    <w:rsid w:val="00157BF8"/>
    <w:rsid w:val="0016025D"/>
    <w:rsid w:val="00160327"/>
    <w:rsid w:val="00160354"/>
    <w:rsid w:val="001603AD"/>
    <w:rsid w:val="00160522"/>
    <w:rsid w:val="001608C8"/>
    <w:rsid w:val="00160D03"/>
    <w:rsid w:val="00160EC4"/>
    <w:rsid w:val="00161314"/>
    <w:rsid w:val="001617CE"/>
    <w:rsid w:val="00161836"/>
    <w:rsid w:val="00161E0F"/>
    <w:rsid w:val="00161ECF"/>
    <w:rsid w:val="00162142"/>
    <w:rsid w:val="00162933"/>
    <w:rsid w:val="001630FA"/>
    <w:rsid w:val="00163E98"/>
    <w:rsid w:val="00164006"/>
    <w:rsid w:val="001642D6"/>
    <w:rsid w:val="0016430F"/>
    <w:rsid w:val="001648DE"/>
    <w:rsid w:val="00165043"/>
    <w:rsid w:val="001651C7"/>
    <w:rsid w:val="0016590E"/>
    <w:rsid w:val="00165F33"/>
    <w:rsid w:val="0016647E"/>
    <w:rsid w:val="001665B5"/>
    <w:rsid w:val="0016663E"/>
    <w:rsid w:val="00166AC1"/>
    <w:rsid w:val="00167092"/>
    <w:rsid w:val="00167AA0"/>
    <w:rsid w:val="00167C8E"/>
    <w:rsid w:val="001702E4"/>
    <w:rsid w:val="001706A7"/>
    <w:rsid w:val="001706F2"/>
    <w:rsid w:val="0017077C"/>
    <w:rsid w:val="0017093C"/>
    <w:rsid w:val="0017098E"/>
    <w:rsid w:val="00170CE0"/>
    <w:rsid w:val="00171864"/>
    <w:rsid w:val="00171890"/>
    <w:rsid w:val="00171A26"/>
    <w:rsid w:val="00172204"/>
    <w:rsid w:val="00172412"/>
    <w:rsid w:val="0017244F"/>
    <w:rsid w:val="00172730"/>
    <w:rsid w:val="00172905"/>
    <w:rsid w:val="00172BAC"/>
    <w:rsid w:val="00172C70"/>
    <w:rsid w:val="00172D20"/>
    <w:rsid w:val="00172FFC"/>
    <w:rsid w:val="00173ACB"/>
    <w:rsid w:val="001740F9"/>
    <w:rsid w:val="0017453D"/>
    <w:rsid w:val="00174871"/>
    <w:rsid w:val="00174C64"/>
    <w:rsid w:val="001758DC"/>
    <w:rsid w:val="00175B93"/>
    <w:rsid w:val="0017650F"/>
    <w:rsid w:val="00176E93"/>
    <w:rsid w:val="001771F8"/>
    <w:rsid w:val="00177BA9"/>
    <w:rsid w:val="00177C3C"/>
    <w:rsid w:val="00180721"/>
    <w:rsid w:val="00180A1D"/>
    <w:rsid w:val="00180EB6"/>
    <w:rsid w:val="001811CA"/>
    <w:rsid w:val="0018120B"/>
    <w:rsid w:val="00181401"/>
    <w:rsid w:val="00181A1B"/>
    <w:rsid w:val="00181A50"/>
    <w:rsid w:val="00181CAE"/>
    <w:rsid w:val="00182207"/>
    <w:rsid w:val="00182320"/>
    <w:rsid w:val="00182AE0"/>
    <w:rsid w:val="00182DDA"/>
    <w:rsid w:val="001833A6"/>
    <w:rsid w:val="00183B3A"/>
    <w:rsid w:val="00183BB5"/>
    <w:rsid w:val="0018400F"/>
    <w:rsid w:val="001845FF"/>
    <w:rsid w:val="001847B5"/>
    <w:rsid w:val="0018533A"/>
    <w:rsid w:val="001853EA"/>
    <w:rsid w:val="00185729"/>
    <w:rsid w:val="00185A6F"/>
    <w:rsid w:val="00186773"/>
    <w:rsid w:val="00186AA8"/>
    <w:rsid w:val="00186E4D"/>
    <w:rsid w:val="00186EBB"/>
    <w:rsid w:val="00186F7C"/>
    <w:rsid w:val="00187C61"/>
    <w:rsid w:val="00187F24"/>
    <w:rsid w:val="00190196"/>
    <w:rsid w:val="0019115B"/>
    <w:rsid w:val="00191C43"/>
    <w:rsid w:val="0019321C"/>
    <w:rsid w:val="001936B1"/>
    <w:rsid w:val="00193741"/>
    <w:rsid w:val="001937D3"/>
    <w:rsid w:val="00193A80"/>
    <w:rsid w:val="00193EE4"/>
    <w:rsid w:val="00194440"/>
    <w:rsid w:val="00194894"/>
    <w:rsid w:val="00194C25"/>
    <w:rsid w:val="00195015"/>
    <w:rsid w:val="00195A41"/>
    <w:rsid w:val="00195A9D"/>
    <w:rsid w:val="001962E3"/>
    <w:rsid w:val="001962F9"/>
    <w:rsid w:val="001963E6"/>
    <w:rsid w:val="0019696E"/>
    <w:rsid w:val="00196997"/>
    <w:rsid w:val="00197741"/>
    <w:rsid w:val="001979A0"/>
    <w:rsid w:val="001A0335"/>
    <w:rsid w:val="001A0507"/>
    <w:rsid w:val="001A053B"/>
    <w:rsid w:val="001A1D61"/>
    <w:rsid w:val="001A1FCF"/>
    <w:rsid w:val="001A200E"/>
    <w:rsid w:val="001A23A6"/>
    <w:rsid w:val="001A25C1"/>
    <w:rsid w:val="001A355E"/>
    <w:rsid w:val="001A3A62"/>
    <w:rsid w:val="001A3DD7"/>
    <w:rsid w:val="001A3EBC"/>
    <w:rsid w:val="001A42E6"/>
    <w:rsid w:val="001A442F"/>
    <w:rsid w:val="001A4523"/>
    <w:rsid w:val="001A5153"/>
    <w:rsid w:val="001A540B"/>
    <w:rsid w:val="001A54F0"/>
    <w:rsid w:val="001A600F"/>
    <w:rsid w:val="001A697F"/>
    <w:rsid w:val="001A7007"/>
    <w:rsid w:val="001A7058"/>
    <w:rsid w:val="001A7319"/>
    <w:rsid w:val="001A73A6"/>
    <w:rsid w:val="001A772B"/>
    <w:rsid w:val="001B005D"/>
    <w:rsid w:val="001B0986"/>
    <w:rsid w:val="001B0C12"/>
    <w:rsid w:val="001B0F6B"/>
    <w:rsid w:val="001B106E"/>
    <w:rsid w:val="001B11E3"/>
    <w:rsid w:val="001B16FE"/>
    <w:rsid w:val="001B1AFF"/>
    <w:rsid w:val="001B1D85"/>
    <w:rsid w:val="001B1E8C"/>
    <w:rsid w:val="001B2C4E"/>
    <w:rsid w:val="001B3020"/>
    <w:rsid w:val="001B362E"/>
    <w:rsid w:val="001B38D1"/>
    <w:rsid w:val="001B451F"/>
    <w:rsid w:val="001B4735"/>
    <w:rsid w:val="001B4CEB"/>
    <w:rsid w:val="001B51D2"/>
    <w:rsid w:val="001B5657"/>
    <w:rsid w:val="001B66A9"/>
    <w:rsid w:val="001B6A07"/>
    <w:rsid w:val="001B6C6D"/>
    <w:rsid w:val="001B7EA4"/>
    <w:rsid w:val="001C000A"/>
    <w:rsid w:val="001C0344"/>
    <w:rsid w:val="001C03E7"/>
    <w:rsid w:val="001C0F3B"/>
    <w:rsid w:val="001C1930"/>
    <w:rsid w:val="001C198B"/>
    <w:rsid w:val="001C1D95"/>
    <w:rsid w:val="001C2A33"/>
    <w:rsid w:val="001C2C14"/>
    <w:rsid w:val="001C30B5"/>
    <w:rsid w:val="001C3625"/>
    <w:rsid w:val="001C36CA"/>
    <w:rsid w:val="001C3B90"/>
    <w:rsid w:val="001C3BC9"/>
    <w:rsid w:val="001C44A2"/>
    <w:rsid w:val="001C52D5"/>
    <w:rsid w:val="001C5480"/>
    <w:rsid w:val="001C5649"/>
    <w:rsid w:val="001C5CE6"/>
    <w:rsid w:val="001C5FCC"/>
    <w:rsid w:val="001C6083"/>
    <w:rsid w:val="001C6E0C"/>
    <w:rsid w:val="001C7013"/>
    <w:rsid w:val="001C73FC"/>
    <w:rsid w:val="001C76EB"/>
    <w:rsid w:val="001C7877"/>
    <w:rsid w:val="001C792E"/>
    <w:rsid w:val="001D013F"/>
    <w:rsid w:val="001D03CF"/>
    <w:rsid w:val="001D07C4"/>
    <w:rsid w:val="001D0D35"/>
    <w:rsid w:val="001D0FA1"/>
    <w:rsid w:val="001D1019"/>
    <w:rsid w:val="001D1118"/>
    <w:rsid w:val="001D1E17"/>
    <w:rsid w:val="001D21F8"/>
    <w:rsid w:val="001D3823"/>
    <w:rsid w:val="001D435D"/>
    <w:rsid w:val="001D455E"/>
    <w:rsid w:val="001D477A"/>
    <w:rsid w:val="001D491D"/>
    <w:rsid w:val="001D4ED2"/>
    <w:rsid w:val="001D4EFC"/>
    <w:rsid w:val="001D5025"/>
    <w:rsid w:val="001D528A"/>
    <w:rsid w:val="001D52F4"/>
    <w:rsid w:val="001D55CB"/>
    <w:rsid w:val="001D584D"/>
    <w:rsid w:val="001D5A92"/>
    <w:rsid w:val="001D5E6F"/>
    <w:rsid w:val="001D6CD4"/>
    <w:rsid w:val="001D72FF"/>
    <w:rsid w:val="001D74B5"/>
    <w:rsid w:val="001D7B33"/>
    <w:rsid w:val="001E04CA"/>
    <w:rsid w:val="001E099D"/>
    <w:rsid w:val="001E0B12"/>
    <w:rsid w:val="001E0BDB"/>
    <w:rsid w:val="001E10D0"/>
    <w:rsid w:val="001E115D"/>
    <w:rsid w:val="001E13D4"/>
    <w:rsid w:val="001E15D6"/>
    <w:rsid w:val="001E2864"/>
    <w:rsid w:val="001E2A7F"/>
    <w:rsid w:val="001E3231"/>
    <w:rsid w:val="001E360E"/>
    <w:rsid w:val="001E3801"/>
    <w:rsid w:val="001E385A"/>
    <w:rsid w:val="001E395E"/>
    <w:rsid w:val="001E3A5F"/>
    <w:rsid w:val="001E3F8D"/>
    <w:rsid w:val="001E496D"/>
    <w:rsid w:val="001E4A07"/>
    <w:rsid w:val="001E58E6"/>
    <w:rsid w:val="001E5EBB"/>
    <w:rsid w:val="001E6DAD"/>
    <w:rsid w:val="001E7695"/>
    <w:rsid w:val="001E76DA"/>
    <w:rsid w:val="001E7EE7"/>
    <w:rsid w:val="001F0E35"/>
    <w:rsid w:val="001F0F9D"/>
    <w:rsid w:val="001F14F5"/>
    <w:rsid w:val="001F29C9"/>
    <w:rsid w:val="001F3E41"/>
    <w:rsid w:val="001F466F"/>
    <w:rsid w:val="001F4705"/>
    <w:rsid w:val="001F4727"/>
    <w:rsid w:val="001F60F5"/>
    <w:rsid w:val="001F6585"/>
    <w:rsid w:val="001F6FCB"/>
    <w:rsid w:val="001F72D5"/>
    <w:rsid w:val="001F7E14"/>
    <w:rsid w:val="001F7EFA"/>
    <w:rsid w:val="002002B5"/>
    <w:rsid w:val="00200684"/>
    <w:rsid w:val="00200B45"/>
    <w:rsid w:val="00200DD0"/>
    <w:rsid w:val="0020187F"/>
    <w:rsid w:val="002019C6"/>
    <w:rsid w:val="00201A30"/>
    <w:rsid w:val="00202115"/>
    <w:rsid w:val="00202391"/>
    <w:rsid w:val="002026BC"/>
    <w:rsid w:val="0020298E"/>
    <w:rsid w:val="0020323C"/>
    <w:rsid w:val="0020330F"/>
    <w:rsid w:val="00203500"/>
    <w:rsid w:val="002035E9"/>
    <w:rsid w:val="00203976"/>
    <w:rsid w:val="00203B49"/>
    <w:rsid w:val="00203CB5"/>
    <w:rsid w:val="00203D90"/>
    <w:rsid w:val="00203EFF"/>
    <w:rsid w:val="00204397"/>
    <w:rsid w:val="00205CC6"/>
    <w:rsid w:val="0020610E"/>
    <w:rsid w:val="00206332"/>
    <w:rsid w:val="0020677A"/>
    <w:rsid w:val="00206B33"/>
    <w:rsid w:val="00206E74"/>
    <w:rsid w:val="0020708D"/>
    <w:rsid w:val="00207554"/>
    <w:rsid w:val="0020773E"/>
    <w:rsid w:val="002077AB"/>
    <w:rsid w:val="002100B2"/>
    <w:rsid w:val="0021049D"/>
    <w:rsid w:val="002107FC"/>
    <w:rsid w:val="00210E1B"/>
    <w:rsid w:val="00210F93"/>
    <w:rsid w:val="00211271"/>
    <w:rsid w:val="002119D1"/>
    <w:rsid w:val="00211ECC"/>
    <w:rsid w:val="00212486"/>
    <w:rsid w:val="00212848"/>
    <w:rsid w:val="002129AA"/>
    <w:rsid w:val="00212A5C"/>
    <w:rsid w:val="00212BA5"/>
    <w:rsid w:val="00212D8D"/>
    <w:rsid w:val="002136D6"/>
    <w:rsid w:val="00213D37"/>
    <w:rsid w:val="00213DDB"/>
    <w:rsid w:val="00213E5F"/>
    <w:rsid w:val="002146C8"/>
    <w:rsid w:val="002148D0"/>
    <w:rsid w:val="00214C7B"/>
    <w:rsid w:val="00214FFF"/>
    <w:rsid w:val="00215449"/>
    <w:rsid w:val="002156EC"/>
    <w:rsid w:val="00215878"/>
    <w:rsid w:val="00216015"/>
    <w:rsid w:val="00216175"/>
    <w:rsid w:val="00216F76"/>
    <w:rsid w:val="0021742D"/>
    <w:rsid w:val="002175C1"/>
    <w:rsid w:val="00217819"/>
    <w:rsid w:val="00217FD1"/>
    <w:rsid w:val="00220B94"/>
    <w:rsid w:val="0022114D"/>
    <w:rsid w:val="00221334"/>
    <w:rsid w:val="00221474"/>
    <w:rsid w:val="00221D73"/>
    <w:rsid w:val="00221FBC"/>
    <w:rsid w:val="0022240B"/>
    <w:rsid w:val="0022284F"/>
    <w:rsid w:val="00222942"/>
    <w:rsid w:val="00222949"/>
    <w:rsid w:val="00222E38"/>
    <w:rsid w:val="002234A1"/>
    <w:rsid w:val="002234B1"/>
    <w:rsid w:val="00223797"/>
    <w:rsid w:val="00223984"/>
    <w:rsid w:val="00223F3A"/>
    <w:rsid w:val="00224628"/>
    <w:rsid w:val="00225D7C"/>
    <w:rsid w:val="00226D2A"/>
    <w:rsid w:val="00226FE8"/>
    <w:rsid w:val="002278A0"/>
    <w:rsid w:val="002279D4"/>
    <w:rsid w:val="00227B61"/>
    <w:rsid w:val="00227C1A"/>
    <w:rsid w:val="00230576"/>
    <w:rsid w:val="00230C85"/>
    <w:rsid w:val="00230D8E"/>
    <w:rsid w:val="0023110A"/>
    <w:rsid w:val="00231301"/>
    <w:rsid w:val="00231358"/>
    <w:rsid w:val="00231A5C"/>
    <w:rsid w:val="00231A90"/>
    <w:rsid w:val="00232010"/>
    <w:rsid w:val="002320C9"/>
    <w:rsid w:val="002322C8"/>
    <w:rsid w:val="002324AB"/>
    <w:rsid w:val="002327AF"/>
    <w:rsid w:val="002329EF"/>
    <w:rsid w:val="00232B8E"/>
    <w:rsid w:val="00232F7F"/>
    <w:rsid w:val="00233152"/>
    <w:rsid w:val="002334D8"/>
    <w:rsid w:val="00233A9A"/>
    <w:rsid w:val="00234174"/>
    <w:rsid w:val="00234A87"/>
    <w:rsid w:val="00234FE5"/>
    <w:rsid w:val="00235473"/>
    <w:rsid w:val="002367E2"/>
    <w:rsid w:val="00236DCC"/>
    <w:rsid w:val="002372B0"/>
    <w:rsid w:val="002374B0"/>
    <w:rsid w:val="00237C5F"/>
    <w:rsid w:val="00237D5E"/>
    <w:rsid w:val="00237FC0"/>
    <w:rsid w:val="00240391"/>
    <w:rsid w:val="00241663"/>
    <w:rsid w:val="002418AC"/>
    <w:rsid w:val="00241946"/>
    <w:rsid w:val="00241D37"/>
    <w:rsid w:val="0024217B"/>
    <w:rsid w:val="002423C7"/>
    <w:rsid w:val="002429EE"/>
    <w:rsid w:val="00243139"/>
    <w:rsid w:val="002433D3"/>
    <w:rsid w:val="00243435"/>
    <w:rsid w:val="0024343B"/>
    <w:rsid w:val="002439DB"/>
    <w:rsid w:val="00243D2A"/>
    <w:rsid w:val="0024405A"/>
    <w:rsid w:val="00244179"/>
    <w:rsid w:val="0024468E"/>
    <w:rsid w:val="0024473C"/>
    <w:rsid w:val="00244B1A"/>
    <w:rsid w:val="0024583B"/>
    <w:rsid w:val="00246F56"/>
    <w:rsid w:val="00247941"/>
    <w:rsid w:val="0025036C"/>
    <w:rsid w:val="0025075A"/>
    <w:rsid w:val="002507D9"/>
    <w:rsid w:val="00250849"/>
    <w:rsid w:val="002512EC"/>
    <w:rsid w:val="002518E2"/>
    <w:rsid w:val="00251C31"/>
    <w:rsid w:val="00251D6D"/>
    <w:rsid w:val="0025226C"/>
    <w:rsid w:val="002526AE"/>
    <w:rsid w:val="00252769"/>
    <w:rsid w:val="00252AF5"/>
    <w:rsid w:val="00252D92"/>
    <w:rsid w:val="00253BB4"/>
    <w:rsid w:val="00253F30"/>
    <w:rsid w:val="002542ED"/>
    <w:rsid w:val="00254646"/>
    <w:rsid w:val="00254EFF"/>
    <w:rsid w:val="00255DE8"/>
    <w:rsid w:val="00255EA6"/>
    <w:rsid w:val="00256A7F"/>
    <w:rsid w:val="00256D0C"/>
    <w:rsid w:val="00256DF2"/>
    <w:rsid w:val="00257130"/>
    <w:rsid w:val="00257BA1"/>
    <w:rsid w:val="002603A8"/>
    <w:rsid w:val="0026086D"/>
    <w:rsid w:val="0026133D"/>
    <w:rsid w:val="00261892"/>
    <w:rsid w:val="00261EC7"/>
    <w:rsid w:val="00261EE4"/>
    <w:rsid w:val="0026231C"/>
    <w:rsid w:val="00262501"/>
    <w:rsid w:val="00262B4A"/>
    <w:rsid w:val="00262C1E"/>
    <w:rsid w:val="00262EDE"/>
    <w:rsid w:val="00262F68"/>
    <w:rsid w:val="00263033"/>
    <w:rsid w:val="00263068"/>
    <w:rsid w:val="00263860"/>
    <w:rsid w:val="00263B1E"/>
    <w:rsid w:val="00263C3E"/>
    <w:rsid w:val="00263D1D"/>
    <w:rsid w:val="00264100"/>
    <w:rsid w:val="00264773"/>
    <w:rsid w:val="0026477B"/>
    <w:rsid w:val="002648E2"/>
    <w:rsid w:val="002655AD"/>
    <w:rsid w:val="0026594F"/>
    <w:rsid w:val="002659D7"/>
    <w:rsid w:val="00265C06"/>
    <w:rsid w:val="00265C43"/>
    <w:rsid w:val="0026646E"/>
    <w:rsid w:val="00266A4A"/>
    <w:rsid w:val="0026729F"/>
    <w:rsid w:val="00270785"/>
    <w:rsid w:val="002714EB"/>
    <w:rsid w:val="00271815"/>
    <w:rsid w:val="0027187C"/>
    <w:rsid w:val="002718E8"/>
    <w:rsid w:val="002724FB"/>
    <w:rsid w:val="0027278A"/>
    <w:rsid w:val="00272FB1"/>
    <w:rsid w:val="00273DC6"/>
    <w:rsid w:val="0027437C"/>
    <w:rsid w:val="0027555D"/>
    <w:rsid w:val="002756C6"/>
    <w:rsid w:val="00275913"/>
    <w:rsid w:val="00275C00"/>
    <w:rsid w:val="00275C31"/>
    <w:rsid w:val="00275C71"/>
    <w:rsid w:val="00276BFC"/>
    <w:rsid w:val="00277226"/>
    <w:rsid w:val="002772E4"/>
    <w:rsid w:val="00277543"/>
    <w:rsid w:val="00277BA6"/>
    <w:rsid w:val="00277E9A"/>
    <w:rsid w:val="002800D7"/>
    <w:rsid w:val="002802F0"/>
    <w:rsid w:val="002805E2"/>
    <w:rsid w:val="00281052"/>
    <w:rsid w:val="00281953"/>
    <w:rsid w:val="00281BC4"/>
    <w:rsid w:val="00282460"/>
    <w:rsid w:val="00282D23"/>
    <w:rsid w:val="00283A74"/>
    <w:rsid w:val="00284D89"/>
    <w:rsid w:val="00284F87"/>
    <w:rsid w:val="00285032"/>
    <w:rsid w:val="002851AF"/>
    <w:rsid w:val="0028578C"/>
    <w:rsid w:val="00285DA7"/>
    <w:rsid w:val="00285FB7"/>
    <w:rsid w:val="0028606E"/>
    <w:rsid w:val="002860A2"/>
    <w:rsid w:val="0028611A"/>
    <w:rsid w:val="0028686D"/>
    <w:rsid w:val="00286944"/>
    <w:rsid w:val="00286A6D"/>
    <w:rsid w:val="00286D44"/>
    <w:rsid w:val="00287209"/>
    <w:rsid w:val="00287D0A"/>
    <w:rsid w:val="00290200"/>
    <w:rsid w:val="0029094E"/>
    <w:rsid w:val="00290F0C"/>
    <w:rsid w:val="00291348"/>
    <w:rsid w:val="0029148A"/>
    <w:rsid w:val="00291F50"/>
    <w:rsid w:val="00292756"/>
    <w:rsid w:val="00292C9F"/>
    <w:rsid w:val="00292F5F"/>
    <w:rsid w:val="002930E4"/>
    <w:rsid w:val="00293C68"/>
    <w:rsid w:val="00293F61"/>
    <w:rsid w:val="002942FA"/>
    <w:rsid w:val="00294517"/>
    <w:rsid w:val="002947C4"/>
    <w:rsid w:val="002947E0"/>
    <w:rsid w:val="0029524D"/>
    <w:rsid w:val="00295456"/>
    <w:rsid w:val="0029569A"/>
    <w:rsid w:val="0029582B"/>
    <w:rsid w:val="00295863"/>
    <w:rsid w:val="00295973"/>
    <w:rsid w:val="0029599E"/>
    <w:rsid w:val="00296D33"/>
    <w:rsid w:val="00296E6C"/>
    <w:rsid w:val="002A0017"/>
    <w:rsid w:val="002A02C4"/>
    <w:rsid w:val="002A13B4"/>
    <w:rsid w:val="002A2805"/>
    <w:rsid w:val="002A3219"/>
    <w:rsid w:val="002A3720"/>
    <w:rsid w:val="002A3DF9"/>
    <w:rsid w:val="002A3F74"/>
    <w:rsid w:val="002A421C"/>
    <w:rsid w:val="002A4ACD"/>
    <w:rsid w:val="002A51A1"/>
    <w:rsid w:val="002A65B0"/>
    <w:rsid w:val="002A6660"/>
    <w:rsid w:val="002A6945"/>
    <w:rsid w:val="002A6F5E"/>
    <w:rsid w:val="002A75B1"/>
    <w:rsid w:val="002A7C7F"/>
    <w:rsid w:val="002A7E9C"/>
    <w:rsid w:val="002A7EC0"/>
    <w:rsid w:val="002B025C"/>
    <w:rsid w:val="002B09F9"/>
    <w:rsid w:val="002B0ACA"/>
    <w:rsid w:val="002B0BD6"/>
    <w:rsid w:val="002B0D33"/>
    <w:rsid w:val="002B0EFF"/>
    <w:rsid w:val="002B0FD3"/>
    <w:rsid w:val="002B19BD"/>
    <w:rsid w:val="002B1B1B"/>
    <w:rsid w:val="002B28C4"/>
    <w:rsid w:val="002B292A"/>
    <w:rsid w:val="002B2C72"/>
    <w:rsid w:val="002B378C"/>
    <w:rsid w:val="002B3BE4"/>
    <w:rsid w:val="002B3DF4"/>
    <w:rsid w:val="002B4608"/>
    <w:rsid w:val="002B4A5C"/>
    <w:rsid w:val="002B4C7B"/>
    <w:rsid w:val="002B4D07"/>
    <w:rsid w:val="002B4D3E"/>
    <w:rsid w:val="002B5275"/>
    <w:rsid w:val="002B5327"/>
    <w:rsid w:val="002B54AF"/>
    <w:rsid w:val="002B5804"/>
    <w:rsid w:val="002B5BB4"/>
    <w:rsid w:val="002B5DFD"/>
    <w:rsid w:val="002B64BF"/>
    <w:rsid w:val="002B6C4F"/>
    <w:rsid w:val="002C0529"/>
    <w:rsid w:val="002C10CC"/>
    <w:rsid w:val="002C22A7"/>
    <w:rsid w:val="002C2D38"/>
    <w:rsid w:val="002C301E"/>
    <w:rsid w:val="002C355F"/>
    <w:rsid w:val="002C3849"/>
    <w:rsid w:val="002C3992"/>
    <w:rsid w:val="002C3C93"/>
    <w:rsid w:val="002C3D55"/>
    <w:rsid w:val="002C3F4D"/>
    <w:rsid w:val="002C495D"/>
    <w:rsid w:val="002C4A1E"/>
    <w:rsid w:val="002C50BB"/>
    <w:rsid w:val="002C5190"/>
    <w:rsid w:val="002C5C9A"/>
    <w:rsid w:val="002C64EB"/>
    <w:rsid w:val="002C662A"/>
    <w:rsid w:val="002C679D"/>
    <w:rsid w:val="002C6B4E"/>
    <w:rsid w:val="002C71F5"/>
    <w:rsid w:val="002C749A"/>
    <w:rsid w:val="002C79AE"/>
    <w:rsid w:val="002C7B3B"/>
    <w:rsid w:val="002C7D91"/>
    <w:rsid w:val="002D04AC"/>
    <w:rsid w:val="002D0CF1"/>
    <w:rsid w:val="002D0D73"/>
    <w:rsid w:val="002D13E2"/>
    <w:rsid w:val="002D2143"/>
    <w:rsid w:val="002D2566"/>
    <w:rsid w:val="002D282D"/>
    <w:rsid w:val="002D283E"/>
    <w:rsid w:val="002D3093"/>
    <w:rsid w:val="002D359B"/>
    <w:rsid w:val="002D394B"/>
    <w:rsid w:val="002D3B37"/>
    <w:rsid w:val="002D42F3"/>
    <w:rsid w:val="002D45D6"/>
    <w:rsid w:val="002D45EE"/>
    <w:rsid w:val="002D48C8"/>
    <w:rsid w:val="002D50EB"/>
    <w:rsid w:val="002D533B"/>
    <w:rsid w:val="002D56CB"/>
    <w:rsid w:val="002D5BC8"/>
    <w:rsid w:val="002D5BD9"/>
    <w:rsid w:val="002D5E08"/>
    <w:rsid w:val="002D62E0"/>
    <w:rsid w:val="002D64DD"/>
    <w:rsid w:val="002D6736"/>
    <w:rsid w:val="002D6AD5"/>
    <w:rsid w:val="002D6DEB"/>
    <w:rsid w:val="002D70D0"/>
    <w:rsid w:val="002D751F"/>
    <w:rsid w:val="002D7666"/>
    <w:rsid w:val="002D792F"/>
    <w:rsid w:val="002E0984"/>
    <w:rsid w:val="002E0A53"/>
    <w:rsid w:val="002E0EBA"/>
    <w:rsid w:val="002E11B4"/>
    <w:rsid w:val="002E14E4"/>
    <w:rsid w:val="002E1A44"/>
    <w:rsid w:val="002E1EBA"/>
    <w:rsid w:val="002E24A9"/>
    <w:rsid w:val="002E2613"/>
    <w:rsid w:val="002E2722"/>
    <w:rsid w:val="002E2AAD"/>
    <w:rsid w:val="002E2CF9"/>
    <w:rsid w:val="002E3250"/>
    <w:rsid w:val="002E3BE8"/>
    <w:rsid w:val="002E3FC3"/>
    <w:rsid w:val="002E4278"/>
    <w:rsid w:val="002E4518"/>
    <w:rsid w:val="002E4DAF"/>
    <w:rsid w:val="002E524D"/>
    <w:rsid w:val="002E56A6"/>
    <w:rsid w:val="002E683C"/>
    <w:rsid w:val="002E6CE4"/>
    <w:rsid w:val="002E6F4B"/>
    <w:rsid w:val="002E737C"/>
    <w:rsid w:val="002E7A23"/>
    <w:rsid w:val="002F01CA"/>
    <w:rsid w:val="002F0DBE"/>
    <w:rsid w:val="002F1277"/>
    <w:rsid w:val="002F1896"/>
    <w:rsid w:val="002F1C9B"/>
    <w:rsid w:val="002F25AF"/>
    <w:rsid w:val="002F2A80"/>
    <w:rsid w:val="002F2BFC"/>
    <w:rsid w:val="002F2E90"/>
    <w:rsid w:val="002F325F"/>
    <w:rsid w:val="002F3B13"/>
    <w:rsid w:val="002F49D6"/>
    <w:rsid w:val="002F4A32"/>
    <w:rsid w:val="002F4FFD"/>
    <w:rsid w:val="002F55DA"/>
    <w:rsid w:val="002F5B70"/>
    <w:rsid w:val="002F65EB"/>
    <w:rsid w:val="002F6773"/>
    <w:rsid w:val="002F67F7"/>
    <w:rsid w:val="002F697F"/>
    <w:rsid w:val="002F6A2A"/>
    <w:rsid w:val="002F7930"/>
    <w:rsid w:val="002F7DC2"/>
    <w:rsid w:val="002F7E21"/>
    <w:rsid w:val="0030047D"/>
    <w:rsid w:val="003005CF"/>
    <w:rsid w:val="0030092E"/>
    <w:rsid w:val="003010B0"/>
    <w:rsid w:val="00302DA7"/>
    <w:rsid w:val="003039A5"/>
    <w:rsid w:val="00303B64"/>
    <w:rsid w:val="00304172"/>
    <w:rsid w:val="003043A3"/>
    <w:rsid w:val="003046E8"/>
    <w:rsid w:val="00304DBD"/>
    <w:rsid w:val="00304F09"/>
    <w:rsid w:val="0030507A"/>
    <w:rsid w:val="003054C7"/>
    <w:rsid w:val="00305922"/>
    <w:rsid w:val="00305B4E"/>
    <w:rsid w:val="00305F56"/>
    <w:rsid w:val="003061F5"/>
    <w:rsid w:val="003062D6"/>
    <w:rsid w:val="00306401"/>
    <w:rsid w:val="003068C6"/>
    <w:rsid w:val="00307155"/>
    <w:rsid w:val="00307501"/>
    <w:rsid w:val="0031009B"/>
    <w:rsid w:val="0031032D"/>
    <w:rsid w:val="00310C5E"/>
    <w:rsid w:val="00311169"/>
    <w:rsid w:val="00311196"/>
    <w:rsid w:val="003111A0"/>
    <w:rsid w:val="003114A6"/>
    <w:rsid w:val="0031214D"/>
    <w:rsid w:val="00312BEF"/>
    <w:rsid w:val="003139FA"/>
    <w:rsid w:val="00313D6C"/>
    <w:rsid w:val="00314297"/>
    <w:rsid w:val="00314FDD"/>
    <w:rsid w:val="003150A0"/>
    <w:rsid w:val="00315DC4"/>
    <w:rsid w:val="00315E9F"/>
    <w:rsid w:val="003160CB"/>
    <w:rsid w:val="003169D3"/>
    <w:rsid w:val="00316ACA"/>
    <w:rsid w:val="00316C75"/>
    <w:rsid w:val="00316F31"/>
    <w:rsid w:val="003172B0"/>
    <w:rsid w:val="00317768"/>
    <w:rsid w:val="00317827"/>
    <w:rsid w:val="00320244"/>
    <w:rsid w:val="00322408"/>
    <w:rsid w:val="003237A9"/>
    <w:rsid w:val="00323893"/>
    <w:rsid w:val="003238BA"/>
    <w:rsid w:val="00324257"/>
    <w:rsid w:val="003243B1"/>
    <w:rsid w:val="00324487"/>
    <w:rsid w:val="00325657"/>
    <w:rsid w:val="00325B9F"/>
    <w:rsid w:val="00325F86"/>
    <w:rsid w:val="00326493"/>
    <w:rsid w:val="003264A4"/>
    <w:rsid w:val="0032668F"/>
    <w:rsid w:val="00326965"/>
    <w:rsid w:val="00326CE8"/>
    <w:rsid w:val="00326E56"/>
    <w:rsid w:val="00326FB6"/>
    <w:rsid w:val="00327935"/>
    <w:rsid w:val="00327C78"/>
    <w:rsid w:val="00330B69"/>
    <w:rsid w:val="003314BC"/>
    <w:rsid w:val="00331B25"/>
    <w:rsid w:val="00331D08"/>
    <w:rsid w:val="00332531"/>
    <w:rsid w:val="003333B7"/>
    <w:rsid w:val="003336D5"/>
    <w:rsid w:val="00333AB2"/>
    <w:rsid w:val="00333DFB"/>
    <w:rsid w:val="00333E95"/>
    <w:rsid w:val="0033418B"/>
    <w:rsid w:val="00334A77"/>
    <w:rsid w:val="00334ED0"/>
    <w:rsid w:val="00335739"/>
    <w:rsid w:val="003358F9"/>
    <w:rsid w:val="003359AA"/>
    <w:rsid w:val="00335EA9"/>
    <w:rsid w:val="003360EF"/>
    <w:rsid w:val="00336919"/>
    <w:rsid w:val="0033716A"/>
    <w:rsid w:val="0033773C"/>
    <w:rsid w:val="00337AA7"/>
    <w:rsid w:val="00337BB8"/>
    <w:rsid w:val="00337C5F"/>
    <w:rsid w:val="00337ED6"/>
    <w:rsid w:val="00337FEF"/>
    <w:rsid w:val="003404B4"/>
    <w:rsid w:val="00340C38"/>
    <w:rsid w:val="00340CED"/>
    <w:rsid w:val="0034105E"/>
    <w:rsid w:val="00341181"/>
    <w:rsid w:val="00341616"/>
    <w:rsid w:val="00341970"/>
    <w:rsid w:val="00342180"/>
    <w:rsid w:val="003423EB"/>
    <w:rsid w:val="00342431"/>
    <w:rsid w:val="003439A4"/>
    <w:rsid w:val="003439A5"/>
    <w:rsid w:val="003439FD"/>
    <w:rsid w:val="00343D7A"/>
    <w:rsid w:val="00343E70"/>
    <w:rsid w:val="00344303"/>
    <w:rsid w:val="00344378"/>
    <w:rsid w:val="003449A8"/>
    <w:rsid w:val="00344DA7"/>
    <w:rsid w:val="00344E95"/>
    <w:rsid w:val="003452EA"/>
    <w:rsid w:val="00345555"/>
    <w:rsid w:val="00345C4E"/>
    <w:rsid w:val="00346171"/>
    <w:rsid w:val="0034775E"/>
    <w:rsid w:val="00347F0D"/>
    <w:rsid w:val="00350320"/>
    <w:rsid w:val="003515BF"/>
    <w:rsid w:val="003516FF"/>
    <w:rsid w:val="00351EDA"/>
    <w:rsid w:val="003522E0"/>
    <w:rsid w:val="0035248F"/>
    <w:rsid w:val="00352AF7"/>
    <w:rsid w:val="00353255"/>
    <w:rsid w:val="00353B2E"/>
    <w:rsid w:val="00353C48"/>
    <w:rsid w:val="00353DC4"/>
    <w:rsid w:val="003543FD"/>
    <w:rsid w:val="00354611"/>
    <w:rsid w:val="00354A02"/>
    <w:rsid w:val="00354E43"/>
    <w:rsid w:val="003556EE"/>
    <w:rsid w:val="0035614A"/>
    <w:rsid w:val="003562CF"/>
    <w:rsid w:val="0035691D"/>
    <w:rsid w:val="00356FDA"/>
    <w:rsid w:val="0035731B"/>
    <w:rsid w:val="0035789E"/>
    <w:rsid w:val="00357A90"/>
    <w:rsid w:val="00357E13"/>
    <w:rsid w:val="0036121B"/>
    <w:rsid w:val="003619B0"/>
    <w:rsid w:val="00361C22"/>
    <w:rsid w:val="00362331"/>
    <w:rsid w:val="00362574"/>
    <w:rsid w:val="003626A3"/>
    <w:rsid w:val="00362FC3"/>
    <w:rsid w:val="003637A5"/>
    <w:rsid w:val="00363EAC"/>
    <w:rsid w:val="0036414F"/>
    <w:rsid w:val="00364632"/>
    <w:rsid w:val="00364DBF"/>
    <w:rsid w:val="0036551A"/>
    <w:rsid w:val="00365A54"/>
    <w:rsid w:val="00365AE0"/>
    <w:rsid w:val="00365D81"/>
    <w:rsid w:val="00365F76"/>
    <w:rsid w:val="00366154"/>
    <w:rsid w:val="00366D34"/>
    <w:rsid w:val="00366DC1"/>
    <w:rsid w:val="003672EB"/>
    <w:rsid w:val="00367890"/>
    <w:rsid w:val="0037048A"/>
    <w:rsid w:val="003705FA"/>
    <w:rsid w:val="00370D5B"/>
    <w:rsid w:val="003711E9"/>
    <w:rsid w:val="003712C6"/>
    <w:rsid w:val="003714A3"/>
    <w:rsid w:val="00371845"/>
    <w:rsid w:val="003719BF"/>
    <w:rsid w:val="00371F40"/>
    <w:rsid w:val="00372319"/>
    <w:rsid w:val="0037265C"/>
    <w:rsid w:val="00372897"/>
    <w:rsid w:val="00372DCD"/>
    <w:rsid w:val="003730BD"/>
    <w:rsid w:val="00373110"/>
    <w:rsid w:val="003733A3"/>
    <w:rsid w:val="0037388E"/>
    <w:rsid w:val="00373A68"/>
    <w:rsid w:val="00373BE8"/>
    <w:rsid w:val="00373E04"/>
    <w:rsid w:val="0037410F"/>
    <w:rsid w:val="003741FD"/>
    <w:rsid w:val="0037430E"/>
    <w:rsid w:val="00374323"/>
    <w:rsid w:val="00374690"/>
    <w:rsid w:val="00374B31"/>
    <w:rsid w:val="003750C8"/>
    <w:rsid w:val="00375199"/>
    <w:rsid w:val="00375534"/>
    <w:rsid w:val="003764BE"/>
    <w:rsid w:val="003764E8"/>
    <w:rsid w:val="00376753"/>
    <w:rsid w:val="003771D7"/>
    <w:rsid w:val="00377EC8"/>
    <w:rsid w:val="00380268"/>
    <w:rsid w:val="003807CC"/>
    <w:rsid w:val="0038084A"/>
    <w:rsid w:val="00380E16"/>
    <w:rsid w:val="003813C4"/>
    <w:rsid w:val="00381434"/>
    <w:rsid w:val="00381549"/>
    <w:rsid w:val="003818D0"/>
    <w:rsid w:val="00381E8A"/>
    <w:rsid w:val="0038272F"/>
    <w:rsid w:val="00382EED"/>
    <w:rsid w:val="003830BA"/>
    <w:rsid w:val="003830FD"/>
    <w:rsid w:val="00384140"/>
    <w:rsid w:val="003841C9"/>
    <w:rsid w:val="00384543"/>
    <w:rsid w:val="00384B02"/>
    <w:rsid w:val="00384EE3"/>
    <w:rsid w:val="00384EEB"/>
    <w:rsid w:val="00385331"/>
    <w:rsid w:val="003853FE"/>
    <w:rsid w:val="003860D2"/>
    <w:rsid w:val="00386F7D"/>
    <w:rsid w:val="003870CE"/>
    <w:rsid w:val="00387631"/>
    <w:rsid w:val="00387719"/>
    <w:rsid w:val="00387F3D"/>
    <w:rsid w:val="00391B8E"/>
    <w:rsid w:val="00391FDD"/>
    <w:rsid w:val="00391FE6"/>
    <w:rsid w:val="0039240D"/>
    <w:rsid w:val="003928EF"/>
    <w:rsid w:val="0039306E"/>
    <w:rsid w:val="00393787"/>
    <w:rsid w:val="0039395B"/>
    <w:rsid w:val="00393CD2"/>
    <w:rsid w:val="0039462A"/>
    <w:rsid w:val="003950DE"/>
    <w:rsid w:val="00395BC6"/>
    <w:rsid w:val="00395C66"/>
    <w:rsid w:val="00396023"/>
    <w:rsid w:val="0039635D"/>
    <w:rsid w:val="0039689C"/>
    <w:rsid w:val="00396A3E"/>
    <w:rsid w:val="00396B8A"/>
    <w:rsid w:val="0039738F"/>
    <w:rsid w:val="003A05F9"/>
    <w:rsid w:val="003A0B2F"/>
    <w:rsid w:val="003A113C"/>
    <w:rsid w:val="003A120E"/>
    <w:rsid w:val="003A12BB"/>
    <w:rsid w:val="003A12C5"/>
    <w:rsid w:val="003A1EA1"/>
    <w:rsid w:val="003A265F"/>
    <w:rsid w:val="003A271A"/>
    <w:rsid w:val="003A2C42"/>
    <w:rsid w:val="003A2C64"/>
    <w:rsid w:val="003A3BD5"/>
    <w:rsid w:val="003A406C"/>
    <w:rsid w:val="003A4316"/>
    <w:rsid w:val="003A5075"/>
    <w:rsid w:val="003A55AB"/>
    <w:rsid w:val="003A5A3A"/>
    <w:rsid w:val="003A6487"/>
    <w:rsid w:val="003A6516"/>
    <w:rsid w:val="003A69BB"/>
    <w:rsid w:val="003A69E2"/>
    <w:rsid w:val="003A6D8A"/>
    <w:rsid w:val="003A6FD7"/>
    <w:rsid w:val="003A75F4"/>
    <w:rsid w:val="003B01BC"/>
    <w:rsid w:val="003B091A"/>
    <w:rsid w:val="003B0998"/>
    <w:rsid w:val="003B0DB2"/>
    <w:rsid w:val="003B1AB7"/>
    <w:rsid w:val="003B1D29"/>
    <w:rsid w:val="003B1E9E"/>
    <w:rsid w:val="003B238C"/>
    <w:rsid w:val="003B23AD"/>
    <w:rsid w:val="003B295A"/>
    <w:rsid w:val="003B3252"/>
    <w:rsid w:val="003B32C2"/>
    <w:rsid w:val="003B35AC"/>
    <w:rsid w:val="003B36A5"/>
    <w:rsid w:val="003B3B2B"/>
    <w:rsid w:val="003B3CF7"/>
    <w:rsid w:val="003B48EA"/>
    <w:rsid w:val="003B4C98"/>
    <w:rsid w:val="003B5354"/>
    <w:rsid w:val="003B537D"/>
    <w:rsid w:val="003B53A0"/>
    <w:rsid w:val="003B5433"/>
    <w:rsid w:val="003B5A99"/>
    <w:rsid w:val="003B5AB2"/>
    <w:rsid w:val="003B62CF"/>
    <w:rsid w:val="003B6677"/>
    <w:rsid w:val="003B6AC7"/>
    <w:rsid w:val="003B7156"/>
    <w:rsid w:val="003B71DD"/>
    <w:rsid w:val="003B7EE4"/>
    <w:rsid w:val="003C0033"/>
    <w:rsid w:val="003C02D5"/>
    <w:rsid w:val="003C0650"/>
    <w:rsid w:val="003C095A"/>
    <w:rsid w:val="003C0A38"/>
    <w:rsid w:val="003C0B5A"/>
    <w:rsid w:val="003C1344"/>
    <w:rsid w:val="003C17E1"/>
    <w:rsid w:val="003C19E4"/>
    <w:rsid w:val="003C24F9"/>
    <w:rsid w:val="003C270D"/>
    <w:rsid w:val="003C31A6"/>
    <w:rsid w:val="003C3207"/>
    <w:rsid w:val="003C42E1"/>
    <w:rsid w:val="003C515B"/>
    <w:rsid w:val="003C52CD"/>
    <w:rsid w:val="003C5B6A"/>
    <w:rsid w:val="003C5B97"/>
    <w:rsid w:val="003C6558"/>
    <w:rsid w:val="003C683B"/>
    <w:rsid w:val="003C6BDD"/>
    <w:rsid w:val="003C6C0A"/>
    <w:rsid w:val="003C7606"/>
    <w:rsid w:val="003C763B"/>
    <w:rsid w:val="003C7C9F"/>
    <w:rsid w:val="003C7EDD"/>
    <w:rsid w:val="003D002A"/>
    <w:rsid w:val="003D0120"/>
    <w:rsid w:val="003D03D1"/>
    <w:rsid w:val="003D1079"/>
    <w:rsid w:val="003D1293"/>
    <w:rsid w:val="003D1B92"/>
    <w:rsid w:val="003D1C58"/>
    <w:rsid w:val="003D1C9A"/>
    <w:rsid w:val="003D1E12"/>
    <w:rsid w:val="003D2454"/>
    <w:rsid w:val="003D31D7"/>
    <w:rsid w:val="003D3654"/>
    <w:rsid w:val="003D3B3F"/>
    <w:rsid w:val="003D3F37"/>
    <w:rsid w:val="003D425B"/>
    <w:rsid w:val="003D43BE"/>
    <w:rsid w:val="003D4A51"/>
    <w:rsid w:val="003D4AC4"/>
    <w:rsid w:val="003D4AEE"/>
    <w:rsid w:val="003D536A"/>
    <w:rsid w:val="003D5EF7"/>
    <w:rsid w:val="003D6627"/>
    <w:rsid w:val="003D6E0B"/>
    <w:rsid w:val="003D7164"/>
    <w:rsid w:val="003D7B01"/>
    <w:rsid w:val="003E00FD"/>
    <w:rsid w:val="003E0305"/>
    <w:rsid w:val="003E0548"/>
    <w:rsid w:val="003E084A"/>
    <w:rsid w:val="003E0AE4"/>
    <w:rsid w:val="003E1409"/>
    <w:rsid w:val="003E1489"/>
    <w:rsid w:val="003E15ED"/>
    <w:rsid w:val="003E19EC"/>
    <w:rsid w:val="003E216D"/>
    <w:rsid w:val="003E22A5"/>
    <w:rsid w:val="003E26F0"/>
    <w:rsid w:val="003E2AD1"/>
    <w:rsid w:val="003E2CC7"/>
    <w:rsid w:val="003E2F95"/>
    <w:rsid w:val="003E3361"/>
    <w:rsid w:val="003E39D4"/>
    <w:rsid w:val="003E3F44"/>
    <w:rsid w:val="003E432D"/>
    <w:rsid w:val="003E4403"/>
    <w:rsid w:val="003E461A"/>
    <w:rsid w:val="003E4641"/>
    <w:rsid w:val="003E4846"/>
    <w:rsid w:val="003E4D29"/>
    <w:rsid w:val="003E5E07"/>
    <w:rsid w:val="003E64DF"/>
    <w:rsid w:val="003E6E67"/>
    <w:rsid w:val="003E6E8C"/>
    <w:rsid w:val="003E7600"/>
    <w:rsid w:val="003E7C0D"/>
    <w:rsid w:val="003F099A"/>
    <w:rsid w:val="003F0A45"/>
    <w:rsid w:val="003F0B43"/>
    <w:rsid w:val="003F152E"/>
    <w:rsid w:val="003F1CF2"/>
    <w:rsid w:val="003F2B63"/>
    <w:rsid w:val="003F405F"/>
    <w:rsid w:val="003F40E5"/>
    <w:rsid w:val="003F41CA"/>
    <w:rsid w:val="003F45B1"/>
    <w:rsid w:val="003F467C"/>
    <w:rsid w:val="003F46A8"/>
    <w:rsid w:val="003F4FA9"/>
    <w:rsid w:val="003F579A"/>
    <w:rsid w:val="003F57F9"/>
    <w:rsid w:val="003F58A1"/>
    <w:rsid w:val="003F5C75"/>
    <w:rsid w:val="003F5D6A"/>
    <w:rsid w:val="003F5E9A"/>
    <w:rsid w:val="003F61F9"/>
    <w:rsid w:val="003F6552"/>
    <w:rsid w:val="003F69C0"/>
    <w:rsid w:val="003F6AE1"/>
    <w:rsid w:val="003F6B2C"/>
    <w:rsid w:val="003F740C"/>
    <w:rsid w:val="004000E0"/>
    <w:rsid w:val="004013A4"/>
    <w:rsid w:val="00401828"/>
    <w:rsid w:val="00401FDF"/>
    <w:rsid w:val="00402211"/>
    <w:rsid w:val="00402664"/>
    <w:rsid w:val="00402B26"/>
    <w:rsid w:val="00403272"/>
    <w:rsid w:val="00403F72"/>
    <w:rsid w:val="0040546C"/>
    <w:rsid w:val="004055AF"/>
    <w:rsid w:val="00405851"/>
    <w:rsid w:val="00405B9C"/>
    <w:rsid w:val="00406219"/>
    <w:rsid w:val="004072A0"/>
    <w:rsid w:val="004072FC"/>
    <w:rsid w:val="00407DFE"/>
    <w:rsid w:val="00407F79"/>
    <w:rsid w:val="0041128B"/>
    <w:rsid w:val="00411BD4"/>
    <w:rsid w:val="00411D37"/>
    <w:rsid w:val="00411D9F"/>
    <w:rsid w:val="00411DB7"/>
    <w:rsid w:val="00413625"/>
    <w:rsid w:val="004137D3"/>
    <w:rsid w:val="00413B00"/>
    <w:rsid w:val="00413B1A"/>
    <w:rsid w:val="00413D2D"/>
    <w:rsid w:val="00413D8A"/>
    <w:rsid w:val="00413E4B"/>
    <w:rsid w:val="0041468D"/>
    <w:rsid w:val="00414B75"/>
    <w:rsid w:val="00414F68"/>
    <w:rsid w:val="00415314"/>
    <w:rsid w:val="004156A1"/>
    <w:rsid w:val="00415C46"/>
    <w:rsid w:val="00415C8F"/>
    <w:rsid w:val="00416F77"/>
    <w:rsid w:val="004172BB"/>
    <w:rsid w:val="0041761C"/>
    <w:rsid w:val="004176FB"/>
    <w:rsid w:val="00420CB6"/>
    <w:rsid w:val="00420D1D"/>
    <w:rsid w:val="00421310"/>
    <w:rsid w:val="0042160C"/>
    <w:rsid w:val="00422267"/>
    <w:rsid w:val="004225F3"/>
    <w:rsid w:val="00423354"/>
    <w:rsid w:val="00423384"/>
    <w:rsid w:val="00423ABD"/>
    <w:rsid w:val="00423F09"/>
    <w:rsid w:val="00424779"/>
    <w:rsid w:val="00424E37"/>
    <w:rsid w:val="00425685"/>
    <w:rsid w:val="00425A19"/>
    <w:rsid w:val="0042603E"/>
    <w:rsid w:val="00426256"/>
    <w:rsid w:val="00426571"/>
    <w:rsid w:val="00426AEB"/>
    <w:rsid w:val="00426B73"/>
    <w:rsid w:val="0042745D"/>
    <w:rsid w:val="004277BC"/>
    <w:rsid w:val="00427B0E"/>
    <w:rsid w:val="0043007D"/>
    <w:rsid w:val="00430898"/>
    <w:rsid w:val="00430E98"/>
    <w:rsid w:val="004310E9"/>
    <w:rsid w:val="00431543"/>
    <w:rsid w:val="00432338"/>
    <w:rsid w:val="00432505"/>
    <w:rsid w:val="00432841"/>
    <w:rsid w:val="00433401"/>
    <w:rsid w:val="00433761"/>
    <w:rsid w:val="00433C65"/>
    <w:rsid w:val="0043498C"/>
    <w:rsid w:val="00434BEC"/>
    <w:rsid w:val="00434DE5"/>
    <w:rsid w:val="00435451"/>
    <w:rsid w:val="0043557B"/>
    <w:rsid w:val="00435D20"/>
    <w:rsid w:val="00435EA5"/>
    <w:rsid w:val="00435FF0"/>
    <w:rsid w:val="00436EFE"/>
    <w:rsid w:val="004372C4"/>
    <w:rsid w:val="00437596"/>
    <w:rsid w:val="00437FAA"/>
    <w:rsid w:val="004401E8"/>
    <w:rsid w:val="00440281"/>
    <w:rsid w:val="004416E5"/>
    <w:rsid w:val="0044249B"/>
    <w:rsid w:val="004427D2"/>
    <w:rsid w:val="00442964"/>
    <w:rsid w:val="00445774"/>
    <w:rsid w:val="004459BA"/>
    <w:rsid w:val="00445AC8"/>
    <w:rsid w:val="00445E49"/>
    <w:rsid w:val="0044679F"/>
    <w:rsid w:val="00447082"/>
    <w:rsid w:val="00447F55"/>
    <w:rsid w:val="00450307"/>
    <w:rsid w:val="004506C8"/>
    <w:rsid w:val="00450DEF"/>
    <w:rsid w:val="004511B2"/>
    <w:rsid w:val="00452229"/>
    <w:rsid w:val="0045225F"/>
    <w:rsid w:val="00452CD9"/>
    <w:rsid w:val="00453095"/>
    <w:rsid w:val="00453C19"/>
    <w:rsid w:val="00453D03"/>
    <w:rsid w:val="004549E9"/>
    <w:rsid w:val="004550EA"/>
    <w:rsid w:val="00455A9F"/>
    <w:rsid w:val="00455BF5"/>
    <w:rsid w:val="00457910"/>
    <w:rsid w:val="00461A5D"/>
    <w:rsid w:val="00461A80"/>
    <w:rsid w:val="00462195"/>
    <w:rsid w:val="004625BB"/>
    <w:rsid w:val="004632B5"/>
    <w:rsid w:val="004634AF"/>
    <w:rsid w:val="0046448F"/>
    <w:rsid w:val="00464A79"/>
    <w:rsid w:val="00464FD7"/>
    <w:rsid w:val="00464FF2"/>
    <w:rsid w:val="0046515D"/>
    <w:rsid w:val="004655E9"/>
    <w:rsid w:val="00465707"/>
    <w:rsid w:val="00466579"/>
    <w:rsid w:val="004666D3"/>
    <w:rsid w:val="0046675B"/>
    <w:rsid w:val="00466A95"/>
    <w:rsid w:val="00466B69"/>
    <w:rsid w:val="00466D6E"/>
    <w:rsid w:val="0046769B"/>
    <w:rsid w:val="0046792E"/>
    <w:rsid w:val="00467BBC"/>
    <w:rsid w:val="00467C17"/>
    <w:rsid w:val="00467CA6"/>
    <w:rsid w:val="00470347"/>
    <w:rsid w:val="0047119A"/>
    <w:rsid w:val="0047133A"/>
    <w:rsid w:val="0047165B"/>
    <w:rsid w:val="00471D36"/>
    <w:rsid w:val="00472B46"/>
    <w:rsid w:val="00472B9F"/>
    <w:rsid w:val="00472CBE"/>
    <w:rsid w:val="00474140"/>
    <w:rsid w:val="00474610"/>
    <w:rsid w:val="0047559A"/>
    <w:rsid w:val="00475BDD"/>
    <w:rsid w:val="00475C6E"/>
    <w:rsid w:val="0047671A"/>
    <w:rsid w:val="004768DD"/>
    <w:rsid w:val="00477876"/>
    <w:rsid w:val="00477AD2"/>
    <w:rsid w:val="004800CF"/>
    <w:rsid w:val="004809C6"/>
    <w:rsid w:val="00480FA7"/>
    <w:rsid w:val="004813DA"/>
    <w:rsid w:val="00481897"/>
    <w:rsid w:val="00481C9A"/>
    <w:rsid w:val="00481DCB"/>
    <w:rsid w:val="004821EA"/>
    <w:rsid w:val="0048232D"/>
    <w:rsid w:val="00482C0D"/>
    <w:rsid w:val="004830B5"/>
    <w:rsid w:val="00483E2D"/>
    <w:rsid w:val="00483F73"/>
    <w:rsid w:val="004843F2"/>
    <w:rsid w:val="00484ED7"/>
    <w:rsid w:val="00485108"/>
    <w:rsid w:val="004854E4"/>
    <w:rsid w:val="00485CA2"/>
    <w:rsid w:val="00486539"/>
    <w:rsid w:val="0048677D"/>
    <w:rsid w:val="00486A42"/>
    <w:rsid w:val="00486C58"/>
    <w:rsid w:val="00487D5C"/>
    <w:rsid w:val="00487F5C"/>
    <w:rsid w:val="0049037E"/>
    <w:rsid w:val="00490443"/>
    <w:rsid w:val="00490E14"/>
    <w:rsid w:val="0049108D"/>
    <w:rsid w:val="00491161"/>
    <w:rsid w:val="004912E8"/>
    <w:rsid w:val="00491493"/>
    <w:rsid w:val="00491F0D"/>
    <w:rsid w:val="0049201C"/>
    <w:rsid w:val="00493044"/>
    <w:rsid w:val="00493243"/>
    <w:rsid w:val="004932AF"/>
    <w:rsid w:val="0049468C"/>
    <w:rsid w:val="00494B59"/>
    <w:rsid w:val="00494B9F"/>
    <w:rsid w:val="00495938"/>
    <w:rsid w:val="0049597E"/>
    <w:rsid w:val="0049633C"/>
    <w:rsid w:val="00496442"/>
    <w:rsid w:val="004964B9"/>
    <w:rsid w:val="00496C88"/>
    <w:rsid w:val="00496CCD"/>
    <w:rsid w:val="00496EF8"/>
    <w:rsid w:val="00496FF9"/>
    <w:rsid w:val="004971ED"/>
    <w:rsid w:val="00497334"/>
    <w:rsid w:val="00497D03"/>
    <w:rsid w:val="004A0216"/>
    <w:rsid w:val="004A0527"/>
    <w:rsid w:val="004A1022"/>
    <w:rsid w:val="004A118D"/>
    <w:rsid w:val="004A1257"/>
    <w:rsid w:val="004A128A"/>
    <w:rsid w:val="004A182D"/>
    <w:rsid w:val="004A1AE2"/>
    <w:rsid w:val="004A3338"/>
    <w:rsid w:val="004A3400"/>
    <w:rsid w:val="004A3517"/>
    <w:rsid w:val="004A3F61"/>
    <w:rsid w:val="004A456F"/>
    <w:rsid w:val="004A4962"/>
    <w:rsid w:val="004A5740"/>
    <w:rsid w:val="004A5912"/>
    <w:rsid w:val="004A684A"/>
    <w:rsid w:val="004A6CCE"/>
    <w:rsid w:val="004A723E"/>
    <w:rsid w:val="004A7DEA"/>
    <w:rsid w:val="004B0153"/>
    <w:rsid w:val="004B070F"/>
    <w:rsid w:val="004B0909"/>
    <w:rsid w:val="004B0B5E"/>
    <w:rsid w:val="004B0CD9"/>
    <w:rsid w:val="004B0DD9"/>
    <w:rsid w:val="004B13A6"/>
    <w:rsid w:val="004B18C8"/>
    <w:rsid w:val="004B2289"/>
    <w:rsid w:val="004B24FC"/>
    <w:rsid w:val="004B264A"/>
    <w:rsid w:val="004B2A8C"/>
    <w:rsid w:val="004B2E95"/>
    <w:rsid w:val="004B2F2E"/>
    <w:rsid w:val="004B32C6"/>
    <w:rsid w:val="004B3475"/>
    <w:rsid w:val="004B3AFB"/>
    <w:rsid w:val="004B3BD9"/>
    <w:rsid w:val="004B3DF4"/>
    <w:rsid w:val="004B3FD8"/>
    <w:rsid w:val="004B5772"/>
    <w:rsid w:val="004B5ADD"/>
    <w:rsid w:val="004B642B"/>
    <w:rsid w:val="004B6578"/>
    <w:rsid w:val="004B6614"/>
    <w:rsid w:val="004B6CD6"/>
    <w:rsid w:val="004B7A70"/>
    <w:rsid w:val="004B7B26"/>
    <w:rsid w:val="004C04FF"/>
    <w:rsid w:val="004C09E7"/>
    <w:rsid w:val="004C12D7"/>
    <w:rsid w:val="004C164A"/>
    <w:rsid w:val="004C1D51"/>
    <w:rsid w:val="004C26B4"/>
    <w:rsid w:val="004C272E"/>
    <w:rsid w:val="004C28A6"/>
    <w:rsid w:val="004C2CD9"/>
    <w:rsid w:val="004C2DF4"/>
    <w:rsid w:val="004C303F"/>
    <w:rsid w:val="004C3420"/>
    <w:rsid w:val="004C3DF6"/>
    <w:rsid w:val="004C4900"/>
    <w:rsid w:val="004C4A77"/>
    <w:rsid w:val="004C500C"/>
    <w:rsid w:val="004C55D0"/>
    <w:rsid w:val="004C55E6"/>
    <w:rsid w:val="004C5926"/>
    <w:rsid w:val="004C5AD6"/>
    <w:rsid w:val="004C5DFD"/>
    <w:rsid w:val="004C5F21"/>
    <w:rsid w:val="004C6981"/>
    <w:rsid w:val="004C6B3F"/>
    <w:rsid w:val="004C6BD5"/>
    <w:rsid w:val="004C70AC"/>
    <w:rsid w:val="004C714F"/>
    <w:rsid w:val="004C7F22"/>
    <w:rsid w:val="004C7FCB"/>
    <w:rsid w:val="004D078A"/>
    <w:rsid w:val="004D08B1"/>
    <w:rsid w:val="004D0F75"/>
    <w:rsid w:val="004D1416"/>
    <w:rsid w:val="004D15EB"/>
    <w:rsid w:val="004D1B8A"/>
    <w:rsid w:val="004D1D5E"/>
    <w:rsid w:val="004D1EDE"/>
    <w:rsid w:val="004D21D2"/>
    <w:rsid w:val="004D22D6"/>
    <w:rsid w:val="004D24AA"/>
    <w:rsid w:val="004D264D"/>
    <w:rsid w:val="004D2BD0"/>
    <w:rsid w:val="004D2D24"/>
    <w:rsid w:val="004D3692"/>
    <w:rsid w:val="004D4E9B"/>
    <w:rsid w:val="004D4F17"/>
    <w:rsid w:val="004D4FD1"/>
    <w:rsid w:val="004D5BC8"/>
    <w:rsid w:val="004D5EC2"/>
    <w:rsid w:val="004D65C5"/>
    <w:rsid w:val="004D6873"/>
    <w:rsid w:val="004D70E7"/>
    <w:rsid w:val="004D72EE"/>
    <w:rsid w:val="004D765A"/>
    <w:rsid w:val="004D7E50"/>
    <w:rsid w:val="004D7ED8"/>
    <w:rsid w:val="004E0137"/>
    <w:rsid w:val="004E01A3"/>
    <w:rsid w:val="004E043A"/>
    <w:rsid w:val="004E0CAD"/>
    <w:rsid w:val="004E0F95"/>
    <w:rsid w:val="004E1064"/>
    <w:rsid w:val="004E10A7"/>
    <w:rsid w:val="004E1195"/>
    <w:rsid w:val="004E1C22"/>
    <w:rsid w:val="004E1F29"/>
    <w:rsid w:val="004E2295"/>
    <w:rsid w:val="004E2EAA"/>
    <w:rsid w:val="004E31B9"/>
    <w:rsid w:val="004E3584"/>
    <w:rsid w:val="004E46BE"/>
    <w:rsid w:val="004E473E"/>
    <w:rsid w:val="004E4F85"/>
    <w:rsid w:val="004E554A"/>
    <w:rsid w:val="004E5B3B"/>
    <w:rsid w:val="004E5E82"/>
    <w:rsid w:val="004E654E"/>
    <w:rsid w:val="004E7345"/>
    <w:rsid w:val="004E7B5E"/>
    <w:rsid w:val="004E7BFD"/>
    <w:rsid w:val="004E7C41"/>
    <w:rsid w:val="004F0E6C"/>
    <w:rsid w:val="004F1155"/>
    <w:rsid w:val="004F123B"/>
    <w:rsid w:val="004F239F"/>
    <w:rsid w:val="004F2406"/>
    <w:rsid w:val="004F2625"/>
    <w:rsid w:val="004F2868"/>
    <w:rsid w:val="004F2A8A"/>
    <w:rsid w:val="004F386E"/>
    <w:rsid w:val="004F3C5D"/>
    <w:rsid w:val="004F44D2"/>
    <w:rsid w:val="004F4513"/>
    <w:rsid w:val="004F516B"/>
    <w:rsid w:val="004F5DDD"/>
    <w:rsid w:val="004F61D6"/>
    <w:rsid w:val="004F66C2"/>
    <w:rsid w:val="004F6A04"/>
    <w:rsid w:val="004F6B7D"/>
    <w:rsid w:val="004F6E6A"/>
    <w:rsid w:val="004F6FD0"/>
    <w:rsid w:val="004F70B9"/>
    <w:rsid w:val="004F76E9"/>
    <w:rsid w:val="004F770C"/>
    <w:rsid w:val="004F7C98"/>
    <w:rsid w:val="0050038A"/>
    <w:rsid w:val="005004E2"/>
    <w:rsid w:val="005007B3"/>
    <w:rsid w:val="005014F7"/>
    <w:rsid w:val="00501F15"/>
    <w:rsid w:val="005020E8"/>
    <w:rsid w:val="00502726"/>
    <w:rsid w:val="00503CE0"/>
    <w:rsid w:val="00503CF4"/>
    <w:rsid w:val="00503DF9"/>
    <w:rsid w:val="0050404C"/>
    <w:rsid w:val="00504A04"/>
    <w:rsid w:val="00504B77"/>
    <w:rsid w:val="00505086"/>
    <w:rsid w:val="005052E6"/>
    <w:rsid w:val="0050564E"/>
    <w:rsid w:val="0050574D"/>
    <w:rsid w:val="00505A51"/>
    <w:rsid w:val="00505F91"/>
    <w:rsid w:val="00506C3E"/>
    <w:rsid w:val="005072F7"/>
    <w:rsid w:val="00507772"/>
    <w:rsid w:val="00507D02"/>
    <w:rsid w:val="00510AC7"/>
    <w:rsid w:val="00510F6C"/>
    <w:rsid w:val="00513085"/>
    <w:rsid w:val="00513528"/>
    <w:rsid w:val="0051375D"/>
    <w:rsid w:val="00513AB0"/>
    <w:rsid w:val="0051423C"/>
    <w:rsid w:val="00514A42"/>
    <w:rsid w:val="00515ACE"/>
    <w:rsid w:val="00515FF3"/>
    <w:rsid w:val="00516354"/>
    <w:rsid w:val="00516424"/>
    <w:rsid w:val="00516FD0"/>
    <w:rsid w:val="005170BA"/>
    <w:rsid w:val="0051761E"/>
    <w:rsid w:val="00517C5D"/>
    <w:rsid w:val="005207A9"/>
    <w:rsid w:val="00520A0A"/>
    <w:rsid w:val="00520BE5"/>
    <w:rsid w:val="005216A0"/>
    <w:rsid w:val="005218B8"/>
    <w:rsid w:val="00521E02"/>
    <w:rsid w:val="00522591"/>
    <w:rsid w:val="0052275C"/>
    <w:rsid w:val="005228C9"/>
    <w:rsid w:val="005229E5"/>
    <w:rsid w:val="00522B58"/>
    <w:rsid w:val="00523DBD"/>
    <w:rsid w:val="00524099"/>
    <w:rsid w:val="00524670"/>
    <w:rsid w:val="00524A6D"/>
    <w:rsid w:val="00524C8F"/>
    <w:rsid w:val="00524CEB"/>
    <w:rsid w:val="00524EA3"/>
    <w:rsid w:val="00525210"/>
    <w:rsid w:val="00525689"/>
    <w:rsid w:val="00525B31"/>
    <w:rsid w:val="00525CA3"/>
    <w:rsid w:val="00525EDD"/>
    <w:rsid w:val="005261D9"/>
    <w:rsid w:val="005266D0"/>
    <w:rsid w:val="00526EA5"/>
    <w:rsid w:val="005276E4"/>
    <w:rsid w:val="00527CDB"/>
    <w:rsid w:val="00530177"/>
    <w:rsid w:val="00530498"/>
    <w:rsid w:val="0053051C"/>
    <w:rsid w:val="0053181A"/>
    <w:rsid w:val="00531A68"/>
    <w:rsid w:val="00531C0E"/>
    <w:rsid w:val="00531FA9"/>
    <w:rsid w:val="0053201E"/>
    <w:rsid w:val="0053207F"/>
    <w:rsid w:val="00532A4E"/>
    <w:rsid w:val="00532B4B"/>
    <w:rsid w:val="00532F3F"/>
    <w:rsid w:val="00533359"/>
    <w:rsid w:val="00533A18"/>
    <w:rsid w:val="00533F03"/>
    <w:rsid w:val="00535780"/>
    <w:rsid w:val="00535AE4"/>
    <w:rsid w:val="00535B48"/>
    <w:rsid w:val="00535C23"/>
    <w:rsid w:val="00536481"/>
    <w:rsid w:val="005365CD"/>
    <w:rsid w:val="00536C8F"/>
    <w:rsid w:val="00536E09"/>
    <w:rsid w:val="00537991"/>
    <w:rsid w:val="00537FCE"/>
    <w:rsid w:val="005404F4"/>
    <w:rsid w:val="0054092B"/>
    <w:rsid w:val="00540DB9"/>
    <w:rsid w:val="00540FE7"/>
    <w:rsid w:val="00541150"/>
    <w:rsid w:val="0054156D"/>
    <w:rsid w:val="005415E2"/>
    <w:rsid w:val="00541D77"/>
    <w:rsid w:val="005426CE"/>
    <w:rsid w:val="005427AA"/>
    <w:rsid w:val="00542904"/>
    <w:rsid w:val="005429EC"/>
    <w:rsid w:val="00542BEC"/>
    <w:rsid w:val="005430E1"/>
    <w:rsid w:val="00543198"/>
    <w:rsid w:val="00543591"/>
    <w:rsid w:val="00543793"/>
    <w:rsid w:val="0054392E"/>
    <w:rsid w:val="00543B26"/>
    <w:rsid w:val="00543C81"/>
    <w:rsid w:val="0054414C"/>
    <w:rsid w:val="00544463"/>
    <w:rsid w:val="005454D4"/>
    <w:rsid w:val="005469E9"/>
    <w:rsid w:val="00547FD3"/>
    <w:rsid w:val="0055125B"/>
    <w:rsid w:val="00551265"/>
    <w:rsid w:val="005512C9"/>
    <w:rsid w:val="005518B6"/>
    <w:rsid w:val="00551ECF"/>
    <w:rsid w:val="005523E3"/>
    <w:rsid w:val="00552476"/>
    <w:rsid w:val="00552704"/>
    <w:rsid w:val="0055410F"/>
    <w:rsid w:val="0055454B"/>
    <w:rsid w:val="0055460C"/>
    <w:rsid w:val="00554AAF"/>
    <w:rsid w:val="00554BA4"/>
    <w:rsid w:val="00555018"/>
    <w:rsid w:val="005550B3"/>
    <w:rsid w:val="005551F3"/>
    <w:rsid w:val="005559B8"/>
    <w:rsid w:val="0055674E"/>
    <w:rsid w:val="00556DEF"/>
    <w:rsid w:val="00557290"/>
    <w:rsid w:val="005572EE"/>
    <w:rsid w:val="0055736A"/>
    <w:rsid w:val="00557D74"/>
    <w:rsid w:val="00557E5A"/>
    <w:rsid w:val="005602F1"/>
    <w:rsid w:val="00560A36"/>
    <w:rsid w:val="00561B94"/>
    <w:rsid w:val="00562F7F"/>
    <w:rsid w:val="00562FE3"/>
    <w:rsid w:val="00563972"/>
    <w:rsid w:val="00563FE1"/>
    <w:rsid w:val="00564055"/>
    <w:rsid w:val="00564BE7"/>
    <w:rsid w:val="00564C65"/>
    <w:rsid w:val="00565194"/>
    <w:rsid w:val="0056556C"/>
    <w:rsid w:val="00566079"/>
    <w:rsid w:val="00566188"/>
    <w:rsid w:val="005663BF"/>
    <w:rsid w:val="00566443"/>
    <w:rsid w:val="005669C3"/>
    <w:rsid w:val="005669E3"/>
    <w:rsid w:val="00566F1D"/>
    <w:rsid w:val="005702AC"/>
    <w:rsid w:val="0057050F"/>
    <w:rsid w:val="005709A8"/>
    <w:rsid w:val="005711B0"/>
    <w:rsid w:val="005712EA"/>
    <w:rsid w:val="0057137F"/>
    <w:rsid w:val="005725B2"/>
    <w:rsid w:val="005725D1"/>
    <w:rsid w:val="005733E2"/>
    <w:rsid w:val="00574022"/>
    <w:rsid w:val="00574466"/>
    <w:rsid w:val="00574628"/>
    <w:rsid w:val="0057515E"/>
    <w:rsid w:val="00575AA3"/>
    <w:rsid w:val="00575D42"/>
    <w:rsid w:val="00575DB8"/>
    <w:rsid w:val="005763D2"/>
    <w:rsid w:val="00576426"/>
    <w:rsid w:val="005768E8"/>
    <w:rsid w:val="0057707F"/>
    <w:rsid w:val="00577164"/>
    <w:rsid w:val="005776CB"/>
    <w:rsid w:val="00581163"/>
    <w:rsid w:val="005818E9"/>
    <w:rsid w:val="00582016"/>
    <w:rsid w:val="00582753"/>
    <w:rsid w:val="00582775"/>
    <w:rsid w:val="00582AB5"/>
    <w:rsid w:val="00582C65"/>
    <w:rsid w:val="00582CFC"/>
    <w:rsid w:val="005838ED"/>
    <w:rsid w:val="00583FB7"/>
    <w:rsid w:val="005842CF"/>
    <w:rsid w:val="005850ED"/>
    <w:rsid w:val="005852F4"/>
    <w:rsid w:val="005855F2"/>
    <w:rsid w:val="00585B0A"/>
    <w:rsid w:val="00586677"/>
    <w:rsid w:val="00587ACC"/>
    <w:rsid w:val="00587B4F"/>
    <w:rsid w:val="00590609"/>
    <w:rsid w:val="00590999"/>
    <w:rsid w:val="0059132B"/>
    <w:rsid w:val="0059140E"/>
    <w:rsid w:val="005914D7"/>
    <w:rsid w:val="00591535"/>
    <w:rsid w:val="00591BF9"/>
    <w:rsid w:val="00591DA6"/>
    <w:rsid w:val="00591DB2"/>
    <w:rsid w:val="00591E82"/>
    <w:rsid w:val="00592058"/>
    <w:rsid w:val="00592177"/>
    <w:rsid w:val="00592A73"/>
    <w:rsid w:val="00592E6F"/>
    <w:rsid w:val="0059373E"/>
    <w:rsid w:val="00593776"/>
    <w:rsid w:val="00593BC2"/>
    <w:rsid w:val="00594223"/>
    <w:rsid w:val="00594943"/>
    <w:rsid w:val="00594AD2"/>
    <w:rsid w:val="005951C5"/>
    <w:rsid w:val="005954A6"/>
    <w:rsid w:val="0059572C"/>
    <w:rsid w:val="00595FC2"/>
    <w:rsid w:val="005963F1"/>
    <w:rsid w:val="0059668D"/>
    <w:rsid w:val="00596EF2"/>
    <w:rsid w:val="00597286"/>
    <w:rsid w:val="0059742A"/>
    <w:rsid w:val="00597B18"/>
    <w:rsid w:val="00597E9E"/>
    <w:rsid w:val="005A02A1"/>
    <w:rsid w:val="005A069D"/>
    <w:rsid w:val="005A0AE3"/>
    <w:rsid w:val="005A0CBB"/>
    <w:rsid w:val="005A0FF0"/>
    <w:rsid w:val="005A11FE"/>
    <w:rsid w:val="005A1205"/>
    <w:rsid w:val="005A15F9"/>
    <w:rsid w:val="005A16B4"/>
    <w:rsid w:val="005A17C4"/>
    <w:rsid w:val="005A23E3"/>
    <w:rsid w:val="005A2614"/>
    <w:rsid w:val="005A28EA"/>
    <w:rsid w:val="005A28ED"/>
    <w:rsid w:val="005A2BD6"/>
    <w:rsid w:val="005A2D83"/>
    <w:rsid w:val="005A2F84"/>
    <w:rsid w:val="005A302D"/>
    <w:rsid w:val="005A364D"/>
    <w:rsid w:val="005A3B78"/>
    <w:rsid w:val="005A4495"/>
    <w:rsid w:val="005A49C6"/>
    <w:rsid w:val="005A5580"/>
    <w:rsid w:val="005A5D91"/>
    <w:rsid w:val="005A5ECD"/>
    <w:rsid w:val="005A5F41"/>
    <w:rsid w:val="005A71D2"/>
    <w:rsid w:val="005A7D53"/>
    <w:rsid w:val="005A7E96"/>
    <w:rsid w:val="005B038C"/>
    <w:rsid w:val="005B0726"/>
    <w:rsid w:val="005B08B4"/>
    <w:rsid w:val="005B095A"/>
    <w:rsid w:val="005B0FF9"/>
    <w:rsid w:val="005B11E6"/>
    <w:rsid w:val="005B1605"/>
    <w:rsid w:val="005B24D7"/>
    <w:rsid w:val="005B2904"/>
    <w:rsid w:val="005B2C29"/>
    <w:rsid w:val="005B3135"/>
    <w:rsid w:val="005B3224"/>
    <w:rsid w:val="005B3648"/>
    <w:rsid w:val="005B3E33"/>
    <w:rsid w:val="005B3EA6"/>
    <w:rsid w:val="005B4463"/>
    <w:rsid w:val="005B4D3C"/>
    <w:rsid w:val="005B4E44"/>
    <w:rsid w:val="005B59B2"/>
    <w:rsid w:val="005B5F5F"/>
    <w:rsid w:val="005B615C"/>
    <w:rsid w:val="005B6190"/>
    <w:rsid w:val="005B6410"/>
    <w:rsid w:val="005B67E3"/>
    <w:rsid w:val="005B74BA"/>
    <w:rsid w:val="005B78F3"/>
    <w:rsid w:val="005C03B3"/>
    <w:rsid w:val="005C0838"/>
    <w:rsid w:val="005C0E7D"/>
    <w:rsid w:val="005C161F"/>
    <w:rsid w:val="005C17A2"/>
    <w:rsid w:val="005C1917"/>
    <w:rsid w:val="005C199A"/>
    <w:rsid w:val="005C1B77"/>
    <w:rsid w:val="005C1EDC"/>
    <w:rsid w:val="005C2025"/>
    <w:rsid w:val="005C209D"/>
    <w:rsid w:val="005C20A1"/>
    <w:rsid w:val="005C2381"/>
    <w:rsid w:val="005C25A6"/>
    <w:rsid w:val="005C2647"/>
    <w:rsid w:val="005C30E1"/>
    <w:rsid w:val="005C313F"/>
    <w:rsid w:val="005C341C"/>
    <w:rsid w:val="005C359D"/>
    <w:rsid w:val="005C38B4"/>
    <w:rsid w:val="005C3AF8"/>
    <w:rsid w:val="005C3B1D"/>
    <w:rsid w:val="005C436A"/>
    <w:rsid w:val="005C43A4"/>
    <w:rsid w:val="005C4637"/>
    <w:rsid w:val="005C4899"/>
    <w:rsid w:val="005C4CCF"/>
    <w:rsid w:val="005C4E78"/>
    <w:rsid w:val="005C549F"/>
    <w:rsid w:val="005C5AEC"/>
    <w:rsid w:val="005C5E04"/>
    <w:rsid w:val="005C5FC7"/>
    <w:rsid w:val="005C5FDC"/>
    <w:rsid w:val="005C60C1"/>
    <w:rsid w:val="005C618F"/>
    <w:rsid w:val="005C6885"/>
    <w:rsid w:val="005C7135"/>
    <w:rsid w:val="005C7582"/>
    <w:rsid w:val="005C7EC9"/>
    <w:rsid w:val="005D030B"/>
    <w:rsid w:val="005D04EA"/>
    <w:rsid w:val="005D0786"/>
    <w:rsid w:val="005D1644"/>
    <w:rsid w:val="005D16AB"/>
    <w:rsid w:val="005D1939"/>
    <w:rsid w:val="005D1F16"/>
    <w:rsid w:val="005D20A4"/>
    <w:rsid w:val="005D2165"/>
    <w:rsid w:val="005D3370"/>
    <w:rsid w:val="005D3E13"/>
    <w:rsid w:val="005D4579"/>
    <w:rsid w:val="005D4CDF"/>
    <w:rsid w:val="005D51C7"/>
    <w:rsid w:val="005D5588"/>
    <w:rsid w:val="005D55A3"/>
    <w:rsid w:val="005D5BCD"/>
    <w:rsid w:val="005D5D3C"/>
    <w:rsid w:val="005D633F"/>
    <w:rsid w:val="005D7116"/>
    <w:rsid w:val="005D7FF8"/>
    <w:rsid w:val="005E02C5"/>
    <w:rsid w:val="005E02E3"/>
    <w:rsid w:val="005E0CBC"/>
    <w:rsid w:val="005E1234"/>
    <w:rsid w:val="005E157A"/>
    <w:rsid w:val="005E1FCD"/>
    <w:rsid w:val="005E2059"/>
    <w:rsid w:val="005E215F"/>
    <w:rsid w:val="005E26C6"/>
    <w:rsid w:val="005E2ACC"/>
    <w:rsid w:val="005E2F16"/>
    <w:rsid w:val="005E2F20"/>
    <w:rsid w:val="005E3EF2"/>
    <w:rsid w:val="005E4621"/>
    <w:rsid w:val="005E4EDF"/>
    <w:rsid w:val="005E5283"/>
    <w:rsid w:val="005E5802"/>
    <w:rsid w:val="005E58A3"/>
    <w:rsid w:val="005E5A44"/>
    <w:rsid w:val="005E5F19"/>
    <w:rsid w:val="005E6021"/>
    <w:rsid w:val="005E621F"/>
    <w:rsid w:val="005E680C"/>
    <w:rsid w:val="005E6BD8"/>
    <w:rsid w:val="005E6DA7"/>
    <w:rsid w:val="005E6F01"/>
    <w:rsid w:val="005E7571"/>
    <w:rsid w:val="005F0493"/>
    <w:rsid w:val="005F0902"/>
    <w:rsid w:val="005F0ABF"/>
    <w:rsid w:val="005F0DE0"/>
    <w:rsid w:val="005F1AF8"/>
    <w:rsid w:val="005F2012"/>
    <w:rsid w:val="005F23CB"/>
    <w:rsid w:val="005F27F2"/>
    <w:rsid w:val="005F2F36"/>
    <w:rsid w:val="005F3539"/>
    <w:rsid w:val="005F3A84"/>
    <w:rsid w:val="005F4523"/>
    <w:rsid w:val="005F48B9"/>
    <w:rsid w:val="005F4E32"/>
    <w:rsid w:val="005F4F83"/>
    <w:rsid w:val="005F56D1"/>
    <w:rsid w:val="005F5D19"/>
    <w:rsid w:val="005F63BB"/>
    <w:rsid w:val="005F63F8"/>
    <w:rsid w:val="005F68B3"/>
    <w:rsid w:val="005F7104"/>
    <w:rsid w:val="005F734F"/>
    <w:rsid w:val="005F7782"/>
    <w:rsid w:val="005F7B99"/>
    <w:rsid w:val="006004EF"/>
    <w:rsid w:val="00600784"/>
    <w:rsid w:val="0060121B"/>
    <w:rsid w:val="00601723"/>
    <w:rsid w:val="00602483"/>
    <w:rsid w:val="00602513"/>
    <w:rsid w:val="006032A3"/>
    <w:rsid w:val="0060343C"/>
    <w:rsid w:val="0060346B"/>
    <w:rsid w:val="006034A2"/>
    <w:rsid w:val="00603F52"/>
    <w:rsid w:val="006042ED"/>
    <w:rsid w:val="00604559"/>
    <w:rsid w:val="00604698"/>
    <w:rsid w:val="006053ED"/>
    <w:rsid w:val="00605A85"/>
    <w:rsid w:val="0060696A"/>
    <w:rsid w:val="00606D0C"/>
    <w:rsid w:val="00607999"/>
    <w:rsid w:val="00607A31"/>
    <w:rsid w:val="00607A8F"/>
    <w:rsid w:val="00610A9E"/>
    <w:rsid w:val="00610E6F"/>
    <w:rsid w:val="00611762"/>
    <w:rsid w:val="006117AA"/>
    <w:rsid w:val="006120F6"/>
    <w:rsid w:val="0061218F"/>
    <w:rsid w:val="00612720"/>
    <w:rsid w:val="006129EB"/>
    <w:rsid w:val="00612DDF"/>
    <w:rsid w:val="00612E13"/>
    <w:rsid w:val="00615564"/>
    <w:rsid w:val="006157D4"/>
    <w:rsid w:val="0061603B"/>
    <w:rsid w:val="00617C21"/>
    <w:rsid w:val="00620260"/>
    <w:rsid w:val="006206E0"/>
    <w:rsid w:val="006207BD"/>
    <w:rsid w:val="00621089"/>
    <w:rsid w:val="006218E4"/>
    <w:rsid w:val="00621EE9"/>
    <w:rsid w:val="00622AC0"/>
    <w:rsid w:val="00622C37"/>
    <w:rsid w:val="00622EC7"/>
    <w:rsid w:val="006235EA"/>
    <w:rsid w:val="006239A6"/>
    <w:rsid w:val="00623E57"/>
    <w:rsid w:val="00624010"/>
    <w:rsid w:val="0062426C"/>
    <w:rsid w:val="00624473"/>
    <w:rsid w:val="00624F28"/>
    <w:rsid w:val="0062507A"/>
    <w:rsid w:val="00625924"/>
    <w:rsid w:val="006277BB"/>
    <w:rsid w:val="006279DB"/>
    <w:rsid w:val="00627F66"/>
    <w:rsid w:val="00627F91"/>
    <w:rsid w:val="00630FF1"/>
    <w:rsid w:val="00632A2D"/>
    <w:rsid w:val="00632B79"/>
    <w:rsid w:val="00632E6C"/>
    <w:rsid w:val="006331D7"/>
    <w:rsid w:val="006335E0"/>
    <w:rsid w:val="00634236"/>
    <w:rsid w:val="0063430E"/>
    <w:rsid w:val="006349C9"/>
    <w:rsid w:val="00635070"/>
    <w:rsid w:val="0063557A"/>
    <w:rsid w:val="0063573F"/>
    <w:rsid w:val="00635772"/>
    <w:rsid w:val="00635D49"/>
    <w:rsid w:val="00635D4F"/>
    <w:rsid w:val="00635FF9"/>
    <w:rsid w:val="00636275"/>
    <w:rsid w:val="00636EA2"/>
    <w:rsid w:val="00636F1F"/>
    <w:rsid w:val="0063724A"/>
    <w:rsid w:val="00637275"/>
    <w:rsid w:val="006378CD"/>
    <w:rsid w:val="00637C36"/>
    <w:rsid w:val="00637FDB"/>
    <w:rsid w:val="006416C0"/>
    <w:rsid w:val="00641A71"/>
    <w:rsid w:val="00643345"/>
    <w:rsid w:val="006440DC"/>
    <w:rsid w:val="00644C0E"/>
    <w:rsid w:val="0064503E"/>
    <w:rsid w:val="006452B8"/>
    <w:rsid w:val="00645805"/>
    <w:rsid w:val="006462B5"/>
    <w:rsid w:val="00646627"/>
    <w:rsid w:val="00646FE1"/>
    <w:rsid w:val="006478C2"/>
    <w:rsid w:val="00647937"/>
    <w:rsid w:val="00647A9E"/>
    <w:rsid w:val="00650857"/>
    <w:rsid w:val="0065091D"/>
    <w:rsid w:val="00650C14"/>
    <w:rsid w:val="00650F97"/>
    <w:rsid w:val="006515D0"/>
    <w:rsid w:val="00651E58"/>
    <w:rsid w:val="00651F50"/>
    <w:rsid w:val="00652219"/>
    <w:rsid w:val="0065230F"/>
    <w:rsid w:val="00652333"/>
    <w:rsid w:val="006526C6"/>
    <w:rsid w:val="006529DD"/>
    <w:rsid w:val="00652C30"/>
    <w:rsid w:val="00652EDC"/>
    <w:rsid w:val="006532BD"/>
    <w:rsid w:val="006538B2"/>
    <w:rsid w:val="006539B4"/>
    <w:rsid w:val="006539BD"/>
    <w:rsid w:val="00653B4C"/>
    <w:rsid w:val="00654CFF"/>
    <w:rsid w:val="00654D2C"/>
    <w:rsid w:val="006550AC"/>
    <w:rsid w:val="0065515F"/>
    <w:rsid w:val="006556B6"/>
    <w:rsid w:val="00655A1C"/>
    <w:rsid w:val="006560BE"/>
    <w:rsid w:val="00656186"/>
    <w:rsid w:val="006566D7"/>
    <w:rsid w:val="00656994"/>
    <w:rsid w:val="00656DCF"/>
    <w:rsid w:val="00657184"/>
    <w:rsid w:val="00657B0D"/>
    <w:rsid w:val="00657CB2"/>
    <w:rsid w:val="00657E41"/>
    <w:rsid w:val="00660089"/>
    <w:rsid w:val="0066018B"/>
    <w:rsid w:val="00661544"/>
    <w:rsid w:val="0066190A"/>
    <w:rsid w:val="00661A8E"/>
    <w:rsid w:val="006622AC"/>
    <w:rsid w:val="00663B6C"/>
    <w:rsid w:val="00663CF9"/>
    <w:rsid w:val="00663E2A"/>
    <w:rsid w:val="006650F4"/>
    <w:rsid w:val="006654E4"/>
    <w:rsid w:val="00665538"/>
    <w:rsid w:val="00665D79"/>
    <w:rsid w:val="006669A6"/>
    <w:rsid w:val="00666CF1"/>
    <w:rsid w:val="006671F6"/>
    <w:rsid w:val="006672EE"/>
    <w:rsid w:val="00670825"/>
    <w:rsid w:val="0067107A"/>
    <w:rsid w:val="006716E6"/>
    <w:rsid w:val="006719A3"/>
    <w:rsid w:val="006719AA"/>
    <w:rsid w:val="00672197"/>
    <w:rsid w:val="0067270E"/>
    <w:rsid w:val="00672B7D"/>
    <w:rsid w:val="006737ED"/>
    <w:rsid w:val="0067389F"/>
    <w:rsid w:val="00673DDB"/>
    <w:rsid w:val="00673EDA"/>
    <w:rsid w:val="0067407D"/>
    <w:rsid w:val="00674171"/>
    <w:rsid w:val="00674A34"/>
    <w:rsid w:val="006750DA"/>
    <w:rsid w:val="0067522C"/>
    <w:rsid w:val="006754E5"/>
    <w:rsid w:val="006756C1"/>
    <w:rsid w:val="006759E7"/>
    <w:rsid w:val="00676042"/>
    <w:rsid w:val="0067693B"/>
    <w:rsid w:val="006769C0"/>
    <w:rsid w:val="00676F6C"/>
    <w:rsid w:val="006770F0"/>
    <w:rsid w:val="006778D4"/>
    <w:rsid w:val="00677C31"/>
    <w:rsid w:val="00677C57"/>
    <w:rsid w:val="0068006F"/>
    <w:rsid w:val="00680AAC"/>
    <w:rsid w:val="00680EA3"/>
    <w:rsid w:val="00680FE8"/>
    <w:rsid w:val="0068105F"/>
    <w:rsid w:val="00681542"/>
    <w:rsid w:val="00681581"/>
    <w:rsid w:val="00681A48"/>
    <w:rsid w:val="00681A74"/>
    <w:rsid w:val="00682255"/>
    <w:rsid w:val="00682400"/>
    <w:rsid w:val="0068263B"/>
    <w:rsid w:val="006826A2"/>
    <w:rsid w:val="006826CE"/>
    <w:rsid w:val="006827CC"/>
    <w:rsid w:val="006834E6"/>
    <w:rsid w:val="00683763"/>
    <w:rsid w:val="00683CAE"/>
    <w:rsid w:val="00683E47"/>
    <w:rsid w:val="00684DA5"/>
    <w:rsid w:val="00684DF4"/>
    <w:rsid w:val="0068501E"/>
    <w:rsid w:val="00685FB3"/>
    <w:rsid w:val="006862F4"/>
    <w:rsid w:val="00686E2D"/>
    <w:rsid w:val="00687439"/>
    <w:rsid w:val="006911F8"/>
    <w:rsid w:val="00692663"/>
    <w:rsid w:val="006930B0"/>
    <w:rsid w:val="006932F2"/>
    <w:rsid w:val="00694283"/>
    <w:rsid w:val="0069447D"/>
    <w:rsid w:val="006945C7"/>
    <w:rsid w:val="006947B7"/>
    <w:rsid w:val="00694DF0"/>
    <w:rsid w:val="0069502B"/>
    <w:rsid w:val="006952C2"/>
    <w:rsid w:val="00695C67"/>
    <w:rsid w:val="00696A75"/>
    <w:rsid w:val="00696B68"/>
    <w:rsid w:val="00696B9C"/>
    <w:rsid w:val="00697098"/>
    <w:rsid w:val="00697331"/>
    <w:rsid w:val="00697334"/>
    <w:rsid w:val="00697F56"/>
    <w:rsid w:val="006A0086"/>
    <w:rsid w:val="006A045D"/>
    <w:rsid w:val="006A0743"/>
    <w:rsid w:val="006A0BA2"/>
    <w:rsid w:val="006A0D61"/>
    <w:rsid w:val="006A0EEF"/>
    <w:rsid w:val="006A13F1"/>
    <w:rsid w:val="006A151F"/>
    <w:rsid w:val="006A17A0"/>
    <w:rsid w:val="006A1A6F"/>
    <w:rsid w:val="006A1F59"/>
    <w:rsid w:val="006A26CC"/>
    <w:rsid w:val="006A3119"/>
    <w:rsid w:val="006A390D"/>
    <w:rsid w:val="006A3B34"/>
    <w:rsid w:val="006A47A3"/>
    <w:rsid w:val="006A4B01"/>
    <w:rsid w:val="006A529A"/>
    <w:rsid w:val="006A54D9"/>
    <w:rsid w:val="006A5681"/>
    <w:rsid w:val="006A577C"/>
    <w:rsid w:val="006A5C16"/>
    <w:rsid w:val="006A5D2F"/>
    <w:rsid w:val="006A635C"/>
    <w:rsid w:val="006A637D"/>
    <w:rsid w:val="006A67F8"/>
    <w:rsid w:val="006A7013"/>
    <w:rsid w:val="006B00B5"/>
    <w:rsid w:val="006B0221"/>
    <w:rsid w:val="006B0427"/>
    <w:rsid w:val="006B0A7E"/>
    <w:rsid w:val="006B0D6A"/>
    <w:rsid w:val="006B0F3F"/>
    <w:rsid w:val="006B1855"/>
    <w:rsid w:val="006B21A4"/>
    <w:rsid w:val="006B21AC"/>
    <w:rsid w:val="006B24A3"/>
    <w:rsid w:val="006B31D5"/>
    <w:rsid w:val="006B34B4"/>
    <w:rsid w:val="006B3795"/>
    <w:rsid w:val="006B37FB"/>
    <w:rsid w:val="006B3A60"/>
    <w:rsid w:val="006B3B48"/>
    <w:rsid w:val="006B3CC6"/>
    <w:rsid w:val="006B3F87"/>
    <w:rsid w:val="006B4AB0"/>
    <w:rsid w:val="006B5259"/>
    <w:rsid w:val="006B53B1"/>
    <w:rsid w:val="006B57B7"/>
    <w:rsid w:val="006B5924"/>
    <w:rsid w:val="006B5CDC"/>
    <w:rsid w:val="006B5F66"/>
    <w:rsid w:val="006B6CFF"/>
    <w:rsid w:val="006B76F0"/>
    <w:rsid w:val="006B7E21"/>
    <w:rsid w:val="006C0350"/>
    <w:rsid w:val="006C0740"/>
    <w:rsid w:val="006C08F7"/>
    <w:rsid w:val="006C1051"/>
    <w:rsid w:val="006C1474"/>
    <w:rsid w:val="006C1526"/>
    <w:rsid w:val="006C1624"/>
    <w:rsid w:val="006C1CB4"/>
    <w:rsid w:val="006C3FCF"/>
    <w:rsid w:val="006C413A"/>
    <w:rsid w:val="006C45CC"/>
    <w:rsid w:val="006C488B"/>
    <w:rsid w:val="006C4AEA"/>
    <w:rsid w:val="006C4C34"/>
    <w:rsid w:val="006C4E1A"/>
    <w:rsid w:val="006C5012"/>
    <w:rsid w:val="006C502D"/>
    <w:rsid w:val="006C5318"/>
    <w:rsid w:val="006C58FC"/>
    <w:rsid w:val="006C64EF"/>
    <w:rsid w:val="006C702F"/>
    <w:rsid w:val="006C7664"/>
    <w:rsid w:val="006C7674"/>
    <w:rsid w:val="006C7909"/>
    <w:rsid w:val="006C7C0E"/>
    <w:rsid w:val="006D0035"/>
    <w:rsid w:val="006D0A1A"/>
    <w:rsid w:val="006D2118"/>
    <w:rsid w:val="006D22BC"/>
    <w:rsid w:val="006D4503"/>
    <w:rsid w:val="006D457E"/>
    <w:rsid w:val="006D459F"/>
    <w:rsid w:val="006D4649"/>
    <w:rsid w:val="006D4AB2"/>
    <w:rsid w:val="006D5225"/>
    <w:rsid w:val="006D5485"/>
    <w:rsid w:val="006D56E4"/>
    <w:rsid w:val="006D631C"/>
    <w:rsid w:val="006D63A3"/>
    <w:rsid w:val="006D667F"/>
    <w:rsid w:val="006D6921"/>
    <w:rsid w:val="006D6D9E"/>
    <w:rsid w:val="006E02A4"/>
    <w:rsid w:val="006E02D7"/>
    <w:rsid w:val="006E06AF"/>
    <w:rsid w:val="006E08C2"/>
    <w:rsid w:val="006E125C"/>
    <w:rsid w:val="006E12AD"/>
    <w:rsid w:val="006E1799"/>
    <w:rsid w:val="006E1EC3"/>
    <w:rsid w:val="006E1ED1"/>
    <w:rsid w:val="006E2219"/>
    <w:rsid w:val="006E2A19"/>
    <w:rsid w:val="006E365D"/>
    <w:rsid w:val="006E3962"/>
    <w:rsid w:val="006E4E1C"/>
    <w:rsid w:val="006E6092"/>
    <w:rsid w:val="006E66B2"/>
    <w:rsid w:val="006E6ACB"/>
    <w:rsid w:val="006E72F8"/>
    <w:rsid w:val="006E7303"/>
    <w:rsid w:val="006E7350"/>
    <w:rsid w:val="006E7EC4"/>
    <w:rsid w:val="006F04C4"/>
    <w:rsid w:val="006F0A3C"/>
    <w:rsid w:val="006F15D3"/>
    <w:rsid w:val="006F1D63"/>
    <w:rsid w:val="006F221C"/>
    <w:rsid w:val="006F26EB"/>
    <w:rsid w:val="006F2985"/>
    <w:rsid w:val="006F3185"/>
    <w:rsid w:val="006F366A"/>
    <w:rsid w:val="006F3F90"/>
    <w:rsid w:val="006F41DF"/>
    <w:rsid w:val="006F44FB"/>
    <w:rsid w:val="006F5821"/>
    <w:rsid w:val="006F5A85"/>
    <w:rsid w:val="006F5E8C"/>
    <w:rsid w:val="006F5F12"/>
    <w:rsid w:val="006F64AB"/>
    <w:rsid w:val="006F7C19"/>
    <w:rsid w:val="0070001D"/>
    <w:rsid w:val="00700120"/>
    <w:rsid w:val="00700284"/>
    <w:rsid w:val="0070032B"/>
    <w:rsid w:val="007006E6"/>
    <w:rsid w:val="00701149"/>
    <w:rsid w:val="00702399"/>
    <w:rsid w:val="00702565"/>
    <w:rsid w:val="00702AC1"/>
    <w:rsid w:val="00702E70"/>
    <w:rsid w:val="00703133"/>
    <w:rsid w:val="00703A94"/>
    <w:rsid w:val="00703B3E"/>
    <w:rsid w:val="00703B60"/>
    <w:rsid w:val="00704E3C"/>
    <w:rsid w:val="00704F36"/>
    <w:rsid w:val="00705121"/>
    <w:rsid w:val="0070512F"/>
    <w:rsid w:val="00705731"/>
    <w:rsid w:val="00705AAA"/>
    <w:rsid w:val="00705F23"/>
    <w:rsid w:val="0070677E"/>
    <w:rsid w:val="007069C3"/>
    <w:rsid w:val="00706FCA"/>
    <w:rsid w:val="007070D4"/>
    <w:rsid w:val="00707CB8"/>
    <w:rsid w:val="007107CF"/>
    <w:rsid w:val="00710AC0"/>
    <w:rsid w:val="0071116F"/>
    <w:rsid w:val="00711564"/>
    <w:rsid w:val="0071173A"/>
    <w:rsid w:val="00712637"/>
    <w:rsid w:val="00712F6C"/>
    <w:rsid w:val="00713029"/>
    <w:rsid w:val="0071372D"/>
    <w:rsid w:val="00713E69"/>
    <w:rsid w:val="00714415"/>
    <w:rsid w:val="007147E2"/>
    <w:rsid w:val="00714FEE"/>
    <w:rsid w:val="00715446"/>
    <w:rsid w:val="007158B0"/>
    <w:rsid w:val="00715EE3"/>
    <w:rsid w:val="007164FD"/>
    <w:rsid w:val="00717390"/>
    <w:rsid w:val="007177C6"/>
    <w:rsid w:val="00717837"/>
    <w:rsid w:val="00720037"/>
    <w:rsid w:val="00720384"/>
    <w:rsid w:val="0072082F"/>
    <w:rsid w:val="00720FAA"/>
    <w:rsid w:val="00721DB7"/>
    <w:rsid w:val="0072291C"/>
    <w:rsid w:val="00722B2C"/>
    <w:rsid w:val="00722B45"/>
    <w:rsid w:val="00723015"/>
    <w:rsid w:val="007236E5"/>
    <w:rsid w:val="00723A60"/>
    <w:rsid w:val="007248F8"/>
    <w:rsid w:val="00724E89"/>
    <w:rsid w:val="00725C73"/>
    <w:rsid w:val="00726240"/>
    <w:rsid w:val="0072669A"/>
    <w:rsid w:val="00726784"/>
    <w:rsid w:val="007269FD"/>
    <w:rsid w:val="00727013"/>
    <w:rsid w:val="0072732C"/>
    <w:rsid w:val="00727A78"/>
    <w:rsid w:val="00727D42"/>
    <w:rsid w:val="00727DA8"/>
    <w:rsid w:val="00727FDF"/>
    <w:rsid w:val="007302EB"/>
    <w:rsid w:val="00730317"/>
    <w:rsid w:val="00730C0E"/>
    <w:rsid w:val="00730CB7"/>
    <w:rsid w:val="00730D41"/>
    <w:rsid w:val="007311AA"/>
    <w:rsid w:val="007317B5"/>
    <w:rsid w:val="00731A66"/>
    <w:rsid w:val="00731BAE"/>
    <w:rsid w:val="007321B0"/>
    <w:rsid w:val="007328FE"/>
    <w:rsid w:val="00732A45"/>
    <w:rsid w:val="007333E2"/>
    <w:rsid w:val="00733695"/>
    <w:rsid w:val="00733EB1"/>
    <w:rsid w:val="0073489F"/>
    <w:rsid w:val="0073564D"/>
    <w:rsid w:val="00735B58"/>
    <w:rsid w:val="00735E34"/>
    <w:rsid w:val="0073602C"/>
    <w:rsid w:val="00736447"/>
    <w:rsid w:val="0073667D"/>
    <w:rsid w:val="00736DDF"/>
    <w:rsid w:val="007374E7"/>
    <w:rsid w:val="00737B47"/>
    <w:rsid w:val="00737B4B"/>
    <w:rsid w:val="00740A8A"/>
    <w:rsid w:val="00740B93"/>
    <w:rsid w:val="00740C23"/>
    <w:rsid w:val="00740D0B"/>
    <w:rsid w:val="00741367"/>
    <w:rsid w:val="007417EC"/>
    <w:rsid w:val="00741AE0"/>
    <w:rsid w:val="00741FC9"/>
    <w:rsid w:val="00742867"/>
    <w:rsid w:val="00742EC6"/>
    <w:rsid w:val="00743593"/>
    <w:rsid w:val="0074442B"/>
    <w:rsid w:val="007446C6"/>
    <w:rsid w:val="00744B50"/>
    <w:rsid w:val="00744B6D"/>
    <w:rsid w:val="00744E6B"/>
    <w:rsid w:val="0074532D"/>
    <w:rsid w:val="0074574D"/>
    <w:rsid w:val="00745DFC"/>
    <w:rsid w:val="00745F18"/>
    <w:rsid w:val="007460D0"/>
    <w:rsid w:val="0074619A"/>
    <w:rsid w:val="007466CE"/>
    <w:rsid w:val="00746D0A"/>
    <w:rsid w:val="007474ED"/>
    <w:rsid w:val="00750192"/>
    <w:rsid w:val="00750291"/>
    <w:rsid w:val="00750AFE"/>
    <w:rsid w:val="00750E4D"/>
    <w:rsid w:val="007513D7"/>
    <w:rsid w:val="00751ED7"/>
    <w:rsid w:val="007526B8"/>
    <w:rsid w:val="007532DE"/>
    <w:rsid w:val="007536BC"/>
    <w:rsid w:val="00753E6A"/>
    <w:rsid w:val="00754961"/>
    <w:rsid w:val="00754ABC"/>
    <w:rsid w:val="00754D5F"/>
    <w:rsid w:val="00755B91"/>
    <w:rsid w:val="007560EB"/>
    <w:rsid w:val="007569F2"/>
    <w:rsid w:val="00756DC6"/>
    <w:rsid w:val="0075705D"/>
    <w:rsid w:val="007571FD"/>
    <w:rsid w:val="0075795A"/>
    <w:rsid w:val="007606CE"/>
    <w:rsid w:val="007606F8"/>
    <w:rsid w:val="00760B0A"/>
    <w:rsid w:val="00760FE7"/>
    <w:rsid w:val="0076141C"/>
    <w:rsid w:val="0076144D"/>
    <w:rsid w:val="0076152D"/>
    <w:rsid w:val="007619F9"/>
    <w:rsid w:val="00761E02"/>
    <w:rsid w:val="00761EE3"/>
    <w:rsid w:val="0076280B"/>
    <w:rsid w:val="007629B4"/>
    <w:rsid w:val="00763640"/>
    <w:rsid w:val="00763AF9"/>
    <w:rsid w:val="00763E2B"/>
    <w:rsid w:val="00764A5A"/>
    <w:rsid w:val="0076530A"/>
    <w:rsid w:val="00765867"/>
    <w:rsid w:val="00765896"/>
    <w:rsid w:val="00765BF5"/>
    <w:rsid w:val="00765ED5"/>
    <w:rsid w:val="007664F2"/>
    <w:rsid w:val="00766513"/>
    <w:rsid w:val="00767B0D"/>
    <w:rsid w:val="00770336"/>
    <w:rsid w:val="00771E63"/>
    <w:rsid w:val="0077255A"/>
    <w:rsid w:val="00772D60"/>
    <w:rsid w:val="00773287"/>
    <w:rsid w:val="007732CF"/>
    <w:rsid w:val="007739E1"/>
    <w:rsid w:val="00774137"/>
    <w:rsid w:val="0077445E"/>
    <w:rsid w:val="0077455F"/>
    <w:rsid w:val="00775525"/>
    <w:rsid w:val="00776521"/>
    <w:rsid w:val="00776784"/>
    <w:rsid w:val="007769C6"/>
    <w:rsid w:val="00776DB6"/>
    <w:rsid w:val="00777995"/>
    <w:rsid w:val="007806A8"/>
    <w:rsid w:val="0078097A"/>
    <w:rsid w:val="00780B2B"/>
    <w:rsid w:val="00780D05"/>
    <w:rsid w:val="00780D0F"/>
    <w:rsid w:val="007813C4"/>
    <w:rsid w:val="0078199D"/>
    <w:rsid w:val="00781A66"/>
    <w:rsid w:val="00781C35"/>
    <w:rsid w:val="00781D18"/>
    <w:rsid w:val="00782760"/>
    <w:rsid w:val="007828B0"/>
    <w:rsid w:val="007828C1"/>
    <w:rsid w:val="00782C08"/>
    <w:rsid w:val="0078336F"/>
    <w:rsid w:val="00784109"/>
    <w:rsid w:val="007842DE"/>
    <w:rsid w:val="00784491"/>
    <w:rsid w:val="007844C8"/>
    <w:rsid w:val="00784B9A"/>
    <w:rsid w:val="00784CDF"/>
    <w:rsid w:val="00784D5D"/>
    <w:rsid w:val="00785124"/>
    <w:rsid w:val="0078666B"/>
    <w:rsid w:val="00786782"/>
    <w:rsid w:val="00786D3B"/>
    <w:rsid w:val="00790A6D"/>
    <w:rsid w:val="00790C93"/>
    <w:rsid w:val="00790EDD"/>
    <w:rsid w:val="00790F37"/>
    <w:rsid w:val="00791079"/>
    <w:rsid w:val="0079170A"/>
    <w:rsid w:val="00792023"/>
    <w:rsid w:val="00792ABF"/>
    <w:rsid w:val="00792F72"/>
    <w:rsid w:val="007944F8"/>
    <w:rsid w:val="00794BC8"/>
    <w:rsid w:val="00794FB9"/>
    <w:rsid w:val="007954B8"/>
    <w:rsid w:val="00795A8C"/>
    <w:rsid w:val="00796044"/>
    <w:rsid w:val="007960DB"/>
    <w:rsid w:val="00796306"/>
    <w:rsid w:val="00797364"/>
    <w:rsid w:val="00797827"/>
    <w:rsid w:val="007A072C"/>
    <w:rsid w:val="007A0BD0"/>
    <w:rsid w:val="007A136E"/>
    <w:rsid w:val="007A14AF"/>
    <w:rsid w:val="007A2103"/>
    <w:rsid w:val="007A2636"/>
    <w:rsid w:val="007A35FF"/>
    <w:rsid w:val="007A3FF8"/>
    <w:rsid w:val="007A4257"/>
    <w:rsid w:val="007A445B"/>
    <w:rsid w:val="007A48A4"/>
    <w:rsid w:val="007A5196"/>
    <w:rsid w:val="007A5248"/>
    <w:rsid w:val="007A54AD"/>
    <w:rsid w:val="007A5946"/>
    <w:rsid w:val="007A5CDD"/>
    <w:rsid w:val="007A5F1B"/>
    <w:rsid w:val="007A60B5"/>
    <w:rsid w:val="007A6380"/>
    <w:rsid w:val="007A63BB"/>
    <w:rsid w:val="007A66D4"/>
    <w:rsid w:val="007A6935"/>
    <w:rsid w:val="007A7011"/>
    <w:rsid w:val="007A7193"/>
    <w:rsid w:val="007A79F9"/>
    <w:rsid w:val="007B012C"/>
    <w:rsid w:val="007B022C"/>
    <w:rsid w:val="007B1596"/>
    <w:rsid w:val="007B1B41"/>
    <w:rsid w:val="007B25F0"/>
    <w:rsid w:val="007B2D9B"/>
    <w:rsid w:val="007B3104"/>
    <w:rsid w:val="007B355C"/>
    <w:rsid w:val="007B376A"/>
    <w:rsid w:val="007B3861"/>
    <w:rsid w:val="007B38A1"/>
    <w:rsid w:val="007B3AA4"/>
    <w:rsid w:val="007B3C1A"/>
    <w:rsid w:val="007B3D1B"/>
    <w:rsid w:val="007B42E7"/>
    <w:rsid w:val="007B4410"/>
    <w:rsid w:val="007B45BD"/>
    <w:rsid w:val="007B48C7"/>
    <w:rsid w:val="007B4BBC"/>
    <w:rsid w:val="007B4E5C"/>
    <w:rsid w:val="007B5D91"/>
    <w:rsid w:val="007B69E3"/>
    <w:rsid w:val="007B784C"/>
    <w:rsid w:val="007B7EF7"/>
    <w:rsid w:val="007C0120"/>
    <w:rsid w:val="007C0336"/>
    <w:rsid w:val="007C047A"/>
    <w:rsid w:val="007C076E"/>
    <w:rsid w:val="007C093F"/>
    <w:rsid w:val="007C1065"/>
    <w:rsid w:val="007C1CAF"/>
    <w:rsid w:val="007C2794"/>
    <w:rsid w:val="007C2F33"/>
    <w:rsid w:val="007C32F0"/>
    <w:rsid w:val="007C3C8E"/>
    <w:rsid w:val="007C4425"/>
    <w:rsid w:val="007C459D"/>
    <w:rsid w:val="007C46BA"/>
    <w:rsid w:val="007C4AC8"/>
    <w:rsid w:val="007C4BE0"/>
    <w:rsid w:val="007C5923"/>
    <w:rsid w:val="007C59D6"/>
    <w:rsid w:val="007C61E4"/>
    <w:rsid w:val="007C61E5"/>
    <w:rsid w:val="007C6378"/>
    <w:rsid w:val="007C69EC"/>
    <w:rsid w:val="007C71A9"/>
    <w:rsid w:val="007C7410"/>
    <w:rsid w:val="007C7566"/>
    <w:rsid w:val="007C75B8"/>
    <w:rsid w:val="007C7E4E"/>
    <w:rsid w:val="007D0384"/>
    <w:rsid w:val="007D04EB"/>
    <w:rsid w:val="007D0CF2"/>
    <w:rsid w:val="007D0E34"/>
    <w:rsid w:val="007D12E8"/>
    <w:rsid w:val="007D1C07"/>
    <w:rsid w:val="007D1E33"/>
    <w:rsid w:val="007D1E93"/>
    <w:rsid w:val="007D2195"/>
    <w:rsid w:val="007D236C"/>
    <w:rsid w:val="007D26FC"/>
    <w:rsid w:val="007D2956"/>
    <w:rsid w:val="007D2F41"/>
    <w:rsid w:val="007D350B"/>
    <w:rsid w:val="007D3AC5"/>
    <w:rsid w:val="007D3E4E"/>
    <w:rsid w:val="007D411E"/>
    <w:rsid w:val="007D439B"/>
    <w:rsid w:val="007D455D"/>
    <w:rsid w:val="007D56D1"/>
    <w:rsid w:val="007D582A"/>
    <w:rsid w:val="007D5A5C"/>
    <w:rsid w:val="007D5B3F"/>
    <w:rsid w:val="007D6363"/>
    <w:rsid w:val="007D6746"/>
    <w:rsid w:val="007D73E8"/>
    <w:rsid w:val="007D777D"/>
    <w:rsid w:val="007E0194"/>
    <w:rsid w:val="007E0472"/>
    <w:rsid w:val="007E06D2"/>
    <w:rsid w:val="007E095F"/>
    <w:rsid w:val="007E1081"/>
    <w:rsid w:val="007E1A8F"/>
    <w:rsid w:val="007E2145"/>
    <w:rsid w:val="007E218D"/>
    <w:rsid w:val="007E22C0"/>
    <w:rsid w:val="007E2605"/>
    <w:rsid w:val="007E2871"/>
    <w:rsid w:val="007E31E6"/>
    <w:rsid w:val="007E351A"/>
    <w:rsid w:val="007E3531"/>
    <w:rsid w:val="007E40CE"/>
    <w:rsid w:val="007E4275"/>
    <w:rsid w:val="007E45A5"/>
    <w:rsid w:val="007E53CB"/>
    <w:rsid w:val="007E5B8E"/>
    <w:rsid w:val="007E6090"/>
    <w:rsid w:val="007E62D4"/>
    <w:rsid w:val="007E666F"/>
    <w:rsid w:val="007E742D"/>
    <w:rsid w:val="007E77B8"/>
    <w:rsid w:val="007E7F6F"/>
    <w:rsid w:val="007F0266"/>
    <w:rsid w:val="007F0F89"/>
    <w:rsid w:val="007F1A98"/>
    <w:rsid w:val="007F23AC"/>
    <w:rsid w:val="007F2B53"/>
    <w:rsid w:val="007F32F9"/>
    <w:rsid w:val="007F3E37"/>
    <w:rsid w:val="007F3F07"/>
    <w:rsid w:val="007F43E0"/>
    <w:rsid w:val="007F461D"/>
    <w:rsid w:val="007F4697"/>
    <w:rsid w:val="007F4771"/>
    <w:rsid w:val="007F47F0"/>
    <w:rsid w:val="007F4ACD"/>
    <w:rsid w:val="007F4D58"/>
    <w:rsid w:val="007F5139"/>
    <w:rsid w:val="007F5546"/>
    <w:rsid w:val="007F5759"/>
    <w:rsid w:val="007F58AA"/>
    <w:rsid w:val="007F5BB1"/>
    <w:rsid w:val="007F5ED8"/>
    <w:rsid w:val="007F6072"/>
    <w:rsid w:val="007F6236"/>
    <w:rsid w:val="007F6A93"/>
    <w:rsid w:val="007F6D5C"/>
    <w:rsid w:val="007F6F77"/>
    <w:rsid w:val="007F77A7"/>
    <w:rsid w:val="007F7C42"/>
    <w:rsid w:val="007F7F25"/>
    <w:rsid w:val="00800667"/>
    <w:rsid w:val="00800683"/>
    <w:rsid w:val="00800C0B"/>
    <w:rsid w:val="00800F19"/>
    <w:rsid w:val="0080160E"/>
    <w:rsid w:val="0080184B"/>
    <w:rsid w:val="00801B7D"/>
    <w:rsid w:val="00802154"/>
    <w:rsid w:val="00802513"/>
    <w:rsid w:val="00802B30"/>
    <w:rsid w:val="00802D4A"/>
    <w:rsid w:val="00803183"/>
    <w:rsid w:val="00803C1B"/>
    <w:rsid w:val="008043CC"/>
    <w:rsid w:val="00804BEF"/>
    <w:rsid w:val="00805155"/>
    <w:rsid w:val="008055E2"/>
    <w:rsid w:val="0080583D"/>
    <w:rsid w:val="0080589C"/>
    <w:rsid w:val="00805992"/>
    <w:rsid w:val="008059C8"/>
    <w:rsid w:val="00805CE6"/>
    <w:rsid w:val="00806714"/>
    <w:rsid w:val="00806C4E"/>
    <w:rsid w:val="00806C8D"/>
    <w:rsid w:val="00806D24"/>
    <w:rsid w:val="00807678"/>
    <w:rsid w:val="00807D17"/>
    <w:rsid w:val="00807F3F"/>
    <w:rsid w:val="0081007D"/>
    <w:rsid w:val="0081080B"/>
    <w:rsid w:val="00810819"/>
    <w:rsid w:val="00810ADC"/>
    <w:rsid w:val="00810F19"/>
    <w:rsid w:val="00811158"/>
    <w:rsid w:val="00812EF6"/>
    <w:rsid w:val="008130C3"/>
    <w:rsid w:val="0081357C"/>
    <w:rsid w:val="008136C1"/>
    <w:rsid w:val="00813A45"/>
    <w:rsid w:val="008146E5"/>
    <w:rsid w:val="00814703"/>
    <w:rsid w:val="00815A3D"/>
    <w:rsid w:val="00815A6B"/>
    <w:rsid w:val="008161EB"/>
    <w:rsid w:val="00816742"/>
    <w:rsid w:val="00816781"/>
    <w:rsid w:val="00817242"/>
    <w:rsid w:val="00817404"/>
    <w:rsid w:val="00817E88"/>
    <w:rsid w:val="00820696"/>
    <w:rsid w:val="008211D3"/>
    <w:rsid w:val="008219D8"/>
    <w:rsid w:val="00821C45"/>
    <w:rsid w:val="00821CE3"/>
    <w:rsid w:val="00821F5B"/>
    <w:rsid w:val="008225FF"/>
    <w:rsid w:val="00822604"/>
    <w:rsid w:val="00823E0E"/>
    <w:rsid w:val="00823EAA"/>
    <w:rsid w:val="00824358"/>
    <w:rsid w:val="008245F6"/>
    <w:rsid w:val="00824653"/>
    <w:rsid w:val="00824BF5"/>
    <w:rsid w:val="008256F9"/>
    <w:rsid w:val="00826490"/>
    <w:rsid w:val="008269CD"/>
    <w:rsid w:val="00826E9E"/>
    <w:rsid w:val="00826EB2"/>
    <w:rsid w:val="008274AF"/>
    <w:rsid w:val="0082773A"/>
    <w:rsid w:val="00827776"/>
    <w:rsid w:val="008300FB"/>
    <w:rsid w:val="0083035A"/>
    <w:rsid w:val="00830E34"/>
    <w:rsid w:val="00831B17"/>
    <w:rsid w:val="00831ECE"/>
    <w:rsid w:val="0083213F"/>
    <w:rsid w:val="008321CB"/>
    <w:rsid w:val="0083285D"/>
    <w:rsid w:val="00832DE6"/>
    <w:rsid w:val="00833115"/>
    <w:rsid w:val="00833BDD"/>
    <w:rsid w:val="00833CE6"/>
    <w:rsid w:val="00833F0D"/>
    <w:rsid w:val="0083430B"/>
    <w:rsid w:val="0083466F"/>
    <w:rsid w:val="00834ECF"/>
    <w:rsid w:val="008351CB"/>
    <w:rsid w:val="0083561C"/>
    <w:rsid w:val="008359E5"/>
    <w:rsid w:val="00835F78"/>
    <w:rsid w:val="00835FE2"/>
    <w:rsid w:val="00836A22"/>
    <w:rsid w:val="00837305"/>
    <w:rsid w:val="0083765C"/>
    <w:rsid w:val="00841390"/>
    <w:rsid w:val="00841877"/>
    <w:rsid w:val="008418B0"/>
    <w:rsid w:val="008420E7"/>
    <w:rsid w:val="008424C0"/>
    <w:rsid w:val="008424F1"/>
    <w:rsid w:val="00843B33"/>
    <w:rsid w:val="00843B77"/>
    <w:rsid w:val="00843F52"/>
    <w:rsid w:val="00844867"/>
    <w:rsid w:val="008448FE"/>
    <w:rsid w:val="00844905"/>
    <w:rsid w:val="00844C3B"/>
    <w:rsid w:val="00844EDE"/>
    <w:rsid w:val="00844FB5"/>
    <w:rsid w:val="008459DB"/>
    <w:rsid w:val="008460FD"/>
    <w:rsid w:val="00846BF8"/>
    <w:rsid w:val="00847CA4"/>
    <w:rsid w:val="00847CB1"/>
    <w:rsid w:val="00850051"/>
    <w:rsid w:val="008502B9"/>
    <w:rsid w:val="00850CCF"/>
    <w:rsid w:val="00851040"/>
    <w:rsid w:val="0085125E"/>
    <w:rsid w:val="00851A7A"/>
    <w:rsid w:val="00851C53"/>
    <w:rsid w:val="00851CC0"/>
    <w:rsid w:val="008522F0"/>
    <w:rsid w:val="00852680"/>
    <w:rsid w:val="00852B85"/>
    <w:rsid w:val="00852C89"/>
    <w:rsid w:val="00852E68"/>
    <w:rsid w:val="008536BD"/>
    <w:rsid w:val="008537B1"/>
    <w:rsid w:val="00853D7B"/>
    <w:rsid w:val="008548EF"/>
    <w:rsid w:val="00854E23"/>
    <w:rsid w:val="00854E7F"/>
    <w:rsid w:val="008554FB"/>
    <w:rsid w:val="0085593D"/>
    <w:rsid w:val="00855CB9"/>
    <w:rsid w:val="00857047"/>
    <w:rsid w:val="00857DD7"/>
    <w:rsid w:val="00857E29"/>
    <w:rsid w:val="00857F19"/>
    <w:rsid w:val="008609FA"/>
    <w:rsid w:val="00860B92"/>
    <w:rsid w:val="00860EDB"/>
    <w:rsid w:val="00861352"/>
    <w:rsid w:val="00861405"/>
    <w:rsid w:val="0086195C"/>
    <w:rsid w:val="00862488"/>
    <w:rsid w:val="00862A9E"/>
    <w:rsid w:val="00862FDE"/>
    <w:rsid w:val="008636BC"/>
    <w:rsid w:val="00863841"/>
    <w:rsid w:val="00863AE0"/>
    <w:rsid w:val="00863B35"/>
    <w:rsid w:val="00863BEF"/>
    <w:rsid w:val="00863F9D"/>
    <w:rsid w:val="0086441E"/>
    <w:rsid w:val="0086504D"/>
    <w:rsid w:val="00865BB7"/>
    <w:rsid w:val="00866008"/>
    <w:rsid w:val="00866218"/>
    <w:rsid w:val="008662FD"/>
    <w:rsid w:val="0086646B"/>
    <w:rsid w:val="00866C15"/>
    <w:rsid w:val="00867278"/>
    <w:rsid w:val="00867289"/>
    <w:rsid w:val="00867DCD"/>
    <w:rsid w:val="00867EB3"/>
    <w:rsid w:val="008704D7"/>
    <w:rsid w:val="00870B25"/>
    <w:rsid w:val="00870D4A"/>
    <w:rsid w:val="008713CA"/>
    <w:rsid w:val="0087171D"/>
    <w:rsid w:val="00871C81"/>
    <w:rsid w:val="00872085"/>
    <w:rsid w:val="00872378"/>
    <w:rsid w:val="0087250C"/>
    <w:rsid w:val="00872A50"/>
    <w:rsid w:val="0087300F"/>
    <w:rsid w:val="0087307E"/>
    <w:rsid w:val="008730E4"/>
    <w:rsid w:val="00873518"/>
    <w:rsid w:val="008737C3"/>
    <w:rsid w:val="00874064"/>
    <w:rsid w:val="0087468C"/>
    <w:rsid w:val="008748B6"/>
    <w:rsid w:val="00874E34"/>
    <w:rsid w:val="00875FCA"/>
    <w:rsid w:val="00876064"/>
    <w:rsid w:val="008763EC"/>
    <w:rsid w:val="008764AE"/>
    <w:rsid w:val="008766FC"/>
    <w:rsid w:val="008772DB"/>
    <w:rsid w:val="0087752B"/>
    <w:rsid w:val="0088040F"/>
    <w:rsid w:val="008806DC"/>
    <w:rsid w:val="008812E6"/>
    <w:rsid w:val="0088206E"/>
    <w:rsid w:val="008825AE"/>
    <w:rsid w:val="00882A93"/>
    <w:rsid w:val="008833FF"/>
    <w:rsid w:val="008835A1"/>
    <w:rsid w:val="008836A9"/>
    <w:rsid w:val="0088446C"/>
    <w:rsid w:val="00884684"/>
    <w:rsid w:val="00884BFB"/>
    <w:rsid w:val="008859E7"/>
    <w:rsid w:val="0088614E"/>
    <w:rsid w:val="008867A8"/>
    <w:rsid w:val="00886864"/>
    <w:rsid w:val="00886A5E"/>
    <w:rsid w:val="00886E35"/>
    <w:rsid w:val="008871C1"/>
    <w:rsid w:val="0088767F"/>
    <w:rsid w:val="00887B80"/>
    <w:rsid w:val="00887C13"/>
    <w:rsid w:val="008902B6"/>
    <w:rsid w:val="0089071C"/>
    <w:rsid w:val="00890D03"/>
    <w:rsid w:val="00891E41"/>
    <w:rsid w:val="00891EEF"/>
    <w:rsid w:val="00892A2D"/>
    <w:rsid w:val="008949B8"/>
    <w:rsid w:val="00894FC7"/>
    <w:rsid w:val="00895B91"/>
    <w:rsid w:val="008973A1"/>
    <w:rsid w:val="0089749B"/>
    <w:rsid w:val="00897628"/>
    <w:rsid w:val="008A027F"/>
    <w:rsid w:val="008A1041"/>
    <w:rsid w:val="008A10E1"/>
    <w:rsid w:val="008A1F24"/>
    <w:rsid w:val="008A22E9"/>
    <w:rsid w:val="008A25DE"/>
    <w:rsid w:val="008A29C5"/>
    <w:rsid w:val="008A2AA2"/>
    <w:rsid w:val="008A2BF2"/>
    <w:rsid w:val="008A32AD"/>
    <w:rsid w:val="008A36D1"/>
    <w:rsid w:val="008A3B85"/>
    <w:rsid w:val="008A455D"/>
    <w:rsid w:val="008A47AA"/>
    <w:rsid w:val="008A4874"/>
    <w:rsid w:val="008A4D3F"/>
    <w:rsid w:val="008A56AE"/>
    <w:rsid w:val="008A5B11"/>
    <w:rsid w:val="008A5E75"/>
    <w:rsid w:val="008A6020"/>
    <w:rsid w:val="008A6217"/>
    <w:rsid w:val="008A6F4C"/>
    <w:rsid w:val="008A721D"/>
    <w:rsid w:val="008A76D2"/>
    <w:rsid w:val="008A7C62"/>
    <w:rsid w:val="008B0070"/>
    <w:rsid w:val="008B0295"/>
    <w:rsid w:val="008B031E"/>
    <w:rsid w:val="008B050C"/>
    <w:rsid w:val="008B0EA8"/>
    <w:rsid w:val="008B1179"/>
    <w:rsid w:val="008B17B8"/>
    <w:rsid w:val="008B1A03"/>
    <w:rsid w:val="008B20CA"/>
    <w:rsid w:val="008B211E"/>
    <w:rsid w:val="008B2C0A"/>
    <w:rsid w:val="008B2D16"/>
    <w:rsid w:val="008B3747"/>
    <w:rsid w:val="008B374D"/>
    <w:rsid w:val="008B37DE"/>
    <w:rsid w:val="008B3961"/>
    <w:rsid w:val="008B3BC2"/>
    <w:rsid w:val="008B41E9"/>
    <w:rsid w:val="008B4EAD"/>
    <w:rsid w:val="008B51DB"/>
    <w:rsid w:val="008B528C"/>
    <w:rsid w:val="008B5E5D"/>
    <w:rsid w:val="008B69A4"/>
    <w:rsid w:val="008B701D"/>
    <w:rsid w:val="008B7396"/>
    <w:rsid w:val="008B76CF"/>
    <w:rsid w:val="008B76F8"/>
    <w:rsid w:val="008C02FB"/>
    <w:rsid w:val="008C0730"/>
    <w:rsid w:val="008C07CA"/>
    <w:rsid w:val="008C0FB7"/>
    <w:rsid w:val="008C19F6"/>
    <w:rsid w:val="008C1B08"/>
    <w:rsid w:val="008C22FD"/>
    <w:rsid w:val="008C262B"/>
    <w:rsid w:val="008C2FD9"/>
    <w:rsid w:val="008C3243"/>
    <w:rsid w:val="008C3876"/>
    <w:rsid w:val="008C3F98"/>
    <w:rsid w:val="008C44EC"/>
    <w:rsid w:val="008C48D9"/>
    <w:rsid w:val="008C5080"/>
    <w:rsid w:val="008C56B0"/>
    <w:rsid w:val="008C592A"/>
    <w:rsid w:val="008C59A7"/>
    <w:rsid w:val="008C5A90"/>
    <w:rsid w:val="008C5E67"/>
    <w:rsid w:val="008C5F57"/>
    <w:rsid w:val="008C6046"/>
    <w:rsid w:val="008C6C2B"/>
    <w:rsid w:val="008D091C"/>
    <w:rsid w:val="008D1295"/>
    <w:rsid w:val="008D151E"/>
    <w:rsid w:val="008D2526"/>
    <w:rsid w:val="008D255D"/>
    <w:rsid w:val="008D2C96"/>
    <w:rsid w:val="008D2EBA"/>
    <w:rsid w:val="008D3267"/>
    <w:rsid w:val="008D32A1"/>
    <w:rsid w:val="008D3A4D"/>
    <w:rsid w:val="008D3C94"/>
    <w:rsid w:val="008D3F16"/>
    <w:rsid w:val="008D54C0"/>
    <w:rsid w:val="008D56FE"/>
    <w:rsid w:val="008D59A4"/>
    <w:rsid w:val="008D5BC3"/>
    <w:rsid w:val="008D64C8"/>
    <w:rsid w:val="008D6FFE"/>
    <w:rsid w:val="008D71E0"/>
    <w:rsid w:val="008D745F"/>
    <w:rsid w:val="008D7487"/>
    <w:rsid w:val="008D7A77"/>
    <w:rsid w:val="008D7C1A"/>
    <w:rsid w:val="008E108C"/>
    <w:rsid w:val="008E113A"/>
    <w:rsid w:val="008E1C0A"/>
    <w:rsid w:val="008E1C41"/>
    <w:rsid w:val="008E2023"/>
    <w:rsid w:val="008E2296"/>
    <w:rsid w:val="008E22C5"/>
    <w:rsid w:val="008E2736"/>
    <w:rsid w:val="008E2863"/>
    <w:rsid w:val="008E291F"/>
    <w:rsid w:val="008E2A35"/>
    <w:rsid w:val="008E2B7A"/>
    <w:rsid w:val="008E37F9"/>
    <w:rsid w:val="008E390E"/>
    <w:rsid w:val="008E3C9B"/>
    <w:rsid w:val="008E4361"/>
    <w:rsid w:val="008E4D8E"/>
    <w:rsid w:val="008E4F24"/>
    <w:rsid w:val="008E5090"/>
    <w:rsid w:val="008E60A5"/>
    <w:rsid w:val="008E6ED0"/>
    <w:rsid w:val="008E7169"/>
    <w:rsid w:val="008E75F7"/>
    <w:rsid w:val="008E7B02"/>
    <w:rsid w:val="008E7C8A"/>
    <w:rsid w:val="008F077C"/>
    <w:rsid w:val="008F0B1E"/>
    <w:rsid w:val="008F0EDA"/>
    <w:rsid w:val="008F144A"/>
    <w:rsid w:val="008F2DF7"/>
    <w:rsid w:val="008F31FC"/>
    <w:rsid w:val="008F34BA"/>
    <w:rsid w:val="008F3A56"/>
    <w:rsid w:val="008F3E6A"/>
    <w:rsid w:val="008F4784"/>
    <w:rsid w:val="008F4D26"/>
    <w:rsid w:val="008F547D"/>
    <w:rsid w:val="008F55A4"/>
    <w:rsid w:val="008F621F"/>
    <w:rsid w:val="008F661A"/>
    <w:rsid w:val="008F6E42"/>
    <w:rsid w:val="008F72AB"/>
    <w:rsid w:val="0090027E"/>
    <w:rsid w:val="0090028E"/>
    <w:rsid w:val="009006D9"/>
    <w:rsid w:val="00900AFB"/>
    <w:rsid w:val="009010D3"/>
    <w:rsid w:val="009014AA"/>
    <w:rsid w:val="00901872"/>
    <w:rsid w:val="00901CB6"/>
    <w:rsid w:val="00901D2C"/>
    <w:rsid w:val="0090203F"/>
    <w:rsid w:val="00903377"/>
    <w:rsid w:val="00903645"/>
    <w:rsid w:val="00903A53"/>
    <w:rsid w:val="00903A97"/>
    <w:rsid w:val="009040D5"/>
    <w:rsid w:val="009043DF"/>
    <w:rsid w:val="0090459F"/>
    <w:rsid w:val="009046BD"/>
    <w:rsid w:val="009047A7"/>
    <w:rsid w:val="00904B27"/>
    <w:rsid w:val="00904ED4"/>
    <w:rsid w:val="00904F09"/>
    <w:rsid w:val="00905D9A"/>
    <w:rsid w:val="0090610E"/>
    <w:rsid w:val="00906D2A"/>
    <w:rsid w:val="00907061"/>
    <w:rsid w:val="009075EB"/>
    <w:rsid w:val="00907FD1"/>
    <w:rsid w:val="009100A7"/>
    <w:rsid w:val="00910845"/>
    <w:rsid w:val="00910D6E"/>
    <w:rsid w:val="00911CA4"/>
    <w:rsid w:val="009121F3"/>
    <w:rsid w:val="00912D78"/>
    <w:rsid w:val="009130A6"/>
    <w:rsid w:val="00913F93"/>
    <w:rsid w:val="00914149"/>
    <w:rsid w:val="009141BB"/>
    <w:rsid w:val="00914392"/>
    <w:rsid w:val="009147C1"/>
    <w:rsid w:val="009149AA"/>
    <w:rsid w:val="00914C05"/>
    <w:rsid w:val="00915E61"/>
    <w:rsid w:val="00915FC9"/>
    <w:rsid w:val="00916F86"/>
    <w:rsid w:val="0091734D"/>
    <w:rsid w:val="0091785C"/>
    <w:rsid w:val="00917A32"/>
    <w:rsid w:val="0092025F"/>
    <w:rsid w:val="00920A30"/>
    <w:rsid w:val="00920CB5"/>
    <w:rsid w:val="00920E8E"/>
    <w:rsid w:val="009213BE"/>
    <w:rsid w:val="00921F49"/>
    <w:rsid w:val="0092256D"/>
    <w:rsid w:val="00923BD3"/>
    <w:rsid w:val="00923E85"/>
    <w:rsid w:val="00924607"/>
    <w:rsid w:val="009247B2"/>
    <w:rsid w:val="009249A4"/>
    <w:rsid w:val="00924E88"/>
    <w:rsid w:val="00924F20"/>
    <w:rsid w:val="009252A8"/>
    <w:rsid w:val="009254DF"/>
    <w:rsid w:val="00925CA7"/>
    <w:rsid w:val="00925F90"/>
    <w:rsid w:val="009268DA"/>
    <w:rsid w:val="00927871"/>
    <w:rsid w:val="009300C5"/>
    <w:rsid w:val="00930186"/>
    <w:rsid w:val="0093038F"/>
    <w:rsid w:val="0093049F"/>
    <w:rsid w:val="0093193C"/>
    <w:rsid w:val="00931EA4"/>
    <w:rsid w:val="0093254C"/>
    <w:rsid w:val="0093296F"/>
    <w:rsid w:val="00932C85"/>
    <w:rsid w:val="00932FFC"/>
    <w:rsid w:val="009332EC"/>
    <w:rsid w:val="0093354C"/>
    <w:rsid w:val="009336C1"/>
    <w:rsid w:val="00933724"/>
    <w:rsid w:val="00933E25"/>
    <w:rsid w:val="00933F78"/>
    <w:rsid w:val="00934835"/>
    <w:rsid w:val="00934D04"/>
    <w:rsid w:val="00934D6F"/>
    <w:rsid w:val="00935047"/>
    <w:rsid w:val="00935FA1"/>
    <w:rsid w:val="0093630B"/>
    <w:rsid w:val="00937026"/>
    <w:rsid w:val="009373E1"/>
    <w:rsid w:val="0093745F"/>
    <w:rsid w:val="009377EF"/>
    <w:rsid w:val="009379AB"/>
    <w:rsid w:val="00937A14"/>
    <w:rsid w:val="0094041F"/>
    <w:rsid w:val="009404EE"/>
    <w:rsid w:val="00940BBE"/>
    <w:rsid w:val="009412B1"/>
    <w:rsid w:val="00941B71"/>
    <w:rsid w:val="009427C6"/>
    <w:rsid w:val="0094330E"/>
    <w:rsid w:val="0094370C"/>
    <w:rsid w:val="00944A73"/>
    <w:rsid w:val="00944BF2"/>
    <w:rsid w:val="00944C62"/>
    <w:rsid w:val="00944D52"/>
    <w:rsid w:val="009450A9"/>
    <w:rsid w:val="0094563D"/>
    <w:rsid w:val="00945BD7"/>
    <w:rsid w:val="00945FB7"/>
    <w:rsid w:val="00946007"/>
    <w:rsid w:val="00946701"/>
    <w:rsid w:val="009469E0"/>
    <w:rsid w:val="00946AE7"/>
    <w:rsid w:val="00946BCF"/>
    <w:rsid w:val="009474E8"/>
    <w:rsid w:val="00947C38"/>
    <w:rsid w:val="009500F4"/>
    <w:rsid w:val="0095041D"/>
    <w:rsid w:val="0095301F"/>
    <w:rsid w:val="00953C21"/>
    <w:rsid w:val="009542AA"/>
    <w:rsid w:val="00954947"/>
    <w:rsid w:val="0095535B"/>
    <w:rsid w:val="0095564B"/>
    <w:rsid w:val="0095590B"/>
    <w:rsid w:val="00955E84"/>
    <w:rsid w:val="0095634C"/>
    <w:rsid w:val="009564C6"/>
    <w:rsid w:val="00957623"/>
    <w:rsid w:val="00957D0A"/>
    <w:rsid w:val="009603A0"/>
    <w:rsid w:val="009607EA"/>
    <w:rsid w:val="009608DB"/>
    <w:rsid w:val="00960DA6"/>
    <w:rsid w:val="00961569"/>
    <w:rsid w:val="0096161D"/>
    <w:rsid w:val="0096173B"/>
    <w:rsid w:val="00961FE8"/>
    <w:rsid w:val="009621DB"/>
    <w:rsid w:val="0096229D"/>
    <w:rsid w:val="009627DF"/>
    <w:rsid w:val="00962A66"/>
    <w:rsid w:val="00962DA1"/>
    <w:rsid w:val="00962F64"/>
    <w:rsid w:val="009630B9"/>
    <w:rsid w:val="0096341F"/>
    <w:rsid w:val="00963A5C"/>
    <w:rsid w:val="00963F3D"/>
    <w:rsid w:val="009652F9"/>
    <w:rsid w:val="0096611A"/>
    <w:rsid w:val="009666FC"/>
    <w:rsid w:val="00966F93"/>
    <w:rsid w:val="009670ED"/>
    <w:rsid w:val="00967176"/>
    <w:rsid w:val="009678EC"/>
    <w:rsid w:val="00970844"/>
    <w:rsid w:val="009709C3"/>
    <w:rsid w:val="00970B07"/>
    <w:rsid w:val="00971AC5"/>
    <w:rsid w:val="0097296A"/>
    <w:rsid w:val="0097306F"/>
    <w:rsid w:val="009742FC"/>
    <w:rsid w:val="0097463A"/>
    <w:rsid w:val="0097498A"/>
    <w:rsid w:val="00975360"/>
    <w:rsid w:val="00975B47"/>
    <w:rsid w:val="00975E22"/>
    <w:rsid w:val="00976910"/>
    <w:rsid w:val="009769F8"/>
    <w:rsid w:val="009771A6"/>
    <w:rsid w:val="009771AD"/>
    <w:rsid w:val="00977332"/>
    <w:rsid w:val="009774BB"/>
    <w:rsid w:val="0097789D"/>
    <w:rsid w:val="00980009"/>
    <w:rsid w:val="00980486"/>
    <w:rsid w:val="00980A26"/>
    <w:rsid w:val="00980A53"/>
    <w:rsid w:val="00980FA3"/>
    <w:rsid w:val="00981F22"/>
    <w:rsid w:val="009822DF"/>
    <w:rsid w:val="009838AC"/>
    <w:rsid w:val="00983AC5"/>
    <w:rsid w:val="00983EF3"/>
    <w:rsid w:val="00984136"/>
    <w:rsid w:val="009841C7"/>
    <w:rsid w:val="0098421F"/>
    <w:rsid w:val="00984B0A"/>
    <w:rsid w:val="0098517E"/>
    <w:rsid w:val="00985486"/>
    <w:rsid w:val="00985BFE"/>
    <w:rsid w:val="00985EBC"/>
    <w:rsid w:val="009862AD"/>
    <w:rsid w:val="009863D8"/>
    <w:rsid w:val="009864C0"/>
    <w:rsid w:val="0098665B"/>
    <w:rsid w:val="0098706E"/>
    <w:rsid w:val="00987ADF"/>
    <w:rsid w:val="00990043"/>
    <w:rsid w:val="0099006C"/>
    <w:rsid w:val="009900D0"/>
    <w:rsid w:val="0099017D"/>
    <w:rsid w:val="009904EF"/>
    <w:rsid w:val="00990E1C"/>
    <w:rsid w:val="009911C7"/>
    <w:rsid w:val="009914E0"/>
    <w:rsid w:val="009915B4"/>
    <w:rsid w:val="00991732"/>
    <w:rsid w:val="00991D81"/>
    <w:rsid w:val="00992256"/>
    <w:rsid w:val="009927F0"/>
    <w:rsid w:val="00992C87"/>
    <w:rsid w:val="0099378E"/>
    <w:rsid w:val="009937E6"/>
    <w:rsid w:val="0099406E"/>
    <w:rsid w:val="00994240"/>
    <w:rsid w:val="0099461D"/>
    <w:rsid w:val="00994FD4"/>
    <w:rsid w:val="009958F1"/>
    <w:rsid w:val="009968EF"/>
    <w:rsid w:val="00996BEB"/>
    <w:rsid w:val="0099720D"/>
    <w:rsid w:val="0099762D"/>
    <w:rsid w:val="00997F8E"/>
    <w:rsid w:val="009A016C"/>
    <w:rsid w:val="009A066F"/>
    <w:rsid w:val="009A080B"/>
    <w:rsid w:val="009A0EA3"/>
    <w:rsid w:val="009A12B1"/>
    <w:rsid w:val="009A133D"/>
    <w:rsid w:val="009A1343"/>
    <w:rsid w:val="009A14C0"/>
    <w:rsid w:val="009A1940"/>
    <w:rsid w:val="009A2122"/>
    <w:rsid w:val="009A264D"/>
    <w:rsid w:val="009A2CBA"/>
    <w:rsid w:val="009A2CF8"/>
    <w:rsid w:val="009A2F62"/>
    <w:rsid w:val="009A33B6"/>
    <w:rsid w:val="009A342E"/>
    <w:rsid w:val="009A354A"/>
    <w:rsid w:val="009A35B7"/>
    <w:rsid w:val="009A3B14"/>
    <w:rsid w:val="009A4633"/>
    <w:rsid w:val="009A4D82"/>
    <w:rsid w:val="009A50E7"/>
    <w:rsid w:val="009A5C6B"/>
    <w:rsid w:val="009A647E"/>
    <w:rsid w:val="009A6650"/>
    <w:rsid w:val="009A6797"/>
    <w:rsid w:val="009A6DCF"/>
    <w:rsid w:val="009A76F6"/>
    <w:rsid w:val="009A7D44"/>
    <w:rsid w:val="009B07D2"/>
    <w:rsid w:val="009B0A7E"/>
    <w:rsid w:val="009B100B"/>
    <w:rsid w:val="009B1563"/>
    <w:rsid w:val="009B1875"/>
    <w:rsid w:val="009B1E1D"/>
    <w:rsid w:val="009B23A1"/>
    <w:rsid w:val="009B269D"/>
    <w:rsid w:val="009B281F"/>
    <w:rsid w:val="009B2AF0"/>
    <w:rsid w:val="009B2F0E"/>
    <w:rsid w:val="009B33AF"/>
    <w:rsid w:val="009B3522"/>
    <w:rsid w:val="009B39C3"/>
    <w:rsid w:val="009B474E"/>
    <w:rsid w:val="009B4E82"/>
    <w:rsid w:val="009B4E92"/>
    <w:rsid w:val="009B5BFB"/>
    <w:rsid w:val="009B5EBC"/>
    <w:rsid w:val="009B6C3C"/>
    <w:rsid w:val="009B7B1D"/>
    <w:rsid w:val="009B7D16"/>
    <w:rsid w:val="009C10C8"/>
    <w:rsid w:val="009C12A4"/>
    <w:rsid w:val="009C153E"/>
    <w:rsid w:val="009C18EF"/>
    <w:rsid w:val="009C1E06"/>
    <w:rsid w:val="009C280B"/>
    <w:rsid w:val="009C2911"/>
    <w:rsid w:val="009C2B15"/>
    <w:rsid w:val="009C2C9E"/>
    <w:rsid w:val="009C2E9B"/>
    <w:rsid w:val="009C3217"/>
    <w:rsid w:val="009C3F37"/>
    <w:rsid w:val="009C4049"/>
    <w:rsid w:val="009C41C6"/>
    <w:rsid w:val="009C44A1"/>
    <w:rsid w:val="009C478E"/>
    <w:rsid w:val="009C485B"/>
    <w:rsid w:val="009C49B7"/>
    <w:rsid w:val="009C522C"/>
    <w:rsid w:val="009C54F0"/>
    <w:rsid w:val="009C58E5"/>
    <w:rsid w:val="009C5DD7"/>
    <w:rsid w:val="009C631E"/>
    <w:rsid w:val="009C64A8"/>
    <w:rsid w:val="009C6587"/>
    <w:rsid w:val="009C6B44"/>
    <w:rsid w:val="009C6B48"/>
    <w:rsid w:val="009C6F23"/>
    <w:rsid w:val="009C722A"/>
    <w:rsid w:val="009C76ED"/>
    <w:rsid w:val="009D0682"/>
    <w:rsid w:val="009D1CC7"/>
    <w:rsid w:val="009D23BE"/>
    <w:rsid w:val="009D23F2"/>
    <w:rsid w:val="009D2830"/>
    <w:rsid w:val="009D2E6A"/>
    <w:rsid w:val="009D2F44"/>
    <w:rsid w:val="009D32E8"/>
    <w:rsid w:val="009D4BC4"/>
    <w:rsid w:val="009D621D"/>
    <w:rsid w:val="009D7F93"/>
    <w:rsid w:val="009E059A"/>
    <w:rsid w:val="009E06AA"/>
    <w:rsid w:val="009E0D2C"/>
    <w:rsid w:val="009E1193"/>
    <w:rsid w:val="009E11C4"/>
    <w:rsid w:val="009E1B23"/>
    <w:rsid w:val="009E1D62"/>
    <w:rsid w:val="009E2249"/>
    <w:rsid w:val="009E2B4F"/>
    <w:rsid w:val="009E2D81"/>
    <w:rsid w:val="009E2F25"/>
    <w:rsid w:val="009E39B9"/>
    <w:rsid w:val="009E3D44"/>
    <w:rsid w:val="009E44F1"/>
    <w:rsid w:val="009E4CAE"/>
    <w:rsid w:val="009E538C"/>
    <w:rsid w:val="009E630D"/>
    <w:rsid w:val="009E79BA"/>
    <w:rsid w:val="009E7A24"/>
    <w:rsid w:val="009E7C59"/>
    <w:rsid w:val="009E7C94"/>
    <w:rsid w:val="009E7DB9"/>
    <w:rsid w:val="009F01A0"/>
    <w:rsid w:val="009F06B3"/>
    <w:rsid w:val="009F0AAF"/>
    <w:rsid w:val="009F111A"/>
    <w:rsid w:val="009F13A7"/>
    <w:rsid w:val="009F1501"/>
    <w:rsid w:val="009F1A0B"/>
    <w:rsid w:val="009F1BD3"/>
    <w:rsid w:val="009F2CB6"/>
    <w:rsid w:val="009F2CB7"/>
    <w:rsid w:val="009F2EEF"/>
    <w:rsid w:val="009F33D5"/>
    <w:rsid w:val="009F34E1"/>
    <w:rsid w:val="009F3670"/>
    <w:rsid w:val="009F3809"/>
    <w:rsid w:val="009F39CB"/>
    <w:rsid w:val="009F43B8"/>
    <w:rsid w:val="009F509D"/>
    <w:rsid w:val="009F5377"/>
    <w:rsid w:val="009F56A7"/>
    <w:rsid w:val="009F5FBB"/>
    <w:rsid w:val="009F613F"/>
    <w:rsid w:val="009F63FB"/>
    <w:rsid w:val="009F6501"/>
    <w:rsid w:val="009F650C"/>
    <w:rsid w:val="009F67FB"/>
    <w:rsid w:val="009F6CCC"/>
    <w:rsid w:val="009F7601"/>
    <w:rsid w:val="009F7737"/>
    <w:rsid w:val="00A008CD"/>
    <w:rsid w:val="00A00949"/>
    <w:rsid w:val="00A00E1D"/>
    <w:rsid w:val="00A0159D"/>
    <w:rsid w:val="00A01C8B"/>
    <w:rsid w:val="00A02C0E"/>
    <w:rsid w:val="00A03488"/>
    <w:rsid w:val="00A03576"/>
    <w:rsid w:val="00A039BF"/>
    <w:rsid w:val="00A03B46"/>
    <w:rsid w:val="00A04235"/>
    <w:rsid w:val="00A045EF"/>
    <w:rsid w:val="00A04D48"/>
    <w:rsid w:val="00A04DB0"/>
    <w:rsid w:val="00A05043"/>
    <w:rsid w:val="00A0576F"/>
    <w:rsid w:val="00A05B39"/>
    <w:rsid w:val="00A05E77"/>
    <w:rsid w:val="00A05F92"/>
    <w:rsid w:val="00A06419"/>
    <w:rsid w:val="00A06958"/>
    <w:rsid w:val="00A07576"/>
    <w:rsid w:val="00A07D35"/>
    <w:rsid w:val="00A07EFC"/>
    <w:rsid w:val="00A10445"/>
    <w:rsid w:val="00A10601"/>
    <w:rsid w:val="00A107A9"/>
    <w:rsid w:val="00A108C9"/>
    <w:rsid w:val="00A10AC6"/>
    <w:rsid w:val="00A11920"/>
    <w:rsid w:val="00A11EA5"/>
    <w:rsid w:val="00A120CE"/>
    <w:rsid w:val="00A12484"/>
    <w:rsid w:val="00A135DF"/>
    <w:rsid w:val="00A13B39"/>
    <w:rsid w:val="00A13F6C"/>
    <w:rsid w:val="00A1458B"/>
    <w:rsid w:val="00A14762"/>
    <w:rsid w:val="00A14AF8"/>
    <w:rsid w:val="00A14B8F"/>
    <w:rsid w:val="00A14E86"/>
    <w:rsid w:val="00A15B12"/>
    <w:rsid w:val="00A15CA5"/>
    <w:rsid w:val="00A15FD6"/>
    <w:rsid w:val="00A1634C"/>
    <w:rsid w:val="00A16EBB"/>
    <w:rsid w:val="00A17097"/>
    <w:rsid w:val="00A171E7"/>
    <w:rsid w:val="00A174EC"/>
    <w:rsid w:val="00A177D2"/>
    <w:rsid w:val="00A17932"/>
    <w:rsid w:val="00A17C22"/>
    <w:rsid w:val="00A20348"/>
    <w:rsid w:val="00A2070C"/>
    <w:rsid w:val="00A21F37"/>
    <w:rsid w:val="00A21F4E"/>
    <w:rsid w:val="00A21FCA"/>
    <w:rsid w:val="00A224A1"/>
    <w:rsid w:val="00A22A7C"/>
    <w:rsid w:val="00A233E6"/>
    <w:rsid w:val="00A2420E"/>
    <w:rsid w:val="00A24736"/>
    <w:rsid w:val="00A2476B"/>
    <w:rsid w:val="00A2481C"/>
    <w:rsid w:val="00A24896"/>
    <w:rsid w:val="00A25058"/>
    <w:rsid w:val="00A25467"/>
    <w:rsid w:val="00A25D0A"/>
    <w:rsid w:val="00A26892"/>
    <w:rsid w:val="00A26E3E"/>
    <w:rsid w:val="00A27306"/>
    <w:rsid w:val="00A27336"/>
    <w:rsid w:val="00A27E4E"/>
    <w:rsid w:val="00A27F0F"/>
    <w:rsid w:val="00A30141"/>
    <w:rsid w:val="00A3016D"/>
    <w:rsid w:val="00A30846"/>
    <w:rsid w:val="00A30C6C"/>
    <w:rsid w:val="00A30D49"/>
    <w:rsid w:val="00A3193B"/>
    <w:rsid w:val="00A31AF7"/>
    <w:rsid w:val="00A31C4A"/>
    <w:rsid w:val="00A3201A"/>
    <w:rsid w:val="00A32C3E"/>
    <w:rsid w:val="00A32E05"/>
    <w:rsid w:val="00A32FA2"/>
    <w:rsid w:val="00A33ED3"/>
    <w:rsid w:val="00A34447"/>
    <w:rsid w:val="00A35151"/>
    <w:rsid w:val="00A356F2"/>
    <w:rsid w:val="00A35882"/>
    <w:rsid w:val="00A35CE8"/>
    <w:rsid w:val="00A363F4"/>
    <w:rsid w:val="00A3661A"/>
    <w:rsid w:val="00A36BAD"/>
    <w:rsid w:val="00A36E1C"/>
    <w:rsid w:val="00A37317"/>
    <w:rsid w:val="00A37674"/>
    <w:rsid w:val="00A37C25"/>
    <w:rsid w:val="00A37C6F"/>
    <w:rsid w:val="00A37F6A"/>
    <w:rsid w:val="00A412CC"/>
    <w:rsid w:val="00A41CC2"/>
    <w:rsid w:val="00A4252C"/>
    <w:rsid w:val="00A42C3B"/>
    <w:rsid w:val="00A4300E"/>
    <w:rsid w:val="00A4332D"/>
    <w:rsid w:val="00A434F4"/>
    <w:rsid w:val="00A43ECE"/>
    <w:rsid w:val="00A442AD"/>
    <w:rsid w:val="00A457D0"/>
    <w:rsid w:val="00A45EB2"/>
    <w:rsid w:val="00A464A1"/>
    <w:rsid w:val="00A46D47"/>
    <w:rsid w:val="00A472C3"/>
    <w:rsid w:val="00A47336"/>
    <w:rsid w:val="00A501B6"/>
    <w:rsid w:val="00A50555"/>
    <w:rsid w:val="00A508E1"/>
    <w:rsid w:val="00A5093D"/>
    <w:rsid w:val="00A50B46"/>
    <w:rsid w:val="00A50FD4"/>
    <w:rsid w:val="00A5118A"/>
    <w:rsid w:val="00A5224E"/>
    <w:rsid w:val="00A522EF"/>
    <w:rsid w:val="00A5259B"/>
    <w:rsid w:val="00A52720"/>
    <w:rsid w:val="00A52EC5"/>
    <w:rsid w:val="00A53AF5"/>
    <w:rsid w:val="00A542A3"/>
    <w:rsid w:val="00A54342"/>
    <w:rsid w:val="00A55445"/>
    <w:rsid w:val="00A554C9"/>
    <w:rsid w:val="00A55595"/>
    <w:rsid w:val="00A556AA"/>
    <w:rsid w:val="00A5589A"/>
    <w:rsid w:val="00A55A91"/>
    <w:rsid w:val="00A55D7C"/>
    <w:rsid w:val="00A55E9C"/>
    <w:rsid w:val="00A56112"/>
    <w:rsid w:val="00A5642F"/>
    <w:rsid w:val="00A569E6"/>
    <w:rsid w:val="00A56A36"/>
    <w:rsid w:val="00A56EFE"/>
    <w:rsid w:val="00A56F4B"/>
    <w:rsid w:val="00A57000"/>
    <w:rsid w:val="00A570D9"/>
    <w:rsid w:val="00A57188"/>
    <w:rsid w:val="00A5729E"/>
    <w:rsid w:val="00A573E9"/>
    <w:rsid w:val="00A57671"/>
    <w:rsid w:val="00A57704"/>
    <w:rsid w:val="00A57813"/>
    <w:rsid w:val="00A60361"/>
    <w:rsid w:val="00A604FF"/>
    <w:rsid w:val="00A6094F"/>
    <w:rsid w:val="00A60DDC"/>
    <w:rsid w:val="00A6174A"/>
    <w:rsid w:val="00A61AA3"/>
    <w:rsid w:val="00A61BC2"/>
    <w:rsid w:val="00A62490"/>
    <w:rsid w:val="00A62540"/>
    <w:rsid w:val="00A626F4"/>
    <w:rsid w:val="00A62A92"/>
    <w:rsid w:val="00A62AB6"/>
    <w:rsid w:val="00A638E4"/>
    <w:rsid w:val="00A64831"/>
    <w:rsid w:val="00A6484E"/>
    <w:rsid w:val="00A64C15"/>
    <w:rsid w:val="00A64C49"/>
    <w:rsid w:val="00A6520E"/>
    <w:rsid w:val="00A65510"/>
    <w:rsid w:val="00A65855"/>
    <w:rsid w:val="00A65A40"/>
    <w:rsid w:val="00A65D59"/>
    <w:rsid w:val="00A660E9"/>
    <w:rsid w:val="00A666ED"/>
    <w:rsid w:val="00A66A00"/>
    <w:rsid w:val="00A66FEA"/>
    <w:rsid w:val="00A701E7"/>
    <w:rsid w:val="00A70373"/>
    <w:rsid w:val="00A70549"/>
    <w:rsid w:val="00A7065E"/>
    <w:rsid w:val="00A70B6E"/>
    <w:rsid w:val="00A71E89"/>
    <w:rsid w:val="00A71F86"/>
    <w:rsid w:val="00A73599"/>
    <w:rsid w:val="00A73BA5"/>
    <w:rsid w:val="00A74B0F"/>
    <w:rsid w:val="00A74CE8"/>
    <w:rsid w:val="00A7528C"/>
    <w:rsid w:val="00A752C9"/>
    <w:rsid w:val="00A7555D"/>
    <w:rsid w:val="00A755BE"/>
    <w:rsid w:val="00A76153"/>
    <w:rsid w:val="00A76565"/>
    <w:rsid w:val="00A76ACD"/>
    <w:rsid w:val="00A76F9D"/>
    <w:rsid w:val="00A77795"/>
    <w:rsid w:val="00A77BF3"/>
    <w:rsid w:val="00A77E6C"/>
    <w:rsid w:val="00A80181"/>
    <w:rsid w:val="00A81724"/>
    <w:rsid w:val="00A81A4F"/>
    <w:rsid w:val="00A81DDA"/>
    <w:rsid w:val="00A820AA"/>
    <w:rsid w:val="00A82668"/>
    <w:rsid w:val="00A82F70"/>
    <w:rsid w:val="00A8325C"/>
    <w:rsid w:val="00A83285"/>
    <w:rsid w:val="00A832AB"/>
    <w:rsid w:val="00A83B70"/>
    <w:rsid w:val="00A845A6"/>
    <w:rsid w:val="00A84BE9"/>
    <w:rsid w:val="00A84E3B"/>
    <w:rsid w:val="00A869E5"/>
    <w:rsid w:val="00A86BB6"/>
    <w:rsid w:val="00A86E49"/>
    <w:rsid w:val="00A8780B"/>
    <w:rsid w:val="00A87E2B"/>
    <w:rsid w:val="00A9056D"/>
    <w:rsid w:val="00A9071B"/>
    <w:rsid w:val="00A907CB"/>
    <w:rsid w:val="00A91244"/>
    <w:rsid w:val="00A91509"/>
    <w:rsid w:val="00A919F7"/>
    <w:rsid w:val="00A91CE0"/>
    <w:rsid w:val="00A91DD8"/>
    <w:rsid w:val="00A92F76"/>
    <w:rsid w:val="00A9517A"/>
    <w:rsid w:val="00A95A48"/>
    <w:rsid w:val="00A96807"/>
    <w:rsid w:val="00A968D8"/>
    <w:rsid w:val="00A97101"/>
    <w:rsid w:val="00A9726C"/>
    <w:rsid w:val="00A97C34"/>
    <w:rsid w:val="00A97EB0"/>
    <w:rsid w:val="00AA01FB"/>
    <w:rsid w:val="00AA0398"/>
    <w:rsid w:val="00AA0778"/>
    <w:rsid w:val="00AA0888"/>
    <w:rsid w:val="00AA093A"/>
    <w:rsid w:val="00AA0FB4"/>
    <w:rsid w:val="00AA0FE0"/>
    <w:rsid w:val="00AA1A89"/>
    <w:rsid w:val="00AA2118"/>
    <w:rsid w:val="00AA23E0"/>
    <w:rsid w:val="00AA2E53"/>
    <w:rsid w:val="00AA35A5"/>
    <w:rsid w:val="00AA3B50"/>
    <w:rsid w:val="00AA3BD1"/>
    <w:rsid w:val="00AA40DA"/>
    <w:rsid w:val="00AA4EC5"/>
    <w:rsid w:val="00AA651D"/>
    <w:rsid w:val="00AA6C6D"/>
    <w:rsid w:val="00AA6D0D"/>
    <w:rsid w:val="00AA6EA6"/>
    <w:rsid w:val="00AA6F2E"/>
    <w:rsid w:val="00AA7197"/>
    <w:rsid w:val="00AA73D2"/>
    <w:rsid w:val="00AA75F2"/>
    <w:rsid w:val="00AA77A0"/>
    <w:rsid w:val="00AA77B1"/>
    <w:rsid w:val="00AA797E"/>
    <w:rsid w:val="00AA7AB6"/>
    <w:rsid w:val="00AA7B6B"/>
    <w:rsid w:val="00AB0086"/>
    <w:rsid w:val="00AB05FC"/>
    <w:rsid w:val="00AB0A2D"/>
    <w:rsid w:val="00AB107B"/>
    <w:rsid w:val="00AB12AD"/>
    <w:rsid w:val="00AB1EFA"/>
    <w:rsid w:val="00AB2100"/>
    <w:rsid w:val="00AB2491"/>
    <w:rsid w:val="00AB251C"/>
    <w:rsid w:val="00AB2555"/>
    <w:rsid w:val="00AB2D6E"/>
    <w:rsid w:val="00AB36F2"/>
    <w:rsid w:val="00AB3EE3"/>
    <w:rsid w:val="00AB42A8"/>
    <w:rsid w:val="00AB4F3E"/>
    <w:rsid w:val="00AB53C8"/>
    <w:rsid w:val="00AB5945"/>
    <w:rsid w:val="00AB6B6D"/>
    <w:rsid w:val="00AB702D"/>
    <w:rsid w:val="00AB7209"/>
    <w:rsid w:val="00AB7392"/>
    <w:rsid w:val="00AB75B8"/>
    <w:rsid w:val="00AB787D"/>
    <w:rsid w:val="00AB7A12"/>
    <w:rsid w:val="00AB7D74"/>
    <w:rsid w:val="00AC0145"/>
    <w:rsid w:val="00AC0E24"/>
    <w:rsid w:val="00AC118D"/>
    <w:rsid w:val="00AC1548"/>
    <w:rsid w:val="00AC1FB6"/>
    <w:rsid w:val="00AC2961"/>
    <w:rsid w:val="00AC2C1F"/>
    <w:rsid w:val="00AC2EC8"/>
    <w:rsid w:val="00AC2FCB"/>
    <w:rsid w:val="00AC342D"/>
    <w:rsid w:val="00AC3994"/>
    <w:rsid w:val="00AC3CBF"/>
    <w:rsid w:val="00AC3EE0"/>
    <w:rsid w:val="00AC3F50"/>
    <w:rsid w:val="00AC4EFD"/>
    <w:rsid w:val="00AC5355"/>
    <w:rsid w:val="00AC5979"/>
    <w:rsid w:val="00AC5D8D"/>
    <w:rsid w:val="00AC5E35"/>
    <w:rsid w:val="00AC5E88"/>
    <w:rsid w:val="00AC5FDA"/>
    <w:rsid w:val="00AC62A0"/>
    <w:rsid w:val="00AC645D"/>
    <w:rsid w:val="00AC6CE1"/>
    <w:rsid w:val="00AC6D79"/>
    <w:rsid w:val="00AC72ED"/>
    <w:rsid w:val="00AC75D8"/>
    <w:rsid w:val="00AC77F2"/>
    <w:rsid w:val="00AD00CC"/>
    <w:rsid w:val="00AD089C"/>
    <w:rsid w:val="00AD08B3"/>
    <w:rsid w:val="00AD093C"/>
    <w:rsid w:val="00AD0D80"/>
    <w:rsid w:val="00AD1008"/>
    <w:rsid w:val="00AD19DD"/>
    <w:rsid w:val="00AD1ECE"/>
    <w:rsid w:val="00AD2575"/>
    <w:rsid w:val="00AD32BF"/>
    <w:rsid w:val="00AD3BDC"/>
    <w:rsid w:val="00AD3F4C"/>
    <w:rsid w:val="00AD4ECE"/>
    <w:rsid w:val="00AD4F39"/>
    <w:rsid w:val="00AD4FF0"/>
    <w:rsid w:val="00AD5178"/>
    <w:rsid w:val="00AD5755"/>
    <w:rsid w:val="00AD62E8"/>
    <w:rsid w:val="00AD667B"/>
    <w:rsid w:val="00AD6C58"/>
    <w:rsid w:val="00AD722E"/>
    <w:rsid w:val="00AD7565"/>
    <w:rsid w:val="00AE03F1"/>
    <w:rsid w:val="00AE069C"/>
    <w:rsid w:val="00AE0914"/>
    <w:rsid w:val="00AE0CBF"/>
    <w:rsid w:val="00AE0F5E"/>
    <w:rsid w:val="00AE1491"/>
    <w:rsid w:val="00AE19AC"/>
    <w:rsid w:val="00AE2528"/>
    <w:rsid w:val="00AE2548"/>
    <w:rsid w:val="00AE2749"/>
    <w:rsid w:val="00AE2AB0"/>
    <w:rsid w:val="00AE2F58"/>
    <w:rsid w:val="00AE3339"/>
    <w:rsid w:val="00AE35EF"/>
    <w:rsid w:val="00AE4DFF"/>
    <w:rsid w:val="00AE535C"/>
    <w:rsid w:val="00AE598B"/>
    <w:rsid w:val="00AE59FB"/>
    <w:rsid w:val="00AE5FCA"/>
    <w:rsid w:val="00AE60FD"/>
    <w:rsid w:val="00AE62FF"/>
    <w:rsid w:val="00AE76AB"/>
    <w:rsid w:val="00AE7A2D"/>
    <w:rsid w:val="00AF0504"/>
    <w:rsid w:val="00AF059C"/>
    <w:rsid w:val="00AF1D39"/>
    <w:rsid w:val="00AF1DE0"/>
    <w:rsid w:val="00AF3715"/>
    <w:rsid w:val="00AF44E4"/>
    <w:rsid w:val="00AF5160"/>
    <w:rsid w:val="00AF57D7"/>
    <w:rsid w:val="00AF5897"/>
    <w:rsid w:val="00AF5B30"/>
    <w:rsid w:val="00AF607F"/>
    <w:rsid w:val="00AF6126"/>
    <w:rsid w:val="00AF6213"/>
    <w:rsid w:val="00AF6493"/>
    <w:rsid w:val="00AF6499"/>
    <w:rsid w:val="00AF65CF"/>
    <w:rsid w:val="00AF6B58"/>
    <w:rsid w:val="00AF6CE0"/>
    <w:rsid w:val="00AF6D90"/>
    <w:rsid w:val="00AF76A2"/>
    <w:rsid w:val="00AF78AA"/>
    <w:rsid w:val="00AF7A08"/>
    <w:rsid w:val="00AF7AD4"/>
    <w:rsid w:val="00AF7C7C"/>
    <w:rsid w:val="00B0024E"/>
    <w:rsid w:val="00B0076B"/>
    <w:rsid w:val="00B01192"/>
    <w:rsid w:val="00B012F6"/>
    <w:rsid w:val="00B01373"/>
    <w:rsid w:val="00B013D9"/>
    <w:rsid w:val="00B01734"/>
    <w:rsid w:val="00B01AD2"/>
    <w:rsid w:val="00B01BFE"/>
    <w:rsid w:val="00B02A9F"/>
    <w:rsid w:val="00B030D0"/>
    <w:rsid w:val="00B0352A"/>
    <w:rsid w:val="00B0365F"/>
    <w:rsid w:val="00B036D4"/>
    <w:rsid w:val="00B03C0E"/>
    <w:rsid w:val="00B040B5"/>
    <w:rsid w:val="00B04457"/>
    <w:rsid w:val="00B047D1"/>
    <w:rsid w:val="00B04953"/>
    <w:rsid w:val="00B04D81"/>
    <w:rsid w:val="00B04EC0"/>
    <w:rsid w:val="00B062AD"/>
    <w:rsid w:val="00B06DF6"/>
    <w:rsid w:val="00B07D3D"/>
    <w:rsid w:val="00B07D97"/>
    <w:rsid w:val="00B07E79"/>
    <w:rsid w:val="00B104F9"/>
    <w:rsid w:val="00B10927"/>
    <w:rsid w:val="00B1126B"/>
    <w:rsid w:val="00B113E3"/>
    <w:rsid w:val="00B12023"/>
    <w:rsid w:val="00B127CD"/>
    <w:rsid w:val="00B127DD"/>
    <w:rsid w:val="00B12889"/>
    <w:rsid w:val="00B14142"/>
    <w:rsid w:val="00B142B6"/>
    <w:rsid w:val="00B14548"/>
    <w:rsid w:val="00B15170"/>
    <w:rsid w:val="00B15E90"/>
    <w:rsid w:val="00B16425"/>
    <w:rsid w:val="00B16C23"/>
    <w:rsid w:val="00B1760C"/>
    <w:rsid w:val="00B17A51"/>
    <w:rsid w:val="00B17CDF"/>
    <w:rsid w:val="00B17FD3"/>
    <w:rsid w:val="00B17FD6"/>
    <w:rsid w:val="00B20380"/>
    <w:rsid w:val="00B20511"/>
    <w:rsid w:val="00B2093E"/>
    <w:rsid w:val="00B20C3B"/>
    <w:rsid w:val="00B21261"/>
    <w:rsid w:val="00B21408"/>
    <w:rsid w:val="00B214F7"/>
    <w:rsid w:val="00B22DD2"/>
    <w:rsid w:val="00B23366"/>
    <w:rsid w:val="00B235A6"/>
    <w:rsid w:val="00B23F97"/>
    <w:rsid w:val="00B23FA1"/>
    <w:rsid w:val="00B248EA"/>
    <w:rsid w:val="00B24A14"/>
    <w:rsid w:val="00B255E8"/>
    <w:rsid w:val="00B257CF"/>
    <w:rsid w:val="00B25B26"/>
    <w:rsid w:val="00B25D10"/>
    <w:rsid w:val="00B267B7"/>
    <w:rsid w:val="00B26B5C"/>
    <w:rsid w:val="00B26D99"/>
    <w:rsid w:val="00B27357"/>
    <w:rsid w:val="00B2735A"/>
    <w:rsid w:val="00B27EF0"/>
    <w:rsid w:val="00B30291"/>
    <w:rsid w:val="00B3072A"/>
    <w:rsid w:val="00B308A5"/>
    <w:rsid w:val="00B30E18"/>
    <w:rsid w:val="00B31553"/>
    <w:rsid w:val="00B3307B"/>
    <w:rsid w:val="00B33681"/>
    <w:rsid w:val="00B33D2B"/>
    <w:rsid w:val="00B34A1E"/>
    <w:rsid w:val="00B34AE4"/>
    <w:rsid w:val="00B34B39"/>
    <w:rsid w:val="00B34CC1"/>
    <w:rsid w:val="00B353A3"/>
    <w:rsid w:val="00B35A10"/>
    <w:rsid w:val="00B35BF5"/>
    <w:rsid w:val="00B35EEB"/>
    <w:rsid w:val="00B35F74"/>
    <w:rsid w:val="00B36130"/>
    <w:rsid w:val="00B3763B"/>
    <w:rsid w:val="00B37B1F"/>
    <w:rsid w:val="00B37E7D"/>
    <w:rsid w:val="00B408F8"/>
    <w:rsid w:val="00B40A90"/>
    <w:rsid w:val="00B41442"/>
    <w:rsid w:val="00B41C49"/>
    <w:rsid w:val="00B41C68"/>
    <w:rsid w:val="00B42346"/>
    <w:rsid w:val="00B425A0"/>
    <w:rsid w:val="00B4271E"/>
    <w:rsid w:val="00B427F0"/>
    <w:rsid w:val="00B42F36"/>
    <w:rsid w:val="00B42FF3"/>
    <w:rsid w:val="00B42FF9"/>
    <w:rsid w:val="00B44563"/>
    <w:rsid w:val="00B4507A"/>
    <w:rsid w:val="00B4540D"/>
    <w:rsid w:val="00B45554"/>
    <w:rsid w:val="00B45D47"/>
    <w:rsid w:val="00B46667"/>
    <w:rsid w:val="00B46D3D"/>
    <w:rsid w:val="00B46EA2"/>
    <w:rsid w:val="00B4703A"/>
    <w:rsid w:val="00B47958"/>
    <w:rsid w:val="00B5000F"/>
    <w:rsid w:val="00B5019D"/>
    <w:rsid w:val="00B502DC"/>
    <w:rsid w:val="00B506F3"/>
    <w:rsid w:val="00B50D4B"/>
    <w:rsid w:val="00B51C17"/>
    <w:rsid w:val="00B51FE8"/>
    <w:rsid w:val="00B52126"/>
    <w:rsid w:val="00B52365"/>
    <w:rsid w:val="00B524EC"/>
    <w:rsid w:val="00B52EC5"/>
    <w:rsid w:val="00B53FA5"/>
    <w:rsid w:val="00B53FE4"/>
    <w:rsid w:val="00B540A9"/>
    <w:rsid w:val="00B54216"/>
    <w:rsid w:val="00B547F8"/>
    <w:rsid w:val="00B548FF"/>
    <w:rsid w:val="00B54EF6"/>
    <w:rsid w:val="00B55731"/>
    <w:rsid w:val="00B55BC0"/>
    <w:rsid w:val="00B55D79"/>
    <w:rsid w:val="00B55F32"/>
    <w:rsid w:val="00B56C2C"/>
    <w:rsid w:val="00B574D3"/>
    <w:rsid w:val="00B575E6"/>
    <w:rsid w:val="00B57AD1"/>
    <w:rsid w:val="00B57B0D"/>
    <w:rsid w:val="00B57C68"/>
    <w:rsid w:val="00B60167"/>
    <w:rsid w:val="00B608FB"/>
    <w:rsid w:val="00B60CB2"/>
    <w:rsid w:val="00B61114"/>
    <w:rsid w:val="00B613AB"/>
    <w:rsid w:val="00B61D77"/>
    <w:rsid w:val="00B623E2"/>
    <w:rsid w:val="00B62427"/>
    <w:rsid w:val="00B6276C"/>
    <w:rsid w:val="00B62797"/>
    <w:rsid w:val="00B6335E"/>
    <w:rsid w:val="00B63475"/>
    <w:rsid w:val="00B635FF"/>
    <w:rsid w:val="00B63C2A"/>
    <w:rsid w:val="00B65400"/>
    <w:rsid w:val="00B67341"/>
    <w:rsid w:val="00B67581"/>
    <w:rsid w:val="00B6773B"/>
    <w:rsid w:val="00B67977"/>
    <w:rsid w:val="00B70067"/>
    <w:rsid w:val="00B70525"/>
    <w:rsid w:val="00B70DF4"/>
    <w:rsid w:val="00B71165"/>
    <w:rsid w:val="00B71222"/>
    <w:rsid w:val="00B7139A"/>
    <w:rsid w:val="00B726B6"/>
    <w:rsid w:val="00B72A4E"/>
    <w:rsid w:val="00B72D41"/>
    <w:rsid w:val="00B730EA"/>
    <w:rsid w:val="00B737B7"/>
    <w:rsid w:val="00B741E1"/>
    <w:rsid w:val="00B74402"/>
    <w:rsid w:val="00B74546"/>
    <w:rsid w:val="00B74AFA"/>
    <w:rsid w:val="00B756C0"/>
    <w:rsid w:val="00B757BD"/>
    <w:rsid w:val="00B76080"/>
    <w:rsid w:val="00B7739B"/>
    <w:rsid w:val="00B77409"/>
    <w:rsid w:val="00B7778A"/>
    <w:rsid w:val="00B77B86"/>
    <w:rsid w:val="00B80318"/>
    <w:rsid w:val="00B81032"/>
    <w:rsid w:val="00B81A74"/>
    <w:rsid w:val="00B82067"/>
    <w:rsid w:val="00B8237C"/>
    <w:rsid w:val="00B82976"/>
    <w:rsid w:val="00B8297A"/>
    <w:rsid w:val="00B82A1A"/>
    <w:rsid w:val="00B82AF1"/>
    <w:rsid w:val="00B82C83"/>
    <w:rsid w:val="00B830F4"/>
    <w:rsid w:val="00B8395F"/>
    <w:rsid w:val="00B83AD5"/>
    <w:rsid w:val="00B83FB5"/>
    <w:rsid w:val="00B848B2"/>
    <w:rsid w:val="00B84AB9"/>
    <w:rsid w:val="00B853F1"/>
    <w:rsid w:val="00B85591"/>
    <w:rsid w:val="00B85D1B"/>
    <w:rsid w:val="00B86F57"/>
    <w:rsid w:val="00B87815"/>
    <w:rsid w:val="00B87B2C"/>
    <w:rsid w:val="00B87BAA"/>
    <w:rsid w:val="00B87F2F"/>
    <w:rsid w:val="00B91014"/>
    <w:rsid w:val="00B912E9"/>
    <w:rsid w:val="00B91683"/>
    <w:rsid w:val="00B916BC"/>
    <w:rsid w:val="00B91F99"/>
    <w:rsid w:val="00B921AA"/>
    <w:rsid w:val="00B927B3"/>
    <w:rsid w:val="00B92F9C"/>
    <w:rsid w:val="00B938F2"/>
    <w:rsid w:val="00B93D12"/>
    <w:rsid w:val="00B93E96"/>
    <w:rsid w:val="00B942CF"/>
    <w:rsid w:val="00B94B34"/>
    <w:rsid w:val="00B95A33"/>
    <w:rsid w:val="00B95B0A"/>
    <w:rsid w:val="00B95D4E"/>
    <w:rsid w:val="00B9624A"/>
    <w:rsid w:val="00B9696B"/>
    <w:rsid w:val="00B97F6E"/>
    <w:rsid w:val="00BA0533"/>
    <w:rsid w:val="00BA08E4"/>
    <w:rsid w:val="00BA0F5B"/>
    <w:rsid w:val="00BA12E3"/>
    <w:rsid w:val="00BA1554"/>
    <w:rsid w:val="00BA1584"/>
    <w:rsid w:val="00BA1F64"/>
    <w:rsid w:val="00BA1FAB"/>
    <w:rsid w:val="00BA207D"/>
    <w:rsid w:val="00BA2F09"/>
    <w:rsid w:val="00BA333A"/>
    <w:rsid w:val="00BA3432"/>
    <w:rsid w:val="00BA3659"/>
    <w:rsid w:val="00BA38BD"/>
    <w:rsid w:val="00BA3CB1"/>
    <w:rsid w:val="00BA47AF"/>
    <w:rsid w:val="00BA4BEF"/>
    <w:rsid w:val="00BA5581"/>
    <w:rsid w:val="00BA62F1"/>
    <w:rsid w:val="00BA6A0F"/>
    <w:rsid w:val="00BA6A4D"/>
    <w:rsid w:val="00BA6F38"/>
    <w:rsid w:val="00BA7A94"/>
    <w:rsid w:val="00BB012A"/>
    <w:rsid w:val="00BB050B"/>
    <w:rsid w:val="00BB0FED"/>
    <w:rsid w:val="00BB1548"/>
    <w:rsid w:val="00BB154F"/>
    <w:rsid w:val="00BB15EB"/>
    <w:rsid w:val="00BB1933"/>
    <w:rsid w:val="00BB2295"/>
    <w:rsid w:val="00BB3E32"/>
    <w:rsid w:val="00BB4C3B"/>
    <w:rsid w:val="00BB4F8E"/>
    <w:rsid w:val="00BB5099"/>
    <w:rsid w:val="00BB56FA"/>
    <w:rsid w:val="00BB5B7D"/>
    <w:rsid w:val="00BB5C31"/>
    <w:rsid w:val="00BB5DC6"/>
    <w:rsid w:val="00BB62D5"/>
    <w:rsid w:val="00BB631B"/>
    <w:rsid w:val="00BB712C"/>
    <w:rsid w:val="00BB7899"/>
    <w:rsid w:val="00BC0122"/>
    <w:rsid w:val="00BC0D70"/>
    <w:rsid w:val="00BC1074"/>
    <w:rsid w:val="00BC185A"/>
    <w:rsid w:val="00BC1D4E"/>
    <w:rsid w:val="00BC359E"/>
    <w:rsid w:val="00BC40A6"/>
    <w:rsid w:val="00BC45C4"/>
    <w:rsid w:val="00BC4755"/>
    <w:rsid w:val="00BC4918"/>
    <w:rsid w:val="00BC4F42"/>
    <w:rsid w:val="00BC6092"/>
    <w:rsid w:val="00BC620F"/>
    <w:rsid w:val="00BC6D27"/>
    <w:rsid w:val="00BC7388"/>
    <w:rsid w:val="00BC73AD"/>
    <w:rsid w:val="00BC77B3"/>
    <w:rsid w:val="00BD0220"/>
    <w:rsid w:val="00BD0293"/>
    <w:rsid w:val="00BD033F"/>
    <w:rsid w:val="00BD0775"/>
    <w:rsid w:val="00BD080D"/>
    <w:rsid w:val="00BD0B0B"/>
    <w:rsid w:val="00BD0F0C"/>
    <w:rsid w:val="00BD167A"/>
    <w:rsid w:val="00BD223E"/>
    <w:rsid w:val="00BD247A"/>
    <w:rsid w:val="00BD26C1"/>
    <w:rsid w:val="00BD2CD6"/>
    <w:rsid w:val="00BD3A7A"/>
    <w:rsid w:val="00BD4579"/>
    <w:rsid w:val="00BD4F63"/>
    <w:rsid w:val="00BD5E64"/>
    <w:rsid w:val="00BD618F"/>
    <w:rsid w:val="00BD66A7"/>
    <w:rsid w:val="00BD68DF"/>
    <w:rsid w:val="00BD6A09"/>
    <w:rsid w:val="00BD6BCD"/>
    <w:rsid w:val="00BD70DF"/>
    <w:rsid w:val="00BD7317"/>
    <w:rsid w:val="00BD751D"/>
    <w:rsid w:val="00BD758A"/>
    <w:rsid w:val="00BD7785"/>
    <w:rsid w:val="00BE0EBA"/>
    <w:rsid w:val="00BE0F16"/>
    <w:rsid w:val="00BE1393"/>
    <w:rsid w:val="00BE13A3"/>
    <w:rsid w:val="00BE1A2B"/>
    <w:rsid w:val="00BE2065"/>
    <w:rsid w:val="00BE2928"/>
    <w:rsid w:val="00BE331D"/>
    <w:rsid w:val="00BE336C"/>
    <w:rsid w:val="00BE3798"/>
    <w:rsid w:val="00BE385D"/>
    <w:rsid w:val="00BE43CA"/>
    <w:rsid w:val="00BE46C1"/>
    <w:rsid w:val="00BE4C06"/>
    <w:rsid w:val="00BE4FD7"/>
    <w:rsid w:val="00BE5420"/>
    <w:rsid w:val="00BE54A1"/>
    <w:rsid w:val="00BE65E8"/>
    <w:rsid w:val="00BE6938"/>
    <w:rsid w:val="00BE69A0"/>
    <w:rsid w:val="00BE6C42"/>
    <w:rsid w:val="00BE702B"/>
    <w:rsid w:val="00BE70C2"/>
    <w:rsid w:val="00BE764B"/>
    <w:rsid w:val="00BE7C5A"/>
    <w:rsid w:val="00BF0416"/>
    <w:rsid w:val="00BF0891"/>
    <w:rsid w:val="00BF0A04"/>
    <w:rsid w:val="00BF0B7F"/>
    <w:rsid w:val="00BF1D4A"/>
    <w:rsid w:val="00BF1E23"/>
    <w:rsid w:val="00BF203B"/>
    <w:rsid w:val="00BF3AAB"/>
    <w:rsid w:val="00BF460E"/>
    <w:rsid w:val="00BF4860"/>
    <w:rsid w:val="00BF4A1D"/>
    <w:rsid w:val="00BF4AB4"/>
    <w:rsid w:val="00BF4DED"/>
    <w:rsid w:val="00BF5209"/>
    <w:rsid w:val="00BF5527"/>
    <w:rsid w:val="00BF560F"/>
    <w:rsid w:val="00BF5F78"/>
    <w:rsid w:val="00BF65DE"/>
    <w:rsid w:val="00BF67FB"/>
    <w:rsid w:val="00BF6C6E"/>
    <w:rsid w:val="00BF778F"/>
    <w:rsid w:val="00C0008B"/>
    <w:rsid w:val="00C00458"/>
    <w:rsid w:val="00C00500"/>
    <w:rsid w:val="00C009B8"/>
    <w:rsid w:val="00C00D68"/>
    <w:rsid w:val="00C00DF7"/>
    <w:rsid w:val="00C01540"/>
    <w:rsid w:val="00C01F01"/>
    <w:rsid w:val="00C01F68"/>
    <w:rsid w:val="00C01FDD"/>
    <w:rsid w:val="00C028CA"/>
    <w:rsid w:val="00C03D69"/>
    <w:rsid w:val="00C043C5"/>
    <w:rsid w:val="00C0453B"/>
    <w:rsid w:val="00C05853"/>
    <w:rsid w:val="00C05CFC"/>
    <w:rsid w:val="00C06222"/>
    <w:rsid w:val="00C06794"/>
    <w:rsid w:val="00C07498"/>
    <w:rsid w:val="00C076F4"/>
    <w:rsid w:val="00C079AD"/>
    <w:rsid w:val="00C07A02"/>
    <w:rsid w:val="00C07CF6"/>
    <w:rsid w:val="00C102A0"/>
    <w:rsid w:val="00C1076A"/>
    <w:rsid w:val="00C10B99"/>
    <w:rsid w:val="00C1111F"/>
    <w:rsid w:val="00C1186A"/>
    <w:rsid w:val="00C11FF3"/>
    <w:rsid w:val="00C12443"/>
    <w:rsid w:val="00C12A3B"/>
    <w:rsid w:val="00C13CA6"/>
    <w:rsid w:val="00C13DD7"/>
    <w:rsid w:val="00C14767"/>
    <w:rsid w:val="00C14A70"/>
    <w:rsid w:val="00C14B82"/>
    <w:rsid w:val="00C14B97"/>
    <w:rsid w:val="00C15067"/>
    <w:rsid w:val="00C15087"/>
    <w:rsid w:val="00C15505"/>
    <w:rsid w:val="00C16AD1"/>
    <w:rsid w:val="00C16FB2"/>
    <w:rsid w:val="00C17C12"/>
    <w:rsid w:val="00C17ED6"/>
    <w:rsid w:val="00C201A4"/>
    <w:rsid w:val="00C21165"/>
    <w:rsid w:val="00C21332"/>
    <w:rsid w:val="00C21600"/>
    <w:rsid w:val="00C2213A"/>
    <w:rsid w:val="00C22213"/>
    <w:rsid w:val="00C2254F"/>
    <w:rsid w:val="00C229F1"/>
    <w:rsid w:val="00C22AF3"/>
    <w:rsid w:val="00C22E07"/>
    <w:rsid w:val="00C22EBA"/>
    <w:rsid w:val="00C234CF"/>
    <w:rsid w:val="00C239B4"/>
    <w:rsid w:val="00C23C58"/>
    <w:rsid w:val="00C2494A"/>
    <w:rsid w:val="00C24E45"/>
    <w:rsid w:val="00C25945"/>
    <w:rsid w:val="00C25A2F"/>
    <w:rsid w:val="00C25DBB"/>
    <w:rsid w:val="00C260ED"/>
    <w:rsid w:val="00C26F09"/>
    <w:rsid w:val="00C27278"/>
    <w:rsid w:val="00C27949"/>
    <w:rsid w:val="00C27F12"/>
    <w:rsid w:val="00C30330"/>
    <w:rsid w:val="00C304FC"/>
    <w:rsid w:val="00C30697"/>
    <w:rsid w:val="00C30738"/>
    <w:rsid w:val="00C30ADE"/>
    <w:rsid w:val="00C30B19"/>
    <w:rsid w:val="00C316F5"/>
    <w:rsid w:val="00C32135"/>
    <w:rsid w:val="00C323A5"/>
    <w:rsid w:val="00C3242B"/>
    <w:rsid w:val="00C32555"/>
    <w:rsid w:val="00C334D1"/>
    <w:rsid w:val="00C334DC"/>
    <w:rsid w:val="00C33589"/>
    <w:rsid w:val="00C337D4"/>
    <w:rsid w:val="00C33A6C"/>
    <w:rsid w:val="00C3478E"/>
    <w:rsid w:val="00C34C65"/>
    <w:rsid w:val="00C34DBA"/>
    <w:rsid w:val="00C34E59"/>
    <w:rsid w:val="00C3540F"/>
    <w:rsid w:val="00C3571C"/>
    <w:rsid w:val="00C362D1"/>
    <w:rsid w:val="00C363D6"/>
    <w:rsid w:val="00C36F80"/>
    <w:rsid w:val="00C4059A"/>
    <w:rsid w:val="00C4082D"/>
    <w:rsid w:val="00C408C8"/>
    <w:rsid w:val="00C40B96"/>
    <w:rsid w:val="00C40CC0"/>
    <w:rsid w:val="00C419FE"/>
    <w:rsid w:val="00C41C29"/>
    <w:rsid w:val="00C41C5E"/>
    <w:rsid w:val="00C41EF6"/>
    <w:rsid w:val="00C4281E"/>
    <w:rsid w:val="00C430BD"/>
    <w:rsid w:val="00C431EE"/>
    <w:rsid w:val="00C432E4"/>
    <w:rsid w:val="00C4333A"/>
    <w:rsid w:val="00C43850"/>
    <w:rsid w:val="00C43DD1"/>
    <w:rsid w:val="00C43DEE"/>
    <w:rsid w:val="00C4471A"/>
    <w:rsid w:val="00C44DB8"/>
    <w:rsid w:val="00C44E65"/>
    <w:rsid w:val="00C453F3"/>
    <w:rsid w:val="00C45A12"/>
    <w:rsid w:val="00C45BDA"/>
    <w:rsid w:val="00C45F8B"/>
    <w:rsid w:val="00C47D67"/>
    <w:rsid w:val="00C47E38"/>
    <w:rsid w:val="00C47E88"/>
    <w:rsid w:val="00C50335"/>
    <w:rsid w:val="00C50353"/>
    <w:rsid w:val="00C5035E"/>
    <w:rsid w:val="00C50A67"/>
    <w:rsid w:val="00C50E92"/>
    <w:rsid w:val="00C50EBE"/>
    <w:rsid w:val="00C511CF"/>
    <w:rsid w:val="00C51AF1"/>
    <w:rsid w:val="00C51DC0"/>
    <w:rsid w:val="00C51EEE"/>
    <w:rsid w:val="00C52094"/>
    <w:rsid w:val="00C52295"/>
    <w:rsid w:val="00C530E7"/>
    <w:rsid w:val="00C533E9"/>
    <w:rsid w:val="00C5355C"/>
    <w:rsid w:val="00C54195"/>
    <w:rsid w:val="00C541AE"/>
    <w:rsid w:val="00C541B7"/>
    <w:rsid w:val="00C547A3"/>
    <w:rsid w:val="00C55234"/>
    <w:rsid w:val="00C5588D"/>
    <w:rsid w:val="00C558F9"/>
    <w:rsid w:val="00C559BC"/>
    <w:rsid w:val="00C55A76"/>
    <w:rsid w:val="00C55D3F"/>
    <w:rsid w:val="00C55DB5"/>
    <w:rsid w:val="00C56393"/>
    <w:rsid w:val="00C56EBF"/>
    <w:rsid w:val="00C570D5"/>
    <w:rsid w:val="00C572EF"/>
    <w:rsid w:val="00C579F4"/>
    <w:rsid w:val="00C60CB5"/>
    <w:rsid w:val="00C6165B"/>
    <w:rsid w:val="00C629E1"/>
    <w:rsid w:val="00C63551"/>
    <w:rsid w:val="00C63698"/>
    <w:rsid w:val="00C63A75"/>
    <w:rsid w:val="00C63D29"/>
    <w:rsid w:val="00C64760"/>
    <w:rsid w:val="00C65F02"/>
    <w:rsid w:val="00C66505"/>
    <w:rsid w:val="00C66691"/>
    <w:rsid w:val="00C66887"/>
    <w:rsid w:val="00C66A0B"/>
    <w:rsid w:val="00C66D3A"/>
    <w:rsid w:val="00C66F58"/>
    <w:rsid w:val="00C67540"/>
    <w:rsid w:val="00C7008F"/>
    <w:rsid w:val="00C700D2"/>
    <w:rsid w:val="00C701AD"/>
    <w:rsid w:val="00C7043C"/>
    <w:rsid w:val="00C70A92"/>
    <w:rsid w:val="00C71194"/>
    <w:rsid w:val="00C719A9"/>
    <w:rsid w:val="00C7310C"/>
    <w:rsid w:val="00C7311A"/>
    <w:rsid w:val="00C7370D"/>
    <w:rsid w:val="00C73ED3"/>
    <w:rsid w:val="00C73EEF"/>
    <w:rsid w:val="00C74068"/>
    <w:rsid w:val="00C74201"/>
    <w:rsid w:val="00C7427E"/>
    <w:rsid w:val="00C7442D"/>
    <w:rsid w:val="00C74737"/>
    <w:rsid w:val="00C7577E"/>
    <w:rsid w:val="00C75BEF"/>
    <w:rsid w:val="00C76033"/>
    <w:rsid w:val="00C76096"/>
    <w:rsid w:val="00C76356"/>
    <w:rsid w:val="00C764C0"/>
    <w:rsid w:val="00C770BE"/>
    <w:rsid w:val="00C77117"/>
    <w:rsid w:val="00C774E0"/>
    <w:rsid w:val="00C77AF4"/>
    <w:rsid w:val="00C77C86"/>
    <w:rsid w:val="00C77EC6"/>
    <w:rsid w:val="00C80150"/>
    <w:rsid w:val="00C80217"/>
    <w:rsid w:val="00C80688"/>
    <w:rsid w:val="00C80A70"/>
    <w:rsid w:val="00C81120"/>
    <w:rsid w:val="00C817A6"/>
    <w:rsid w:val="00C81964"/>
    <w:rsid w:val="00C82433"/>
    <w:rsid w:val="00C824C0"/>
    <w:rsid w:val="00C82AC0"/>
    <w:rsid w:val="00C83571"/>
    <w:rsid w:val="00C838FE"/>
    <w:rsid w:val="00C83905"/>
    <w:rsid w:val="00C84FF2"/>
    <w:rsid w:val="00C8511C"/>
    <w:rsid w:val="00C8556E"/>
    <w:rsid w:val="00C856EB"/>
    <w:rsid w:val="00C859D2"/>
    <w:rsid w:val="00C85B35"/>
    <w:rsid w:val="00C85F03"/>
    <w:rsid w:val="00C85F9F"/>
    <w:rsid w:val="00C862ED"/>
    <w:rsid w:val="00C867BB"/>
    <w:rsid w:val="00C86A3B"/>
    <w:rsid w:val="00C86B6E"/>
    <w:rsid w:val="00C87007"/>
    <w:rsid w:val="00C8716A"/>
    <w:rsid w:val="00C87882"/>
    <w:rsid w:val="00C90EA8"/>
    <w:rsid w:val="00C915F6"/>
    <w:rsid w:val="00C91C39"/>
    <w:rsid w:val="00C91C40"/>
    <w:rsid w:val="00C91D78"/>
    <w:rsid w:val="00C92403"/>
    <w:rsid w:val="00C92C6C"/>
    <w:rsid w:val="00C92EB7"/>
    <w:rsid w:val="00C93FBD"/>
    <w:rsid w:val="00C94094"/>
    <w:rsid w:val="00C94AAB"/>
    <w:rsid w:val="00C94FA2"/>
    <w:rsid w:val="00C9525C"/>
    <w:rsid w:val="00C95B1F"/>
    <w:rsid w:val="00C96642"/>
    <w:rsid w:val="00C96946"/>
    <w:rsid w:val="00C96CBE"/>
    <w:rsid w:val="00C96D13"/>
    <w:rsid w:val="00C96D83"/>
    <w:rsid w:val="00C9745A"/>
    <w:rsid w:val="00C97609"/>
    <w:rsid w:val="00C9767B"/>
    <w:rsid w:val="00C979DC"/>
    <w:rsid w:val="00C97FFA"/>
    <w:rsid w:val="00CA0115"/>
    <w:rsid w:val="00CA0759"/>
    <w:rsid w:val="00CA0FA8"/>
    <w:rsid w:val="00CA13F0"/>
    <w:rsid w:val="00CA2180"/>
    <w:rsid w:val="00CA2220"/>
    <w:rsid w:val="00CA2452"/>
    <w:rsid w:val="00CA27B7"/>
    <w:rsid w:val="00CA2831"/>
    <w:rsid w:val="00CA2CF4"/>
    <w:rsid w:val="00CA3B53"/>
    <w:rsid w:val="00CA3C4E"/>
    <w:rsid w:val="00CA44B5"/>
    <w:rsid w:val="00CA4574"/>
    <w:rsid w:val="00CA4678"/>
    <w:rsid w:val="00CA4B07"/>
    <w:rsid w:val="00CA4FD1"/>
    <w:rsid w:val="00CA6171"/>
    <w:rsid w:val="00CA6234"/>
    <w:rsid w:val="00CA69DA"/>
    <w:rsid w:val="00CA6A43"/>
    <w:rsid w:val="00CA79B9"/>
    <w:rsid w:val="00CA7BB9"/>
    <w:rsid w:val="00CA7F97"/>
    <w:rsid w:val="00CB02C8"/>
    <w:rsid w:val="00CB07AC"/>
    <w:rsid w:val="00CB08FE"/>
    <w:rsid w:val="00CB0AB8"/>
    <w:rsid w:val="00CB0B7E"/>
    <w:rsid w:val="00CB15C7"/>
    <w:rsid w:val="00CB1ABE"/>
    <w:rsid w:val="00CB264D"/>
    <w:rsid w:val="00CB268D"/>
    <w:rsid w:val="00CB2DB7"/>
    <w:rsid w:val="00CB2E79"/>
    <w:rsid w:val="00CB3259"/>
    <w:rsid w:val="00CB3C62"/>
    <w:rsid w:val="00CB4AE4"/>
    <w:rsid w:val="00CB4C36"/>
    <w:rsid w:val="00CB52C8"/>
    <w:rsid w:val="00CB532C"/>
    <w:rsid w:val="00CB5399"/>
    <w:rsid w:val="00CB58DD"/>
    <w:rsid w:val="00CB5E27"/>
    <w:rsid w:val="00CB5FF1"/>
    <w:rsid w:val="00CB6A02"/>
    <w:rsid w:val="00CB6D1D"/>
    <w:rsid w:val="00CB711A"/>
    <w:rsid w:val="00CB748F"/>
    <w:rsid w:val="00CB7643"/>
    <w:rsid w:val="00CB778C"/>
    <w:rsid w:val="00CB7F08"/>
    <w:rsid w:val="00CC04BE"/>
    <w:rsid w:val="00CC0E00"/>
    <w:rsid w:val="00CC0E50"/>
    <w:rsid w:val="00CC1003"/>
    <w:rsid w:val="00CC11BB"/>
    <w:rsid w:val="00CC163F"/>
    <w:rsid w:val="00CC1CE5"/>
    <w:rsid w:val="00CC2059"/>
    <w:rsid w:val="00CC24A3"/>
    <w:rsid w:val="00CC2DB3"/>
    <w:rsid w:val="00CC2E94"/>
    <w:rsid w:val="00CC3382"/>
    <w:rsid w:val="00CC37AB"/>
    <w:rsid w:val="00CC3809"/>
    <w:rsid w:val="00CC38AA"/>
    <w:rsid w:val="00CC3E7E"/>
    <w:rsid w:val="00CC4E72"/>
    <w:rsid w:val="00CC4FBB"/>
    <w:rsid w:val="00CC54F6"/>
    <w:rsid w:val="00CC57AE"/>
    <w:rsid w:val="00CC584A"/>
    <w:rsid w:val="00CC60DF"/>
    <w:rsid w:val="00CC6110"/>
    <w:rsid w:val="00CC62BC"/>
    <w:rsid w:val="00CC6794"/>
    <w:rsid w:val="00CC6D61"/>
    <w:rsid w:val="00CC70C0"/>
    <w:rsid w:val="00CC76E4"/>
    <w:rsid w:val="00CD0F7B"/>
    <w:rsid w:val="00CD1C5D"/>
    <w:rsid w:val="00CD1DE5"/>
    <w:rsid w:val="00CD2488"/>
    <w:rsid w:val="00CD28B3"/>
    <w:rsid w:val="00CD2BE0"/>
    <w:rsid w:val="00CD32DC"/>
    <w:rsid w:val="00CD334E"/>
    <w:rsid w:val="00CD3E5F"/>
    <w:rsid w:val="00CD43AF"/>
    <w:rsid w:val="00CD4608"/>
    <w:rsid w:val="00CD481B"/>
    <w:rsid w:val="00CD4E15"/>
    <w:rsid w:val="00CD69CD"/>
    <w:rsid w:val="00CD717F"/>
    <w:rsid w:val="00CD7485"/>
    <w:rsid w:val="00CD7704"/>
    <w:rsid w:val="00CD79D6"/>
    <w:rsid w:val="00CD7DC8"/>
    <w:rsid w:val="00CD7E40"/>
    <w:rsid w:val="00CE048E"/>
    <w:rsid w:val="00CE08F8"/>
    <w:rsid w:val="00CE1943"/>
    <w:rsid w:val="00CE2289"/>
    <w:rsid w:val="00CE24A2"/>
    <w:rsid w:val="00CE2DBD"/>
    <w:rsid w:val="00CE31CE"/>
    <w:rsid w:val="00CE31D8"/>
    <w:rsid w:val="00CE3381"/>
    <w:rsid w:val="00CE3832"/>
    <w:rsid w:val="00CE3C96"/>
    <w:rsid w:val="00CE4281"/>
    <w:rsid w:val="00CE5334"/>
    <w:rsid w:val="00CE53E2"/>
    <w:rsid w:val="00CE5BB5"/>
    <w:rsid w:val="00CE5F2B"/>
    <w:rsid w:val="00CE63E0"/>
    <w:rsid w:val="00CE6A43"/>
    <w:rsid w:val="00CE72B0"/>
    <w:rsid w:val="00CE7559"/>
    <w:rsid w:val="00CE7C85"/>
    <w:rsid w:val="00CF008A"/>
    <w:rsid w:val="00CF072C"/>
    <w:rsid w:val="00CF0CDB"/>
    <w:rsid w:val="00CF1009"/>
    <w:rsid w:val="00CF1484"/>
    <w:rsid w:val="00CF16BF"/>
    <w:rsid w:val="00CF1934"/>
    <w:rsid w:val="00CF26AA"/>
    <w:rsid w:val="00CF3AB4"/>
    <w:rsid w:val="00CF411B"/>
    <w:rsid w:val="00CF49DF"/>
    <w:rsid w:val="00CF4A86"/>
    <w:rsid w:val="00CF4C58"/>
    <w:rsid w:val="00CF4C8B"/>
    <w:rsid w:val="00CF5636"/>
    <w:rsid w:val="00CF5891"/>
    <w:rsid w:val="00CF5E1E"/>
    <w:rsid w:val="00CF5F2D"/>
    <w:rsid w:val="00CF67C2"/>
    <w:rsid w:val="00CF6A6D"/>
    <w:rsid w:val="00CF720A"/>
    <w:rsid w:val="00CF753E"/>
    <w:rsid w:val="00CF79A7"/>
    <w:rsid w:val="00CF7A3F"/>
    <w:rsid w:val="00CF7D1E"/>
    <w:rsid w:val="00D001B0"/>
    <w:rsid w:val="00D00264"/>
    <w:rsid w:val="00D00690"/>
    <w:rsid w:val="00D006F4"/>
    <w:rsid w:val="00D009E6"/>
    <w:rsid w:val="00D00AE5"/>
    <w:rsid w:val="00D01089"/>
    <w:rsid w:val="00D01368"/>
    <w:rsid w:val="00D01732"/>
    <w:rsid w:val="00D01921"/>
    <w:rsid w:val="00D01C9F"/>
    <w:rsid w:val="00D01DA4"/>
    <w:rsid w:val="00D0235B"/>
    <w:rsid w:val="00D024BA"/>
    <w:rsid w:val="00D0310E"/>
    <w:rsid w:val="00D03B50"/>
    <w:rsid w:val="00D048D4"/>
    <w:rsid w:val="00D04C6C"/>
    <w:rsid w:val="00D04DF7"/>
    <w:rsid w:val="00D0506A"/>
    <w:rsid w:val="00D050EA"/>
    <w:rsid w:val="00D0580B"/>
    <w:rsid w:val="00D05C66"/>
    <w:rsid w:val="00D05C8D"/>
    <w:rsid w:val="00D0639A"/>
    <w:rsid w:val="00D06B0F"/>
    <w:rsid w:val="00D06B46"/>
    <w:rsid w:val="00D0709C"/>
    <w:rsid w:val="00D071F1"/>
    <w:rsid w:val="00D074C8"/>
    <w:rsid w:val="00D0750C"/>
    <w:rsid w:val="00D0759E"/>
    <w:rsid w:val="00D1081D"/>
    <w:rsid w:val="00D118BA"/>
    <w:rsid w:val="00D11DBC"/>
    <w:rsid w:val="00D11F3F"/>
    <w:rsid w:val="00D12107"/>
    <w:rsid w:val="00D122E5"/>
    <w:rsid w:val="00D127AC"/>
    <w:rsid w:val="00D134B8"/>
    <w:rsid w:val="00D137F8"/>
    <w:rsid w:val="00D13EC5"/>
    <w:rsid w:val="00D13F7B"/>
    <w:rsid w:val="00D1412C"/>
    <w:rsid w:val="00D148FC"/>
    <w:rsid w:val="00D157D0"/>
    <w:rsid w:val="00D15816"/>
    <w:rsid w:val="00D15C4F"/>
    <w:rsid w:val="00D1604C"/>
    <w:rsid w:val="00D1616F"/>
    <w:rsid w:val="00D1628F"/>
    <w:rsid w:val="00D162B4"/>
    <w:rsid w:val="00D16594"/>
    <w:rsid w:val="00D1670A"/>
    <w:rsid w:val="00D17E17"/>
    <w:rsid w:val="00D202AB"/>
    <w:rsid w:val="00D20732"/>
    <w:rsid w:val="00D2091D"/>
    <w:rsid w:val="00D20B0D"/>
    <w:rsid w:val="00D20F17"/>
    <w:rsid w:val="00D21411"/>
    <w:rsid w:val="00D223CF"/>
    <w:rsid w:val="00D2299B"/>
    <w:rsid w:val="00D22D66"/>
    <w:rsid w:val="00D22FC9"/>
    <w:rsid w:val="00D230DE"/>
    <w:rsid w:val="00D236C0"/>
    <w:rsid w:val="00D238DA"/>
    <w:rsid w:val="00D239A4"/>
    <w:rsid w:val="00D24A8F"/>
    <w:rsid w:val="00D250DA"/>
    <w:rsid w:val="00D2543F"/>
    <w:rsid w:val="00D255B8"/>
    <w:rsid w:val="00D259BE"/>
    <w:rsid w:val="00D25F4F"/>
    <w:rsid w:val="00D30146"/>
    <w:rsid w:val="00D30677"/>
    <w:rsid w:val="00D31B9C"/>
    <w:rsid w:val="00D31BF2"/>
    <w:rsid w:val="00D3228D"/>
    <w:rsid w:val="00D32893"/>
    <w:rsid w:val="00D32955"/>
    <w:rsid w:val="00D32F03"/>
    <w:rsid w:val="00D33827"/>
    <w:rsid w:val="00D338FA"/>
    <w:rsid w:val="00D343C1"/>
    <w:rsid w:val="00D34B29"/>
    <w:rsid w:val="00D34EDA"/>
    <w:rsid w:val="00D35476"/>
    <w:rsid w:val="00D355C1"/>
    <w:rsid w:val="00D35FA4"/>
    <w:rsid w:val="00D36809"/>
    <w:rsid w:val="00D36B11"/>
    <w:rsid w:val="00D37854"/>
    <w:rsid w:val="00D379EA"/>
    <w:rsid w:val="00D37B29"/>
    <w:rsid w:val="00D40B57"/>
    <w:rsid w:val="00D41686"/>
    <w:rsid w:val="00D41BDE"/>
    <w:rsid w:val="00D42F9A"/>
    <w:rsid w:val="00D43179"/>
    <w:rsid w:val="00D43522"/>
    <w:rsid w:val="00D43571"/>
    <w:rsid w:val="00D43592"/>
    <w:rsid w:val="00D43E13"/>
    <w:rsid w:val="00D44392"/>
    <w:rsid w:val="00D4444E"/>
    <w:rsid w:val="00D4498A"/>
    <w:rsid w:val="00D44BE7"/>
    <w:rsid w:val="00D44ED2"/>
    <w:rsid w:val="00D451E5"/>
    <w:rsid w:val="00D46017"/>
    <w:rsid w:val="00D47291"/>
    <w:rsid w:val="00D472D9"/>
    <w:rsid w:val="00D475CE"/>
    <w:rsid w:val="00D478F2"/>
    <w:rsid w:val="00D47F24"/>
    <w:rsid w:val="00D50592"/>
    <w:rsid w:val="00D50C77"/>
    <w:rsid w:val="00D5105A"/>
    <w:rsid w:val="00D5153C"/>
    <w:rsid w:val="00D515F5"/>
    <w:rsid w:val="00D51626"/>
    <w:rsid w:val="00D51E62"/>
    <w:rsid w:val="00D52257"/>
    <w:rsid w:val="00D524C4"/>
    <w:rsid w:val="00D528D9"/>
    <w:rsid w:val="00D52D34"/>
    <w:rsid w:val="00D52F98"/>
    <w:rsid w:val="00D5361E"/>
    <w:rsid w:val="00D5493B"/>
    <w:rsid w:val="00D54AEE"/>
    <w:rsid w:val="00D54AF6"/>
    <w:rsid w:val="00D553E6"/>
    <w:rsid w:val="00D55584"/>
    <w:rsid w:val="00D567B5"/>
    <w:rsid w:val="00D56B1E"/>
    <w:rsid w:val="00D56D82"/>
    <w:rsid w:val="00D573C0"/>
    <w:rsid w:val="00D6009D"/>
    <w:rsid w:val="00D603C5"/>
    <w:rsid w:val="00D60727"/>
    <w:rsid w:val="00D610ED"/>
    <w:rsid w:val="00D61412"/>
    <w:rsid w:val="00D621F9"/>
    <w:rsid w:val="00D62A4A"/>
    <w:rsid w:val="00D631F0"/>
    <w:rsid w:val="00D633C9"/>
    <w:rsid w:val="00D63ED1"/>
    <w:rsid w:val="00D63F1C"/>
    <w:rsid w:val="00D6421D"/>
    <w:rsid w:val="00D64249"/>
    <w:rsid w:val="00D647DF"/>
    <w:rsid w:val="00D6490E"/>
    <w:rsid w:val="00D650EF"/>
    <w:rsid w:val="00D65258"/>
    <w:rsid w:val="00D65A8F"/>
    <w:rsid w:val="00D65C5A"/>
    <w:rsid w:val="00D66494"/>
    <w:rsid w:val="00D665EA"/>
    <w:rsid w:val="00D66EB5"/>
    <w:rsid w:val="00D6719C"/>
    <w:rsid w:val="00D67456"/>
    <w:rsid w:val="00D6765D"/>
    <w:rsid w:val="00D6785B"/>
    <w:rsid w:val="00D67F32"/>
    <w:rsid w:val="00D70133"/>
    <w:rsid w:val="00D70698"/>
    <w:rsid w:val="00D70B26"/>
    <w:rsid w:val="00D70D7C"/>
    <w:rsid w:val="00D7109A"/>
    <w:rsid w:val="00D719CC"/>
    <w:rsid w:val="00D71CFB"/>
    <w:rsid w:val="00D720CD"/>
    <w:rsid w:val="00D7210C"/>
    <w:rsid w:val="00D7219D"/>
    <w:rsid w:val="00D72471"/>
    <w:rsid w:val="00D733E3"/>
    <w:rsid w:val="00D7368A"/>
    <w:rsid w:val="00D73A2A"/>
    <w:rsid w:val="00D73D74"/>
    <w:rsid w:val="00D741D7"/>
    <w:rsid w:val="00D74389"/>
    <w:rsid w:val="00D74452"/>
    <w:rsid w:val="00D7463C"/>
    <w:rsid w:val="00D7471E"/>
    <w:rsid w:val="00D74BDA"/>
    <w:rsid w:val="00D75711"/>
    <w:rsid w:val="00D757F1"/>
    <w:rsid w:val="00D75AC3"/>
    <w:rsid w:val="00D76445"/>
    <w:rsid w:val="00D7786A"/>
    <w:rsid w:val="00D80600"/>
    <w:rsid w:val="00D80868"/>
    <w:rsid w:val="00D819F0"/>
    <w:rsid w:val="00D81FCD"/>
    <w:rsid w:val="00D82760"/>
    <w:rsid w:val="00D82800"/>
    <w:rsid w:val="00D82C2D"/>
    <w:rsid w:val="00D8341E"/>
    <w:rsid w:val="00D83A02"/>
    <w:rsid w:val="00D83E9B"/>
    <w:rsid w:val="00D846D7"/>
    <w:rsid w:val="00D849C7"/>
    <w:rsid w:val="00D849EF"/>
    <w:rsid w:val="00D84AF8"/>
    <w:rsid w:val="00D850F8"/>
    <w:rsid w:val="00D8527B"/>
    <w:rsid w:val="00D8573E"/>
    <w:rsid w:val="00D858FC"/>
    <w:rsid w:val="00D85D43"/>
    <w:rsid w:val="00D87277"/>
    <w:rsid w:val="00D87609"/>
    <w:rsid w:val="00D8798C"/>
    <w:rsid w:val="00D879F8"/>
    <w:rsid w:val="00D87F37"/>
    <w:rsid w:val="00D90217"/>
    <w:rsid w:val="00D9059F"/>
    <w:rsid w:val="00D914B7"/>
    <w:rsid w:val="00D9183B"/>
    <w:rsid w:val="00D924F6"/>
    <w:rsid w:val="00D92ECC"/>
    <w:rsid w:val="00D9345D"/>
    <w:rsid w:val="00D93797"/>
    <w:rsid w:val="00D93B03"/>
    <w:rsid w:val="00D93C60"/>
    <w:rsid w:val="00D93E98"/>
    <w:rsid w:val="00D94370"/>
    <w:rsid w:val="00D946DF"/>
    <w:rsid w:val="00D947EE"/>
    <w:rsid w:val="00D94A13"/>
    <w:rsid w:val="00D94CA5"/>
    <w:rsid w:val="00D94E97"/>
    <w:rsid w:val="00D9621E"/>
    <w:rsid w:val="00D969CD"/>
    <w:rsid w:val="00D96B8C"/>
    <w:rsid w:val="00D9718E"/>
    <w:rsid w:val="00D97409"/>
    <w:rsid w:val="00D97C2E"/>
    <w:rsid w:val="00D97EE3"/>
    <w:rsid w:val="00D97F2E"/>
    <w:rsid w:val="00DA098B"/>
    <w:rsid w:val="00DA16ED"/>
    <w:rsid w:val="00DA179A"/>
    <w:rsid w:val="00DA1F44"/>
    <w:rsid w:val="00DA2034"/>
    <w:rsid w:val="00DA24CB"/>
    <w:rsid w:val="00DA27B8"/>
    <w:rsid w:val="00DA3AAA"/>
    <w:rsid w:val="00DA3CF1"/>
    <w:rsid w:val="00DA3CF9"/>
    <w:rsid w:val="00DA3DEB"/>
    <w:rsid w:val="00DA4258"/>
    <w:rsid w:val="00DA4301"/>
    <w:rsid w:val="00DA5107"/>
    <w:rsid w:val="00DA530E"/>
    <w:rsid w:val="00DA67A3"/>
    <w:rsid w:val="00DA6B67"/>
    <w:rsid w:val="00DA724B"/>
    <w:rsid w:val="00DA73EC"/>
    <w:rsid w:val="00DA7859"/>
    <w:rsid w:val="00DA7FC9"/>
    <w:rsid w:val="00DB000D"/>
    <w:rsid w:val="00DB0D23"/>
    <w:rsid w:val="00DB13BC"/>
    <w:rsid w:val="00DB181C"/>
    <w:rsid w:val="00DB2375"/>
    <w:rsid w:val="00DB263F"/>
    <w:rsid w:val="00DB2A6A"/>
    <w:rsid w:val="00DB2C14"/>
    <w:rsid w:val="00DB3215"/>
    <w:rsid w:val="00DB3950"/>
    <w:rsid w:val="00DB3ACA"/>
    <w:rsid w:val="00DB3CE3"/>
    <w:rsid w:val="00DB428A"/>
    <w:rsid w:val="00DB48F7"/>
    <w:rsid w:val="00DB594B"/>
    <w:rsid w:val="00DB5FCE"/>
    <w:rsid w:val="00DB6883"/>
    <w:rsid w:val="00DB6DAD"/>
    <w:rsid w:val="00DB7B01"/>
    <w:rsid w:val="00DB7E73"/>
    <w:rsid w:val="00DB7FC5"/>
    <w:rsid w:val="00DC010F"/>
    <w:rsid w:val="00DC01C9"/>
    <w:rsid w:val="00DC0CE1"/>
    <w:rsid w:val="00DC14AE"/>
    <w:rsid w:val="00DC188C"/>
    <w:rsid w:val="00DC1D76"/>
    <w:rsid w:val="00DC2039"/>
    <w:rsid w:val="00DC235F"/>
    <w:rsid w:val="00DC28B9"/>
    <w:rsid w:val="00DC2FF5"/>
    <w:rsid w:val="00DC3626"/>
    <w:rsid w:val="00DC3E1D"/>
    <w:rsid w:val="00DC43DE"/>
    <w:rsid w:val="00DC467C"/>
    <w:rsid w:val="00DC46F9"/>
    <w:rsid w:val="00DC479D"/>
    <w:rsid w:val="00DC4CA9"/>
    <w:rsid w:val="00DC519A"/>
    <w:rsid w:val="00DC55DC"/>
    <w:rsid w:val="00DC55E7"/>
    <w:rsid w:val="00DC562B"/>
    <w:rsid w:val="00DC587A"/>
    <w:rsid w:val="00DC59AD"/>
    <w:rsid w:val="00DC66D2"/>
    <w:rsid w:val="00DC69FD"/>
    <w:rsid w:val="00DC6C87"/>
    <w:rsid w:val="00DC6E3D"/>
    <w:rsid w:val="00DC7BFC"/>
    <w:rsid w:val="00DC7E8A"/>
    <w:rsid w:val="00DD017E"/>
    <w:rsid w:val="00DD02E6"/>
    <w:rsid w:val="00DD0600"/>
    <w:rsid w:val="00DD0B8E"/>
    <w:rsid w:val="00DD11AE"/>
    <w:rsid w:val="00DD16FC"/>
    <w:rsid w:val="00DD199B"/>
    <w:rsid w:val="00DD1DEA"/>
    <w:rsid w:val="00DD23AB"/>
    <w:rsid w:val="00DD24C6"/>
    <w:rsid w:val="00DD29AD"/>
    <w:rsid w:val="00DD2A15"/>
    <w:rsid w:val="00DD2A3A"/>
    <w:rsid w:val="00DD3489"/>
    <w:rsid w:val="00DD3624"/>
    <w:rsid w:val="00DD3638"/>
    <w:rsid w:val="00DD37E0"/>
    <w:rsid w:val="00DD38FE"/>
    <w:rsid w:val="00DD3903"/>
    <w:rsid w:val="00DD4699"/>
    <w:rsid w:val="00DD4791"/>
    <w:rsid w:val="00DD4A53"/>
    <w:rsid w:val="00DD4B62"/>
    <w:rsid w:val="00DD4ECD"/>
    <w:rsid w:val="00DD52F8"/>
    <w:rsid w:val="00DD5AB1"/>
    <w:rsid w:val="00DD5F9B"/>
    <w:rsid w:val="00DD625A"/>
    <w:rsid w:val="00DD75DE"/>
    <w:rsid w:val="00DD7D62"/>
    <w:rsid w:val="00DD7FE9"/>
    <w:rsid w:val="00DE0024"/>
    <w:rsid w:val="00DE0265"/>
    <w:rsid w:val="00DE05BA"/>
    <w:rsid w:val="00DE09E9"/>
    <w:rsid w:val="00DE0B9F"/>
    <w:rsid w:val="00DE0C6C"/>
    <w:rsid w:val="00DE13C5"/>
    <w:rsid w:val="00DE1D32"/>
    <w:rsid w:val="00DE22A1"/>
    <w:rsid w:val="00DE23DF"/>
    <w:rsid w:val="00DE23ED"/>
    <w:rsid w:val="00DE2FA3"/>
    <w:rsid w:val="00DE30DB"/>
    <w:rsid w:val="00DE376C"/>
    <w:rsid w:val="00DE390C"/>
    <w:rsid w:val="00DE3F19"/>
    <w:rsid w:val="00DE3F56"/>
    <w:rsid w:val="00DE40FE"/>
    <w:rsid w:val="00DE497A"/>
    <w:rsid w:val="00DE4B46"/>
    <w:rsid w:val="00DE4C83"/>
    <w:rsid w:val="00DE5707"/>
    <w:rsid w:val="00DE5C6D"/>
    <w:rsid w:val="00DE653F"/>
    <w:rsid w:val="00DE6CA6"/>
    <w:rsid w:val="00DE6E0D"/>
    <w:rsid w:val="00DE712D"/>
    <w:rsid w:val="00DE7195"/>
    <w:rsid w:val="00DE71A4"/>
    <w:rsid w:val="00DE755B"/>
    <w:rsid w:val="00DE77E9"/>
    <w:rsid w:val="00DF02CD"/>
    <w:rsid w:val="00DF045F"/>
    <w:rsid w:val="00DF0C5A"/>
    <w:rsid w:val="00DF0F24"/>
    <w:rsid w:val="00DF18A9"/>
    <w:rsid w:val="00DF1B9F"/>
    <w:rsid w:val="00DF1E56"/>
    <w:rsid w:val="00DF1EF2"/>
    <w:rsid w:val="00DF2027"/>
    <w:rsid w:val="00DF26BF"/>
    <w:rsid w:val="00DF29D5"/>
    <w:rsid w:val="00DF3025"/>
    <w:rsid w:val="00DF307A"/>
    <w:rsid w:val="00DF3381"/>
    <w:rsid w:val="00DF3819"/>
    <w:rsid w:val="00DF38DB"/>
    <w:rsid w:val="00DF3BF1"/>
    <w:rsid w:val="00DF3CFB"/>
    <w:rsid w:val="00DF4DFB"/>
    <w:rsid w:val="00DF4F9F"/>
    <w:rsid w:val="00DF561E"/>
    <w:rsid w:val="00DF5650"/>
    <w:rsid w:val="00DF5D48"/>
    <w:rsid w:val="00DF5FFA"/>
    <w:rsid w:val="00DF6D3F"/>
    <w:rsid w:val="00DF6E6D"/>
    <w:rsid w:val="00DF7356"/>
    <w:rsid w:val="00DF755C"/>
    <w:rsid w:val="00DF7AF8"/>
    <w:rsid w:val="00DF7B82"/>
    <w:rsid w:val="00E0018F"/>
    <w:rsid w:val="00E002BB"/>
    <w:rsid w:val="00E00EE0"/>
    <w:rsid w:val="00E00F51"/>
    <w:rsid w:val="00E011CD"/>
    <w:rsid w:val="00E0164A"/>
    <w:rsid w:val="00E01907"/>
    <w:rsid w:val="00E025D8"/>
    <w:rsid w:val="00E02876"/>
    <w:rsid w:val="00E03B96"/>
    <w:rsid w:val="00E047E1"/>
    <w:rsid w:val="00E04C3B"/>
    <w:rsid w:val="00E053F9"/>
    <w:rsid w:val="00E05846"/>
    <w:rsid w:val="00E061C0"/>
    <w:rsid w:val="00E06334"/>
    <w:rsid w:val="00E06CE5"/>
    <w:rsid w:val="00E07841"/>
    <w:rsid w:val="00E07943"/>
    <w:rsid w:val="00E07BC8"/>
    <w:rsid w:val="00E105E1"/>
    <w:rsid w:val="00E1119E"/>
    <w:rsid w:val="00E129ED"/>
    <w:rsid w:val="00E12B7D"/>
    <w:rsid w:val="00E1362F"/>
    <w:rsid w:val="00E13E0D"/>
    <w:rsid w:val="00E14213"/>
    <w:rsid w:val="00E14E36"/>
    <w:rsid w:val="00E152EF"/>
    <w:rsid w:val="00E16041"/>
    <w:rsid w:val="00E163B3"/>
    <w:rsid w:val="00E16563"/>
    <w:rsid w:val="00E169B3"/>
    <w:rsid w:val="00E170F5"/>
    <w:rsid w:val="00E174DE"/>
    <w:rsid w:val="00E1752E"/>
    <w:rsid w:val="00E176BE"/>
    <w:rsid w:val="00E17C43"/>
    <w:rsid w:val="00E17E76"/>
    <w:rsid w:val="00E17FC5"/>
    <w:rsid w:val="00E203F8"/>
    <w:rsid w:val="00E21693"/>
    <w:rsid w:val="00E218DE"/>
    <w:rsid w:val="00E21E93"/>
    <w:rsid w:val="00E21ED2"/>
    <w:rsid w:val="00E22057"/>
    <w:rsid w:val="00E221D3"/>
    <w:rsid w:val="00E22ADE"/>
    <w:rsid w:val="00E22B1C"/>
    <w:rsid w:val="00E22F22"/>
    <w:rsid w:val="00E239AC"/>
    <w:rsid w:val="00E23A23"/>
    <w:rsid w:val="00E2493D"/>
    <w:rsid w:val="00E24C88"/>
    <w:rsid w:val="00E24DFE"/>
    <w:rsid w:val="00E25065"/>
    <w:rsid w:val="00E2551F"/>
    <w:rsid w:val="00E25CFE"/>
    <w:rsid w:val="00E25D65"/>
    <w:rsid w:val="00E25E55"/>
    <w:rsid w:val="00E2616F"/>
    <w:rsid w:val="00E26A22"/>
    <w:rsid w:val="00E27007"/>
    <w:rsid w:val="00E2789B"/>
    <w:rsid w:val="00E27FA1"/>
    <w:rsid w:val="00E3002D"/>
    <w:rsid w:val="00E303F8"/>
    <w:rsid w:val="00E30D30"/>
    <w:rsid w:val="00E30E6B"/>
    <w:rsid w:val="00E311CE"/>
    <w:rsid w:val="00E31DD3"/>
    <w:rsid w:val="00E3289F"/>
    <w:rsid w:val="00E32A8F"/>
    <w:rsid w:val="00E3301F"/>
    <w:rsid w:val="00E33876"/>
    <w:rsid w:val="00E33AB8"/>
    <w:rsid w:val="00E33F28"/>
    <w:rsid w:val="00E34015"/>
    <w:rsid w:val="00E34590"/>
    <w:rsid w:val="00E349ED"/>
    <w:rsid w:val="00E34F69"/>
    <w:rsid w:val="00E35D78"/>
    <w:rsid w:val="00E35E47"/>
    <w:rsid w:val="00E35F39"/>
    <w:rsid w:val="00E374FD"/>
    <w:rsid w:val="00E37793"/>
    <w:rsid w:val="00E3780B"/>
    <w:rsid w:val="00E37DEA"/>
    <w:rsid w:val="00E37EB7"/>
    <w:rsid w:val="00E400D9"/>
    <w:rsid w:val="00E402F3"/>
    <w:rsid w:val="00E40999"/>
    <w:rsid w:val="00E40DE0"/>
    <w:rsid w:val="00E4118E"/>
    <w:rsid w:val="00E4144C"/>
    <w:rsid w:val="00E417BE"/>
    <w:rsid w:val="00E41957"/>
    <w:rsid w:val="00E42095"/>
    <w:rsid w:val="00E42271"/>
    <w:rsid w:val="00E42758"/>
    <w:rsid w:val="00E42BA5"/>
    <w:rsid w:val="00E44002"/>
    <w:rsid w:val="00E44015"/>
    <w:rsid w:val="00E447D9"/>
    <w:rsid w:val="00E4734C"/>
    <w:rsid w:val="00E475D4"/>
    <w:rsid w:val="00E47965"/>
    <w:rsid w:val="00E500F7"/>
    <w:rsid w:val="00E50377"/>
    <w:rsid w:val="00E5047A"/>
    <w:rsid w:val="00E506DA"/>
    <w:rsid w:val="00E50701"/>
    <w:rsid w:val="00E511EC"/>
    <w:rsid w:val="00E5178A"/>
    <w:rsid w:val="00E52042"/>
    <w:rsid w:val="00E522EB"/>
    <w:rsid w:val="00E523AC"/>
    <w:rsid w:val="00E531A4"/>
    <w:rsid w:val="00E5396B"/>
    <w:rsid w:val="00E53D94"/>
    <w:rsid w:val="00E5428E"/>
    <w:rsid w:val="00E54679"/>
    <w:rsid w:val="00E5499E"/>
    <w:rsid w:val="00E54B9B"/>
    <w:rsid w:val="00E54E01"/>
    <w:rsid w:val="00E5506D"/>
    <w:rsid w:val="00E567D0"/>
    <w:rsid w:val="00E568A0"/>
    <w:rsid w:val="00E56BCD"/>
    <w:rsid w:val="00E572C8"/>
    <w:rsid w:val="00E575C5"/>
    <w:rsid w:val="00E57E08"/>
    <w:rsid w:val="00E601AD"/>
    <w:rsid w:val="00E60818"/>
    <w:rsid w:val="00E60829"/>
    <w:rsid w:val="00E610E6"/>
    <w:rsid w:val="00E61766"/>
    <w:rsid w:val="00E61F08"/>
    <w:rsid w:val="00E6226A"/>
    <w:rsid w:val="00E6306E"/>
    <w:rsid w:val="00E63190"/>
    <w:rsid w:val="00E63C82"/>
    <w:rsid w:val="00E63E41"/>
    <w:rsid w:val="00E64058"/>
    <w:rsid w:val="00E64399"/>
    <w:rsid w:val="00E64597"/>
    <w:rsid w:val="00E64AE5"/>
    <w:rsid w:val="00E6520F"/>
    <w:rsid w:val="00E65914"/>
    <w:rsid w:val="00E65C9D"/>
    <w:rsid w:val="00E667FD"/>
    <w:rsid w:val="00E66A9A"/>
    <w:rsid w:val="00E66EC7"/>
    <w:rsid w:val="00E672BE"/>
    <w:rsid w:val="00E673EF"/>
    <w:rsid w:val="00E6750A"/>
    <w:rsid w:val="00E706BE"/>
    <w:rsid w:val="00E71187"/>
    <w:rsid w:val="00E712F6"/>
    <w:rsid w:val="00E7197E"/>
    <w:rsid w:val="00E71DA2"/>
    <w:rsid w:val="00E7253D"/>
    <w:rsid w:val="00E72654"/>
    <w:rsid w:val="00E731B4"/>
    <w:rsid w:val="00E73207"/>
    <w:rsid w:val="00E736DF"/>
    <w:rsid w:val="00E749E6"/>
    <w:rsid w:val="00E74A7A"/>
    <w:rsid w:val="00E7504B"/>
    <w:rsid w:val="00E750A8"/>
    <w:rsid w:val="00E75403"/>
    <w:rsid w:val="00E7617C"/>
    <w:rsid w:val="00E774C1"/>
    <w:rsid w:val="00E774E6"/>
    <w:rsid w:val="00E77C9F"/>
    <w:rsid w:val="00E80283"/>
    <w:rsid w:val="00E81314"/>
    <w:rsid w:val="00E829EF"/>
    <w:rsid w:val="00E83C4F"/>
    <w:rsid w:val="00E841C8"/>
    <w:rsid w:val="00E8449B"/>
    <w:rsid w:val="00E853A2"/>
    <w:rsid w:val="00E85470"/>
    <w:rsid w:val="00E8549B"/>
    <w:rsid w:val="00E85A0B"/>
    <w:rsid w:val="00E85A90"/>
    <w:rsid w:val="00E85AC0"/>
    <w:rsid w:val="00E85AEE"/>
    <w:rsid w:val="00E8601A"/>
    <w:rsid w:val="00E86235"/>
    <w:rsid w:val="00E8671E"/>
    <w:rsid w:val="00E86D6A"/>
    <w:rsid w:val="00E87259"/>
    <w:rsid w:val="00E87A69"/>
    <w:rsid w:val="00E87C29"/>
    <w:rsid w:val="00E903D3"/>
    <w:rsid w:val="00E90961"/>
    <w:rsid w:val="00E90D51"/>
    <w:rsid w:val="00E90EEF"/>
    <w:rsid w:val="00E91512"/>
    <w:rsid w:val="00E917C9"/>
    <w:rsid w:val="00E92031"/>
    <w:rsid w:val="00E9211A"/>
    <w:rsid w:val="00E92137"/>
    <w:rsid w:val="00E921FF"/>
    <w:rsid w:val="00E925CA"/>
    <w:rsid w:val="00E92E6A"/>
    <w:rsid w:val="00E9334C"/>
    <w:rsid w:val="00E93C21"/>
    <w:rsid w:val="00E93CC9"/>
    <w:rsid w:val="00E95125"/>
    <w:rsid w:val="00E95329"/>
    <w:rsid w:val="00E953E5"/>
    <w:rsid w:val="00E9585C"/>
    <w:rsid w:val="00E95A8C"/>
    <w:rsid w:val="00E96019"/>
    <w:rsid w:val="00E96713"/>
    <w:rsid w:val="00E96EE0"/>
    <w:rsid w:val="00E97343"/>
    <w:rsid w:val="00E9735F"/>
    <w:rsid w:val="00E9753A"/>
    <w:rsid w:val="00E978A4"/>
    <w:rsid w:val="00E97E35"/>
    <w:rsid w:val="00EA0234"/>
    <w:rsid w:val="00EA0EA3"/>
    <w:rsid w:val="00EA141C"/>
    <w:rsid w:val="00EA175B"/>
    <w:rsid w:val="00EA1D31"/>
    <w:rsid w:val="00EA2C1B"/>
    <w:rsid w:val="00EA3559"/>
    <w:rsid w:val="00EA3691"/>
    <w:rsid w:val="00EA4783"/>
    <w:rsid w:val="00EA4E87"/>
    <w:rsid w:val="00EA57D5"/>
    <w:rsid w:val="00EA5918"/>
    <w:rsid w:val="00EA5AA7"/>
    <w:rsid w:val="00EA5BF5"/>
    <w:rsid w:val="00EA5E15"/>
    <w:rsid w:val="00EA5E53"/>
    <w:rsid w:val="00EA5FDE"/>
    <w:rsid w:val="00EA6425"/>
    <w:rsid w:val="00EA6F88"/>
    <w:rsid w:val="00EA7213"/>
    <w:rsid w:val="00EA74AE"/>
    <w:rsid w:val="00EA7902"/>
    <w:rsid w:val="00EA7C1E"/>
    <w:rsid w:val="00EB0205"/>
    <w:rsid w:val="00EB02B2"/>
    <w:rsid w:val="00EB06D0"/>
    <w:rsid w:val="00EB09F0"/>
    <w:rsid w:val="00EB1C28"/>
    <w:rsid w:val="00EB1C4D"/>
    <w:rsid w:val="00EB29CF"/>
    <w:rsid w:val="00EB2D46"/>
    <w:rsid w:val="00EB2D6F"/>
    <w:rsid w:val="00EB306D"/>
    <w:rsid w:val="00EB34A7"/>
    <w:rsid w:val="00EB3A1A"/>
    <w:rsid w:val="00EB3CD1"/>
    <w:rsid w:val="00EB3FCC"/>
    <w:rsid w:val="00EB4258"/>
    <w:rsid w:val="00EB4366"/>
    <w:rsid w:val="00EB44BE"/>
    <w:rsid w:val="00EB4813"/>
    <w:rsid w:val="00EB4C8A"/>
    <w:rsid w:val="00EB4ED2"/>
    <w:rsid w:val="00EB5178"/>
    <w:rsid w:val="00EB53CA"/>
    <w:rsid w:val="00EB592D"/>
    <w:rsid w:val="00EB5EFF"/>
    <w:rsid w:val="00EB6999"/>
    <w:rsid w:val="00EB6B0B"/>
    <w:rsid w:val="00EB6BE6"/>
    <w:rsid w:val="00EB70B6"/>
    <w:rsid w:val="00EB74A3"/>
    <w:rsid w:val="00EB76E9"/>
    <w:rsid w:val="00EB7EA6"/>
    <w:rsid w:val="00EC0996"/>
    <w:rsid w:val="00EC0A26"/>
    <w:rsid w:val="00EC0BCF"/>
    <w:rsid w:val="00EC0C79"/>
    <w:rsid w:val="00EC163A"/>
    <w:rsid w:val="00EC1999"/>
    <w:rsid w:val="00EC1E69"/>
    <w:rsid w:val="00EC2BF8"/>
    <w:rsid w:val="00EC3BE0"/>
    <w:rsid w:val="00EC3CC2"/>
    <w:rsid w:val="00EC3CD3"/>
    <w:rsid w:val="00EC3EBC"/>
    <w:rsid w:val="00EC4CFB"/>
    <w:rsid w:val="00EC5020"/>
    <w:rsid w:val="00EC6389"/>
    <w:rsid w:val="00EC6802"/>
    <w:rsid w:val="00EC6828"/>
    <w:rsid w:val="00EC6974"/>
    <w:rsid w:val="00EC6ABE"/>
    <w:rsid w:val="00EC71AC"/>
    <w:rsid w:val="00EC73FA"/>
    <w:rsid w:val="00EC74A6"/>
    <w:rsid w:val="00EC7AF6"/>
    <w:rsid w:val="00EC7F6F"/>
    <w:rsid w:val="00ED04EC"/>
    <w:rsid w:val="00ED0529"/>
    <w:rsid w:val="00ED0A4E"/>
    <w:rsid w:val="00ED0F71"/>
    <w:rsid w:val="00ED152C"/>
    <w:rsid w:val="00ED1A07"/>
    <w:rsid w:val="00ED2F68"/>
    <w:rsid w:val="00ED3B24"/>
    <w:rsid w:val="00ED3B4B"/>
    <w:rsid w:val="00ED3CC3"/>
    <w:rsid w:val="00ED4455"/>
    <w:rsid w:val="00ED45BD"/>
    <w:rsid w:val="00ED4C9A"/>
    <w:rsid w:val="00ED50D9"/>
    <w:rsid w:val="00ED550C"/>
    <w:rsid w:val="00ED5680"/>
    <w:rsid w:val="00ED56FE"/>
    <w:rsid w:val="00ED5BF6"/>
    <w:rsid w:val="00ED6290"/>
    <w:rsid w:val="00ED6872"/>
    <w:rsid w:val="00ED6C08"/>
    <w:rsid w:val="00ED71DF"/>
    <w:rsid w:val="00ED74BE"/>
    <w:rsid w:val="00ED7535"/>
    <w:rsid w:val="00ED766A"/>
    <w:rsid w:val="00EE08A1"/>
    <w:rsid w:val="00EE0DAF"/>
    <w:rsid w:val="00EE0F7E"/>
    <w:rsid w:val="00EE12D3"/>
    <w:rsid w:val="00EE1414"/>
    <w:rsid w:val="00EE15A2"/>
    <w:rsid w:val="00EE16E2"/>
    <w:rsid w:val="00EE1886"/>
    <w:rsid w:val="00EE1CFD"/>
    <w:rsid w:val="00EE2730"/>
    <w:rsid w:val="00EE2C1C"/>
    <w:rsid w:val="00EE2EAA"/>
    <w:rsid w:val="00EE3328"/>
    <w:rsid w:val="00EE3BAA"/>
    <w:rsid w:val="00EE44E3"/>
    <w:rsid w:val="00EE4799"/>
    <w:rsid w:val="00EE49AE"/>
    <w:rsid w:val="00EE4A62"/>
    <w:rsid w:val="00EE5E13"/>
    <w:rsid w:val="00EE5F32"/>
    <w:rsid w:val="00EE6180"/>
    <w:rsid w:val="00EE647B"/>
    <w:rsid w:val="00EE69E4"/>
    <w:rsid w:val="00EE6A0C"/>
    <w:rsid w:val="00EE6E9C"/>
    <w:rsid w:val="00EE7477"/>
    <w:rsid w:val="00EE7B26"/>
    <w:rsid w:val="00EE7B97"/>
    <w:rsid w:val="00EE7BDF"/>
    <w:rsid w:val="00EE7C8D"/>
    <w:rsid w:val="00EE7F1A"/>
    <w:rsid w:val="00EF03BA"/>
    <w:rsid w:val="00EF1CF5"/>
    <w:rsid w:val="00EF1E6B"/>
    <w:rsid w:val="00EF1F84"/>
    <w:rsid w:val="00EF204D"/>
    <w:rsid w:val="00EF26E2"/>
    <w:rsid w:val="00EF2A68"/>
    <w:rsid w:val="00EF346F"/>
    <w:rsid w:val="00EF3572"/>
    <w:rsid w:val="00EF46B2"/>
    <w:rsid w:val="00EF4C3D"/>
    <w:rsid w:val="00EF4CF3"/>
    <w:rsid w:val="00EF4D80"/>
    <w:rsid w:val="00EF569B"/>
    <w:rsid w:val="00EF6A2E"/>
    <w:rsid w:val="00EF6B1F"/>
    <w:rsid w:val="00EF6C74"/>
    <w:rsid w:val="00EF6CAF"/>
    <w:rsid w:val="00EF6DB7"/>
    <w:rsid w:val="00EF6EB2"/>
    <w:rsid w:val="00EF74AE"/>
    <w:rsid w:val="00EF74C7"/>
    <w:rsid w:val="00EF7E84"/>
    <w:rsid w:val="00F005DE"/>
    <w:rsid w:val="00F007BC"/>
    <w:rsid w:val="00F01551"/>
    <w:rsid w:val="00F01AE9"/>
    <w:rsid w:val="00F02CCD"/>
    <w:rsid w:val="00F02DF2"/>
    <w:rsid w:val="00F035B4"/>
    <w:rsid w:val="00F036FC"/>
    <w:rsid w:val="00F038C0"/>
    <w:rsid w:val="00F03A72"/>
    <w:rsid w:val="00F03C01"/>
    <w:rsid w:val="00F03DEA"/>
    <w:rsid w:val="00F04623"/>
    <w:rsid w:val="00F047F6"/>
    <w:rsid w:val="00F048FF"/>
    <w:rsid w:val="00F04F44"/>
    <w:rsid w:val="00F05120"/>
    <w:rsid w:val="00F05179"/>
    <w:rsid w:val="00F05526"/>
    <w:rsid w:val="00F0665E"/>
    <w:rsid w:val="00F068B4"/>
    <w:rsid w:val="00F06D06"/>
    <w:rsid w:val="00F06F35"/>
    <w:rsid w:val="00F075BA"/>
    <w:rsid w:val="00F07945"/>
    <w:rsid w:val="00F07AE1"/>
    <w:rsid w:val="00F07CEE"/>
    <w:rsid w:val="00F103AF"/>
    <w:rsid w:val="00F10A94"/>
    <w:rsid w:val="00F1131F"/>
    <w:rsid w:val="00F12173"/>
    <w:rsid w:val="00F12F77"/>
    <w:rsid w:val="00F1301A"/>
    <w:rsid w:val="00F13056"/>
    <w:rsid w:val="00F13924"/>
    <w:rsid w:val="00F13D8C"/>
    <w:rsid w:val="00F13EF6"/>
    <w:rsid w:val="00F13F66"/>
    <w:rsid w:val="00F14128"/>
    <w:rsid w:val="00F1518B"/>
    <w:rsid w:val="00F15ACB"/>
    <w:rsid w:val="00F15B8E"/>
    <w:rsid w:val="00F15EE7"/>
    <w:rsid w:val="00F172F5"/>
    <w:rsid w:val="00F176FD"/>
    <w:rsid w:val="00F1791C"/>
    <w:rsid w:val="00F17D4A"/>
    <w:rsid w:val="00F17EE7"/>
    <w:rsid w:val="00F20FC8"/>
    <w:rsid w:val="00F22108"/>
    <w:rsid w:val="00F221CD"/>
    <w:rsid w:val="00F2260A"/>
    <w:rsid w:val="00F22770"/>
    <w:rsid w:val="00F22A9A"/>
    <w:rsid w:val="00F22B50"/>
    <w:rsid w:val="00F22E26"/>
    <w:rsid w:val="00F2322D"/>
    <w:rsid w:val="00F23BB9"/>
    <w:rsid w:val="00F24370"/>
    <w:rsid w:val="00F243E8"/>
    <w:rsid w:val="00F25572"/>
    <w:rsid w:val="00F25CB9"/>
    <w:rsid w:val="00F260E4"/>
    <w:rsid w:val="00F27431"/>
    <w:rsid w:val="00F2747A"/>
    <w:rsid w:val="00F276F9"/>
    <w:rsid w:val="00F303C8"/>
    <w:rsid w:val="00F30775"/>
    <w:rsid w:val="00F30F2C"/>
    <w:rsid w:val="00F31914"/>
    <w:rsid w:val="00F31D0E"/>
    <w:rsid w:val="00F32369"/>
    <w:rsid w:val="00F32B60"/>
    <w:rsid w:val="00F32B82"/>
    <w:rsid w:val="00F32C5C"/>
    <w:rsid w:val="00F32CE4"/>
    <w:rsid w:val="00F33CD9"/>
    <w:rsid w:val="00F34EA4"/>
    <w:rsid w:val="00F35516"/>
    <w:rsid w:val="00F35EA1"/>
    <w:rsid w:val="00F36046"/>
    <w:rsid w:val="00F3628D"/>
    <w:rsid w:val="00F365EE"/>
    <w:rsid w:val="00F36890"/>
    <w:rsid w:val="00F36AB2"/>
    <w:rsid w:val="00F36D17"/>
    <w:rsid w:val="00F3778C"/>
    <w:rsid w:val="00F37CFC"/>
    <w:rsid w:val="00F400ED"/>
    <w:rsid w:val="00F407C2"/>
    <w:rsid w:val="00F4092D"/>
    <w:rsid w:val="00F418BA"/>
    <w:rsid w:val="00F418C7"/>
    <w:rsid w:val="00F41971"/>
    <w:rsid w:val="00F41A4C"/>
    <w:rsid w:val="00F41D32"/>
    <w:rsid w:val="00F42713"/>
    <w:rsid w:val="00F42A94"/>
    <w:rsid w:val="00F42BC4"/>
    <w:rsid w:val="00F43A08"/>
    <w:rsid w:val="00F43A57"/>
    <w:rsid w:val="00F44B07"/>
    <w:rsid w:val="00F4532F"/>
    <w:rsid w:val="00F45652"/>
    <w:rsid w:val="00F45A4F"/>
    <w:rsid w:val="00F45B1B"/>
    <w:rsid w:val="00F45B94"/>
    <w:rsid w:val="00F46094"/>
    <w:rsid w:val="00F4612B"/>
    <w:rsid w:val="00F463F6"/>
    <w:rsid w:val="00F4686A"/>
    <w:rsid w:val="00F46893"/>
    <w:rsid w:val="00F47B88"/>
    <w:rsid w:val="00F47D90"/>
    <w:rsid w:val="00F506CC"/>
    <w:rsid w:val="00F507A2"/>
    <w:rsid w:val="00F507B4"/>
    <w:rsid w:val="00F50F5D"/>
    <w:rsid w:val="00F51CE6"/>
    <w:rsid w:val="00F51EF4"/>
    <w:rsid w:val="00F52334"/>
    <w:rsid w:val="00F5299D"/>
    <w:rsid w:val="00F53030"/>
    <w:rsid w:val="00F53354"/>
    <w:rsid w:val="00F53563"/>
    <w:rsid w:val="00F5362E"/>
    <w:rsid w:val="00F5379F"/>
    <w:rsid w:val="00F53AB4"/>
    <w:rsid w:val="00F53BA9"/>
    <w:rsid w:val="00F53D39"/>
    <w:rsid w:val="00F53DBB"/>
    <w:rsid w:val="00F542FA"/>
    <w:rsid w:val="00F545A2"/>
    <w:rsid w:val="00F5472E"/>
    <w:rsid w:val="00F548BF"/>
    <w:rsid w:val="00F5520B"/>
    <w:rsid w:val="00F553C0"/>
    <w:rsid w:val="00F56325"/>
    <w:rsid w:val="00F568C3"/>
    <w:rsid w:val="00F56BB1"/>
    <w:rsid w:val="00F56D4A"/>
    <w:rsid w:val="00F56E95"/>
    <w:rsid w:val="00F56EA1"/>
    <w:rsid w:val="00F571E8"/>
    <w:rsid w:val="00F579BE"/>
    <w:rsid w:val="00F57D9B"/>
    <w:rsid w:val="00F57FE9"/>
    <w:rsid w:val="00F60AEE"/>
    <w:rsid w:val="00F60D15"/>
    <w:rsid w:val="00F61172"/>
    <w:rsid w:val="00F6146A"/>
    <w:rsid w:val="00F616FE"/>
    <w:rsid w:val="00F61C1F"/>
    <w:rsid w:val="00F61FDC"/>
    <w:rsid w:val="00F626AA"/>
    <w:rsid w:val="00F62860"/>
    <w:rsid w:val="00F62C0D"/>
    <w:rsid w:val="00F63953"/>
    <w:rsid w:val="00F639BD"/>
    <w:rsid w:val="00F63C68"/>
    <w:rsid w:val="00F63D4D"/>
    <w:rsid w:val="00F64570"/>
    <w:rsid w:val="00F64688"/>
    <w:rsid w:val="00F64AB5"/>
    <w:rsid w:val="00F65013"/>
    <w:rsid w:val="00F65E38"/>
    <w:rsid w:val="00F66371"/>
    <w:rsid w:val="00F67227"/>
    <w:rsid w:val="00F67C64"/>
    <w:rsid w:val="00F67C67"/>
    <w:rsid w:val="00F70745"/>
    <w:rsid w:val="00F70B06"/>
    <w:rsid w:val="00F71053"/>
    <w:rsid w:val="00F713CD"/>
    <w:rsid w:val="00F71541"/>
    <w:rsid w:val="00F7163A"/>
    <w:rsid w:val="00F71E17"/>
    <w:rsid w:val="00F72195"/>
    <w:rsid w:val="00F721BA"/>
    <w:rsid w:val="00F724C4"/>
    <w:rsid w:val="00F725BA"/>
    <w:rsid w:val="00F72A2B"/>
    <w:rsid w:val="00F72FC4"/>
    <w:rsid w:val="00F73AEA"/>
    <w:rsid w:val="00F7403C"/>
    <w:rsid w:val="00F745E6"/>
    <w:rsid w:val="00F74A51"/>
    <w:rsid w:val="00F74B5B"/>
    <w:rsid w:val="00F74E6A"/>
    <w:rsid w:val="00F7707E"/>
    <w:rsid w:val="00F80BC9"/>
    <w:rsid w:val="00F81183"/>
    <w:rsid w:val="00F82CC5"/>
    <w:rsid w:val="00F830B0"/>
    <w:rsid w:val="00F8318E"/>
    <w:rsid w:val="00F83F04"/>
    <w:rsid w:val="00F8412C"/>
    <w:rsid w:val="00F84878"/>
    <w:rsid w:val="00F84BFF"/>
    <w:rsid w:val="00F84DAC"/>
    <w:rsid w:val="00F853B2"/>
    <w:rsid w:val="00F85C18"/>
    <w:rsid w:val="00F863F8"/>
    <w:rsid w:val="00F86623"/>
    <w:rsid w:val="00F86712"/>
    <w:rsid w:val="00F86AE3"/>
    <w:rsid w:val="00F87177"/>
    <w:rsid w:val="00F878A6"/>
    <w:rsid w:val="00F9015E"/>
    <w:rsid w:val="00F90D27"/>
    <w:rsid w:val="00F91056"/>
    <w:rsid w:val="00F910DC"/>
    <w:rsid w:val="00F910F7"/>
    <w:rsid w:val="00F914A1"/>
    <w:rsid w:val="00F916CE"/>
    <w:rsid w:val="00F92241"/>
    <w:rsid w:val="00F92926"/>
    <w:rsid w:val="00F92951"/>
    <w:rsid w:val="00F92A12"/>
    <w:rsid w:val="00F92A47"/>
    <w:rsid w:val="00F93694"/>
    <w:rsid w:val="00F9398B"/>
    <w:rsid w:val="00F93F0E"/>
    <w:rsid w:val="00F94537"/>
    <w:rsid w:val="00F956A9"/>
    <w:rsid w:val="00F95E48"/>
    <w:rsid w:val="00F96321"/>
    <w:rsid w:val="00F96C66"/>
    <w:rsid w:val="00F96CB6"/>
    <w:rsid w:val="00F96D11"/>
    <w:rsid w:val="00F96E6A"/>
    <w:rsid w:val="00F97777"/>
    <w:rsid w:val="00F97C02"/>
    <w:rsid w:val="00FA1717"/>
    <w:rsid w:val="00FA20DC"/>
    <w:rsid w:val="00FA2EE6"/>
    <w:rsid w:val="00FA308E"/>
    <w:rsid w:val="00FA3565"/>
    <w:rsid w:val="00FA3C8E"/>
    <w:rsid w:val="00FA3EF6"/>
    <w:rsid w:val="00FA447F"/>
    <w:rsid w:val="00FA4D01"/>
    <w:rsid w:val="00FA591A"/>
    <w:rsid w:val="00FA5BB8"/>
    <w:rsid w:val="00FA6362"/>
    <w:rsid w:val="00FA637C"/>
    <w:rsid w:val="00FA66E9"/>
    <w:rsid w:val="00FB0073"/>
    <w:rsid w:val="00FB020E"/>
    <w:rsid w:val="00FB097B"/>
    <w:rsid w:val="00FB0A60"/>
    <w:rsid w:val="00FB1272"/>
    <w:rsid w:val="00FB12E1"/>
    <w:rsid w:val="00FB1305"/>
    <w:rsid w:val="00FB16E3"/>
    <w:rsid w:val="00FB18E2"/>
    <w:rsid w:val="00FB196D"/>
    <w:rsid w:val="00FB20D1"/>
    <w:rsid w:val="00FB2548"/>
    <w:rsid w:val="00FB35BF"/>
    <w:rsid w:val="00FB3C0D"/>
    <w:rsid w:val="00FB3C7E"/>
    <w:rsid w:val="00FB4322"/>
    <w:rsid w:val="00FB52AC"/>
    <w:rsid w:val="00FB5696"/>
    <w:rsid w:val="00FB581F"/>
    <w:rsid w:val="00FB5DF0"/>
    <w:rsid w:val="00FB615D"/>
    <w:rsid w:val="00FB6494"/>
    <w:rsid w:val="00FB64E8"/>
    <w:rsid w:val="00FB6533"/>
    <w:rsid w:val="00FB65B1"/>
    <w:rsid w:val="00FB7678"/>
    <w:rsid w:val="00FB7B59"/>
    <w:rsid w:val="00FB7EA6"/>
    <w:rsid w:val="00FC03A4"/>
    <w:rsid w:val="00FC097E"/>
    <w:rsid w:val="00FC0A67"/>
    <w:rsid w:val="00FC0A93"/>
    <w:rsid w:val="00FC1309"/>
    <w:rsid w:val="00FC13B0"/>
    <w:rsid w:val="00FC155A"/>
    <w:rsid w:val="00FC18CB"/>
    <w:rsid w:val="00FC1B9F"/>
    <w:rsid w:val="00FC1C93"/>
    <w:rsid w:val="00FC2428"/>
    <w:rsid w:val="00FC2A6D"/>
    <w:rsid w:val="00FC2E22"/>
    <w:rsid w:val="00FC3B59"/>
    <w:rsid w:val="00FC3B74"/>
    <w:rsid w:val="00FC41BD"/>
    <w:rsid w:val="00FC4D62"/>
    <w:rsid w:val="00FC56EA"/>
    <w:rsid w:val="00FC5F4B"/>
    <w:rsid w:val="00FC643B"/>
    <w:rsid w:val="00FC6B84"/>
    <w:rsid w:val="00FC6C4D"/>
    <w:rsid w:val="00FC7BCC"/>
    <w:rsid w:val="00FC7C92"/>
    <w:rsid w:val="00FD068B"/>
    <w:rsid w:val="00FD15D1"/>
    <w:rsid w:val="00FD19AF"/>
    <w:rsid w:val="00FD1E5B"/>
    <w:rsid w:val="00FD237E"/>
    <w:rsid w:val="00FD247D"/>
    <w:rsid w:val="00FD2DD1"/>
    <w:rsid w:val="00FD2FDB"/>
    <w:rsid w:val="00FD3250"/>
    <w:rsid w:val="00FD3A29"/>
    <w:rsid w:val="00FD3EE2"/>
    <w:rsid w:val="00FD4437"/>
    <w:rsid w:val="00FD49DB"/>
    <w:rsid w:val="00FD53F2"/>
    <w:rsid w:val="00FD58E4"/>
    <w:rsid w:val="00FD5C8F"/>
    <w:rsid w:val="00FD5DC6"/>
    <w:rsid w:val="00FD6D81"/>
    <w:rsid w:val="00FD6F69"/>
    <w:rsid w:val="00FD75B0"/>
    <w:rsid w:val="00FD75BF"/>
    <w:rsid w:val="00FD7865"/>
    <w:rsid w:val="00FD7B5F"/>
    <w:rsid w:val="00FD7EE0"/>
    <w:rsid w:val="00FE0155"/>
    <w:rsid w:val="00FE0184"/>
    <w:rsid w:val="00FE02E0"/>
    <w:rsid w:val="00FE0644"/>
    <w:rsid w:val="00FE0853"/>
    <w:rsid w:val="00FE0A16"/>
    <w:rsid w:val="00FE0ABE"/>
    <w:rsid w:val="00FE1C8C"/>
    <w:rsid w:val="00FE2967"/>
    <w:rsid w:val="00FE4414"/>
    <w:rsid w:val="00FE45B0"/>
    <w:rsid w:val="00FE50BB"/>
    <w:rsid w:val="00FE5331"/>
    <w:rsid w:val="00FE5501"/>
    <w:rsid w:val="00FE5786"/>
    <w:rsid w:val="00FE5A50"/>
    <w:rsid w:val="00FE600D"/>
    <w:rsid w:val="00FE6DB9"/>
    <w:rsid w:val="00FE7128"/>
    <w:rsid w:val="00FE751A"/>
    <w:rsid w:val="00FE7810"/>
    <w:rsid w:val="00FF0313"/>
    <w:rsid w:val="00FF03EC"/>
    <w:rsid w:val="00FF0CE3"/>
    <w:rsid w:val="00FF1B0D"/>
    <w:rsid w:val="00FF25E2"/>
    <w:rsid w:val="00FF267B"/>
    <w:rsid w:val="00FF268B"/>
    <w:rsid w:val="00FF3678"/>
    <w:rsid w:val="00FF37D8"/>
    <w:rsid w:val="00FF3948"/>
    <w:rsid w:val="00FF3A28"/>
    <w:rsid w:val="00FF402C"/>
    <w:rsid w:val="00FF447C"/>
    <w:rsid w:val="00FF4E85"/>
    <w:rsid w:val="00FF558C"/>
    <w:rsid w:val="00FF5778"/>
    <w:rsid w:val="00FF5917"/>
    <w:rsid w:val="00FF5CC2"/>
    <w:rsid w:val="00FF6051"/>
    <w:rsid w:val="00FF623C"/>
    <w:rsid w:val="00FF64CE"/>
    <w:rsid w:val="00FF64E4"/>
    <w:rsid w:val="00FF6599"/>
    <w:rsid w:val="00FF7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100"/>
    <o:shapelayout v:ext="edit">
      <o:idmap v:ext="edit" data="2"/>
    </o:shapelayout>
  </w:shapeDefaults>
  <w:decimalSymbol w:val="."/>
  <w:listSeparator w:val=","/>
  <w14:docId w14:val="79B192A9"/>
  <w15:chartTrackingRefBased/>
  <w15:docId w15:val="{4E029585-8DE1-437C-B4F4-490D79C7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OC1"/>
    <w:qFormat/>
    <w:rsid w:val="00B34AE4"/>
    <w:pPr>
      <w:spacing w:line="480" w:lineRule="auto"/>
      <w:jc w:val="both"/>
    </w:pPr>
    <w:rPr>
      <w:rFonts w:ascii="Times New Roman" w:eastAsia="Times New Roman" w:hAnsi="Times New Roman" w:cs="Times New Roman"/>
    </w:rPr>
  </w:style>
  <w:style w:type="paragraph" w:styleId="Heading1">
    <w:name w:val="heading 1"/>
    <w:basedOn w:val="Normal"/>
    <w:next w:val="Normal"/>
    <w:link w:val="Heading1Char"/>
    <w:uiPriority w:val="9"/>
    <w:qFormat/>
    <w:rsid w:val="0055674E"/>
    <w:pPr>
      <w:keepNext/>
      <w:keepLines/>
      <w:numPr>
        <w:numId w:val="5"/>
      </w:numPr>
      <w:spacing w:before="240"/>
      <w:outlineLvl w:val="0"/>
    </w:pPr>
    <w:rPr>
      <w:rFonts w:asciiTheme="majorBidi" w:eastAsiaTheme="majorEastAsia" w:hAnsiTheme="majorBidi" w:cstheme="majorBidi"/>
      <w:b/>
      <w:color w:val="000000" w:themeColor="text1"/>
      <w:sz w:val="32"/>
      <w:szCs w:val="32"/>
    </w:rPr>
  </w:style>
  <w:style w:type="paragraph" w:styleId="Heading2">
    <w:name w:val="heading 2"/>
    <w:basedOn w:val="Normal"/>
    <w:next w:val="Normal"/>
    <w:link w:val="Heading2Char"/>
    <w:uiPriority w:val="9"/>
    <w:unhideWhenUsed/>
    <w:qFormat/>
    <w:rsid w:val="00362574"/>
    <w:pPr>
      <w:keepNext/>
      <w:keepLines/>
      <w:numPr>
        <w:ilvl w:val="1"/>
        <w:numId w:val="5"/>
      </w:numPr>
      <w:spacing w:before="40"/>
      <w:outlineLvl w:val="1"/>
    </w:pPr>
    <w:rPr>
      <w:rFonts w:asciiTheme="majorBidi" w:eastAsiaTheme="majorEastAsia" w:hAnsiTheme="majorBidi"/>
      <w:b/>
    </w:rPr>
  </w:style>
  <w:style w:type="paragraph" w:styleId="Heading3">
    <w:name w:val="heading 3"/>
    <w:basedOn w:val="Normal"/>
    <w:next w:val="Normal"/>
    <w:link w:val="Heading3Char"/>
    <w:uiPriority w:val="9"/>
    <w:unhideWhenUsed/>
    <w:qFormat/>
    <w:rsid w:val="00AD5755"/>
    <w:pPr>
      <w:keepNext/>
      <w:keepLines/>
      <w:numPr>
        <w:ilvl w:val="2"/>
        <w:numId w:val="5"/>
      </w:numPr>
      <w:spacing w:before="40"/>
      <w:outlineLvl w:val="2"/>
    </w:pPr>
    <w:rPr>
      <w:rFonts w:asciiTheme="majorBidi" w:eastAsiaTheme="majorEastAsia" w:hAnsiTheme="majorBidi" w:cstheme="majorBidi"/>
      <w:b/>
    </w:rPr>
  </w:style>
  <w:style w:type="paragraph" w:styleId="Heading4">
    <w:name w:val="heading 4"/>
    <w:basedOn w:val="Normal"/>
    <w:next w:val="Normal"/>
    <w:link w:val="Heading4Char"/>
    <w:uiPriority w:val="9"/>
    <w:qFormat/>
    <w:rsid w:val="00F73AEA"/>
    <w:pPr>
      <w:keepNext/>
      <w:keepLines/>
      <w:numPr>
        <w:ilvl w:val="3"/>
        <w:numId w:val="5"/>
      </w:numPr>
      <w:spacing w:before="40"/>
      <w:outlineLvl w:val="3"/>
    </w:pPr>
    <w:rPr>
      <w:rFonts w:asciiTheme="majorBidi" w:eastAsiaTheme="majorEastAsia" w:hAnsiTheme="majorBidi" w:cstheme="majorBidi"/>
      <w:b/>
      <w:iCs/>
    </w:rPr>
  </w:style>
  <w:style w:type="paragraph" w:styleId="Heading5">
    <w:name w:val="heading 5"/>
    <w:basedOn w:val="Normal"/>
    <w:next w:val="Normal"/>
    <w:link w:val="Heading5Char"/>
    <w:uiPriority w:val="9"/>
    <w:semiHidden/>
    <w:unhideWhenUsed/>
    <w:qFormat/>
    <w:rsid w:val="00CA0FA8"/>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A0FA8"/>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A0FA8"/>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A0FA8"/>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0FA8"/>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20F6"/>
    <w:pPr>
      <w:tabs>
        <w:tab w:val="center" w:pos="4680"/>
        <w:tab w:val="right" w:pos="9360"/>
      </w:tabs>
    </w:pPr>
    <w:rPr>
      <w:rFonts w:eastAsiaTheme="minorHAnsi" w:cstheme="minorBidi"/>
      <w:sz w:val="22"/>
      <w:szCs w:val="22"/>
    </w:rPr>
  </w:style>
  <w:style w:type="character" w:customStyle="1" w:styleId="FooterChar">
    <w:name w:val="Footer Char"/>
    <w:basedOn w:val="DefaultParagraphFont"/>
    <w:link w:val="Footer"/>
    <w:uiPriority w:val="99"/>
    <w:rsid w:val="006120F6"/>
    <w:rPr>
      <w:sz w:val="22"/>
      <w:szCs w:val="22"/>
    </w:rPr>
  </w:style>
  <w:style w:type="character" w:styleId="PageNumber">
    <w:name w:val="page number"/>
    <w:basedOn w:val="DefaultParagraphFont"/>
    <w:uiPriority w:val="99"/>
    <w:unhideWhenUsed/>
    <w:rsid w:val="006120F6"/>
  </w:style>
  <w:style w:type="paragraph" w:styleId="Caption">
    <w:name w:val="caption"/>
    <w:basedOn w:val="Normal"/>
    <w:next w:val="Normal"/>
    <w:uiPriority w:val="35"/>
    <w:unhideWhenUsed/>
    <w:qFormat/>
    <w:rsid w:val="006F5A85"/>
    <w:pPr>
      <w:spacing w:after="200" w:line="360" w:lineRule="auto"/>
    </w:pPr>
    <w:rPr>
      <w:rFonts w:eastAsiaTheme="minorHAnsi" w:cstheme="minorBidi"/>
      <w:iCs/>
      <w:color w:val="000000" w:themeColor="text1"/>
      <w:szCs w:val="18"/>
    </w:rPr>
  </w:style>
  <w:style w:type="paragraph" w:customStyle="1" w:styleId="EndNoteBibliographyTitle">
    <w:name w:val="EndNote Bibliography Title"/>
    <w:basedOn w:val="Normal"/>
    <w:link w:val="EndNoteBibliographyTitleChar"/>
    <w:rsid w:val="004E1C22"/>
    <w:pPr>
      <w:spacing w:line="259" w:lineRule="auto"/>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4E1C22"/>
    <w:rPr>
      <w:rFonts w:ascii="Times New Roman" w:hAnsi="Times New Roman" w:cs="Times New Roman"/>
      <w:noProof/>
      <w:szCs w:val="22"/>
    </w:rPr>
  </w:style>
  <w:style w:type="paragraph" w:customStyle="1" w:styleId="EndNoteBibliography">
    <w:name w:val="EndNote Bibliography"/>
    <w:basedOn w:val="Normal"/>
    <w:link w:val="EndNoteBibliographyChar"/>
    <w:rsid w:val="004E1C22"/>
    <w:pPr>
      <w:spacing w:after="160" w:line="360" w:lineRule="auto"/>
    </w:pPr>
    <w:rPr>
      <w:rFonts w:eastAsiaTheme="minorHAnsi"/>
      <w:noProof/>
      <w:szCs w:val="22"/>
    </w:rPr>
  </w:style>
  <w:style w:type="character" w:customStyle="1" w:styleId="EndNoteBibliographyChar">
    <w:name w:val="EndNote Bibliography Char"/>
    <w:basedOn w:val="DefaultParagraphFont"/>
    <w:link w:val="EndNoteBibliography"/>
    <w:rsid w:val="004E1C22"/>
    <w:rPr>
      <w:rFonts w:ascii="Times New Roman" w:hAnsi="Times New Roman" w:cs="Times New Roman"/>
      <w:noProof/>
      <w:szCs w:val="22"/>
    </w:rPr>
  </w:style>
  <w:style w:type="character" w:styleId="PlaceholderText">
    <w:name w:val="Placeholder Text"/>
    <w:basedOn w:val="DefaultParagraphFont"/>
    <w:uiPriority w:val="99"/>
    <w:semiHidden/>
    <w:rsid w:val="004E1C22"/>
    <w:rPr>
      <w:color w:val="808080"/>
    </w:rPr>
  </w:style>
  <w:style w:type="paragraph" w:styleId="Header">
    <w:name w:val="header"/>
    <w:basedOn w:val="Normal"/>
    <w:link w:val="HeaderChar"/>
    <w:uiPriority w:val="99"/>
    <w:unhideWhenUsed/>
    <w:rsid w:val="004E1C22"/>
    <w:pPr>
      <w:tabs>
        <w:tab w:val="center" w:pos="4680"/>
        <w:tab w:val="right" w:pos="9360"/>
      </w:tabs>
    </w:pPr>
    <w:rPr>
      <w:rFonts w:eastAsiaTheme="minorHAnsi" w:cstheme="minorBidi"/>
      <w:sz w:val="22"/>
      <w:szCs w:val="22"/>
    </w:rPr>
  </w:style>
  <w:style w:type="character" w:customStyle="1" w:styleId="HeaderChar">
    <w:name w:val="Header Char"/>
    <w:basedOn w:val="DefaultParagraphFont"/>
    <w:link w:val="Header"/>
    <w:uiPriority w:val="99"/>
    <w:rsid w:val="004E1C22"/>
    <w:rPr>
      <w:sz w:val="22"/>
      <w:szCs w:val="22"/>
    </w:rPr>
  </w:style>
  <w:style w:type="character" w:styleId="Hyperlink">
    <w:name w:val="Hyperlink"/>
    <w:basedOn w:val="DefaultParagraphFont"/>
    <w:uiPriority w:val="99"/>
    <w:unhideWhenUsed/>
    <w:rsid w:val="004E1C22"/>
    <w:rPr>
      <w:color w:val="0563C1" w:themeColor="hyperlink"/>
      <w:u w:val="single"/>
    </w:rPr>
  </w:style>
  <w:style w:type="character" w:customStyle="1" w:styleId="UnresolvedMention1">
    <w:name w:val="Unresolved Mention1"/>
    <w:basedOn w:val="DefaultParagraphFont"/>
    <w:uiPriority w:val="99"/>
    <w:semiHidden/>
    <w:unhideWhenUsed/>
    <w:rsid w:val="004E1C22"/>
    <w:rPr>
      <w:color w:val="605E5C"/>
      <w:shd w:val="clear" w:color="auto" w:fill="E1DFDD"/>
    </w:rPr>
  </w:style>
  <w:style w:type="paragraph" w:styleId="ListParagraph">
    <w:name w:val="List Paragraph"/>
    <w:basedOn w:val="Normal"/>
    <w:uiPriority w:val="34"/>
    <w:qFormat/>
    <w:rsid w:val="004E1C22"/>
    <w:pPr>
      <w:spacing w:after="160" w:line="259" w:lineRule="auto"/>
      <w:ind w:left="720"/>
      <w:contextualSpacing/>
    </w:pPr>
    <w:rPr>
      <w:rFonts w:eastAsiaTheme="minorHAnsi" w:cstheme="minorBidi"/>
      <w:sz w:val="22"/>
      <w:szCs w:val="22"/>
    </w:rPr>
  </w:style>
  <w:style w:type="table" w:styleId="TableGrid">
    <w:name w:val="Table Grid"/>
    <w:basedOn w:val="TableNormal"/>
    <w:uiPriority w:val="39"/>
    <w:rsid w:val="004E1C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E1C22"/>
    <w:rPr>
      <w:sz w:val="16"/>
      <w:szCs w:val="16"/>
    </w:rPr>
  </w:style>
  <w:style w:type="paragraph" w:styleId="CommentText">
    <w:name w:val="annotation text"/>
    <w:basedOn w:val="Normal"/>
    <w:link w:val="CommentTextChar"/>
    <w:uiPriority w:val="99"/>
    <w:unhideWhenUsed/>
    <w:rsid w:val="004E1C22"/>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sid w:val="004E1C22"/>
    <w:rPr>
      <w:sz w:val="20"/>
      <w:szCs w:val="20"/>
    </w:rPr>
  </w:style>
  <w:style w:type="paragraph" w:styleId="CommentSubject">
    <w:name w:val="annotation subject"/>
    <w:basedOn w:val="CommentText"/>
    <w:next w:val="CommentText"/>
    <w:link w:val="CommentSubjectChar"/>
    <w:uiPriority w:val="99"/>
    <w:unhideWhenUsed/>
    <w:rsid w:val="004E1C22"/>
    <w:rPr>
      <w:b/>
      <w:bCs/>
    </w:rPr>
  </w:style>
  <w:style w:type="character" w:customStyle="1" w:styleId="CommentSubjectChar">
    <w:name w:val="Comment Subject Char"/>
    <w:basedOn w:val="CommentTextChar"/>
    <w:link w:val="CommentSubject"/>
    <w:uiPriority w:val="99"/>
    <w:rsid w:val="004E1C22"/>
    <w:rPr>
      <w:b/>
      <w:bCs/>
      <w:sz w:val="20"/>
      <w:szCs w:val="20"/>
    </w:rPr>
  </w:style>
  <w:style w:type="paragraph" w:styleId="Revision">
    <w:name w:val="Revision"/>
    <w:hidden/>
    <w:uiPriority w:val="99"/>
    <w:semiHidden/>
    <w:rsid w:val="00D74389"/>
    <w:rPr>
      <w:rFonts w:eastAsia="Times New Roman" w:cs="Times New Roman"/>
    </w:rPr>
  </w:style>
  <w:style w:type="paragraph" w:styleId="NormalWeb">
    <w:name w:val="Normal (Web)"/>
    <w:basedOn w:val="Normal"/>
    <w:uiPriority w:val="99"/>
    <w:unhideWhenUsed/>
    <w:rsid w:val="00194440"/>
    <w:pPr>
      <w:spacing w:before="100" w:beforeAutospacing="1" w:after="100" w:afterAutospacing="1"/>
    </w:pPr>
  </w:style>
  <w:style w:type="table" w:customStyle="1" w:styleId="TableGrid1">
    <w:name w:val="Table Grid1"/>
    <w:basedOn w:val="TableNormal"/>
    <w:next w:val="TableGrid"/>
    <w:uiPriority w:val="39"/>
    <w:rsid w:val="00E80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97286"/>
    <w:rPr>
      <w:rFonts w:eastAsia="Times New Roman" w:cs="Times New Roman"/>
    </w:rPr>
  </w:style>
  <w:style w:type="character" w:customStyle="1" w:styleId="Heading1Char">
    <w:name w:val="Heading 1 Char"/>
    <w:basedOn w:val="DefaultParagraphFont"/>
    <w:link w:val="Heading1"/>
    <w:uiPriority w:val="9"/>
    <w:rsid w:val="0055674E"/>
    <w:rPr>
      <w:rFonts w:asciiTheme="majorBidi" w:eastAsiaTheme="majorEastAsia" w:hAnsiTheme="majorBidi" w:cstheme="majorBidi"/>
      <w:b/>
      <w:color w:val="000000" w:themeColor="text1"/>
      <w:sz w:val="32"/>
      <w:szCs w:val="32"/>
    </w:rPr>
  </w:style>
  <w:style w:type="character" w:styleId="BookTitle">
    <w:name w:val="Book Title"/>
    <w:basedOn w:val="DefaultParagraphFont"/>
    <w:uiPriority w:val="33"/>
    <w:qFormat/>
    <w:rsid w:val="00C9525C"/>
    <w:rPr>
      <w:b/>
      <w:bCs/>
      <w:i/>
      <w:iCs/>
      <w:spacing w:val="5"/>
    </w:rPr>
  </w:style>
  <w:style w:type="character" w:customStyle="1" w:styleId="Heading2Char">
    <w:name w:val="Heading 2 Char"/>
    <w:basedOn w:val="DefaultParagraphFont"/>
    <w:link w:val="Heading2"/>
    <w:uiPriority w:val="9"/>
    <w:rsid w:val="00362574"/>
    <w:rPr>
      <w:rFonts w:asciiTheme="majorBidi" w:eastAsiaTheme="majorEastAsia" w:hAnsiTheme="majorBidi" w:cs="Times New Roman"/>
      <w:b/>
    </w:rPr>
  </w:style>
  <w:style w:type="paragraph" w:customStyle="1" w:styleId="Style1">
    <w:name w:val="Style1"/>
    <w:basedOn w:val="Heading1"/>
    <w:qFormat/>
    <w:rsid w:val="00482C0D"/>
    <w:rPr>
      <w:rFonts w:ascii="Times New Roman" w:hAnsi="Times New Roman"/>
      <w:b w:val="0"/>
      <w:color w:val="auto"/>
      <w:sz w:val="24"/>
    </w:rPr>
  </w:style>
  <w:style w:type="paragraph" w:customStyle="1" w:styleId="Style2">
    <w:name w:val="Style2"/>
    <w:basedOn w:val="Style1"/>
    <w:rsid w:val="00482C0D"/>
    <w:pPr>
      <w:spacing w:after="120"/>
    </w:pPr>
  </w:style>
  <w:style w:type="paragraph" w:customStyle="1" w:styleId="Style3">
    <w:name w:val="Style3"/>
    <w:basedOn w:val="Style2"/>
    <w:rsid w:val="00482C0D"/>
    <w:pPr>
      <w:spacing w:before="120"/>
    </w:pPr>
  </w:style>
  <w:style w:type="paragraph" w:customStyle="1" w:styleId="Style4">
    <w:name w:val="Style4"/>
    <w:basedOn w:val="Style3"/>
    <w:next w:val="Style3"/>
    <w:rsid w:val="00482C0D"/>
    <w:pPr>
      <w:spacing w:before="240" w:after="240"/>
    </w:pPr>
  </w:style>
  <w:style w:type="paragraph" w:customStyle="1" w:styleId="Style5">
    <w:name w:val="Style5"/>
    <w:basedOn w:val="Style3"/>
    <w:rsid w:val="00482C0D"/>
    <w:pPr>
      <w:spacing w:before="0" w:after="0"/>
    </w:pPr>
  </w:style>
  <w:style w:type="paragraph" w:customStyle="1" w:styleId="Style6">
    <w:name w:val="Style6"/>
    <w:basedOn w:val="Style4"/>
    <w:rsid w:val="00EB3FCC"/>
    <w:pPr>
      <w:spacing w:before="360" w:after="360"/>
    </w:pPr>
  </w:style>
  <w:style w:type="paragraph" w:customStyle="1" w:styleId="Style7">
    <w:name w:val="Style7"/>
    <w:basedOn w:val="Heading1"/>
    <w:link w:val="Style7Char"/>
    <w:qFormat/>
    <w:rsid w:val="001B16FE"/>
    <w:pPr>
      <w:spacing w:before="120" w:after="120"/>
    </w:pPr>
    <w:rPr>
      <w:rFonts w:ascii="Times New Roman" w:hAnsi="Times New Roman"/>
      <w:b w:val="0"/>
      <w:color w:val="auto"/>
      <w:sz w:val="24"/>
    </w:rPr>
  </w:style>
  <w:style w:type="paragraph" w:customStyle="1" w:styleId="TAMainText">
    <w:name w:val="TA_Main_Text"/>
    <w:basedOn w:val="Normal"/>
    <w:rsid w:val="009968EF"/>
    <w:pPr>
      <w:ind w:firstLine="202"/>
    </w:pPr>
    <w:rPr>
      <w:rFonts w:ascii="Times" w:hAnsi="Times"/>
      <w:szCs w:val="20"/>
    </w:rPr>
  </w:style>
  <w:style w:type="paragraph" w:customStyle="1" w:styleId="VAFigureCaption">
    <w:name w:val="VA_Figure_Caption"/>
    <w:basedOn w:val="Normal"/>
    <w:next w:val="Normal"/>
    <w:rsid w:val="009968EF"/>
    <w:pPr>
      <w:spacing w:after="200"/>
    </w:pPr>
    <w:rPr>
      <w:rFonts w:ascii="Times" w:hAnsi="Times"/>
      <w:szCs w:val="20"/>
    </w:rPr>
  </w:style>
  <w:style w:type="character" w:customStyle="1" w:styleId="Style7Char">
    <w:name w:val="Style7 Char"/>
    <w:basedOn w:val="Heading1Char"/>
    <w:link w:val="Style7"/>
    <w:rsid w:val="001B16FE"/>
    <w:rPr>
      <w:rFonts w:ascii="Times New Roman" w:eastAsiaTheme="majorEastAsia" w:hAnsi="Times New Roman" w:cstheme="majorBidi"/>
      <w:b w:val="0"/>
      <w:color w:val="000000" w:themeColor="text1"/>
      <w:sz w:val="32"/>
      <w:szCs w:val="32"/>
    </w:rPr>
  </w:style>
  <w:style w:type="character" w:customStyle="1" w:styleId="Heading3Char">
    <w:name w:val="Heading 3 Char"/>
    <w:basedOn w:val="DefaultParagraphFont"/>
    <w:link w:val="Heading3"/>
    <w:uiPriority w:val="9"/>
    <w:rsid w:val="00AD5755"/>
    <w:rPr>
      <w:rFonts w:asciiTheme="majorBidi" w:eastAsiaTheme="majorEastAsia" w:hAnsiTheme="majorBidi" w:cstheme="majorBidi"/>
      <w:b/>
    </w:rPr>
  </w:style>
  <w:style w:type="paragraph" w:customStyle="1" w:styleId="Default">
    <w:name w:val="Default"/>
    <w:rsid w:val="00275C00"/>
    <w:pPr>
      <w:autoSpaceDE w:val="0"/>
      <w:autoSpaceDN w:val="0"/>
      <w:adjustRightInd w:val="0"/>
    </w:pPr>
    <w:rPr>
      <w:rFonts w:ascii="Symbol" w:eastAsia="Times New Roman" w:hAnsi="Symbol" w:cs="Symbol"/>
      <w:color w:val="000000"/>
    </w:rPr>
  </w:style>
  <w:style w:type="paragraph" w:customStyle="1" w:styleId="VDTableTitle">
    <w:name w:val="VD_Table_Title"/>
    <w:basedOn w:val="Normal"/>
    <w:next w:val="Normal"/>
    <w:link w:val="VDTableTitleChar"/>
    <w:rsid w:val="00E95A8C"/>
    <w:pPr>
      <w:spacing w:after="200"/>
    </w:pPr>
    <w:rPr>
      <w:rFonts w:ascii="Times" w:hAnsi="Times"/>
      <w:szCs w:val="20"/>
    </w:rPr>
  </w:style>
  <w:style w:type="paragraph" w:customStyle="1" w:styleId="TCTableBody">
    <w:name w:val="TC_Table_Body"/>
    <w:basedOn w:val="Normal"/>
    <w:rsid w:val="00E95A8C"/>
    <w:pPr>
      <w:spacing w:after="200" w:line="240" w:lineRule="auto"/>
    </w:pPr>
    <w:rPr>
      <w:rFonts w:ascii="Times" w:hAnsi="Times"/>
      <w:szCs w:val="20"/>
    </w:rPr>
  </w:style>
  <w:style w:type="paragraph" w:styleId="EndnoteText">
    <w:name w:val="endnote text"/>
    <w:basedOn w:val="Normal"/>
    <w:link w:val="EndnoteTextChar"/>
    <w:uiPriority w:val="99"/>
    <w:semiHidden/>
    <w:unhideWhenUsed/>
    <w:rsid w:val="00A7555D"/>
    <w:pPr>
      <w:spacing w:line="240" w:lineRule="auto"/>
      <w:jc w:val="left"/>
    </w:pPr>
    <w:rPr>
      <w:rFonts w:eastAsiaTheme="minorHAnsi" w:cstheme="minorBidi"/>
      <w:sz w:val="20"/>
      <w:szCs w:val="20"/>
    </w:rPr>
  </w:style>
  <w:style w:type="character" w:customStyle="1" w:styleId="EndnoteTextChar">
    <w:name w:val="Endnote Text Char"/>
    <w:basedOn w:val="DefaultParagraphFont"/>
    <w:link w:val="EndnoteText"/>
    <w:uiPriority w:val="99"/>
    <w:semiHidden/>
    <w:rsid w:val="00A7555D"/>
    <w:rPr>
      <w:rFonts w:ascii="Times New Roman" w:hAnsi="Times New Roman"/>
      <w:sz w:val="20"/>
      <w:szCs w:val="20"/>
    </w:rPr>
  </w:style>
  <w:style w:type="character" w:styleId="EndnoteReference">
    <w:name w:val="endnote reference"/>
    <w:basedOn w:val="DefaultParagraphFont"/>
    <w:uiPriority w:val="99"/>
    <w:unhideWhenUsed/>
    <w:rsid w:val="00A7555D"/>
    <w:rPr>
      <w:vertAlign w:val="superscript"/>
    </w:rPr>
  </w:style>
  <w:style w:type="character" w:styleId="FollowedHyperlink">
    <w:name w:val="FollowedHyperlink"/>
    <w:basedOn w:val="DefaultParagraphFont"/>
    <w:uiPriority w:val="99"/>
    <w:unhideWhenUsed/>
    <w:rsid w:val="00067154"/>
    <w:rPr>
      <w:color w:val="954F72" w:themeColor="followedHyperlink"/>
      <w:u w:val="single"/>
    </w:rPr>
  </w:style>
  <w:style w:type="table" w:customStyle="1" w:styleId="TableGrid3">
    <w:name w:val="Table Grid3"/>
    <w:basedOn w:val="TableNormal"/>
    <w:next w:val="TableGrid"/>
    <w:uiPriority w:val="39"/>
    <w:rsid w:val="007B44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1articletype">
    <w:name w:val="MDPI_1.1_article_type"/>
    <w:next w:val="Normal"/>
    <w:rsid w:val="007B4410"/>
    <w:pPr>
      <w:adjustRightInd w:val="0"/>
      <w:snapToGrid w:val="0"/>
      <w:spacing w:before="240"/>
    </w:pPr>
    <w:rPr>
      <w:rFonts w:ascii="Palatino Linotype" w:eastAsia="Times New Roman" w:hAnsi="Palatino Linotype" w:cs="Times New Roman"/>
      <w:i/>
      <w:snapToGrid w:val="0"/>
      <w:color w:val="000000"/>
      <w:sz w:val="20"/>
      <w:szCs w:val="22"/>
      <w:lang w:eastAsia="de-DE" w:bidi="en-US"/>
    </w:rPr>
  </w:style>
  <w:style w:type="paragraph" w:customStyle="1" w:styleId="MDPI12title">
    <w:name w:val="MDPI_1.2_title"/>
    <w:next w:val="Normal"/>
    <w:rsid w:val="007B4410"/>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rsid w:val="007B4410"/>
    <w:pPr>
      <w:adjustRightInd w:val="0"/>
      <w:snapToGrid w:val="0"/>
      <w:spacing w:after="360" w:line="260" w:lineRule="atLeast"/>
    </w:pPr>
    <w:rPr>
      <w:rFonts w:ascii="Palatino Linotype" w:eastAsia="Times New Roman" w:hAnsi="Palatino Linotype" w:cs="Times New Roman"/>
      <w:b/>
      <w:color w:val="000000"/>
      <w:sz w:val="20"/>
      <w:szCs w:val="22"/>
      <w:lang w:eastAsia="de-DE" w:bidi="en-US"/>
    </w:rPr>
  </w:style>
  <w:style w:type="paragraph" w:customStyle="1" w:styleId="MDPI14history">
    <w:name w:val="MDPI_1.4_history"/>
    <w:basedOn w:val="Normal"/>
    <w:next w:val="Normal"/>
    <w:rsid w:val="007B4410"/>
    <w:pPr>
      <w:adjustRightInd w:val="0"/>
      <w:snapToGrid w:val="0"/>
      <w:spacing w:line="240" w:lineRule="atLeast"/>
      <w:ind w:right="113"/>
      <w:jc w:val="left"/>
    </w:pPr>
    <w:rPr>
      <w:rFonts w:ascii="Palatino Linotype" w:hAnsi="Palatino Linotype"/>
      <w:color w:val="000000"/>
      <w:sz w:val="14"/>
      <w:szCs w:val="20"/>
      <w:lang w:eastAsia="de-DE" w:bidi="en-US"/>
    </w:rPr>
  </w:style>
  <w:style w:type="paragraph" w:customStyle="1" w:styleId="MDPI16affiliation">
    <w:name w:val="MDPI_1.6_affiliation"/>
    <w:rsid w:val="007B4410"/>
    <w:pPr>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rsid w:val="007B4410"/>
    <w:pPr>
      <w:adjustRightInd w:val="0"/>
      <w:snapToGrid w:val="0"/>
      <w:spacing w:before="240" w:line="260" w:lineRule="atLeast"/>
      <w:ind w:left="2608"/>
      <w:jc w:val="both"/>
    </w:pPr>
    <w:rPr>
      <w:rFonts w:ascii="Palatino Linotype" w:eastAsia="Times New Roman" w:hAnsi="Palatino Linotype" w:cs="Times New Roman"/>
      <w:color w:val="000000"/>
      <w:sz w:val="18"/>
      <w:szCs w:val="22"/>
      <w:lang w:eastAsia="de-DE" w:bidi="en-US"/>
    </w:rPr>
  </w:style>
  <w:style w:type="paragraph" w:customStyle="1" w:styleId="MDPI18keywords">
    <w:name w:val="MDPI_1.8_keywords"/>
    <w:next w:val="Normal"/>
    <w:qFormat/>
    <w:rsid w:val="007B4410"/>
    <w:pPr>
      <w:adjustRightInd w:val="0"/>
      <w:snapToGrid w:val="0"/>
      <w:spacing w:before="240" w:line="260" w:lineRule="atLeast"/>
      <w:ind w:left="2608"/>
      <w:jc w:val="both"/>
    </w:pPr>
    <w:rPr>
      <w:rFonts w:ascii="Palatino Linotype" w:eastAsia="Times New Roman" w:hAnsi="Palatino Linotype" w:cs="Times New Roman"/>
      <w:snapToGrid w:val="0"/>
      <w:color w:val="000000"/>
      <w:sz w:val="18"/>
      <w:szCs w:val="22"/>
      <w:lang w:eastAsia="de-DE" w:bidi="en-US"/>
    </w:rPr>
  </w:style>
  <w:style w:type="paragraph" w:customStyle="1" w:styleId="MDPI19line">
    <w:name w:val="MDPI_1.9_line"/>
    <w:qFormat/>
    <w:rsid w:val="007B4410"/>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 w:val="20"/>
      <w:lang w:eastAsia="de-DE" w:bidi="en-US"/>
    </w:rPr>
  </w:style>
  <w:style w:type="table" w:customStyle="1" w:styleId="Mdeck5tablebodythreelines">
    <w:name w:val="M_deck_5_table_body_three_lines"/>
    <w:basedOn w:val="TableNormal"/>
    <w:uiPriority w:val="99"/>
    <w:rsid w:val="007B4410"/>
    <w:pPr>
      <w:adjustRightInd w:val="0"/>
      <w:snapToGrid w:val="0"/>
      <w:spacing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7B4410"/>
    <w:pPr>
      <w:adjustRightInd w:val="0"/>
      <w:snapToGrid w:val="0"/>
      <w:spacing w:line="260" w:lineRule="atLeast"/>
      <w:jc w:val="both"/>
    </w:pPr>
    <w:rPr>
      <w:rFonts w:ascii="Palatino Linotype" w:eastAsia="Times New Roman" w:hAnsi="Palatino Linotype" w:cs="Times New Roman"/>
      <w:i/>
      <w:color w:val="000000"/>
      <w:szCs w:val="22"/>
      <w:lang w:eastAsia="de-CH"/>
    </w:rPr>
  </w:style>
  <w:style w:type="paragraph" w:customStyle="1" w:styleId="MDPI32textnoindent">
    <w:name w:val="MDPI_3.2_text_no_indent"/>
    <w:basedOn w:val="MDPI31text"/>
    <w:qFormat/>
    <w:rsid w:val="007B4410"/>
    <w:pPr>
      <w:ind w:firstLine="0"/>
    </w:pPr>
  </w:style>
  <w:style w:type="paragraph" w:customStyle="1" w:styleId="MDPI31text">
    <w:name w:val="MDPI_3.1_text"/>
    <w:link w:val="MDPI31textChar"/>
    <w:qFormat/>
    <w:rsid w:val="007B4410"/>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eastAsia="de-DE" w:bidi="en-US"/>
    </w:rPr>
  </w:style>
  <w:style w:type="paragraph" w:customStyle="1" w:styleId="MDPI33textspaceafter">
    <w:name w:val="MDPI_3.3_text_space_after"/>
    <w:rsid w:val="007B4410"/>
    <w:pPr>
      <w:adjustRightInd w:val="0"/>
      <w:snapToGrid w:val="0"/>
      <w:spacing w:after="240"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34textspacebefore">
    <w:name w:val="MDPI_3.4_text_space_before"/>
    <w:rsid w:val="007B4410"/>
    <w:pPr>
      <w:adjustRightInd w:val="0"/>
      <w:snapToGrid w:val="0"/>
      <w:spacing w:before="240"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35textbeforelist">
    <w:name w:val="MDPI_3.5_text_before_list"/>
    <w:rsid w:val="007B4410"/>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eastAsia="de-DE" w:bidi="en-US"/>
    </w:rPr>
  </w:style>
  <w:style w:type="paragraph" w:customStyle="1" w:styleId="MDPI36textafterlist">
    <w:name w:val="MDPI_3.6_text_after_list"/>
    <w:rsid w:val="007B4410"/>
    <w:pPr>
      <w:adjustRightInd w:val="0"/>
      <w:snapToGrid w:val="0"/>
      <w:spacing w:before="120"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37itemize">
    <w:name w:val="MDPI_3.7_itemize"/>
    <w:rsid w:val="007B4410"/>
    <w:pPr>
      <w:numPr>
        <w:numId w:val="1"/>
      </w:numPr>
      <w:adjustRightInd w:val="0"/>
      <w:snapToGrid w:val="0"/>
      <w:spacing w:line="228" w:lineRule="auto"/>
      <w:jc w:val="both"/>
    </w:pPr>
    <w:rPr>
      <w:rFonts w:ascii="Palatino Linotype" w:eastAsia="Times New Roman" w:hAnsi="Palatino Linotype" w:cs="Times New Roman"/>
      <w:color w:val="000000"/>
      <w:sz w:val="20"/>
      <w:szCs w:val="22"/>
      <w:lang w:eastAsia="de-DE" w:bidi="en-US"/>
    </w:rPr>
  </w:style>
  <w:style w:type="paragraph" w:customStyle="1" w:styleId="MDPI38bullet">
    <w:name w:val="MDPI_3.8_bullet"/>
    <w:rsid w:val="007B4410"/>
    <w:pPr>
      <w:numPr>
        <w:numId w:val="2"/>
      </w:numPr>
      <w:adjustRightInd w:val="0"/>
      <w:snapToGrid w:val="0"/>
      <w:spacing w:line="228" w:lineRule="auto"/>
      <w:jc w:val="both"/>
    </w:pPr>
    <w:rPr>
      <w:rFonts w:ascii="Palatino Linotype" w:eastAsia="Times New Roman" w:hAnsi="Palatino Linotype" w:cs="Times New Roman"/>
      <w:color w:val="000000"/>
      <w:sz w:val="20"/>
      <w:szCs w:val="22"/>
      <w:lang w:eastAsia="de-DE" w:bidi="en-US"/>
    </w:rPr>
  </w:style>
  <w:style w:type="paragraph" w:customStyle="1" w:styleId="MDPI39equation">
    <w:name w:val="MDPI_3.9_equation"/>
    <w:qFormat/>
    <w:rsid w:val="007B4410"/>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szCs w:val="22"/>
      <w:lang w:eastAsia="de-DE" w:bidi="en-US"/>
    </w:rPr>
  </w:style>
  <w:style w:type="paragraph" w:customStyle="1" w:styleId="MDPI3aequationnumber">
    <w:name w:val="MDPI_3.a_equation_number"/>
    <w:qFormat/>
    <w:rsid w:val="007B4410"/>
    <w:pPr>
      <w:spacing w:before="120" w:after="120"/>
      <w:jc w:val="right"/>
    </w:pPr>
    <w:rPr>
      <w:rFonts w:ascii="Palatino Linotype" w:eastAsia="Times New Roman" w:hAnsi="Palatino Linotype" w:cs="Times New Roman"/>
      <w:snapToGrid w:val="0"/>
      <w:color w:val="000000"/>
      <w:sz w:val="20"/>
      <w:szCs w:val="22"/>
      <w:lang w:eastAsia="de-DE" w:bidi="en-US"/>
    </w:rPr>
  </w:style>
  <w:style w:type="paragraph" w:customStyle="1" w:styleId="MDPI41tablecaption">
    <w:name w:val="MDPI_4.1_table_caption"/>
    <w:qFormat/>
    <w:rsid w:val="007B4410"/>
    <w:pPr>
      <w:adjustRightInd w:val="0"/>
      <w:snapToGrid w:val="0"/>
      <w:spacing w:before="240" w:after="120" w:line="228" w:lineRule="auto"/>
      <w:ind w:left="2608"/>
    </w:pPr>
    <w:rPr>
      <w:rFonts w:ascii="Palatino Linotype" w:eastAsia="Times New Roman" w:hAnsi="Palatino Linotype"/>
      <w:color w:val="000000"/>
      <w:sz w:val="18"/>
      <w:szCs w:val="22"/>
      <w:lang w:eastAsia="de-DE" w:bidi="en-US"/>
    </w:rPr>
  </w:style>
  <w:style w:type="paragraph" w:customStyle="1" w:styleId="MDPI42tablebody">
    <w:name w:val="MDPI_4.2_table_body"/>
    <w:qFormat/>
    <w:rsid w:val="007B4410"/>
    <w:pPr>
      <w:adjustRightInd w:val="0"/>
      <w:snapToGrid w:val="0"/>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7B4410"/>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7B4410"/>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7B4410"/>
    <w:pPr>
      <w:adjustRightInd w:val="0"/>
      <w:snapToGrid w:val="0"/>
      <w:spacing w:before="240" w:after="120"/>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7B4410"/>
    <w:pPr>
      <w:adjustRightInd w:val="0"/>
      <w:snapToGrid w:val="0"/>
      <w:spacing w:line="228" w:lineRule="auto"/>
      <w:ind w:left="2608"/>
      <w:jc w:val="both"/>
    </w:pPr>
    <w:rPr>
      <w:rFonts w:ascii="Palatino Linotype" w:eastAsia="Times New Roman" w:hAnsi="Palatino Linotype" w:cs="Times New Roman"/>
      <w:i/>
      <w:snapToGrid w:val="0"/>
      <w:color w:val="000000"/>
      <w:sz w:val="20"/>
      <w:szCs w:val="22"/>
      <w:lang w:eastAsia="de-DE" w:bidi="en-US"/>
    </w:rPr>
  </w:style>
  <w:style w:type="paragraph" w:customStyle="1" w:styleId="MDPI82proof">
    <w:name w:val="MDPI_8.2_proof"/>
    <w:qFormat/>
    <w:rsid w:val="007B4410"/>
    <w:pPr>
      <w:adjustRightInd w:val="0"/>
      <w:snapToGrid w:val="0"/>
      <w:spacing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23heading3">
    <w:name w:val="MDPI_2.3_heading3"/>
    <w:rsid w:val="007B4410"/>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szCs w:val="22"/>
      <w:lang w:eastAsia="de-DE" w:bidi="en-US"/>
    </w:rPr>
  </w:style>
  <w:style w:type="paragraph" w:customStyle="1" w:styleId="MDPI21heading1">
    <w:name w:val="MDPI_2.1_heading1"/>
    <w:rsid w:val="007B4410"/>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szCs w:val="22"/>
      <w:lang w:eastAsia="de-DE" w:bidi="en-US"/>
    </w:rPr>
  </w:style>
  <w:style w:type="paragraph" w:customStyle="1" w:styleId="MDPI22heading2">
    <w:name w:val="MDPI_2.2_heading2"/>
    <w:qFormat/>
    <w:rsid w:val="007B4410"/>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szCs w:val="22"/>
      <w:lang w:eastAsia="de-DE" w:bidi="en-US"/>
    </w:rPr>
  </w:style>
  <w:style w:type="paragraph" w:customStyle="1" w:styleId="MDPI71References">
    <w:name w:val="MDPI_7.1_References"/>
    <w:qFormat/>
    <w:rsid w:val="007B4410"/>
    <w:pPr>
      <w:numPr>
        <w:numId w:val="3"/>
      </w:numPr>
      <w:adjustRightInd w:val="0"/>
      <w:snapToGrid w:val="0"/>
      <w:spacing w:line="228" w:lineRule="auto"/>
      <w:jc w:val="both"/>
    </w:pPr>
    <w:rPr>
      <w:rFonts w:ascii="Palatino Linotype" w:eastAsia="Times New Roman" w:hAnsi="Palatino Linotype" w:cs="Times New Roman"/>
      <w:color w:val="000000"/>
      <w:sz w:val="18"/>
      <w:szCs w:val="20"/>
      <w:lang w:eastAsia="de-DE" w:bidi="en-US"/>
    </w:rPr>
  </w:style>
  <w:style w:type="paragraph" w:styleId="BalloonText">
    <w:name w:val="Balloon Text"/>
    <w:basedOn w:val="Normal"/>
    <w:link w:val="BalloonTextChar"/>
    <w:uiPriority w:val="99"/>
    <w:rsid w:val="007B4410"/>
    <w:pPr>
      <w:spacing w:line="260" w:lineRule="atLeast"/>
    </w:pPr>
    <w:rPr>
      <w:rFonts w:ascii="Palatino Linotype" w:eastAsia="SimSun" w:hAnsi="Palatino Linotype" w:cs="Tahoma"/>
      <w:color w:val="000000"/>
      <w:sz w:val="20"/>
      <w:szCs w:val="18"/>
      <w:lang w:eastAsia="zh-CN"/>
    </w:rPr>
  </w:style>
  <w:style w:type="character" w:customStyle="1" w:styleId="BalloonTextChar">
    <w:name w:val="Balloon Text Char"/>
    <w:basedOn w:val="DefaultParagraphFont"/>
    <w:link w:val="BalloonText"/>
    <w:uiPriority w:val="99"/>
    <w:rsid w:val="007B4410"/>
    <w:rPr>
      <w:rFonts w:ascii="Palatino Linotype" w:eastAsia="SimSun" w:hAnsi="Palatino Linotype" w:cs="Tahoma"/>
      <w:color w:val="000000"/>
      <w:sz w:val="20"/>
      <w:szCs w:val="18"/>
      <w:lang w:eastAsia="zh-CN"/>
    </w:rPr>
  </w:style>
  <w:style w:type="character" w:styleId="LineNumber">
    <w:name w:val="line number"/>
    <w:uiPriority w:val="99"/>
    <w:rsid w:val="007B4410"/>
    <w:rPr>
      <w:rFonts w:ascii="Palatino Linotype" w:hAnsi="Palatino Linotype"/>
      <w:sz w:val="16"/>
    </w:rPr>
  </w:style>
  <w:style w:type="table" w:customStyle="1" w:styleId="MDPI41threelinetable">
    <w:name w:val="MDPI_4.1_three_line_table"/>
    <w:basedOn w:val="TableNormal"/>
    <w:uiPriority w:val="99"/>
    <w:rsid w:val="007B4410"/>
    <w:pPr>
      <w:adjustRightInd w:val="0"/>
      <w:snapToGrid w:val="0"/>
      <w:jc w:val="center"/>
    </w:pPr>
    <w:rPr>
      <w:rFonts w:ascii="Palatino Linotype" w:eastAsiaTheme="minorEastAsia"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UnresolvedMention10">
    <w:name w:val="Unresolved Mention1"/>
    <w:uiPriority w:val="99"/>
    <w:semiHidden/>
    <w:unhideWhenUsed/>
    <w:rsid w:val="007B4410"/>
    <w:rPr>
      <w:color w:val="605E5C"/>
      <w:shd w:val="clear" w:color="auto" w:fill="E1DFDD"/>
    </w:rPr>
  </w:style>
  <w:style w:type="table" w:styleId="PlainTable4">
    <w:name w:val="Plain Table 4"/>
    <w:basedOn w:val="TableNormal"/>
    <w:uiPriority w:val="44"/>
    <w:rsid w:val="007B4410"/>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7B4410"/>
    <w:pPr>
      <w:adjustRightInd w:val="0"/>
      <w:snapToGrid w:val="0"/>
      <w:spacing w:line="240" w:lineRule="atLeast"/>
      <w:ind w:right="113"/>
    </w:pPr>
    <w:rPr>
      <w:rFonts w:ascii="Palatino Linotype" w:eastAsia="SimSun" w:hAnsi="Palatino Linotype" w:cs="Cordia New"/>
      <w:sz w:val="14"/>
      <w:szCs w:val="22"/>
      <w:lang w:eastAsia="zh-CN"/>
    </w:rPr>
  </w:style>
  <w:style w:type="paragraph" w:customStyle="1" w:styleId="MDPI62BackMatter">
    <w:name w:val="MDPI_6.2_BackMatter"/>
    <w:qFormat/>
    <w:rsid w:val="007B4410"/>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7B4410"/>
    <w:pPr>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rsid w:val="007B4410"/>
    <w:pPr>
      <w:adjustRightInd w:val="0"/>
      <w:snapToGrid w:val="0"/>
      <w:spacing w:before="120" w:line="240" w:lineRule="atLeast"/>
      <w:ind w:right="113"/>
    </w:pPr>
    <w:rPr>
      <w:rFonts w:ascii="Palatino Linotype" w:eastAsia="Times New Roman" w:hAnsi="Palatino Linotype" w:cs="Times New Roman"/>
      <w:color w:val="000000"/>
      <w:sz w:val="14"/>
      <w:szCs w:val="22"/>
      <w:lang w:eastAsia="de-DE" w:bidi="en-US"/>
    </w:rPr>
  </w:style>
  <w:style w:type="paragraph" w:customStyle="1" w:styleId="MDPI19classification">
    <w:name w:val="MDPI_1.9_classification"/>
    <w:rsid w:val="007B4410"/>
    <w:pPr>
      <w:spacing w:before="240" w:line="260" w:lineRule="atLeast"/>
      <w:ind w:left="113"/>
      <w:jc w:val="both"/>
    </w:pPr>
    <w:rPr>
      <w:rFonts w:ascii="Palatino Linotype" w:eastAsia="Times New Roman" w:hAnsi="Palatino Linotype" w:cs="Times New Roman"/>
      <w:b/>
      <w:color w:val="000000"/>
      <w:sz w:val="20"/>
      <w:szCs w:val="22"/>
      <w:lang w:eastAsia="de-DE" w:bidi="en-US"/>
    </w:rPr>
  </w:style>
  <w:style w:type="paragraph" w:customStyle="1" w:styleId="MDPI411onetablecaption">
    <w:name w:val="MDPI_4.1.1_one_table_caption"/>
    <w:qFormat/>
    <w:rsid w:val="007B4410"/>
    <w:pPr>
      <w:adjustRightInd w:val="0"/>
      <w:snapToGrid w:val="0"/>
      <w:spacing w:before="240" w:after="120" w:line="260" w:lineRule="atLeast"/>
      <w:jc w:val="center"/>
    </w:pPr>
    <w:rPr>
      <w:rFonts w:ascii="Palatino Linotype" w:eastAsiaTheme="minorEastAsia" w:hAnsi="Palatino Linotype"/>
      <w:noProof/>
      <w:color w:val="000000"/>
      <w:sz w:val="18"/>
      <w:szCs w:val="22"/>
      <w:lang w:eastAsia="zh-CN" w:bidi="en-US"/>
    </w:rPr>
  </w:style>
  <w:style w:type="paragraph" w:customStyle="1" w:styleId="MDPI511onefigurecaption">
    <w:name w:val="MDPI_5.1.1_one_figure_caption"/>
    <w:qFormat/>
    <w:rsid w:val="007B4410"/>
    <w:pPr>
      <w:adjustRightInd w:val="0"/>
      <w:snapToGrid w:val="0"/>
      <w:spacing w:before="240" w:after="120" w:line="260" w:lineRule="atLeast"/>
      <w:jc w:val="center"/>
    </w:pPr>
    <w:rPr>
      <w:rFonts w:ascii="Palatino Linotype" w:eastAsiaTheme="minorEastAsia" w:hAnsi="Palatino Linotype" w:cs="Times New Roman"/>
      <w:noProof/>
      <w:color w:val="000000"/>
      <w:sz w:val="18"/>
      <w:szCs w:val="20"/>
      <w:lang w:eastAsia="zh-CN" w:bidi="en-US"/>
    </w:rPr>
  </w:style>
  <w:style w:type="paragraph" w:customStyle="1" w:styleId="MDPI72Copyright">
    <w:name w:val="MDPI_7.2_Copyright"/>
    <w:qFormat/>
    <w:rsid w:val="007B4410"/>
    <w:pPr>
      <w:adjustRightInd w:val="0"/>
      <w:snapToGrid w:val="0"/>
      <w:spacing w:before="24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7B4410"/>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7B4410"/>
    <w:pPr>
      <w:adjustRightInd w:val="0"/>
      <w:snapToGrid w:val="0"/>
      <w:spacing w:before="120" w:after="120"/>
      <w:jc w:val="center"/>
    </w:pPr>
    <w:rPr>
      <w:rFonts w:ascii="Palatino Linotype" w:eastAsia="Times New Roman" w:hAnsi="Palatino Linotype" w:cs="Times New Roman"/>
      <w:snapToGrid w:val="0"/>
      <w:color w:val="000000"/>
      <w:sz w:val="20"/>
      <w:szCs w:val="22"/>
      <w:lang w:eastAsia="de-DE" w:bidi="en-US"/>
    </w:rPr>
  </w:style>
  <w:style w:type="paragraph" w:customStyle="1" w:styleId="MDPIfooter">
    <w:name w:val="MDPI_footer"/>
    <w:qFormat/>
    <w:rsid w:val="007B4410"/>
    <w:pPr>
      <w:adjustRightInd w:val="0"/>
      <w:snapToGrid w:val="0"/>
      <w:spacing w:before="120" w:line="260" w:lineRule="atLeast"/>
      <w:jc w:val="center"/>
    </w:pPr>
    <w:rPr>
      <w:rFonts w:ascii="Palatino Linotype" w:eastAsia="Times New Roman" w:hAnsi="Palatino Linotype" w:cs="Times New Roman"/>
      <w:color w:val="000000"/>
      <w:sz w:val="20"/>
      <w:szCs w:val="20"/>
      <w:lang w:eastAsia="de-DE"/>
    </w:rPr>
  </w:style>
  <w:style w:type="paragraph" w:customStyle="1" w:styleId="MDPIfooterfirstpage">
    <w:name w:val="MDPI_footer_firstpage"/>
    <w:qFormat/>
    <w:rsid w:val="007B4410"/>
    <w:pPr>
      <w:tabs>
        <w:tab w:val="right" w:pos="8845"/>
      </w:tabs>
      <w:spacing w:line="160" w:lineRule="exact"/>
    </w:pPr>
    <w:rPr>
      <w:rFonts w:ascii="Palatino Linotype" w:eastAsia="Times New Roman" w:hAnsi="Palatino Linotype" w:cs="Times New Roman"/>
      <w:color w:val="000000"/>
      <w:sz w:val="16"/>
      <w:szCs w:val="20"/>
      <w:lang w:eastAsia="de-DE"/>
    </w:rPr>
  </w:style>
  <w:style w:type="paragraph" w:customStyle="1" w:styleId="MDPIheader">
    <w:name w:val="MDPI_header"/>
    <w:qFormat/>
    <w:rsid w:val="007B4410"/>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7B4410"/>
    <w:pPr>
      <w:spacing w:after="240"/>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7B4410"/>
    <w:pPr>
      <w:adjustRightInd w:val="0"/>
      <w:snapToGrid w:val="0"/>
      <w:spacing w:line="260" w:lineRule="atLeast"/>
      <w:jc w:val="right"/>
    </w:pPr>
    <w:rPr>
      <w:rFonts w:ascii="Palatino Linotype" w:eastAsia="Times New Roman" w:hAnsi="Palatino Linotype" w:cs="Times New Roman"/>
      <w:color w:val="000000"/>
      <w:szCs w:val="22"/>
      <w:lang w:eastAsia="de-CH"/>
    </w:rPr>
  </w:style>
  <w:style w:type="table" w:customStyle="1" w:styleId="MDPITable">
    <w:name w:val="MDPI_Table"/>
    <w:basedOn w:val="TableNormal"/>
    <w:uiPriority w:val="99"/>
    <w:rsid w:val="007B4410"/>
    <w:rPr>
      <w:rFonts w:ascii="Palatino Linotype" w:eastAsia="SimSun" w:hAnsi="Palatino Linotype" w:cs="Times New Roman"/>
      <w:color w:val="000000" w:themeColor="text1"/>
      <w:sz w:val="20"/>
      <w:szCs w:val="20"/>
      <w:lang w:val="en-CA"/>
    </w:rPr>
    <w:tblPr>
      <w:tblCellMar>
        <w:left w:w="0" w:type="dxa"/>
        <w:right w:w="0" w:type="dxa"/>
      </w:tblCellMar>
    </w:tblPr>
  </w:style>
  <w:style w:type="paragraph" w:customStyle="1" w:styleId="MDPItext">
    <w:name w:val="MDPI_text"/>
    <w:qFormat/>
    <w:rsid w:val="007B4410"/>
    <w:pPr>
      <w:spacing w:line="260" w:lineRule="atLeast"/>
      <w:ind w:left="425" w:right="425" w:firstLine="284"/>
      <w:jc w:val="both"/>
    </w:pPr>
    <w:rPr>
      <w:rFonts w:ascii="Times New Roman" w:eastAsia="Times New Roman" w:hAnsi="Times New Roman" w:cs="Times New Roman"/>
      <w:noProof/>
      <w:snapToGrid w:val="0"/>
      <w:color w:val="000000"/>
      <w:sz w:val="22"/>
      <w:szCs w:val="22"/>
      <w:lang w:eastAsia="de-DE" w:bidi="en-US"/>
    </w:rPr>
  </w:style>
  <w:style w:type="paragraph" w:customStyle="1" w:styleId="MDPItitle">
    <w:name w:val="MDPI_title"/>
    <w:qFormat/>
    <w:rsid w:val="007B4410"/>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7B4410"/>
  </w:style>
  <w:style w:type="paragraph" w:styleId="Bibliography">
    <w:name w:val="Bibliography"/>
    <w:basedOn w:val="Normal"/>
    <w:next w:val="Normal"/>
    <w:uiPriority w:val="37"/>
    <w:semiHidden/>
    <w:unhideWhenUsed/>
    <w:rsid w:val="007B4410"/>
    <w:pPr>
      <w:spacing w:line="260" w:lineRule="atLeast"/>
    </w:pPr>
    <w:rPr>
      <w:rFonts w:ascii="Palatino Linotype" w:eastAsia="SimSun" w:hAnsi="Palatino Linotype"/>
      <w:color w:val="000000"/>
      <w:sz w:val="20"/>
      <w:szCs w:val="20"/>
      <w:lang w:eastAsia="zh-CN"/>
    </w:rPr>
  </w:style>
  <w:style w:type="paragraph" w:styleId="BodyText">
    <w:name w:val="Body Text"/>
    <w:link w:val="BodyTextChar"/>
    <w:rsid w:val="007B4410"/>
    <w:pPr>
      <w:spacing w:after="120" w:line="340" w:lineRule="atLeast"/>
      <w:jc w:val="both"/>
    </w:pPr>
    <w:rPr>
      <w:rFonts w:ascii="Palatino Linotype" w:eastAsia="SimSun" w:hAnsi="Palatino Linotype" w:cs="Times New Roman"/>
      <w:color w:val="000000"/>
      <w:szCs w:val="20"/>
      <w:lang w:eastAsia="de-DE"/>
    </w:rPr>
  </w:style>
  <w:style w:type="character" w:customStyle="1" w:styleId="BodyTextChar">
    <w:name w:val="Body Text Char"/>
    <w:basedOn w:val="DefaultParagraphFont"/>
    <w:link w:val="BodyText"/>
    <w:rsid w:val="007B4410"/>
    <w:rPr>
      <w:rFonts w:ascii="Palatino Linotype" w:eastAsia="SimSun" w:hAnsi="Palatino Linotype" w:cs="Times New Roman"/>
      <w:color w:val="000000"/>
      <w:szCs w:val="20"/>
      <w:lang w:eastAsia="de-DE"/>
    </w:rPr>
  </w:style>
  <w:style w:type="paragraph" w:styleId="FootnoteText">
    <w:name w:val="footnote text"/>
    <w:basedOn w:val="Normal"/>
    <w:link w:val="FootnoteTextChar"/>
    <w:uiPriority w:val="99"/>
    <w:semiHidden/>
    <w:unhideWhenUsed/>
    <w:rsid w:val="007B4410"/>
    <w:pPr>
      <w:spacing w:line="240" w:lineRule="auto"/>
    </w:pPr>
    <w:rPr>
      <w:rFonts w:ascii="Palatino Linotype" w:eastAsia="SimSun" w:hAnsi="Palatino Linotype"/>
      <w:color w:val="000000"/>
      <w:sz w:val="20"/>
      <w:szCs w:val="20"/>
      <w:lang w:eastAsia="zh-CN"/>
    </w:rPr>
  </w:style>
  <w:style w:type="character" w:customStyle="1" w:styleId="FootnoteTextChar">
    <w:name w:val="Footnote Text Char"/>
    <w:basedOn w:val="DefaultParagraphFont"/>
    <w:link w:val="FootnoteText"/>
    <w:uiPriority w:val="99"/>
    <w:semiHidden/>
    <w:rsid w:val="007B4410"/>
    <w:rPr>
      <w:rFonts w:ascii="Palatino Linotype" w:eastAsia="SimSun" w:hAnsi="Palatino Linotype" w:cs="Times New Roman"/>
      <w:color w:val="000000"/>
      <w:sz w:val="20"/>
      <w:szCs w:val="20"/>
      <w:lang w:eastAsia="zh-CN"/>
    </w:rPr>
  </w:style>
  <w:style w:type="paragraph" w:customStyle="1" w:styleId="MsoFootnoteText0">
    <w:name w:val="MsoFootnoteText"/>
    <w:basedOn w:val="NormalWeb"/>
    <w:qFormat/>
    <w:rsid w:val="007B4410"/>
    <w:pPr>
      <w:spacing w:before="0" w:beforeAutospacing="0" w:after="0" w:afterAutospacing="0" w:line="260" w:lineRule="atLeast"/>
    </w:pPr>
    <w:rPr>
      <w:rFonts w:eastAsia="SimSun"/>
      <w:color w:val="000000"/>
      <w:sz w:val="20"/>
      <w:lang w:eastAsia="zh-CN"/>
    </w:rPr>
  </w:style>
  <w:style w:type="paragraph" w:customStyle="1" w:styleId="MDPI71FootNotes">
    <w:name w:val="MDPI_7.1_FootNotes"/>
    <w:qFormat/>
    <w:rsid w:val="007B4410"/>
    <w:pPr>
      <w:numPr>
        <w:numId w:val="4"/>
      </w:numPr>
      <w:adjustRightInd w:val="0"/>
      <w:snapToGrid w:val="0"/>
      <w:spacing w:line="228" w:lineRule="auto"/>
    </w:pPr>
    <w:rPr>
      <w:rFonts w:ascii="Palatino Linotype" w:eastAsiaTheme="minorEastAsia" w:hAnsi="Palatino Linotype" w:cs="Times New Roman"/>
      <w:noProof/>
      <w:color w:val="000000"/>
      <w:sz w:val="18"/>
      <w:szCs w:val="20"/>
      <w:lang w:eastAsia="zh-CN"/>
    </w:rPr>
  </w:style>
  <w:style w:type="character" w:customStyle="1" w:styleId="cit-title">
    <w:name w:val="cit-title"/>
    <w:basedOn w:val="DefaultParagraphFont"/>
    <w:rsid w:val="007B4410"/>
  </w:style>
  <w:style w:type="character" w:customStyle="1" w:styleId="cit-year-info">
    <w:name w:val="cit-year-info"/>
    <w:basedOn w:val="DefaultParagraphFont"/>
    <w:rsid w:val="007B4410"/>
  </w:style>
  <w:style w:type="character" w:customStyle="1" w:styleId="cit-volume">
    <w:name w:val="cit-volume"/>
    <w:basedOn w:val="DefaultParagraphFont"/>
    <w:rsid w:val="007B4410"/>
  </w:style>
  <w:style w:type="character" w:customStyle="1" w:styleId="cit-issue">
    <w:name w:val="cit-issue"/>
    <w:basedOn w:val="DefaultParagraphFont"/>
    <w:rsid w:val="007B4410"/>
  </w:style>
  <w:style w:type="character" w:customStyle="1" w:styleId="cit-pagerange">
    <w:name w:val="cit-pagerange"/>
    <w:basedOn w:val="DefaultParagraphFont"/>
    <w:rsid w:val="007B4410"/>
  </w:style>
  <w:style w:type="paragraph" w:customStyle="1" w:styleId="TDAcknowledgments">
    <w:name w:val="TD_Acknowledgments"/>
    <w:basedOn w:val="Normal"/>
    <w:next w:val="Normal"/>
    <w:rsid w:val="007B4410"/>
    <w:pPr>
      <w:spacing w:before="200" w:after="200"/>
      <w:ind w:firstLine="202"/>
    </w:pPr>
    <w:rPr>
      <w:rFonts w:ascii="Times" w:hAnsi="Times"/>
      <w:szCs w:val="20"/>
    </w:rPr>
  </w:style>
  <w:style w:type="character" w:styleId="FootnoteReference">
    <w:name w:val="footnote reference"/>
    <w:basedOn w:val="DefaultParagraphFont"/>
    <w:uiPriority w:val="99"/>
    <w:semiHidden/>
    <w:unhideWhenUsed/>
    <w:rsid w:val="007B4410"/>
    <w:rPr>
      <w:vertAlign w:val="superscript"/>
    </w:rPr>
  </w:style>
  <w:style w:type="paragraph" w:customStyle="1" w:styleId="EndNoteCategoryHeading">
    <w:name w:val="EndNote Category Heading"/>
    <w:basedOn w:val="Normal"/>
    <w:link w:val="EndNoteCategoryHeadingChar"/>
    <w:rsid w:val="007B4410"/>
    <w:pPr>
      <w:spacing w:before="120" w:after="120" w:line="260" w:lineRule="atLeast"/>
      <w:jc w:val="left"/>
    </w:pPr>
    <w:rPr>
      <w:rFonts w:ascii="Palatino Linotype" w:hAnsi="Palatino Linotype"/>
      <w:b/>
      <w:color w:val="000000"/>
      <w:sz w:val="20"/>
      <w:szCs w:val="22"/>
      <w:lang w:eastAsia="de-DE" w:bidi="en-US"/>
    </w:rPr>
  </w:style>
  <w:style w:type="character" w:customStyle="1" w:styleId="MDPI31textChar">
    <w:name w:val="MDPI_3.1_text Char"/>
    <w:basedOn w:val="DefaultParagraphFont"/>
    <w:link w:val="MDPI31text"/>
    <w:rsid w:val="007B4410"/>
    <w:rPr>
      <w:rFonts w:ascii="Palatino Linotype" w:eastAsia="Times New Roman" w:hAnsi="Palatino Linotype" w:cs="Times New Roman"/>
      <w:snapToGrid w:val="0"/>
      <w:color w:val="000000"/>
      <w:sz w:val="20"/>
      <w:szCs w:val="22"/>
      <w:lang w:eastAsia="de-DE" w:bidi="en-US"/>
    </w:rPr>
  </w:style>
  <w:style w:type="character" w:customStyle="1" w:styleId="EndNoteCategoryHeadingChar">
    <w:name w:val="EndNote Category Heading Char"/>
    <w:basedOn w:val="MDPI31textChar"/>
    <w:link w:val="EndNoteCategoryHeading"/>
    <w:rsid w:val="007B4410"/>
    <w:rPr>
      <w:rFonts w:ascii="Palatino Linotype" w:eastAsia="Times New Roman" w:hAnsi="Palatino Linotype" w:cs="Times New Roman"/>
      <w:b/>
      <w:snapToGrid/>
      <w:color w:val="000000"/>
      <w:sz w:val="20"/>
      <w:szCs w:val="22"/>
      <w:lang w:eastAsia="de-DE" w:bidi="en-US"/>
    </w:rPr>
  </w:style>
  <w:style w:type="character" w:customStyle="1" w:styleId="cf01">
    <w:name w:val="cf01"/>
    <w:basedOn w:val="DefaultParagraphFont"/>
    <w:rsid w:val="007B4410"/>
    <w:rPr>
      <w:rFonts w:ascii="Segoe UI" w:hAnsi="Segoe UI" w:cs="Segoe UI" w:hint="default"/>
      <w:sz w:val="18"/>
      <w:szCs w:val="18"/>
    </w:rPr>
  </w:style>
  <w:style w:type="table" w:customStyle="1" w:styleId="TableGrid11">
    <w:name w:val="Table Grid11"/>
    <w:basedOn w:val="TableNormal"/>
    <w:next w:val="TableGrid"/>
    <w:uiPriority w:val="39"/>
    <w:rsid w:val="007B4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aliases w:val="caption table"/>
    <w:basedOn w:val="VAFigureCaption"/>
    <w:autoRedefine/>
    <w:uiPriority w:val="99"/>
    <w:unhideWhenUsed/>
    <w:qFormat/>
    <w:rsid w:val="003764E8"/>
    <w:pPr>
      <w:tabs>
        <w:tab w:val="right" w:leader="dot" w:pos="9350"/>
      </w:tabs>
      <w:spacing w:after="120" w:line="360" w:lineRule="auto"/>
    </w:pPr>
    <w:rPr>
      <w:rFonts w:ascii="Times New Roman" w:hAnsi="Times New Roman" w:cstheme="minorHAnsi"/>
    </w:rPr>
  </w:style>
  <w:style w:type="paragraph" w:customStyle="1" w:styleId="Style8">
    <w:name w:val="Style8"/>
    <w:basedOn w:val="Caption"/>
    <w:qFormat/>
    <w:rsid w:val="007B4410"/>
    <w:pPr>
      <w:jc w:val="center"/>
    </w:pPr>
    <w:rPr>
      <w:bCs/>
      <w:color w:val="auto"/>
    </w:rPr>
  </w:style>
  <w:style w:type="paragraph" w:styleId="TOC1">
    <w:name w:val="toc 1"/>
    <w:basedOn w:val="Normal"/>
    <w:next w:val="Normal"/>
    <w:autoRedefine/>
    <w:uiPriority w:val="39"/>
    <w:unhideWhenUsed/>
    <w:rsid w:val="00861405"/>
    <w:pPr>
      <w:tabs>
        <w:tab w:val="right" w:leader="dot" w:pos="9350"/>
      </w:tabs>
      <w:spacing w:line="360" w:lineRule="auto"/>
      <w:jc w:val="center"/>
    </w:pPr>
    <w:rPr>
      <w:rFonts w:eastAsia="Calibri"/>
      <w:noProof/>
      <w:sz w:val="22"/>
      <w:szCs w:val="22"/>
    </w:rPr>
  </w:style>
  <w:style w:type="paragraph" w:styleId="TOC2">
    <w:name w:val="toc 2"/>
    <w:basedOn w:val="Normal"/>
    <w:next w:val="Normal"/>
    <w:autoRedefine/>
    <w:uiPriority w:val="39"/>
    <w:unhideWhenUsed/>
    <w:rsid w:val="007D6363"/>
    <w:pPr>
      <w:tabs>
        <w:tab w:val="right" w:leader="dot" w:pos="9350"/>
      </w:tabs>
      <w:spacing w:before="120"/>
      <w:ind w:left="240"/>
      <w:jc w:val="left"/>
    </w:pPr>
    <w:rPr>
      <w:rFonts w:asciiTheme="majorBidi" w:hAnsiTheme="majorBidi" w:cstheme="majorBidi"/>
      <w:iCs/>
      <w:noProof/>
      <w:sz w:val="22"/>
      <w:szCs w:val="20"/>
    </w:rPr>
  </w:style>
  <w:style w:type="paragraph" w:styleId="TOC3">
    <w:name w:val="toc 3"/>
    <w:basedOn w:val="Normal"/>
    <w:next w:val="Normal"/>
    <w:autoRedefine/>
    <w:uiPriority w:val="39"/>
    <w:unhideWhenUsed/>
    <w:rsid w:val="007D6363"/>
    <w:pPr>
      <w:ind w:left="480"/>
      <w:jc w:val="left"/>
    </w:pPr>
    <w:rPr>
      <w:rFonts w:asciiTheme="majorBidi" w:hAnsiTheme="majorBidi" w:cstheme="minorHAnsi"/>
      <w:sz w:val="22"/>
      <w:szCs w:val="20"/>
    </w:rPr>
  </w:style>
  <w:style w:type="paragraph" w:styleId="TOC4">
    <w:name w:val="toc 4"/>
    <w:basedOn w:val="Normal"/>
    <w:next w:val="Normal"/>
    <w:autoRedefine/>
    <w:uiPriority w:val="39"/>
    <w:unhideWhenUsed/>
    <w:rsid w:val="00F048FF"/>
    <w:pPr>
      <w:tabs>
        <w:tab w:val="right" w:leader="dot" w:pos="9350"/>
      </w:tabs>
      <w:ind w:left="720"/>
      <w:jc w:val="left"/>
    </w:pPr>
    <w:rPr>
      <w:rFonts w:asciiTheme="majorBidi" w:hAnsiTheme="majorBidi" w:cstheme="majorBidi"/>
      <w:noProof/>
      <w:sz w:val="20"/>
      <w:szCs w:val="20"/>
    </w:rPr>
  </w:style>
  <w:style w:type="paragraph" w:styleId="TOC5">
    <w:name w:val="toc 5"/>
    <w:basedOn w:val="Normal"/>
    <w:next w:val="Normal"/>
    <w:autoRedefine/>
    <w:uiPriority w:val="39"/>
    <w:unhideWhenUsed/>
    <w:rsid w:val="007B4410"/>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7B4410"/>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7B4410"/>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7B4410"/>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7B4410"/>
    <w:pPr>
      <w:ind w:left="1920"/>
      <w:jc w:val="left"/>
    </w:pPr>
    <w:rPr>
      <w:rFonts w:asciiTheme="minorHAnsi" w:hAnsiTheme="minorHAnsi" w:cstheme="minorHAnsi"/>
      <w:sz w:val="20"/>
      <w:szCs w:val="20"/>
    </w:rPr>
  </w:style>
  <w:style w:type="paragraph" w:styleId="TOCHeading">
    <w:name w:val="TOC Heading"/>
    <w:basedOn w:val="Heading1"/>
    <w:next w:val="Normal"/>
    <w:uiPriority w:val="39"/>
    <w:unhideWhenUsed/>
    <w:qFormat/>
    <w:rsid w:val="007B4410"/>
    <w:pPr>
      <w:spacing w:line="259" w:lineRule="auto"/>
      <w:jc w:val="left"/>
      <w:outlineLvl w:val="9"/>
    </w:pPr>
  </w:style>
  <w:style w:type="paragraph" w:customStyle="1" w:styleId="Tablecaption">
    <w:name w:val="Table caption"/>
    <w:basedOn w:val="VDTableTitle"/>
    <w:link w:val="TablecaptionChar"/>
    <w:qFormat/>
    <w:rsid w:val="007B4410"/>
  </w:style>
  <w:style w:type="character" w:customStyle="1" w:styleId="VDTableTitleChar">
    <w:name w:val="VD_Table_Title Char"/>
    <w:basedOn w:val="DefaultParagraphFont"/>
    <w:link w:val="VDTableTitle"/>
    <w:rsid w:val="007B4410"/>
    <w:rPr>
      <w:rFonts w:ascii="Times" w:eastAsia="Times New Roman" w:hAnsi="Times" w:cs="Times New Roman"/>
      <w:szCs w:val="20"/>
    </w:rPr>
  </w:style>
  <w:style w:type="character" w:customStyle="1" w:styleId="TablecaptionChar">
    <w:name w:val="Table caption Char"/>
    <w:basedOn w:val="VDTableTitleChar"/>
    <w:link w:val="Tablecaption"/>
    <w:rsid w:val="007B4410"/>
    <w:rPr>
      <w:rFonts w:ascii="Times" w:eastAsia="Times New Roman" w:hAnsi="Times" w:cs="Times New Roman"/>
      <w:szCs w:val="20"/>
    </w:rPr>
  </w:style>
  <w:style w:type="table" w:styleId="PlainTable2">
    <w:name w:val="Plain Table 2"/>
    <w:basedOn w:val="TableNormal"/>
    <w:uiPriority w:val="42"/>
    <w:rsid w:val="00F1518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F151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E8671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A1E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F73AEA"/>
    <w:rPr>
      <w:rFonts w:asciiTheme="majorBidi" w:eastAsiaTheme="majorEastAsia" w:hAnsiTheme="majorBidi" w:cstheme="majorBidi"/>
      <w:b/>
      <w:iCs/>
    </w:rPr>
  </w:style>
  <w:style w:type="character" w:customStyle="1" w:styleId="Heading5Char">
    <w:name w:val="Heading 5 Char"/>
    <w:basedOn w:val="DefaultParagraphFont"/>
    <w:link w:val="Heading5"/>
    <w:uiPriority w:val="9"/>
    <w:semiHidden/>
    <w:rsid w:val="00CA0FA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A0FA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A0FA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A0FA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A0FA8"/>
    <w:rPr>
      <w:rFonts w:asciiTheme="majorHAnsi" w:eastAsiaTheme="majorEastAsia" w:hAnsiTheme="majorHAnsi" w:cstheme="majorBidi"/>
      <w:i/>
      <w:iCs/>
      <w:color w:val="272727" w:themeColor="text1" w:themeTint="D8"/>
      <w:sz w:val="21"/>
      <w:szCs w:val="21"/>
    </w:rPr>
  </w:style>
  <w:style w:type="paragraph" w:customStyle="1" w:styleId="reference">
    <w:name w:val="reference"/>
    <w:basedOn w:val="Normal"/>
    <w:rsid w:val="00D733E3"/>
    <w:pPr>
      <w:spacing w:after="200" w:line="276" w:lineRule="auto"/>
      <w:jc w:val="left"/>
    </w:pPr>
    <w:rPr>
      <w:rFonts w:ascii="Calibri" w:eastAsia="Calibri" w:hAnsi="Calibri" w:cs="Arial"/>
      <w:sz w:val="20"/>
      <w:szCs w:val="22"/>
    </w:rPr>
  </w:style>
  <w:style w:type="table" w:customStyle="1" w:styleId="TableGrid4">
    <w:name w:val="Table Grid4"/>
    <w:basedOn w:val="TableNormal"/>
    <w:next w:val="TableGrid"/>
    <w:uiPriority w:val="59"/>
    <w:rsid w:val="00012E1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25B3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0">
    <w:name w:val="Heading4"/>
    <w:basedOn w:val="Heading4"/>
    <w:link w:val="Heading4Char0"/>
    <w:rsid w:val="00754961"/>
    <w:pPr>
      <w:numPr>
        <w:ilvl w:val="0"/>
        <w:numId w:val="0"/>
      </w:numPr>
    </w:pPr>
    <w:rPr>
      <w:b w:val="0"/>
      <w:i/>
    </w:rPr>
  </w:style>
  <w:style w:type="character" w:customStyle="1" w:styleId="Heading4Char0">
    <w:name w:val="Heading4 Char"/>
    <w:basedOn w:val="Heading4Char"/>
    <w:link w:val="Heading40"/>
    <w:rsid w:val="00754961"/>
    <w:rPr>
      <w:rFonts w:asciiTheme="majorBidi" w:eastAsiaTheme="majorEastAsia" w:hAnsiTheme="majorBidi" w:cstheme="majorBidi"/>
      <w:b w:val="0"/>
      <w:i/>
      <w:iCs/>
    </w:rPr>
  </w:style>
  <w:style w:type="character" w:customStyle="1" w:styleId="UnresolvedMention">
    <w:name w:val="Unresolved Mention"/>
    <w:basedOn w:val="DefaultParagraphFont"/>
    <w:uiPriority w:val="99"/>
    <w:semiHidden/>
    <w:unhideWhenUsed/>
    <w:rsid w:val="00123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495">
      <w:bodyDiv w:val="1"/>
      <w:marLeft w:val="0"/>
      <w:marRight w:val="0"/>
      <w:marTop w:val="0"/>
      <w:marBottom w:val="0"/>
      <w:divBdr>
        <w:top w:val="none" w:sz="0" w:space="0" w:color="auto"/>
        <w:left w:val="none" w:sz="0" w:space="0" w:color="auto"/>
        <w:bottom w:val="none" w:sz="0" w:space="0" w:color="auto"/>
        <w:right w:val="none" w:sz="0" w:space="0" w:color="auto"/>
      </w:divBdr>
    </w:div>
    <w:div w:id="108665865">
      <w:bodyDiv w:val="1"/>
      <w:marLeft w:val="0"/>
      <w:marRight w:val="0"/>
      <w:marTop w:val="0"/>
      <w:marBottom w:val="0"/>
      <w:divBdr>
        <w:top w:val="none" w:sz="0" w:space="0" w:color="auto"/>
        <w:left w:val="none" w:sz="0" w:space="0" w:color="auto"/>
        <w:bottom w:val="none" w:sz="0" w:space="0" w:color="auto"/>
        <w:right w:val="none" w:sz="0" w:space="0" w:color="auto"/>
      </w:divBdr>
      <w:divsChild>
        <w:div w:id="1533033596">
          <w:marLeft w:val="0"/>
          <w:marRight w:val="0"/>
          <w:marTop w:val="0"/>
          <w:marBottom w:val="0"/>
          <w:divBdr>
            <w:top w:val="none" w:sz="0" w:space="0" w:color="auto"/>
            <w:left w:val="none" w:sz="0" w:space="0" w:color="auto"/>
            <w:bottom w:val="none" w:sz="0" w:space="0" w:color="auto"/>
            <w:right w:val="none" w:sz="0" w:space="0" w:color="auto"/>
          </w:divBdr>
          <w:divsChild>
            <w:div w:id="1125732356">
              <w:marLeft w:val="0"/>
              <w:marRight w:val="0"/>
              <w:marTop w:val="0"/>
              <w:marBottom w:val="0"/>
              <w:divBdr>
                <w:top w:val="none" w:sz="0" w:space="0" w:color="auto"/>
                <w:left w:val="none" w:sz="0" w:space="0" w:color="auto"/>
                <w:bottom w:val="none" w:sz="0" w:space="0" w:color="auto"/>
                <w:right w:val="none" w:sz="0" w:space="0" w:color="auto"/>
              </w:divBdr>
              <w:divsChild>
                <w:div w:id="1099371106">
                  <w:marLeft w:val="0"/>
                  <w:marRight w:val="0"/>
                  <w:marTop w:val="0"/>
                  <w:marBottom w:val="0"/>
                  <w:divBdr>
                    <w:top w:val="none" w:sz="0" w:space="0" w:color="auto"/>
                    <w:left w:val="none" w:sz="0" w:space="0" w:color="auto"/>
                    <w:bottom w:val="none" w:sz="0" w:space="0" w:color="auto"/>
                    <w:right w:val="none" w:sz="0" w:space="0" w:color="auto"/>
                  </w:divBdr>
                  <w:divsChild>
                    <w:div w:id="968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89554">
      <w:bodyDiv w:val="1"/>
      <w:marLeft w:val="0"/>
      <w:marRight w:val="0"/>
      <w:marTop w:val="0"/>
      <w:marBottom w:val="0"/>
      <w:divBdr>
        <w:top w:val="none" w:sz="0" w:space="0" w:color="auto"/>
        <w:left w:val="none" w:sz="0" w:space="0" w:color="auto"/>
        <w:bottom w:val="none" w:sz="0" w:space="0" w:color="auto"/>
        <w:right w:val="none" w:sz="0" w:space="0" w:color="auto"/>
      </w:divBdr>
    </w:div>
    <w:div w:id="349726427">
      <w:bodyDiv w:val="1"/>
      <w:marLeft w:val="0"/>
      <w:marRight w:val="0"/>
      <w:marTop w:val="0"/>
      <w:marBottom w:val="0"/>
      <w:divBdr>
        <w:top w:val="none" w:sz="0" w:space="0" w:color="auto"/>
        <w:left w:val="none" w:sz="0" w:space="0" w:color="auto"/>
        <w:bottom w:val="none" w:sz="0" w:space="0" w:color="auto"/>
        <w:right w:val="none" w:sz="0" w:space="0" w:color="auto"/>
      </w:divBdr>
    </w:div>
    <w:div w:id="376204166">
      <w:bodyDiv w:val="1"/>
      <w:marLeft w:val="0"/>
      <w:marRight w:val="0"/>
      <w:marTop w:val="0"/>
      <w:marBottom w:val="0"/>
      <w:divBdr>
        <w:top w:val="none" w:sz="0" w:space="0" w:color="auto"/>
        <w:left w:val="none" w:sz="0" w:space="0" w:color="auto"/>
        <w:bottom w:val="none" w:sz="0" w:space="0" w:color="auto"/>
        <w:right w:val="none" w:sz="0" w:space="0" w:color="auto"/>
      </w:divBdr>
    </w:div>
    <w:div w:id="384718017">
      <w:bodyDiv w:val="1"/>
      <w:marLeft w:val="0"/>
      <w:marRight w:val="0"/>
      <w:marTop w:val="0"/>
      <w:marBottom w:val="0"/>
      <w:divBdr>
        <w:top w:val="none" w:sz="0" w:space="0" w:color="auto"/>
        <w:left w:val="none" w:sz="0" w:space="0" w:color="auto"/>
        <w:bottom w:val="none" w:sz="0" w:space="0" w:color="auto"/>
        <w:right w:val="none" w:sz="0" w:space="0" w:color="auto"/>
      </w:divBdr>
    </w:div>
    <w:div w:id="657928465">
      <w:bodyDiv w:val="1"/>
      <w:marLeft w:val="0"/>
      <w:marRight w:val="0"/>
      <w:marTop w:val="0"/>
      <w:marBottom w:val="0"/>
      <w:divBdr>
        <w:top w:val="none" w:sz="0" w:space="0" w:color="auto"/>
        <w:left w:val="none" w:sz="0" w:space="0" w:color="auto"/>
        <w:bottom w:val="none" w:sz="0" w:space="0" w:color="auto"/>
        <w:right w:val="none" w:sz="0" w:space="0" w:color="auto"/>
      </w:divBdr>
    </w:div>
    <w:div w:id="906309084">
      <w:bodyDiv w:val="1"/>
      <w:marLeft w:val="0"/>
      <w:marRight w:val="0"/>
      <w:marTop w:val="0"/>
      <w:marBottom w:val="0"/>
      <w:divBdr>
        <w:top w:val="none" w:sz="0" w:space="0" w:color="auto"/>
        <w:left w:val="none" w:sz="0" w:space="0" w:color="auto"/>
        <w:bottom w:val="none" w:sz="0" w:space="0" w:color="auto"/>
        <w:right w:val="none" w:sz="0" w:space="0" w:color="auto"/>
      </w:divBdr>
      <w:divsChild>
        <w:div w:id="475026603">
          <w:marLeft w:val="0"/>
          <w:marRight w:val="0"/>
          <w:marTop w:val="0"/>
          <w:marBottom w:val="0"/>
          <w:divBdr>
            <w:top w:val="none" w:sz="0" w:space="0" w:color="auto"/>
            <w:left w:val="none" w:sz="0" w:space="0" w:color="auto"/>
            <w:bottom w:val="none" w:sz="0" w:space="0" w:color="auto"/>
            <w:right w:val="none" w:sz="0" w:space="0" w:color="auto"/>
          </w:divBdr>
          <w:divsChild>
            <w:div w:id="1931498709">
              <w:marLeft w:val="0"/>
              <w:marRight w:val="0"/>
              <w:marTop w:val="0"/>
              <w:marBottom w:val="0"/>
              <w:divBdr>
                <w:top w:val="none" w:sz="0" w:space="0" w:color="auto"/>
                <w:left w:val="none" w:sz="0" w:space="0" w:color="auto"/>
                <w:bottom w:val="none" w:sz="0" w:space="0" w:color="auto"/>
                <w:right w:val="none" w:sz="0" w:space="0" w:color="auto"/>
              </w:divBdr>
              <w:divsChild>
                <w:div w:id="18836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33066">
      <w:bodyDiv w:val="1"/>
      <w:marLeft w:val="0"/>
      <w:marRight w:val="0"/>
      <w:marTop w:val="0"/>
      <w:marBottom w:val="0"/>
      <w:divBdr>
        <w:top w:val="none" w:sz="0" w:space="0" w:color="auto"/>
        <w:left w:val="none" w:sz="0" w:space="0" w:color="auto"/>
        <w:bottom w:val="none" w:sz="0" w:space="0" w:color="auto"/>
        <w:right w:val="none" w:sz="0" w:space="0" w:color="auto"/>
      </w:divBdr>
      <w:divsChild>
        <w:div w:id="393354267">
          <w:marLeft w:val="0"/>
          <w:marRight w:val="0"/>
          <w:marTop w:val="0"/>
          <w:marBottom w:val="0"/>
          <w:divBdr>
            <w:top w:val="none" w:sz="0" w:space="0" w:color="auto"/>
            <w:left w:val="none" w:sz="0" w:space="0" w:color="auto"/>
            <w:bottom w:val="none" w:sz="0" w:space="0" w:color="auto"/>
            <w:right w:val="none" w:sz="0" w:space="0" w:color="auto"/>
          </w:divBdr>
          <w:divsChild>
            <w:div w:id="1859611282">
              <w:marLeft w:val="0"/>
              <w:marRight w:val="0"/>
              <w:marTop w:val="0"/>
              <w:marBottom w:val="0"/>
              <w:divBdr>
                <w:top w:val="none" w:sz="0" w:space="0" w:color="auto"/>
                <w:left w:val="none" w:sz="0" w:space="0" w:color="auto"/>
                <w:bottom w:val="none" w:sz="0" w:space="0" w:color="auto"/>
                <w:right w:val="none" w:sz="0" w:space="0" w:color="auto"/>
              </w:divBdr>
              <w:divsChild>
                <w:div w:id="19383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338511">
      <w:bodyDiv w:val="1"/>
      <w:marLeft w:val="0"/>
      <w:marRight w:val="0"/>
      <w:marTop w:val="0"/>
      <w:marBottom w:val="0"/>
      <w:divBdr>
        <w:top w:val="none" w:sz="0" w:space="0" w:color="auto"/>
        <w:left w:val="none" w:sz="0" w:space="0" w:color="auto"/>
        <w:bottom w:val="none" w:sz="0" w:space="0" w:color="auto"/>
        <w:right w:val="none" w:sz="0" w:space="0" w:color="auto"/>
      </w:divBdr>
    </w:div>
    <w:div w:id="1390304770">
      <w:bodyDiv w:val="1"/>
      <w:marLeft w:val="0"/>
      <w:marRight w:val="0"/>
      <w:marTop w:val="0"/>
      <w:marBottom w:val="0"/>
      <w:divBdr>
        <w:top w:val="none" w:sz="0" w:space="0" w:color="auto"/>
        <w:left w:val="none" w:sz="0" w:space="0" w:color="auto"/>
        <w:bottom w:val="none" w:sz="0" w:space="0" w:color="auto"/>
        <w:right w:val="none" w:sz="0" w:space="0" w:color="auto"/>
      </w:divBdr>
    </w:div>
    <w:div w:id="1412048490">
      <w:bodyDiv w:val="1"/>
      <w:marLeft w:val="0"/>
      <w:marRight w:val="0"/>
      <w:marTop w:val="0"/>
      <w:marBottom w:val="0"/>
      <w:divBdr>
        <w:top w:val="none" w:sz="0" w:space="0" w:color="auto"/>
        <w:left w:val="none" w:sz="0" w:space="0" w:color="auto"/>
        <w:bottom w:val="none" w:sz="0" w:space="0" w:color="auto"/>
        <w:right w:val="none" w:sz="0" w:space="0" w:color="auto"/>
      </w:divBdr>
      <w:divsChild>
        <w:div w:id="2085838713">
          <w:marLeft w:val="0"/>
          <w:marRight w:val="0"/>
          <w:marTop w:val="0"/>
          <w:marBottom w:val="0"/>
          <w:divBdr>
            <w:top w:val="none" w:sz="0" w:space="0" w:color="auto"/>
            <w:left w:val="none" w:sz="0" w:space="0" w:color="auto"/>
            <w:bottom w:val="none" w:sz="0" w:space="0" w:color="auto"/>
            <w:right w:val="none" w:sz="0" w:space="0" w:color="auto"/>
          </w:divBdr>
          <w:divsChild>
            <w:div w:id="1249192746">
              <w:marLeft w:val="0"/>
              <w:marRight w:val="0"/>
              <w:marTop w:val="0"/>
              <w:marBottom w:val="0"/>
              <w:divBdr>
                <w:top w:val="none" w:sz="0" w:space="0" w:color="auto"/>
                <w:left w:val="none" w:sz="0" w:space="0" w:color="auto"/>
                <w:bottom w:val="none" w:sz="0" w:space="0" w:color="auto"/>
                <w:right w:val="none" w:sz="0" w:space="0" w:color="auto"/>
              </w:divBdr>
              <w:divsChild>
                <w:div w:id="160977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0424">
      <w:bodyDiv w:val="1"/>
      <w:marLeft w:val="0"/>
      <w:marRight w:val="0"/>
      <w:marTop w:val="0"/>
      <w:marBottom w:val="0"/>
      <w:divBdr>
        <w:top w:val="none" w:sz="0" w:space="0" w:color="auto"/>
        <w:left w:val="none" w:sz="0" w:space="0" w:color="auto"/>
        <w:bottom w:val="none" w:sz="0" w:space="0" w:color="auto"/>
        <w:right w:val="none" w:sz="0" w:space="0" w:color="auto"/>
      </w:divBdr>
    </w:div>
    <w:div w:id="1512451536">
      <w:bodyDiv w:val="1"/>
      <w:marLeft w:val="0"/>
      <w:marRight w:val="0"/>
      <w:marTop w:val="0"/>
      <w:marBottom w:val="0"/>
      <w:divBdr>
        <w:top w:val="none" w:sz="0" w:space="0" w:color="auto"/>
        <w:left w:val="none" w:sz="0" w:space="0" w:color="auto"/>
        <w:bottom w:val="none" w:sz="0" w:space="0" w:color="auto"/>
        <w:right w:val="none" w:sz="0" w:space="0" w:color="auto"/>
      </w:divBdr>
      <w:divsChild>
        <w:div w:id="1985814192">
          <w:marLeft w:val="0"/>
          <w:marRight w:val="0"/>
          <w:marTop w:val="0"/>
          <w:marBottom w:val="0"/>
          <w:divBdr>
            <w:top w:val="none" w:sz="0" w:space="0" w:color="auto"/>
            <w:left w:val="none" w:sz="0" w:space="0" w:color="auto"/>
            <w:bottom w:val="none" w:sz="0" w:space="0" w:color="auto"/>
            <w:right w:val="none" w:sz="0" w:space="0" w:color="auto"/>
          </w:divBdr>
          <w:divsChild>
            <w:div w:id="817497618">
              <w:marLeft w:val="0"/>
              <w:marRight w:val="0"/>
              <w:marTop w:val="0"/>
              <w:marBottom w:val="0"/>
              <w:divBdr>
                <w:top w:val="none" w:sz="0" w:space="0" w:color="auto"/>
                <w:left w:val="none" w:sz="0" w:space="0" w:color="auto"/>
                <w:bottom w:val="none" w:sz="0" w:space="0" w:color="auto"/>
                <w:right w:val="none" w:sz="0" w:space="0" w:color="auto"/>
              </w:divBdr>
              <w:divsChild>
                <w:div w:id="161894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87967">
      <w:bodyDiv w:val="1"/>
      <w:marLeft w:val="0"/>
      <w:marRight w:val="0"/>
      <w:marTop w:val="0"/>
      <w:marBottom w:val="0"/>
      <w:divBdr>
        <w:top w:val="none" w:sz="0" w:space="0" w:color="auto"/>
        <w:left w:val="none" w:sz="0" w:space="0" w:color="auto"/>
        <w:bottom w:val="none" w:sz="0" w:space="0" w:color="auto"/>
        <w:right w:val="none" w:sz="0" w:space="0" w:color="auto"/>
      </w:divBdr>
    </w:div>
    <w:div w:id="1671374733">
      <w:bodyDiv w:val="1"/>
      <w:marLeft w:val="0"/>
      <w:marRight w:val="0"/>
      <w:marTop w:val="0"/>
      <w:marBottom w:val="0"/>
      <w:divBdr>
        <w:top w:val="none" w:sz="0" w:space="0" w:color="auto"/>
        <w:left w:val="none" w:sz="0" w:space="0" w:color="auto"/>
        <w:bottom w:val="none" w:sz="0" w:space="0" w:color="auto"/>
        <w:right w:val="none" w:sz="0" w:space="0" w:color="auto"/>
      </w:divBdr>
      <w:divsChild>
        <w:div w:id="888734739">
          <w:marLeft w:val="0"/>
          <w:marRight w:val="0"/>
          <w:marTop w:val="0"/>
          <w:marBottom w:val="0"/>
          <w:divBdr>
            <w:top w:val="none" w:sz="0" w:space="0" w:color="auto"/>
            <w:left w:val="none" w:sz="0" w:space="0" w:color="auto"/>
            <w:bottom w:val="none" w:sz="0" w:space="0" w:color="auto"/>
            <w:right w:val="none" w:sz="0" w:space="0" w:color="auto"/>
          </w:divBdr>
          <w:divsChild>
            <w:div w:id="493103632">
              <w:marLeft w:val="0"/>
              <w:marRight w:val="0"/>
              <w:marTop w:val="0"/>
              <w:marBottom w:val="0"/>
              <w:divBdr>
                <w:top w:val="none" w:sz="0" w:space="0" w:color="auto"/>
                <w:left w:val="none" w:sz="0" w:space="0" w:color="auto"/>
                <w:bottom w:val="none" w:sz="0" w:space="0" w:color="auto"/>
                <w:right w:val="none" w:sz="0" w:space="0" w:color="auto"/>
              </w:divBdr>
              <w:divsChild>
                <w:div w:id="164280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82363">
      <w:bodyDiv w:val="1"/>
      <w:marLeft w:val="0"/>
      <w:marRight w:val="0"/>
      <w:marTop w:val="0"/>
      <w:marBottom w:val="0"/>
      <w:divBdr>
        <w:top w:val="none" w:sz="0" w:space="0" w:color="auto"/>
        <w:left w:val="none" w:sz="0" w:space="0" w:color="auto"/>
        <w:bottom w:val="none" w:sz="0" w:space="0" w:color="auto"/>
        <w:right w:val="none" w:sz="0" w:space="0" w:color="auto"/>
      </w:divBdr>
    </w:div>
    <w:div w:id="1997222448">
      <w:bodyDiv w:val="1"/>
      <w:marLeft w:val="0"/>
      <w:marRight w:val="0"/>
      <w:marTop w:val="0"/>
      <w:marBottom w:val="0"/>
      <w:divBdr>
        <w:top w:val="none" w:sz="0" w:space="0" w:color="auto"/>
        <w:left w:val="none" w:sz="0" w:space="0" w:color="auto"/>
        <w:bottom w:val="none" w:sz="0" w:space="0" w:color="auto"/>
        <w:right w:val="none" w:sz="0" w:space="0" w:color="auto"/>
      </w:divBdr>
      <w:divsChild>
        <w:div w:id="1765883324">
          <w:marLeft w:val="0"/>
          <w:marRight w:val="0"/>
          <w:marTop w:val="0"/>
          <w:marBottom w:val="0"/>
          <w:divBdr>
            <w:top w:val="none" w:sz="0" w:space="0" w:color="auto"/>
            <w:left w:val="none" w:sz="0" w:space="0" w:color="auto"/>
            <w:bottom w:val="none" w:sz="0" w:space="0" w:color="auto"/>
            <w:right w:val="none" w:sz="0" w:space="0" w:color="auto"/>
          </w:divBdr>
          <w:divsChild>
            <w:div w:id="1224757033">
              <w:marLeft w:val="0"/>
              <w:marRight w:val="0"/>
              <w:marTop w:val="0"/>
              <w:marBottom w:val="0"/>
              <w:divBdr>
                <w:top w:val="none" w:sz="0" w:space="0" w:color="auto"/>
                <w:left w:val="none" w:sz="0" w:space="0" w:color="auto"/>
                <w:bottom w:val="none" w:sz="0" w:space="0" w:color="auto"/>
                <w:right w:val="none" w:sz="0" w:space="0" w:color="auto"/>
              </w:divBdr>
              <w:divsChild>
                <w:div w:id="209855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4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image" Target="media/image12.wmf"/><Relationship Id="rId42" Type="http://schemas.openxmlformats.org/officeDocument/2006/relationships/oleObject" Target="embeddings/oleObject12.bin"/><Relationship Id="rId63" Type="http://schemas.openxmlformats.org/officeDocument/2006/relationships/image" Target="media/image34.wmf"/><Relationship Id="rId84" Type="http://schemas.openxmlformats.org/officeDocument/2006/relationships/image" Target="media/image49.png"/><Relationship Id="rId138" Type="http://schemas.openxmlformats.org/officeDocument/2006/relationships/image" Target="media/image86.png"/><Relationship Id="rId159" Type="http://schemas.openxmlformats.org/officeDocument/2006/relationships/image" Target="media/image105.png"/><Relationship Id="rId170" Type="http://schemas.openxmlformats.org/officeDocument/2006/relationships/image" Target="media/image113.png"/><Relationship Id="rId107" Type="http://schemas.openxmlformats.org/officeDocument/2006/relationships/oleObject" Target="embeddings/oleObject35.bin"/><Relationship Id="rId11" Type="http://schemas.openxmlformats.org/officeDocument/2006/relationships/image" Target="media/image2.png"/><Relationship Id="rId32" Type="http://schemas.openxmlformats.org/officeDocument/2006/relationships/image" Target="media/image17.wmf"/><Relationship Id="rId53" Type="http://schemas.openxmlformats.org/officeDocument/2006/relationships/image" Target="media/image28.wmf"/><Relationship Id="rId74" Type="http://schemas.openxmlformats.org/officeDocument/2006/relationships/image" Target="media/image43.wmf"/><Relationship Id="rId128" Type="http://schemas.openxmlformats.org/officeDocument/2006/relationships/image" Target="media/image81.wmf"/><Relationship Id="rId149" Type="http://schemas.openxmlformats.org/officeDocument/2006/relationships/image" Target="media/image96.png"/><Relationship Id="rId5" Type="http://schemas.openxmlformats.org/officeDocument/2006/relationships/webSettings" Target="webSettings.xml"/><Relationship Id="rId95" Type="http://schemas.openxmlformats.org/officeDocument/2006/relationships/oleObject" Target="embeddings/oleObject31.bin"/><Relationship Id="rId160" Type="http://schemas.openxmlformats.org/officeDocument/2006/relationships/image" Target="media/image106.png"/><Relationship Id="rId181" Type="http://schemas.openxmlformats.org/officeDocument/2006/relationships/image" Target="media/image124.emf"/><Relationship Id="rId22" Type="http://schemas.openxmlformats.org/officeDocument/2006/relationships/oleObject" Target="embeddings/oleObject2.bin"/><Relationship Id="rId43" Type="http://schemas.openxmlformats.org/officeDocument/2006/relationships/image" Target="media/image23.wmf"/><Relationship Id="rId64" Type="http://schemas.openxmlformats.org/officeDocument/2006/relationships/oleObject" Target="embeddings/oleObject22.bin"/><Relationship Id="rId118" Type="http://schemas.openxmlformats.org/officeDocument/2006/relationships/image" Target="media/image73.wmf"/><Relationship Id="rId139" Type="http://schemas.openxmlformats.org/officeDocument/2006/relationships/image" Target="media/image87.png"/><Relationship Id="rId85" Type="http://schemas.openxmlformats.org/officeDocument/2006/relationships/image" Target="media/image50.png"/><Relationship Id="rId150" Type="http://schemas.openxmlformats.org/officeDocument/2006/relationships/image" Target="media/image97.png"/><Relationship Id="rId171" Type="http://schemas.openxmlformats.org/officeDocument/2006/relationships/image" Target="media/image114.png"/><Relationship Id="rId12" Type="http://schemas.openxmlformats.org/officeDocument/2006/relationships/image" Target="media/image3.png"/><Relationship Id="rId33" Type="http://schemas.openxmlformats.org/officeDocument/2006/relationships/oleObject" Target="embeddings/oleObject8.bin"/><Relationship Id="rId108" Type="http://schemas.openxmlformats.org/officeDocument/2006/relationships/image" Target="media/image65.wmf"/><Relationship Id="rId129" Type="http://schemas.openxmlformats.org/officeDocument/2006/relationships/oleObject" Target="embeddings/oleObject40.bin"/><Relationship Id="rId54" Type="http://schemas.openxmlformats.org/officeDocument/2006/relationships/oleObject" Target="embeddings/oleObject18.bin"/><Relationship Id="rId75" Type="http://schemas.openxmlformats.org/officeDocument/2006/relationships/oleObject" Target="embeddings/oleObject24.bin"/><Relationship Id="rId96" Type="http://schemas.openxmlformats.org/officeDocument/2006/relationships/image" Target="media/image57.png"/><Relationship Id="rId140" Type="http://schemas.openxmlformats.org/officeDocument/2006/relationships/image" Target="media/image88.png"/><Relationship Id="rId161" Type="http://schemas.openxmlformats.org/officeDocument/2006/relationships/image" Target="media/image107.wmf"/><Relationship Id="rId182" Type="http://schemas.openxmlformats.org/officeDocument/2006/relationships/image" Target="media/image125.wmf"/><Relationship Id="rId6" Type="http://schemas.openxmlformats.org/officeDocument/2006/relationships/footnotes" Target="footnotes.xml"/><Relationship Id="rId23" Type="http://schemas.openxmlformats.org/officeDocument/2006/relationships/image" Target="media/image13.wmf"/><Relationship Id="rId119" Type="http://schemas.openxmlformats.org/officeDocument/2006/relationships/oleObject" Target="embeddings/oleObject38.bin"/><Relationship Id="rId44" Type="http://schemas.openxmlformats.org/officeDocument/2006/relationships/oleObject" Target="embeddings/oleObject13.bin"/><Relationship Id="rId65" Type="http://schemas.openxmlformats.org/officeDocument/2006/relationships/image" Target="media/image35.png"/><Relationship Id="rId86" Type="http://schemas.openxmlformats.org/officeDocument/2006/relationships/image" Target="media/image51.wmf"/><Relationship Id="rId130" Type="http://schemas.openxmlformats.org/officeDocument/2006/relationships/image" Target="media/image82.wmf"/><Relationship Id="rId151" Type="http://schemas.openxmlformats.org/officeDocument/2006/relationships/image" Target="media/image98.png"/><Relationship Id="rId172" Type="http://schemas.openxmlformats.org/officeDocument/2006/relationships/image" Target="media/image115.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oleObject" Target="embeddings/oleObject11.bin"/><Relationship Id="rId109" Type="http://schemas.openxmlformats.org/officeDocument/2006/relationships/oleObject" Target="embeddings/oleObject36.bin"/><Relationship Id="rId34" Type="http://schemas.openxmlformats.org/officeDocument/2006/relationships/image" Target="media/image18.wmf"/><Relationship Id="rId50" Type="http://schemas.openxmlformats.org/officeDocument/2006/relationships/oleObject" Target="embeddings/oleObject16.bin"/><Relationship Id="rId55" Type="http://schemas.openxmlformats.org/officeDocument/2006/relationships/image" Target="media/image29.wmf"/><Relationship Id="rId76" Type="http://schemas.openxmlformats.org/officeDocument/2006/relationships/image" Target="media/image44.wmf"/><Relationship Id="rId97" Type="http://schemas.openxmlformats.org/officeDocument/2006/relationships/image" Target="media/image58.png"/><Relationship Id="rId104" Type="http://schemas.openxmlformats.org/officeDocument/2006/relationships/image" Target="media/image63.wmf"/><Relationship Id="rId120" Type="http://schemas.openxmlformats.org/officeDocument/2006/relationships/image" Target="media/image74.emf"/><Relationship Id="rId125" Type="http://schemas.openxmlformats.org/officeDocument/2006/relationships/oleObject" Target="embeddings/oleObject39.bin"/><Relationship Id="rId141" Type="http://schemas.openxmlformats.org/officeDocument/2006/relationships/image" Target="media/image89.png"/><Relationship Id="rId146" Type="http://schemas.openxmlformats.org/officeDocument/2006/relationships/image" Target="media/image93.png"/><Relationship Id="rId167" Type="http://schemas.openxmlformats.org/officeDocument/2006/relationships/image" Target="media/image110.png"/><Relationship Id="rId188"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55.wmf"/><Relationship Id="rId162" Type="http://schemas.openxmlformats.org/officeDocument/2006/relationships/oleObject" Target="embeddings/oleObject47.bin"/><Relationship Id="rId183" Type="http://schemas.openxmlformats.org/officeDocument/2006/relationships/oleObject" Target="embeddings/oleObject50.bin"/><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oleObject" Target="embeddings/oleObject3.bin"/><Relationship Id="rId40" Type="http://schemas.openxmlformats.org/officeDocument/2006/relationships/image" Target="media/image21.png"/><Relationship Id="rId45" Type="http://schemas.openxmlformats.org/officeDocument/2006/relationships/image" Target="media/image24.wmf"/><Relationship Id="rId66" Type="http://schemas.openxmlformats.org/officeDocument/2006/relationships/image" Target="media/image36.png"/><Relationship Id="rId87" Type="http://schemas.openxmlformats.org/officeDocument/2006/relationships/oleObject" Target="embeddings/oleObject28.bin"/><Relationship Id="rId110" Type="http://schemas.openxmlformats.org/officeDocument/2006/relationships/image" Target="media/image66.png"/><Relationship Id="rId115" Type="http://schemas.openxmlformats.org/officeDocument/2006/relationships/image" Target="media/image70.png"/><Relationship Id="rId131" Type="http://schemas.openxmlformats.org/officeDocument/2006/relationships/oleObject" Target="embeddings/oleObject41.bin"/><Relationship Id="rId136" Type="http://schemas.openxmlformats.org/officeDocument/2006/relationships/image" Target="media/image85.wmf"/><Relationship Id="rId157" Type="http://schemas.openxmlformats.org/officeDocument/2006/relationships/image" Target="media/image103.png"/><Relationship Id="rId178" Type="http://schemas.openxmlformats.org/officeDocument/2006/relationships/image" Target="media/image121.jpeg"/><Relationship Id="rId61" Type="http://schemas.openxmlformats.org/officeDocument/2006/relationships/image" Target="media/image33.wmf"/><Relationship Id="rId82" Type="http://schemas.openxmlformats.org/officeDocument/2006/relationships/oleObject" Target="embeddings/oleObject27.bin"/><Relationship Id="rId152" Type="http://schemas.openxmlformats.org/officeDocument/2006/relationships/image" Target="media/image99.png"/><Relationship Id="rId173" Type="http://schemas.openxmlformats.org/officeDocument/2006/relationships/image" Target="media/image116.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6.wmf"/><Relationship Id="rId35" Type="http://schemas.openxmlformats.org/officeDocument/2006/relationships/oleObject" Target="embeddings/oleObject9.bin"/><Relationship Id="rId56" Type="http://schemas.openxmlformats.org/officeDocument/2006/relationships/oleObject" Target="embeddings/oleObject19.bin"/><Relationship Id="rId77" Type="http://schemas.openxmlformats.org/officeDocument/2006/relationships/oleObject" Target="embeddings/oleObject25.bin"/><Relationship Id="rId100" Type="http://schemas.openxmlformats.org/officeDocument/2006/relationships/image" Target="media/image61.wmf"/><Relationship Id="rId105" Type="http://schemas.openxmlformats.org/officeDocument/2006/relationships/oleObject" Target="embeddings/oleObject34.bin"/><Relationship Id="rId126" Type="http://schemas.openxmlformats.org/officeDocument/2006/relationships/image" Target="media/image79.png"/><Relationship Id="rId147" Type="http://schemas.openxmlformats.org/officeDocument/2006/relationships/image" Target="media/image94.png"/><Relationship Id="rId168" Type="http://schemas.openxmlformats.org/officeDocument/2006/relationships/image" Target="media/image111.png"/><Relationship Id="rId8" Type="http://schemas.openxmlformats.org/officeDocument/2006/relationships/footer" Target="footer1.xml"/><Relationship Id="rId51" Type="http://schemas.openxmlformats.org/officeDocument/2006/relationships/image" Target="media/image27.wmf"/><Relationship Id="rId72" Type="http://schemas.openxmlformats.org/officeDocument/2006/relationships/image" Target="media/image42.wmf"/><Relationship Id="rId93" Type="http://schemas.openxmlformats.org/officeDocument/2006/relationships/oleObject" Target="embeddings/oleObject30.bin"/><Relationship Id="rId98" Type="http://schemas.openxmlformats.org/officeDocument/2006/relationships/image" Target="media/image59.png"/><Relationship Id="rId121" Type="http://schemas.openxmlformats.org/officeDocument/2006/relationships/image" Target="media/image75.emf"/><Relationship Id="rId142" Type="http://schemas.openxmlformats.org/officeDocument/2006/relationships/image" Target="media/image90.wmf"/><Relationship Id="rId163" Type="http://schemas.openxmlformats.org/officeDocument/2006/relationships/image" Target="media/image108.wmf"/><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4.wmf"/><Relationship Id="rId46" Type="http://schemas.openxmlformats.org/officeDocument/2006/relationships/oleObject" Target="embeddings/oleObject14.bin"/><Relationship Id="rId67" Type="http://schemas.openxmlformats.org/officeDocument/2006/relationships/image" Target="media/image37.png"/><Relationship Id="rId116" Type="http://schemas.openxmlformats.org/officeDocument/2006/relationships/image" Target="media/image71.emf"/><Relationship Id="rId137" Type="http://schemas.openxmlformats.org/officeDocument/2006/relationships/oleObject" Target="embeddings/oleObject44.bin"/><Relationship Id="rId158" Type="http://schemas.openxmlformats.org/officeDocument/2006/relationships/image" Target="media/image104.png"/><Relationship Id="rId20" Type="http://schemas.openxmlformats.org/officeDocument/2006/relationships/image" Target="media/image11.png"/><Relationship Id="rId41" Type="http://schemas.openxmlformats.org/officeDocument/2006/relationships/image" Target="media/image22.wmf"/><Relationship Id="rId62" Type="http://schemas.openxmlformats.org/officeDocument/2006/relationships/oleObject" Target="embeddings/oleObject21.bin"/><Relationship Id="rId83" Type="http://schemas.openxmlformats.org/officeDocument/2006/relationships/image" Target="media/image48.tiff"/><Relationship Id="rId88" Type="http://schemas.openxmlformats.org/officeDocument/2006/relationships/image" Target="media/image52.png"/><Relationship Id="rId111" Type="http://schemas.openxmlformats.org/officeDocument/2006/relationships/image" Target="media/image67.emf"/><Relationship Id="rId132" Type="http://schemas.openxmlformats.org/officeDocument/2006/relationships/image" Target="media/image83.wmf"/><Relationship Id="rId153" Type="http://schemas.openxmlformats.org/officeDocument/2006/relationships/image" Target="media/image100.wmf"/><Relationship Id="rId174" Type="http://schemas.openxmlformats.org/officeDocument/2006/relationships/image" Target="media/image117.png"/><Relationship Id="rId179" Type="http://schemas.openxmlformats.org/officeDocument/2006/relationships/image" Target="media/image122.png"/><Relationship Id="rId15" Type="http://schemas.openxmlformats.org/officeDocument/2006/relationships/image" Target="media/image6.png"/><Relationship Id="rId36" Type="http://schemas.openxmlformats.org/officeDocument/2006/relationships/image" Target="media/image19.wmf"/><Relationship Id="rId57" Type="http://schemas.openxmlformats.org/officeDocument/2006/relationships/image" Target="media/image30.png"/><Relationship Id="rId106" Type="http://schemas.openxmlformats.org/officeDocument/2006/relationships/image" Target="media/image64.wmf"/><Relationship Id="rId127" Type="http://schemas.openxmlformats.org/officeDocument/2006/relationships/image" Target="media/image80.png"/><Relationship Id="rId10" Type="http://schemas.openxmlformats.org/officeDocument/2006/relationships/oleObject" Target="embeddings/oleObject1.bin"/><Relationship Id="rId31" Type="http://schemas.openxmlformats.org/officeDocument/2006/relationships/oleObject" Target="embeddings/oleObject7.bin"/><Relationship Id="rId52" Type="http://schemas.openxmlformats.org/officeDocument/2006/relationships/oleObject" Target="embeddings/oleObject17.bin"/><Relationship Id="rId73" Type="http://schemas.openxmlformats.org/officeDocument/2006/relationships/oleObject" Target="embeddings/oleObject23.bin"/><Relationship Id="rId78" Type="http://schemas.openxmlformats.org/officeDocument/2006/relationships/image" Target="media/image45.png"/><Relationship Id="rId94" Type="http://schemas.openxmlformats.org/officeDocument/2006/relationships/image" Target="media/image56.wmf"/><Relationship Id="rId99" Type="http://schemas.openxmlformats.org/officeDocument/2006/relationships/image" Target="media/image60.png"/><Relationship Id="rId101" Type="http://schemas.openxmlformats.org/officeDocument/2006/relationships/oleObject" Target="embeddings/oleObject32.bin"/><Relationship Id="rId122" Type="http://schemas.openxmlformats.org/officeDocument/2006/relationships/image" Target="media/image76.png"/><Relationship Id="rId143" Type="http://schemas.openxmlformats.org/officeDocument/2006/relationships/oleObject" Target="embeddings/oleObject45.bin"/><Relationship Id="rId148" Type="http://schemas.openxmlformats.org/officeDocument/2006/relationships/image" Target="media/image95.png"/><Relationship Id="rId164" Type="http://schemas.openxmlformats.org/officeDocument/2006/relationships/oleObject" Target="embeddings/oleObject48.bin"/><Relationship Id="rId169" Type="http://schemas.openxmlformats.org/officeDocument/2006/relationships/image" Target="media/image112.emf"/><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image" Target="media/image123.png"/><Relationship Id="rId26" Type="http://schemas.openxmlformats.org/officeDocument/2006/relationships/oleObject" Target="embeddings/oleObject4.bin"/><Relationship Id="rId47" Type="http://schemas.openxmlformats.org/officeDocument/2006/relationships/image" Target="media/image25.wmf"/><Relationship Id="rId68" Type="http://schemas.openxmlformats.org/officeDocument/2006/relationships/image" Target="media/image38.png"/><Relationship Id="rId89" Type="http://schemas.openxmlformats.org/officeDocument/2006/relationships/image" Target="media/image53.png"/><Relationship Id="rId112" Type="http://schemas.openxmlformats.org/officeDocument/2006/relationships/image" Target="media/image68.wmf"/><Relationship Id="rId133" Type="http://schemas.openxmlformats.org/officeDocument/2006/relationships/oleObject" Target="embeddings/oleObject42.bin"/><Relationship Id="rId154" Type="http://schemas.openxmlformats.org/officeDocument/2006/relationships/oleObject" Target="embeddings/oleObject46.bin"/><Relationship Id="rId175" Type="http://schemas.openxmlformats.org/officeDocument/2006/relationships/image" Target="media/image118.png"/><Relationship Id="rId16" Type="http://schemas.openxmlformats.org/officeDocument/2006/relationships/image" Target="media/image7.png"/><Relationship Id="rId37" Type="http://schemas.openxmlformats.org/officeDocument/2006/relationships/oleObject" Target="embeddings/oleObject10.bin"/><Relationship Id="rId58" Type="http://schemas.openxmlformats.org/officeDocument/2006/relationships/image" Target="media/image31.png"/><Relationship Id="rId79" Type="http://schemas.openxmlformats.org/officeDocument/2006/relationships/image" Target="media/image46.wmf"/><Relationship Id="rId102" Type="http://schemas.openxmlformats.org/officeDocument/2006/relationships/image" Target="media/image62.wmf"/><Relationship Id="rId123" Type="http://schemas.openxmlformats.org/officeDocument/2006/relationships/image" Target="media/image77.png"/><Relationship Id="rId144" Type="http://schemas.openxmlformats.org/officeDocument/2006/relationships/image" Target="media/image91.png"/><Relationship Id="rId90" Type="http://schemas.openxmlformats.org/officeDocument/2006/relationships/image" Target="media/image54.wmf"/><Relationship Id="rId165" Type="http://schemas.openxmlformats.org/officeDocument/2006/relationships/image" Target="media/image109.wmf"/><Relationship Id="rId27" Type="http://schemas.openxmlformats.org/officeDocument/2006/relationships/image" Target="media/image15.wmf"/><Relationship Id="rId48" Type="http://schemas.openxmlformats.org/officeDocument/2006/relationships/oleObject" Target="embeddings/oleObject15.bin"/><Relationship Id="rId69" Type="http://schemas.openxmlformats.org/officeDocument/2006/relationships/image" Target="media/image39.gif"/><Relationship Id="rId113" Type="http://schemas.openxmlformats.org/officeDocument/2006/relationships/oleObject" Target="embeddings/oleObject37.bin"/><Relationship Id="rId134" Type="http://schemas.openxmlformats.org/officeDocument/2006/relationships/image" Target="media/image84.wmf"/><Relationship Id="rId80" Type="http://schemas.openxmlformats.org/officeDocument/2006/relationships/oleObject" Target="embeddings/oleObject26.bin"/><Relationship Id="rId155" Type="http://schemas.openxmlformats.org/officeDocument/2006/relationships/image" Target="media/image101.jpeg"/><Relationship Id="rId176" Type="http://schemas.openxmlformats.org/officeDocument/2006/relationships/image" Target="media/image119.png"/><Relationship Id="rId17" Type="http://schemas.openxmlformats.org/officeDocument/2006/relationships/image" Target="media/image8.png"/><Relationship Id="rId38" Type="http://schemas.openxmlformats.org/officeDocument/2006/relationships/image" Target="media/image20.wmf"/><Relationship Id="rId59" Type="http://schemas.openxmlformats.org/officeDocument/2006/relationships/image" Target="media/image32.wmf"/><Relationship Id="rId103" Type="http://schemas.openxmlformats.org/officeDocument/2006/relationships/oleObject" Target="embeddings/oleObject33.bin"/><Relationship Id="rId124" Type="http://schemas.openxmlformats.org/officeDocument/2006/relationships/image" Target="media/image78.wmf"/><Relationship Id="rId70" Type="http://schemas.openxmlformats.org/officeDocument/2006/relationships/image" Target="media/image40.emf"/><Relationship Id="rId91" Type="http://schemas.openxmlformats.org/officeDocument/2006/relationships/oleObject" Target="embeddings/oleObject29.bin"/><Relationship Id="rId145" Type="http://schemas.openxmlformats.org/officeDocument/2006/relationships/image" Target="media/image92.png"/><Relationship Id="rId166" Type="http://schemas.openxmlformats.org/officeDocument/2006/relationships/oleObject" Target="embeddings/oleObject49.bin"/><Relationship Id="rId187" Type="http://schemas.microsoft.com/office/2016/09/relationships/commentsIds" Target="commentsIds.xml"/><Relationship Id="rId1" Type="http://schemas.openxmlformats.org/officeDocument/2006/relationships/customXml" Target="../customXml/item1.xml"/><Relationship Id="rId28" Type="http://schemas.openxmlformats.org/officeDocument/2006/relationships/oleObject" Target="embeddings/oleObject5.bin"/><Relationship Id="rId49" Type="http://schemas.openxmlformats.org/officeDocument/2006/relationships/image" Target="media/image26.wmf"/><Relationship Id="rId114" Type="http://schemas.openxmlformats.org/officeDocument/2006/relationships/image" Target="media/image69.emf"/><Relationship Id="rId60" Type="http://schemas.openxmlformats.org/officeDocument/2006/relationships/oleObject" Target="embeddings/oleObject20.bin"/><Relationship Id="rId81" Type="http://schemas.openxmlformats.org/officeDocument/2006/relationships/image" Target="media/image47.wmf"/><Relationship Id="rId135" Type="http://schemas.openxmlformats.org/officeDocument/2006/relationships/oleObject" Target="embeddings/oleObject43.bin"/><Relationship Id="rId156" Type="http://schemas.openxmlformats.org/officeDocument/2006/relationships/image" Target="media/image102.png"/><Relationship Id="rId177" Type="http://schemas.openxmlformats.org/officeDocument/2006/relationships/image" Target="media/image1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AEEA5-2454-4878-A722-A80D41313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3858</TotalTime>
  <Pages>294</Pages>
  <Words>375103</Words>
  <Characters>2138089</Characters>
  <Application>Microsoft Office Word</Application>
  <DocSecurity>0</DocSecurity>
  <Lines>17817</Lines>
  <Paragraphs>5016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2508176</CharactersWithSpaces>
  <SharedDoc>false</SharedDoc>
  <HLinks>
    <vt:vector size="1380" baseType="variant">
      <vt:variant>
        <vt:i4>8323177</vt:i4>
      </vt:variant>
      <vt:variant>
        <vt:i4>2275</vt:i4>
      </vt:variant>
      <vt:variant>
        <vt:i4>0</vt:i4>
      </vt:variant>
      <vt:variant>
        <vt:i4>5</vt:i4>
      </vt:variant>
      <vt:variant>
        <vt:lpwstr>https://www.alfa.com/en/catalog/043319/</vt:lpwstr>
      </vt:variant>
      <vt:variant>
        <vt:lpwstr/>
      </vt:variant>
      <vt:variant>
        <vt:i4>1310802</vt:i4>
      </vt:variant>
      <vt:variant>
        <vt:i4>2272</vt:i4>
      </vt:variant>
      <vt:variant>
        <vt:i4>0</vt:i4>
      </vt:variant>
      <vt:variant>
        <vt:i4>5</vt:i4>
      </vt:variant>
      <vt:variant>
        <vt:lpwstr>https://www.graphitestore.com/gs-3772-expandable-graphite</vt:lpwstr>
      </vt:variant>
      <vt:variant>
        <vt:lpwstr/>
      </vt:variant>
      <vt:variant>
        <vt:i4>4849731</vt:i4>
      </vt:variant>
      <vt:variant>
        <vt:i4>2269</vt:i4>
      </vt:variant>
      <vt:variant>
        <vt:i4>0</vt:i4>
      </vt:variant>
      <vt:variant>
        <vt:i4>5</vt:i4>
      </vt:variant>
      <vt:variant>
        <vt:lpwstr>https://doi.org/10.1016/j.carbon.2018.05.033</vt:lpwstr>
      </vt:variant>
      <vt:variant>
        <vt:lpwstr/>
      </vt:variant>
      <vt:variant>
        <vt:i4>6225941</vt:i4>
      </vt:variant>
      <vt:variant>
        <vt:i4>2266</vt:i4>
      </vt:variant>
      <vt:variant>
        <vt:i4>0</vt:i4>
      </vt:variant>
      <vt:variant>
        <vt:i4>5</vt:i4>
      </vt:variant>
      <vt:variant>
        <vt:lpwstr>https://www.sigmaaldrich.com/US/en/product/aldrich/700207</vt:lpwstr>
      </vt:variant>
      <vt:variant>
        <vt:lpwstr/>
      </vt:variant>
      <vt:variant>
        <vt:i4>8192056</vt:i4>
      </vt:variant>
      <vt:variant>
        <vt:i4>2263</vt:i4>
      </vt:variant>
      <vt:variant>
        <vt:i4>0</vt:i4>
      </vt:variant>
      <vt:variant>
        <vt:i4>5</vt:i4>
      </vt:variant>
      <vt:variant>
        <vt:lpwstr>https://www.alfa.com/en/catalog/A10924/</vt:lpwstr>
      </vt:variant>
      <vt:variant>
        <vt:lpwstr/>
      </vt:variant>
      <vt:variant>
        <vt:i4>7471149</vt:i4>
      </vt:variant>
      <vt:variant>
        <vt:i4>2260</vt:i4>
      </vt:variant>
      <vt:variant>
        <vt:i4>0</vt:i4>
      </vt:variant>
      <vt:variant>
        <vt:i4>5</vt:i4>
      </vt:variant>
      <vt:variant>
        <vt:lpwstr>https://www.hexion.com/en-us/chemistry/epoxy-resins-curing-agents-modifiers/system-recommendations/wind-composites</vt:lpwstr>
      </vt:variant>
      <vt:variant>
        <vt:lpwstr/>
      </vt:variant>
      <vt:variant>
        <vt:i4>7143531</vt:i4>
      </vt:variant>
      <vt:variant>
        <vt:i4>2257</vt:i4>
      </vt:variant>
      <vt:variant>
        <vt:i4>0</vt:i4>
      </vt:variant>
      <vt:variant>
        <vt:i4>5</vt:i4>
      </vt:variant>
      <vt:variant>
        <vt:lpwstr>https://www.graphene-supermarket.com/products/graphene-nanopowder-ao-4-60nm-flakes</vt:lpwstr>
      </vt:variant>
      <vt:variant>
        <vt:lpwstr/>
      </vt:variant>
      <vt:variant>
        <vt:i4>1310802</vt:i4>
      </vt:variant>
      <vt:variant>
        <vt:i4>2254</vt:i4>
      </vt:variant>
      <vt:variant>
        <vt:i4>0</vt:i4>
      </vt:variant>
      <vt:variant>
        <vt:i4>5</vt:i4>
      </vt:variant>
      <vt:variant>
        <vt:lpwstr>https://www.graphitestore.com/gs-3570-expandable-graphite</vt:lpwstr>
      </vt:variant>
      <vt:variant>
        <vt:lpwstr/>
      </vt:variant>
      <vt:variant>
        <vt:i4>4587599</vt:i4>
      </vt:variant>
      <vt:variant>
        <vt:i4>2251</vt:i4>
      </vt:variant>
      <vt:variant>
        <vt:i4>0</vt:i4>
      </vt:variant>
      <vt:variant>
        <vt:i4>5</vt:i4>
      </vt:variant>
      <vt:variant>
        <vt:lpwstr>https://doi.org/10.1016/j.cplett.2012.01.007</vt:lpwstr>
      </vt:variant>
      <vt:variant>
        <vt:lpwstr/>
      </vt:variant>
      <vt:variant>
        <vt:i4>5242899</vt:i4>
      </vt:variant>
      <vt:variant>
        <vt:i4>2248</vt:i4>
      </vt:variant>
      <vt:variant>
        <vt:i4>0</vt:i4>
      </vt:variant>
      <vt:variant>
        <vt:i4>5</vt:i4>
      </vt:variant>
      <vt:variant>
        <vt:lpwstr>https://doi.org/10.1016/j.compositesa.2017.04.001</vt:lpwstr>
      </vt:variant>
      <vt:variant>
        <vt:lpwstr/>
      </vt:variant>
      <vt:variant>
        <vt:i4>3866684</vt:i4>
      </vt:variant>
      <vt:variant>
        <vt:i4>2245</vt:i4>
      </vt:variant>
      <vt:variant>
        <vt:i4>0</vt:i4>
      </vt:variant>
      <vt:variant>
        <vt:i4>5</vt:i4>
      </vt:variant>
      <vt:variant>
        <vt:lpwstr>https://doi.org/10.1016/j.materresbull.2018.02.024</vt:lpwstr>
      </vt:variant>
      <vt:variant>
        <vt:lpwstr/>
      </vt:variant>
      <vt:variant>
        <vt:i4>4522069</vt:i4>
      </vt:variant>
      <vt:variant>
        <vt:i4>2242</vt:i4>
      </vt:variant>
      <vt:variant>
        <vt:i4>0</vt:i4>
      </vt:variant>
      <vt:variant>
        <vt:i4>5</vt:i4>
      </vt:variant>
      <vt:variant>
        <vt:lpwstr>https://doi.org/10.1016/j.ijheatmasstransfer.2021.121115</vt:lpwstr>
      </vt:variant>
      <vt:variant>
        <vt:lpwstr/>
      </vt:variant>
      <vt:variant>
        <vt:i4>2162812</vt:i4>
      </vt:variant>
      <vt:variant>
        <vt:i4>2239</vt:i4>
      </vt:variant>
      <vt:variant>
        <vt:i4>0</vt:i4>
      </vt:variant>
      <vt:variant>
        <vt:i4>5</vt:i4>
      </vt:variant>
      <vt:variant>
        <vt:lpwstr>https://doi.org/10.1002/adfm.201904008</vt:lpwstr>
      </vt:variant>
      <vt:variant>
        <vt:lpwstr/>
      </vt:variant>
      <vt:variant>
        <vt:i4>2359413</vt:i4>
      </vt:variant>
      <vt:variant>
        <vt:i4>2236</vt:i4>
      </vt:variant>
      <vt:variant>
        <vt:i4>0</vt:i4>
      </vt:variant>
      <vt:variant>
        <vt:i4>5</vt:i4>
      </vt:variant>
      <vt:variant>
        <vt:lpwstr>https://doi.org/10.1002/adfm.201706954</vt:lpwstr>
      </vt:variant>
      <vt:variant>
        <vt:lpwstr/>
      </vt:variant>
      <vt:variant>
        <vt:i4>6225941</vt:i4>
      </vt:variant>
      <vt:variant>
        <vt:i4>2233</vt:i4>
      </vt:variant>
      <vt:variant>
        <vt:i4>0</vt:i4>
      </vt:variant>
      <vt:variant>
        <vt:i4>5</vt:i4>
      </vt:variant>
      <vt:variant>
        <vt:lpwstr>https://www.sigmaaldrich.com/US/en/product/aldrich/700207</vt:lpwstr>
      </vt:variant>
      <vt:variant>
        <vt:lpwstr/>
      </vt:variant>
      <vt:variant>
        <vt:i4>7143531</vt:i4>
      </vt:variant>
      <vt:variant>
        <vt:i4>2230</vt:i4>
      </vt:variant>
      <vt:variant>
        <vt:i4>0</vt:i4>
      </vt:variant>
      <vt:variant>
        <vt:i4>5</vt:i4>
      </vt:variant>
      <vt:variant>
        <vt:lpwstr>https://www.graphene-supermarket.com/products/graphene-nanopowder-ao-4-60nm-flakes</vt:lpwstr>
      </vt:variant>
      <vt:variant>
        <vt:lpwstr/>
      </vt:variant>
      <vt:variant>
        <vt:i4>4456474</vt:i4>
      </vt:variant>
      <vt:variant>
        <vt:i4>1286</vt:i4>
      </vt:variant>
      <vt:variant>
        <vt:i4>0</vt:i4>
      </vt:variant>
      <vt:variant>
        <vt:i4>5</vt:i4>
      </vt:variant>
      <vt:variant>
        <vt:lpwstr>https://sooners-my.sharepoint.com/personal/fatema-1_ou_edu/Documents/Latest file of dissertation/2022_Tarannum_Fatema_Dissertation.docx</vt:lpwstr>
      </vt:variant>
      <vt:variant>
        <vt:lpwstr>_Toc108293548</vt:lpwstr>
      </vt:variant>
      <vt:variant>
        <vt:i4>4456474</vt:i4>
      </vt:variant>
      <vt:variant>
        <vt:i4>1280</vt:i4>
      </vt:variant>
      <vt:variant>
        <vt:i4>0</vt:i4>
      </vt:variant>
      <vt:variant>
        <vt:i4>5</vt:i4>
      </vt:variant>
      <vt:variant>
        <vt:lpwstr>https://sooners-my.sharepoint.com/personal/fatema-1_ou_edu/Documents/Latest file of dissertation/2022_Tarannum_Fatema_Dissertation.docx</vt:lpwstr>
      </vt:variant>
      <vt:variant>
        <vt:lpwstr>_Toc108293547</vt:lpwstr>
      </vt:variant>
      <vt:variant>
        <vt:i4>4456474</vt:i4>
      </vt:variant>
      <vt:variant>
        <vt:i4>1274</vt:i4>
      </vt:variant>
      <vt:variant>
        <vt:i4>0</vt:i4>
      </vt:variant>
      <vt:variant>
        <vt:i4>5</vt:i4>
      </vt:variant>
      <vt:variant>
        <vt:lpwstr>https://sooners-my.sharepoint.com/personal/fatema-1_ou_edu/Documents/Latest file of dissertation/2022_Tarannum_Fatema_Dissertation.docx</vt:lpwstr>
      </vt:variant>
      <vt:variant>
        <vt:lpwstr>_Toc108293546</vt:lpwstr>
      </vt:variant>
      <vt:variant>
        <vt:i4>4456474</vt:i4>
      </vt:variant>
      <vt:variant>
        <vt:i4>1268</vt:i4>
      </vt:variant>
      <vt:variant>
        <vt:i4>0</vt:i4>
      </vt:variant>
      <vt:variant>
        <vt:i4>5</vt:i4>
      </vt:variant>
      <vt:variant>
        <vt:lpwstr>https://sooners-my.sharepoint.com/personal/fatema-1_ou_edu/Documents/Latest file of dissertation/2022_Tarannum_Fatema_Dissertation.docx</vt:lpwstr>
      </vt:variant>
      <vt:variant>
        <vt:lpwstr>_Toc108293545</vt:lpwstr>
      </vt:variant>
      <vt:variant>
        <vt:i4>4456474</vt:i4>
      </vt:variant>
      <vt:variant>
        <vt:i4>1262</vt:i4>
      </vt:variant>
      <vt:variant>
        <vt:i4>0</vt:i4>
      </vt:variant>
      <vt:variant>
        <vt:i4>5</vt:i4>
      </vt:variant>
      <vt:variant>
        <vt:lpwstr>https://sooners-my.sharepoint.com/personal/fatema-1_ou_edu/Documents/Latest file of dissertation/2022_Tarannum_Fatema_Dissertation.docx</vt:lpwstr>
      </vt:variant>
      <vt:variant>
        <vt:lpwstr>_Toc108293544</vt:lpwstr>
      </vt:variant>
      <vt:variant>
        <vt:i4>4456474</vt:i4>
      </vt:variant>
      <vt:variant>
        <vt:i4>1256</vt:i4>
      </vt:variant>
      <vt:variant>
        <vt:i4>0</vt:i4>
      </vt:variant>
      <vt:variant>
        <vt:i4>5</vt:i4>
      </vt:variant>
      <vt:variant>
        <vt:lpwstr>https://sooners-my.sharepoint.com/personal/fatema-1_ou_edu/Documents/Latest file of dissertation/2022_Tarannum_Fatema_Dissertation.docx</vt:lpwstr>
      </vt:variant>
      <vt:variant>
        <vt:lpwstr>_Toc108293543</vt:lpwstr>
      </vt:variant>
      <vt:variant>
        <vt:i4>4456474</vt:i4>
      </vt:variant>
      <vt:variant>
        <vt:i4>1250</vt:i4>
      </vt:variant>
      <vt:variant>
        <vt:i4>0</vt:i4>
      </vt:variant>
      <vt:variant>
        <vt:i4>5</vt:i4>
      </vt:variant>
      <vt:variant>
        <vt:lpwstr>https://sooners-my.sharepoint.com/personal/fatema-1_ou_edu/Documents/Latest file of dissertation/2022_Tarannum_Fatema_Dissertation.docx</vt:lpwstr>
      </vt:variant>
      <vt:variant>
        <vt:lpwstr>_Toc108293542</vt:lpwstr>
      </vt:variant>
      <vt:variant>
        <vt:i4>4456474</vt:i4>
      </vt:variant>
      <vt:variant>
        <vt:i4>1244</vt:i4>
      </vt:variant>
      <vt:variant>
        <vt:i4>0</vt:i4>
      </vt:variant>
      <vt:variant>
        <vt:i4>5</vt:i4>
      </vt:variant>
      <vt:variant>
        <vt:lpwstr>https://sooners-my.sharepoint.com/personal/fatema-1_ou_edu/Documents/Latest file of dissertation/2022_Tarannum_Fatema_Dissertation.docx</vt:lpwstr>
      </vt:variant>
      <vt:variant>
        <vt:lpwstr>_Toc108293541</vt:lpwstr>
      </vt:variant>
      <vt:variant>
        <vt:i4>4456474</vt:i4>
      </vt:variant>
      <vt:variant>
        <vt:i4>1238</vt:i4>
      </vt:variant>
      <vt:variant>
        <vt:i4>0</vt:i4>
      </vt:variant>
      <vt:variant>
        <vt:i4>5</vt:i4>
      </vt:variant>
      <vt:variant>
        <vt:lpwstr>https://sooners-my.sharepoint.com/personal/fatema-1_ou_edu/Documents/Latest file of dissertation/2022_Tarannum_Fatema_Dissertation.docx</vt:lpwstr>
      </vt:variant>
      <vt:variant>
        <vt:lpwstr>_Toc108293540</vt:lpwstr>
      </vt:variant>
      <vt:variant>
        <vt:i4>1376309</vt:i4>
      </vt:variant>
      <vt:variant>
        <vt:i4>1232</vt:i4>
      </vt:variant>
      <vt:variant>
        <vt:i4>0</vt:i4>
      </vt:variant>
      <vt:variant>
        <vt:i4>5</vt:i4>
      </vt:variant>
      <vt:variant>
        <vt:lpwstr/>
      </vt:variant>
      <vt:variant>
        <vt:lpwstr>_Toc108293539</vt:lpwstr>
      </vt:variant>
      <vt:variant>
        <vt:i4>1376309</vt:i4>
      </vt:variant>
      <vt:variant>
        <vt:i4>1226</vt:i4>
      </vt:variant>
      <vt:variant>
        <vt:i4>0</vt:i4>
      </vt:variant>
      <vt:variant>
        <vt:i4>5</vt:i4>
      </vt:variant>
      <vt:variant>
        <vt:lpwstr/>
      </vt:variant>
      <vt:variant>
        <vt:lpwstr>_Toc108293538</vt:lpwstr>
      </vt:variant>
      <vt:variant>
        <vt:i4>4390938</vt:i4>
      </vt:variant>
      <vt:variant>
        <vt:i4>1220</vt:i4>
      </vt:variant>
      <vt:variant>
        <vt:i4>0</vt:i4>
      </vt:variant>
      <vt:variant>
        <vt:i4>5</vt:i4>
      </vt:variant>
      <vt:variant>
        <vt:lpwstr>https://sooners-my.sharepoint.com/personal/fatema-1_ou_edu/Documents/Latest file of dissertation/2022_Tarannum_Fatema_Dissertation.docx</vt:lpwstr>
      </vt:variant>
      <vt:variant>
        <vt:lpwstr>_Toc108293537</vt:lpwstr>
      </vt:variant>
      <vt:variant>
        <vt:i4>1376309</vt:i4>
      </vt:variant>
      <vt:variant>
        <vt:i4>1214</vt:i4>
      </vt:variant>
      <vt:variant>
        <vt:i4>0</vt:i4>
      </vt:variant>
      <vt:variant>
        <vt:i4>5</vt:i4>
      </vt:variant>
      <vt:variant>
        <vt:lpwstr/>
      </vt:variant>
      <vt:variant>
        <vt:lpwstr>_Toc108293536</vt:lpwstr>
      </vt:variant>
      <vt:variant>
        <vt:i4>4390938</vt:i4>
      </vt:variant>
      <vt:variant>
        <vt:i4>1208</vt:i4>
      </vt:variant>
      <vt:variant>
        <vt:i4>0</vt:i4>
      </vt:variant>
      <vt:variant>
        <vt:i4>5</vt:i4>
      </vt:variant>
      <vt:variant>
        <vt:lpwstr>https://sooners-my.sharepoint.com/personal/fatema-1_ou_edu/Documents/Latest file of dissertation/2022_Tarannum_Fatema_Dissertation.docx</vt:lpwstr>
      </vt:variant>
      <vt:variant>
        <vt:lpwstr>_Toc108293535</vt:lpwstr>
      </vt:variant>
      <vt:variant>
        <vt:i4>4390938</vt:i4>
      </vt:variant>
      <vt:variant>
        <vt:i4>1202</vt:i4>
      </vt:variant>
      <vt:variant>
        <vt:i4>0</vt:i4>
      </vt:variant>
      <vt:variant>
        <vt:i4>5</vt:i4>
      </vt:variant>
      <vt:variant>
        <vt:lpwstr>https://sooners-my.sharepoint.com/personal/fatema-1_ou_edu/Documents/Latest file of dissertation/2022_Tarannum_Fatema_Dissertation.docx</vt:lpwstr>
      </vt:variant>
      <vt:variant>
        <vt:lpwstr>_Toc108293534</vt:lpwstr>
      </vt:variant>
      <vt:variant>
        <vt:i4>4390938</vt:i4>
      </vt:variant>
      <vt:variant>
        <vt:i4>1196</vt:i4>
      </vt:variant>
      <vt:variant>
        <vt:i4>0</vt:i4>
      </vt:variant>
      <vt:variant>
        <vt:i4>5</vt:i4>
      </vt:variant>
      <vt:variant>
        <vt:lpwstr>https://sooners-my.sharepoint.com/personal/fatema-1_ou_edu/Documents/Latest file of dissertation/2022_Tarannum_Fatema_Dissertation.docx</vt:lpwstr>
      </vt:variant>
      <vt:variant>
        <vt:lpwstr>_Toc108293533</vt:lpwstr>
      </vt:variant>
      <vt:variant>
        <vt:i4>4390938</vt:i4>
      </vt:variant>
      <vt:variant>
        <vt:i4>1190</vt:i4>
      </vt:variant>
      <vt:variant>
        <vt:i4>0</vt:i4>
      </vt:variant>
      <vt:variant>
        <vt:i4>5</vt:i4>
      </vt:variant>
      <vt:variant>
        <vt:lpwstr>https://sooners-my.sharepoint.com/personal/fatema-1_ou_edu/Documents/Latest file of dissertation/2022_Tarannum_Fatema_Dissertation.docx</vt:lpwstr>
      </vt:variant>
      <vt:variant>
        <vt:lpwstr>_Toc108293532</vt:lpwstr>
      </vt:variant>
      <vt:variant>
        <vt:i4>1376309</vt:i4>
      </vt:variant>
      <vt:variant>
        <vt:i4>1184</vt:i4>
      </vt:variant>
      <vt:variant>
        <vt:i4>0</vt:i4>
      </vt:variant>
      <vt:variant>
        <vt:i4>5</vt:i4>
      </vt:variant>
      <vt:variant>
        <vt:lpwstr/>
      </vt:variant>
      <vt:variant>
        <vt:lpwstr>_Toc108293531</vt:lpwstr>
      </vt:variant>
      <vt:variant>
        <vt:i4>4390938</vt:i4>
      </vt:variant>
      <vt:variant>
        <vt:i4>1178</vt:i4>
      </vt:variant>
      <vt:variant>
        <vt:i4>0</vt:i4>
      </vt:variant>
      <vt:variant>
        <vt:i4>5</vt:i4>
      </vt:variant>
      <vt:variant>
        <vt:lpwstr>https://sooners-my.sharepoint.com/personal/fatema-1_ou_edu/Documents/Latest file of dissertation/2022_Tarannum_Fatema_Dissertation.docx</vt:lpwstr>
      </vt:variant>
      <vt:variant>
        <vt:lpwstr>_Toc108293530</vt:lpwstr>
      </vt:variant>
      <vt:variant>
        <vt:i4>1310773</vt:i4>
      </vt:variant>
      <vt:variant>
        <vt:i4>1172</vt:i4>
      </vt:variant>
      <vt:variant>
        <vt:i4>0</vt:i4>
      </vt:variant>
      <vt:variant>
        <vt:i4>5</vt:i4>
      </vt:variant>
      <vt:variant>
        <vt:lpwstr/>
      </vt:variant>
      <vt:variant>
        <vt:lpwstr>_Toc108293529</vt:lpwstr>
      </vt:variant>
      <vt:variant>
        <vt:i4>1310773</vt:i4>
      </vt:variant>
      <vt:variant>
        <vt:i4>1166</vt:i4>
      </vt:variant>
      <vt:variant>
        <vt:i4>0</vt:i4>
      </vt:variant>
      <vt:variant>
        <vt:i4>5</vt:i4>
      </vt:variant>
      <vt:variant>
        <vt:lpwstr/>
      </vt:variant>
      <vt:variant>
        <vt:lpwstr>_Toc108293528</vt:lpwstr>
      </vt:variant>
      <vt:variant>
        <vt:i4>4325402</vt:i4>
      </vt:variant>
      <vt:variant>
        <vt:i4>1160</vt:i4>
      </vt:variant>
      <vt:variant>
        <vt:i4>0</vt:i4>
      </vt:variant>
      <vt:variant>
        <vt:i4>5</vt:i4>
      </vt:variant>
      <vt:variant>
        <vt:lpwstr>https://sooners-my.sharepoint.com/personal/fatema-1_ou_edu/Documents/Latest file of dissertation/2022_Tarannum_Fatema_Dissertation.docx</vt:lpwstr>
      </vt:variant>
      <vt:variant>
        <vt:lpwstr>_Toc108293527</vt:lpwstr>
      </vt:variant>
      <vt:variant>
        <vt:i4>4325402</vt:i4>
      </vt:variant>
      <vt:variant>
        <vt:i4>1154</vt:i4>
      </vt:variant>
      <vt:variant>
        <vt:i4>0</vt:i4>
      </vt:variant>
      <vt:variant>
        <vt:i4>5</vt:i4>
      </vt:variant>
      <vt:variant>
        <vt:lpwstr>https://sooners-my.sharepoint.com/personal/fatema-1_ou_edu/Documents/Latest file of dissertation/2022_Tarannum_Fatema_Dissertation.docx</vt:lpwstr>
      </vt:variant>
      <vt:variant>
        <vt:lpwstr>_Toc108293526</vt:lpwstr>
      </vt:variant>
      <vt:variant>
        <vt:i4>4325402</vt:i4>
      </vt:variant>
      <vt:variant>
        <vt:i4>1148</vt:i4>
      </vt:variant>
      <vt:variant>
        <vt:i4>0</vt:i4>
      </vt:variant>
      <vt:variant>
        <vt:i4>5</vt:i4>
      </vt:variant>
      <vt:variant>
        <vt:lpwstr>https://sooners-my.sharepoint.com/personal/fatema-1_ou_edu/Documents/Latest file of dissertation/2022_Tarannum_Fatema_Dissertation.docx</vt:lpwstr>
      </vt:variant>
      <vt:variant>
        <vt:lpwstr>_Toc108293525</vt:lpwstr>
      </vt:variant>
      <vt:variant>
        <vt:i4>4325402</vt:i4>
      </vt:variant>
      <vt:variant>
        <vt:i4>1142</vt:i4>
      </vt:variant>
      <vt:variant>
        <vt:i4>0</vt:i4>
      </vt:variant>
      <vt:variant>
        <vt:i4>5</vt:i4>
      </vt:variant>
      <vt:variant>
        <vt:lpwstr>https://sooners-my.sharepoint.com/personal/fatema-1_ou_edu/Documents/Latest file of dissertation/2022_Tarannum_Fatema_Dissertation.docx</vt:lpwstr>
      </vt:variant>
      <vt:variant>
        <vt:lpwstr>_Toc108293524</vt:lpwstr>
      </vt:variant>
      <vt:variant>
        <vt:i4>4325402</vt:i4>
      </vt:variant>
      <vt:variant>
        <vt:i4>1136</vt:i4>
      </vt:variant>
      <vt:variant>
        <vt:i4>0</vt:i4>
      </vt:variant>
      <vt:variant>
        <vt:i4>5</vt:i4>
      </vt:variant>
      <vt:variant>
        <vt:lpwstr>https://sooners-my.sharepoint.com/personal/fatema-1_ou_edu/Documents/Latest file of dissertation/2022_Tarannum_Fatema_Dissertation.docx</vt:lpwstr>
      </vt:variant>
      <vt:variant>
        <vt:lpwstr>_Toc108293523</vt:lpwstr>
      </vt:variant>
      <vt:variant>
        <vt:i4>4325402</vt:i4>
      </vt:variant>
      <vt:variant>
        <vt:i4>1130</vt:i4>
      </vt:variant>
      <vt:variant>
        <vt:i4>0</vt:i4>
      </vt:variant>
      <vt:variant>
        <vt:i4>5</vt:i4>
      </vt:variant>
      <vt:variant>
        <vt:lpwstr>https://sooners-my.sharepoint.com/personal/fatema-1_ou_edu/Documents/Latest file of dissertation/2022_Tarannum_Fatema_Dissertation.docx</vt:lpwstr>
      </vt:variant>
      <vt:variant>
        <vt:lpwstr>_Toc108293522</vt:lpwstr>
      </vt:variant>
      <vt:variant>
        <vt:i4>4325402</vt:i4>
      </vt:variant>
      <vt:variant>
        <vt:i4>1124</vt:i4>
      </vt:variant>
      <vt:variant>
        <vt:i4>0</vt:i4>
      </vt:variant>
      <vt:variant>
        <vt:i4>5</vt:i4>
      </vt:variant>
      <vt:variant>
        <vt:lpwstr>https://sooners-my.sharepoint.com/personal/fatema-1_ou_edu/Documents/Latest file of dissertation/2022_Tarannum_Fatema_Dissertation.docx</vt:lpwstr>
      </vt:variant>
      <vt:variant>
        <vt:lpwstr>_Toc108293521</vt:lpwstr>
      </vt:variant>
      <vt:variant>
        <vt:i4>1310773</vt:i4>
      </vt:variant>
      <vt:variant>
        <vt:i4>1118</vt:i4>
      </vt:variant>
      <vt:variant>
        <vt:i4>0</vt:i4>
      </vt:variant>
      <vt:variant>
        <vt:i4>5</vt:i4>
      </vt:variant>
      <vt:variant>
        <vt:lpwstr/>
      </vt:variant>
      <vt:variant>
        <vt:lpwstr>_Toc108293520</vt:lpwstr>
      </vt:variant>
      <vt:variant>
        <vt:i4>1507381</vt:i4>
      </vt:variant>
      <vt:variant>
        <vt:i4>1112</vt:i4>
      </vt:variant>
      <vt:variant>
        <vt:i4>0</vt:i4>
      </vt:variant>
      <vt:variant>
        <vt:i4>5</vt:i4>
      </vt:variant>
      <vt:variant>
        <vt:lpwstr/>
      </vt:variant>
      <vt:variant>
        <vt:lpwstr>_Toc108293519</vt:lpwstr>
      </vt:variant>
      <vt:variant>
        <vt:i4>4259866</vt:i4>
      </vt:variant>
      <vt:variant>
        <vt:i4>1106</vt:i4>
      </vt:variant>
      <vt:variant>
        <vt:i4>0</vt:i4>
      </vt:variant>
      <vt:variant>
        <vt:i4>5</vt:i4>
      </vt:variant>
      <vt:variant>
        <vt:lpwstr>https://sooners-my.sharepoint.com/personal/fatema-1_ou_edu/Documents/Latest file of dissertation/2022_Tarannum_Fatema_Dissertation.docx</vt:lpwstr>
      </vt:variant>
      <vt:variant>
        <vt:lpwstr>_Toc108293518</vt:lpwstr>
      </vt:variant>
      <vt:variant>
        <vt:i4>4259866</vt:i4>
      </vt:variant>
      <vt:variant>
        <vt:i4>1100</vt:i4>
      </vt:variant>
      <vt:variant>
        <vt:i4>0</vt:i4>
      </vt:variant>
      <vt:variant>
        <vt:i4>5</vt:i4>
      </vt:variant>
      <vt:variant>
        <vt:lpwstr>https://sooners-my.sharepoint.com/personal/fatema-1_ou_edu/Documents/Latest file of dissertation/2022_Tarannum_Fatema_Dissertation.docx</vt:lpwstr>
      </vt:variant>
      <vt:variant>
        <vt:lpwstr>_Toc108293517</vt:lpwstr>
      </vt:variant>
      <vt:variant>
        <vt:i4>1507381</vt:i4>
      </vt:variant>
      <vt:variant>
        <vt:i4>1094</vt:i4>
      </vt:variant>
      <vt:variant>
        <vt:i4>0</vt:i4>
      </vt:variant>
      <vt:variant>
        <vt:i4>5</vt:i4>
      </vt:variant>
      <vt:variant>
        <vt:lpwstr/>
      </vt:variant>
      <vt:variant>
        <vt:lpwstr>_Toc108293516</vt:lpwstr>
      </vt:variant>
      <vt:variant>
        <vt:i4>4259866</vt:i4>
      </vt:variant>
      <vt:variant>
        <vt:i4>1088</vt:i4>
      </vt:variant>
      <vt:variant>
        <vt:i4>0</vt:i4>
      </vt:variant>
      <vt:variant>
        <vt:i4>5</vt:i4>
      </vt:variant>
      <vt:variant>
        <vt:lpwstr>https://sooners-my.sharepoint.com/personal/fatema-1_ou_edu/Documents/Latest file of dissertation/2022_Tarannum_Fatema_Dissertation.docx</vt:lpwstr>
      </vt:variant>
      <vt:variant>
        <vt:lpwstr>_Toc108293515</vt:lpwstr>
      </vt:variant>
      <vt:variant>
        <vt:i4>4259866</vt:i4>
      </vt:variant>
      <vt:variant>
        <vt:i4>1082</vt:i4>
      </vt:variant>
      <vt:variant>
        <vt:i4>0</vt:i4>
      </vt:variant>
      <vt:variant>
        <vt:i4>5</vt:i4>
      </vt:variant>
      <vt:variant>
        <vt:lpwstr>https://sooners-my.sharepoint.com/personal/fatema-1_ou_edu/Documents/Latest file of dissertation/2022_Tarannum_Fatema_Dissertation.docx</vt:lpwstr>
      </vt:variant>
      <vt:variant>
        <vt:lpwstr>_Toc108293514</vt:lpwstr>
      </vt:variant>
      <vt:variant>
        <vt:i4>4259866</vt:i4>
      </vt:variant>
      <vt:variant>
        <vt:i4>1076</vt:i4>
      </vt:variant>
      <vt:variant>
        <vt:i4>0</vt:i4>
      </vt:variant>
      <vt:variant>
        <vt:i4>5</vt:i4>
      </vt:variant>
      <vt:variant>
        <vt:lpwstr>https://sooners-my.sharepoint.com/personal/fatema-1_ou_edu/Documents/Latest file of dissertation/2022_Tarannum_Fatema_Dissertation.docx</vt:lpwstr>
      </vt:variant>
      <vt:variant>
        <vt:lpwstr>_Toc108293513</vt:lpwstr>
      </vt:variant>
      <vt:variant>
        <vt:i4>4259866</vt:i4>
      </vt:variant>
      <vt:variant>
        <vt:i4>1070</vt:i4>
      </vt:variant>
      <vt:variant>
        <vt:i4>0</vt:i4>
      </vt:variant>
      <vt:variant>
        <vt:i4>5</vt:i4>
      </vt:variant>
      <vt:variant>
        <vt:lpwstr>https://sooners-my.sharepoint.com/personal/fatema-1_ou_edu/Documents/Latest file of dissertation/2022_Tarannum_Fatema_Dissertation.docx</vt:lpwstr>
      </vt:variant>
      <vt:variant>
        <vt:lpwstr>_Toc108293512</vt:lpwstr>
      </vt:variant>
      <vt:variant>
        <vt:i4>1507381</vt:i4>
      </vt:variant>
      <vt:variant>
        <vt:i4>1064</vt:i4>
      </vt:variant>
      <vt:variant>
        <vt:i4>0</vt:i4>
      </vt:variant>
      <vt:variant>
        <vt:i4>5</vt:i4>
      </vt:variant>
      <vt:variant>
        <vt:lpwstr/>
      </vt:variant>
      <vt:variant>
        <vt:lpwstr>_Toc108293511</vt:lpwstr>
      </vt:variant>
      <vt:variant>
        <vt:i4>1507381</vt:i4>
      </vt:variant>
      <vt:variant>
        <vt:i4>1058</vt:i4>
      </vt:variant>
      <vt:variant>
        <vt:i4>0</vt:i4>
      </vt:variant>
      <vt:variant>
        <vt:i4>5</vt:i4>
      </vt:variant>
      <vt:variant>
        <vt:lpwstr/>
      </vt:variant>
      <vt:variant>
        <vt:lpwstr>_Toc108293510</vt:lpwstr>
      </vt:variant>
      <vt:variant>
        <vt:i4>4194330</vt:i4>
      </vt:variant>
      <vt:variant>
        <vt:i4>1052</vt:i4>
      </vt:variant>
      <vt:variant>
        <vt:i4>0</vt:i4>
      </vt:variant>
      <vt:variant>
        <vt:i4>5</vt:i4>
      </vt:variant>
      <vt:variant>
        <vt:lpwstr>https://sooners-my.sharepoint.com/personal/fatema-1_ou_edu/Documents/Latest file of dissertation/2022_Tarannum_Fatema_Dissertation.docx</vt:lpwstr>
      </vt:variant>
      <vt:variant>
        <vt:lpwstr>_Toc108293509</vt:lpwstr>
      </vt:variant>
      <vt:variant>
        <vt:i4>4194330</vt:i4>
      </vt:variant>
      <vt:variant>
        <vt:i4>1046</vt:i4>
      </vt:variant>
      <vt:variant>
        <vt:i4>0</vt:i4>
      </vt:variant>
      <vt:variant>
        <vt:i4>5</vt:i4>
      </vt:variant>
      <vt:variant>
        <vt:lpwstr>https://sooners-my.sharepoint.com/personal/fatema-1_ou_edu/Documents/Latest file of dissertation/2022_Tarannum_Fatema_Dissertation.docx</vt:lpwstr>
      </vt:variant>
      <vt:variant>
        <vt:lpwstr>_Toc108293508</vt:lpwstr>
      </vt:variant>
      <vt:variant>
        <vt:i4>4194330</vt:i4>
      </vt:variant>
      <vt:variant>
        <vt:i4>1040</vt:i4>
      </vt:variant>
      <vt:variant>
        <vt:i4>0</vt:i4>
      </vt:variant>
      <vt:variant>
        <vt:i4>5</vt:i4>
      </vt:variant>
      <vt:variant>
        <vt:lpwstr>https://sooners-my.sharepoint.com/personal/fatema-1_ou_edu/Documents/Latest file of dissertation/2022_Tarannum_Fatema_Dissertation.docx</vt:lpwstr>
      </vt:variant>
      <vt:variant>
        <vt:lpwstr>_Toc108293507</vt:lpwstr>
      </vt:variant>
      <vt:variant>
        <vt:i4>1441845</vt:i4>
      </vt:variant>
      <vt:variant>
        <vt:i4>1034</vt:i4>
      </vt:variant>
      <vt:variant>
        <vt:i4>0</vt:i4>
      </vt:variant>
      <vt:variant>
        <vt:i4>5</vt:i4>
      </vt:variant>
      <vt:variant>
        <vt:lpwstr/>
      </vt:variant>
      <vt:variant>
        <vt:lpwstr>_Toc108293506</vt:lpwstr>
      </vt:variant>
      <vt:variant>
        <vt:i4>4194330</vt:i4>
      </vt:variant>
      <vt:variant>
        <vt:i4>1028</vt:i4>
      </vt:variant>
      <vt:variant>
        <vt:i4>0</vt:i4>
      </vt:variant>
      <vt:variant>
        <vt:i4>5</vt:i4>
      </vt:variant>
      <vt:variant>
        <vt:lpwstr>https://sooners-my.sharepoint.com/personal/fatema-1_ou_edu/Documents/Latest file of dissertation/2022_Tarannum_Fatema_Dissertation.docx</vt:lpwstr>
      </vt:variant>
      <vt:variant>
        <vt:lpwstr>_Toc108293505</vt:lpwstr>
      </vt:variant>
      <vt:variant>
        <vt:i4>4194330</vt:i4>
      </vt:variant>
      <vt:variant>
        <vt:i4>1022</vt:i4>
      </vt:variant>
      <vt:variant>
        <vt:i4>0</vt:i4>
      </vt:variant>
      <vt:variant>
        <vt:i4>5</vt:i4>
      </vt:variant>
      <vt:variant>
        <vt:lpwstr>https://sooners-my.sharepoint.com/personal/fatema-1_ou_edu/Documents/Latest file of dissertation/2022_Tarannum_Fatema_Dissertation.docx</vt:lpwstr>
      </vt:variant>
      <vt:variant>
        <vt:lpwstr>_Toc108293504</vt:lpwstr>
      </vt:variant>
      <vt:variant>
        <vt:i4>1441845</vt:i4>
      </vt:variant>
      <vt:variant>
        <vt:i4>1016</vt:i4>
      </vt:variant>
      <vt:variant>
        <vt:i4>0</vt:i4>
      </vt:variant>
      <vt:variant>
        <vt:i4>5</vt:i4>
      </vt:variant>
      <vt:variant>
        <vt:lpwstr/>
      </vt:variant>
      <vt:variant>
        <vt:lpwstr>_Toc108293503</vt:lpwstr>
      </vt:variant>
      <vt:variant>
        <vt:i4>1441845</vt:i4>
      </vt:variant>
      <vt:variant>
        <vt:i4>1010</vt:i4>
      </vt:variant>
      <vt:variant>
        <vt:i4>0</vt:i4>
      </vt:variant>
      <vt:variant>
        <vt:i4>5</vt:i4>
      </vt:variant>
      <vt:variant>
        <vt:lpwstr/>
      </vt:variant>
      <vt:variant>
        <vt:lpwstr>_Toc108293502</vt:lpwstr>
      </vt:variant>
      <vt:variant>
        <vt:i4>4194330</vt:i4>
      </vt:variant>
      <vt:variant>
        <vt:i4>1004</vt:i4>
      </vt:variant>
      <vt:variant>
        <vt:i4>0</vt:i4>
      </vt:variant>
      <vt:variant>
        <vt:i4>5</vt:i4>
      </vt:variant>
      <vt:variant>
        <vt:lpwstr>https://sooners-my.sharepoint.com/personal/fatema-1_ou_edu/Documents/Latest file of dissertation/2022_Tarannum_Fatema_Dissertation.docx</vt:lpwstr>
      </vt:variant>
      <vt:variant>
        <vt:lpwstr>_Toc108293501</vt:lpwstr>
      </vt:variant>
      <vt:variant>
        <vt:i4>4194330</vt:i4>
      </vt:variant>
      <vt:variant>
        <vt:i4>998</vt:i4>
      </vt:variant>
      <vt:variant>
        <vt:i4>0</vt:i4>
      </vt:variant>
      <vt:variant>
        <vt:i4>5</vt:i4>
      </vt:variant>
      <vt:variant>
        <vt:lpwstr>https://sooners-my.sharepoint.com/personal/fatema-1_ou_edu/Documents/Latest file of dissertation/2022_Tarannum_Fatema_Dissertation.docx</vt:lpwstr>
      </vt:variant>
      <vt:variant>
        <vt:lpwstr>_Toc108293500</vt:lpwstr>
      </vt:variant>
      <vt:variant>
        <vt:i4>4784155</vt:i4>
      </vt:variant>
      <vt:variant>
        <vt:i4>992</vt:i4>
      </vt:variant>
      <vt:variant>
        <vt:i4>0</vt:i4>
      </vt:variant>
      <vt:variant>
        <vt:i4>5</vt:i4>
      </vt:variant>
      <vt:variant>
        <vt:lpwstr>https://sooners-my.sharepoint.com/personal/fatema-1_ou_edu/Documents/Latest file of dissertation/2022_Tarannum_Fatema_Dissertation.docx</vt:lpwstr>
      </vt:variant>
      <vt:variant>
        <vt:lpwstr>_Toc108293499</vt:lpwstr>
      </vt:variant>
      <vt:variant>
        <vt:i4>4784155</vt:i4>
      </vt:variant>
      <vt:variant>
        <vt:i4>986</vt:i4>
      </vt:variant>
      <vt:variant>
        <vt:i4>0</vt:i4>
      </vt:variant>
      <vt:variant>
        <vt:i4>5</vt:i4>
      </vt:variant>
      <vt:variant>
        <vt:lpwstr>https://sooners-my.sharepoint.com/personal/fatema-1_ou_edu/Documents/Latest file of dissertation/2022_Tarannum_Fatema_Dissertation.docx</vt:lpwstr>
      </vt:variant>
      <vt:variant>
        <vt:lpwstr>_Toc108293498</vt:lpwstr>
      </vt:variant>
      <vt:variant>
        <vt:i4>4784155</vt:i4>
      </vt:variant>
      <vt:variant>
        <vt:i4>980</vt:i4>
      </vt:variant>
      <vt:variant>
        <vt:i4>0</vt:i4>
      </vt:variant>
      <vt:variant>
        <vt:i4>5</vt:i4>
      </vt:variant>
      <vt:variant>
        <vt:lpwstr>https://sooners-my.sharepoint.com/personal/fatema-1_ou_edu/Documents/Latest file of dissertation/2022_Tarannum_Fatema_Dissertation.docx</vt:lpwstr>
      </vt:variant>
      <vt:variant>
        <vt:lpwstr>_Toc108293497</vt:lpwstr>
      </vt:variant>
      <vt:variant>
        <vt:i4>4784155</vt:i4>
      </vt:variant>
      <vt:variant>
        <vt:i4>974</vt:i4>
      </vt:variant>
      <vt:variant>
        <vt:i4>0</vt:i4>
      </vt:variant>
      <vt:variant>
        <vt:i4>5</vt:i4>
      </vt:variant>
      <vt:variant>
        <vt:lpwstr>https://sooners-my.sharepoint.com/personal/fatema-1_ou_edu/Documents/Latest file of dissertation/2022_Tarannum_Fatema_Dissertation.docx</vt:lpwstr>
      </vt:variant>
      <vt:variant>
        <vt:lpwstr>_Toc108293496</vt:lpwstr>
      </vt:variant>
      <vt:variant>
        <vt:i4>2031668</vt:i4>
      </vt:variant>
      <vt:variant>
        <vt:i4>968</vt:i4>
      </vt:variant>
      <vt:variant>
        <vt:i4>0</vt:i4>
      </vt:variant>
      <vt:variant>
        <vt:i4>5</vt:i4>
      </vt:variant>
      <vt:variant>
        <vt:lpwstr/>
      </vt:variant>
      <vt:variant>
        <vt:lpwstr>_Toc108293495</vt:lpwstr>
      </vt:variant>
      <vt:variant>
        <vt:i4>4784155</vt:i4>
      </vt:variant>
      <vt:variant>
        <vt:i4>962</vt:i4>
      </vt:variant>
      <vt:variant>
        <vt:i4>0</vt:i4>
      </vt:variant>
      <vt:variant>
        <vt:i4>5</vt:i4>
      </vt:variant>
      <vt:variant>
        <vt:lpwstr>https://sooners-my.sharepoint.com/personal/fatema-1_ou_edu/Documents/Latest file of dissertation/2022_Tarannum_Fatema_Dissertation.docx</vt:lpwstr>
      </vt:variant>
      <vt:variant>
        <vt:lpwstr>_Toc108293494</vt:lpwstr>
      </vt:variant>
      <vt:variant>
        <vt:i4>2031668</vt:i4>
      </vt:variant>
      <vt:variant>
        <vt:i4>956</vt:i4>
      </vt:variant>
      <vt:variant>
        <vt:i4>0</vt:i4>
      </vt:variant>
      <vt:variant>
        <vt:i4>5</vt:i4>
      </vt:variant>
      <vt:variant>
        <vt:lpwstr/>
      </vt:variant>
      <vt:variant>
        <vt:lpwstr>_Toc108293493</vt:lpwstr>
      </vt:variant>
      <vt:variant>
        <vt:i4>4784155</vt:i4>
      </vt:variant>
      <vt:variant>
        <vt:i4>950</vt:i4>
      </vt:variant>
      <vt:variant>
        <vt:i4>0</vt:i4>
      </vt:variant>
      <vt:variant>
        <vt:i4>5</vt:i4>
      </vt:variant>
      <vt:variant>
        <vt:lpwstr>https://sooners-my.sharepoint.com/personal/fatema-1_ou_edu/Documents/Latest file of dissertation/2022_Tarannum_Fatema_Dissertation.docx</vt:lpwstr>
      </vt:variant>
      <vt:variant>
        <vt:lpwstr>_Toc108293492</vt:lpwstr>
      </vt:variant>
      <vt:variant>
        <vt:i4>2031668</vt:i4>
      </vt:variant>
      <vt:variant>
        <vt:i4>944</vt:i4>
      </vt:variant>
      <vt:variant>
        <vt:i4>0</vt:i4>
      </vt:variant>
      <vt:variant>
        <vt:i4>5</vt:i4>
      </vt:variant>
      <vt:variant>
        <vt:lpwstr/>
      </vt:variant>
      <vt:variant>
        <vt:lpwstr>_Toc108293491</vt:lpwstr>
      </vt:variant>
      <vt:variant>
        <vt:i4>4784155</vt:i4>
      </vt:variant>
      <vt:variant>
        <vt:i4>938</vt:i4>
      </vt:variant>
      <vt:variant>
        <vt:i4>0</vt:i4>
      </vt:variant>
      <vt:variant>
        <vt:i4>5</vt:i4>
      </vt:variant>
      <vt:variant>
        <vt:lpwstr>https://sooners-my.sharepoint.com/personal/fatema-1_ou_edu/Documents/Latest file of dissertation/2022_Tarannum_Fatema_Dissertation.docx</vt:lpwstr>
      </vt:variant>
      <vt:variant>
        <vt:lpwstr>_Toc108293490</vt:lpwstr>
      </vt:variant>
      <vt:variant>
        <vt:i4>1966132</vt:i4>
      </vt:variant>
      <vt:variant>
        <vt:i4>932</vt:i4>
      </vt:variant>
      <vt:variant>
        <vt:i4>0</vt:i4>
      </vt:variant>
      <vt:variant>
        <vt:i4>5</vt:i4>
      </vt:variant>
      <vt:variant>
        <vt:lpwstr/>
      </vt:variant>
      <vt:variant>
        <vt:lpwstr>_Toc108293489</vt:lpwstr>
      </vt:variant>
      <vt:variant>
        <vt:i4>4718619</vt:i4>
      </vt:variant>
      <vt:variant>
        <vt:i4>926</vt:i4>
      </vt:variant>
      <vt:variant>
        <vt:i4>0</vt:i4>
      </vt:variant>
      <vt:variant>
        <vt:i4>5</vt:i4>
      </vt:variant>
      <vt:variant>
        <vt:lpwstr>https://sooners-my.sharepoint.com/personal/fatema-1_ou_edu/Documents/Latest file of dissertation/2022_Tarannum_Fatema_Dissertation.docx</vt:lpwstr>
      </vt:variant>
      <vt:variant>
        <vt:lpwstr>_Toc108293488</vt:lpwstr>
      </vt:variant>
      <vt:variant>
        <vt:i4>4718619</vt:i4>
      </vt:variant>
      <vt:variant>
        <vt:i4>920</vt:i4>
      </vt:variant>
      <vt:variant>
        <vt:i4>0</vt:i4>
      </vt:variant>
      <vt:variant>
        <vt:i4>5</vt:i4>
      </vt:variant>
      <vt:variant>
        <vt:lpwstr>https://sooners-my.sharepoint.com/personal/fatema-1_ou_edu/Documents/Latest file of dissertation/2022_Tarannum_Fatema_Dissertation.docx</vt:lpwstr>
      </vt:variant>
      <vt:variant>
        <vt:lpwstr>_Toc108293487</vt:lpwstr>
      </vt:variant>
      <vt:variant>
        <vt:i4>4718619</vt:i4>
      </vt:variant>
      <vt:variant>
        <vt:i4>914</vt:i4>
      </vt:variant>
      <vt:variant>
        <vt:i4>0</vt:i4>
      </vt:variant>
      <vt:variant>
        <vt:i4>5</vt:i4>
      </vt:variant>
      <vt:variant>
        <vt:lpwstr>https://sooners-my.sharepoint.com/personal/fatema-1_ou_edu/Documents/Latest file of dissertation/2022_Tarannum_Fatema_Dissertation.docx</vt:lpwstr>
      </vt:variant>
      <vt:variant>
        <vt:lpwstr>_Toc108293486</vt:lpwstr>
      </vt:variant>
      <vt:variant>
        <vt:i4>4718619</vt:i4>
      </vt:variant>
      <vt:variant>
        <vt:i4>908</vt:i4>
      </vt:variant>
      <vt:variant>
        <vt:i4>0</vt:i4>
      </vt:variant>
      <vt:variant>
        <vt:i4>5</vt:i4>
      </vt:variant>
      <vt:variant>
        <vt:lpwstr>https://sooners-my.sharepoint.com/personal/fatema-1_ou_edu/Documents/Latest file of dissertation/2022_Tarannum_Fatema_Dissertation.docx</vt:lpwstr>
      </vt:variant>
      <vt:variant>
        <vt:lpwstr>_Toc108293485</vt:lpwstr>
      </vt:variant>
      <vt:variant>
        <vt:i4>4718619</vt:i4>
      </vt:variant>
      <vt:variant>
        <vt:i4>902</vt:i4>
      </vt:variant>
      <vt:variant>
        <vt:i4>0</vt:i4>
      </vt:variant>
      <vt:variant>
        <vt:i4>5</vt:i4>
      </vt:variant>
      <vt:variant>
        <vt:lpwstr>https://sooners-my.sharepoint.com/personal/fatema-1_ou_edu/Documents/Latest file of dissertation/2022_Tarannum_Fatema_Dissertation.docx</vt:lpwstr>
      </vt:variant>
      <vt:variant>
        <vt:lpwstr>_Toc108293484</vt:lpwstr>
      </vt:variant>
      <vt:variant>
        <vt:i4>4718619</vt:i4>
      </vt:variant>
      <vt:variant>
        <vt:i4>896</vt:i4>
      </vt:variant>
      <vt:variant>
        <vt:i4>0</vt:i4>
      </vt:variant>
      <vt:variant>
        <vt:i4>5</vt:i4>
      </vt:variant>
      <vt:variant>
        <vt:lpwstr>https://sooners-my.sharepoint.com/personal/fatema-1_ou_edu/Documents/Latest file of dissertation/2022_Tarannum_Fatema_Dissertation.docx</vt:lpwstr>
      </vt:variant>
      <vt:variant>
        <vt:lpwstr>_Toc108293483</vt:lpwstr>
      </vt:variant>
      <vt:variant>
        <vt:i4>4718619</vt:i4>
      </vt:variant>
      <vt:variant>
        <vt:i4>890</vt:i4>
      </vt:variant>
      <vt:variant>
        <vt:i4>0</vt:i4>
      </vt:variant>
      <vt:variant>
        <vt:i4>5</vt:i4>
      </vt:variant>
      <vt:variant>
        <vt:lpwstr>https://sooners-my.sharepoint.com/personal/fatema-1_ou_edu/Documents/Latest file of dissertation/2022_Tarannum_Fatema_Dissertation.docx</vt:lpwstr>
      </vt:variant>
      <vt:variant>
        <vt:lpwstr>_Toc108293482</vt:lpwstr>
      </vt:variant>
      <vt:variant>
        <vt:i4>4718619</vt:i4>
      </vt:variant>
      <vt:variant>
        <vt:i4>881</vt:i4>
      </vt:variant>
      <vt:variant>
        <vt:i4>0</vt:i4>
      </vt:variant>
      <vt:variant>
        <vt:i4>5</vt:i4>
      </vt:variant>
      <vt:variant>
        <vt:lpwstr>https://sooners-my.sharepoint.com/personal/fatema-1_ou_edu/Documents/Latest file of dissertation/2022_Tarannum_Fatema_Dissertation.docx</vt:lpwstr>
      </vt:variant>
      <vt:variant>
        <vt:lpwstr>_Toc108293481</vt:lpwstr>
      </vt:variant>
      <vt:variant>
        <vt:i4>4718619</vt:i4>
      </vt:variant>
      <vt:variant>
        <vt:i4>875</vt:i4>
      </vt:variant>
      <vt:variant>
        <vt:i4>0</vt:i4>
      </vt:variant>
      <vt:variant>
        <vt:i4>5</vt:i4>
      </vt:variant>
      <vt:variant>
        <vt:lpwstr>https://sooners-my.sharepoint.com/personal/fatema-1_ou_edu/Documents/Latest file of dissertation/2022_Tarannum_Fatema_Dissertation.docx</vt:lpwstr>
      </vt:variant>
      <vt:variant>
        <vt:lpwstr>_Toc108293480</vt:lpwstr>
      </vt:variant>
      <vt:variant>
        <vt:i4>4653083</vt:i4>
      </vt:variant>
      <vt:variant>
        <vt:i4>869</vt:i4>
      </vt:variant>
      <vt:variant>
        <vt:i4>0</vt:i4>
      </vt:variant>
      <vt:variant>
        <vt:i4>5</vt:i4>
      </vt:variant>
      <vt:variant>
        <vt:lpwstr>https://sooners-my.sharepoint.com/personal/fatema-1_ou_edu/Documents/Latest file of dissertation/2022_Tarannum_Fatema_Dissertation.docx</vt:lpwstr>
      </vt:variant>
      <vt:variant>
        <vt:lpwstr>_Toc108293479</vt:lpwstr>
      </vt:variant>
      <vt:variant>
        <vt:i4>4653083</vt:i4>
      </vt:variant>
      <vt:variant>
        <vt:i4>863</vt:i4>
      </vt:variant>
      <vt:variant>
        <vt:i4>0</vt:i4>
      </vt:variant>
      <vt:variant>
        <vt:i4>5</vt:i4>
      </vt:variant>
      <vt:variant>
        <vt:lpwstr>https://sooners-my.sharepoint.com/personal/fatema-1_ou_edu/Documents/Latest file of dissertation/2022_Tarannum_Fatema_Dissertation.docx</vt:lpwstr>
      </vt:variant>
      <vt:variant>
        <vt:lpwstr>_Toc108293478</vt:lpwstr>
      </vt:variant>
      <vt:variant>
        <vt:i4>4653083</vt:i4>
      </vt:variant>
      <vt:variant>
        <vt:i4>857</vt:i4>
      </vt:variant>
      <vt:variant>
        <vt:i4>0</vt:i4>
      </vt:variant>
      <vt:variant>
        <vt:i4>5</vt:i4>
      </vt:variant>
      <vt:variant>
        <vt:lpwstr>https://sooners-my.sharepoint.com/personal/fatema-1_ou_edu/Documents/Latest file of dissertation/2022_Tarannum_Fatema_Dissertation.docx</vt:lpwstr>
      </vt:variant>
      <vt:variant>
        <vt:lpwstr>_Toc108293477</vt:lpwstr>
      </vt:variant>
      <vt:variant>
        <vt:i4>4653083</vt:i4>
      </vt:variant>
      <vt:variant>
        <vt:i4>851</vt:i4>
      </vt:variant>
      <vt:variant>
        <vt:i4>0</vt:i4>
      </vt:variant>
      <vt:variant>
        <vt:i4>5</vt:i4>
      </vt:variant>
      <vt:variant>
        <vt:lpwstr>https://sooners-my.sharepoint.com/personal/fatema-1_ou_edu/Documents/Latest file of dissertation/2022_Tarannum_Fatema_Dissertation.docx</vt:lpwstr>
      </vt:variant>
      <vt:variant>
        <vt:lpwstr>_Toc108293476</vt:lpwstr>
      </vt:variant>
      <vt:variant>
        <vt:i4>4653083</vt:i4>
      </vt:variant>
      <vt:variant>
        <vt:i4>845</vt:i4>
      </vt:variant>
      <vt:variant>
        <vt:i4>0</vt:i4>
      </vt:variant>
      <vt:variant>
        <vt:i4>5</vt:i4>
      </vt:variant>
      <vt:variant>
        <vt:lpwstr>https://sooners-my.sharepoint.com/personal/fatema-1_ou_edu/Documents/Latest file of dissertation/2022_Tarannum_Fatema_Dissertation.docx</vt:lpwstr>
      </vt:variant>
      <vt:variant>
        <vt:lpwstr>_Toc108293475</vt:lpwstr>
      </vt:variant>
      <vt:variant>
        <vt:i4>4653083</vt:i4>
      </vt:variant>
      <vt:variant>
        <vt:i4>839</vt:i4>
      </vt:variant>
      <vt:variant>
        <vt:i4>0</vt:i4>
      </vt:variant>
      <vt:variant>
        <vt:i4>5</vt:i4>
      </vt:variant>
      <vt:variant>
        <vt:lpwstr>https://sooners-my.sharepoint.com/personal/fatema-1_ou_edu/Documents/Latest file of dissertation/2022_Tarannum_Fatema_Dissertation.docx</vt:lpwstr>
      </vt:variant>
      <vt:variant>
        <vt:lpwstr>_Toc108293474</vt:lpwstr>
      </vt:variant>
      <vt:variant>
        <vt:i4>4653083</vt:i4>
      </vt:variant>
      <vt:variant>
        <vt:i4>833</vt:i4>
      </vt:variant>
      <vt:variant>
        <vt:i4>0</vt:i4>
      </vt:variant>
      <vt:variant>
        <vt:i4>5</vt:i4>
      </vt:variant>
      <vt:variant>
        <vt:lpwstr>https://sooners-my.sharepoint.com/personal/fatema-1_ou_edu/Documents/Latest file of dissertation/2022_Tarannum_Fatema_Dissertation.docx</vt:lpwstr>
      </vt:variant>
      <vt:variant>
        <vt:lpwstr>_Toc108293473</vt:lpwstr>
      </vt:variant>
      <vt:variant>
        <vt:i4>1114164</vt:i4>
      </vt:variant>
      <vt:variant>
        <vt:i4>827</vt:i4>
      </vt:variant>
      <vt:variant>
        <vt:i4>0</vt:i4>
      </vt:variant>
      <vt:variant>
        <vt:i4>5</vt:i4>
      </vt:variant>
      <vt:variant>
        <vt:lpwstr/>
      </vt:variant>
      <vt:variant>
        <vt:lpwstr>_Toc108293472</vt:lpwstr>
      </vt:variant>
      <vt:variant>
        <vt:i4>1114164</vt:i4>
      </vt:variant>
      <vt:variant>
        <vt:i4>821</vt:i4>
      </vt:variant>
      <vt:variant>
        <vt:i4>0</vt:i4>
      </vt:variant>
      <vt:variant>
        <vt:i4>5</vt:i4>
      </vt:variant>
      <vt:variant>
        <vt:lpwstr/>
      </vt:variant>
      <vt:variant>
        <vt:lpwstr>_Toc108293471</vt:lpwstr>
      </vt:variant>
      <vt:variant>
        <vt:i4>4653083</vt:i4>
      </vt:variant>
      <vt:variant>
        <vt:i4>815</vt:i4>
      </vt:variant>
      <vt:variant>
        <vt:i4>0</vt:i4>
      </vt:variant>
      <vt:variant>
        <vt:i4>5</vt:i4>
      </vt:variant>
      <vt:variant>
        <vt:lpwstr>https://sooners-my.sharepoint.com/personal/fatema-1_ou_edu/Documents/Latest file of dissertation/2022_Tarannum_Fatema_Dissertation.docx</vt:lpwstr>
      </vt:variant>
      <vt:variant>
        <vt:lpwstr>_Toc108293470</vt:lpwstr>
      </vt:variant>
      <vt:variant>
        <vt:i4>1048628</vt:i4>
      </vt:variant>
      <vt:variant>
        <vt:i4>809</vt:i4>
      </vt:variant>
      <vt:variant>
        <vt:i4>0</vt:i4>
      </vt:variant>
      <vt:variant>
        <vt:i4>5</vt:i4>
      </vt:variant>
      <vt:variant>
        <vt:lpwstr/>
      </vt:variant>
      <vt:variant>
        <vt:lpwstr>_Toc108293469</vt:lpwstr>
      </vt:variant>
      <vt:variant>
        <vt:i4>4587547</vt:i4>
      </vt:variant>
      <vt:variant>
        <vt:i4>803</vt:i4>
      </vt:variant>
      <vt:variant>
        <vt:i4>0</vt:i4>
      </vt:variant>
      <vt:variant>
        <vt:i4>5</vt:i4>
      </vt:variant>
      <vt:variant>
        <vt:lpwstr>https://sooners-my.sharepoint.com/personal/fatema-1_ou_edu/Documents/Latest file of dissertation/2022_Tarannum_Fatema_Dissertation.docx</vt:lpwstr>
      </vt:variant>
      <vt:variant>
        <vt:lpwstr>_Toc108293468</vt:lpwstr>
      </vt:variant>
      <vt:variant>
        <vt:i4>4587547</vt:i4>
      </vt:variant>
      <vt:variant>
        <vt:i4>797</vt:i4>
      </vt:variant>
      <vt:variant>
        <vt:i4>0</vt:i4>
      </vt:variant>
      <vt:variant>
        <vt:i4>5</vt:i4>
      </vt:variant>
      <vt:variant>
        <vt:lpwstr>https://sooners-my.sharepoint.com/personal/fatema-1_ou_edu/Documents/Latest file of dissertation/2022_Tarannum_Fatema_Dissertation.docx</vt:lpwstr>
      </vt:variant>
      <vt:variant>
        <vt:lpwstr>_Toc108293467</vt:lpwstr>
      </vt:variant>
      <vt:variant>
        <vt:i4>4587547</vt:i4>
      </vt:variant>
      <vt:variant>
        <vt:i4>791</vt:i4>
      </vt:variant>
      <vt:variant>
        <vt:i4>0</vt:i4>
      </vt:variant>
      <vt:variant>
        <vt:i4>5</vt:i4>
      </vt:variant>
      <vt:variant>
        <vt:lpwstr>https://sooners-my.sharepoint.com/personal/fatema-1_ou_edu/Documents/Latest file of dissertation/2022_Tarannum_Fatema_Dissertation.docx</vt:lpwstr>
      </vt:variant>
      <vt:variant>
        <vt:lpwstr>_Toc108293466</vt:lpwstr>
      </vt:variant>
      <vt:variant>
        <vt:i4>4587547</vt:i4>
      </vt:variant>
      <vt:variant>
        <vt:i4>785</vt:i4>
      </vt:variant>
      <vt:variant>
        <vt:i4>0</vt:i4>
      </vt:variant>
      <vt:variant>
        <vt:i4>5</vt:i4>
      </vt:variant>
      <vt:variant>
        <vt:lpwstr>https://sooners-my.sharepoint.com/personal/fatema-1_ou_edu/Documents/Latest file of dissertation/2022_Tarannum_Fatema_Dissertation.docx</vt:lpwstr>
      </vt:variant>
      <vt:variant>
        <vt:lpwstr>_Toc108293465</vt:lpwstr>
      </vt:variant>
      <vt:variant>
        <vt:i4>1048628</vt:i4>
      </vt:variant>
      <vt:variant>
        <vt:i4>779</vt:i4>
      </vt:variant>
      <vt:variant>
        <vt:i4>0</vt:i4>
      </vt:variant>
      <vt:variant>
        <vt:i4>5</vt:i4>
      </vt:variant>
      <vt:variant>
        <vt:lpwstr/>
      </vt:variant>
      <vt:variant>
        <vt:lpwstr>_Toc108293464</vt:lpwstr>
      </vt:variant>
      <vt:variant>
        <vt:i4>4587547</vt:i4>
      </vt:variant>
      <vt:variant>
        <vt:i4>773</vt:i4>
      </vt:variant>
      <vt:variant>
        <vt:i4>0</vt:i4>
      </vt:variant>
      <vt:variant>
        <vt:i4>5</vt:i4>
      </vt:variant>
      <vt:variant>
        <vt:lpwstr>https://sooners-my.sharepoint.com/personal/fatema-1_ou_edu/Documents/Latest file of dissertation/2022_Tarannum_Fatema_Dissertation.docx</vt:lpwstr>
      </vt:variant>
      <vt:variant>
        <vt:lpwstr>_Toc108293463</vt:lpwstr>
      </vt:variant>
      <vt:variant>
        <vt:i4>1048628</vt:i4>
      </vt:variant>
      <vt:variant>
        <vt:i4>767</vt:i4>
      </vt:variant>
      <vt:variant>
        <vt:i4>0</vt:i4>
      </vt:variant>
      <vt:variant>
        <vt:i4>5</vt:i4>
      </vt:variant>
      <vt:variant>
        <vt:lpwstr/>
      </vt:variant>
      <vt:variant>
        <vt:lpwstr>_Toc108293462</vt:lpwstr>
      </vt:variant>
      <vt:variant>
        <vt:i4>1048628</vt:i4>
      </vt:variant>
      <vt:variant>
        <vt:i4>761</vt:i4>
      </vt:variant>
      <vt:variant>
        <vt:i4>0</vt:i4>
      </vt:variant>
      <vt:variant>
        <vt:i4>5</vt:i4>
      </vt:variant>
      <vt:variant>
        <vt:lpwstr/>
      </vt:variant>
      <vt:variant>
        <vt:lpwstr>_Toc108293461</vt:lpwstr>
      </vt:variant>
      <vt:variant>
        <vt:i4>4587547</vt:i4>
      </vt:variant>
      <vt:variant>
        <vt:i4>755</vt:i4>
      </vt:variant>
      <vt:variant>
        <vt:i4>0</vt:i4>
      </vt:variant>
      <vt:variant>
        <vt:i4>5</vt:i4>
      </vt:variant>
      <vt:variant>
        <vt:lpwstr>https://sooners-my.sharepoint.com/personal/fatema-1_ou_edu/Documents/Latest file of dissertation/2022_Tarannum_Fatema_Dissertation.docx</vt:lpwstr>
      </vt:variant>
      <vt:variant>
        <vt:lpwstr>_Toc108293460</vt:lpwstr>
      </vt:variant>
      <vt:variant>
        <vt:i4>4522011</vt:i4>
      </vt:variant>
      <vt:variant>
        <vt:i4>749</vt:i4>
      </vt:variant>
      <vt:variant>
        <vt:i4>0</vt:i4>
      </vt:variant>
      <vt:variant>
        <vt:i4>5</vt:i4>
      </vt:variant>
      <vt:variant>
        <vt:lpwstr>https://sooners-my.sharepoint.com/personal/fatema-1_ou_edu/Documents/Latest file of dissertation/2022_Tarannum_Fatema_Dissertation.docx</vt:lpwstr>
      </vt:variant>
      <vt:variant>
        <vt:lpwstr>_Toc108293459</vt:lpwstr>
      </vt:variant>
      <vt:variant>
        <vt:i4>4522011</vt:i4>
      </vt:variant>
      <vt:variant>
        <vt:i4>743</vt:i4>
      </vt:variant>
      <vt:variant>
        <vt:i4>0</vt:i4>
      </vt:variant>
      <vt:variant>
        <vt:i4>5</vt:i4>
      </vt:variant>
      <vt:variant>
        <vt:lpwstr>https://sooners-my.sharepoint.com/personal/fatema-1_ou_edu/Documents/Latest file of dissertation/2022_Tarannum_Fatema_Dissertation.docx</vt:lpwstr>
      </vt:variant>
      <vt:variant>
        <vt:lpwstr>_Toc108293458</vt:lpwstr>
      </vt:variant>
      <vt:variant>
        <vt:i4>4522011</vt:i4>
      </vt:variant>
      <vt:variant>
        <vt:i4>737</vt:i4>
      </vt:variant>
      <vt:variant>
        <vt:i4>0</vt:i4>
      </vt:variant>
      <vt:variant>
        <vt:i4>5</vt:i4>
      </vt:variant>
      <vt:variant>
        <vt:lpwstr>https://sooners-my.sharepoint.com/personal/fatema-1_ou_edu/Documents/Latest file of dissertation/2022_Tarannum_Fatema_Dissertation.docx</vt:lpwstr>
      </vt:variant>
      <vt:variant>
        <vt:lpwstr>_Toc108293457</vt:lpwstr>
      </vt:variant>
      <vt:variant>
        <vt:i4>4522011</vt:i4>
      </vt:variant>
      <vt:variant>
        <vt:i4>731</vt:i4>
      </vt:variant>
      <vt:variant>
        <vt:i4>0</vt:i4>
      </vt:variant>
      <vt:variant>
        <vt:i4>5</vt:i4>
      </vt:variant>
      <vt:variant>
        <vt:lpwstr>https://sooners-my.sharepoint.com/personal/fatema-1_ou_edu/Documents/Latest file of dissertation/2022_Tarannum_Fatema_Dissertation.docx</vt:lpwstr>
      </vt:variant>
      <vt:variant>
        <vt:lpwstr>_Toc108293456</vt:lpwstr>
      </vt:variant>
      <vt:variant>
        <vt:i4>4522011</vt:i4>
      </vt:variant>
      <vt:variant>
        <vt:i4>725</vt:i4>
      </vt:variant>
      <vt:variant>
        <vt:i4>0</vt:i4>
      </vt:variant>
      <vt:variant>
        <vt:i4>5</vt:i4>
      </vt:variant>
      <vt:variant>
        <vt:lpwstr>https://sooners-my.sharepoint.com/personal/fatema-1_ou_edu/Documents/Latest file of dissertation/2022_Tarannum_Fatema_Dissertation.docx</vt:lpwstr>
      </vt:variant>
      <vt:variant>
        <vt:lpwstr>_Toc108293455</vt:lpwstr>
      </vt:variant>
      <vt:variant>
        <vt:i4>4522011</vt:i4>
      </vt:variant>
      <vt:variant>
        <vt:i4>719</vt:i4>
      </vt:variant>
      <vt:variant>
        <vt:i4>0</vt:i4>
      </vt:variant>
      <vt:variant>
        <vt:i4>5</vt:i4>
      </vt:variant>
      <vt:variant>
        <vt:lpwstr>https://sooners-my.sharepoint.com/personal/fatema-1_ou_edu/Documents/Latest file of dissertation/2022_Tarannum_Fatema_Dissertation.docx</vt:lpwstr>
      </vt:variant>
      <vt:variant>
        <vt:lpwstr>_Toc108293454</vt:lpwstr>
      </vt:variant>
      <vt:variant>
        <vt:i4>1245236</vt:i4>
      </vt:variant>
      <vt:variant>
        <vt:i4>713</vt:i4>
      </vt:variant>
      <vt:variant>
        <vt:i4>0</vt:i4>
      </vt:variant>
      <vt:variant>
        <vt:i4>5</vt:i4>
      </vt:variant>
      <vt:variant>
        <vt:lpwstr/>
      </vt:variant>
      <vt:variant>
        <vt:lpwstr>_Toc108293453</vt:lpwstr>
      </vt:variant>
      <vt:variant>
        <vt:i4>1245236</vt:i4>
      </vt:variant>
      <vt:variant>
        <vt:i4>707</vt:i4>
      </vt:variant>
      <vt:variant>
        <vt:i4>0</vt:i4>
      </vt:variant>
      <vt:variant>
        <vt:i4>5</vt:i4>
      </vt:variant>
      <vt:variant>
        <vt:lpwstr/>
      </vt:variant>
      <vt:variant>
        <vt:lpwstr>_Toc108293452</vt:lpwstr>
      </vt:variant>
      <vt:variant>
        <vt:i4>4522011</vt:i4>
      </vt:variant>
      <vt:variant>
        <vt:i4>701</vt:i4>
      </vt:variant>
      <vt:variant>
        <vt:i4>0</vt:i4>
      </vt:variant>
      <vt:variant>
        <vt:i4>5</vt:i4>
      </vt:variant>
      <vt:variant>
        <vt:lpwstr>https://sooners-my.sharepoint.com/personal/fatema-1_ou_edu/Documents/Latest file of dissertation/2022_Tarannum_Fatema_Dissertation.docx</vt:lpwstr>
      </vt:variant>
      <vt:variant>
        <vt:lpwstr>_Toc108293451</vt:lpwstr>
      </vt:variant>
      <vt:variant>
        <vt:i4>4522011</vt:i4>
      </vt:variant>
      <vt:variant>
        <vt:i4>695</vt:i4>
      </vt:variant>
      <vt:variant>
        <vt:i4>0</vt:i4>
      </vt:variant>
      <vt:variant>
        <vt:i4>5</vt:i4>
      </vt:variant>
      <vt:variant>
        <vt:lpwstr>https://sooners-my.sharepoint.com/personal/fatema-1_ou_edu/Documents/Latest file of dissertation/2022_Tarannum_Fatema_Dissertation.docx</vt:lpwstr>
      </vt:variant>
      <vt:variant>
        <vt:lpwstr>_Toc108293450</vt:lpwstr>
      </vt:variant>
      <vt:variant>
        <vt:i4>1179700</vt:i4>
      </vt:variant>
      <vt:variant>
        <vt:i4>689</vt:i4>
      </vt:variant>
      <vt:variant>
        <vt:i4>0</vt:i4>
      </vt:variant>
      <vt:variant>
        <vt:i4>5</vt:i4>
      </vt:variant>
      <vt:variant>
        <vt:lpwstr/>
      </vt:variant>
      <vt:variant>
        <vt:lpwstr>_Toc108293449</vt:lpwstr>
      </vt:variant>
      <vt:variant>
        <vt:i4>4456475</vt:i4>
      </vt:variant>
      <vt:variant>
        <vt:i4>683</vt:i4>
      </vt:variant>
      <vt:variant>
        <vt:i4>0</vt:i4>
      </vt:variant>
      <vt:variant>
        <vt:i4>5</vt:i4>
      </vt:variant>
      <vt:variant>
        <vt:lpwstr>https://sooners-my.sharepoint.com/personal/fatema-1_ou_edu/Documents/Latest file of dissertation/2022_Tarannum_Fatema_Dissertation.docx</vt:lpwstr>
      </vt:variant>
      <vt:variant>
        <vt:lpwstr>_Toc108293448</vt:lpwstr>
      </vt:variant>
      <vt:variant>
        <vt:i4>4456475</vt:i4>
      </vt:variant>
      <vt:variant>
        <vt:i4>677</vt:i4>
      </vt:variant>
      <vt:variant>
        <vt:i4>0</vt:i4>
      </vt:variant>
      <vt:variant>
        <vt:i4>5</vt:i4>
      </vt:variant>
      <vt:variant>
        <vt:lpwstr>https://sooners-my.sharepoint.com/personal/fatema-1_ou_edu/Documents/Latest file of dissertation/2022_Tarannum_Fatema_Dissertation.docx</vt:lpwstr>
      </vt:variant>
      <vt:variant>
        <vt:lpwstr>_Toc108293447</vt:lpwstr>
      </vt:variant>
      <vt:variant>
        <vt:i4>4456475</vt:i4>
      </vt:variant>
      <vt:variant>
        <vt:i4>671</vt:i4>
      </vt:variant>
      <vt:variant>
        <vt:i4>0</vt:i4>
      </vt:variant>
      <vt:variant>
        <vt:i4>5</vt:i4>
      </vt:variant>
      <vt:variant>
        <vt:lpwstr>https://sooners-my.sharepoint.com/personal/fatema-1_ou_edu/Documents/Latest file of dissertation/2022_Tarannum_Fatema_Dissertation.docx</vt:lpwstr>
      </vt:variant>
      <vt:variant>
        <vt:lpwstr>_Toc108293446</vt:lpwstr>
      </vt:variant>
      <vt:variant>
        <vt:i4>4456475</vt:i4>
      </vt:variant>
      <vt:variant>
        <vt:i4>665</vt:i4>
      </vt:variant>
      <vt:variant>
        <vt:i4>0</vt:i4>
      </vt:variant>
      <vt:variant>
        <vt:i4>5</vt:i4>
      </vt:variant>
      <vt:variant>
        <vt:lpwstr>https://sooners-my.sharepoint.com/personal/fatema-1_ou_edu/Documents/Latest file of dissertation/2022_Tarannum_Fatema_Dissertation.docx</vt:lpwstr>
      </vt:variant>
      <vt:variant>
        <vt:lpwstr>_Toc108293445</vt:lpwstr>
      </vt:variant>
      <vt:variant>
        <vt:i4>1179700</vt:i4>
      </vt:variant>
      <vt:variant>
        <vt:i4>659</vt:i4>
      </vt:variant>
      <vt:variant>
        <vt:i4>0</vt:i4>
      </vt:variant>
      <vt:variant>
        <vt:i4>5</vt:i4>
      </vt:variant>
      <vt:variant>
        <vt:lpwstr/>
      </vt:variant>
      <vt:variant>
        <vt:lpwstr>_Toc108293444</vt:lpwstr>
      </vt:variant>
      <vt:variant>
        <vt:i4>1179700</vt:i4>
      </vt:variant>
      <vt:variant>
        <vt:i4>653</vt:i4>
      </vt:variant>
      <vt:variant>
        <vt:i4>0</vt:i4>
      </vt:variant>
      <vt:variant>
        <vt:i4>5</vt:i4>
      </vt:variant>
      <vt:variant>
        <vt:lpwstr/>
      </vt:variant>
      <vt:variant>
        <vt:lpwstr>_Toc108293443</vt:lpwstr>
      </vt:variant>
      <vt:variant>
        <vt:i4>4456475</vt:i4>
      </vt:variant>
      <vt:variant>
        <vt:i4>647</vt:i4>
      </vt:variant>
      <vt:variant>
        <vt:i4>0</vt:i4>
      </vt:variant>
      <vt:variant>
        <vt:i4>5</vt:i4>
      </vt:variant>
      <vt:variant>
        <vt:lpwstr>https://sooners-my.sharepoint.com/personal/fatema-1_ou_edu/Documents/Latest file of dissertation/2022_Tarannum_Fatema_Dissertation.docx</vt:lpwstr>
      </vt:variant>
      <vt:variant>
        <vt:lpwstr>_Toc108293442</vt:lpwstr>
      </vt:variant>
      <vt:variant>
        <vt:i4>4456475</vt:i4>
      </vt:variant>
      <vt:variant>
        <vt:i4>641</vt:i4>
      </vt:variant>
      <vt:variant>
        <vt:i4>0</vt:i4>
      </vt:variant>
      <vt:variant>
        <vt:i4>5</vt:i4>
      </vt:variant>
      <vt:variant>
        <vt:lpwstr>https://sooners-my.sharepoint.com/personal/fatema-1_ou_edu/Documents/Latest file of dissertation/2022_Tarannum_Fatema_Dissertation.docx</vt:lpwstr>
      </vt:variant>
      <vt:variant>
        <vt:lpwstr>_Toc108293441</vt:lpwstr>
      </vt:variant>
      <vt:variant>
        <vt:i4>4456475</vt:i4>
      </vt:variant>
      <vt:variant>
        <vt:i4>635</vt:i4>
      </vt:variant>
      <vt:variant>
        <vt:i4>0</vt:i4>
      </vt:variant>
      <vt:variant>
        <vt:i4>5</vt:i4>
      </vt:variant>
      <vt:variant>
        <vt:lpwstr>https://sooners-my.sharepoint.com/personal/fatema-1_ou_edu/Documents/Latest file of dissertation/2022_Tarannum_Fatema_Dissertation.docx</vt:lpwstr>
      </vt:variant>
      <vt:variant>
        <vt:lpwstr>_Toc108293440</vt:lpwstr>
      </vt:variant>
      <vt:variant>
        <vt:i4>1376308</vt:i4>
      </vt:variant>
      <vt:variant>
        <vt:i4>629</vt:i4>
      </vt:variant>
      <vt:variant>
        <vt:i4>0</vt:i4>
      </vt:variant>
      <vt:variant>
        <vt:i4>5</vt:i4>
      </vt:variant>
      <vt:variant>
        <vt:lpwstr/>
      </vt:variant>
      <vt:variant>
        <vt:lpwstr>_Toc108293439</vt:lpwstr>
      </vt:variant>
      <vt:variant>
        <vt:i4>4390939</vt:i4>
      </vt:variant>
      <vt:variant>
        <vt:i4>623</vt:i4>
      </vt:variant>
      <vt:variant>
        <vt:i4>0</vt:i4>
      </vt:variant>
      <vt:variant>
        <vt:i4>5</vt:i4>
      </vt:variant>
      <vt:variant>
        <vt:lpwstr>https://sooners-my.sharepoint.com/personal/fatema-1_ou_edu/Documents/Latest file of dissertation/2022_Tarannum_Fatema_Dissertation.docx</vt:lpwstr>
      </vt:variant>
      <vt:variant>
        <vt:lpwstr>_Toc108293438</vt:lpwstr>
      </vt:variant>
      <vt:variant>
        <vt:i4>4390939</vt:i4>
      </vt:variant>
      <vt:variant>
        <vt:i4>617</vt:i4>
      </vt:variant>
      <vt:variant>
        <vt:i4>0</vt:i4>
      </vt:variant>
      <vt:variant>
        <vt:i4>5</vt:i4>
      </vt:variant>
      <vt:variant>
        <vt:lpwstr>https://sooners-my.sharepoint.com/personal/fatema-1_ou_edu/Documents/Latest file of dissertation/2022_Tarannum_Fatema_Dissertation.docx</vt:lpwstr>
      </vt:variant>
      <vt:variant>
        <vt:lpwstr>_Toc108293437</vt:lpwstr>
      </vt:variant>
      <vt:variant>
        <vt:i4>1376308</vt:i4>
      </vt:variant>
      <vt:variant>
        <vt:i4>611</vt:i4>
      </vt:variant>
      <vt:variant>
        <vt:i4>0</vt:i4>
      </vt:variant>
      <vt:variant>
        <vt:i4>5</vt:i4>
      </vt:variant>
      <vt:variant>
        <vt:lpwstr/>
      </vt:variant>
      <vt:variant>
        <vt:lpwstr>_Toc108293436</vt:lpwstr>
      </vt:variant>
      <vt:variant>
        <vt:i4>1376308</vt:i4>
      </vt:variant>
      <vt:variant>
        <vt:i4>605</vt:i4>
      </vt:variant>
      <vt:variant>
        <vt:i4>0</vt:i4>
      </vt:variant>
      <vt:variant>
        <vt:i4>5</vt:i4>
      </vt:variant>
      <vt:variant>
        <vt:lpwstr/>
      </vt:variant>
      <vt:variant>
        <vt:lpwstr>_Toc108293435</vt:lpwstr>
      </vt:variant>
      <vt:variant>
        <vt:i4>4390939</vt:i4>
      </vt:variant>
      <vt:variant>
        <vt:i4>599</vt:i4>
      </vt:variant>
      <vt:variant>
        <vt:i4>0</vt:i4>
      </vt:variant>
      <vt:variant>
        <vt:i4>5</vt:i4>
      </vt:variant>
      <vt:variant>
        <vt:lpwstr>https://sooners-my.sharepoint.com/personal/fatema-1_ou_edu/Documents/Latest file of dissertation/2022_Tarannum_Fatema_Dissertation.docx</vt:lpwstr>
      </vt:variant>
      <vt:variant>
        <vt:lpwstr>_Toc108293434</vt:lpwstr>
      </vt:variant>
      <vt:variant>
        <vt:i4>4390939</vt:i4>
      </vt:variant>
      <vt:variant>
        <vt:i4>593</vt:i4>
      </vt:variant>
      <vt:variant>
        <vt:i4>0</vt:i4>
      </vt:variant>
      <vt:variant>
        <vt:i4>5</vt:i4>
      </vt:variant>
      <vt:variant>
        <vt:lpwstr>https://sooners-my.sharepoint.com/personal/fatema-1_ou_edu/Documents/Latest file of dissertation/2022_Tarannum_Fatema_Dissertation.docx</vt:lpwstr>
      </vt:variant>
      <vt:variant>
        <vt:lpwstr>_Toc108293433</vt:lpwstr>
      </vt:variant>
      <vt:variant>
        <vt:i4>4390939</vt:i4>
      </vt:variant>
      <vt:variant>
        <vt:i4>587</vt:i4>
      </vt:variant>
      <vt:variant>
        <vt:i4>0</vt:i4>
      </vt:variant>
      <vt:variant>
        <vt:i4>5</vt:i4>
      </vt:variant>
      <vt:variant>
        <vt:lpwstr>https://sooners-my.sharepoint.com/personal/fatema-1_ou_edu/Documents/Latest file of dissertation/2022_Tarannum_Fatema_Dissertation.docx</vt:lpwstr>
      </vt:variant>
      <vt:variant>
        <vt:lpwstr>_Toc108293432</vt:lpwstr>
      </vt:variant>
      <vt:variant>
        <vt:i4>4390939</vt:i4>
      </vt:variant>
      <vt:variant>
        <vt:i4>581</vt:i4>
      </vt:variant>
      <vt:variant>
        <vt:i4>0</vt:i4>
      </vt:variant>
      <vt:variant>
        <vt:i4>5</vt:i4>
      </vt:variant>
      <vt:variant>
        <vt:lpwstr>https://sooners-my.sharepoint.com/personal/fatema-1_ou_edu/Documents/Latest file of dissertation/2022_Tarannum_Fatema_Dissertation.docx</vt:lpwstr>
      </vt:variant>
      <vt:variant>
        <vt:lpwstr>_Toc108293431</vt:lpwstr>
      </vt:variant>
      <vt:variant>
        <vt:i4>4390939</vt:i4>
      </vt:variant>
      <vt:variant>
        <vt:i4>575</vt:i4>
      </vt:variant>
      <vt:variant>
        <vt:i4>0</vt:i4>
      </vt:variant>
      <vt:variant>
        <vt:i4>5</vt:i4>
      </vt:variant>
      <vt:variant>
        <vt:lpwstr>https://sooners-my.sharepoint.com/personal/fatema-1_ou_edu/Documents/Latest file of dissertation/2022_Tarannum_Fatema_Dissertation.docx</vt:lpwstr>
      </vt:variant>
      <vt:variant>
        <vt:lpwstr>_Toc108293430</vt:lpwstr>
      </vt:variant>
      <vt:variant>
        <vt:i4>4325403</vt:i4>
      </vt:variant>
      <vt:variant>
        <vt:i4>569</vt:i4>
      </vt:variant>
      <vt:variant>
        <vt:i4>0</vt:i4>
      </vt:variant>
      <vt:variant>
        <vt:i4>5</vt:i4>
      </vt:variant>
      <vt:variant>
        <vt:lpwstr>https://sooners-my.sharepoint.com/personal/fatema-1_ou_edu/Documents/Latest file of dissertation/2022_Tarannum_Fatema_Dissertation.docx</vt:lpwstr>
      </vt:variant>
      <vt:variant>
        <vt:lpwstr>_Toc108293429</vt:lpwstr>
      </vt:variant>
      <vt:variant>
        <vt:i4>1310772</vt:i4>
      </vt:variant>
      <vt:variant>
        <vt:i4>563</vt:i4>
      </vt:variant>
      <vt:variant>
        <vt:i4>0</vt:i4>
      </vt:variant>
      <vt:variant>
        <vt:i4>5</vt:i4>
      </vt:variant>
      <vt:variant>
        <vt:lpwstr/>
      </vt:variant>
      <vt:variant>
        <vt:lpwstr>_Toc108293428</vt:lpwstr>
      </vt:variant>
      <vt:variant>
        <vt:i4>4325403</vt:i4>
      </vt:variant>
      <vt:variant>
        <vt:i4>557</vt:i4>
      </vt:variant>
      <vt:variant>
        <vt:i4>0</vt:i4>
      </vt:variant>
      <vt:variant>
        <vt:i4>5</vt:i4>
      </vt:variant>
      <vt:variant>
        <vt:lpwstr>https://sooners-my.sharepoint.com/personal/fatema-1_ou_edu/Documents/Latest file of dissertation/2022_Tarannum_Fatema_Dissertation.docx</vt:lpwstr>
      </vt:variant>
      <vt:variant>
        <vt:lpwstr>_Toc108293427</vt:lpwstr>
      </vt:variant>
      <vt:variant>
        <vt:i4>1310772</vt:i4>
      </vt:variant>
      <vt:variant>
        <vt:i4>551</vt:i4>
      </vt:variant>
      <vt:variant>
        <vt:i4>0</vt:i4>
      </vt:variant>
      <vt:variant>
        <vt:i4>5</vt:i4>
      </vt:variant>
      <vt:variant>
        <vt:lpwstr/>
      </vt:variant>
      <vt:variant>
        <vt:lpwstr>_Toc108293426</vt:lpwstr>
      </vt:variant>
      <vt:variant>
        <vt:i4>4325403</vt:i4>
      </vt:variant>
      <vt:variant>
        <vt:i4>545</vt:i4>
      </vt:variant>
      <vt:variant>
        <vt:i4>0</vt:i4>
      </vt:variant>
      <vt:variant>
        <vt:i4>5</vt:i4>
      </vt:variant>
      <vt:variant>
        <vt:lpwstr>https://sooners-my.sharepoint.com/personal/fatema-1_ou_edu/Documents/Latest file of dissertation/2022_Tarannum_Fatema_Dissertation.docx</vt:lpwstr>
      </vt:variant>
      <vt:variant>
        <vt:lpwstr>_Toc108293425</vt:lpwstr>
      </vt:variant>
      <vt:variant>
        <vt:i4>1310772</vt:i4>
      </vt:variant>
      <vt:variant>
        <vt:i4>539</vt:i4>
      </vt:variant>
      <vt:variant>
        <vt:i4>0</vt:i4>
      </vt:variant>
      <vt:variant>
        <vt:i4>5</vt:i4>
      </vt:variant>
      <vt:variant>
        <vt:lpwstr/>
      </vt:variant>
      <vt:variant>
        <vt:lpwstr>_Toc108293424</vt:lpwstr>
      </vt:variant>
      <vt:variant>
        <vt:i4>4325403</vt:i4>
      </vt:variant>
      <vt:variant>
        <vt:i4>533</vt:i4>
      </vt:variant>
      <vt:variant>
        <vt:i4>0</vt:i4>
      </vt:variant>
      <vt:variant>
        <vt:i4>5</vt:i4>
      </vt:variant>
      <vt:variant>
        <vt:lpwstr>https://sooners-my.sharepoint.com/personal/fatema-1_ou_edu/Documents/Latest file of dissertation/2022_Tarannum_Fatema_Dissertation.docx</vt:lpwstr>
      </vt:variant>
      <vt:variant>
        <vt:lpwstr>_Toc108293423</vt:lpwstr>
      </vt:variant>
      <vt:variant>
        <vt:i4>1310772</vt:i4>
      </vt:variant>
      <vt:variant>
        <vt:i4>527</vt:i4>
      </vt:variant>
      <vt:variant>
        <vt:i4>0</vt:i4>
      </vt:variant>
      <vt:variant>
        <vt:i4>5</vt:i4>
      </vt:variant>
      <vt:variant>
        <vt:lpwstr/>
      </vt:variant>
      <vt:variant>
        <vt:lpwstr>_Toc108293422</vt:lpwstr>
      </vt:variant>
      <vt:variant>
        <vt:i4>4325403</vt:i4>
      </vt:variant>
      <vt:variant>
        <vt:i4>521</vt:i4>
      </vt:variant>
      <vt:variant>
        <vt:i4>0</vt:i4>
      </vt:variant>
      <vt:variant>
        <vt:i4>5</vt:i4>
      </vt:variant>
      <vt:variant>
        <vt:lpwstr>https://sooners-my.sharepoint.com/personal/fatema-1_ou_edu/Documents/Latest file of dissertation/2022_Tarannum_Fatema_Dissertation.docx</vt:lpwstr>
      </vt:variant>
      <vt:variant>
        <vt:lpwstr>_Toc108293421</vt:lpwstr>
      </vt:variant>
      <vt:variant>
        <vt:i4>4325403</vt:i4>
      </vt:variant>
      <vt:variant>
        <vt:i4>515</vt:i4>
      </vt:variant>
      <vt:variant>
        <vt:i4>0</vt:i4>
      </vt:variant>
      <vt:variant>
        <vt:i4>5</vt:i4>
      </vt:variant>
      <vt:variant>
        <vt:lpwstr>https://sooners-my.sharepoint.com/personal/fatema-1_ou_edu/Documents/Latest file of dissertation/2022_Tarannum_Fatema_Dissertation.docx</vt:lpwstr>
      </vt:variant>
      <vt:variant>
        <vt:lpwstr>_Toc108293420</vt:lpwstr>
      </vt:variant>
      <vt:variant>
        <vt:i4>4259867</vt:i4>
      </vt:variant>
      <vt:variant>
        <vt:i4>509</vt:i4>
      </vt:variant>
      <vt:variant>
        <vt:i4>0</vt:i4>
      </vt:variant>
      <vt:variant>
        <vt:i4>5</vt:i4>
      </vt:variant>
      <vt:variant>
        <vt:lpwstr>https://sooners-my.sharepoint.com/personal/fatema-1_ou_edu/Documents/Latest file of dissertation/2022_Tarannum_Fatema_Dissertation.docx</vt:lpwstr>
      </vt:variant>
      <vt:variant>
        <vt:lpwstr>_Toc108293419</vt:lpwstr>
      </vt:variant>
      <vt:variant>
        <vt:i4>4259867</vt:i4>
      </vt:variant>
      <vt:variant>
        <vt:i4>503</vt:i4>
      </vt:variant>
      <vt:variant>
        <vt:i4>0</vt:i4>
      </vt:variant>
      <vt:variant>
        <vt:i4>5</vt:i4>
      </vt:variant>
      <vt:variant>
        <vt:lpwstr>https://sooners-my.sharepoint.com/personal/fatema-1_ou_edu/Documents/Latest file of dissertation/2022_Tarannum_Fatema_Dissertation.docx</vt:lpwstr>
      </vt:variant>
      <vt:variant>
        <vt:lpwstr>_Toc108293418</vt:lpwstr>
      </vt:variant>
      <vt:variant>
        <vt:i4>4259867</vt:i4>
      </vt:variant>
      <vt:variant>
        <vt:i4>497</vt:i4>
      </vt:variant>
      <vt:variant>
        <vt:i4>0</vt:i4>
      </vt:variant>
      <vt:variant>
        <vt:i4>5</vt:i4>
      </vt:variant>
      <vt:variant>
        <vt:lpwstr>https://sooners-my.sharepoint.com/personal/fatema-1_ou_edu/Documents/Latest file of dissertation/2022_Tarannum_Fatema_Dissertation.docx</vt:lpwstr>
      </vt:variant>
      <vt:variant>
        <vt:lpwstr>_Toc108293417</vt:lpwstr>
      </vt:variant>
      <vt:variant>
        <vt:i4>4259867</vt:i4>
      </vt:variant>
      <vt:variant>
        <vt:i4>491</vt:i4>
      </vt:variant>
      <vt:variant>
        <vt:i4>0</vt:i4>
      </vt:variant>
      <vt:variant>
        <vt:i4>5</vt:i4>
      </vt:variant>
      <vt:variant>
        <vt:lpwstr>https://sooners-my.sharepoint.com/personal/fatema-1_ou_edu/Documents/Latest file of dissertation/2022_Tarannum_Fatema_Dissertation.docx</vt:lpwstr>
      </vt:variant>
      <vt:variant>
        <vt:lpwstr>_Toc108293416</vt:lpwstr>
      </vt:variant>
      <vt:variant>
        <vt:i4>4259867</vt:i4>
      </vt:variant>
      <vt:variant>
        <vt:i4>485</vt:i4>
      </vt:variant>
      <vt:variant>
        <vt:i4>0</vt:i4>
      </vt:variant>
      <vt:variant>
        <vt:i4>5</vt:i4>
      </vt:variant>
      <vt:variant>
        <vt:lpwstr>https://sooners-my.sharepoint.com/personal/fatema-1_ou_edu/Documents/Latest file of dissertation/2022_Tarannum_Fatema_Dissertation.docx</vt:lpwstr>
      </vt:variant>
      <vt:variant>
        <vt:lpwstr>_Toc108293415</vt:lpwstr>
      </vt:variant>
      <vt:variant>
        <vt:i4>1835059</vt:i4>
      </vt:variant>
      <vt:variant>
        <vt:i4>476</vt:i4>
      </vt:variant>
      <vt:variant>
        <vt:i4>0</vt:i4>
      </vt:variant>
      <vt:variant>
        <vt:i4>5</vt:i4>
      </vt:variant>
      <vt:variant>
        <vt:lpwstr/>
      </vt:variant>
      <vt:variant>
        <vt:lpwstr>_Toc107855064</vt:lpwstr>
      </vt:variant>
      <vt:variant>
        <vt:i4>1835059</vt:i4>
      </vt:variant>
      <vt:variant>
        <vt:i4>470</vt:i4>
      </vt:variant>
      <vt:variant>
        <vt:i4>0</vt:i4>
      </vt:variant>
      <vt:variant>
        <vt:i4>5</vt:i4>
      </vt:variant>
      <vt:variant>
        <vt:lpwstr/>
      </vt:variant>
      <vt:variant>
        <vt:lpwstr>_Toc107855063</vt:lpwstr>
      </vt:variant>
      <vt:variant>
        <vt:i4>1835059</vt:i4>
      </vt:variant>
      <vt:variant>
        <vt:i4>464</vt:i4>
      </vt:variant>
      <vt:variant>
        <vt:i4>0</vt:i4>
      </vt:variant>
      <vt:variant>
        <vt:i4>5</vt:i4>
      </vt:variant>
      <vt:variant>
        <vt:lpwstr/>
      </vt:variant>
      <vt:variant>
        <vt:lpwstr>_Toc107855062</vt:lpwstr>
      </vt:variant>
      <vt:variant>
        <vt:i4>1835059</vt:i4>
      </vt:variant>
      <vt:variant>
        <vt:i4>458</vt:i4>
      </vt:variant>
      <vt:variant>
        <vt:i4>0</vt:i4>
      </vt:variant>
      <vt:variant>
        <vt:i4>5</vt:i4>
      </vt:variant>
      <vt:variant>
        <vt:lpwstr/>
      </vt:variant>
      <vt:variant>
        <vt:lpwstr>_Toc107855061</vt:lpwstr>
      </vt:variant>
      <vt:variant>
        <vt:i4>1835059</vt:i4>
      </vt:variant>
      <vt:variant>
        <vt:i4>452</vt:i4>
      </vt:variant>
      <vt:variant>
        <vt:i4>0</vt:i4>
      </vt:variant>
      <vt:variant>
        <vt:i4>5</vt:i4>
      </vt:variant>
      <vt:variant>
        <vt:lpwstr/>
      </vt:variant>
      <vt:variant>
        <vt:lpwstr>_Toc107855060</vt:lpwstr>
      </vt:variant>
      <vt:variant>
        <vt:i4>2031667</vt:i4>
      </vt:variant>
      <vt:variant>
        <vt:i4>446</vt:i4>
      </vt:variant>
      <vt:variant>
        <vt:i4>0</vt:i4>
      </vt:variant>
      <vt:variant>
        <vt:i4>5</vt:i4>
      </vt:variant>
      <vt:variant>
        <vt:lpwstr/>
      </vt:variant>
      <vt:variant>
        <vt:lpwstr>_Toc107855059</vt:lpwstr>
      </vt:variant>
      <vt:variant>
        <vt:i4>2031667</vt:i4>
      </vt:variant>
      <vt:variant>
        <vt:i4>440</vt:i4>
      </vt:variant>
      <vt:variant>
        <vt:i4>0</vt:i4>
      </vt:variant>
      <vt:variant>
        <vt:i4>5</vt:i4>
      </vt:variant>
      <vt:variant>
        <vt:lpwstr/>
      </vt:variant>
      <vt:variant>
        <vt:lpwstr>_Toc107855058</vt:lpwstr>
      </vt:variant>
      <vt:variant>
        <vt:i4>2031667</vt:i4>
      </vt:variant>
      <vt:variant>
        <vt:i4>434</vt:i4>
      </vt:variant>
      <vt:variant>
        <vt:i4>0</vt:i4>
      </vt:variant>
      <vt:variant>
        <vt:i4>5</vt:i4>
      </vt:variant>
      <vt:variant>
        <vt:lpwstr/>
      </vt:variant>
      <vt:variant>
        <vt:lpwstr>_Toc107855057</vt:lpwstr>
      </vt:variant>
      <vt:variant>
        <vt:i4>2031667</vt:i4>
      </vt:variant>
      <vt:variant>
        <vt:i4>428</vt:i4>
      </vt:variant>
      <vt:variant>
        <vt:i4>0</vt:i4>
      </vt:variant>
      <vt:variant>
        <vt:i4>5</vt:i4>
      </vt:variant>
      <vt:variant>
        <vt:lpwstr/>
      </vt:variant>
      <vt:variant>
        <vt:lpwstr>_Toc107855056</vt:lpwstr>
      </vt:variant>
      <vt:variant>
        <vt:i4>2031667</vt:i4>
      </vt:variant>
      <vt:variant>
        <vt:i4>422</vt:i4>
      </vt:variant>
      <vt:variant>
        <vt:i4>0</vt:i4>
      </vt:variant>
      <vt:variant>
        <vt:i4>5</vt:i4>
      </vt:variant>
      <vt:variant>
        <vt:lpwstr/>
      </vt:variant>
      <vt:variant>
        <vt:lpwstr>_Toc107855055</vt:lpwstr>
      </vt:variant>
      <vt:variant>
        <vt:i4>2031667</vt:i4>
      </vt:variant>
      <vt:variant>
        <vt:i4>416</vt:i4>
      </vt:variant>
      <vt:variant>
        <vt:i4>0</vt:i4>
      </vt:variant>
      <vt:variant>
        <vt:i4>5</vt:i4>
      </vt:variant>
      <vt:variant>
        <vt:lpwstr/>
      </vt:variant>
      <vt:variant>
        <vt:lpwstr>_Toc107855054</vt:lpwstr>
      </vt:variant>
      <vt:variant>
        <vt:i4>2031667</vt:i4>
      </vt:variant>
      <vt:variant>
        <vt:i4>410</vt:i4>
      </vt:variant>
      <vt:variant>
        <vt:i4>0</vt:i4>
      </vt:variant>
      <vt:variant>
        <vt:i4>5</vt:i4>
      </vt:variant>
      <vt:variant>
        <vt:lpwstr/>
      </vt:variant>
      <vt:variant>
        <vt:lpwstr>_Toc107855053</vt:lpwstr>
      </vt:variant>
      <vt:variant>
        <vt:i4>2031667</vt:i4>
      </vt:variant>
      <vt:variant>
        <vt:i4>404</vt:i4>
      </vt:variant>
      <vt:variant>
        <vt:i4>0</vt:i4>
      </vt:variant>
      <vt:variant>
        <vt:i4>5</vt:i4>
      </vt:variant>
      <vt:variant>
        <vt:lpwstr/>
      </vt:variant>
      <vt:variant>
        <vt:lpwstr>_Toc107855052</vt:lpwstr>
      </vt:variant>
      <vt:variant>
        <vt:i4>2031667</vt:i4>
      </vt:variant>
      <vt:variant>
        <vt:i4>398</vt:i4>
      </vt:variant>
      <vt:variant>
        <vt:i4>0</vt:i4>
      </vt:variant>
      <vt:variant>
        <vt:i4>5</vt:i4>
      </vt:variant>
      <vt:variant>
        <vt:lpwstr/>
      </vt:variant>
      <vt:variant>
        <vt:lpwstr>_Toc107855051</vt:lpwstr>
      </vt:variant>
      <vt:variant>
        <vt:i4>2031667</vt:i4>
      </vt:variant>
      <vt:variant>
        <vt:i4>392</vt:i4>
      </vt:variant>
      <vt:variant>
        <vt:i4>0</vt:i4>
      </vt:variant>
      <vt:variant>
        <vt:i4>5</vt:i4>
      </vt:variant>
      <vt:variant>
        <vt:lpwstr/>
      </vt:variant>
      <vt:variant>
        <vt:lpwstr>_Toc107855050</vt:lpwstr>
      </vt:variant>
      <vt:variant>
        <vt:i4>1966131</vt:i4>
      </vt:variant>
      <vt:variant>
        <vt:i4>386</vt:i4>
      </vt:variant>
      <vt:variant>
        <vt:i4>0</vt:i4>
      </vt:variant>
      <vt:variant>
        <vt:i4>5</vt:i4>
      </vt:variant>
      <vt:variant>
        <vt:lpwstr/>
      </vt:variant>
      <vt:variant>
        <vt:lpwstr>_Toc107855049</vt:lpwstr>
      </vt:variant>
      <vt:variant>
        <vt:i4>1966131</vt:i4>
      </vt:variant>
      <vt:variant>
        <vt:i4>380</vt:i4>
      </vt:variant>
      <vt:variant>
        <vt:i4>0</vt:i4>
      </vt:variant>
      <vt:variant>
        <vt:i4>5</vt:i4>
      </vt:variant>
      <vt:variant>
        <vt:lpwstr/>
      </vt:variant>
      <vt:variant>
        <vt:lpwstr>_Toc107855048</vt:lpwstr>
      </vt:variant>
      <vt:variant>
        <vt:i4>1966131</vt:i4>
      </vt:variant>
      <vt:variant>
        <vt:i4>374</vt:i4>
      </vt:variant>
      <vt:variant>
        <vt:i4>0</vt:i4>
      </vt:variant>
      <vt:variant>
        <vt:i4>5</vt:i4>
      </vt:variant>
      <vt:variant>
        <vt:lpwstr/>
      </vt:variant>
      <vt:variant>
        <vt:lpwstr>_Toc107855047</vt:lpwstr>
      </vt:variant>
      <vt:variant>
        <vt:i4>1966131</vt:i4>
      </vt:variant>
      <vt:variant>
        <vt:i4>368</vt:i4>
      </vt:variant>
      <vt:variant>
        <vt:i4>0</vt:i4>
      </vt:variant>
      <vt:variant>
        <vt:i4>5</vt:i4>
      </vt:variant>
      <vt:variant>
        <vt:lpwstr/>
      </vt:variant>
      <vt:variant>
        <vt:lpwstr>_Toc107855046</vt:lpwstr>
      </vt:variant>
      <vt:variant>
        <vt:i4>1966131</vt:i4>
      </vt:variant>
      <vt:variant>
        <vt:i4>362</vt:i4>
      </vt:variant>
      <vt:variant>
        <vt:i4>0</vt:i4>
      </vt:variant>
      <vt:variant>
        <vt:i4>5</vt:i4>
      </vt:variant>
      <vt:variant>
        <vt:lpwstr/>
      </vt:variant>
      <vt:variant>
        <vt:lpwstr>_Toc107855045</vt:lpwstr>
      </vt:variant>
      <vt:variant>
        <vt:i4>1966131</vt:i4>
      </vt:variant>
      <vt:variant>
        <vt:i4>356</vt:i4>
      </vt:variant>
      <vt:variant>
        <vt:i4>0</vt:i4>
      </vt:variant>
      <vt:variant>
        <vt:i4>5</vt:i4>
      </vt:variant>
      <vt:variant>
        <vt:lpwstr/>
      </vt:variant>
      <vt:variant>
        <vt:lpwstr>_Toc107855044</vt:lpwstr>
      </vt:variant>
      <vt:variant>
        <vt:i4>1966131</vt:i4>
      </vt:variant>
      <vt:variant>
        <vt:i4>350</vt:i4>
      </vt:variant>
      <vt:variant>
        <vt:i4>0</vt:i4>
      </vt:variant>
      <vt:variant>
        <vt:i4>5</vt:i4>
      </vt:variant>
      <vt:variant>
        <vt:lpwstr/>
      </vt:variant>
      <vt:variant>
        <vt:lpwstr>_Toc107855043</vt:lpwstr>
      </vt:variant>
      <vt:variant>
        <vt:i4>1966131</vt:i4>
      </vt:variant>
      <vt:variant>
        <vt:i4>344</vt:i4>
      </vt:variant>
      <vt:variant>
        <vt:i4>0</vt:i4>
      </vt:variant>
      <vt:variant>
        <vt:i4>5</vt:i4>
      </vt:variant>
      <vt:variant>
        <vt:lpwstr/>
      </vt:variant>
      <vt:variant>
        <vt:lpwstr>_Toc107855042</vt:lpwstr>
      </vt:variant>
      <vt:variant>
        <vt:i4>1966131</vt:i4>
      </vt:variant>
      <vt:variant>
        <vt:i4>338</vt:i4>
      </vt:variant>
      <vt:variant>
        <vt:i4>0</vt:i4>
      </vt:variant>
      <vt:variant>
        <vt:i4>5</vt:i4>
      </vt:variant>
      <vt:variant>
        <vt:lpwstr/>
      </vt:variant>
      <vt:variant>
        <vt:lpwstr>_Toc107855041</vt:lpwstr>
      </vt:variant>
      <vt:variant>
        <vt:i4>1966131</vt:i4>
      </vt:variant>
      <vt:variant>
        <vt:i4>332</vt:i4>
      </vt:variant>
      <vt:variant>
        <vt:i4>0</vt:i4>
      </vt:variant>
      <vt:variant>
        <vt:i4>5</vt:i4>
      </vt:variant>
      <vt:variant>
        <vt:lpwstr/>
      </vt:variant>
      <vt:variant>
        <vt:lpwstr>_Toc107855040</vt:lpwstr>
      </vt:variant>
      <vt:variant>
        <vt:i4>1638451</vt:i4>
      </vt:variant>
      <vt:variant>
        <vt:i4>326</vt:i4>
      </vt:variant>
      <vt:variant>
        <vt:i4>0</vt:i4>
      </vt:variant>
      <vt:variant>
        <vt:i4>5</vt:i4>
      </vt:variant>
      <vt:variant>
        <vt:lpwstr/>
      </vt:variant>
      <vt:variant>
        <vt:lpwstr>_Toc107855039</vt:lpwstr>
      </vt:variant>
      <vt:variant>
        <vt:i4>1638451</vt:i4>
      </vt:variant>
      <vt:variant>
        <vt:i4>320</vt:i4>
      </vt:variant>
      <vt:variant>
        <vt:i4>0</vt:i4>
      </vt:variant>
      <vt:variant>
        <vt:i4>5</vt:i4>
      </vt:variant>
      <vt:variant>
        <vt:lpwstr/>
      </vt:variant>
      <vt:variant>
        <vt:lpwstr>_Toc107855038</vt:lpwstr>
      </vt:variant>
      <vt:variant>
        <vt:i4>1638451</vt:i4>
      </vt:variant>
      <vt:variant>
        <vt:i4>314</vt:i4>
      </vt:variant>
      <vt:variant>
        <vt:i4>0</vt:i4>
      </vt:variant>
      <vt:variant>
        <vt:i4>5</vt:i4>
      </vt:variant>
      <vt:variant>
        <vt:lpwstr/>
      </vt:variant>
      <vt:variant>
        <vt:lpwstr>_Toc107855037</vt:lpwstr>
      </vt:variant>
      <vt:variant>
        <vt:i4>1638451</vt:i4>
      </vt:variant>
      <vt:variant>
        <vt:i4>308</vt:i4>
      </vt:variant>
      <vt:variant>
        <vt:i4>0</vt:i4>
      </vt:variant>
      <vt:variant>
        <vt:i4>5</vt:i4>
      </vt:variant>
      <vt:variant>
        <vt:lpwstr/>
      </vt:variant>
      <vt:variant>
        <vt:lpwstr>_Toc107855036</vt:lpwstr>
      </vt:variant>
      <vt:variant>
        <vt:i4>1638451</vt:i4>
      </vt:variant>
      <vt:variant>
        <vt:i4>302</vt:i4>
      </vt:variant>
      <vt:variant>
        <vt:i4>0</vt:i4>
      </vt:variant>
      <vt:variant>
        <vt:i4>5</vt:i4>
      </vt:variant>
      <vt:variant>
        <vt:lpwstr/>
      </vt:variant>
      <vt:variant>
        <vt:lpwstr>_Toc107855035</vt:lpwstr>
      </vt:variant>
      <vt:variant>
        <vt:i4>1638451</vt:i4>
      </vt:variant>
      <vt:variant>
        <vt:i4>296</vt:i4>
      </vt:variant>
      <vt:variant>
        <vt:i4>0</vt:i4>
      </vt:variant>
      <vt:variant>
        <vt:i4>5</vt:i4>
      </vt:variant>
      <vt:variant>
        <vt:lpwstr/>
      </vt:variant>
      <vt:variant>
        <vt:lpwstr>_Toc107855034</vt:lpwstr>
      </vt:variant>
      <vt:variant>
        <vt:i4>1638451</vt:i4>
      </vt:variant>
      <vt:variant>
        <vt:i4>290</vt:i4>
      </vt:variant>
      <vt:variant>
        <vt:i4>0</vt:i4>
      </vt:variant>
      <vt:variant>
        <vt:i4>5</vt:i4>
      </vt:variant>
      <vt:variant>
        <vt:lpwstr/>
      </vt:variant>
      <vt:variant>
        <vt:lpwstr>_Toc107855033</vt:lpwstr>
      </vt:variant>
      <vt:variant>
        <vt:i4>1638451</vt:i4>
      </vt:variant>
      <vt:variant>
        <vt:i4>284</vt:i4>
      </vt:variant>
      <vt:variant>
        <vt:i4>0</vt:i4>
      </vt:variant>
      <vt:variant>
        <vt:i4>5</vt:i4>
      </vt:variant>
      <vt:variant>
        <vt:lpwstr/>
      </vt:variant>
      <vt:variant>
        <vt:lpwstr>_Toc107855032</vt:lpwstr>
      </vt:variant>
      <vt:variant>
        <vt:i4>1638451</vt:i4>
      </vt:variant>
      <vt:variant>
        <vt:i4>278</vt:i4>
      </vt:variant>
      <vt:variant>
        <vt:i4>0</vt:i4>
      </vt:variant>
      <vt:variant>
        <vt:i4>5</vt:i4>
      </vt:variant>
      <vt:variant>
        <vt:lpwstr/>
      </vt:variant>
      <vt:variant>
        <vt:lpwstr>_Toc107855031</vt:lpwstr>
      </vt:variant>
      <vt:variant>
        <vt:i4>1638451</vt:i4>
      </vt:variant>
      <vt:variant>
        <vt:i4>272</vt:i4>
      </vt:variant>
      <vt:variant>
        <vt:i4>0</vt:i4>
      </vt:variant>
      <vt:variant>
        <vt:i4>5</vt:i4>
      </vt:variant>
      <vt:variant>
        <vt:lpwstr/>
      </vt:variant>
      <vt:variant>
        <vt:lpwstr>_Toc107855030</vt:lpwstr>
      </vt:variant>
      <vt:variant>
        <vt:i4>1572915</vt:i4>
      </vt:variant>
      <vt:variant>
        <vt:i4>266</vt:i4>
      </vt:variant>
      <vt:variant>
        <vt:i4>0</vt:i4>
      </vt:variant>
      <vt:variant>
        <vt:i4>5</vt:i4>
      </vt:variant>
      <vt:variant>
        <vt:lpwstr/>
      </vt:variant>
      <vt:variant>
        <vt:lpwstr>_Toc107855029</vt:lpwstr>
      </vt:variant>
      <vt:variant>
        <vt:i4>1572915</vt:i4>
      </vt:variant>
      <vt:variant>
        <vt:i4>260</vt:i4>
      </vt:variant>
      <vt:variant>
        <vt:i4>0</vt:i4>
      </vt:variant>
      <vt:variant>
        <vt:i4>5</vt:i4>
      </vt:variant>
      <vt:variant>
        <vt:lpwstr/>
      </vt:variant>
      <vt:variant>
        <vt:lpwstr>_Toc107855028</vt:lpwstr>
      </vt:variant>
      <vt:variant>
        <vt:i4>1572915</vt:i4>
      </vt:variant>
      <vt:variant>
        <vt:i4>254</vt:i4>
      </vt:variant>
      <vt:variant>
        <vt:i4>0</vt:i4>
      </vt:variant>
      <vt:variant>
        <vt:i4>5</vt:i4>
      </vt:variant>
      <vt:variant>
        <vt:lpwstr/>
      </vt:variant>
      <vt:variant>
        <vt:lpwstr>_Toc107855027</vt:lpwstr>
      </vt:variant>
      <vt:variant>
        <vt:i4>1572915</vt:i4>
      </vt:variant>
      <vt:variant>
        <vt:i4>248</vt:i4>
      </vt:variant>
      <vt:variant>
        <vt:i4>0</vt:i4>
      </vt:variant>
      <vt:variant>
        <vt:i4>5</vt:i4>
      </vt:variant>
      <vt:variant>
        <vt:lpwstr/>
      </vt:variant>
      <vt:variant>
        <vt:lpwstr>_Toc107855026</vt:lpwstr>
      </vt:variant>
      <vt:variant>
        <vt:i4>1572915</vt:i4>
      </vt:variant>
      <vt:variant>
        <vt:i4>242</vt:i4>
      </vt:variant>
      <vt:variant>
        <vt:i4>0</vt:i4>
      </vt:variant>
      <vt:variant>
        <vt:i4>5</vt:i4>
      </vt:variant>
      <vt:variant>
        <vt:lpwstr/>
      </vt:variant>
      <vt:variant>
        <vt:lpwstr>_Toc107855025</vt:lpwstr>
      </vt:variant>
      <vt:variant>
        <vt:i4>1572915</vt:i4>
      </vt:variant>
      <vt:variant>
        <vt:i4>236</vt:i4>
      </vt:variant>
      <vt:variant>
        <vt:i4>0</vt:i4>
      </vt:variant>
      <vt:variant>
        <vt:i4>5</vt:i4>
      </vt:variant>
      <vt:variant>
        <vt:lpwstr/>
      </vt:variant>
      <vt:variant>
        <vt:lpwstr>_Toc107855024</vt:lpwstr>
      </vt:variant>
      <vt:variant>
        <vt:i4>1572915</vt:i4>
      </vt:variant>
      <vt:variant>
        <vt:i4>230</vt:i4>
      </vt:variant>
      <vt:variant>
        <vt:i4>0</vt:i4>
      </vt:variant>
      <vt:variant>
        <vt:i4>5</vt:i4>
      </vt:variant>
      <vt:variant>
        <vt:lpwstr/>
      </vt:variant>
      <vt:variant>
        <vt:lpwstr>_Toc107855023</vt:lpwstr>
      </vt:variant>
      <vt:variant>
        <vt:i4>1572915</vt:i4>
      </vt:variant>
      <vt:variant>
        <vt:i4>224</vt:i4>
      </vt:variant>
      <vt:variant>
        <vt:i4>0</vt:i4>
      </vt:variant>
      <vt:variant>
        <vt:i4>5</vt:i4>
      </vt:variant>
      <vt:variant>
        <vt:lpwstr/>
      </vt:variant>
      <vt:variant>
        <vt:lpwstr>_Toc107855022</vt:lpwstr>
      </vt:variant>
      <vt:variant>
        <vt:i4>1572915</vt:i4>
      </vt:variant>
      <vt:variant>
        <vt:i4>218</vt:i4>
      </vt:variant>
      <vt:variant>
        <vt:i4>0</vt:i4>
      </vt:variant>
      <vt:variant>
        <vt:i4>5</vt:i4>
      </vt:variant>
      <vt:variant>
        <vt:lpwstr/>
      </vt:variant>
      <vt:variant>
        <vt:lpwstr>_Toc107855021</vt:lpwstr>
      </vt:variant>
      <vt:variant>
        <vt:i4>1572915</vt:i4>
      </vt:variant>
      <vt:variant>
        <vt:i4>212</vt:i4>
      </vt:variant>
      <vt:variant>
        <vt:i4>0</vt:i4>
      </vt:variant>
      <vt:variant>
        <vt:i4>5</vt:i4>
      </vt:variant>
      <vt:variant>
        <vt:lpwstr/>
      </vt:variant>
      <vt:variant>
        <vt:lpwstr>_Toc107855020</vt:lpwstr>
      </vt:variant>
      <vt:variant>
        <vt:i4>1769523</vt:i4>
      </vt:variant>
      <vt:variant>
        <vt:i4>206</vt:i4>
      </vt:variant>
      <vt:variant>
        <vt:i4>0</vt:i4>
      </vt:variant>
      <vt:variant>
        <vt:i4>5</vt:i4>
      </vt:variant>
      <vt:variant>
        <vt:lpwstr/>
      </vt:variant>
      <vt:variant>
        <vt:lpwstr>_Toc107855019</vt:lpwstr>
      </vt:variant>
      <vt:variant>
        <vt:i4>1769523</vt:i4>
      </vt:variant>
      <vt:variant>
        <vt:i4>200</vt:i4>
      </vt:variant>
      <vt:variant>
        <vt:i4>0</vt:i4>
      </vt:variant>
      <vt:variant>
        <vt:i4>5</vt:i4>
      </vt:variant>
      <vt:variant>
        <vt:lpwstr/>
      </vt:variant>
      <vt:variant>
        <vt:lpwstr>_Toc107855018</vt:lpwstr>
      </vt:variant>
      <vt:variant>
        <vt:i4>1769523</vt:i4>
      </vt:variant>
      <vt:variant>
        <vt:i4>194</vt:i4>
      </vt:variant>
      <vt:variant>
        <vt:i4>0</vt:i4>
      </vt:variant>
      <vt:variant>
        <vt:i4>5</vt:i4>
      </vt:variant>
      <vt:variant>
        <vt:lpwstr/>
      </vt:variant>
      <vt:variant>
        <vt:lpwstr>_Toc107855017</vt:lpwstr>
      </vt:variant>
      <vt:variant>
        <vt:i4>1769523</vt:i4>
      </vt:variant>
      <vt:variant>
        <vt:i4>188</vt:i4>
      </vt:variant>
      <vt:variant>
        <vt:i4>0</vt:i4>
      </vt:variant>
      <vt:variant>
        <vt:i4>5</vt:i4>
      </vt:variant>
      <vt:variant>
        <vt:lpwstr/>
      </vt:variant>
      <vt:variant>
        <vt:lpwstr>_Toc107855016</vt:lpwstr>
      </vt:variant>
      <vt:variant>
        <vt:i4>1769523</vt:i4>
      </vt:variant>
      <vt:variant>
        <vt:i4>182</vt:i4>
      </vt:variant>
      <vt:variant>
        <vt:i4>0</vt:i4>
      </vt:variant>
      <vt:variant>
        <vt:i4>5</vt:i4>
      </vt:variant>
      <vt:variant>
        <vt:lpwstr/>
      </vt:variant>
      <vt:variant>
        <vt:lpwstr>_Toc107855015</vt:lpwstr>
      </vt:variant>
      <vt:variant>
        <vt:i4>1769523</vt:i4>
      </vt:variant>
      <vt:variant>
        <vt:i4>176</vt:i4>
      </vt:variant>
      <vt:variant>
        <vt:i4>0</vt:i4>
      </vt:variant>
      <vt:variant>
        <vt:i4>5</vt:i4>
      </vt:variant>
      <vt:variant>
        <vt:lpwstr/>
      </vt:variant>
      <vt:variant>
        <vt:lpwstr>_Toc107855014</vt:lpwstr>
      </vt:variant>
      <vt:variant>
        <vt:i4>1769523</vt:i4>
      </vt:variant>
      <vt:variant>
        <vt:i4>170</vt:i4>
      </vt:variant>
      <vt:variant>
        <vt:i4>0</vt:i4>
      </vt:variant>
      <vt:variant>
        <vt:i4>5</vt:i4>
      </vt:variant>
      <vt:variant>
        <vt:lpwstr/>
      </vt:variant>
      <vt:variant>
        <vt:lpwstr>_Toc107855013</vt:lpwstr>
      </vt:variant>
      <vt:variant>
        <vt:i4>1769523</vt:i4>
      </vt:variant>
      <vt:variant>
        <vt:i4>164</vt:i4>
      </vt:variant>
      <vt:variant>
        <vt:i4>0</vt:i4>
      </vt:variant>
      <vt:variant>
        <vt:i4>5</vt:i4>
      </vt:variant>
      <vt:variant>
        <vt:lpwstr/>
      </vt:variant>
      <vt:variant>
        <vt:lpwstr>_Toc107855012</vt:lpwstr>
      </vt:variant>
      <vt:variant>
        <vt:i4>1769523</vt:i4>
      </vt:variant>
      <vt:variant>
        <vt:i4>158</vt:i4>
      </vt:variant>
      <vt:variant>
        <vt:i4>0</vt:i4>
      </vt:variant>
      <vt:variant>
        <vt:i4>5</vt:i4>
      </vt:variant>
      <vt:variant>
        <vt:lpwstr/>
      </vt:variant>
      <vt:variant>
        <vt:lpwstr>_Toc107855011</vt:lpwstr>
      </vt:variant>
      <vt:variant>
        <vt:i4>1769523</vt:i4>
      </vt:variant>
      <vt:variant>
        <vt:i4>152</vt:i4>
      </vt:variant>
      <vt:variant>
        <vt:i4>0</vt:i4>
      </vt:variant>
      <vt:variant>
        <vt:i4>5</vt:i4>
      </vt:variant>
      <vt:variant>
        <vt:lpwstr/>
      </vt:variant>
      <vt:variant>
        <vt:lpwstr>_Toc107855010</vt:lpwstr>
      </vt:variant>
      <vt:variant>
        <vt:i4>1703987</vt:i4>
      </vt:variant>
      <vt:variant>
        <vt:i4>146</vt:i4>
      </vt:variant>
      <vt:variant>
        <vt:i4>0</vt:i4>
      </vt:variant>
      <vt:variant>
        <vt:i4>5</vt:i4>
      </vt:variant>
      <vt:variant>
        <vt:lpwstr/>
      </vt:variant>
      <vt:variant>
        <vt:lpwstr>_Toc107855009</vt:lpwstr>
      </vt:variant>
      <vt:variant>
        <vt:i4>1703987</vt:i4>
      </vt:variant>
      <vt:variant>
        <vt:i4>140</vt:i4>
      </vt:variant>
      <vt:variant>
        <vt:i4>0</vt:i4>
      </vt:variant>
      <vt:variant>
        <vt:i4>5</vt:i4>
      </vt:variant>
      <vt:variant>
        <vt:lpwstr/>
      </vt:variant>
      <vt:variant>
        <vt:lpwstr>_Toc107855008</vt:lpwstr>
      </vt:variant>
      <vt:variant>
        <vt:i4>1703987</vt:i4>
      </vt:variant>
      <vt:variant>
        <vt:i4>134</vt:i4>
      </vt:variant>
      <vt:variant>
        <vt:i4>0</vt:i4>
      </vt:variant>
      <vt:variant>
        <vt:i4>5</vt:i4>
      </vt:variant>
      <vt:variant>
        <vt:lpwstr/>
      </vt:variant>
      <vt:variant>
        <vt:lpwstr>_Toc107855007</vt:lpwstr>
      </vt:variant>
      <vt:variant>
        <vt:i4>1703987</vt:i4>
      </vt:variant>
      <vt:variant>
        <vt:i4>128</vt:i4>
      </vt:variant>
      <vt:variant>
        <vt:i4>0</vt:i4>
      </vt:variant>
      <vt:variant>
        <vt:i4>5</vt:i4>
      </vt:variant>
      <vt:variant>
        <vt:lpwstr/>
      </vt:variant>
      <vt:variant>
        <vt:lpwstr>_Toc107855006</vt:lpwstr>
      </vt:variant>
      <vt:variant>
        <vt:i4>1703987</vt:i4>
      </vt:variant>
      <vt:variant>
        <vt:i4>122</vt:i4>
      </vt:variant>
      <vt:variant>
        <vt:i4>0</vt:i4>
      </vt:variant>
      <vt:variant>
        <vt:i4>5</vt:i4>
      </vt:variant>
      <vt:variant>
        <vt:lpwstr/>
      </vt:variant>
      <vt:variant>
        <vt:lpwstr>_Toc107855005</vt:lpwstr>
      </vt:variant>
      <vt:variant>
        <vt:i4>1703987</vt:i4>
      </vt:variant>
      <vt:variant>
        <vt:i4>116</vt:i4>
      </vt:variant>
      <vt:variant>
        <vt:i4>0</vt:i4>
      </vt:variant>
      <vt:variant>
        <vt:i4>5</vt:i4>
      </vt:variant>
      <vt:variant>
        <vt:lpwstr/>
      </vt:variant>
      <vt:variant>
        <vt:lpwstr>_Toc107855004</vt:lpwstr>
      </vt:variant>
      <vt:variant>
        <vt:i4>1703987</vt:i4>
      </vt:variant>
      <vt:variant>
        <vt:i4>110</vt:i4>
      </vt:variant>
      <vt:variant>
        <vt:i4>0</vt:i4>
      </vt:variant>
      <vt:variant>
        <vt:i4>5</vt:i4>
      </vt:variant>
      <vt:variant>
        <vt:lpwstr/>
      </vt:variant>
      <vt:variant>
        <vt:lpwstr>_Toc107855003</vt:lpwstr>
      </vt:variant>
      <vt:variant>
        <vt:i4>1703987</vt:i4>
      </vt:variant>
      <vt:variant>
        <vt:i4>104</vt:i4>
      </vt:variant>
      <vt:variant>
        <vt:i4>0</vt:i4>
      </vt:variant>
      <vt:variant>
        <vt:i4>5</vt:i4>
      </vt:variant>
      <vt:variant>
        <vt:lpwstr/>
      </vt:variant>
      <vt:variant>
        <vt:lpwstr>_Toc107855002</vt:lpwstr>
      </vt:variant>
      <vt:variant>
        <vt:i4>1703987</vt:i4>
      </vt:variant>
      <vt:variant>
        <vt:i4>98</vt:i4>
      </vt:variant>
      <vt:variant>
        <vt:i4>0</vt:i4>
      </vt:variant>
      <vt:variant>
        <vt:i4>5</vt:i4>
      </vt:variant>
      <vt:variant>
        <vt:lpwstr/>
      </vt:variant>
      <vt:variant>
        <vt:lpwstr>_Toc107855001</vt:lpwstr>
      </vt:variant>
      <vt:variant>
        <vt:i4>1703987</vt:i4>
      </vt:variant>
      <vt:variant>
        <vt:i4>92</vt:i4>
      </vt:variant>
      <vt:variant>
        <vt:i4>0</vt:i4>
      </vt:variant>
      <vt:variant>
        <vt:i4>5</vt:i4>
      </vt:variant>
      <vt:variant>
        <vt:lpwstr/>
      </vt:variant>
      <vt:variant>
        <vt:lpwstr>_Toc107855000</vt:lpwstr>
      </vt:variant>
      <vt:variant>
        <vt:i4>1179706</vt:i4>
      </vt:variant>
      <vt:variant>
        <vt:i4>86</vt:i4>
      </vt:variant>
      <vt:variant>
        <vt:i4>0</vt:i4>
      </vt:variant>
      <vt:variant>
        <vt:i4>5</vt:i4>
      </vt:variant>
      <vt:variant>
        <vt:lpwstr/>
      </vt:variant>
      <vt:variant>
        <vt:lpwstr>_Toc107854999</vt:lpwstr>
      </vt:variant>
      <vt:variant>
        <vt:i4>1179706</vt:i4>
      </vt:variant>
      <vt:variant>
        <vt:i4>80</vt:i4>
      </vt:variant>
      <vt:variant>
        <vt:i4>0</vt:i4>
      </vt:variant>
      <vt:variant>
        <vt:i4>5</vt:i4>
      </vt:variant>
      <vt:variant>
        <vt:lpwstr/>
      </vt:variant>
      <vt:variant>
        <vt:lpwstr>_Toc107854998</vt:lpwstr>
      </vt:variant>
      <vt:variant>
        <vt:i4>1179706</vt:i4>
      </vt:variant>
      <vt:variant>
        <vt:i4>74</vt:i4>
      </vt:variant>
      <vt:variant>
        <vt:i4>0</vt:i4>
      </vt:variant>
      <vt:variant>
        <vt:i4>5</vt:i4>
      </vt:variant>
      <vt:variant>
        <vt:lpwstr/>
      </vt:variant>
      <vt:variant>
        <vt:lpwstr>_Toc107854997</vt:lpwstr>
      </vt:variant>
      <vt:variant>
        <vt:i4>1179706</vt:i4>
      </vt:variant>
      <vt:variant>
        <vt:i4>68</vt:i4>
      </vt:variant>
      <vt:variant>
        <vt:i4>0</vt:i4>
      </vt:variant>
      <vt:variant>
        <vt:i4>5</vt:i4>
      </vt:variant>
      <vt:variant>
        <vt:lpwstr/>
      </vt:variant>
      <vt:variant>
        <vt:lpwstr>_Toc107854996</vt:lpwstr>
      </vt:variant>
      <vt:variant>
        <vt:i4>1179706</vt:i4>
      </vt:variant>
      <vt:variant>
        <vt:i4>62</vt:i4>
      </vt:variant>
      <vt:variant>
        <vt:i4>0</vt:i4>
      </vt:variant>
      <vt:variant>
        <vt:i4>5</vt:i4>
      </vt:variant>
      <vt:variant>
        <vt:lpwstr/>
      </vt:variant>
      <vt:variant>
        <vt:lpwstr>_Toc107854995</vt:lpwstr>
      </vt:variant>
      <vt:variant>
        <vt:i4>1179706</vt:i4>
      </vt:variant>
      <vt:variant>
        <vt:i4>56</vt:i4>
      </vt:variant>
      <vt:variant>
        <vt:i4>0</vt:i4>
      </vt:variant>
      <vt:variant>
        <vt:i4>5</vt:i4>
      </vt:variant>
      <vt:variant>
        <vt:lpwstr/>
      </vt:variant>
      <vt:variant>
        <vt:lpwstr>_Toc107854994</vt:lpwstr>
      </vt:variant>
      <vt:variant>
        <vt:i4>1179706</vt:i4>
      </vt:variant>
      <vt:variant>
        <vt:i4>50</vt:i4>
      </vt:variant>
      <vt:variant>
        <vt:i4>0</vt:i4>
      </vt:variant>
      <vt:variant>
        <vt:i4>5</vt:i4>
      </vt:variant>
      <vt:variant>
        <vt:lpwstr/>
      </vt:variant>
      <vt:variant>
        <vt:lpwstr>_Toc107854993</vt:lpwstr>
      </vt:variant>
      <vt:variant>
        <vt:i4>1179706</vt:i4>
      </vt:variant>
      <vt:variant>
        <vt:i4>44</vt:i4>
      </vt:variant>
      <vt:variant>
        <vt:i4>0</vt:i4>
      </vt:variant>
      <vt:variant>
        <vt:i4>5</vt:i4>
      </vt:variant>
      <vt:variant>
        <vt:lpwstr/>
      </vt:variant>
      <vt:variant>
        <vt:lpwstr>_Toc107854992</vt:lpwstr>
      </vt:variant>
      <vt:variant>
        <vt:i4>1179706</vt:i4>
      </vt:variant>
      <vt:variant>
        <vt:i4>38</vt:i4>
      </vt:variant>
      <vt:variant>
        <vt:i4>0</vt:i4>
      </vt:variant>
      <vt:variant>
        <vt:i4>5</vt:i4>
      </vt:variant>
      <vt:variant>
        <vt:lpwstr/>
      </vt:variant>
      <vt:variant>
        <vt:lpwstr>_Toc107854991</vt:lpwstr>
      </vt:variant>
      <vt:variant>
        <vt:i4>1179706</vt:i4>
      </vt:variant>
      <vt:variant>
        <vt:i4>32</vt:i4>
      </vt:variant>
      <vt:variant>
        <vt:i4>0</vt:i4>
      </vt:variant>
      <vt:variant>
        <vt:i4>5</vt:i4>
      </vt:variant>
      <vt:variant>
        <vt:lpwstr/>
      </vt:variant>
      <vt:variant>
        <vt:lpwstr>_Toc107854990</vt:lpwstr>
      </vt:variant>
      <vt:variant>
        <vt:i4>1245242</vt:i4>
      </vt:variant>
      <vt:variant>
        <vt:i4>26</vt:i4>
      </vt:variant>
      <vt:variant>
        <vt:i4>0</vt:i4>
      </vt:variant>
      <vt:variant>
        <vt:i4>5</vt:i4>
      </vt:variant>
      <vt:variant>
        <vt:lpwstr/>
      </vt:variant>
      <vt:variant>
        <vt:lpwstr>_Toc107854989</vt:lpwstr>
      </vt:variant>
      <vt:variant>
        <vt:i4>1245242</vt:i4>
      </vt:variant>
      <vt:variant>
        <vt:i4>20</vt:i4>
      </vt:variant>
      <vt:variant>
        <vt:i4>0</vt:i4>
      </vt:variant>
      <vt:variant>
        <vt:i4>5</vt:i4>
      </vt:variant>
      <vt:variant>
        <vt:lpwstr/>
      </vt:variant>
      <vt:variant>
        <vt:lpwstr>_Toc107854988</vt:lpwstr>
      </vt:variant>
      <vt:variant>
        <vt:i4>1245242</vt:i4>
      </vt:variant>
      <vt:variant>
        <vt:i4>14</vt:i4>
      </vt:variant>
      <vt:variant>
        <vt:i4>0</vt:i4>
      </vt:variant>
      <vt:variant>
        <vt:i4>5</vt:i4>
      </vt:variant>
      <vt:variant>
        <vt:lpwstr/>
      </vt:variant>
      <vt:variant>
        <vt:lpwstr>_Toc107854987</vt:lpwstr>
      </vt:variant>
      <vt:variant>
        <vt:i4>1245242</vt:i4>
      </vt:variant>
      <vt:variant>
        <vt:i4>8</vt:i4>
      </vt:variant>
      <vt:variant>
        <vt:i4>0</vt:i4>
      </vt:variant>
      <vt:variant>
        <vt:i4>5</vt:i4>
      </vt:variant>
      <vt:variant>
        <vt:lpwstr/>
      </vt:variant>
      <vt:variant>
        <vt:lpwstr>_Toc107854986</vt:lpwstr>
      </vt:variant>
      <vt:variant>
        <vt:i4>1245242</vt:i4>
      </vt:variant>
      <vt:variant>
        <vt:i4>2</vt:i4>
      </vt:variant>
      <vt:variant>
        <vt:i4>0</vt:i4>
      </vt:variant>
      <vt:variant>
        <vt:i4>5</vt:i4>
      </vt:variant>
      <vt:variant>
        <vt:lpwstr/>
      </vt:variant>
      <vt:variant>
        <vt:lpwstr>_Toc107854985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Tarannum, Fatema</dc:creator>
  <cp:keywords/>
  <dc:description/>
  <cp:lastModifiedBy>Saadatgharehbagh, Younes</cp:lastModifiedBy>
  <cp:revision>174</cp:revision>
  <cp:lastPrinted>2023-07-16T17:55:00Z</cp:lastPrinted>
  <dcterms:created xsi:type="dcterms:W3CDTF">2023-09-03T16:40:00Z</dcterms:created>
  <dcterms:modified xsi:type="dcterms:W3CDTF">2023-10-28T20:46:00Z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0fd4bb8a-3ca9-3627-8bfc-1a0862baed5b</vt:lpwstr>
  </property>
  <property fmtid="{D5CDD505-2E9C-101B-9397-08002B2CF9AE}" pid="4" name="Mendeley Citation Style_1">
    <vt:lpwstr>http://www.zotero.org/styles/journal-of-the-american-chemical-society</vt:lpwstr>
  </property>
  <property fmtid="{D5CDD505-2E9C-101B-9397-08002B2CF9AE}" pid="5" name="Mendeley Recent Style Id 0_1">
    <vt:lpwstr>http://www.zotero.org/styles/harvard-cite-them-right</vt:lpwstr>
  </property>
  <property fmtid="{D5CDD505-2E9C-101B-9397-08002B2CF9AE}" pid="6" name="Mendeley Recent Style Name 0_1">
    <vt:lpwstr>Cite Them Right 10th edition - Harvard</vt:lpwstr>
  </property>
  <property fmtid="{D5CDD505-2E9C-101B-9397-08002B2CF9AE}" pid="7" name="Mendeley Recent Style Id 1_1">
    <vt:lpwstr>http://www.zotero.org/styles/elsevier-with-titles</vt:lpwstr>
  </property>
  <property fmtid="{D5CDD505-2E9C-101B-9397-08002B2CF9AE}" pid="8" name="Mendeley Recent Style Name 1_1">
    <vt:lpwstr>Elsevier (numeric, with titles)</vt:lpwstr>
  </property>
  <property fmtid="{D5CDD505-2E9C-101B-9397-08002B2CF9AE}" pid="9" name="Mendeley Recent Style Id 2_1">
    <vt:lpwstr>http://www.zotero.org/styles/ieee</vt:lpwstr>
  </property>
  <property fmtid="{D5CDD505-2E9C-101B-9397-08002B2CF9AE}" pid="10" name="Mendeley Recent Style Name 2_1">
    <vt:lpwstr>IEEE</vt:lpwstr>
  </property>
  <property fmtid="{D5CDD505-2E9C-101B-9397-08002B2CF9AE}" pid="11" name="Mendeley Recent Style Id 3_1">
    <vt:lpwstr>http://csl.mendeley.com/styles/5150531/iso690-author-date-cat</vt:lpwstr>
  </property>
  <property fmtid="{D5CDD505-2E9C-101B-9397-08002B2CF9AE}" pid="12" name="Mendeley Recent Style Name 3_1">
    <vt:lpwstr>ISO-690 (author-date, Catalan)</vt:lpwstr>
  </property>
  <property fmtid="{D5CDD505-2E9C-101B-9397-08002B2CF9AE}" pid="13" name="Mendeley Recent Style Id 4_1">
    <vt:lpwstr>http://www.zotero.org/styles/journal-of-membrane-science</vt:lpwstr>
  </property>
  <property fmtid="{D5CDD505-2E9C-101B-9397-08002B2CF9AE}" pid="14" name="Mendeley Recent Style Name 4_1">
    <vt:lpwstr>Journal of Membrane Science</vt:lpwstr>
  </property>
  <property fmtid="{D5CDD505-2E9C-101B-9397-08002B2CF9AE}" pid="15" name="Mendeley Recent Style Id 5_1">
    <vt:lpwstr>http://www.zotero.org/styles/journal-of-the-american-chemical-society</vt:lpwstr>
  </property>
  <property fmtid="{D5CDD505-2E9C-101B-9397-08002B2CF9AE}" pid="16" name="Mendeley Recent Style Name 5_1">
    <vt:lpwstr>Journal of the American Chemical Society</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http://www.zotero.org/styles/polymer-chemistry</vt:lpwstr>
  </property>
  <property fmtid="{D5CDD505-2E9C-101B-9397-08002B2CF9AE}" pid="24" name="Mendeley Recent Style Name 9_1">
    <vt:lpwstr>Polymer Chemistry</vt:lpwstr>
  </property>
</Properties>
</file>