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4E149" w14:textId="280BE2F0" w:rsidR="00F87941" w:rsidRPr="00945EE1" w:rsidRDefault="00C7369F" w:rsidP="00C7369F">
      <w:pPr>
        <w:jc w:val="center"/>
        <w:rPr>
          <w:sz w:val="24"/>
          <w:szCs w:val="24"/>
        </w:rPr>
      </w:pPr>
      <w:r w:rsidRPr="00945EE1">
        <w:rPr>
          <w:sz w:val="24"/>
          <w:szCs w:val="24"/>
        </w:rPr>
        <w:t>UNIVERSITY OF OKLAHOMA</w:t>
      </w:r>
    </w:p>
    <w:p w14:paraId="6B0DD1D9" w14:textId="1F86C763" w:rsidR="00C7369F" w:rsidRPr="00945EE1" w:rsidRDefault="00C7369F" w:rsidP="00C7369F">
      <w:pPr>
        <w:jc w:val="center"/>
        <w:rPr>
          <w:sz w:val="24"/>
          <w:szCs w:val="24"/>
        </w:rPr>
      </w:pPr>
      <w:r w:rsidRPr="00945EE1">
        <w:rPr>
          <w:sz w:val="24"/>
          <w:szCs w:val="24"/>
        </w:rPr>
        <w:t>GRADUATE COLLEGE</w:t>
      </w:r>
    </w:p>
    <w:p w14:paraId="109BDBB6" w14:textId="4648982E" w:rsidR="00C7369F" w:rsidRPr="00945EE1" w:rsidRDefault="00C7369F" w:rsidP="00C7369F">
      <w:pPr>
        <w:jc w:val="center"/>
        <w:rPr>
          <w:sz w:val="24"/>
          <w:szCs w:val="24"/>
        </w:rPr>
      </w:pPr>
    </w:p>
    <w:p w14:paraId="6A02E5FD" w14:textId="0C3E0D7B" w:rsidR="00C7369F" w:rsidRPr="00945EE1" w:rsidRDefault="00C7369F" w:rsidP="00C7369F">
      <w:pPr>
        <w:jc w:val="center"/>
        <w:rPr>
          <w:sz w:val="24"/>
          <w:szCs w:val="24"/>
        </w:rPr>
      </w:pPr>
    </w:p>
    <w:p w14:paraId="03864BE4" w14:textId="77777777" w:rsidR="00623D48" w:rsidRDefault="00B923FF" w:rsidP="00623D48">
      <w:pPr>
        <w:jc w:val="center"/>
        <w:rPr>
          <w:sz w:val="24"/>
          <w:szCs w:val="24"/>
        </w:rPr>
      </w:pPr>
      <w:r>
        <w:rPr>
          <w:sz w:val="24"/>
          <w:szCs w:val="24"/>
        </w:rPr>
        <w:t>C</w:t>
      </w:r>
      <w:r w:rsidR="00936D7C">
        <w:rPr>
          <w:sz w:val="24"/>
          <w:szCs w:val="24"/>
        </w:rPr>
        <w:t xml:space="preserve">HARACTERIZATION </w:t>
      </w:r>
      <w:r w:rsidR="00256650">
        <w:rPr>
          <w:sz w:val="24"/>
          <w:szCs w:val="24"/>
        </w:rPr>
        <w:t xml:space="preserve">OF THE SUBSURFACE FROM </w:t>
      </w:r>
    </w:p>
    <w:p w14:paraId="495A4A07" w14:textId="31E04365" w:rsidR="00C7369F" w:rsidRPr="00945EE1" w:rsidRDefault="00256650" w:rsidP="00623D48">
      <w:pPr>
        <w:jc w:val="center"/>
        <w:rPr>
          <w:sz w:val="24"/>
          <w:szCs w:val="24"/>
        </w:rPr>
      </w:pPr>
      <w:r>
        <w:rPr>
          <w:sz w:val="24"/>
          <w:szCs w:val="24"/>
        </w:rPr>
        <w:t>EVALUATING LOW AMPLITUDE SEISMIC RECORDINGS</w:t>
      </w:r>
    </w:p>
    <w:p w14:paraId="5FD02298" w14:textId="07B707C0" w:rsidR="00C7369F" w:rsidRPr="00945EE1" w:rsidRDefault="00C7369F" w:rsidP="00C7369F">
      <w:pPr>
        <w:jc w:val="center"/>
        <w:rPr>
          <w:sz w:val="24"/>
          <w:szCs w:val="24"/>
        </w:rPr>
      </w:pPr>
    </w:p>
    <w:p w14:paraId="13B10FD8" w14:textId="0AB982B3" w:rsidR="00C7369F" w:rsidRPr="00945EE1" w:rsidRDefault="00C7369F" w:rsidP="00C7369F">
      <w:pPr>
        <w:jc w:val="center"/>
        <w:rPr>
          <w:sz w:val="24"/>
          <w:szCs w:val="24"/>
        </w:rPr>
      </w:pPr>
    </w:p>
    <w:p w14:paraId="09D7CD78" w14:textId="36F2302A" w:rsidR="00C7369F" w:rsidRPr="00945EE1" w:rsidRDefault="00C7369F" w:rsidP="00C7369F">
      <w:pPr>
        <w:jc w:val="center"/>
        <w:rPr>
          <w:sz w:val="24"/>
          <w:szCs w:val="24"/>
        </w:rPr>
      </w:pPr>
    </w:p>
    <w:p w14:paraId="042E7E3F" w14:textId="77777777" w:rsidR="00C7369F" w:rsidRPr="00945EE1" w:rsidRDefault="00C7369F" w:rsidP="00C7369F">
      <w:pPr>
        <w:jc w:val="center"/>
        <w:rPr>
          <w:sz w:val="24"/>
          <w:szCs w:val="24"/>
        </w:rPr>
      </w:pPr>
    </w:p>
    <w:p w14:paraId="06B54EB9" w14:textId="7499C0E2" w:rsidR="00C7369F" w:rsidRPr="00945EE1" w:rsidRDefault="00C7369F" w:rsidP="00C7369F">
      <w:pPr>
        <w:jc w:val="center"/>
        <w:rPr>
          <w:sz w:val="24"/>
          <w:szCs w:val="24"/>
        </w:rPr>
      </w:pPr>
    </w:p>
    <w:p w14:paraId="4989885A" w14:textId="42F4BDDF" w:rsidR="00C7369F" w:rsidRPr="00945EE1" w:rsidRDefault="00C7369F" w:rsidP="00C7369F">
      <w:pPr>
        <w:jc w:val="center"/>
        <w:rPr>
          <w:sz w:val="24"/>
          <w:szCs w:val="24"/>
        </w:rPr>
      </w:pPr>
      <w:r w:rsidRPr="00945EE1">
        <w:rPr>
          <w:sz w:val="24"/>
          <w:szCs w:val="24"/>
        </w:rPr>
        <w:t xml:space="preserve">A DISSERTATION </w:t>
      </w:r>
    </w:p>
    <w:p w14:paraId="09A0DDC6" w14:textId="5AB9D7DC" w:rsidR="00C7369F" w:rsidRPr="00945EE1" w:rsidRDefault="00C7369F" w:rsidP="005703C9">
      <w:pPr>
        <w:jc w:val="center"/>
        <w:rPr>
          <w:sz w:val="24"/>
          <w:szCs w:val="24"/>
        </w:rPr>
      </w:pPr>
      <w:r w:rsidRPr="00945EE1">
        <w:rPr>
          <w:sz w:val="24"/>
          <w:szCs w:val="24"/>
        </w:rPr>
        <w:t>SUBMITTED TO THE GRADUATE FACULTY</w:t>
      </w:r>
    </w:p>
    <w:p w14:paraId="77597540" w14:textId="499F0E91" w:rsidR="00C7369F" w:rsidRPr="00945EE1" w:rsidRDefault="005703C9" w:rsidP="00C7369F">
      <w:pPr>
        <w:jc w:val="center"/>
        <w:rPr>
          <w:sz w:val="24"/>
          <w:szCs w:val="24"/>
        </w:rPr>
      </w:pPr>
      <w:r>
        <w:rPr>
          <w:sz w:val="24"/>
          <w:szCs w:val="24"/>
        </w:rPr>
        <w:t>i</w:t>
      </w:r>
      <w:r w:rsidR="00C7369F" w:rsidRPr="00945EE1">
        <w:rPr>
          <w:sz w:val="24"/>
          <w:szCs w:val="24"/>
        </w:rPr>
        <w:t>n partial fulfillment of the requirements for the</w:t>
      </w:r>
    </w:p>
    <w:p w14:paraId="686F72C7" w14:textId="1FACCBBE" w:rsidR="00C7369F" w:rsidRPr="00945EE1" w:rsidRDefault="00C7369F" w:rsidP="005703C9">
      <w:pPr>
        <w:jc w:val="center"/>
        <w:rPr>
          <w:sz w:val="24"/>
          <w:szCs w:val="24"/>
        </w:rPr>
      </w:pPr>
      <w:r w:rsidRPr="00945EE1">
        <w:rPr>
          <w:sz w:val="24"/>
          <w:szCs w:val="24"/>
        </w:rPr>
        <w:t>Degree of</w:t>
      </w:r>
    </w:p>
    <w:p w14:paraId="265FCA06" w14:textId="4C1958F2" w:rsidR="00C7369F" w:rsidRPr="00945EE1" w:rsidRDefault="00C7369F" w:rsidP="00C7369F">
      <w:pPr>
        <w:jc w:val="center"/>
        <w:rPr>
          <w:sz w:val="24"/>
          <w:szCs w:val="24"/>
        </w:rPr>
      </w:pPr>
      <w:r w:rsidRPr="00945EE1">
        <w:rPr>
          <w:sz w:val="24"/>
          <w:szCs w:val="24"/>
        </w:rPr>
        <w:t>DOCTOR OF PHILOSOPHY</w:t>
      </w:r>
    </w:p>
    <w:p w14:paraId="08905221" w14:textId="23AB7B3B" w:rsidR="00C7369F" w:rsidRPr="00945EE1" w:rsidRDefault="00C7369F" w:rsidP="00C7369F">
      <w:pPr>
        <w:jc w:val="center"/>
        <w:rPr>
          <w:sz w:val="24"/>
          <w:szCs w:val="24"/>
        </w:rPr>
      </w:pPr>
    </w:p>
    <w:p w14:paraId="04A3459A" w14:textId="58426B36" w:rsidR="00C7369F" w:rsidRPr="00945EE1" w:rsidRDefault="00C7369F" w:rsidP="00C7369F">
      <w:pPr>
        <w:jc w:val="center"/>
        <w:rPr>
          <w:sz w:val="24"/>
          <w:szCs w:val="24"/>
        </w:rPr>
      </w:pPr>
    </w:p>
    <w:p w14:paraId="0717DCF9" w14:textId="3984F494" w:rsidR="00C7369F" w:rsidRPr="00945EE1" w:rsidRDefault="00C7369F" w:rsidP="00C7369F">
      <w:pPr>
        <w:jc w:val="center"/>
        <w:rPr>
          <w:sz w:val="24"/>
          <w:szCs w:val="24"/>
        </w:rPr>
      </w:pPr>
    </w:p>
    <w:p w14:paraId="3CA7AD7A" w14:textId="77777777" w:rsidR="00C7369F" w:rsidRDefault="00C7369F" w:rsidP="00C7369F">
      <w:pPr>
        <w:jc w:val="center"/>
        <w:rPr>
          <w:sz w:val="24"/>
          <w:szCs w:val="24"/>
        </w:rPr>
      </w:pPr>
    </w:p>
    <w:p w14:paraId="76A226C4" w14:textId="77777777" w:rsidR="005703C9" w:rsidRDefault="005703C9" w:rsidP="00C7369F">
      <w:pPr>
        <w:jc w:val="center"/>
        <w:rPr>
          <w:sz w:val="24"/>
          <w:szCs w:val="24"/>
        </w:rPr>
      </w:pPr>
    </w:p>
    <w:p w14:paraId="774C73DF" w14:textId="77777777" w:rsidR="005703C9" w:rsidRPr="00945EE1" w:rsidRDefault="005703C9" w:rsidP="00C7369F">
      <w:pPr>
        <w:jc w:val="center"/>
        <w:rPr>
          <w:sz w:val="24"/>
          <w:szCs w:val="24"/>
        </w:rPr>
      </w:pPr>
    </w:p>
    <w:p w14:paraId="2986927C" w14:textId="2AAE731E" w:rsidR="00C7369F" w:rsidRPr="00945EE1" w:rsidRDefault="00C7369F" w:rsidP="00C7369F">
      <w:pPr>
        <w:jc w:val="center"/>
        <w:rPr>
          <w:sz w:val="24"/>
          <w:szCs w:val="24"/>
        </w:rPr>
      </w:pPr>
    </w:p>
    <w:p w14:paraId="01831819" w14:textId="51A2709C" w:rsidR="00C7369F" w:rsidRDefault="00C7369F" w:rsidP="00CE1D36">
      <w:pPr>
        <w:spacing w:after="0" w:line="240" w:lineRule="auto"/>
        <w:jc w:val="center"/>
        <w:rPr>
          <w:sz w:val="24"/>
          <w:szCs w:val="24"/>
        </w:rPr>
      </w:pPr>
      <w:r w:rsidRPr="00945EE1">
        <w:rPr>
          <w:sz w:val="24"/>
          <w:szCs w:val="24"/>
        </w:rPr>
        <w:t>By</w:t>
      </w:r>
    </w:p>
    <w:p w14:paraId="748398C8" w14:textId="77777777" w:rsidR="00CE1D36" w:rsidRPr="00945EE1" w:rsidRDefault="00CE1D36" w:rsidP="00CE1D36">
      <w:pPr>
        <w:spacing w:after="0" w:line="240" w:lineRule="auto"/>
        <w:jc w:val="center"/>
        <w:rPr>
          <w:sz w:val="24"/>
          <w:szCs w:val="24"/>
        </w:rPr>
      </w:pPr>
    </w:p>
    <w:p w14:paraId="6D761B1E" w14:textId="79C232E3" w:rsidR="00C7369F" w:rsidRPr="00945EE1" w:rsidRDefault="005703C9" w:rsidP="00CE1D36">
      <w:pPr>
        <w:spacing w:after="0" w:line="240" w:lineRule="auto"/>
        <w:jc w:val="center"/>
        <w:rPr>
          <w:sz w:val="24"/>
          <w:szCs w:val="24"/>
        </w:rPr>
      </w:pPr>
      <w:r>
        <w:rPr>
          <w:sz w:val="24"/>
          <w:szCs w:val="24"/>
        </w:rPr>
        <w:t>RAYMOND NG</w:t>
      </w:r>
    </w:p>
    <w:p w14:paraId="430CF625" w14:textId="59357DC5" w:rsidR="00C7369F" w:rsidRPr="00945EE1" w:rsidRDefault="00C7369F" w:rsidP="00CE1D36">
      <w:pPr>
        <w:spacing w:after="0" w:line="240" w:lineRule="auto"/>
        <w:jc w:val="center"/>
        <w:rPr>
          <w:sz w:val="24"/>
          <w:szCs w:val="24"/>
        </w:rPr>
      </w:pPr>
      <w:r w:rsidRPr="00945EE1">
        <w:rPr>
          <w:sz w:val="24"/>
          <w:szCs w:val="24"/>
        </w:rPr>
        <w:t>Norman, Oklahoma</w:t>
      </w:r>
    </w:p>
    <w:p w14:paraId="7426D3CB" w14:textId="06ADF934" w:rsidR="00C7369F" w:rsidRPr="00945EE1" w:rsidRDefault="00C7369F" w:rsidP="00CE1D36">
      <w:pPr>
        <w:spacing w:after="0" w:line="240" w:lineRule="auto"/>
        <w:jc w:val="center"/>
        <w:rPr>
          <w:sz w:val="24"/>
          <w:szCs w:val="24"/>
        </w:rPr>
      </w:pPr>
      <w:r w:rsidRPr="00945EE1">
        <w:rPr>
          <w:sz w:val="24"/>
          <w:szCs w:val="24"/>
        </w:rPr>
        <w:t>2023</w:t>
      </w:r>
    </w:p>
    <w:p w14:paraId="43F56ECE" w14:textId="77777777" w:rsidR="00742541" w:rsidRDefault="00742541" w:rsidP="00B21005">
      <w:pPr>
        <w:rPr>
          <w:sz w:val="24"/>
          <w:szCs w:val="24"/>
        </w:rPr>
        <w:sectPr w:rsidR="00742541" w:rsidSect="00F45D8F">
          <w:footerReference w:type="default" r:id="rId8"/>
          <w:pgSz w:w="12240" w:h="15840"/>
          <w:pgMar w:top="1440" w:right="1440" w:bottom="1440" w:left="1440" w:header="720" w:footer="720" w:gutter="0"/>
          <w:pgNumType w:fmt="lowerRoman"/>
          <w:cols w:space="720"/>
          <w:titlePg/>
          <w:docGrid w:linePitch="360"/>
        </w:sectPr>
      </w:pPr>
    </w:p>
    <w:p w14:paraId="1A0AF76B" w14:textId="618E3DBC" w:rsidR="00EB70C9" w:rsidRPr="00945EE1" w:rsidRDefault="00EB70C9" w:rsidP="00B21005">
      <w:pPr>
        <w:rPr>
          <w:sz w:val="24"/>
          <w:szCs w:val="24"/>
        </w:rPr>
      </w:pPr>
    </w:p>
    <w:p w14:paraId="506159CF" w14:textId="77777777" w:rsidR="00623D48" w:rsidRDefault="00552D04" w:rsidP="00552D04">
      <w:pPr>
        <w:jc w:val="center"/>
        <w:rPr>
          <w:sz w:val="24"/>
          <w:szCs w:val="24"/>
        </w:rPr>
      </w:pPr>
      <w:r>
        <w:rPr>
          <w:sz w:val="24"/>
          <w:szCs w:val="24"/>
        </w:rPr>
        <w:t xml:space="preserve">CHARACTERIZATION OF THE SUBSURFACE FROM </w:t>
      </w:r>
    </w:p>
    <w:p w14:paraId="4E31FB28" w14:textId="521A2745" w:rsidR="00552D04" w:rsidRDefault="00552D04" w:rsidP="00552D04">
      <w:pPr>
        <w:jc w:val="center"/>
        <w:rPr>
          <w:sz w:val="24"/>
          <w:szCs w:val="24"/>
        </w:rPr>
      </w:pPr>
      <w:r>
        <w:rPr>
          <w:sz w:val="24"/>
          <w:szCs w:val="24"/>
        </w:rPr>
        <w:t>EVALUATING LOW AMPLITUDE SEISMIC RECORDINGS</w:t>
      </w:r>
    </w:p>
    <w:p w14:paraId="7B5F5E2E" w14:textId="77777777" w:rsidR="00B818B8" w:rsidRDefault="00B818B8" w:rsidP="00552D04">
      <w:pPr>
        <w:jc w:val="center"/>
        <w:rPr>
          <w:sz w:val="24"/>
          <w:szCs w:val="24"/>
        </w:rPr>
      </w:pPr>
    </w:p>
    <w:p w14:paraId="4EC1D695" w14:textId="77777777" w:rsidR="00B818B8" w:rsidRDefault="00B818B8" w:rsidP="00552D04">
      <w:pPr>
        <w:jc w:val="center"/>
        <w:rPr>
          <w:sz w:val="24"/>
          <w:szCs w:val="24"/>
        </w:rPr>
      </w:pPr>
    </w:p>
    <w:p w14:paraId="4C716846" w14:textId="0CD2B313" w:rsidR="00B818B8" w:rsidRDefault="00B818B8" w:rsidP="00552D04">
      <w:pPr>
        <w:jc w:val="center"/>
        <w:rPr>
          <w:sz w:val="24"/>
          <w:szCs w:val="24"/>
        </w:rPr>
      </w:pPr>
      <w:r>
        <w:rPr>
          <w:sz w:val="24"/>
          <w:szCs w:val="24"/>
        </w:rPr>
        <w:t>A DISSERTATION APPROVED FOR THE</w:t>
      </w:r>
    </w:p>
    <w:p w14:paraId="3B367335" w14:textId="716F485C" w:rsidR="00BF5968" w:rsidRDefault="00994ADC" w:rsidP="00552D04">
      <w:pPr>
        <w:jc w:val="center"/>
        <w:rPr>
          <w:sz w:val="24"/>
          <w:szCs w:val="24"/>
        </w:rPr>
      </w:pPr>
      <w:r>
        <w:rPr>
          <w:sz w:val="24"/>
          <w:szCs w:val="24"/>
        </w:rPr>
        <w:t>SCHOOL</w:t>
      </w:r>
      <w:r w:rsidR="00BF5968">
        <w:rPr>
          <w:sz w:val="24"/>
          <w:szCs w:val="24"/>
        </w:rPr>
        <w:t xml:space="preserve"> OF GEOSCIENCES</w:t>
      </w:r>
    </w:p>
    <w:p w14:paraId="17628B08" w14:textId="77777777" w:rsidR="00BF5968" w:rsidRDefault="00BF5968" w:rsidP="00552D04">
      <w:pPr>
        <w:jc w:val="center"/>
        <w:rPr>
          <w:sz w:val="24"/>
          <w:szCs w:val="24"/>
        </w:rPr>
      </w:pPr>
    </w:p>
    <w:p w14:paraId="559720BE" w14:textId="77777777" w:rsidR="00BF5968" w:rsidRDefault="00BF5968" w:rsidP="00552D04">
      <w:pPr>
        <w:jc w:val="center"/>
        <w:rPr>
          <w:sz w:val="24"/>
          <w:szCs w:val="24"/>
        </w:rPr>
      </w:pPr>
    </w:p>
    <w:p w14:paraId="40C1C42D" w14:textId="77777777" w:rsidR="00BF5968" w:rsidRDefault="00BF5968" w:rsidP="00552D04">
      <w:pPr>
        <w:jc w:val="center"/>
        <w:rPr>
          <w:sz w:val="24"/>
          <w:szCs w:val="24"/>
        </w:rPr>
      </w:pPr>
    </w:p>
    <w:p w14:paraId="7893E1E5" w14:textId="7102B602" w:rsidR="00BF5968" w:rsidRPr="00945EE1" w:rsidRDefault="00BF5968" w:rsidP="00552D04">
      <w:pPr>
        <w:jc w:val="center"/>
        <w:rPr>
          <w:sz w:val="24"/>
          <w:szCs w:val="24"/>
        </w:rPr>
      </w:pPr>
      <w:r>
        <w:rPr>
          <w:sz w:val="24"/>
          <w:szCs w:val="24"/>
        </w:rPr>
        <w:t>BY THE COMMITTEE CONSISTING OF</w:t>
      </w:r>
    </w:p>
    <w:p w14:paraId="60699002" w14:textId="4CC68B8C" w:rsidR="00EB70C9" w:rsidRPr="00945EE1" w:rsidRDefault="00EB70C9" w:rsidP="00EB70C9">
      <w:pPr>
        <w:jc w:val="right"/>
        <w:rPr>
          <w:sz w:val="24"/>
          <w:szCs w:val="24"/>
        </w:rPr>
      </w:pPr>
    </w:p>
    <w:p w14:paraId="77E44622" w14:textId="391D7A2D" w:rsidR="00EB70C9" w:rsidRPr="00945EE1" w:rsidRDefault="00EB70C9" w:rsidP="00EB70C9">
      <w:pPr>
        <w:jc w:val="right"/>
        <w:rPr>
          <w:sz w:val="24"/>
          <w:szCs w:val="24"/>
        </w:rPr>
      </w:pPr>
    </w:p>
    <w:p w14:paraId="3AE4DE93" w14:textId="793B7927" w:rsidR="00EB70C9" w:rsidRPr="00945EE1" w:rsidRDefault="00EB70C9" w:rsidP="00EB70C9">
      <w:pPr>
        <w:jc w:val="right"/>
        <w:rPr>
          <w:sz w:val="24"/>
          <w:szCs w:val="24"/>
        </w:rPr>
      </w:pPr>
    </w:p>
    <w:p w14:paraId="79A3BF81" w14:textId="19F6BF43" w:rsidR="00EB70C9" w:rsidRDefault="00EB70C9" w:rsidP="00EB70C9">
      <w:pPr>
        <w:jc w:val="right"/>
        <w:rPr>
          <w:sz w:val="24"/>
          <w:szCs w:val="24"/>
        </w:rPr>
      </w:pPr>
    </w:p>
    <w:p w14:paraId="2A31A2FF" w14:textId="77777777" w:rsidR="00552D04" w:rsidRPr="00945EE1" w:rsidRDefault="00552D04" w:rsidP="00EB70C9">
      <w:pPr>
        <w:jc w:val="right"/>
        <w:rPr>
          <w:sz w:val="24"/>
          <w:szCs w:val="24"/>
        </w:rPr>
      </w:pPr>
    </w:p>
    <w:p w14:paraId="5F556DFC" w14:textId="77777777" w:rsidR="00BF5968" w:rsidRDefault="00BF5968" w:rsidP="00BF5968">
      <w:pPr>
        <w:rPr>
          <w:sz w:val="24"/>
          <w:szCs w:val="24"/>
        </w:rPr>
      </w:pPr>
    </w:p>
    <w:p w14:paraId="03A0288C" w14:textId="77777777" w:rsidR="00945EE1" w:rsidRDefault="00945EE1" w:rsidP="00EB70C9">
      <w:pPr>
        <w:jc w:val="right"/>
        <w:rPr>
          <w:sz w:val="24"/>
          <w:szCs w:val="24"/>
        </w:rPr>
      </w:pPr>
    </w:p>
    <w:p w14:paraId="2F98FDFC" w14:textId="77777777" w:rsidR="002C685B" w:rsidRDefault="002C685B" w:rsidP="00EB70C9">
      <w:pPr>
        <w:jc w:val="right"/>
        <w:rPr>
          <w:sz w:val="24"/>
          <w:szCs w:val="24"/>
        </w:rPr>
      </w:pPr>
    </w:p>
    <w:p w14:paraId="1B9BD987" w14:textId="77777777" w:rsidR="002C685B" w:rsidRPr="00945EE1" w:rsidRDefault="002C685B" w:rsidP="00EB70C9">
      <w:pPr>
        <w:jc w:val="right"/>
        <w:rPr>
          <w:sz w:val="24"/>
          <w:szCs w:val="24"/>
        </w:rPr>
      </w:pPr>
    </w:p>
    <w:p w14:paraId="2AEB532D" w14:textId="77777777" w:rsidR="00EB70C9" w:rsidRPr="00945EE1" w:rsidRDefault="00EB70C9" w:rsidP="00EB70C9">
      <w:pPr>
        <w:jc w:val="right"/>
        <w:rPr>
          <w:sz w:val="24"/>
          <w:szCs w:val="24"/>
        </w:rPr>
      </w:pPr>
    </w:p>
    <w:tbl>
      <w:tblPr>
        <w:tblStyle w:val="TableGrid"/>
        <w:tblW w:w="0" w:type="auto"/>
        <w:tblInd w:w="5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tblGrid>
      <w:tr w:rsidR="00EB70C9" w:rsidRPr="00945EE1" w14:paraId="77BDA075" w14:textId="77777777" w:rsidTr="00BF5968">
        <w:tc>
          <w:tcPr>
            <w:tcW w:w="3515" w:type="dxa"/>
          </w:tcPr>
          <w:p w14:paraId="33023BD1" w14:textId="68DA7659" w:rsidR="00EB70C9" w:rsidRPr="00945EE1" w:rsidRDefault="00EB70C9" w:rsidP="002C685B">
            <w:pPr>
              <w:spacing w:line="360" w:lineRule="auto"/>
              <w:jc w:val="right"/>
              <w:rPr>
                <w:sz w:val="24"/>
                <w:szCs w:val="24"/>
              </w:rPr>
            </w:pPr>
            <w:r w:rsidRPr="00945EE1">
              <w:rPr>
                <w:sz w:val="24"/>
                <w:szCs w:val="24"/>
              </w:rPr>
              <w:t>Dr. Jacob I. Walter, Chair</w:t>
            </w:r>
          </w:p>
        </w:tc>
      </w:tr>
      <w:tr w:rsidR="00EB70C9" w:rsidRPr="00945EE1" w14:paraId="1A31488B" w14:textId="77777777" w:rsidTr="00BF5968">
        <w:tc>
          <w:tcPr>
            <w:tcW w:w="3515" w:type="dxa"/>
          </w:tcPr>
          <w:p w14:paraId="0803F095" w14:textId="3CCD5B45" w:rsidR="00EB70C9" w:rsidRPr="00945EE1" w:rsidRDefault="00EB70C9" w:rsidP="002C685B">
            <w:pPr>
              <w:spacing w:line="360" w:lineRule="auto"/>
              <w:jc w:val="right"/>
              <w:rPr>
                <w:sz w:val="24"/>
                <w:szCs w:val="24"/>
              </w:rPr>
            </w:pPr>
            <w:r w:rsidRPr="00945EE1">
              <w:rPr>
                <w:sz w:val="24"/>
                <w:szCs w:val="24"/>
              </w:rPr>
              <w:t>Dr. Xiaowei Chen, Co-Chair</w:t>
            </w:r>
          </w:p>
        </w:tc>
      </w:tr>
      <w:tr w:rsidR="00EB70C9" w:rsidRPr="00945EE1" w14:paraId="72C31280" w14:textId="77777777" w:rsidTr="00BF5968">
        <w:tc>
          <w:tcPr>
            <w:tcW w:w="3515" w:type="dxa"/>
          </w:tcPr>
          <w:p w14:paraId="4EB43787" w14:textId="4D446C80" w:rsidR="00EB70C9" w:rsidRPr="00945EE1" w:rsidRDefault="00EB70C9" w:rsidP="002C685B">
            <w:pPr>
              <w:spacing w:line="360" w:lineRule="auto"/>
              <w:jc w:val="right"/>
              <w:rPr>
                <w:sz w:val="24"/>
                <w:szCs w:val="24"/>
              </w:rPr>
            </w:pPr>
            <w:r w:rsidRPr="00945EE1">
              <w:rPr>
                <w:sz w:val="24"/>
                <w:szCs w:val="24"/>
              </w:rPr>
              <w:t>Dr. Nori Nakata</w:t>
            </w:r>
          </w:p>
        </w:tc>
      </w:tr>
      <w:tr w:rsidR="00EB70C9" w:rsidRPr="00945EE1" w14:paraId="407C1003" w14:textId="77777777" w:rsidTr="00BF5968">
        <w:tc>
          <w:tcPr>
            <w:tcW w:w="3515" w:type="dxa"/>
          </w:tcPr>
          <w:p w14:paraId="1B1CF1FC" w14:textId="57520299" w:rsidR="00EB70C9" w:rsidRPr="00945EE1" w:rsidRDefault="00EB70C9" w:rsidP="002C685B">
            <w:pPr>
              <w:spacing w:line="360" w:lineRule="auto"/>
              <w:jc w:val="right"/>
              <w:rPr>
                <w:sz w:val="24"/>
                <w:szCs w:val="24"/>
              </w:rPr>
            </w:pPr>
            <w:r w:rsidRPr="00945EE1">
              <w:rPr>
                <w:sz w:val="24"/>
                <w:szCs w:val="24"/>
              </w:rPr>
              <w:t xml:space="preserve">Dr. </w:t>
            </w:r>
            <w:proofErr w:type="spellStart"/>
            <w:r w:rsidRPr="00945EE1">
              <w:rPr>
                <w:sz w:val="24"/>
                <w:szCs w:val="24"/>
              </w:rPr>
              <w:t>Junle</w:t>
            </w:r>
            <w:proofErr w:type="spellEnd"/>
            <w:r w:rsidRPr="00945EE1">
              <w:rPr>
                <w:sz w:val="24"/>
                <w:szCs w:val="24"/>
              </w:rPr>
              <w:t xml:space="preserve"> Jiang</w:t>
            </w:r>
          </w:p>
        </w:tc>
      </w:tr>
      <w:tr w:rsidR="00EB70C9" w:rsidRPr="00945EE1" w14:paraId="637B7C81" w14:textId="77777777" w:rsidTr="00BF5968">
        <w:tc>
          <w:tcPr>
            <w:tcW w:w="3515" w:type="dxa"/>
          </w:tcPr>
          <w:p w14:paraId="2462203D" w14:textId="687BB00B" w:rsidR="00EB70C9" w:rsidRPr="00945EE1" w:rsidRDefault="00EB70C9" w:rsidP="002C685B">
            <w:pPr>
              <w:spacing w:line="360" w:lineRule="auto"/>
              <w:jc w:val="right"/>
              <w:rPr>
                <w:sz w:val="24"/>
                <w:szCs w:val="24"/>
              </w:rPr>
            </w:pPr>
            <w:r w:rsidRPr="00945EE1">
              <w:rPr>
                <w:sz w:val="24"/>
                <w:szCs w:val="24"/>
              </w:rPr>
              <w:t>Dr. Brett Carpenter</w:t>
            </w:r>
          </w:p>
        </w:tc>
      </w:tr>
      <w:tr w:rsidR="00EB70C9" w:rsidRPr="00945EE1" w14:paraId="41FA3EC2" w14:textId="77777777" w:rsidTr="00BF5968">
        <w:tc>
          <w:tcPr>
            <w:tcW w:w="3515" w:type="dxa"/>
          </w:tcPr>
          <w:p w14:paraId="52C746F6" w14:textId="77777777" w:rsidR="00EB70C9" w:rsidRPr="00945EE1" w:rsidRDefault="00EB70C9" w:rsidP="002C685B">
            <w:pPr>
              <w:spacing w:line="360" w:lineRule="auto"/>
              <w:jc w:val="right"/>
              <w:rPr>
                <w:sz w:val="24"/>
                <w:szCs w:val="24"/>
              </w:rPr>
            </w:pPr>
            <w:r w:rsidRPr="00945EE1">
              <w:rPr>
                <w:sz w:val="24"/>
                <w:szCs w:val="24"/>
              </w:rPr>
              <w:t xml:space="preserve">Dr. </w:t>
            </w:r>
            <w:proofErr w:type="spellStart"/>
            <w:r w:rsidRPr="00945EE1">
              <w:rPr>
                <w:sz w:val="24"/>
                <w:szCs w:val="24"/>
              </w:rPr>
              <w:t>Xingru</w:t>
            </w:r>
            <w:proofErr w:type="spellEnd"/>
            <w:r w:rsidRPr="00945EE1">
              <w:rPr>
                <w:sz w:val="24"/>
                <w:szCs w:val="24"/>
              </w:rPr>
              <w:t xml:space="preserve"> Wu</w:t>
            </w:r>
          </w:p>
        </w:tc>
      </w:tr>
    </w:tbl>
    <w:p w14:paraId="4DCE55C2" w14:textId="77777777" w:rsidR="003D02A9" w:rsidRDefault="003D02A9" w:rsidP="004E04DF">
      <w:pPr>
        <w:jc w:val="center"/>
        <w:rPr>
          <w:sz w:val="24"/>
          <w:szCs w:val="24"/>
        </w:rPr>
        <w:sectPr w:rsidR="003D02A9" w:rsidSect="00F45D8F">
          <w:pgSz w:w="12240" w:h="15840"/>
          <w:pgMar w:top="1440" w:right="1440" w:bottom="1440" w:left="1440" w:header="720" w:footer="720" w:gutter="0"/>
          <w:pgNumType w:fmt="lowerRoman"/>
          <w:cols w:space="720"/>
          <w:titlePg/>
          <w:docGrid w:linePitch="360"/>
        </w:sectPr>
      </w:pPr>
    </w:p>
    <w:p w14:paraId="7FEFE4AE" w14:textId="77777777" w:rsidR="004E04DF" w:rsidRPr="00945EE1" w:rsidRDefault="004E04DF" w:rsidP="004E04DF">
      <w:pPr>
        <w:jc w:val="center"/>
        <w:rPr>
          <w:sz w:val="24"/>
          <w:szCs w:val="24"/>
        </w:rPr>
      </w:pPr>
    </w:p>
    <w:p w14:paraId="3124ECBC" w14:textId="77777777" w:rsidR="004E04DF" w:rsidRPr="00945EE1" w:rsidRDefault="004E04DF" w:rsidP="004E04DF">
      <w:pPr>
        <w:jc w:val="center"/>
        <w:rPr>
          <w:sz w:val="24"/>
          <w:szCs w:val="24"/>
        </w:rPr>
      </w:pPr>
    </w:p>
    <w:p w14:paraId="709AB625" w14:textId="77777777" w:rsidR="004E04DF" w:rsidRDefault="004E04DF" w:rsidP="004E04DF">
      <w:pPr>
        <w:jc w:val="center"/>
        <w:rPr>
          <w:sz w:val="24"/>
          <w:szCs w:val="24"/>
        </w:rPr>
      </w:pPr>
    </w:p>
    <w:p w14:paraId="7A4A9F13" w14:textId="77777777" w:rsidR="004E04DF" w:rsidRPr="00945EE1" w:rsidRDefault="004E04DF" w:rsidP="004E04DF">
      <w:pPr>
        <w:rPr>
          <w:sz w:val="24"/>
          <w:szCs w:val="24"/>
        </w:rPr>
      </w:pPr>
    </w:p>
    <w:p w14:paraId="1BC5A300" w14:textId="77777777" w:rsidR="004E04DF" w:rsidRDefault="004E04DF" w:rsidP="004E04DF">
      <w:pPr>
        <w:jc w:val="center"/>
        <w:rPr>
          <w:sz w:val="24"/>
          <w:szCs w:val="24"/>
        </w:rPr>
      </w:pPr>
    </w:p>
    <w:p w14:paraId="00A67D63" w14:textId="77777777" w:rsidR="004E04DF" w:rsidRDefault="004E04DF" w:rsidP="004E04DF">
      <w:pPr>
        <w:jc w:val="center"/>
        <w:rPr>
          <w:sz w:val="24"/>
          <w:szCs w:val="24"/>
        </w:rPr>
      </w:pPr>
    </w:p>
    <w:p w14:paraId="37F7876F" w14:textId="77777777" w:rsidR="004E04DF" w:rsidRDefault="004E04DF" w:rsidP="004E04DF">
      <w:pPr>
        <w:jc w:val="center"/>
        <w:rPr>
          <w:sz w:val="24"/>
          <w:szCs w:val="24"/>
        </w:rPr>
      </w:pPr>
    </w:p>
    <w:p w14:paraId="3EFCEEFB" w14:textId="77777777" w:rsidR="004E04DF" w:rsidRDefault="004E04DF" w:rsidP="004E04DF">
      <w:pPr>
        <w:jc w:val="center"/>
        <w:rPr>
          <w:sz w:val="24"/>
          <w:szCs w:val="24"/>
        </w:rPr>
      </w:pPr>
    </w:p>
    <w:p w14:paraId="3A20AA75" w14:textId="77777777" w:rsidR="004E04DF" w:rsidRDefault="004E04DF" w:rsidP="004E04DF">
      <w:pPr>
        <w:jc w:val="center"/>
        <w:rPr>
          <w:sz w:val="24"/>
          <w:szCs w:val="24"/>
        </w:rPr>
      </w:pPr>
    </w:p>
    <w:p w14:paraId="10528493" w14:textId="77777777" w:rsidR="004E04DF" w:rsidRDefault="004E04DF" w:rsidP="004E04DF">
      <w:pPr>
        <w:jc w:val="center"/>
        <w:rPr>
          <w:sz w:val="24"/>
          <w:szCs w:val="24"/>
        </w:rPr>
      </w:pPr>
    </w:p>
    <w:p w14:paraId="558C0C15" w14:textId="77777777" w:rsidR="004E04DF" w:rsidRDefault="004E04DF" w:rsidP="004E04DF">
      <w:pPr>
        <w:jc w:val="center"/>
        <w:rPr>
          <w:sz w:val="24"/>
          <w:szCs w:val="24"/>
        </w:rPr>
      </w:pPr>
    </w:p>
    <w:p w14:paraId="5690BA1F" w14:textId="77777777" w:rsidR="004E04DF" w:rsidRDefault="004E04DF" w:rsidP="004E04DF">
      <w:pPr>
        <w:jc w:val="center"/>
        <w:rPr>
          <w:sz w:val="24"/>
          <w:szCs w:val="24"/>
        </w:rPr>
      </w:pPr>
    </w:p>
    <w:p w14:paraId="23DD3A38" w14:textId="77777777" w:rsidR="004E04DF" w:rsidRDefault="004E04DF" w:rsidP="004E04DF">
      <w:pPr>
        <w:jc w:val="center"/>
        <w:rPr>
          <w:sz w:val="24"/>
          <w:szCs w:val="24"/>
        </w:rPr>
      </w:pPr>
    </w:p>
    <w:p w14:paraId="56D262CE" w14:textId="77777777" w:rsidR="004E04DF" w:rsidRDefault="004E04DF" w:rsidP="004E04DF">
      <w:pPr>
        <w:jc w:val="center"/>
        <w:rPr>
          <w:sz w:val="24"/>
          <w:szCs w:val="24"/>
        </w:rPr>
      </w:pPr>
    </w:p>
    <w:p w14:paraId="12408FC4" w14:textId="77777777" w:rsidR="004E04DF" w:rsidRDefault="004E04DF" w:rsidP="004E04DF">
      <w:pPr>
        <w:jc w:val="center"/>
        <w:rPr>
          <w:sz w:val="24"/>
          <w:szCs w:val="24"/>
        </w:rPr>
      </w:pPr>
    </w:p>
    <w:p w14:paraId="6764759F" w14:textId="77777777" w:rsidR="004E04DF" w:rsidRDefault="004E04DF" w:rsidP="004E04DF">
      <w:pPr>
        <w:jc w:val="center"/>
        <w:rPr>
          <w:sz w:val="24"/>
          <w:szCs w:val="24"/>
        </w:rPr>
      </w:pPr>
    </w:p>
    <w:p w14:paraId="10D7E868" w14:textId="77777777" w:rsidR="004E04DF" w:rsidRDefault="004E04DF" w:rsidP="004E04DF">
      <w:pPr>
        <w:jc w:val="center"/>
        <w:rPr>
          <w:sz w:val="24"/>
          <w:szCs w:val="24"/>
        </w:rPr>
      </w:pPr>
    </w:p>
    <w:p w14:paraId="619584E7" w14:textId="77777777" w:rsidR="004E04DF" w:rsidRDefault="004E04DF" w:rsidP="004E04DF">
      <w:pPr>
        <w:jc w:val="center"/>
        <w:rPr>
          <w:sz w:val="24"/>
          <w:szCs w:val="24"/>
        </w:rPr>
      </w:pPr>
    </w:p>
    <w:p w14:paraId="0588B088" w14:textId="77777777" w:rsidR="004E04DF" w:rsidRDefault="004E04DF" w:rsidP="004E04DF">
      <w:pPr>
        <w:jc w:val="center"/>
        <w:rPr>
          <w:sz w:val="24"/>
          <w:szCs w:val="24"/>
        </w:rPr>
      </w:pPr>
    </w:p>
    <w:p w14:paraId="47F5FF99" w14:textId="77777777" w:rsidR="00FB1A85" w:rsidRDefault="00FB1A85" w:rsidP="004E04DF">
      <w:pPr>
        <w:jc w:val="center"/>
        <w:rPr>
          <w:sz w:val="24"/>
          <w:szCs w:val="24"/>
        </w:rPr>
      </w:pPr>
    </w:p>
    <w:p w14:paraId="25C67AA2" w14:textId="77777777" w:rsidR="00FB1A85" w:rsidRDefault="00FB1A85" w:rsidP="004E04DF">
      <w:pPr>
        <w:jc w:val="center"/>
        <w:rPr>
          <w:sz w:val="24"/>
          <w:szCs w:val="24"/>
        </w:rPr>
      </w:pPr>
    </w:p>
    <w:p w14:paraId="2C32BCB0" w14:textId="77777777" w:rsidR="00FB1A85" w:rsidRDefault="00FB1A85" w:rsidP="004E04DF">
      <w:pPr>
        <w:jc w:val="center"/>
        <w:rPr>
          <w:sz w:val="24"/>
          <w:szCs w:val="24"/>
        </w:rPr>
      </w:pPr>
    </w:p>
    <w:p w14:paraId="64F2A70D" w14:textId="77777777" w:rsidR="002C685B" w:rsidRDefault="002C685B" w:rsidP="00742541">
      <w:pPr>
        <w:rPr>
          <w:sz w:val="24"/>
          <w:szCs w:val="24"/>
        </w:rPr>
      </w:pPr>
    </w:p>
    <w:p w14:paraId="55CB1CD7" w14:textId="77777777" w:rsidR="002C685B" w:rsidRDefault="002C685B" w:rsidP="004E04DF">
      <w:pPr>
        <w:jc w:val="center"/>
        <w:rPr>
          <w:sz w:val="24"/>
          <w:szCs w:val="24"/>
        </w:rPr>
      </w:pPr>
    </w:p>
    <w:p w14:paraId="32AC30C3" w14:textId="19936E2A" w:rsidR="004E04DF" w:rsidRPr="00945EE1" w:rsidRDefault="004E04DF" w:rsidP="004E04DF">
      <w:pPr>
        <w:jc w:val="center"/>
        <w:rPr>
          <w:sz w:val="24"/>
          <w:szCs w:val="24"/>
        </w:rPr>
      </w:pPr>
      <w:r w:rsidRPr="00945EE1">
        <w:rPr>
          <w:sz w:val="24"/>
          <w:szCs w:val="24"/>
        </w:rPr>
        <w:t xml:space="preserve">© Copyright by </w:t>
      </w:r>
      <w:r w:rsidR="00BF5968">
        <w:rPr>
          <w:sz w:val="24"/>
          <w:szCs w:val="24"/>
        </w:rPr>
        <w:t>RAYMOND NG</w:t>
      </w:r>
      <w:r w:rsidRPr="00945EE1">
        <w:rPr>
          <w:sz w:val="24"/>
          <w:szCs w:val="24"/>
        </w:rPr>
        <w:t xml:space="preserve"> 2023</w:t>
      </w:r>
    </w:p>
    <w:p w14:paraId="12D78800" w14:textId="5EF178D2" w:rsidR="004E04DF" w:rsidRDefault="004E04DF" w:rsidP="004E04DF">
      <w:pPr>
        <w:jc w:val="center"/>
        <w:rPr>
          <w:sz w:val="24"/>
          <w:szCs w:val="24"/>
        </w:rPr>
      </w:pPr>
      <w:r w:rsidRPr="00945EE1">
        <w:rPr>
          <w:sz w:val="24"/>
          <w:szCs w:val="24"/>
        </w:rPr>
        <w:t xml:space="preserve">All </w:t>
      </w:r>
      <w:r w:rsidR="007C4943">
        <w:rPr>
          <w:sz w:val="24"/>
          <w:szCs w:val="24"/>
        </w:rPr>
        <w:t>R</w:t>
      </w:r>
      <w:r w:rsidRPr="00945EE1">
        <w:rPr>
          <w:sz w:val="24"/>
          <w:szCs w:val="24"/>
        </w:rPr>
        <w:t xml:space="preserve">ights </w:t>
      </w:r>
      <w:r w:rsidR="007C4943">
        <w:rPr>
          <w:sz w:val="24"/>
          <w:szCs w:val="24"/>
        </w:rPr>
        <w:t>R</w:t>
      </w:r>
      <w:r w:rsidRPr="00945EE1">
        <w:rPr>
          <w:sz w:val="24"/>
          <w:szCs w:val="24"/>
        </w:rPr>
        <w:t>eserved.</w:t>
      </w:r>
    </w:p>
    <w:p w14:paraId="4670416F" w14:textId="77777777" w:rsidR="003E27C1" w:rsidRDefault="003E27C1" w:rsidP="004E04DF">
      <w:pPr>
        <w:jc w:val="center"/>
        <w:rPr>
          <w:sz w:val="24"/>
          <w:szCs w:val="24"/>
        </w:rPr>
      </w:pPr>
    </w:p>
    <w:p w14:paraId="7784021C" w14:textId="77777777" w:rsidR="003E27C1" w:rsidRDefault="003E27C1" w:rsidP="00C7369F">
      <w:pPr>
        <w:jc w:val="center"/>
        <w:rPr>
          <w:sz w:val="24"/>
          <w:szCs w:val="24"/>
        </w:rPr>
        <w:sectPr w:rsidR="003E27C1" w:rsidSect="00F45D8F">
          <w:pgSz w:w="12240" w:h="15840"/>
          <w:pgMar w:top="1440" w:right="1440" w:bottom="1440" w:left="1440" w:header="720" w:footer="720" w:gutter="0"/>
          <w:pgNumType w:fmt="lowerRoman"/>
          <w:cols w:space="720"/>
          <w:titlePg/>
          <w:docGrid w:linePitch="360"/>
        </w:sectPr>
      </w:pPr>
    </w:p>
    <w:p w14:paraId="28E34684" w14:textId="20C17CE2" w:rsidR="00EB70C9" w:rsidRPr="00945EE1" w:rsidRDefault="00EB70C9" w:rsidP="00C7369F">
      <w:pPr>
        <w:jc w:val="center"/>
        <w:rPr>
          <w:sz w:val="24"/>
          <w:szCs w:val="24"/>
        </w:rPr>
      </w:pPr>
    </w:p>
    <w:p w14:paraId="4B68B248" w14:textId="77777777" w:rsidR="004E04DF" w:rsidRPr="0033093E" w:rsidRDefault="004E04DF" w:rsidP="0069688F">
      <w:pPr>
        <w:jc w:val="center"/>
        <w:rPr>
          <w:b/>
          <w:bCs/>
          <w:sz w:val="24"/>
          <w:szCs w:val="24"/>
        </w:rPr>
      </w:pPr>
      <w:r w:rsidRPr="0033093E">
        <w:rPr>
          <w:b/>
          <w:bCs/>
          <w:sz w:val="24"/>
          <w:szCs w:val="24"/>
        </w:rPr>
        <w:t>Table of Contents</w:t>
      </w:r>
    </w:p>
    <w:p w14:paraId="0A8C5232" w14:textId="77777777" w:rsidR="004E04DF" w:rsidRPr="0033093E" w:rsidRDefault="004E04DF" w:rsidP="0069688F">
      <w:pPr>
        <w:jc w:val="center"/>
        <w:rPr>
          <w:b/>
          <w:bCs/>
          <w:sz w:val="24"/>
          <w:szCs w:val="24"/>
        </w:rPr>
      </w:pPr>
    </w:p>
    <w:tbl>
      <w:tblPr>
        <w:tblStyle w:val="TableGrid"/>
        <w:tblW w:w="0" w:type="auto"/>
        <w:tblLook w:val="04A0" w:firstRow="1" w:lastRow="0" w:firstColumn="1" w:lastColumn="0" w:noHBand="0" w:noVBand="1"/>
      </w:tblPr>
      <w:tblGrid>
        <w:gridCol w:w="809"/>
        <w:gridCol w:w="810"/>
        <w:gridCol w:w="806"/>
        <w:gridCol w:w="720"/>
        <w:gridCol w:w="4950"/>
        <w:gridCol w:w="1255"/>
      </w:tblGrid>
      <w:tr w:rsidR="004E04DF" w:rsidRPr="0033093E" w14:paraId="4AD0B18B" w14:textId="77777777" w:rsidTr="00C32386">
        <w:tc>
          <w:tcPr>
            <w:tcW w:w="8095" w:type="dxa"/>
            <w:gridSpan w:val="5"/>
            <w:tcBorders>
              <w:top w:val="nil"/>
              <w:left w:val="nil"/>
              <w:bottom w:val="nil"/>
              <w:right w:val="nil"/>
            </w:tcBorders>
          </w:tcPr>
          <w:p w14:paraId="4439FA11" w14:textId="77777777" w:rsidR="004E04DF" w:rsidRPr="0033093E" w:rsidRDefault="004E04DF" w:rsidP="002331BC">
            <w:pPr>
              <w:rPr>
                <w:b/>
                <w:bCs/>
                <w:sz w:val="24"/>
                <w:szCs w:val="24"/>
              </w:rPr>
            </w:pPr>
            <w:r w:rsidRPr="0033093E">
              <w:rPr>
                <w:b/>
                <w:bCs/>
                <w:sz w:val="24"/>
                <w:szCs w:val="24"/>
              </w:rPr>
              <w:t>List of Tables</w:t>
            </w:r>
          </w:p>
          <w:p w14:paraId="7F3B36F6" w14:textId="77777777" w:rsidR="004E04DF" w:rsidRPr="0033093E" w:rsidRDefault="004E04DF" w:rsidP="002331BC">
            <w:pPr>
              <w:rPr>
                <w:b/>
                <w:bCs/>
                <w:sz w:val="24"/>
                <w:szCs w:val="24"/>
              </w:rPr>
            </w:pPr>
          </w:p>
        </w:tc>
        <w:tc>
          <w:tcPr>
            <w:tcW w:w="1255" w:type="dxa"/>
            <w:tcBorders>
              <w:top w:val="nil"/>
              <w:left w:val="nil"/>
              <w:bottom w:val="nil"/>
              <w:right w:val="nil"/>
            </w:tcBorders>
          </w:tcPr>
          <w:p w14:paraId="1DB884F0" w14:textId="7A9C94E4" w:rsidR="004E04DF" w:rsidRPr="008F3219" w:rsidRDefault="00EE162A" w:rsidP="008F3219">
            <w:pPr>
              <w:jc w:val="right"/>
              <w:rPr>
                <w:sz w:val="24"/>
                <w:szCs w:val="24"/>
              </w:rPr>
            </w:pPr>
            <w:r w:rsidRPr="008F3219">
              <w:rPr>
                <w:sz w:val="24"/>
                <w:szCs w:val="24"/>
              </w:rPr>
              <w:t>vi</w:t>
            </w:r>
          </w:p>
        </w:tc>
      </w:tr>
      <w:tr w:rsidR="004E04DF" w:rsidRPr="0033093E" w14:paraId="45103E79" w14:textId="77777777" w:rsidTr="00C32386">
        <w:trPr>
          <w:trHeight w:val="450"/>
        </w:trPr>
        <w:tc>
          <w:tcPr>
            <w:tcW w:w="8095" w:type="dxa"/>
            <w:gridSpan w:val="5"/>
            <w:tcBorders>
              <w:top w:val="nil"/>
              <w:left w:val="nil"/>
              <w:bottom w:val="nil"/>
              <w:right w:val="nil"/>
            </w:tcBorders>
          </w:tcPr>
          <w:p w14:paraId="433810D7" w14:textId="77777777" w:rsidR="004E04DF" w:rsidRPr="0033093E" w:rsidRDefault="004E04DF" w:rsidP="002331BC">
            <w:pPr>
              <w:rPr>
                <w:b/>
                <w:bCs/>
                <w:sz w:val="24"/>
                <w:szCs w:val="24"/>
              </w:rPr>
            </w:pPr>
            <w:r w:rsidRPr="0033093E">
              <w:rPr>
                <w:b/>
                <w:bCs/>
                <w:sz w:val="24"/>
                <w:szCs w:val="24"/>
              </w:rPr>
              <w:t>List of Figures</w:t>
            </w:r>
          </w:p>
          <w:p w14:paraId="58EADECC" w14:textId="77777777" w:rsidR="004E04DF" w:rsidRPr="0033093E" w:rsidRDefault="004E04DF" w:rsidP="002331BC">
            <w:pPr>
              <w:rPr>
                <w:b/>
                <w:bCs/>
                <w:sz w:val="24"/>
                <w:szCs w:val="24"/>
              </w:rPr>
            </w:pPr>
          </w:p>
        </w:tc>
        <w:tc>
          <w:tcPr>
            <w:tcW w:w="1255" w:type="dxa"/>
            <w:tcBorders>
              <w:top w:val="nil"/>
              <w:left w:val="nil"/>
              <w:bottom w:val="nil"/>
              <w:right w:val="nil"/>
            </w:tcBorders>
          </w:tcPr>
          <w:p w14:paraId="45721805" w14:textId="4342F49F" w:rsidR="004E04DF" w:rsidRPr="008F3219" w:rsidRDefault="00EE162A" w:rsidP="008F3219">
            <w:pPr>
              <w:jc w:val="right"/>
              <w:rPr>
                <w:sz w:val="24"/>
                <w:szCs w:val="24"/>
              </w:rPr>
            </w:pPr>
            <w:r w:rsidRPr="008F3219">
              <w:rPr>
                <w:sz w:val="24"/>
                <w:szCs w:val="24"/>
              </w:rPr>
              <w:t>vii</w:t>
            </w:r>
          </w:p>
        </w:tc>
      </w:tr>
      <w:tr w:rsidR="004E04DF" w:rsidRPr="0033093E" w14:paraId="3BAA3264" w14:textId="77777777" w:rsidTr="00C32386">
        <w:tc>
          <w:tcPr>
            <w:tcW w:w="8095" w:type="dxa"/>
            <w:gridSpan w:val="5"/>
            <w:tcBorders>
              <w:top w:val="nil"/>
              <w:left w:val="nil"/>
              <w:bottom w:val="nil"/>
              <w:right w:val="nil"/>
            </w:tcBorders>
          </w:tcPr>
          <w:p w14:paraId="1B398CD0" w14:textId="77777777" w:rsidR="004E04DF" w:rsidRPr="0033093E" w:rsidRDefault="004E04DF" w:rsidP="002331BC">
            <w:pPr>
              <w:rPr>
                <w:b/>
                <w:bCs/>
                <w:sz w:val="24"/>
                <w:szCs w:val="24"/>
              </w:rPr>
            </w:pPr>
            <w:r w:rsidRPr="0033093E">
              <w:rPr>
                <w:b/>
                <w:bCs/>
                <w:sz w:val="24"/>
                <w:szCs w:val="24"/>
              </w:rPr>
              <w:t>Acknowledgements</w:t>
            </w:r>
          </w:p>
          <w:p w14:paraId="09DBCDC6" w14:textId="77777777" w:rsidR="004E04DF" w:rsidRPr="0033093E" w:rsidRDefault="004E04DF" w:rsidP="002331BC">
            <w:pPr>
              <w:rPr>
                <w:b/>
                <w:bCs/>
                <w:sz w:val="24"/>
                <w:szCs w:val="24"/>
              </w:rPr>
            </w:pPr>
          </w:p>
        </w:tc>
        <w:tc>
          <w:tcPr>
            <w:tcW w:w="1255" w:type="dxa"/>
            <w:tcBorders>
              <w:top w:val="nil"/>
              <w:left w:val="nil"/>
              <w:bottom w:val="nil"/>
              <w:right w:val="nil"/>
            </w:tcBorders>
          </w:tcPr>
          <w:p w14:paraId="5071DFF9" w14:textId="3430633A" w:rsidR="004E04DF" w:rsidRPr="008F3219" w:rsidRDefault="00EE162A" w:rsidP="008F3219">
            <w:pPr>
              <w:jc w:val="right"/>
              <w:rPr>
                <w:sz w:val="24"/>
                <w:szCs w:val="24"/>
              </w:rPr>
            </w:pPr>
            <w:r w:rsidRPr="008F3219">
              <w:rPr>
                <w:sz w:val="24"/>
                <w:szCs w:val="24"/>
              </w:rPr>
              <w:t>xi</w:t>
            </w:r>
          </w:p>
        </w:tc>
      </w:tr>
      <w:tr w:rsidR="004E04DF" w:rsidRPr="0033093E" w14:paraId="00B612D7" w14:textId="77777777" w:rsidTr="00C32386">
        <w:tc>
          <w:tcPr>
            <w:tcW w:w="8095" w:type="dxa"/>
            <w:gridSpan w:val="5"/>
            <w:tcBorders>
              <w:top w:val="nil"/>
              <w:left w:val="nil"/>
              <w:bottom w:val="nil"/>
              <w:right w:val="nil"/>
            </w:tcBorders>
          </w:tcPr>
          <w:p w14:paraId="0B5C057E" w14:textId="77777777" w:rsidR="004E04DF" w:rsidRPr="0033093E" w:rsidRDefault="004E04DF" w:rsidP="002331BC">
            <w:pPr>
              <w:rPr>
                <w:b/>
                <w:bCs/>
                <w:sz w:val="24"/>
                <w:szCs w:val="24"/>
              </w:rPr>
            </w:pPr>
            <w:r w:rsidRPr="0033093E">
              <w:rPr>
                <w:b/>
                <w:bCs/>
                <w:sz w:val="24"/>
                <w:szCs w:val="24"/>
              </w:rPr>
              <w:t>Abstract of the dissertation</w:t>
            </w:r>
          </w:p>
          <w:p w14:paraId="644B5A1C" w14:textId="77777777" w:rsidR="004E04DF" w:rsidRPr="0033093E" w:rsidRDefault="004E04DF" w:rsidP="002331BC">
            <w:pPr>
              <w:rPr>
                <w:b/>
                <w:bCs/>
                <w:sz w:val="24"/>
                <w:szCs w:val="24"/>
              </w:rPr>
            </w:pPr>
          </w:p>
        </w:tc>
        <w:tc>
          <w:tcPr>
            <w:tcW w:w="1255" w:type="dxa"/>
            <w:tcBorders>
              <w:top w:val="nil"/>
              <w:left w:val="nil"/>
              <w:bottom w:val="nil"/>
              <w:right w:val="nil"/>
            </w:tcBorders>
          </w:tcPr>
          <w:p w14:paraId="39CCCBE0" w14:textId="35C44B9C" w:rsidR="004E04DF" w:rsidRPr="008F3219" w:rsidRDefault="00EE162A" w:rsidP="008F3219">
            <w:pPr>
              <w:jc w:val="right"/>
              <w:rPr>
                <w:sz w:val="24"/>
                <w:szCs w:val="24"/>
              </w:rPr>
            </w:pPr>
            <w:r w:rsidRPr="008F3219">
              <w:rPr>
                <w:sz w:val="24"/>
                <w:szCs w:val="24"/>
              </w:rPr>
              <w:t>xiv</w:t>
            </w:r>
          </w:p>
        </w:tc>
      </w:tr>
      <w:tr w:rsidR="004E04DF" w:rsidRPr="0033093E" w14:paraId="781A37AF" w14:textId="77777777" w:rsidTr="00C32386">
        <w:trPr>
          <w:gridBefore w:val="1"/>
          <w:wBefore w:w="809" w:type="dxa"/>
        </w:trPr>
        <w:tc>
          <w:tcPr>
            <w:tcW w:w="810" w:type="dxa"/>
            <w:tcBorders>
              <w:top w:val="nil"/>
              <w:left w:val="nil"/>
              <w:bottom w:val="nil"/>
              <w:right w:val="nil"/>
            </w:tcBorders>
          </w:tcPr>
          <w:p w14:paraId="63FD7A00" w14:textId="77777777" w:rsidR="004E04DF" w:rsidRPr="0033093E" w:rsidRDefault="004E04DF" w:rsidP="00182DFB">
            <w:pPr>
              <w:rPr>
                <w:b/>
                <w:bCs/>
                <w:sz w:val="24"/>
                <w:szCs w:val="24"/>
              </w:rPr>
            </w:pPr>
            <w:r w:rsidRPr="0033093E">
              <w:rPr>
                <w:b/>
                <w:bCs/>
                <w:sz w:val="24"/>
                <w:szCs w:val="24"/>
              </w:rPr>
              <w:t>1</w:t>
            </w:r>
          </w:p>
        </w:tc>
        <w:tc>
          <w:tcPr>
            <w:tcW w:w="6476" w:type="dxa"/>
            <w:gridSpan w:val="3"/>
            <w:tcBorders>
              <w:top w:val="nil"/>
              <w:left w:val="nil"/>
              <w:bottom w:val="nil"/>
              <w:right w:val="nil"/>
            </w:tcBorders>
          </w:tcPr>
          <w:p w14:paraId="0E3E3F2D" w14:textId="77777777" w:rsidR="004E04DF" w:rsidRPr="0033093E" w:rsidRDefault="004E04DF" w:rsidP="00182DFB">
            <w:pPr>
              <w:rPr>
                <w:b/>
                <w:bCs/>
                <w:sz w:val="24"/>
                <w:szCs w:val="24"/>
              </w:rPr>
            </w:pPr>
            <w:r w:rsidRPr="0033093E">
              <w:rPr>
                <w:b/>
                <w:bCs/>
                <w:sz w:val="24"/>
                <w:szCs w:val="24"/>
              </w:rPr>
              <w:t>Introduction</w:t>
            </w:r>
          </w:p>
        </w:tc>
        <w:tc>
          <w:tcPr>
            <w:tcW w:w="1255" w:type="dxa"/>
            <w:tcBorders>
              <w:top w:val="nil"/>
              <w:left w:val="nil"/>
              <w:bottom w:val="nil"/>
              <w:right w:val="nil"/>
            </w:tcBorders>
          </w:tcPr>
          <w:p w14:paraId="050A52E1" w14:textId="0ABA9CB6" w:rsidR="004E04DF" w:rsidRPr="008F3219" w:rsidRDefault="00CC33E5" w:rsidP="008F3219">
            <w:pPr>
              <w:jc w:val="right"/>
              <w:rPr>
                <w:sz w:val="24"/>
                <w:szCs w:val="24"/>
              </w:rPr>
            </w:pPr>
            <w:r w:rsidRPr="008F3219">
              <w:rPr>
                <w:sz w:val="24"/>
                <w:szCs w:val="24"/>
              </w:rPr>
              <w:t>1</w:t>
            </w:r>
          </w:p>
        </w:tc>
      </w:tr>
      <w:tr w:rsidR="004E04DF" w:rsidRPr="0033093E" w14:paraId="47964CC7" w14:textId="77777777" w:rsidTr="00C32386">
        <w:trPr>
          <w:gridBefore w:val="1"/>
          <w:wBefore w:w="809" w:type="dxa"/>
        </w:trPr>
        <w:tc>
          <w:tcPr>
            <w:tcW w:w="810" w:type="dxa"/>
            <w:tcBorders>
              <w:top w:val="nil"/>
              <w:left w:val="nil"/>
              <w:bottom w:val="nil"/>
              <w:right w:val="nil"/>
            </w:tcBorders>
          </w:tcPr>
          <w:p w14:paraId="20D72C63" w14:textId="77777777" w:rsidR="004E04DF" w:rsidRPr="0033093E" w:rsidRDefault="004E04DF" w:rsidP="00182DFB">
            <w:pPr>
              <w:rPr>
                <w:b/>
                <w:bCs/>
                <w:sz w:val="24"/>
                <w:szCs w:val="24"/>
              </w:rPr>
            </w:pPr>
          </w:p>
        </w:tc>
        <w:tc>
          <w:tcPr>
            <w:tcW w:w="806" w:type="dxa"/>
            <w:tcBorders>
              <w:top w:val="nil"/>
              <w:left w:val="nil"/>
              <w:bottom w:val="nil"/>
              <w:right w:val="nil"/>
            </w:tcBorders>
          </w:tcPr>
          <w:p w14:paraId="79CE9685"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0571743E" w14:textId="77777777" w:rsidR="004E04DF" w:rsidRPr="0033093E" w:rsidRDefault="004E04DF" w:rsidP="00182DFB">
            <w:pPr>
              <w:rPr>
                <w:sz w:val="24"/>
                <w:szCs w:val="24"/>
              </w:rPr>
            </w:pPr>
            <w:r w:rsidRPr="0033093E">
              <w:rPr>
                <w:sz w:val="24"/>
                <w:szCs w:val="24"/>
              </w:rPr>
              <w:t>1.1 Introduction</w:t>
            </w:r>
          </w:p>
        </w:tc>
        <w:tc>
          <w:tcPr>
            <w:tcW w:w="1255" w:type="dxa"/>
            <w:tcBorders>
              <w:top w:val="nil"/>
              <w:left w:val="nil"/>
              <w:bottom w:val="nil"/>
              <w:right w:val="nil"/>
            </w:tcBorders>
          </w:tcPr>
          <w:p w14:paraId="6C850ED1" w14:textId="341A9F60" w:rsidR="004E04DF" w:rsidRPr="008F3219" w:rsidRDefault="00CC33E5" w:rsidP="008F3219">
            <w:pPr>
              <w:jc w:val="right"/>
              <w:rPr>
                <w:sz w:val="24"/>
                <w:szCs w:val="24"/>
              </w:rPr>
            </w:pPr>
            <w:r w:rsidRPr="008F3219">
              <w:rPr>
                <w:sz w:val="24"/>
                <w:szCs w:val="24"/>
              </w:rPr>
              <w:t>2</w:t>
            </w:r>
          </w:p>
        </w:tc>
      </w:tr>
      <w:tr w:rsidR="004E04DF" w:rsidRPr="0033093E" w14:paraId="6F81B539" w14:textId="77777777" w:rsidTr="00C32386">
        <w:trPr>
          <w:gridBefore w:val="1"/>
          <w:wBefore w:w="809" w:type="dxa"/>
        </w:trPr>
        <w:tc>
          <w:tcPr>
            <w:tcW w:w="810" w:type="dxa"/>
            <w:tcBorders>
              <w:top w:val="nil"/>
              <w:left w:val="nil"/>
              <w:bottom w:val="nil"/>
              <w:right w:val="nil"/>
            </w:tcBorders>
          </w:tcPr>
          <w:p w14:paraId="6C0C5B03" w14:textId="77777777" w:rsidR="004E04DF" w:rsidRPr="0033093E" w:rsidRDefault="004E04DF" w:rsidP="00182DFB">
            <w:pPr>
              <w:rPr>
                <w:b/>
                <w:bCs/>
                <w:sz w:val="24"/>
                <w:szCs w:val="24"/>
              </w:rPr>
            </w:pPr>
          </w:p>
        </w:tc>
        <w:tc>
          <w:tcPr>
            <w:tcW w:w="806" w:type="dxa"/>
            <w:tcBorders>
              <w:top w:val="nil"/>
              <w:left w:val="nil"/>
              <w:bottom w:val="nil"/>
              <w:right w:val="nil"/>
            </w:tcBorders>
          </w:tcPr>
          <w:p w14:paraId="310C716F"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4568862B" w14:textId="77777777" w:rsidR="004E04DF" w:rsidRPr="0033093E" w:rsidRDefault="004E04DF" w:rsidP="00182DFB">
            <w:pPr>
              <w:rPr>
                <w:sz w:val="24"/>
                <w:szCs w:val="24"/>
              </w:rPr>
            </w:pPr>
            <w:r w:rsidRPr="0033093E">
              <w:rPr>
                <w:sz w:val="24"/>
                <w:szCs w:val="24"/>
              </w:rPr>
              <w:t>1.2 Overview of the dissertation</w:t>
            </w:r>
          </w:p>
        </w:tc>
        <w:tc>
          <w:tcPr>
            <w:tcW w:w="1255" w:type="dxa"/>
            <w:tcBorders>
              <w:top w:val="nil"/>
              <w:left w:val="nil"/>
              <w:bottom w:val="nil"/>
              <w:right w:val="nil"/>
            </w:tcBorders>
          </w:tcPr>
          <w:p w14:paraId="55EFE71A" w14:textId="7C60F49F" w:rsidR="004E04DF" w:rsidRPr="008F3219" w:rsidRDefault="00CC33E5" w:rsidP="008F3219">
            <w:pPr>
              <w:jc w:val="right"/>
              <w:rPr>
                <w:sz w:val="24"/>
                <w:szCs w:val="24"/>
              </w:rPr>
            </w:pPr>
            <w:r w:rsidRPr="008F3219">
              <w:rPr>
                <w:sz w:val="24"/>
                <w:szCs w:val="24"/>
              </w:rPr>
              <w:t>3</w:t>
            </w:r>
          </w:p>
        </w:tc>
      </w:tr>
      <w:tr w:rsidR="004E04DF" w:rsidRPr="0033093E" w14:paraId="626A1EBE" w14:textId="77777777" w:rsidTr="00C32386">
        <w:trPr>
          <w:gridBefore w:val="1"/>
          <w:wBefore w:w="809" w:type="dxa"/>
        </w:trPr>
        <w:tc>
          <w:tcPr>
            <w:tcW w:w="810" w:type="dxa"/>
            <w:tcBorders>
              <w:top w:val="nil"/>
              <w:left w:val="nil"/>
              <w:bottom w:val="nil"/>
              <w:right w:val="nil"/>
            </w:tcBorders>
          </w:tcPr>
          <w:p w14:paraId="5E12314F" w14:textId="77777777" w:rsidR="004E04DF" w:rsidRPr="0033093E" w:rsidRDefault="004E04DF" w:rsidP="00182DFB">
            <w:pPr>
              <w:rPr>
                <w:b/>
                <w:bCs/>
                <w:sz w:val="24"/>
                <w:szCs w:val="24"/>
              </w:rPr>
            </w:pPr>
          </w:p>
        </w:tc>
        <w:tc>
          <w:tcPr>
            <w:tcW w:w="806" w:type="dxa"/>
            <w:tcBorders>
              <w:top w:val="nil"/>
              <w:left w:val="nil"/>
              <w:bottom w:val="nil"/>
              <w:right w:val="nil"/>
            </w:tcBorders>
          </w:tcPr>
          <w:p w14:paraId="7AFA8939"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786F54A0" w14:textId="77777777" w:rsidR="004E04DF" w:rsidRPr="0033093E" w:rsidRDefault="004E04DF" w:rsidP="00182DFB">
            <w:pPr>
              <w:rPr>
                <w:sz w:val="24"/>
                <w:szCs w:val="24"/>
              </w:rPr>
            </w:pPr>
            <w:r w:rsidRPr="0033093E">
              <w:rPr>
                <w:sz w:val="24"/>
                <w:szCs w:val="24"/>
              </w:rPr>
              <w:t>1.3 Structure of the dissertation</w:t>
            </w:r>
          </w:p>
        </w:tc>
        <w:tc>
          <w:tcPr>
            <w:tcW w:w="1255" w:type="dxa"/>
            <w:tcBorders>
              <w:top w:val="nil"/>
              <w:left w:val="nil"/>
              <w:bottom w:val="nil"/>
              <w:right w:val="nil"/>
            </w:tcBorders>
          </w:tcPr>
          <w:p w14:paraId="620E8751" w14:textId="2E95744B" w:rsidR="004E04DF" w:rsidRPr="008F3219" w:rsidRDefault="00CC33E5" w:rsidP="008F3219">
            <w:pPr>
              <w:jc w:val="right"/>
              <w:rPr>
                <w:sz w:val="24"/>
                <w:szCs w:val="24"/>
              </w:rPr>
            </w:pPr>
            <w:r w:rsidRPr="008F3219">
              <w:rPr>
                <w:sz w:val="24"/>
                <w:szCs w:val="24"/>
              </w:rPr>
              <w:t>4</w:t>
            </w:r>
          </w:p>
        </w:tc>
      </w:tr>
      <w:tr w:rsidR="004E04DF" w:rsidRPr="0033093E" w14:paraId="7134CCE9" w14:textId="77777777" w:rsidTr="00C32386">
        <w:trPr>
          <w:gridBefore w:val="1"/>
          <w:wBefore w:w="809" w:type="dxa"/>
        </w:trPr>
        <w:tc>
          <w:tcPr>
            <w:tcW w:w="810" w:type="dxa"/>
            <w:tcBorders>
              <w:top w:val="nil"/>
              <w:left w:val="nil"/>
              <w:bottom w:val="nil"/>
              <w:right w:val="nil"/>
            </w:tcBorders>
          </w:tcPr>
          <w:p w14:paraId="1C2A4394" w14:textId="77777777" w:rsidR="004E04DF" w:rsidRPr="0033093E" w:rsidRDefault="004E04DF" w:rsidP="00182DFB">
            <w:pPr>
              <w:rPr>
                <w:b/>
                <w:bCs/>
                <w:sz w:val="24"/>
                <w:szCs w:val="24"/>
              </w:rPr>
            </w:pPr>
          </w:p>
        </w:tc>
        <w:tc>
          <w:tcPr>
            <w:tcW w:w="6476" w:type="dxa"/>
            <w:gridSpan w:val="3"/>
            <w:tcBorders>
              <w:top w:val="nil"/>
              <w:left w:val="nil"/>
              <w:bottom w:val="nil"/>
              <w:right w:val="nil"/>
            </w:tcBorders>
          </w:tcPr>
          <w:p w14:paraId="1C6F5577" w14:textId="77777777" w:rsidR="004E04DF" w:rsidRPr="0033093E" w:rsidRDefault="004E04DF" w:rsidP="00182DFB">
            <w:pPr>
              <w:rPr>
                <w:b/>
                <w:bCs/>
                <w:sz w:val="24"/>
                <w:szCs w:val="24"/>
              </w:rPr>
            </w:pPr>
          </w:p>
        </w:tc>
        <w:tc>
          <w:tcPr>
            <w:tcW w:w="1255" w:type="dxa"/>
            <w:tcBorders>
              <w:top w:val="nil"/>
              <w:left w:val="nil"/>
              <w:bottom w:val="nil"/>
              <w:right w:val="nil"/>
            </w:tcBorders>
          </w:tcPr>
          <w:p w14:paraId="762E81C1" w14:textId="77777777" w:rsidR="004E04DF" w:rsidRPr="008F3219" w:rsidRDefault="004E04DF" w:rsidP="008F3219">
            <w:pPr>
              <w:jc w:val="right"/>
              <w:rPr>
                <w:sz w:val="24"/>
                <w:szCs w:val="24"/>
              </w:rPr>
            </w:pPr>
          </w:p>
        </w:tc>
      </w:tr>
      <w:tr w:rsidR="004E04DF" w:rsidRPr="0033093E" w14:paraId="63C75CA1" w14:textId="77777777" w:rsidTr="00C32386">
        <w:trPr>
          <w:gridBefore w:val="1"/>
          <w:wBefore w:w="809" w:type="dxa"/>
        </w:trPr>
        <w:tc>
          <w:tcPr>
            <w:tcW w:w="810" w:type="dxa"/>
            <w:tcBorders>
              <w:top w:val="nil"/>
              <w:left w:val="nil"/>
              <w:bottom w:val="nil"/>
              <w:right w:val="nil"/>
            </w:tcBorders>
          </w:tcPr>
          <w:p w14:paraId="11A5F3F8" w14:textId="77777777" w:rsidR="004E04DF" w:rsidRPr="0033093E" w:rsidRDefault="004E04DF" w:rsidP="00182DFB">
            <w:pPr>
              <w:rPr>
                <w:b/>
                <w:bCs/>
                <w:sz w:val="24"/>
                <w:szCs w:val="24"/>
              </w:rPr>
            </w:pPr>
            <w:r w:rsidRPr="0033093E">
              <w:rPr>
                <w:b/>
                <w:bCs/>
                <w:sz w:val="24"/>
                <w:szCs w:val="24"/>
              </w:rPr>
              <w:t>2</w:t>
            </w:r>
          </w:p>
        </w:tc>
        <w:tc>
          <w:tcPr>
            <w:tcW w:w="6476" w:type="dxa"/>
            <w:gridSpan w:val="3"/>
            <w:tcBorders>
              <w:top w:val="nil"/>
              <w:left w:val="nil"/>
              <w:bottom w:val="nil"/>
              <w:right w:val="nil"/>
            </w:tcBorders>
          </w:tcPr>
          <w:p w14:paraId="268D252C" w14:textId="77777777" w:rsidR="004E04DF" w:rsidRPr="0033093E" w:rsidRDefault="004E04DF" w:rsidP="00182DFB">
            <w:pPr>
              <w:rPr>
                <w:b/>
                <w:bCs/>
                <w:sz w:val="24"/>
                <w:szCs w:val="24"/>
              </w:rPr>
            </w:pPr>
            <w:r w:rsidRPr="0033093E">
              <w:rPr>
                <w:b/>
                <w:bCs/>
                <w:sz w:val="24"/>
                <w:szCs w:val="24"/>
              </w:rPr>
              <w:t>Waveform correlation improves magnitude calibration during hydraulic fracturing</w:t>
            </w:r>
          </w:p>
        </w:tc>
        <w:tc>
          <w:tcPr>
            <w:tcW w:w="1255" w:type="dxa"/>
            <w:tcBorders>
              <w:top w:val="nil"/>
              <w:left w:val="nil"/>
              <w:bottom w:val="nil"/>
              <w:right w:val="nil"/>
            </w:tcBorders>
          </w:tcPr>
          <w:p w14:paraId="0FD7C5AE" w14:textId="369B36E4" w:rsidR="004E04DF" w:rsidRPr="008F3219" w:rsidRDefault="00CC33E5" w:rsidP="008F3219">
            <w:pPr>
              <w:jc w:val="right"/>
              <w:rPr>
                <w:sz w:val="24"/>
                <w:szCs w:val="24"/>
              </w:rPr>
            </w:pPr>
            <w:r w:rsidRPr="008F3219">
              <w:rPr>
                <w:sz w:val="24"/>
                <w:szCs w:val="24"/>
              </w:rPr>
              <w:t>7</w:t>
            </w:r>
          </w:p>
        </w:tc>
      </w:tr>
      <w:tr w:rsidR="004E04DF" w:rsidRPr="0033093E" w14:paraId="03910CA9" w14:textId="77777777" w:rsidTr="00C32386">
        <w:trPr>
          <w:gridBefore w:val="1"/>
          <w:wBefore w:w="809" w:type="dxa"/>
        </w:trPr>
        <w:tc>
          <w:tcPr>
            <w:tcW w:w="810" w:type="dxa"/>
            <w:tcBorders>
              <w:top w:val="nil"/>
              <w:left w:val="nil"/>
              <w:bottom w:val="nil"/>
              <w:right w:val="nil"/>
            </w:tcBorders>
          </w:tcPr>
          <w:p w14:paraId="72398412" w14:textId="77777777" w:rsidR="004E04DF" w:rsidRPr="0033093E" w:rsidRDefault="004E04DF" w:rsidP="00182DFB">
            <w:pPr>
              <w:rPr>
                <w:b/>
                <w:bCs/>
                <w:sz w:val="24"/>
                <w:szCs w:val="24"/>
              </w:rPr>
            </w:pPr>
          </w:p>
        </w:tc>
        <w:tc>
          <w:tcPr>
            <w:tcW w:w="806" w:type="dxa"/>
            <w:tcBorders>
              <w:top w:val="nil"/>
              <w:left w:val="nil"/>
              <w:bottom w:val="nil"/>
              <w:right w:val="nil"/>
            </w:tcBorders>
          </w:tcPr>
          <w:p w14:paraId="238CA2D9"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65501F7E" w14:textId="77777777" w:rsidR="004E04DF" w:rsidRPr="0033093E" w:rsidRDefault="004E04DF" w:rsidP="00182DFB">
            <w:pPr>
              <w:rPr>
                <w:sz w:val="24"/>
                <w:szCs w:val="24"/>
              </w:rPr>
            </w:pPr>
            <w:r w:rsidRPr="0033093E">
              <w:rPr>
                <w:sz w:val="24"/>
                <w:szCs w:val="24"/>
              </w:rPr>
              <w:t>2.1 Abstract</w:t>
            </w:r>
          </w:p>
        </w:tc>
        <w:tc>
          <w:tcPr>
            <w:tcW w:w="1255" w:type="dxa"/>
            <w:tcBorders>
              <w:top w:val="nil"/>
              <w:left w:val="nil"/>
              <w:bottom w:val="nil"/>
              <w:right w:val="nil"/>
            </w:tcBorders>
          </w:tcPr>
          <w:p w14:paraId="4DD51B9C" w14:textId="7B9593E7" w:rsidR="004E04DF" w:rsidRPr="008F3219" w:rsidRDefault="00CC33E5" w:rsidP="008F3219">
            <w:pPr>
              <w:jc w:val="right"/>
              <w:rPr>
                <w:sz w:val="24"/>
                <w:szCs w:val="24"/>
              </w:rPr>
            </w:pPr>
            <w:r w:rsidRPr="008F3219">
              <w:rPr>
                <w:sz w:val="24"/>
                <w:szCs w:val="24"/>
              </w:rPr>
              <w:t>8</w:t>
            </w:r>
          </w:p>
        </w:tc>
      </w:tr>
      <w:tr w:rsidR="004E04DF" w:rsidRPr="0033093E" w14:paraId="36B83B1D" w14:textId="77777777" w:rsidTr="00C32386">
        <w:trPr>
          <w:gridBefore w:val="1"/>
          <w:wBefore w:w="809" w:type="dxa"/>
        </w:trPr>
        <w:tc>
          <w:tcPr>
            <w:tcW w:w="810" w:type="dxa"/>
            <w:tcBorders>
              <w:top w:val="nil"/>
              <w:left w:val="nil"/>
              <w:bottom w:val="nil"/>
              <w:right w:val="nil"/>
            </w:tcBorders>
          </w:tcPr>
          <w:p w14:paraId="6E9F72D4" w14:textId="77777777" w:rsidR="004E04DF" w:rsidRPr="0033093E" w:rsidRDefault="004E04DF" w:rsidP="00182DFB">
            <w:pPr>
              <w:rPr>
                <w:b/>
                <w:bCs/>
                <w:sz w:val="24"/>
                <w:szCs w:val="24"/>
              </w:rPr>
            </w:pPr>
          </w:p>
        </w:tc>
        <w:tc>
          <w:tcPr>
            <w:tcW w:w="806" w:type="dxa"/>
            <w:tcBorders>
              <w:top w:val="nil"/>
              <w:left w:val="nil"/>
              <w:bottom w:val="nil"/>
              <w:right w:val="nil"/>
            </w:tcBorders>
          </w:tcPr>
          <w:p w14:paraId="76051B22"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3CEEEBC0" w14:textId="77777777" w:rsidR="004E04DF" w:rsidRPr="0033093E" w:rsidRDefault="004E04DF" w:rsidP="00182DFB">
            <w:pPr>
              <w:rPr>
                <w:sz w:val="24"/>
                <w:szCs w:val="24"/>
              </w:rPr>
            </w:pPr>
            <w:r w:rsidRPr="0033093E">
              <w:rPr>
                <w:sz w:val="24"/>
                <w:szCs w:val="24"/>
              </w:rPr>
              <w:t>2.2 Introduction</w:t>
            </w:r>
          </w:p>
        </w:tc>
        <w:tc>
          <w:tcPr>
            <w:tcW w:w="1255" w:type="dxa"/>
            <w:tcBorders>
              <w:top w:val="nil"/>
              <w:left w:val="nil"/>
              <w:bottom w:val="nil"/>
              <w:right w:val="nil"/>
            </w:tcBorders>
          </w:tcPr>
          <w:p w14:paraId="34D6FD17" w14:textId="34580545" w:rsidR="004E04DF" w:rsidRPr="008F3219" w:rsidRDefault="00CC33E5" w:rsidP="008F3219">
            <w:pPr>
              <w:jc w:val="right"/>
              <w:rPr>
                <w:sz w:val="24"/>
                <w:szCs w:val="24"/>
              </w:rPr>
            </w:pPr>
            <w:r w:rsidRPr="008F3219">
              <w:rPr>
                <w:sz w:val="24"/>
                <w:szCs w:val="24"/>
              </w:rPr>
              <w:t>9</w:t>
            </w:r>
          </w:p>
        </w:tc>
      </w:tr>
      <w:tr w:rsidR="004E04DF" w:rsidRPr="0033093E" w14:paraId="13B09039" w14:textId="77777777" w:rsidTr="00C32386">
        <w:trPr>
          <w:gridBefore w:val="1"/>
          <w:wBefore w:w="809" w:type="dxa"/>
        </w:trPr>
        <w:tc>
          <w:tcPr>
            <w:tcW w:w="810" w:type="dxa"/>
            <w:tcBorders>
              <w:top w:val="nil"/>
              <w:left w:val="nil"/>
              <w:bottom w:val="nil"/>
              <w:right w:val="nil"/>
            </w:tcBorders>
          </w:tcPr>
          <w:p w14:paraId="54C0A69E" w14:textId="77777777" w:rsidR="004E04DF" w:rsidRPr="0033093E" w:rsidRDefault="004E04DF" w:rsidP="00182DFB">
            <w:pPr>
              <w:rPr>
                <w:b/>
                <w:bCs/>
                <w:sz w:val="24"/>
                <w:szCs w:val="24"/>
              </w:rPr>
            </w:pPr>
          </w:p>
        </w:tc>
        <w:tc>
          <w:tcPr>
            <w:tcW w:w="806" w:type="dxa"/>
            <w:tcBorders>
              <w:top w:val="nil"/>
              <w:left w:val="nil"/>
              <w:bottom w:val="nil"/>
              <w:right w:val="nil"/>
            </w:tcBorders>
          </w:tcPr>
          <w:p w14:paraId="7DC4E87E" w14:textId="77777777" w:rsidR="004E04DF" w:rsidRPr="0033093E" w:rsidRDefault="004E04DF" w:rsidP="00182DFB">
            <w:pPr>
              <w:rPr>
                <w:sz w:val="24"/>
                <w:szCs w:val="24"/>
              </w:rPr>
            </w:pPr>
          </w:p>
        </w:tc>
        <w:tc>
          <w:tcPr>
            <w:tcW w:w="720" w:type="dxa"/>
            <w:tcBorders>
              <w:top w:val="nil"/>
              <w:left w:val="nil"/>
              <w:bottom w:val="nil"/>
              <w:right w:val="nil"/>
            </w:tcBorders>
          </w:tcPr>
          <w:p w14:paraId="06181599" w14:textId="77777777" w:rsidR="004E04DF" w:rsidRPr="0033093E" w:rsidRDefault="004E04DF" w:rsidP="00182DFB">
            <w:pPr>
              <w:rPr>
                <w:sz w:val="24"/>
                <w:szCs w:val="24"/>
              </w:rPr>
            </w:pPr>
          </w:p>
        </w:tc>
        <w:tc>
          <w:tcPr>
            <w:tcW w:w="4950" w:type="dxa"/>
            <w:tcBorders>
              <w:top w:val="nil"/>
              <w:left w:val="nil"/>
              <w:bottom w:val="nil"/>
              <w:right w:val="nil"/>
            </w:tcBorders>
          </w:tcPr>
          <w:p w14:paraId="650150BE" w14:textId="77777777" w:rsidR="004E04DF" w:rsidRPr="0033093E" w:rsidRDefault="004E04DF" w:rsidP="00182DFB">
            <w:pPr>
              <w:rPr>
                <w:sz w:val="24"/>
                <w:szCs w:val="24"/>
              </w:rPr>
            </w:pPr>
            <w:r w:rsidRPr="0033093E">
              <w:rPr>
                <w:sz w:val="24"/>
                <w:szCs w:val="24"/>
              </w:rPr>
              <w:t>2.2.1 Experiment data</w:t>
            </w:r>
          </w:p>
        </w:tc>
        <w:tc>
          <w:tcPr>
            <w:tcW w:w="1255" w:type="dxa"/>
            <w:tcBorders>
              <w:top w:val="nil"/>
              <w:left w:val="nil"/>
              <w:bottom w:val="nil"/>
              <w:right w:val="nil"/>
            </w:tcBorders>
          </w:tcPr>
          <w:p w14:paraId="7E8371C5" w14:textId="346928DE" w:rsidR="004E04DF" w:rsidRPr="008F3219" w:rsidRDefault="00CC33E5" w:rsidP="008F3219">
            <w:pPr>
              <w:jc w:val="right"/>
              <w:rPr>
                <w:sz w:val="24"/>
                <w:szCs w:val="24"/>
              </w:rPr>
            </w:pPr>
            <w:r w:rsidRPr="008F3219">
              <w:rPr>
                <w:sz w:val="24"/>
                <w:szCs w:val="24"/>
              </w:rPr>
              <w:t>11</w:t>
            </w:r>
          </w:p>
        </w:tc>
      </w:tr>
      <w:tr w:rsidR="004E04DF" w:rsidRPr="0033093E" w14:paraId="738E75EE" w14:textId="77777777" w:rsidTr="00C32386">
        <w:trPr>
          <w:gridBefore w:val="1"/>
          <w:wBefore w:w="809" w:type="dxa"/>
        </w:trPr>
        <w:tc>
          <w:tcPr>
            <w:tcW w:w="810" w:type="dxa"/>
            <w:tcBorders>
              <w:top w:val="nil"/>
              <w:left w:val="nil"/>
              <w:bottom w:val="nil"/>
              <w:right w:val="nil"/>
            </w:tcBorders>
          </w:tcPr>
          <w:p w14:paraId="7799A5B5" w14:textId="77777777" w:rsidR="004E04DF" w:rsidRPr="0033093E" w:rsidRDefault="004E04DF" w:rsidP="00182DFB">
            <w:pPr>
              <w:rPr>
                <w:b/>
                <w:bCs/>
                <w:sz w:val="24"/>
                <w:szCs w:val="24"/>
              </w:rPr>
            </w:pPr>
          </w:p>
        </w:tc>
        <w:tc>
          <w:tcPr>
            <w:tcW w:w="806" w:type="dxa"/>
            <w:tcBorders>
              <w:top w:val="nil"/>
              <w:left w:val="nil"/>
              <w:bottom w:val="nil"/>
              <w:right w:val="nil"/>
            </w:tcBorders>
          </w:tcPr>
          <w:p w14:paraId="5C770A23"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5DCCC471" w14:textId="77777777" w:rsidR="004E04DF" w:rsidRPr="0033093E" w:rsidRDefault="004E04DF" w:rsidP="00182DFB">
            <w:pPr>
              <w:rPr>
                <w:sz w:val="24"/>
                <w:szCs w:val="24"/>
              </w:rPr>
            </w:pPr>
            <w:r w:rsidRPr="0033093E">
              <w:rPr>
                <w:sz w:val="24"/>
                <w:szCs w:val="24"/>
              </w:rPr>
              <w:t>2.3 Methods</w:t>
            </w:r>
          </w:p>
        </w:tc>
        <w:tc>
          <w:tcPr>
            <w:tcW w:w="1255" w:type="dxa"/>
            <w:tcBorders>
              <w:top w:val="nil"/>
              <w:left w:val="nil"/>
              <w:bottom w:val="nil"/>
              <w:right w:val="nil"/>
            </w:tcBorders>
          </w:tcPr>
          <w:p w14:paraId="13991A31" w14:textId="722DF4F2" w:rsidR="004E04DF" w:rsidRPr="008F3219" w:rsidRDefault="00CC33E5" w:rsidP="008F3219">
            <w:pPr>
              <w:jc w:val="right"/>
              <w:rPr>
                <w:sz w:val="24"/>
                <w:szCs w:val="24"/>
              </w:rPr>
            </w:pPr>
            <w:r w:rsidRPr="008F3219">
              <w:rPr>
                <w:sz w:val="24"/>
                <w:szCs w:val="24"/>
              </w:rPr>
              <w:t>13</w:t>
            </w:r>
          </w:p>
        </w:tc>
      </w:tr>
      <w:tr w:rsidR="004E04DF" w:rsidRPr="0033093E" w14:paraId="4678650B" w14:textId="77777777" w:rsidTr="00C32386">
        <w:trPr>
          <w:gridBefore w:val="1"/>
          <w:wBefore w:w="809" w:type="dxa"/>
        </w:trPr>
        <w:tc>
          <w:tcPr>
            <w:tcW w:w="810" w:type="dxa"/>
            <w:tcBorders>
              <w:top w:val="nil"/>
              <w:left w:val="nil"/>
              <w:bottom w:val="nil"/>
              <w:right w:val="nil"/>
            </w:tcBorders>
          </w:tcPr>
          <w:p w14:paraId="3B4F2B24" w14:textId="77777777" w:rsidR="004E04DF" w:rsidRPr="0033093E" w:rsidRDefault="004E04DF" w:rsidP="00182DFB">
            <w:pPr>
              <w:rPr>
                <w:b/>
                <w:bCs/>
                <w:sz w:val="24"/>
                <w:szCs w:val="24"/>
              </w:rPr>
            </w:pPr>
          </w:p>
        </w:tc>
        <w:tc>
          <w:tcPr>
            <w:tcW w:w="806" w:type="dxa"/>
            <w:tcBorders>
              <w:top w:val="nil"/>
              <w:left w:val="nil"/>
              <w:bottom w:val="nil"/>
              <w:right w:val="nil"/>
            </w:tcBorders>
          </w:tcPr>
          <w:p w14:paraId="6736CB55" w14:textId="77777777" w:rsidR="004E04DF" w:rsidRPr="0033093E" w:rsidRDefault="004E04DF" w:rsidP="00182DFB">
            <w:pPr>
              <w:rPr>
                <w:sz w:val="24"/>
                <w:szCs w:val="24"/>
              </w:rPr>
            </w:pPr>
          </w:p>
        </w:tc>
        <w:tc>
          <w:tcPr>
            <w:tcW w:w="720" w:type="dxa"/>
            <w:tcBorders>
              <w:top w:val="nil"/>
              <w:left w:val="nil"/>
              <w:bottom w:val="nil"/>
              <w:right w:val="nil"/>
            </w:tcBorders>
          </w:tcPr>
          <w:p w14:paraId="3C23721E" w14:textId="77777777" w:rsidR="004E04DF" w:rsidRPr="0033093E" w:rsidRDefault="004E04DF" w:rsidP="00182DFB">
            <w:pPr>
              <w:rPr>
                <w:sz w:val="24"/>
                <w:szCs w:val="24"/>
              </w:rPr>
            </w:pPr>
          </w:p>
        </w:tc>
        <w:tc>
          <w:tcPr>
            <w:tcW w:w="4950" w:type="dxa"/>
            <w:tcBorders>
              <w:top w:val="nil"/>
              <w:left w:val="nil"/>
              <w:bottom w:val="nil"/>
              <w:right w:val="nil"/>
            </w:tcBorders>
          </w:tcPr>
          <w:p w14:paraId="36DDB481" w14:textId="77777777" w:rsidR="004E04DF" w:rsidRPr="0033093E" w:rsidRDefault="004E04DF" w:rsidP="00182DFB">
            <w:pPr>
              <w:rPr>
                <w:sz w:val="24"/>
                <w:szCs w:val="24"/>
              </w:rPr>
            </w:pPr>
            <w:r w:rsidRPr="0033093E">
              <w:rPr>
                <w:sz w:val="24"/>
                <w:szCs w:val="24"/>
              </w:rPr>
              <w:t>2.3.1 Magnitude calibration using cross-correlation</w:t>
            </w:r>
          </w:p>
        </w:tc>
        <w:tc>
          <w:tcPr>
            <w:tcW w:w="1255" w:type="dxa"/>
            <w:tcBorders>
              <w:top w:val="nil"/>
              <w:left w:val="nil"/>
              <w:bottom w:val="nil"/>
              <w:right w:val="nil"/>
            </w:tcBorders>
          </w:tcPr>
          <w:p w14:paraId="726276E7" w14:textId="683F7B90" w:rsidR="004E04DF" w:rsidRPr="008F3219" w:rsidRDefault="00CC33E5" w:rsidP="008F3219">
            <w:pPr>
              <w:jc w:val="right"/>
              <w:rPr>
                <w:sz w:val="24"/>
                <w:szCs w:val="24"/>
              </w:rPr>
            </w:pPr>
            <w:r w:rsidRPr="008F3219">
              <w:rPr>
                <w:sz w:val="24"/>
                <w:szCs w:val="24"/>
              </w:rPr>
              <w:t>14</w:t>
            </w:r>
          </w:p>
        </w:tc>
      </w:tr>
      <w:tr w:rsidR="004E04DF" w:rsidRPr="0033093E" w14:paraId="55FA6A9B" w14:textId="77777777" w:rsidTr="00C32386">
        <w:trPr>
          <w:gridBefore w:val="1"/>
          <w:wBefore w:w="809" w:type="dxa"/>
        </w:trPr>
        <w:tc>
          <w:tcPr>
            <w:tcW w:w="810" w:type="dxa"/>
            <w:tcBorders>
              <w:top w:val="nil"/>
              <w:left w:val="nil"/>
              <w:bottom w:val="nil"/>
              <w:right w:val="nil"/>
            </w:tcBorders>
          </w:tcPr>
          <w:p w14:paraId="13C92AD8" w14:textId="77777777" w:rsidR="004E04DF" w:rsidRPr="0033093E" w:rsidRDefault="004E04DF" w:rsidP="00182DFB">
            <w:pPr>
              <w:rPr>
                <w:b/>
                <w:bCs/>
                <w:sz w:val="24"/>
                <w:szCs w:val="24"/>
              </w:rPr>
            </w:pPr>
          </w:p>
        </w:tc>
        <w:tc>
          <w:tcPr>
            <w:tcW w:w="806" w:type="dxa"/>
            <w:tcBorders>
              <w:top w:val="nil"/>
              <w:left w:val="nil"/>
              <w:bottom w:val="nil"/>
              <w:right w:val="nil"/>
            </w:tcBorders>
          </w:tcPr>
          <w:p w14:paraId="277D5DC3" w14:textId="77777777" w:rsidR="004E04DF" w:rsidRPr="0033093E" w:rsidRDefault="004E04DF" w:rsidP="00182DFB">
            <w:pPr>
              <w:rPr>
                <w:sz w:val="24"/>
                <w:szCs w:val="24"/>
              </w:rPr>
            </w:pPr>
          </w:p>
        </w:tc>
        <w:tc>
          <w:tcPr>
            <w:tcW w:w="720" w:type="dxa"/>
            <w:tcBorders>
              <w:top w:val="nil"/>
              <w:left w:val="nil"/>
              <w:bottom w:val="nil"/>
              <w:right w:val="nil"/>
            </w:tcBorders>
          </w:tcPr>
          <w:p w14:paraId="0F82CBA6" w14:textId="77777777" w:rsidR="004E04DF" w:rsidRPr="0033093E" w:rsidRDefault="004E04DF" w:rsidP="00182DFB">
            <w:pPr>
              <w:rPr>
                <w:sz w:val="24"/>
                <w:szCs w:val="24"/>
              </w:rPr>
            </w:pPr>
          </w:p>
        </w:tc>
        <w:tc>
          <w:tcPr>
            <w:tcW w:w="4950" w:type="dxa"/>
            <w:tcBorders>
              <w:top w:val="nil"/>
              <w:left w:val="nil"/>
              <w:bottom w:val="nil"/>
              <w:right w:val="nil"/>
            </w:tcBorders>
          </w:tcPr>
          <w:p w14:paraId="27CB4F8F" w14:textId="77777777" w:rsidR="004E04DF" w:rsidRPr="0033093E" w:rsidRDefault="004E04DF" w:rsidP="00182DFB">
            <w:pPr>
              <w:rPr>
                <w:sz w:val="24"/>
                <w:szCs w:val="24"/>
              </w:rPr>
            </w:pPr>
            <w:r w:rsidRPr="0033093E">
              <w:rPr>
                <w:sz w:val="24"/>
                <w:szCs w:val="24"/>
              </w:rPr>
              <w:t>2.3.2 b-value</w:t>
            </w:r>
          </w:p>
        </w:tc>
        <w:tc>
          <w:tcPr>
            <w:tcW w:w="1255" w:type="dxa"/>
            <w:tcBorders>
              <w:top w:val="nil"/>
              <w:left w:val="nil"/>
              <w:bottom w:val="nil"/>
              <w:right w:val="nil"/>
            </w:tcBorders>
          </w:tcPr>
          <w:p w14:paraId="3DB7F9E4" w14:textId="108F0755" w:rsidR="004E04DF" w:rsidRPr="008F3219" w:rsidRDefault="00CC33E5" w:rsidP="008F3219">
            <w:pPr>
              <w:jc w:val="right"/>
              <w:rPr>
                <w:sz w:val="24"/>
                <w:szCs w:val="24"/>
              </w:rPr>
            </w:pPr>
            <w:r w:rsidRPr="008F3219">
              <w:rPr>
                <w:sz w:val="24"/>
                <w:szCs w:val="24"/>
              </w:rPr>
              <w:t>16</w:t>
            </w:r>
          </w:p>
        </w:tc>
      </w:tr>
      <w:tr w:rsidR="004E04DF" w:rsidRPr="0033093E" w14:paraId="2920F756" w14:textId="77777777" w:rsidTr="00C32386">
        <w:trPr>
          <w:gridBefore w:val="1"/>
          <w:wBefore w:w="809" w:type="dxa"/>
        </w:trPr>
        <w:tc>
          <w:tcPr>
            <w:tcW w:w="810" w:type="dxa"/>
            <w:tcBorders>
              <w:top w:val="nil"/>
              <w:left w:val="nil"/>
              <w:bottom w:val="nil"/>
              <w:right w:val="nil"/>
            </w:tcBorders>
          </w:tcPr>
          <w:p w14:paraId="02D8A0CB" w14:textId="77777777" w:rsidR="004E04DF" w:rsidRPr="0033093E" w:rsidRDefault="004E04DF" w:rsidP="00182DFB">
            <w:pPr>
              <w:rPr>
                <w:b/>
                <w:bCs/>
                <w:sz w:val="24"/>
                <w:szCs w:val="24"/>
              </w:rPr>
            </w:pPr>
          </w:p>
        </w:tc>
        <w:tc>
          <w:tcPr>
            <w:tcW w:w="806" w:type="dxa"/>
            <w:tcBorders>
              <w:top w:val="nil"/>
              <w:left w:val="nil"/>
              <w:bottom w:val="nil"/>
              <w:right w:val="nil"/>
            </w:tcBorders>
          </w:tcPr>
          <w:p w14:paraId="4B9D2F1D" w14:textId="77777777" w:rsidR="004E04DF" w:rsidRPr="0033093E" w:rsidRDefault="004E04DF" w:rsidP="00182DFB">
            <w:pPr>
              <w:rPr>
                <w:sz w:val="24"/>
                <w:szCs w:val="24"/>
              </w:rPr>
            </w:pPr>
          </w:p>
        </w:tc>
        <w:tc>
          <w:tcPr>
            <w:tcW w:w="720" w:type="dxa"/>
            <w:tcBorders>
              <w:top w:val="nil"/>
              <w:left w:val="nil"/>
              <w:bottom w:val="nil"/>
              <w:right w:val="nil"/>
            </w:tcBorders>
          </w:tcPr>
          <w:p w14:paraId="68253B2F" w14:textId="77777777" w:rsidR="004E04DF" w:rsidRPr="0033093E" w:rsidRDefault="004E04DF" w:rsidP="00182DFB">
            <w:pPr>
              <w:rPr>
                <w:sz w:val="24"/>
                <w:szCs w:val="24"/>
              </w:rPr>
            </w:pPr>
          </w:p>
        </w:tc>
        <w:tc>
          <w:tcPr>
            <w:tcW w:w="4950" w:type="dxa"/>
            <w:tcBorders>
              <w:top w:val="nil"/>
              <w:left w:val="nil"/>
              <w:bottom w:val="nil"/>
              <w:right w:val="nil"/>
            </w:tcBorders>
          </w:tcPr>
          <w:p w14:paraId="775C6E23" w14:textId="77777777" w:rsidR="004E04DF" w:rsidRPr="0033093E" w:rsidRDefault="004E04DF" w:rsidP="00182DFB">
            <w:pPr>
              <w:rPr>
                <w:sz w:val="24"/>
                <w:szCs w:val="24"/>
              </w:rPr>
            </w:pPr>
            <w:r>
              <w:rPr>
                <w:sz w:val="24"/>
                <w:szCs w:val="24"/>
              </w:rPr>
              <w:t>2.3.3 Mohr circle construction</w:t>
            </w:r>
          </w:p>
        </w:tc>
        <w:tc>
          <w:tcPr>
            <w:tcW w:w="1255" w:type="dxa"/>
            <w:tcBorders>
              <w:top w:val="nil"/>
              <w:left w:val="nil"/>
              <w:bottom w:val="nil"/>
              <w:right w:val="nil"/>
            </w:tcBorders>
          </w:tcPr>
          <w:p w14:paraId="2FFA1C6B" w14:textId="0DE52769" w:rsidR="004E04DF" w:rsidRPr="008F3219" w:rsidRDefault="00CC33E5" w:rsidP="008F3219">
            <w:pPr>
              <w:jc w:val="right"/>
              <w:rPr>
                <w:sz w:val="24"/>
                <w:szCs w:val="24"/>
              </w:rPr>
            </w:pPr>
            <w:r w:rsidRPr="008F3219">
              <w:rPr>
                <w:sz w:val="24"/>
                <w:szCs w:val="24"/>
              </w:rPr>
              <w:t>17</w:t>
            </w:r>
          </w:p>
        </w:tc>
      </w:tr>
      <w:tr w:rsidR="004E04DF" w:rsidRPr="0033093E" w14:paraId="3A917808" w14:textId="77777777" w:rsidTr="00C32386">
        <w:trPr>
          <w:gridBefore w:val="1"/>
          <w:wBefore w:w="809" w:type="dxa"/>
        </w:trPr>
        <w:tc>
          <w:tcPr>
            <w:tcW w:w="810" w:type="dxa"/>
            <w:tcBorders>
              <w:top w:val="nil"/>
              <w:left w:val="nil"/>
              <w:bottom w:val="nil"/>
              <w:right w:val="nil"/>
            </w:tcBorders>
          </w:tcPr>
          <w:p w14:paraId="70BD5623" w14:textId="77777777" w:rsidR="004E04DF" w:rsidRPr="0033093E" w:rsidRDefault="004E04DF" w:rsidP="00182DFB">
            <w:pPr>
              <w:rPr>
                <w:b/>
                <w:bCs/>
                <w:sz w:val="24"/>
                <w:szCs w:val="24"/>
              </w:rPr>
            </w:pPr>
          </w:p>
        </w:tc>
        <w:tc>
          <w:tcPr>
            <w:tcW w:w="806" w:type="dxa"/>
            <w:tcBorders>
              <w:top w:val="nil"/>
              <w:left w:val="nil"/>
              <w:bottom w:val="nil"/>
              <w:right w:val="nil"/>
            </w:tcBorders>
          </w:tcPr>
          <w:p w14:paraId="2A9E69E3" w14:textId="77777777" w:rsidR="004E04DF" w:rsidRPr="0033093E" w:rsidRDefault="004E04DF" w:rsidP="00182DFB">
            <w:pPr>
              <w:rPr>
                <w:sz w:val="24"/>
                <w:szCs w:val="24"/>
              </w:rPr>
            </w:pPr>
          </w:p>
        </w:tc>
        <w:tc>
          <w:tcPr>
            <w:tcW w:w="720" w:type="dxa"/>
            <w:tcBorders>
              <w:top w:val="nil"/>
              <w:left w:val="nil"/>
              <w:bottom w:val="nil"/>
              <w:right w:val="nil"/>
            </w:tcBorders>
          </w:tcPr>
          <w:p w14:paraId="1A50F5F8" w14:textId="77777777" w:rsidR="004E04DF" w:rsidRPr="0033093E" w:rsidRDefault="004E04DF" w:rsidP="00182DFB">
            <w:pPr>
              <w:rPr>
                <w:sz w:val="24"/>
                <w:szCs w:val="24"/>
              </w:rPr>
            </w:pPr>
          </w:p>
        </w:tc>
        <w:tc>
          <w:tcPr>
            <w:tcW w:w="4950" w:type="dxa"/>
            <w:tcBorders>
              <w:top w:val="nil"/>
              <w:left w:val="nil"/>
              <w:bottom w:val="nil"/>
              <w:right w:val="nil"/>
            </w:tcBorders>
          </w:tcPr>
          <w:p w14:paraId="2EF8F007" w14:textId="77777777" w:rsidR="004E04DF" w:rsidRPr="0033093E" w:rsidRDefault="004E04DF" w:rsidP="00182DFB">
            <w:pPr>
              <w:rPr>
                <w:sz w:val="24"/>
                <w:szCs w:val="24"/>
              </w:rPr>
            </w:pPr>
            <w:r w:rsidRPr="0033093E">
              <w:rPr>
                <w:sz w:val="24"/>
                <w:szCs w:val="24"/>
              </w:rPr>
              <w:t>2.3.</w:t>
            </w:r>
            <w:r>
              <w:rPr>
                <w:sz w:val="24"/>
                <w:szCs w:val="24"/>
              </w:rPr>
              <w:t>4</w:t>
            </w:r>
            <w:r w:rsidRPr="0033093E">
              <w:rPr>
                <w:sz w:val="24"/>
                <w:szCs w:val="24"/>
              </w:rPr>
              <w:t xml:space="preserve"> </w:t>
            </w:r>
            <w:proofErr w:type="spellStart"/>
            <w:r w:rsidRPr="0033093E">
              <w:rPr>
                <w:sz w:val="24"/>
                <w:szCs w:val="24"/>
              </w:rPr>
              <w:t>Seismogenic</w:t>
            </w:r>
            <w:proofErr w:type="spellEnd"/>
            <w:r w:rsidRPr="0033093E">
              <w:rPr>
                <w:sz w:val="24"/>
                <w:szCs w:val="24"/>
              </w:rPr>
              <w:t xml:space="preserve"> </w:t>
            </w:r>
            <w:r>
              <w:rPr>
                <w:sz w:val="24"/>
                <w:szCs w:val="24"/>
              </w:rPr>
              <w:t>I</w:t>
            </w:r>
            <w:r w:rsidRPr="0033093E">
              <w:rPr>
                <w:sz w:val="24"/>
                <w:szCs w:val="24"/>
              </w:rPr>
              <w:t>ndex</w:t>
            </w:r>
          </w:p>
        </w:tc>
        <w:tc>
          <w:tcPr>
            <w:tcW w:w="1255" w:type="dxa"/>
            <w:tcBorders>
              <w:top w:val="nil"/>
              <w:left w:val="nil"/>
              <w:bottom w:val="nil"/>
              <w:right w:val="nil"/>
            </w:tcBorders>
          </w:tcPr>
          <w:p w14:paraId="1F1D1A95" w14:textId="5F52D8C8" w:rsidR="004E04DF" w:rsidRPr="008F3219" w:rsidRDefault="00CC33E5" w:rsidP="008F3219">
            <w:pPr>
              <w:jc w:val="right"/>
              <w:rPr>
                <w:sz w:val="24"/>
                <w:szCs w:val="24"/>
              </w:rPr>
            </w:pPr>
            <w:r w:rsidRPr="008F3219">
              <w:rPr>
                <w:sz w:val="24"/>
                <w:szCs w:val="24"/>
              </w:rPr>
              <w:t>18</w:t>
            </w:r>
          </w:p>
        </w:tc>
      </w:tr>
      <w:tr w:rsidR="004E04DF" w:rsidRPr="0033093E" w14:paraId="7D50C055" w14:textId="77777777" w:rsidTr="00C32386">
        <w:trPr>
          <w:gridBefore w:val="1"/>
          <w:wBefore w:w="809" w:type="dxa"/>
        </w:trPr>
        <w:tc>
          <w:tcPr>
            <w:tcW w:w="810" w:type="dxa"/>
            <w:tcBorders>
              <w:top w:val="nil"/>
              <w:left w:val="nil"/>
              <w:bottom w:val="nil"/>
              <w:right w:val="nil"/>
            </w:tcBorders>
          </w:tcPr>
          <w:p w14:paraId="79B6A3B1" w14:textId="77777777" w:rsidR="004E04DF" w:rsidRPr="0033093E" w:rsidRDefault="004E04DF" w:rsidP="00182DFB">
            <w:pPr>
              <w:rPr>
                <w:b/>
                <w:bCs/>
                <w:sz w:val="24"/>
                <w:szCs w:val="24"/>
              </w:rPr>
            </w:pPr>
          </w:p>
        </w:tc>
        <w:tc>
          <w:tcPr>
            <w:tcW w:w="806" w:type="dxa"/>
            <w:tcBorders>
              <w:top w:val="nil"/>
              <w:left w:val="nil"/>
              <w:bottom w:val="nil"/>
              <w:right w:val="nil"/>
            </w:tcBorders>
          </w:tcPr>
          <w:p w14:paraId="6EB2C6DE"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5B841F5E" w14:textId="77777777" w:rsidR="004E04DF" w:rsidRPr="0033093E" w:rsidRDefault="004E04DF" w:rsidP="00182DFB">
            <w:pPr>
              <w:rPr>
                <w:sz w:val="24"/>
                <w:szCs w:val="24"/>
              </w:rPr>
            </w:pPr>
            <w:r w:rsidRPr="0033093E">
              <w:rPr>
                <w:sz w:val="24"/>
                <w:szCs w:val="24"/>
              </w:rPr>
              <w:t>2.4 Results</w:t>
            </w:r>
          </w:p>
        </w:tc>
        <w:tc>
          <w:tcPr>
            <w:tcW w:w="1255" w:type="dxa"/>
            <w:tcBorders>
              <w:top w:val="nil"/>
              <w:left w:val="nil"/>
              <w:bottom w:val="nil"/>
              <w:right w:val="nil"/>
            </w:tcBorders>
          </w:tcPr>
          <w:p w14:paraId="76B44890" w14:textId="0168B8C4" w:rsidR="004E04DF" w:rsidRPr="008F3219" w:rsidRDefault="00CC33E5" w:rsidP="008F3219">
            <w:pPr>
              <w:jc w:val="right"/>
              <w:rPr>
                <w:sz w:val="24"/>
                <w:szCs w:val="24"/>
              </w:rPr>
            </w:pPr>
            <w:r w:rsidRPr="008F3219">
              <w:rPr>
                <w:sz w:val="24"/>
                <w:szCs w:val="24"/>
              </w:rPr>
              <w:t>20</w:t>
            </w:r>
          </w:p>
        </w:tc>
      </w:tr>
      <w:tr w:rsidR="004E04DF" w:rsidRPr="0033093E" w14:paraId="3F073611" w14:textId="77777777" w:rsidTr="00C32386">
        <w:trPr>
          <w:gridBefore w:val="1"/>
          <w:wBefore w:w="809" w:type="dxa"/>
        </w:trPr>
        <w:tc>
          <w:tcPr>
            <w:tcW w:w="810" w:type="dxa"/>
            <w:tcBorders>
              <w:top w:val="nil"/>
              <w:left w:val="nil"/>
              <w:bottom w:val="nil"/>
              <w:right w:val="nil"/>
            </w:tcBorders>
          </w:tcPr>
          <w:p w14:paraId="1DEF7F2E" w14:textId="77777777" w:rsidR="004E04DF" w:rsidRPr="0033093E" w:rsidRDefault="004E04DF" w:rsidP="00182DFB">
            <w:pPr>
              <w:rPr>
                <w:b/>
                <w:bCs/>
                <w:sz w:val="24"/>
                <w:szCs w:val="24"/>
              </w:rPr>
            </w:pPr>
          </w:p>
        </w:tc>
        <w:tc>
          <w:tcPr>
            <w:tcW w:w="806" w:type="dxa"/>
            <w:tcBorders>
              <w:top w:val="nil"/>
              <w:left w:val="nil"/>
              <w:bottom w:val="nil"/>
              <w:right w:val="nil"/>
            </w:tcBorders>
          </w:tcPr>
          <w:p w14:paraId="07EEDCC2" w14:textId="77777777" w:rsidR="004E04DF" w:rsidRPr="0033093E" w:rsidRDefault="004E04DF" w:rsidP="00182DFB">
            <w:pPr>
              <w:rPr>
                <w:sz w:val="24"/>
                <w:szCs w:val="24"/>
              </w:rPr>
            </w:pPr>
          </w:p>
        </w:tc>
        <w:tc>
          <w:tcPr>
            <w:tcW w:w="720" w:type="dxa"/>
            <w:tcBorders>
              <w:top w:val="nil"/>
              <w:left w:val="nil"/>
              <w:bottom w:val="nil"/>
              <w:right w:val="nil"/>
            </w:tcBorders>
          </w:tcPr>
          <w:p w14:paraId="7197B82B" w14:textId="77777777" w:rsidR="004E04DF" w:rsidRPr="0033093E" w:rsidRDefault="004E04DF" w:rsidP="00182DFB">
            <w:pPr>
              <w:rPr>
                <w:sz w:val="24"/>
                <w:szCs w:val="24"/>
              </w:rPr>
            </w:pPr>
          </w:p>
        </w:tc>
        <w:tc>
          <w:tcPr>
            <w:tcW w:w="4950" w:type="dxa"/>
            <w:tcBorders>
              <w:top w:val="nil"/>
              <w:left w:val="nil"/>
              <w:bottom w:val="nil"/>
              <w:right w:val="nil"/>
            </w:tcBorders>
          </w:tcPr>
          <w:p w14:paraId="64814494" w14:textId="77777777" w:rsidR="004E04DF" w:rsidRPr="0033093E" w:rsidRDefault="004E04DF" w:rsidP="00182DFB">
            <w:pPr>
              <w:rPr>
                <w:sz w:val="24"/>
                <w:szCs w:val="24"/>
              </w:rPr>
            </w:pPr>
            <w:r w:rsidRPr="0033093E">
              <w:rPr>
                <w:sz w:val="24"/>
                <w:szCs w:val="24"/>
              </w:rPr>
              <w:t>2.4.1 Calibrated magnitude</w:t>
            </w:r>
          </w:p>
        </w:tc>
        <w:tc>
          <w:tcPr>
            <w:tcW w:w="1255" w:type="dxa"/>
            <w:tcBorders>
              <w:top w:val="nil"/>
              <w:left w:val="nil"/>
              <w:bottom w:val="nil"/>
              <w:right w:val="nil"/>
            </w:tcBorders>
          </w:tcPr>
          <w:p w14:paraId="4E30BE74" w14:textId="6A76CF07" w:rsidR="004E04DF" w:rsidRPr="008F3219" w:rsidRDefault="00CC33E5" w:rsidP="008F3219">
            <w:pPr>
              <w:jc w:val="right"/>
              <w:rPr>
                <w:sz w:val="24"/>
                <w:szCs w:val="24"/>
              </w:rPr>
            </w:pPr>
            <w:r w:rsidRPr="008F3219">
              <w:rPr>
                <w:sz w:val="24"/>
                <w:szCs w:val="24"/>
              </w:rPr>
              <w:t>20</w:t>
            </w:r>
          </w:p>
        </w:tc>
      </w:tr>
      <w:tr w:rsidR="004E04DF" w:rsidRPr="0033093E" w14:paraId="12A81134" w14:textId="77777777" w:rsidTr="00C32386">
        <w:trPr>
          <w:gridBefore w:val="1"/>
          <w:wBefore w:w="809" w:type="dxa"/>
        </w:trPr>
        <w:tc>
          <w:tcPr>
            <w:tcW w:w="810" w:type="dxa"/>
            <w:tcBorders>
              <w:top w:val="nil"/>
              <w:left w:val="nil"/>
              <w:bottom w:val="nil"/>
              <w:right w:val="nil"/>
            </w:tcBorders>
          </w:tcPr>
          <w:p w14:paraId="12B2006C" w14:textId="77777777" w:rsidR="004E04DF" w:rsidRPr="0033093E" w:rsidRDefault="004E04DF" w:rsidP="00182DFB">
            <w:pPr>
              <w:rPr>
                <w:b/>
                <w:bCs/>
                <w:sz w:val="24"/>
                <w:szCs w:val="24"/>
              </w:rPr>
            </w:pPr>
          </w:p>
        </w:tc>
        <w:tc>
          <w:tcPr>
            <w:tcW w:w="806" w:type="dxa"/>
            <w:tcBorders>
              <w:top w:val="nil"/>
              <w:left w:val="nil"/>
              <w:bottom w:val="nil"/>
              <w:right w:val="nil"/>
            </w:tcBorders>
          </w:tcPr>
          <w:p w14:paraId="51C6E555" w14:textId="77777777" w:rsidR="004E04DF" w:rsidRPr="0033093E" w:rsidRDefault="004E04DF" w:rsidP="00182DFB">
            <w:pPr>
              <w:rPr>
                <w:sz w:val="24"/>
                <w:szCs w:val="24"/>
              </w:rPr>
            </w:pPr>
          </w:p>
        </w:tc>
        <w:tc>
          <w:tcPr>
            <w:tcW w:w="720" w:type="dxa"/>
            <w:tcBorders>
              <w:top w:val="nil"/>
              <w:left w:val="nil"/>
              <w:bottom w:val="nil"/>
              <w:right w:val="nil"/>
            </w:tcBorders>
          </w:tcPr>
          <w:p w14:paraId="5658CD43" w14:textId="77777777" w:rsidR="004E04DF" w:rsidRPr="0033093E" w:rsidRDefault="004E04DF" w:rsidP="00182DFB">
            <w:pPr>
              <w:rPr>
                <w:sz w:val="24"/>
                <w:szCs w:val="24"/>
              </w:rPr>
            </w:pPr>
          </w:p>
        </w:tc>
        <w:tc>
          <w:tcPr>
            <w:tcW w:w="4950" w:type="dxa"/>
            <w:tcBorders>
              <w:top w:val="nil"/>
              <w:left w:val="nil"/>
              <w:bottom w:val="nil"/>
              <w:right w:val="nil"/>
            </w:tcBorders>
          </w:tcPr>
          <w:p w14:paraId="27C765F3" w14:textId="77777777" w:rsidR="004E04DF" w:rsidRPr="0033093E" w:rsidRDefault="004E04DF" w:rsidP="00182DFB">
            <w:pPr>
              <w:rPr>
                <w:sz w:val="24"/>
                <w:szCs w:val="24"/>
              </w:rPr>
            </w:pPr>
            <w:r w:rsidRPr="0033093E">
              <w:rPr>
                <w:sz w:val="24"/>
                <w:szCs w:val="24"/>
              </w:rPr>
              <w:t xml:space="preserve">2.4.2 Frequency-Magnitude distribution and </w:t>
            </w:r>
            <w:r>
              <w:rPr>
                <w:sz w:val="24"/>
                <w:szCs w:val="24"/>
              </w:rPr>
              <w:t xml:space="preserve">the </w:t>
            </w:r>
            <w:proofErr w:type="spellStart"/>
            <w:r w:rsidRPr="0033093E">
              <w:rPr>
                <w:sz w:val="24"/>
                <w:szCs w:val="24"/>
              </w:rPr>
              <w:t>Seismogenic</w:t>
            </w:r>
            <w:proofErr w:type="spellEnd"/>
            <w:r w:rsidRPr="0033093E">
              <w:rPr>
                <w:sz w:val="24"/>
                <w:szCs w:val="24"/>
              </w:rPr>
              <w:t xml:space="preserve"> Index</w:t>
            </w:r>
          </w:p>
        </w:tc>
        <w:tc>
          <w:tcPr>
            <w:tcW w:w="1255" w:type="dxa"/>
            <w:tcBorders>
              <w:top w:val="nil"/>
              <w:left w:val="nil"/>
              <w:bottom w:val="nil"/>
              <w:right w:val="nil"/>
            </w:tcBorders>
          </w:tcPr>
          <w:p w14:paraId="279ED041" w14:textId="44794056" w:rsidR="004E04DF" w:rsidRPr="008F3219" w:rsidRDefault="00CC33E5" w:rsidP="008F3219">
            <w:pPr>
              <w:jc w:val="right"/>
              <w:rPr>
                <w:sz w:val="24"/>
                <w:szCs w:val="24"/>
              </w:rPr>
            </w:pPr>
            <w:r w:rsidRPr="008F3219">
              <w:rPr>
                <w:sz w:val="24"/>
                <w:szCs w:val="24"/>
              </w:rPr>
              <w:t>21</w:t>
            </w:r>
          </w:p>
        </w:tc>
      </w:tr>
      <w:tr w:rsidR="004E04DF" w:rsidRPr="0033093E" w14:paraId="66360C2E" w14:textId="77777777" w:rsidTr="00C32386">
        <w:trPr>
          <w:gridBefore w:val="1"/>
          <w:wBefore w:w="809" w:type="dxa"/>
        </w:trPr>
        <w:tc>
          <w:tcPr>
            <w:tcW w:w="810" w:type="dxa"/>
            <w:tcBorders>
              <w:top w:val="nil"/>
              <w:left w:val="nil"/>
              <w:bottom w:val="nil"/>
              <w:right w:val="nil"/>
            </w:tcBorders>
          </w:tcPr>
          <w:p w14:paraId="54A8A539" w14:textId="77777777" w:rsidR="004E04DF" w:rsidRPr="0033093E" w:rsidRDefault="004E04DF" w:rsidP="00182DFB">
            <w:pPr>
              <w:rPr>
                <w:b/>
                <w:bCs/>
                <w:sz w:val="24"/>
                <w:szCs w:val="24"/>
              </w:rPr>
            </w:pPr>
          </w:p>
        </w:tc>
        <w:tc>
          <w:tcPr>
            <w:tcW w:w="806" w:type="dxa"/>
            <w:tcBorders>
              <w:top w:val="nil"/>
              <w:left w:val="nil"/>
              <w:bottom w:val="nil"/>
              <w:right w:val="nil"/>
            </w:tcBorders>
          </w:tcPr>
          <w:p w14:paraId="64D7516C"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335B94A5" w14:textId="77777777" w:rsidR="004E04DF" w:rsidRPr="0033093E" w:rsidRDefault="004E04DF" w:rsidP="00182DFB">
            <w:pPr>
              <w:rPr>
                <w:sz w:val="24"/>
                <w:szCs w:val="24"/>
              </w:rPr>
            </w:pPr>
            <w:r w:rsidRPr="0033093E">
              <w:rPr>
                <w:sz w:val="24"/>
                <w:szCs w:val="24"/>
              </w:rPr>
              <w:t>2.5 Discussion</w:t>
            </w:r>
          </w:p>
        </w:tc>
        <w:tc>
          <w:tcPr>
            <w:tcW w:w="1255" w:type="dxa"/>
            <w:tcBorders>
              <w:top w:val="nil"/>
              <w:left w:val="nil"/>
              <w:bottom w:val="nil"/>
              <w:right w:val="nil"/>
            </w:tcBorders>
          </w:tcPr>
          <w:p w14:paraId="5B6253CF" w14:textId="4BF96B2A" w:rsidR="004E04DF" w:rsidRPr="008F3219" w:rsidRDefault="00CC33E5" w:rsidP="008F3219">
            <w:pPr>
              <w:jc w:val="right"/>
              <w:rPr>
                <w:sz w:val="24"/>
                <w:szCs w:val="24"/>
              </w:rPr>
            </w:pPr>
            <w:r w:rsidRPr="008F3219">
              <w:rPr>
                <w:sz w:val="24"/>
                <w:szCs w:val="24"/>
              </w:rPr>
              <w:t>23</w:t>
            </w:r>
          </w:p>
        </w:tc>
      </w:tr>
      <w:tr w:rsidR="004E04DF" w:rsidRPr="0033093E" w14:paraId="70661FAB" w14:textId="77777777" w:rsidTr="00C32386">
        <w:trPr>
          <w:gridBefore w:val="1"/>
          <w:wBefore w:w="809" w:type="dxa"/>
        </w:trPr>
        <w:tc>
          <w:tcPr>
            <w:tcW w:w="810" w:type="dxa"/>
            <w:tcBorders>
              <w:top w:val="nil"/>
              <w:left w:val="nil"/>
              <w:bottom w:val="nil"/>
              <w:right w:val="nil"/>
            </w:tcBorders>
          </w:tcPr>
          <w:p w14:paraId="427E34B3" w14:textId="77777777" w:rsidR="004E04DF" w:rsidRPr="0033093E" w:rsidRDefault="004E04DF" w:rsidP="00182DFB">
            <w:pPr>
              <w:rPr>
                <w:b/>
                <w:bCs/>
                <w:sz w:val="24"/>
                <w:szCs w:val="24"/>
              </w:rPr>
            </w:pPr>
          </w:p>
        </w:tc>
        <w:tc>
          <w:tcPr>
            <w:tcW w:w="806" w:type="dxa"/>
            <w:tcBorders>
              <w:top w:val="nil"/>
              <w:left w:val="nil"/>
              <w:bottom w:val="nil"/>
              <w:right w:val="nil"/>
            </w:tcBorders>
          </w:tcPr>
          <w:p w14:paraId="7EB897C2" w14:textId="77777777" w:rsidR="004E04DF" w:rsidRPr="0033093E" w:rsidRDefault="004E04DF" w:rsidP="00182DFB">
            <w:pPr>
              <w:rPr>
                <w:sz w:val="24"/>
                <w:szCs w:val="24"/>
              </w:rPr>
            </w:pPr>
          </w:p>
        </w:tc>
        <w:tc>
          <w:tcPr>
            <w:tcW w:w="720" w:type="dxa"/>
            <w:tcBorders>
              <w:top w:val="nil"/>
              <w:left w:val="nil"/>
              <w:bottom w:val="nil"/>
              <w:right w:val="nil"/>
            </w:tcBorders>
          </w:tcPr>
          <w:p w14:paraId="0AA2DA6D" w14:textId="77777777" w:rsidR="004E04DF" w:rsidRPr="0033093E" w:rsidRDefault="004E04DF" w:rsidP="00182DFB">
            <w:pPr>
              <w:rPr>
                <w:sz w:val="24"/>
                <w:szCs w:val="24"/>
              </w:rPr>
            </w:pPr>
          </w:p>
        </w:tc>
        <w:tc>
          <w:tcPr>
            <w:tcW w:w="4950" w:type="dxa"/>
            <w:tcBorders>
              <w:top w:val="nil"/>
              <w:left w:val="nil"/>
              <w:bottom w:val="nil"/>
              <w:right w:val="nil"/>
            </w:tcBorders>
          </w:tcPr>
          <w:p w14:paraId="24A23F45" w14:textId="77777777" w:rsidR="004E04DF" w:rsidRPr="0033093E" w:rsidRDefault="004E04DF" w:rsidP="00182DFB">
            <w:pPr>
              <w:rPr>
                <w:sz w:val="24"/>
                <w:szCs w:val="24"/>
              </w:rPr>
            </w:pPr>
            <w:r w:rsidRPr="0033093E">
              <w:rPr>
                <w:sz w:val="24"/>
                <w:szCs w:val="24"/>
              </w:rPr>
              <w:t>2.5.1 Factors influence magnitude measurement</w:t>
            </w:r>
          </w:p>
        </w:tc>
        <w:tc>
          <w:tcPr>
            <w:tcW w:w="1255" w:type="dxa"/>
            <w:tcBorders>
              <w:top w:val="nil"/>
              <w:left w:val="nil"/>
              <w:bottom w:val="nil"/>
              <w:right w:val="nil"/>
            </w:tcBorders>
          </w:tcPr>
          <w:p w14:paraId="7F621254" w14:textId="686E03B8" w:rsidR="004E04DF" w:rsidRPr="008F3219" w:rsidRDefault="00CC33E5" w:rsidP="008F3219">
            <w:pPr>
              <w:jc w:val="right"/>
              <w:rPr>
                <w:sz w:val="24"/>
                <w:szCs w:val="24"/>
              </w:rPr>
            </w:pPr>
            <w:r w:rsidRPr="008F3219">
              <w:rPr>
                <w:sz w:val="24"/>
                <w:szCs w:val="24"/>
              </w:rPr>
              <w:t>24</w:t>
            </w:r>
          </w:p>
        </w:tc>
      </w:tr>
      <w:tr w:rsidR="004E04DF" w:rsidRPr="0033093E" w14:paraId="53DE5254" w14:textId="77777777" w:rsidTr="00C32386">
        <w:trPr>
          <w:gridBefore w:val="1"/>
          <w:wBefore w:w="809" w:type="dxa"/>
        </w:trPr>
        <w:tc>
          <w:tcPr>
            <w:tcW w:w="810" w:type="dxa"/>
            <w:tcBorders>
              <w:top w:val="nil"/>
              <w:left w:val="nil"/>
              <w:bottom w:val="nil"/>
              <w:right w:val="nil"/>
            </w:tcBorders>
          </w:tcPr>
          <w:p w14:paraId="18D9C667" w14:textId="77777777" w:rsidR="004E04DF" w:rsidRPr="0033093E" w:rsidRDefault="004E04DF" w:rsidP="00182DFB">
            <w:pPr>
              <w:rPr>
                <w:b/>
                <w:bCs/>
                <w:sz w:val="24"/>
                <w:szCs w:val="24"/>
              </w:rPr>
            </w:pPr>
          </w:p>
        </w:tc>
        <w:tc>
          <w:tcPr>
            <w:tcW w:w="806" w:type="dxa"/>
            <w:tcBorders>
              <w:top w:val="nil"/>
              <w:left w:val="nil"/>
              <w:bottom w:val="nil"/>
              <w:right w:val="nil"/>
            </w:tcBorders>
          </w:tcPr>
          <w:p w14:paraId="759D2AD1" w14:textId="77777777" w:rsidR="004E04DF" w:rsidRPr="0033093E" w:rsidRDefault="004E04DF" w:rsidP="00182DFB">
            <w:pPr>
              <w:rPr>
                <w:sz w:val="24"/>
                <w:szCs w:val="24"/>
              </w:rPr>
            </w:pPr>
          </w:p>
        </w:tc>
        <w:tc>
          <w:tcPr>
            <w:tcW w:w="720" w:type="dxa"/>
            <w:tcBorders>
              <w:top w:val="nil"/>
              <w:left w:val="nil"/>
              <w:bottom w:val="nil"/>
              <w:right w:val="nil"/>
            </w:tcBorders>
          </w:tcPr>
          <w:p w14:paraId="2980861E" w14:textId="77777777" w:rsidR="004E04DF" w:rsidRPr="0033093E" w:rsidRDefault="004E04DF" w:rsidP="00182DFB">
            <w:pPr>
              <w:rPr>
                <w:sz w:val="24"/>
                <w:szCs w:val="24"/>
              </w:rPr>
            </w:pPr>
          </w:p>
        </w:tc>
        <w:tc>
          <w:tcPr>
            <w:tcW w:w="4950" w:type="dxa"/>
            <w:tcBorders>
              <w:top w:val="nil"/>
              <w:left w:val="nil"/>
              <w:bottom w:val="nil"/>
              <w:right w:val="nil"/>
            </w:tcBorders>
          </w:tcPr>
          <w:p w14:paraId="42A5FFD8" w14:textId="77777777" w:rsidR="004E04DF" w:rsidRPr="0033093E" w:rsidRDefault="004E04DF" w:rsidP="00182DFB">
            <w:pPr>
              <w:rPr>
                <w:sz w:val="24"/>
                <w:szCs w:val="24"/>
              </w:rPr>
            </w:pPr>
            <w:r w:rsidRPr="0033093E">
              <w:rPr>
                <w:sz w:val="24"/>
                <w:szCs w:val="24"/>
              </w:rPr>
              <w:t>2.5.2 Uncertainties in statistical measurement</w:t>
            </w:r>
          </w:p>
        </w:tc>
        <w:tc>
          <w:tcPr>
            <w:tcW w:w="1255" w:type="dxa"/>
            <w:tcBorders>
              <w:top w:val="nil"/>
              <w:left w:val="nil"/>
              <w:bottom w:val="nil"/>
              <w:right w:val="nil"/>
            </w:tcBorders>
          </w:tcPr>
          <w:p w14:paraId="7554DE3A" w14:textId="6D3359B5" w:rsidR="004E04DF" w:rsidRPr="008F3219" w:rsidRDefault="00CC33E5" w:rsidP="008F3219">
            <w:pPr>
              <w:jc w:val="right"/>
              <w:rPr>
                <w:sz w:val="24"/>
                <w:szCs w:val="24"/>
              </w:rPr>
            </w:pPr>
            <w:r w:rsidRPr="008F3219">
              <w:rPr>
                <w:sz w:val="24"/>
                <w:szCs w:val="24"/>
              </w:rPr>
              <w:t>25</w:t>
            </w:r>
          </w:p>
        </w:tc>
      </w:tr>
      <w:tr w:rsidR="004E04DF" w:rsidRPr="0033093E" w14:paraId="2FE2E69D" w14:textId="77777777" w:rsidTr="00C32386">
        <w:trPr>
          <w:gridBefore w:val="1"/>
          <w:wBefore w:w="809" w:type="dxa"/>
        </w:trPr>
        <w:tc>
          <w:tcPr>
            <w:tcW w:w="810" w:type="dxa"/>
            <w:tcBorders>
              <w:top w:val="nil"/>
              <w:left w:val="nil"/>
              <w:bottom w:val="nil"/>
              <w:right w:val="nil"/>
            </w:tcBorders>
          </w:tcPr>
          <w:p w14:paraId="130932B7" w14:textId="77777777" w:rsidR="004E04DF" w:rsidRPr="0033093E" w:rsidRDefault="004E04DF" w:rsidP="00182DFB">
            <w:pPr>
              <w:rPr>
                <w:b/>
                <w:bCs/>
                <w:sz w:val="24"/>
                <w:szCs w:val="24"/>
              </w:rPr>
            </w:pPr>
          </w:p>
        </w:tc>
        <w:tc>
          <w:tcPr>
            <w:tcW w:w="806" w:type="dxa"/>
            <w:tcBorders>
              <w:top w:val="nil"/>
              <w:left w:val="nil"/>
              <w:bottom w:val="nil"/>
              <w:right w:val="nil"/>
            </w:tcBorders>
          </w:tcPr>
          <w:p w14:paraId="62EB53EB" w14:textId="77777777" w:rsidR="004E04DF" w:rsidRPr="0033093E" w:rsidRDefault="004E04DF" w:rsidP="00182DFB">
            <w:pPr>
              <w:rPr>
                <w:sz w:val="24"/>
                <w:szCs w:val="24"/>
              </w:rPr>
            </w:pPr>
          </w:p>
        </w:tc>
        <w:tc>
          <w:tcPr>
            <w:tcW w:w="720" w:type="dxa"/>
            <w:tcBorders>
              <w:top w:val="nil"/>
              <w:left w:val="nil"/>
              <w:bottom w:val="nil"/>
              <w:right w:val="nil"/>
            </w:tcBorders>
          </w:tcPr>
          <w:p w14:paraId="78FF5C79" w14:textId="77777777" w:rsidR="004E04DF" w:rsidRPr="0033093E" w:rsidRDefault="004E04DF" w:rsidP="00182DFB">
            <w:pPr>
              <w:rPr>
                <w:sz w:val="24"/>
                <w:szCs w:val="24"/>
              </w:rPr>
            </w:pPr>
          </w:p>
        </w:tc>
        <w:tc>
          <w:tcPr>
            <w:tcW w:w="4950" w:type="dxa"/>
            <w:tcBorders>
              <w:top w:val="nil"/>
              <w:left w:val="nil"/>
              <w:bottom w:val="nil"/>
              <w:right w:val="nil"/>
            </w:tcBorders>
          </w:tcPr>
          <w:p w14:paraId="778B82B1" w14:textId="77777777" w:rsidR="004E04DF" w:rsidRPr="0033093E" w:rsidRDefault="004E04DF" w:rsidP="00182DFB">
            <w:pPr>
              <w:rPr>
                <w:sz w:val="24"/>
                <w:szCs w:val="24"/>
              </w:rPr>
            </w:pPr>
            <w:r w:rsidRPr="0033093E">
              <w:rPr>
                <w:sz w:val="24"/>
                <w:szCs w:val="24"/>
              </w:rPr>
              <w:t>2.5.3 Difference in</w:t>
            </w:r>
            <w:r>
              <w:rPr>
                <w:sz w:val="24"/>
                <w:szCs w:val="24"/>
              </w:rPr>
              <w:t xml:space="preserve"> the</w:t>
            </w:r>
            <w:r w:rsidRPr="0033093E">
              <w:rPr>
                <w:sz w:val="24"/>
                <w:szCs w:val="24"/>
              </w:rPr>
              <w:t xml:space="preserve"> </w:t>
            </w:r>
            <w:proofErr w:type="spellStart"/>
            <w:r w:rsidRPr="0033093E">
              <w:rPr>
                <w:sz w:val="24"/>
                <w:szCs w:val="24"/>
              </w:rPr>
              <w:t>seismogenic</w:t>
            </w:r>
            <w:proofErr w:type="spellEnd"/>
            <w:r w:rsidRPr="0033093E">
              <w:rPr>
                <w:sz w:val="24"/>
                <w:szCs w:val="24"/>
              </w:rPr>
              <w:t xml:space="preserve"> potential for different sets of fractures</w:t>
            </w:r>
          </w:p>
        </w:tc>
        <w:tc>
          <w:tcPr>
            <w:tcW w:w="1255" w:type="dxa"/>
            <w:tcBorders>
              <w:top w:val="nil"/>
              <w:left w:val="nil"/>
              <w:bottom w:val="nil"/>
              <w:right w:val="nil"/>
            </w:tcBorders>
          </w:tcPr>
          <w:p w14:paraId="3E21C081" w14:textId="79CF3379" w:rsidR="004E04DF" w:rsidRPr="008F3219" w:rsidRDefault="00CC33E5" w:rsidP="008F3219">
            <w:pPr>
              <w:jc w:val="right"/>
              <w:rPr>
                <w:sz w:val="24"/>
                <w:szCs w:val="24"/>
              </w:rPr>
            </w:pPr>
            <w:r w:rsidRPr="008F3219">
              <w:rPr>
                <w:sz w:val="24"/>
                <w:szCs w:val="24"/>
              </w:rPr>
              <w:t>26</w:t>
            </w:r>
          </w:p>
        </w:tc>
      </w:tr>
      <w:tr w:rsidR="004E04DF" w:rsidRPr="0033093E" w14:paraId="40F2E7C0" w14:textId="77777777" w:rsidTr="00C32386">
        <w:trPr>
          <w:gridBefore w:val="1"/>
          <w:wBefore w:w="809" w:type="dxa"/>
        </w:trPr>
        <w:tc>
          <w:tcPr>
            <w:tcW w:w="810" w:type="dxa"/>
            <w:tcBorders>
              <w:top w:val="nil"/>
              <w:left w:val="nil"/>
              <w:bottom w:val="nil"/>
              <w:right w:val="nil"/>
            </w:tcBorders>
          </w:tcPr>
          <w:p w14:paraId="2EB5CF08" w14:textId="77777777" w:rsidR="004E04DF" w:rsidRPr="0033093E" w:rsidRDefault="004E04DF" w:rsidP="00182DFB">
            <w:pPr>
              <w:rPr>
                <w:b/>
                <w:bCs/>
                <w:sz w:val="24"/>
                <w:szCs w:val="24"/>
              </w:rPr>
            </w:pPr>
          </w:p>
        </w:tc>
        <w:tc>
          <w:tcPr>
            <w:tcW w:w="806" w:type="dxa"/>
            <w:tcBorders>
              <w:top w:val="nil"/>
              <w:left w:val="nil"/>
              <w:bottom w:val="nil"/>
              <w:right w:val="nil"/>
            </w:tcBorders>
          </w:tcPr>
          <w:p w14:paraId="0FD43003"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5A42AF37" w14:textId="77777777" w:rsidR="004E04DF" w:rsidRPr="0033093E" w:rsidRDefault="004E04DF" w:rsidP="00182DFB">
            <w:pPr>
              <w:rPr>
                <w:sz w:val="24"/>
                <w:szCs w:val="24"/>
              </w:rPr>
            </w:pPr>
            <w:r w:rsidRPr="0033093E">
              <w:rPr>
                <w:sz w:val="24"/>
                <w:szCs w:val="24"/>
              </w:rPr>
              <w:t>2.6 Conclusion</w:t>
            </w:r>
          </w:p>
        </w:tc>
        <w:tc>
          <w:tcPr>
            <w:tcW w:w="1255" w:type="dxa"/>
            <w:tcBorders>
              <w:top w:val="nil"/>
              <w:left w:val="nil"/>
              <w:bottom w:val="nil"/>
              <w:right w:val="nil"/>
            </w:tcBorders>
          </w:tcPr>
          <w:p w14:paraId="4B48BFCD" w14:textId="3C5D0BE2" w:rsidR="004E04DF" w:rsidRPr="008F3219" w:rsidRDefault="00CC33E5" w:rsidP="008F3219">
            <w:pPr>
              <w:jc w:val="right"/>
              <w:rPr>
                <w:sz w:val="24"/>
                <w:szCs w:val="24"/>
              </w:rPr>
            </w:pPr>
            <w:r w:rsidRPr="008F3219">
              <w:rPr>
                <w:sz w:val="24"/>
                <w:szCs w:val="24"/>
              </w:rPr>
              <w:t>28</w:t>
            </w:r>
          </w:p>
        </w:tc>
      </w:tr>
      <w:tr w:rsidR="004E04DF" w:rsidRPr="0033093E" w14:paraId="46828200" w14:textId="77777777" w:rsidTr="00C32386">
        <w:trPr>
          <w:gridBefore w:val="1"/>
          <w:wBefore w:w="809" w:type="dxa"/>
        </w:trPr>
        <w:tc>
          <w:tcPr>
            <w:tcW w:w="810" w:type="dxa"/>
            <w:tcBorders>
              <w:top w:val="nil"/>
              <w:left w:val="nil"/>
              <w:bottom w:val="nil"/>
              <w:right w:val="nil"/>
            </w:tcBorders>
          </w:tcPr>
          <w:p w14:paraId="41B18724" w14:textId="77777777" w:rsidR="004E04DF" w:rsidRPr="0033093E" w:rsidRDefault="004E04DF" w:rsidP="00182DFB">
            <w:pPr>
              <w:rPr>
                <w:b/>
                <w:bCs/>
                <w:sz w:val="24"/>
                <w:szCs w:val="24"/>
              </w:rPr>
            </w:pPr>
          </w:p>
        </w:tc>
        <w:tc>
          <w:tcPr>
            <w:tcW w:w="806" w:type="dxa"/>
            <w:tcBorders>
              <w:top w:val="nil"/>
              <w:left w:val="nil"/>
              <w:bottom w:val="nil"/>
              <w:right w:val="nil"/>
            </w:tcBorders>
          </w:tcPr>
          <w:p w14:paraId="529A5A7A"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068DD177" w14:textId="77777777" w:rsidR="004E04DF" w:rsidRPr="0033093E" w:rsidRDefault="004E04DF" w:rsidP="00182DFB">
            <w:pPr>
              <w:rPr>
                <w:sz w:val="24"/>
                <w:szCs w:val="24"/>
              </w:rPr>
            </w:pPr>
            <w:r w:rsidRPr="0033093E">
              <w:rPr>
                <w:sz w:val="24"/>
                <w:szCs w:val="24"/>
              </w:rPr>
              <w:t>2.7 Data and Resources</w:t>
            </w:r>
          </w:p>
        </w:tc>
        <w:tc>
          <w:tcPr>
            <w:tcW w:w="1255" w:type="dxa"/>
            <w:tcBorders>
              <w:top w:val="nil"/>
              <w:left w:val="nil"/>
              <w:bottom w:val="nil"/>
              <w:right w:val="nil"/>
            </w:tcBorders>
          </w:tcPr>
          <w:p w14:paraId="09A97F3A" w14:textId="343B3BD6" w:rsidR="004E04DF" w:rsidRPr="008F3219" w:rsidRDefault="00CC33E5" w:rsidP="008F3219">
            <w:pPr>
              <w:jc w:val="right"/>
              <w:rPr>
                <w:sz w:val="24"/>
                <w:szCs w:val="24"/>
              </w:rPr>
            </w:pPr>
            <w:r w:rsidRPr="008F3219">
              <w:rPr>
                <w:sz w:val="24"/>
                <w:szCs w:val="24"/>
              </w:rPr>
              <w:t>29</w:t>
            </w:r>
          </w:p>
        </w:tc>
      </w:tr>
      <w:tr w:rsidR="004E04DF" w:rsidRPr="0033093E" w14:paraId="3F56EA8A" w14:textId="77777777" w:rsidTr="00C32386">
        <w:trPr>
          <w:gridBefore w:val="1"/>
          <w:wBefore w:w="809" w:type="dxa"/>
        </w:trPr>
        <w:tc>
          <w:tcPr>
            <w:tcW w:w="810" w:type="dxa"/>
            <w:tcBorders>
              <w:top w:val="nil"/>
              <w:left w:val="nil"/>
              <w:bottom w:val="nil"/>
              <w:right w:val="nil"/>
            </w:tcBorders>
          </w:tcPr>
          <w:p w14:paraId="17C2211B" w14:textId="77777777" w:rsidR="004E04DF" w:rsidRPr="0033093E" w:rsidRDefault="004E04DF" w:rsidP="00182DFB">
            <w:pPr>
              <w:rPr>
                <w:b/>
                <w:bCs/>
                <w:sz w:val="24"/>
                <w:szCs w:val="24"/>
              </w:rPr>
            </w:pPr>
          </w:p>
        </w:tc>
        <w:tc>
          <w:tcPr>
            <w:tcW w:w="806" w:type="dxa"/>
            <w:tcBorders>
              <w:top w:val="nil"/>
              <w:left w:val="nil"/>
              <w:bottom w:val="nil"/>
              <w:right w:val="nil"/>
            </w:tcBorders>
          </w:tcPr>
          <w:p w14:paraId="0D7CB9E4"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04F41255" w14:textId="77777777" w:rsidR="004E04DF" w:rsidRPr="0033093E" w:rsidRDefault="004E04DF" w:rsidP="00182DFB">
            <w:pPr>
              <w:rPr>
                <w:sz w:val="24"/>
                <w:szCs w:val="24"/>
              </w:rPr>
            </w:pPr>
            <w:r w:rsidRPr="0033093E">
              <w:rPr>
                <w:sz w:val="24"/>
                <w:szCs w:val="24"/>
              </w:rPr>
              <w:t>2.8 Declaration of Competing Interest</w:t>
            </w:r>
          </w:p>
        </w:tc>
        <w:tc>
          <w:tcPr>
            <w:tcW w:w="1255" w:type="dxa"/>
            <w:tcBorders>
              <w:top w:val="nil"/>
              <w:left w:val="nil"/>
              <w:bottom w:val="nil"/>
              <w:right w:val="nil"/>
            </w:tcBorders>
          </w:tcPr>
          <w:p w14:paraId="22700AB1" w14:textId="6821AF64" w:rsidR="004E04DF" w:rsidRPr="008F3219" w:rsidRDefault="00CC33E5" w:rsidP="008F3219">
            <w:pPr>
              <w:jc w:val="right"/>
              <w:rPr>
                <w:sz w:val="24"/>
                <w:szCs w:val="24"/>
              </w:rPr>
            </w:pPr>
            <w:r w:rsidRPr="008F3219">
              <w:rPr>
                <w:sz w:val="24"/>
                <w:szCs w:val="24"/>
              </w:rPr>
              <w:t>29</w:t>
            </w:r>
          </w:p>
        </w:tc>
      </w:tr>
      <w:tr w:rsidR="004E04DF" w:rsidRPr="0033093E" w14:paraId="691F0CCD" w14:textId="77777777" w:rsidTr="00C32386">
        <w:trPr>
          <w:gridBefore w:val="1"/>
          <w:wBefore w:w="809" w:type="dxa"/>
        </w:trPr>
        <w:tc>
          <w:tcPr>
            <w:tcW w:w="810" w:type="dxa"/>
            <w:tcBorders>
              <w:top w:val="nil"/>
              <w:left w:val="nil"/>
              <w:bottom w:val="nil"/>
              <w:right w:val="nil"/>
            </w:tcBorders>
          </w:tcPr>
          <w:p w14:paraId="0470797E" w14:textId="77777777" w:rsidR="004E04DF" w:rsidRPr="0033093E" w:rsidRDefault="004E04DF" w:rsidP="00182DFB">
            <w:pPr>
              <w:rPr>
                <w:b/>
                <w:bCs/>
                <w:sz w:val="24"/>
                <w:szCs w:val="24"/>
              </w:rPr>
            </w:pPr>
          </w:p>
        </w:tc>
        <w:tc>
          <w:tcPr>
            <w:tcW w:w="806" w:type="dxa"/>
            <w:tcBorders>
              <w:top w:val="nil"/>
              <w:left w:val="nil"/>
              <w:bottom w:val="nil"/>
              <w:right w:val="nil"/>
            </w:tcBorders>
          </w:tcPr>
          <w:p w14:paraId="69F18394"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7151B66E" w14:textId="77777777" w:rsidR="004E04DF" w:rsidRPr="0033093E" w:rsidRDefault="004E04DF" w:rsidP="00182DFB">
            <w:pPr>
              <w:rPr>
                <w:sz w:val="24"/>
                <w:szCs w:val="24"/>
              </w:rPr>
            </w:pPr>
            <w:r w:rsidRPr="0033093E">
              <w:rPr>
                <w:sz w:val="24"/>
                <w:szCs w:val="24"/>
              </w:rPr>
              <w:t>2.9 Acknowledgements</w:t>
            </w:r>
          </w:p>
        </w:tc>
        <w:tc>
          <w:tcPr>
            <w:tcW w:w="1255" w:type="dxa"/>
            <w:tcBorders>
              <w:top w:val="nil"/>
              <w:left w:val="nil"/>
              <w:bottom w:val="nil"/>
              <w:right w:val="nil"/>
            </w:tcBorders>
          </w:tcPr>
          <w:p w14:paraId="66D088DA" w14:textId="4D61C5B1" w:rsidR="004E04DF" w:rsidRPr="008F3219" w:rsidRDefault="00CC33E5" w:rsidP="008F3219">
            <w:pPr>
              <w:jc w:val="right"/>
              <w:rPr>
                <w:sz w:val="24"/>
                <w:szCs w:val="24"/>
              </w:rPr>
            </w:pPr>
            <w:r w:rsidRPr="008F3219">
              <w:rPr>
                <w:sz w:val="24"/>
                <w:szCs w:val="24"/>
              </w:rPr>
              <w:t>29</w:t>
            </w:r>
          </w:p>
        </w:tc>
      </w:tr>
      <w:tr w:rsidR="004E04DF" w:rsidRPr="0033093E" w14:paraId="338CD2AB" w14:textId="77777777" w:rsidTr="00C32386">
        <w:trPr>
          <w:gridBefore w:val="1"/>
          <w:wBefore w:w="809" w:type="dxa"/>
        </w:trPr>
        <w:tc>
          <w:tcPr>
            <w:tcW w:w="810" w:type="dxa"/>
            <w:tcBorders>
              <w:top w:val="nil"/>
              <w:left w:val="nil"/>
              <w:bottom w:val="nil"/>
              <w:right w:val="nil"/>
            </w:tcBorders>
          </w:tcPr>
          <w:p w14:paraId="673B0D1B" w14:textId="77777777" w:rsidR="004E04DF" w:rsidRPr="0033093E" w:rsidRDefault="004E04DF" w:rsidP="00182DFB">
            <w:pPr>
              <w:rPr>
                <w:b/>
                <w:bCs/>
                <w:sz w:val="24"/>
                <w:szCs w:val="24"/>
              </w:rPr>
            </w:pPr>
          </w:p>
        </w:tc>
        <w:tc>
          <w:tcPr>
            <w:tcW w:w="806" w:type="dxa"/>
            <w:tcBorders>
              <w:top w:val="nil"/>
              <w:left w:val="nil"/>
              <w:bottom w:val="nil"/>
              <w:right w:val="nil"/>
            </w:tcBorders>
          </w:tcPr>
          <w:p w14:paraId="5F72AF94" w14:textId="77777777" w:rsidR="004E04DF" w:rsidRPr="0033093E" w:rsidRDefault="004E04DF" w:rsidP="00182DFB">
            <w:pPr>
              <w:rPr>
                <w:sz w:val="24"/>
                <w:szCs w:val="24"/>
              </w:rPr>
            </w:pPr>
          </w:p>
        </w:tc>
        <w:tc>
          <w:tcPr>
            <w:tcW w:w="5670" w:type="dxa"/>
            <w:gridSpan w:val="2"/>
            <w:tcBorders>
              <w:top w:val="nil"/>
              <w:left w:val="nil"/>
              <w:bottom w:val="nil"/>
              <w:right w:val="nil"/>
            </w:tcBorders>
          </w:tcPr>
          <w:p w14:paraId="4DC6BAC0" w14:textId="77777777" w:rsidR="004E04DF" w:rsidRPr="0033093E" w:rsidRDefault="004E04DF" w:rsidP="00182DFB">
            <w:pPr>
              <w:rPr>
                <w:sz w:val="24"/>
                <w:szCs w:val="24"/>
              </w:rPr>
            </w:pPr>
            <w:r w:rsidRPr="0033093E">
              <w:rPr>
                <w:sz w:val="24"/>
                <w:szCs w:val="24"/>
              </w:rPr>
              <w:t>References</w:t>
            </w:r>
          </w:p>
        </w:tc>
        <w:tc>
          <w:tcPr>
            <w:tcW w:w="1255" w:type="dxa"/>
            <w:tcBorders>
              <w:top w:val="nil"/>
              <w:left w:val="nil"/>
              <w:bottom w:val="nil"/>
              <w:right w:val="nil"/>
            </w:tcBorders>
          </w:tcPr>
          <w:p w14:paraId="5BF72680" w14:textId="05DCA0D5" w:rsidR="004E04DF" w:rsidRPr="008F3219" w:rsidRDefault="009E67C3" w:rsidP="008F3219">
            <w:pPr>
              <w:jc w:val="right"/>
              <w:rPr>
                <w:sz w:val="24"/>
                <w:szCs w:val="24"/>
              </w:rPr>
            </w:pPr>
            <w:r w:rsidRPr="008F3219">
              <w:rPr>
                <w:sz w:val="24"/>
                <w:szCs w:val="24"/>
              </w:rPr>
              <w:t>42</w:t>
            </w:r>
          </w:p>
        </w:tc>
      </w:tr>
      <w:tr w:rsidR="004E04DF" w:rsidRPr="0033093E" w14:paraId="3A2313A5" w14:textId="77777777" w:rsidTr="00C32386">
        <w:trPr>
          <w:gridBefore w:val="1"/>
          <w:wBefore w:w="809" w:type="dxa"/>
        </w:trPr>
        <w:tc>
          <w:tcPr>
            <w:tcW w:w="810" w:type="dxa"/>
            <w:tcBorders>
              <w:top w:val="nil"/>
              <w:left w:val="nil"/>
              <w:bottom w:val="nil"/>
              <w:right w:val="nil"/>
            </w:tcBorders>
          </w:tcPr>
          <w:p w14:paraId="3C7ABF9D" w14:textId="08CF6AE9" w:rsidR="004E04DF" w:rsidRPr="0033093E" w:rsidRDefault="004E04DF" w:rsidP="00182DFB">
            <w:pPr>
              <w:rPr>
                <w:b/>
                <w:bCs/>
                <w:sz w:val="24"/>
                <w:szCs w:val="24"/>
              </w:rPr>
            </w:pPr>
            <w:r>
              <w:rPr>
                <w:b/>
                <w:bCs/>
                <w:sz w:val="24"/>
                <w:szCs w:val="24"/>
              </w:rPr>
              <w:t>S</w:t>
            </w:r>
            <w:r w:rsidR="00E4453D">
              <w:rPr>
                <w:b/>
                <w:bCs/>
                <w:sz w:val="24"/>
                <w:szCs w:val="24"/>
              </w:rPr>
              <w:t>2</w:t>
            </w:r>
          </w:p>
        </w:tc>
        <w:tc>
          <w:tcPr>
            <w:tcW w:w="6476" w:type="dxa"/>
            <w:gridSpan w:val="3"/>
            <w:tcBorders>
              <w:top w:val="nil"/>
              <w:left w:val="nil"/>
              <w:bottom w:val="nil"/>
              <w:right w:val="nil"/>
            </w:tcBorders>
          </w:tcPr>
          <w:p w14:paraId="4C15CD8A" w14:textId="77777777" w:rsidR="004E04DF" w:rsidRPr="0033093E" w:rsidRDefault="004E04DF" w:rsidP="00182DFB">
            <w:pPr>
              <w:rPr>
                <w:b/>
                <w:bCs/>
                <w:sz w:val="24"/>
                <w:szCs w:val="24"/>
              </w:rPr>
            </w:pPr>
            <w:r>
              <w:rPr>
                <w:b/>
                <w:bCs/>
                <w:sz w:val="24"/>
                <w:szCs w:val="24"/>
              </w:rPr>
              <w:t>Supplemental Materials</w:t>
            </w:r>
          </w:p>
        </w:tc>
        <w:tc>
          <w:tcPr>
            <w:tcW w:w="1255" w:type="dxa"/>
            <w:tcBorders>
              <w:top w:val="nil"/>
              <w:left w:val="nil"/>
              <w:bottom w:val="nil"/>
              <w:right w:val="nil"/>
            </w:tcBorders>
          </w:tcPr>
          <w:p w14:paraId="7B7B095C" w14:textId="781F12FC" w:rsidR="004E04DF" w:rsidRPr="008F3219" w:rsidRDefault="009E67C3" w:rsidP="008F3219">
            <w:pPr>
              <w:jc w:val="right"/>
              <w:rPr>
                <w:sz w:val="24"/>
                <w:szCs w:val="24"/>
              </w:rPr>
            </w:pPr>
            <w:r w:rsidRPr="008F3219">
              <w:rPr>
                <w:sz w:val="24"/>
                <w:szCs w:val="24"/>
              </w:rPr>
              <w:t>47</w:t>
            </w:r>
          </w:p>
        </w:tc>
      </w:tr>
      <w:tr w:rsidR="004E04DF" w:rsidRPr="0033093E" w14:paraId="188C5D32" w14:textId="77777777" w:rsidTr="00C32386">
        <w:trPr>
          <w:gridBefore w:val="1"/>
          <w:wBefore w:w="809" w:type="dxa"/>
        </w:trPr>
        <w:tc>
          <w:tcPr>
            <w:tcW w:w="810" w:type="dxa"/>
            <w:tcBorders>
              <w:top w:val="nil"/>
              <w:left w:val="nil"/>
              <w:bottom w:val="nil"/>
              <w:right w:val="nil"/>
            </w:tcBorders>
          </w:tcPr>
          <w:p w14:paraId="6EB57948" w14:textId="77777777" w:rsidR="004E04DF" w:rsidRPr="0033093E" w:rsidRDefault="004E04DF" w:rsidP="00182DFB">
            <w:pPr>
              <w:rPr>
                <w:b/>
                <w:bCs/>
                <w:sz w:val="24"/>
                <w:szCs w:val="24"/>
              </w:rPr>
            </w:pPr>
          </w:p>
        </w:tc>
        <w:tc>
          <w:tcPr>
            <w:tcW w:w="6476" w:type="dxa"/>
            <w:gridSpan w:val="3"/>
            <w:tcBorders>
              <w:top w:val="nil"/>
              <w:left w:val="nil"/>
              <w:bottom w:val="nil"/>
              <w:right w:val="nil"/>
            </w:tcBorders>
          </w:tcPr>
          <w:p w14:paraId="42FA9EEA" w14:textId="77777777" w:rsidR="004E04DF" w:rsidRPr="0033093E" w:rsidRDefault="004E04DF" w:rsidP="00182DFB">
            <w:pPr>
              <w:rPr>
                <w:b/>
                <w:bCs/>
                <w:sz w:val="24"/>
                <w:szCs w:val="24"/>
              </w:rPr>
            </w:pPr>
          </w:p>
        </w:tc>
        <w:tc>
          <w:tcPr>
            <w:tcW w:w="1255" w:type="dxa"/>
            <w:tcBorders>
              <w:top w:val="nil"/>
              <w:left w:val="nil"/>
              <w:bottom w:val="nil"/>
              <w:right w:val="nil"/>
            </w:tcBorders>
          </w:tcPr>
          <w:p w14:paraId="23AF563E" w14:textId="77777777" w:rsidR="004E04DF" w:rsidRPr="008F3219" w:rsidRDefault="004E04DF" w:rsidP="008F3219">
            <w:pPr>
              <w:jc w:val="right"/>
              <w:rPr>
                <w:sz w:val="24"/>
                <w:szCs w:val="24"/>
              </w:rPr>
            </w:pPr>
          </w:p>
        </w:tc>
      </w:tr>
      <w:tr w:rsidR="004E04DF" w:rsidRPr="0033093E" w14:paraId="0F49FB2B" w14:textId="77777777" w:rsidTr="00C32386">
        <w:trPr>
          <w:gridBefore w:val="1"/>
          <w:wBefore w:w="809" w:type="dxa"/>
        </w:trPr>
        <w:tc>
          <w:tcPr>
            <w:tcW w:w="810" w:type="dxa"/>
            <w:tcBorders>
              <w:top w:val="nil"/>
              <w:left w:val="nil"/>
              <w:bottom w:val="nil"/>
              <w:right w:val="nil"/>
            </w:tcBorders>
          </w:tcPr>
          <w:p w14:paraId="5BE00461" w14:textId="77777777" w:rsidR="004E04DF" w:rsidRPr="0033093E" w:rsidRDefault="004E04DF" w:rsidP="00182DFB">
            <w:pPr>
              <w:rPr>
                <w:b/>
                <w:bCs/>
                <w:sz w:val="24"/>
                <w:szCs w:val="24"/>
              </w:rPr>
            </w:pPr>
            <w:r w:rsidRPr="0033093E">
              <w:rPr>
                <w:b/>
                <w:bCs/>
                <w:sz w:val="24"/>
                <w:szCs w:val="24"/>
              </w:rPr>
              <w:t>3</w:t>
            </w:r>
          </w:p>
        </w:tc>
        <w:tc>
          <w:tcPr>
            <w:tcW w:w="6476" w:type="dxa"/>
            <w:gridSpan w:val="3"/>
            <w:tcBorders>
              <w:top w:val="nil"/>
              <w:left w:val="nil"/>
              <w:bottom w:val="nil"/>
              <w:right w:val="nil"/>
            </w:tcBorders>
          </w:tcPr>
          <w:p w14:paraId="3C14E670" w14:textId="77777777" w:rsidR="004E04DF" w:rsidRPr="0033093E" w:rsidRDefault="004E04DF" w:rsidP="00182DFB">
            <w:pPr>
              <w:rPr>
                <w:b/>
                <w:bCs/>
                <w:sz w:val="24"/>
                <w:szCs w:val="24"/>
              </w:rPr>
            </w:pPr>
            <w:r w:rsidRPr="0033093E">
              <w:rPr>
                <w:b/>
                <w:bCs/>
                <w:sz w:val="24"/>
                <w:szCs w:val="24"/>
              </w:rPr>
              <w:t>Site response of ambient seismic noise of Northern Oklahoma from the perspective of Nodal and DAS arrays</w:t>
            </w:r>
          </w:p>
        </w:tc>
        <w:tc>
          <w:tcPr>
            <w:tcW w:w="1255" w:type="dxa"/>
            <w:tcBorders>
              <w:top w:val="nil"/>
              <w:left w:val="nil"/>
              <w:bottom w:val="nil"/>
              <w:right w:val="nil"/>
            </w:tcBorders>
          </w:tcPr>
          <w:p w14:paraId="08D9316E" w14:textId="3172B092" w:rsidR="004E04DF" w:rsidRPr="008F3219" w:rsidRDefault="009E67C3" w:rsidP="008F3219">
            <w:pPr>
              <w:jc w:val="right"/>
              <w:rPr>
                <w:sz w:val="24"/>
                <w:szCs w:val="24"/>
              </w:rPr>
            </w:pPr>
            <w:r w:rsidRPr="008F3219">
              <w:rPr>
                <w:sz w:val="24"/>
                <w:szCs w:val="24"/>
              </w:rPr>
              <w:t>53</w:t>
            </w:r>
          </w:p>
        </w:tc>
      </w:tr>
      <w:tr w:rsidR="004E04DF" w:rsidRPr="0033093E" w14:paraId="0F927749" w14:textId="77777777" w:rsidTr="00C32386">
        <w:trPr>
          <w:gridBefore w:val="1"/>
          <w:wBefore w:w="809" w:type="dxa"/>
        </w:trPr>
        <w:tc>
          <w:tcPr>
            <w:tcW w:w="810" w:type="dxa"/>
            <w:tcBorders>
              <w:top w:val="nil"/>
              <w:left w:val="nil"/>
              <w:bottom w:val="nil"/>
              <w:right w:val="nil"/>
            </w:tcBorders>
          </w:tcPr>
          <w:p w14:paraId="2435488F" w14:textId="77777777" w:rsidR="004E04DF" w:rsidRPr="0033093E" w:rsidRDefault="004E04DF" w:rsidP="00E8416D">
            <w:pPr>
              <w:rPr>
                <w:sz w:val="24"/>
                <w:szCs w:val="24"/>
              </w:rPr>
            </w:pPr>
          </w:p>
        </w:tc>
        <w:tc>
          <w:tcPr>
            <w:tcW w:w="806" w:type="dxa"/>
            <w:tcBorders>
              <w:top w:val="nil"/>
              <w:left w:val="nil"/>
              <w:bottom w:val="nil"/>
              <w:right w:val="nil"/>
            </w:tcBorders>
          </w:tcPr>
          <w:p w14:paraId="2B2D68AC"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08155658" w14:textId="77777777" w:rsidR="004E04DF" w:rsidRPr="0033093E" w:rsidRDefault="004E04DF" w:rsidP="00E8416D">
            <w:pPr>
              <w:rPr>
                <w:sz w:val="24"/>
                <w:szCs w:val="24"/>
              </w:rPr>
            </w:pPr>
            <w:r w:rsidRPr="0033093E">
              <w:rPr>
                <w:sz w:val="24"/>
                <w:szCs w:val="24"/>
              </w:rPr>
              <w:t>3.1 Abstract</w:t>
            </w:r>
          </w:p>
        </w:tc>
        <w:tc>
          <w:tcPr>
            <w:tcW w:w="1255" w:type="dxa"/>
            <w:tcBorders>
              <w:top w:val="nil"/>
              <w:left w:val="nil"/>
              <w:bottom w:val="nil"/>
              <w:right w:val="nil"/>
            </w:tcBorders>
          </w:tcPr>
          <w:p w14:paraId="359E28DD" w14:textId="6C4D77F4" w:rsidR="004E04DF" w:rsidRPr="008F3219" w:rsidRDefault="009E67C3" w:rsidP="008F3219">
            <w:pPr>
              <w:jc w:val="right"/>
              <w:rPr>
                <w:sz w:val="24"/>
                <w:szCs w:val="24"/>
              </w:rPr>
            </w:pPr>
            <w:r w:rsidRPr="008F3219">
              <w:rPr>
                <w:sz w:val="24"/>
                <w:szCs w:val="24"/>
              </w:rPr>
              <w:t>54</w:t>
            </w:r>
          </w:p>
        </w:tc>
      </w:tr>
      <w:tr w:rsidR="004E04DF" w:rsidRPr="0033093E" w14:paraId="366A77D2" w14:textId="77777777" w:rsidTr="00C32386">
        <w:trPr>
          <w:gridBefore w:val="1"/>
          <w:wBefore w:w="809" w:type="dxa"/>
        </w:trPr>
        <w:tc>
          <w:tcPr>
            <w:tcW w:w="810" w:type="dxa"/>
            <w:tcBorders>
              <w:top w:val="nil"/>
              <w:left w:val="nil"/>
              <w:bottom w:val="nil"/>
              <w:right w:val="nil"/>
            </w:tcBorders>
          </w:tcPr>
          <w:p w14:paraId="00F6EC90" w14:textId="77777777" w:rsidR="004E04DF" w:rsidRPr="0033093E" w:rsidRDefault="004E04DF" w:rsidP="00E8416D">
            <w:pPr>
              <w:rPr>
                <w:sz w:val="24"/>
                <w:szCs w:val="24"/>
              </w:rPr>
            </w:pPr>
          </w:p>
        </w:tc>
        <w:tc>
          <w:tcPr>
            <w:tcW w:w="806" w:type="dxa"/>
            <w:tcBorders>
              <w:top w:val="nil"/>
              <w:left w:val="nil"/>
              <w:bottom w:val="nil"/>
              <w:right w:val="nil"/>
            </w:tcBorders>
          </w:tcPr>
          <w:p w14:paraId="1BDDF6E7"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2D55C44D" w14:textId="77777777" w:rsidR="004E04DF" w:rsidRPr="0033093E" w:rsidRDefault="004E04DF" w:rsidP="00E8416D">
            <w:pPr>
              <w:rPr>
                <w:sz w:val="24"/>
                <w:szCs w:val="24"/>
              </w:rPr>
            </w:pPr>
            <w:r w:rsidRPr="0033093E">
              <w:rPr>
                <w:sz w:val="24"/>
                <w:szCs w:val="24"/>
              </w:rPr>
              <w:t>3.2 Introduction: Environmental and earthquake monitoring</w:t>
            </w:r>
          </w:p>
        </w:tc>
        <w:tc>
          <w:tcPr>
            <w:tcW w:w="1255" w:type="dxa"/>
            <w:tcBorders>
              <w:top w:val="nil"/>
              <w:left w:val="nil"/>
              <w:bottom w:val="nil"/>
              <w:right w:val="nil"/>
            </w:tcBorders>
          </w:tcPr>
          <w:p w14:paraId="4E588EC8" w14:textId="56D4F653" w:rsidR="004E04DF" w:rsidRPr="008F3219" w:rsidRDefault="009E67C3" w:rsidP="008F3219">
            <w:pPr>
              <w:jc w:val="right"/>
              <w:rPr>
                <w:sz w:val="24"/>
                <w:szCs w:val="24"/>
              </w:rPr>
            </w:pPr>
            <w:r w:rsidRPr="008F3219">
              <w:rPr>
                <w:sz w:val="24"/>
                <w:szCs w:val="24"/>
              </w:rPr>
              <w:t>55</w:t>
            </w:r>
          </w:p>
        </w:tc>
      </w:tr>
      <w:tr w:rsidR="004E04DF" w:rsidRPr="0033093E" w14:paraId="7A4DFD42" w14:textId="77777777" w:rsidTr="00C32386">
        <w:trPr>
          <w:gridBefore w:val="1"/>
          <w:wBefore w:w="809" w:type="dxa"/>
        </w:trPr>
        <w:tc>
          <w:tcPr>
            <w:tcW w:w="810" w:type="dxa"/>
            <w:tcBorders>
              <w:top w:val="nil"/>
              <w:left w:val="nil"/>
              <w:bottom w:val="nil"/>
              <w:right w:val="nil"/>
            </w:tcBorders>
          </w:tcPr>
          <w:p w14:paraId="2D837753" w14:textId="77777777" w:rsidR="004E04DF" w:rsidRPr="0033093E" w:rsidRDefault="004E04DF" w:rsidP="00E8416D">
            <w:pPr>
              <w:rPr>
                <w:sz w:val="24"/>
                <w:szCs w:val="24"/>
              </w:rPr>
            </w:pPr>
          </w:p>
        </w:tc>
        <w:tc>
          <w:tcPr>
            <w:tcW w:w="806" w:type="dxa"/>
            <w:tcBorders>
              <w:top w:val="nil"/>
              <w:left w:val="nil"/>
              <w:bottom w:val="nil"/>
              <w:right w:val="nil"/>
            </w:tcBorders>
          </w:tcPr>
          <w:p w14:paraId="2785824C"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47E45A9A" w14:textId="77777777" w:rsidR="004E04DF" w:rsidRPr="0033093E" w:rsidRDefault="004E04DF" w:rsidP="00E8416D">
            <w:pPr>
              <w:rPr>
                <w:sz w:val="24"/>
                <w:szCs w:val="24"/>
              </w:rPr>
            </w:pPr>
            <w:r w:rsidRPr="0033093E">
              <w:rPr>
                <w:sz w:val="24"/>
                <w:szCs w:val="24"/>
              </w:rPr>
              <w:t>3.3 Array information</w:t>
            </w:r>
          </w:p>
        </w:tc>
        <w:tc>
          <w:tcPr>
            <w:tcW w:w="1255" w:type="dxa"/>
            <w:tcBorders>
              <w:top w:val="nil"/>
              <w:left w:val="nil"/>
              <w:bottom w:val="nil"/>
              <w:right w:val="nil"/>
            </w:tcBorders>
          </w:tcPr>
          <w:p w14:paraId="1E749A3E" w14:textId="2824E941" w:rsidR="004E04DF" w:rsidRPr="008F3219" w:rsidRDefault="009E67C3" w:rsidP="008F3219">
            <w:pPr>
              <w:jc w:val="right"/>
              <w:rPr>
                <w:sz w:val="24"/>
                <w:szCs w:val="24"/>
              </w:rPr>
            </w:pPr>
            <w:r w:rsidRPr="008F3219">
              <w:rPr>
                <w:sz w:val="24"/>
                <w:szCs w:val="24"/>
              </w:rPr>
              <w:t>58</w:t>
            </w:r>
          </w:p>
        </w:tc>
      </w:tr>
      <w:tr w:rsidR="004E04DF" w:rsidRPr="0033093E" w14:paraId="40692AF4" w14:textId="77777777" w:rsidTr="00C32386">
        <w:trPr>
          <w:gridBefore w:val="1"/>
          <w:wBefore w:w="809" w:type="dxa"/>
        </w:trPr>
        <w:tc>
          <w:tcPr>
            <w:tcW w:w="810" w:type="dxa"/>
            <w:tcBorders>
              <w:top w:val="nil"/>
              <w:left w:val="nil"/>
              <w:bottom w:val="nil"/>
              <w:right w:val="nil"/>
            </w:tcBorders>
          </w:tcPr>
          <w:p w14:paraId="1CF9CAC9" w14:textId="77777777" w:rsidR="004E04DF" w:rsidRPr="0033093E" w:rsidRDefault="004E04DF" w:rsidP="00E8416D">
            <w:pPr>
              <w:rPr>
                <w:sz w:val="24"/>
                <w:szCs w:val="24"/>
              </w:rPr>
            </w:pPr>
          </w:p>
        </w:tc>
        <w:tc>
          <w:tcPr>
            <w:tcW w:w="806" w:type="dxa"/>
            <w:tcBorders>
              <w:top w:val="nil"/>
              <w:left w:val="nil"/>
              <w:bottom w:val="nil"/>
              <w:right w:val="nil"/>
            </w:tcBorders>
          </w:tcPr>
          <w:p w14:paraId="35E53399" w14:textId="77777777" w:rsidR="004E04DF" w:rsidRPr="0033093E" w:rsidRDefault="004E04DF" w:rsidP="00E8416D">
            <w:pPr>
              <w:rPr>
                <w:sz w:val="24"/>
                <w:szCs w:val="24"/>
              </w:rPr>
            </w:pPr>
          </w:p>
        </w:tc>
        <w:tc>
          <w:tcPr>
            <w:tcW w:w="720" w:type="dxa"/>
            <w:tcBorders>
              <w:top w:val="nil"/>
              <w:left w:val="nil"/>
              <w:bottom w:val="nil"/>
              <w:right w:val="nil"/>
            </w:tcBorders>
          </w:tcPr>
          <w:p w14:paraId="34F93F5D" w14:textId="77777777" w:rsidR="004E04DF" w:rsidRPr="0033093E" w:rsidRDefault="004E04DF" w:rsidP="00E8416D">
            <w:pPr>
              <w:rPr>
                <w:sz w:val="24"/>
                <w:szCs w:val="24"/>
              </w:rPr>
            </w:pPr>
          </w:p>
        </w:tc>
        <w:tc>
          <w:tcPr>
            <w:tcW w:w="4950" w:type="dxa"/>
            <w:tcBorders>
              <w:top w:val="nil"/>
              <w:left w:val="nil"/>
              <w:bottom w:val="nil"/>
              <w:right w:val="nil"/>
            </w:tcBorders>
          </w:tcPr>
          <w:p w14:paraId="590090E6" w14:textId="77777777" w:rsidR="004E04DF" w:rsidRPr="0033093E" w:rsidRDefault="004E04DF" w:rsidP="00E8416D">
            <w:pPr>
              <w:rPr>
                <w:sz w:val="24"/>
                <w:szCs w:val="24"/>
              </w:rPr>
            </w:pPr>
            <w:r w:rsidRPr="0033093E">
              <w:rPr>
                <w:sz w:val="24"/>
                <w:szCs w:val="24"/>
              </w:rPr>
              <w:t>3.3.1 Deployment 1 – EW1-40 (nodal deployment)</w:t>
            </w:r>
          </w:p>
        </w:tc>
        <w:tc>
          <w:tcPr>
            <w:tcW w:w="1255" w:type="dxa"/>
            <w:tcBorders>
              <w:top w:val="nil"/>
              <w:left w:val="nil"/>
              <w:bottom w:val="nil"/>
              <w:right w:val="nil"/>
            </w:tcBorders>
          </w:tcPr>
          <w:p w14:paraId="05C3B7A7" w14:textId="64F16B86" w:rsidR="004E04DF" w:rsidRPr="008F3219" w:rsidRDefault="009E67C3" w:rsidP="008F3219">
            <w:pPr>
              <w:jc w:val="right"/>
              <w:rPr>
                <w:sz w:val="24"/>
                <w:szCs w:val="24"/>
              </w:rPr>
            </w:pPr>
            <w:r w:rsidRPr="008F3219">
              <w:rPr>
                <w:sz w:val="24"/>
                <w:szCs w:val="24"/>
              </w:rPr>
              <w:t>59</w:t>
            </w:r>
          </w:p>
        </w:tc>
      </w:tr>
      <w:tr w:rsidR="004E04DF" w:rsidRPr="0033093E" w14:paraId="267A33DB" w14:textId="77777777" w:rsidTr="00C32386">
        <w:trPr>
          <w:gridBefore w:val="1"/>
          <w:wBefore w:w="809" w:type="dxa"/>
        </w:trPr>
        <w:tc>
          <w:tcPr>
            <w:tcW w:w="810" w:type="dxa"/>
            <w:tcBorders>
              <w:top w:val="nil"/>
              <w:left w:val="nil"/>
              <w:bottom w:val="nil"/>
              <w:right w:val="nil"/>
            </w:tcBorders>
          </w:tcPr>
          <w:p w14:paraId="1DA1AFB4" w14:textId="77777777" w:rsidR="004E04DF" w:rsidRPr="0033093E" w:rsidRDefault="004E04DF" w:rsidP="00E8416D">
            <w:pPr>
              <w:rPr>
                <w:sz w:val="24"/>
                <w:szCs w:val="24"/>
              </w:rPr>
            </w:pPr>
          </w:p>
        </w:tc>
        <w:tc>
          <w:tcPr>
            <w:tcW w:w="806" w:type="dxa"/>
            <w:tcBorders>
              <w:top w:val="nil"/>
              <w:left w:val="nil"/>
              <w:bottom w:val="nil"/>
              <w:right w:val="nil"/>
            </w:tcBorders>
          </w:tcPr>
          <w:p w14:paraId="5EDE56CB" w14:textId="77777777" w:rsidR="004E04DF" w:rsidRPr="0033093E" w:rsidRDefault="004E04DF" w:rsidP="00E8416D">
            <w:pPr>
              <w:rPr>
                <w:sz w:val="24"/>
                <w:szCs w:val="24"/>
              </w:rPr>
            </w:pPr>
          </w:p>
        </w:tc>
        <w:tc>
          <w:tcPr>
            <w:tcW w:w="720" w:type="dxa"/>
            <w:tcBorders>
              <w:top w:val="nil"/>
              <w:left w:val="nil"/>
              <w:bottom w:val="nil"/>
              <w:right w:val="nil"/>
            </w:tcBorders>
          </w:tcPr>
          <w:p w14:paraId="12B491C0" w14:textId="77777777" w:rsidR="004E04DF" w:rsidRPr="0033093E" w:rsidRDefault="004E04DF" w:rsidP="00E8416D">
            <w:pPr>
              <w:rPr>
                <w:sz w:val="24"/>
                <w:szCs w:val="24"/>
              </w:rPr>
            </w:pPr>
          </w:p>
        </w:tc>
        <w:tc>
          <w:tcPr>
            <w:tcW w:w="4950" w:type="dxa"/>
            <w:tcBorders>
              <w:top w:val="nil"/>
              <w:left w:val="nil"/>
              <w:bottom w:val="nil"/>
              <w:right w:val="nil"/>
            </w:tcBorders>
          </w:tcPr>
          <w:p w14:paraId="34482AB9" w14:textId="77777777" w:rsidR="004E04DF" w:rsidRPr="0033093E" w:rsidRDefault="004E04DF" w:rsidP="00E8416D">
            <w:pPr>
              <w:rPr>
                <w:sz w:val="24"/>
                <w:szCs w:val="24"/>
              </w:rPr>
            </w:pPr>
            <w:r w:rsidRPr="0033093E">
              <w:rPr>
                <w:sz w:val="24"/>
                <w:szCs w:val="24"/>
              </w:rPr>
              <w:t>3.3.2 Deployment 2 – EW1-20A&amp;B (Rolling nodal deployment and concurrent DAS)</w:t>
            </w:r>
          </w:p>
        </w:tc>
        <w:tc>
          <w:tcPr>
            <w:tcW w:w="1255" w:type="dxa"/>
            <w:tcBorders>
              <w:top w:val="nil"/>
              <w:left w:val="nil"/>
              <w:bottom w:val="nil"/>
              <w:right w:val="nil"/>
            </w:tcBorders>
          </w:tcPr>
          <w:p w14:paraId="4F9BC8FB" w14:textId="2DAC2555" w:rsidR="004E04DF" w:rsidRPr="008F3219" w:rsidRDefault="009E67C3" w:rsidP="008F3219">
            <w:pPr>
              <w:jc w:val="right"/>
              <w:rPr>
                <w:sz w:val="24"/>
                <w:szCs w:val="24"/>
              </w:rPr>
            </w:pPr>
            <w:r w:rsidRPr="008F3219">
              <w:rPr>
                <w:sz w:val="24"/>
                <w:szCs w:val="24"/>
              </w:rPr>
              <w:t>60</w:t>
            </w:r>
          </w:p>
        </w:tc>
      </w:tr>
      <w:tr w:rsidR="004E04DF" w:rsidRPr="0033093E" w14:paraId="359E7AA4" w14:textId="77777777" w:rsidTr="00C32386">
        <w:trPr>
          <w:gridBefore w:val="1"/>
          <w:wBefore w:w="809" w:type="dxa"/>
        </w:trPr>
        <w:tc>
          <w:tcPr>
            <w:tcW w:w="810" w:type="dxa"/>
            <w:tcBorders>
              <w:top w:val="nil"/>
              <w:left w:val="nil"/>
              <w:bottom w:val="nil"/>
              <w:right w:val="nil"/>
            </w:tcBorders>
          </w:tcPr>
          <w:p w14:paraId="392416E6" w14:textId="77777777" w:rsidR="004E04DF" w:rsidRPr="0033093E" w:rsidRDefault="004E04DF" w:rsidP="00E8416D">
            <w:pPr>
              <w:rPr>
                <w:sz w:val="24"/>
                <w:szCs w:val="24"/>
              </w:rPr>
            </w:pPr>
          </w:p>
        </w:tc>
        <w:tc>
          <w:tcPr>
            <w:tcW w:w="806" w:type="dxa"/>
            <w:tcBorders>
              <w:top w:val="nil"/>
              <w:left w:val="nil"/>
              <w:bottom w:val="nil"/>
              <w:right w:val="nil"/>
            </w:tcBorders>
          </w:tcPr>
          <w:p w14:paraId="388F5431" w14:textId="77777777" w:rsidR="004E04DF" w:rsidRPr="0033093E" w:rsidRDefault="004E04DF" w:rsidP="00E8416D">
            <w:pPr>
              <w:rPr>
                <w:sz w:val="24"/>
                <w:szCs w:val="24"/>
              </w:rPr>
            </w:pPr>
          </w:p>
        </w:tc>
        <w:tc>
          <w:tcPr>
            <w:tcW w:w="720" w:type="dxa"/>
            <w:tcBorders>
              <w:top w:val="nil"/>
              <w:left w:val="nil"/>
              <w:bottom w:val="nil"/>
              <w:right w:val="nil"/>
            </w:tcBorders>
          </w:tcPr>
          <w:p w14:paraId="6D9D9F15" w14:textId="77777777" w:rsidR="004E04DF" w:rsidRPr="0033093E" w:rsidRDefault="004E04DF" w:rsidP="00E8416D">
            <w:pPr>
              <w:rPr>
                <w:sz w:val="24"/>
                <w:szCs w:val="24"/>
              </w:rPr>
            </w:pPr>
          </w:p>
        </w:tc>
        <w:tc>
          <w:tcPr>
            <w:tcW w:w="4950" w:type="dxa"/>
            <w:tcBorders>
              <w:top w:val="nil"/>
              <w:left w:val="nil"/>
              <w:bottom w:val="nil"/>
              <w:right w:val="nil"/>
            </w:tcBorders>
          </w:tcPr>
          <w:p w14:paraId="52ECED2D" w14:textId="232D350D" w:rsidR="004E04DF" w:rsidRPr="0033093E" w:rsidRDefault="004E04DF" w:rsidP="00E8416D">
            <w:pPr>
              <w:rPr>
                <w:sz w:val="24"/>
                <w:szCs w:val="24"/>
              </w:rPr>
            </w:pPr>
            <w:r w:rsidRPr="0033093E">
              <w:rPr>
                <w:sz w:val="24"/>
                <w:szCs w:val="24"/>
              </w:rPr>
              <w:t>3.3.</w:t>
            </w:r>
            <w:r w:rsidR="008F3219">
              <w:rPr>
                <w:sz w:val="24"/>
                <w:szCs w:val="24"/>
              </w:rPr>
              <w:t>3</w:t>
            </w:r>
            <w:r w:rsidRPr="0033093E">
              <w:rPr>
                <w:sz w:val="24"/>
                <w:szCs w:val="24"/>
              </w:rPr>
              <w:t xml:space="preserve"> Deployment3 – EW2 (nodal deployment and concurrent DAS)</w:t>
            </w:r>
          </w:p>
        </w:tc>
        <w:tc>
          <w:tcPr>
            <w:tcW w:w="1255" w:type="dxa"/>
            <w:tcBorders>
              <w:top w:val="nil"/>
              <w:left w:val="nil"/>
              <w:bottom w:val="nil"/>
              <w:right w:val="nil"/>
            </w:tcBorders>
          </w:tcPr>
          <w:p w14:paraId="6653BD9F" w14:textId="4C3DC605" w:rsidR="004E04DF" w:rsidRPr="008F3219" w:rsidRDefault="009E67C3" w:rsidP="008F3219">
            <w:pPr>
              <w:jc w:val="right"/>
              <w:rPr>
                <w:sz w:val="24"/>
                <w:szCs w:val="24"/>
              </w:rPr>
            </w:pPr>
            <w:r w:rsidRPr="008F3219">
              <w:rPr>
                <w:sz w:val="24"/>
                <w:szCs w:val="24"/>
              </w:rPr>
              <w:t>60</w:t>
            </w:r>
          </w:p>
        </w:tc>
      </w:tr>
      <w:tr w:rsidR="004E04DF" w:rsidRPr="0033093E" w14:paraId="475AEF93" w14:textId="77777777" w:rsidTr="00C32386">
        <w:trPr>
          <w:gridBefore w:val="1"/>
          <w:wBefore w:w="809" w:type="dxa"/>
        </w:trPr>
        <w:tc>
          <w:tcPr>
            <w:tcW w:w="810" w:type="dxa"/>
            <w:tcBorders>
              <w:top w:val="nil"/>
              <w:left w:val="nil"/>
              <w:bottom w:val="nil"/>
              <w:right w:val="nil"/>
            </w:tcBorders>
          </w:tcPr>
          <w:p w14:paraId="1BD3C56A" w14:textId="77777777" w:rsidR="004E04DF" w:rsidRPr="0033093E" w:rsidRDefault="004E04DF" w:rsidP="00E8416D">
            <w:pPr>
              <w:rPr>
                <w:sz w:val="24"/>
                <w:szCs w:val="24"/>
              </w:rPr>
            </w:pPr>
          </w:p>
        </w:tc>
        <w:tc>
          <w:tcPr>
            <w:tcW w:w="806" w:type="dxa"/>
            <w:tcBorders>
              <w:top w:val="nil"/>
              <w:left w:val="nil"/>
              <w:bottom w:val="nil"/>
              <w:right w:val="nil"/>
            </w:tcBorders>
          </w:tcPr>
          <w:p w14:paraId="26493333"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613DEE23" w14:textId="77777777" w:rsidR="004E04DF" w:rsidRPr="0033093E" w:rsidRDefault="004E04DF" w:rsidP="00E8416D">
            <w:pPr>
              <w:rPr>
                <w:sz w:val="24"/>
                <w:szCs w:val="24"/>
              </w:rPr>
            </w:pPr>
            <w:r w:rsidRPr="0033093E">
              <w:rPr>
                <w:sz w:val="24"/>
                <w:szCs w:val="24"/>
              </w:rPr>
              <w:t>3.4 Comparison of DAS and Nodal array performance</w:t>
            </w:r>
          </w:p>
        </w:tc>
        <w:tc>
          <w:tcPr>
            <w:tcW w:w="1255" w:type="dxa"/>
            <w:tcBorders>
              <w:top w:val="nil"/>
              <w:left w:val="nil"/>
              <w:bottom w:val="nil"/>
              <w:right w:val="nil"/>
            </w:tcBorders>
          </w:tcPr>
          <w:p w14:paraId="1FE5A0EA" w14:textId="23A39EEA" w:rsidR="004E04DF" w:rsidRPr="008F3219" w:rsidRDefault="009E67C3" w:rsidP="008F3219">
            <w:pPr>
              <w:jc w:val="right"/>
              <w:rPr>
                <w:sz w:val="24"/>
                <w:szCs w:val="24"/>
              </w:rPr>
            </w:pPr>
            <w:r w:rsidRPr="008F3219">
              <w:rPr>
                <w:sz w:val="24"/>
                <w:szCs w:val="24"/>
              </w:rPr>
              <w:t>61</w:t>
            </w:r>
          </w:p>
        </w:tc>
      </w:tr>
      <w:tr w:rsidR="004E04DF" w:rsidRPr="0033093E" w14:paraId="29C32F37" w14:textId="77777777" w:rsidTr="00C32386">
        <w:trPr>
          <w:gridBefore w:val="1"/>
          <w:wBefore w:w="809" w:type="dxa"/>
        </w:trPr>
        <w:tc>
          <w:tcPr>
            <w:tcW w:w="810" w:type="dxa"/>
            <w:tcBorders>
              <w:top w:val="nil"/>
              <w:left w:val="nil"/>
              <w:bottom w:val="nil"/>
              <w:right w:val="nil"/>
            </w:tcBorders>
          </w:tcPr>
          <w:p w14:paraId="06A5A795" w14:textId="77777777" w:rsidR="004E04DF" w:rsidRPr="0033093E" w:rsidRDefault="004E04DF" w:rsidP="00E8416D">
            <w:pPr>
              <w:rPr>
                <w:sz w:val="24"/>
                <w:szCs w:val="24"/>
              </w:rPr>
            </w:pPr>
          </w:p>
        </w:tc>
        <w:tc>
          <w:tcPr>
            <w:tcW w:w="806" w:type="dxa"/>
            <w:tcBorders>
              <w:top w:val="nil"/>
              <w:left w:val="nil"/>
              <w:bottom w:val="nil"/>
              <w:right w:val="nil"/>
            </w:tcBorders>
          </w:tcPr>
          <w:p w14:paraId="1C1AB60E" w14:textId="77777777" w:rsidR="004E04DF" w:rsidRPr="0033093E" w:rsidRDefault="004E04DF" w:rsidP="00E8416D">
            <w:pPr>
              <w:rPr>
                <w:sz w:val="24"/>
                <w:szCs w:val="24"/>
              </w:rPr>
            </w:pPr>
          </w:p>
        </w:tc>
        <w:tc>
          <w:tcPr>
            <w:tcW w:w="720" w:type="dxa"/>
            <w:tcBorders>
              <w:top w:val="nil"/>
              <w:left w:val="nil"/>
              <w:bottom w:val="nil"/>
              <w:right w:val="nil"/>
            </w:tcBorders>
          </w:tcPr>
          <w:p w14:paraId="47C6F008" w14:textId="77777777" w:rsidR="004E04DF" w:rsidRPr="0033093E" w:rsidRDefault="004E04DF" w:rsidP="00E8416D">
            <w:pPr>
              <w:rPr>
                <w:sz w:val="24"/>
                <w:szCs w:val="24"/>
              </w:rPr>
            </w:pPr>
          </w:p>
        </w:tc>
        <w:tc>
          <w:tcPr>
            <w:tcW w:w="4950" w:type="dxa"/>
            <w:tcBorders>
              <w:top w:val="nil"/>
              <w:left w:val="nil"/>
              <w:bottom w:val="nil"/>
              <w:right w:val="nil"/>
            </w:tcBorders>
          </w:tcPr>
          <w:p w14:paraId="35F33E8B" w14:textId="77777777" w:rsidR="004E04DF" w:rsidRPr="0033093E" w:rsidRDefault="004E04DF" w:rsidP="00E8416D">
            <w:pPr>
              <w:rPr>
                <w:sz w:val="24"/>
                <w:szCs w:val="24"/>
              </w:rPr>
            </w:pPr>
            <w:r w:rsidRPr="0033093E">
              <w:rPr>
                <w:sz w:val="24"/>
                <w:szCs w:val="24"/>
              </w:rPr>
              <w:t>3.4.1 Noise</w:t>
            </w:r>
            <w:r>
              <w:rPr>
                <w:sz w:val="24"/>
                <w:szCs w:val="24"/>
              </w:rPr>
              <w:t>-</w:t>
            </w:r>
            <w:r w:rsidRPr="0033093E">
              <w:rPr>
                <w:sz w:val="24"/>
                <w:szCs w:val="24"/>
              </w:rPr>
              <w:t>level comparison of DAS and nodal</w:t>
            </w:r>
          </w:p>
        </w:tc>
        <w:tc>
          <w:tcPr>
            <w:tcW w:w="1255" w:type="dxa"/>
            <w:tcBorders>
              <w:top w:val="nil"/>
              <w:left w:val="nil"/>
              <w:bottom w:val="nil"/>
              <w:right w:val="nil"/>
            </w:tcBorders>
          </w:tcPr>
          <w:p w14:paraId="4FB339F4" w14:textId="3F2F805F" w:rsidR="004E04DF" w:rsidRPr="008F3219" w:rsidRDefault="009E67C3" w:rsidP="008F3219">
            <w:pPr>
              <w:jc w:val="right"/>
              <w:rPr>
                <w:sz w:val="24"/>
                <w:szCs w:val="24"/>
              </w:rPr>
            </w:pPr>
            <w:r w:rsidRPr="008F3219">
              <w:rPr>
                <w:sz w:val="24"/>
                <w:szCs w:val="24"/>
              </w:rPr>
              <w:t>63</w:t>
            </w:r>
          </w:p>
        </w:tc>
      </w:tr>
      <w:tr w:rsidR="004E04DF" w:rsidRPr="0033093E" w14:paraId="1F61C2B3" w14:textId="77777777" w:rsidTr="00C32386">
        <w:trPr>
          <w:gridBefore w:val="1"/>
          <w:wBefore w:w="809" w:type="dxa"/>
        </w:trPr>
        <w:tc>
          <w:tcPr>
            <w:tcW w:w="810" w:type="dxa"/>
            <w:tcBorders>
              <w:top w:val="nil"/>
              <w:left w:val="nil"/>
              <w:bottom w:val="nil"/>
              <w:right w:val="nil"/>
            </w:tcBorders>
          </w:tcPr>
          <w:p w14:paraId="3FF72833" w14:textId="77777777" w:rsidR="004E04DF" w:rsidRPr="0033093E" w:rsidRDefault="004E04DF" w:rsidP="00E8416D">
            <w:pPr>
              <w:rPr>
                <w:sz w:val="24"/>
                <w:szCs w:val="24"/>
              </w:rPr>
            </w:pPr>
          </w:p>
        </w:tc>
        <w:tc>
          <w:tcPr>
            <w:tcW w:w="806" w:type="dxa"/>
            <w:tcBorders>
              <w:top w:val="nil"/>
              <w:left w:val="nil"/>
              <w:bottom w:val="nil"/>
              <w:right w:val="nil"/>
            </w:tcBorders>
          </w:tcPr>
          <w:p w14:paraId="07CDF07E" w14:textId="77777777" w:rsidR="004E04DF" w:rsidRPr="0033093E" w:rsidRDefault="004E04DF" w:rsidP="00E8416D">
            <w:pPr>
              <w:rPr>
                <w:sz w:val="24"/>
                <w:szCs w:val="24"/>
              </w:rPr>
            </w:pPr>
          </w:p>
        </w:tc>
        <w:tc>
          <w:tcPr>
            <w:tcW w:w="720" w:type="dxa"/>
            <w:tcBorders>
              <w:top w:val="nil"/>
              <w:left w:val="nil"/>
              <w:bottom w:val="nil"/>
              <w:right w:val="nil"/>
            </w:tcBorders>
          </w:tcPr>
          <w:p w14:paraId="028FBB96" w14:textId="77777777" w:rsidR="004E04DF" w:rsidRPr="0033093E" w:rsidRDefault="004E04DF" w:rsidP="00E8416D">
            <w:pPr>
              <w:rPr>
                <w:sz w:val="24"/>
                <w:szCs w:val="24"/>
              </w:rPr>
            </w:pPr>
          </w:p>
        </w:tc>
        <w:tc>
          <w:tcPr>
            <w:tcW w:w="4950" w:type="dxa"/>
            <w:tcBorders>
              <w:top w:val="nil"/>
              <w:left w:val="nil"/>
              <w:bottom w:val="nil"/>
              <w:right w:val="nil"/>
            </w:tcBorders>
          </w:tcPr>
          <w:p w14:paraId="5F1C2A9A" w14:textId="77777777" w:rsidR="004E04DF" w:rsidRPr="0033093E" w:rsidRDefault="004E04DF" w:rsidP="00E8416D">
            <w:pPr>
              <w:rPr>
                <w:sz w:val="24"/>
                <w:szCs w:val="24"/>
              </w:rPr>
            </w:pPr>
            <w:r w:rsidRPr="0033093E">
              <w:rPr>
                <w:sz w:val="24"/>
                <w:szCs w:val="24"/>
              </w:rPr>
              <w:t>3.4.2 Short duration events</w:t>
            </w:r>
          </w:p>
        </w:tc>
        <w:tc>
          <w:tcPr>
            <w:tcW w:w="1255" w:type="dxa"/>
            <w:tcBorders>
              <w:top w:val="nil"/>
              <w:left w:val="nil"/>
              <w:bottom w:val="nil"/>
              <w:right w:val="nil"/>
            </w:tcBorders>
          </w:tcPr>
          <w:p w14:paraId="569B503B" w14:textId="23F8AF4A" w:rsidR="004E04DF" w:rsidRPr="008F3219" w:rsidRDefault="009E67C3" w:rsidP="008F3219">
            <w:pPr>
              <w:jc w:val="right"/>
              <w:rPr>
                <w:sz w:val="24"/>
                <w:szCs w:val="24"/>
              </w:rPr>
            </w:pPr>
            <w:r w:rsidRPr="008F3219">
              <w:rPr>
                <w:sz w:val="24"/>
                <w:szCs w:val="24"/>
              </w:rPr>
              <w:t>64</w:t>
            </w:r>
          </w:p>
        </w:tc>
      </w:tr>
      <w:tr w:rsidR="004E04DF" w:rsidRPr="0033093E" w14:paraId="7D500B16" w14:textId="77777777" w:rsidTr="00C32386">
        <w:trPr>
          <w:gridBefore w:val="1"/>
          <w:wBefore w:w="809" w:type="dxa"/>
        </w:trPr>
        <w:tc>
          <w:tcPr>
            <w:tcW w:w="810" w:type="dxa"/>
            <w:tcBorders>
              <w:top w:val="nil"/>
              <w:left w:val="nil"/>
              <w:bottom w:val="nil"/>
              <w:right w:val="nil"/>
            </w:tcBorders>
          </w:tcPr>
          <w:p w14:paraId="047709A6" w14:textId="77777777" w:rsidR="004E04DF" w:rsidRPr="0033093E" w:rsidRDefault="004E04DF" w:rsidP="00E8416D">
            <w:pPr>
              <w:rPr>
                <w:sz w:val="24"/>
                <w:szCs w:val="24"/>
              </w:rPr>
            </w:pPr>
          </w:p>
        </w:tc>
        <w:tc>
          <w:tcPr>
            <w:tcW w:w="806" w:type="dxa"/>
            <w:tcBorders>
              <w:top w:val="nil"/>
              <w:left w:val="nil"/>
              <w:bottom w:val="nil"/>
              <w:right w:val="nil"/>
            </w:tcBorders>
          </w:tcPr>
          <w:p w14:paraId="65B9D6C1" w14:textId="77777777" w:rsidR="004E04DF" w:rsidRPr="0033093E" w:rsidRDefault="004E04DF" w:rsidP="00E8416D">
            <w:pPr>
              <w:rPr>
                <w:sz w:val="24"/>
                <w:szCs w:val="24"/>
              </w:rPr>
            </w:pPr>
          </w:p>
        </w:tc>
        <w:tc>
          <w:tcPr>
            <w:tcW w:w="720" w:type="dxa"/>
            <w:tcBorders>
              <w:top w:val="nil"/>
              <w:left w:val="nil"/>
              <w:bottom w:val="nil"/>
              <w:right w:val="nil"/>
            </w:tcBorders>
          </w:tcPr>
          <w:p w14:paraId="2570A5D2" w14:textId="77777777" w:rsidR="004E04DF" w:rsidRPr="0033093E" w:rsidRDefault="004E04DF" w:rsidP="00E8416D">
            <w:pPr>
              <w:rPr>
                <w:sz w:val="24"/>
                <w:szCs w:val="24"/>
              </w:rPr>
            </w:pPr>
          </w:p>
        </w:tc>
        <w:tc>
          <w:tcPr>
            <w:tcW w:w="4950" w:type="dxa"/>
            <w:tcBorders>
              <w:top w:val="nil"/>
              <w:left w:val="nil"/>
              <w:bottom w:val="nil"/>
              <w:right w:val="nil"/>
            </w:tcBorders>
          </w:tcPr>
          <w:p w14:paraId="6D963EDB" w14:textId="77777777" w:rsidR="004E04DF" w:rsidRPr="0033093E" w:rsidRDefault="004E04DF" w:rsidP="00E8416D">
            <w:pPr>
              <w:rPr>
                <w:sz w:val="24"/>
                <w:szCs w:val="24"/>
              </w:rPr>
            </w:pPr>
            <w:r w:rsidRPr="0033093E">
              <w:rPr>
                <w:sz w:val="24"/>
                <w:szCs w:val="24"/>
              </w:rPr>
              <w:t>3.4.3 Long</w:t>
            </w:r>
            <w:r>
              <w:rPr>
                <w:sz w:val="24"/>
                <w:szCs w:val="24"/>
              </w:rPr>
              <w:t>-</w:t>
            </w:r>
            <w:r w:rsidRPr="0033093E">
              <w:rPr>
                <w:sz w:val="24"/>
                <w:szCs w:val="24"/>
              </w:rPr>
              <w:t>duration signal</w:t>
            </w:r>
          </w:p>
        </w:tc>
        <w:tc>
          <w:tcPr>
            <w:tcW w:w="1255" w:type="dxa"/>
            <w:tcBorders>
              <w:top w:val="nil"/>
              <w:left w:val="nil"/>
              <w:bottom w:val="nil"/>
              <w:right w:val="nil"/>
            </w:tcBorders>
          </w:tcPr>
          <w:p w14:paraId="37F64208" w14:textId="6323E49C" w:rsidR="004E04DF" w:rsidRPr="008F3219" w:rsidRDefault="009E67C3" w:rsidP="008F3219">
            <w:pPr>
              <w:jc w:val="right"/>
              <w:rPr>
                <w:sz w:val="24"/>
                <w:szCs w:val="24"/>
              </w:rPr>
            </w:pPr>
            <w:r w:rsidRPr="008F3219">
              <w:rPr>
                <w:sz w:val="24"/>
                <w:szCs w:val="24"/>
              </w:rPr>
              <w:t>65</w:t>
            </w:r>
          </w:p>
        </w:tc>
      </w:tr>
      <w:tr w:rsidR="004E04DF" w:rsidRPr="0033093E" w14:paraId="447E664A" w14:textId="77777777" w:rsidTr="00C32386">
        <w:trPr>
          <w:gridBefore w:val="1"/>
          <w:wBefore w:w="809" w:type="dxa"/>
        </w:trPr>
        <w:tc>
          <w:tcPr>
            <w:tcW w:w="810" w:type="dxa"/>
            <w:tcBorders>
              <w:top w:val="nil"/>
              <w:left w:val="nil"/>
              <w:bottom w:val="nil"/>
              <w:right w:val="nil"/>
            </w:tcBorders>
          </w:tcPr>
          <w:p w14:paraId="02C65790" w14:textId="77777777" w:rsidR="004E04DF" w:rsidRPr="0033093E" w:rsidRDefault="004E04DF" w:rsidP="00E8416D">
            <w:pPr>
              <w:rPr>
                <w:sz w:val="24"/>
                <w:szCs w:val="24"/>
              </w:rPr>
            </w:pPr>
          </w:p>
        </w:tc>
        <w:tc>
          <w:tcPr>
            <w:tcW w:w="806" w:type="dxa"/>
            <w:tcBorders>
              <w:top w:val="nil"/>
              <w:left w:val="nil"/>
              <w:bottom w:val="nil"/>
              <w:right w:val="nil"/>
            </w:tcBorders>
          </w:tcPr>
          <w:p w14:paraId="0E19D980" w14:textId="77777777" w:rsidR="004E04DF" w:rsidRPr="0033093E" w:rsidRDefault="004E04DF" w:rsidP="00E8416D">
            <w:pPr>
              <w:rPr>
                <w:sz w:val="24"/>
                <w:szCs w:val="24"/>
              </w:rPr>
            </w:pPr>
          </w:p>
        </w:tc>
        <w:tc>
          <w:tcPr>
            <w:tcW w:w="720" w:type="dxa"/>
            <w:tcBorders>
              <w:top w:val="nil"/>
              <w:left w:val="nil"/>
              <w:bottom w:val="nil"/>
              <w:right w:val="nil"/>
            </w:tcBorders>
          </w:tcPr>
          <w:p w14:paraId="10B9C119" w14:textId="77777777" w:rsidR="004E04DF" w:rsidRPr="0033093E" w:rsidRDefault="004E04DF" w:rsidP="00E8416D">
            <w:pPr>
              <w:rPr>
                <w:sz w:val="24"/>
                <w:szCs w:val="24"/>
              </w:rPr>
            </w:pPr>
          </w:p>
        </w:tc>
        <w:tc>
          <w:tcPr>
            <w:tcW w:w="4950" w:type="dxa"/>
            <w:tcBorders>
              <w:top w:val="nil"/>
              <w:left w:val="nil"/>
              <w:bottom w:val="nil"/>
              <w:right w:val="nil"/>
            </w:tcBorders>
          </w:tcPr>
          <w:p w14:paraId="41318C09" w14:textId="77777777" w:rsidR="004E04DF" w:rsidRPr="0033093E" w:rsidRDefault="004E04DF" w:rsidP="00E8416D">
            <w:pPr>
              <w:rPr>
                <w:sz w:val="24"/>
                <w:szCs w:val="24"/>
              </w:rPr>
            </w:pPr>
            <w:r w:rsidRPr="0033093E">
              <w:rPr>
                <w:sz w:val="24"/>
                <w:szCs w:val="24"/>
              </w:rPr>
              <w:t>3.4.</w:t>
            </w:r>
            <w:r>
              <w:rPr>
                <w:sz w:val="24"/>
                <w:szCs w:val="24"/>
              </w:rPr>
              <w:t>4</w:t>
            </w:r>
            <w:r w:rsidRPr="0033093E">
              <w:rPr>
                <w:sz w:val="24"/>
                <w:szCs w:val="24"/>
              </w:rPr>
              <w:t xml:space="preserve"> </w:t>
            </w:r>
            <w:r>
              <w:rPr>
                <w:sz w:val="24"/>
                <w:szCs w:val="24"/>
              </w:rPr>
              <w:t>Near-</w:t>
            </w:r>
            <w:r w:rsidRPr="0033093E">
              <w:rPr>
                <w:sz w:val="24"/>
                <w:szCs w:val="24"/>
              </w:rPr>
              <w:t>surface characteristics</w:t>
            </w:r>
          </w:p>
        </w:tc>
        <w:tc>
          <w:tcPr>
            <w:tcW w:w="1255" w:type="dxa"/>
            <w:tcBorders>
              <w:top w:val="nil"/>
              <w:left w:val="nil"/>
              <w:bottom w:val="nil"/>
              <w:right w:val="nil"/>
            </w:tcBorders>
          </w:tcPr>
          <w:p w14:paraId="24D618B4" w14:textId="14A8B97D" w:rsidR="004E04DF" w:rsidRPr="008F3219" w:rsidRDefault="009E67C3" w:rsidP="008F3219">
            <w:pPr>
              <w:jc w:val="right"/>
              <w:rPr>
                <w:sz w:val="24"/>
                <w:szCs w:val="24"/>
              </w:rPr>
            </w:pPr>
            <w:r w:rsidRPr="008F3219">
              <w:rPr>
                <w:sz w:val="24"/>
                <w:szCs w:val="24"/>
              </w:rPr>
              <w:t>6</w:t>
            </w:r>
            <w:r w:rsidR="003D073F">
              <w:rPr>
                <w:sz w:val="24"/>
                <w:szCs w:val="24"/>
              </w:rPr>
              <w:t>6</w:t>
            </w:r>
          </w:p>
        </w:tc>
      </w:tr>
      <w:tr w:rsidR="004E04DF" w:rsidRPr="0033093E" w14:paraId="64ED55C0" w14:textId="77777777" w:rsidTr="00C32386">
        <w:trPr>
          <w:gridBefore w:val="1"/>
          <w:wBefore w:w="809" w:type="dxa"/>
        </w:trPr>
        <w:tc>
          <w:tcPr>
            <w:tcW w:w="810" w:type="dxa"/>
            <w:tcBorders>
              <w:top w:val="nil"/>
              <w:left w:val="nil"/>
              <w:bottom w:val="nil"/>
              <w:right w:val="nil"/>
            </w:tcBorders>
          </w:tcPr>
          <w:p w14:paraId="402707DD" w14:textId="77777777" w:rsidR="004E04DF" w:rsidRPr="0033093E" w:rsidRDefault="004E04DF" w:rsidP="00E8416D">
            <w:pPr>
              <w:rPr>
                <w:sz w:val="24"/>
                <w:szCs w:val="24"/>
              </w:rPr>
            </w:pPr>
          </w:p>
        </w:tc>
        <w:tc>
          <w:tcPr>
            <w:tcW w:w="806" w:type="dxa"/>
            <w:tcBorders>
              <w:top w:val="nil"/>
              <w:left w:val="nil"/>
              <w:bottom w:val="nil"/>
              <w:right w:val="nil"/>
            </w:tcBorders>
          </w:tcPr>
          <w:p w14:paraId="3465811A"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351697CA" w14:textId="77777777" w:rsidR="004E04DF" w:rsidRPr="0033093E" w:rsidRDefault="004E04DF" w:rsidP="00E8416D">
            <w:pPr>
              <w:rPr>
                <w:sz w:val="24"/>
                <w:szCs w:val="24"/>
              </w:rPr>
            </w:pPr>
            <w:r w:rsidRPr="0033093E">
              <w:rPr>
                <w:sz w:val="24"/>
                <w:szCs w:val="24"/>
              </w:rPr>
              <w:t>3.5 Method and background for HVSR</w:t>
            </w:r>
          </w:p>
        </w:tc>
        <w:tc>
          <w:tcPr>
            <w:tcW w:w="1255" w:type="dxa"/>
            <w:tcBorders>
              <w:top w:val="nil"/>
              <w:left w:val="nil"/>
              <w:bottom w:val="nil"/>
              <w:right w:val="nil"/>
            </w:tcBorders>
          </w:tcPr>
          <w:p w14:paraId="3EC9F5F4" w14:textId="2C65E78D" w:rsidR="004E04DF" w:rsidRPr="008F3219" w:rsidRDefault="009E67C3" w:rsidP="008F3219">
            <w:pPr>
              <w:jc w:val="right"/>
              <w:rPr>
                <w:sz w:val="24"/>
                <w:szCs w:val="24"/>
              </w:rPr>
            </w:pPr>
            <w:r w:rsidRPr="008F3219">
              <w:rPr>
                <w:sz w:val="24"/>
                <w:szCs w:val="24"/>
              </w:rPr>
              <w:t>67</w:t>
            </w:r>
          </w:p>
        </w:tc>
      </w:tr>
      <w:tr w:rsidR="004E04DF" w:rsidRPr="0033093E" w14:paraId="5F081AAA" w14:textId="77777777" w:rsidTr="00C32386">
        <w:trPr>
          <w:gridBefore w:val="1"/>
          <w:wBefore w:w="809" w:type="dxa"/>
        </w:trPr>
        <w:tc>
          <w:tcPr>
            <w:tcW w:w="810" w:type="dxa"/>
            <w:tcBorders>
              <w:top w:val="nil"/>
              <w:left w:val="nil"/>
              <w:bottom w:val="nil"/>
              <w:right w:val="nil"/>
            </w:tcBorders>
          </w:tcPr>
          <w:p w14:paraId="7FFF84DB" w14:textId="77777777" w:rsidR="004E04DF" w:rsidRPr="0033093E" w:rsidRDefault="004E04DF" w:rsidP="00E8416D">
            <w:pPr>
              <w:rPr>
                <w:sz w:val="24"/>
                <w:szCs w:val="24"/>
              </w:rPr>
            </w:pPr>
          </w:p>
        </w:tc>
        <w:tc>
          <w:tcPr>
            <w:tcW w:w="806" w:type="dxa"/>
            <w:tcBorders>
              <w:top w:val="nil"/>
              <w:left w:val="nil"/>
              <w:bottom w:val="nil"/>
              <w:right w:val="nil"/>
            </w:tcBorders>
          </w:tcPr>
          <w:p w14:paraId="0898CB29" w14:textId="77777777" w:rsidR="004E04DF" w:rsidRPr="0033093E" w:rsidRDefault="004E04DF" w:rsidP="00E8416D">
            <w:pPr>
              <w:rPr>
                <w:sz w:val="24"/>
                <w:szCs w:val="24"/>
              </w:rPr>
            </w:pPr>
          </w:p>
        </w:tc>
        <w:tc>
          <w:tcPr>
            <w:tcW w:w="720" w:type="dxa"/>
            <w:tcBorders>
              <w:top w:val="nil"/>
              <w:left w:val="nil"/>
              <w:bottom w:val="nil"/>
              <w:right w:val="nil"/>
            </w:tcBorders>
          </w:tcPr>
          <w:p w14:paraId="68B69246" w14:textId="77777777" w:rsidR="004E04DF" w:rsidRPr="0033093E" w:rsidRDefault="004E04DF" w:rsidP="00E8416D">
            <w:pPr>
              <w:rPr>
                <w:sz w:val="24"/>
                <w:szCs w:val="24"/>
              </w:rPr>
            </w:pPr>
          </w:p>
        </w:tc>
        <w:tc>
          <w:tcPr>
            <w:tcW w:w="4950" w:type="dxa"/>
            <w:tcBorders>
              <w:top w:val="nil"/>
              <w:left w:val="nil"/>
              <w:bottom w:val="nil"/>
              <w:right w:val="nil"/>
            </w:tcBorders>
          </w:tcPr>
          <w:p w14:paraId="3F1671FA" w14:textId="77777777" w:rsidR="004E04DF" w:rsidRPr="0033093E" w:rsidRDefault="004E04DF" w:rsidP="00E8416D">
            <w:pPr>
              <w:rPr>
                <w:sz w:val="24"/>
                <w:szCs w:val="24"/>
              </w:rPr>
            </w:pPr>
            <w:r w:rsidRPr="0033093E">
              <w:rPr>
                <w:sz w:val="24"/>
                <w:szCs w:val="24"/>
              </w:rPr>
              <w:t>3.5.1 Example data analysis</w:t>
            </w:r>
          </w:p>
        </w:tc>
        <w:tc>
          <w:tcPr>
            <w:tcW w:w="1255" w:type="dxa"/>
            <w:tcBorders>
              <w:top w:val="nil"/>
              <w:left w:val="nil"/>
              <w:bottom w:val="nil"/>
              <w:right w:val="nil"/>
            </w:tcBorders>
          </w:tcPr>
          <w:p w14:paraId="5B1F68E6" w14:textId="57D8A0B5" w:rsidR="004E04DF" w:rsidRPr="008F3219" w:rsidRDefault="00927FAE" w:rsidP="008F3219">
            <w:pPr>
              <w:jc w:val="right"/>
              <w:rPr>
                <w:sz w:val="24"/>
                <w:szCs w:val="24"/>
              </w:rPr>
            </w:pPr>
            <w:r>
              <w:rPr>
                <w:sz w:val="24"/>
                <w:szCs w:val="24"/>
              </w:rPr>
              <w:t>70</w:t>
            </w:r>
          </w:p>
        </w:tc>
      </w:tr>
      <w:tr w:rsidR="004E04DF" w:rsidRPr="0033093E" w14:paraId="621955BC" w14:textId="77777777" w:rsidTr="00C32386">
        <w:trPr>
          <w:gridBefore w:val="1"/>
          <w:wBefore w:w="809" w:type="dxa"/>
        </w:trPr>
        <w:tc>
          <w:tcPr>
            <w:tcW w:w="810" w:type="dxa"/>
            <w:tcBorders>
              <w:top w:val="nil"/>
              <w:left w:val="nil"/>
              <w:bottom w:val="nil"/>
              <w:right w:val="nil"/>
            </w:tcBorders>
          </w:tcPr>
          <w:p w14:paraId="54F3E72A" w14:textId="77777777" w:rsidR="004E04DF" w:rsidRPr="0033093E" w:rsidRDefault="004E04DF" w:rsidP="00E8416D">
            <w:pPr>
              <w:rPr>
                <w:sz w:val="24"/>
                <w:szCs w:val="24"/>
              </w:rPr>
            </w:pPr>
          </w:p>
        </w:tc>
        <w:tc>
          <w:tcPr>
            <w:tcW w:w="806" w:type="dxa"/>
            <w:tcBorders>
              <w:top w:val="nil"/>
              <w:left w:val="nil"/>
              <w:bottom w:val="nil"/>
              <w:right w:val="nil"/>
            </w:tcBorders>
          </w:tcPr>
          <w:p w14:paraId="2BF81651" w14:textId="77777777" w:rsidR="004E04DF" w:rsidRPr="0033093E" w:rsidRDefault="004E04DF" w:rsidP="00E8416D">
            <w:pPr>
              <w:rPr>
                <w:sz w:val="24"/>
                <w:szCs w:val="24"/>
              </w:rPr>
            </w:pPr>
          </w:p>
        </w:tc>
        <w:tc>
          <w:tcPr>
            <w:tcW w:w="720" w:type="dxa"/>
            <w:tcBorders>
              <w:top w:val="nil"/>
              <w:left w:val="nil"/>
              <w:bottom w:val="nil"/>
              <w:right w:val="nil"/>
            </w:tcBorders>
          </w:tcPr>
          <w:p w14:paraId="677CF605" w14:textId="77777777" w:rsidR="004E04DF" w:rsidRPr="0033093E" w:rsidRDefault="004E04DF" w:rsidP="00E8416D">
            <w:pPr>
              <w:rPr>
                <w:sz w:val="24"/>
                <w:szCs w:val="24"/>
              </w:rPr>
            </w:pPr>
          </w:p>
        </w:tc>
        <w:tc>
          <w:tcPr>
            <w:tcW w:w="4950" w:type="dxa"/>
            <w:tcBorders>
              <w:top w:val="nil"/>
              <w:left w:val="nil"/>
              <w:bottom w:val="nil"/>
              <w:right w:val="nil"/>
            </w:tcBorders>
          </w:tcPr>
          <w:p w14:paraId="3FF6FA6E" w14:textId="77777777" w:rsidR="004E04DF" w:rsidRPr="0033093E" w:rsidRDefault="004E04DF" w:rsidP="00E8416D">
            <w:pPr>
              <w:rPr>
                <w:sz w:val="24"/>
                <w:szCs w:val="24"/>
              </w:rPr>
            </w:pPr>
            <w:r w:rsidRPr="0033093E">
              <w:rPr>
                <w:sz w:val="24"/>
                <w:szCs w:val="24"/>
              </w:rPr>
              <w:t>3.5.2 HVSR variation along the array and interpretation</w:t>
            </w:r>
          </w:p>
        </w:tc>
        <w:tc>
          <w:tcPr>
            <w:tcW w:w="1255" w:type="dxa"/>
            <w:tcBorders>
              <w:top w:val="nil"/>
              <w:left w:val="nil"/>
              <w:bottom w:val="nil"/>
              <w:right w:val="nil"/>
            </w:tcBorders>
          </w:tcPr>
          <w:p w14:paraId="00F214EC" w14:textId="5CE01ED0" w:rsidR="004E04DF" w:rsidRPr="008F3219" w:rsidRDefault="008F3219" w:rsidP="008F3219">
            <w:pPr>
              <w:jc w:val="right"/>
              <w:rPr>
                <w:sz w:val="24"/>
                <w:szCs w:val="24"/>
              </w:rPr>
            </w:pPr>
            <w:r w:rsidRPr="008F3219">
              <w:rPr>
                <w:sz w:val="24"/>
                <w:szCs w:val="24"/>
              </w:rPr>
              <w:t>70</w:t>
            </w:r>
          </w:p>
        </w:tc>
      </w:tr>
      <w:tr w:rsidR="004E04DF" w:rsidRPr="0033093E" w14:paraId="5F387F8D" w14:textId="77777777" w:rsidTr="00C32386">
        <w:trPr>
          <w:gridBefore w:val="1"/>
          <w:wBefore w:w="809" w:type="dxa"/>
        </w:trPr>
        <w:tc>
          <w:tcPr>
            <w:tcW w:w="810" w:type="dxa"/>
            <w:tcBorders>
              <w:top w:val="nil"/>
              <w:left w:val="nil"/>
              <w:bottom w:val="nil"/>
              <w:right w:val="nil"/>
            </w:tcBorders>
          </w:tcPr>
          <w:p w14:paraId="00FAE964" w14:textId="77777777" w:rsidR="004E04DF" w:rsidRPr="0033093E" w:rsidRDefault="004E04DF" w:rsidP="00E8416D">
            <w:pPr>
              <w:rPr>
                <w:sz w:val="24"/>
                <w:szCs w:val="24"/>
              </w:rPr>
            </w:pPr>
          </w:p>
        </w:tc>
        <w:tc>
          <w:tcPr>
            <w:tcW w:w="806" w:type="dxa"/>
            <w:tcBorders>
              <w:top w:val="nil"/>
              <w:left w:val="nil"/>
              <w:bottom w:val="nil"/>
              <w:right w:val="nil"/>
            </w:tcBorders>
          </w:tcPr>
          <w:p w14:paraId="34D842F9"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678E1349" w14:textId="77777777" w:rsidR="004E04DF" w:rsidRPr="0033093E" w:rsidRDefault="004E04DF" w:rsidP="00E8416D">
            <w:pPr>
              <w:rPr>
                <w:sz w:val="24"/>
                <w:szCs w:val="24"/>
              </w:rPr>
            </w:pPr>
            <w:r w:rsidRPr="0033093E">
              <w:rPr>
                <w:sz w:val="24"/>
                <w:szCs w:val="24"/>
              </w:rPr>
              <w:t>3.6 Conclusion</w:t>
            </w:r>
          </w:p>
        </w:tc>
        <w:tc>
          <w:tcPr>
            <w:tcW w:w="1255" w:type="dxa"/>
            <w:tcBorders>
              <w:top w:val="nil"/>
              <w:left w:val="nil"/>
              <w:bottom w:val="nil"/>
              <w:right w:val="nil"/>
            </w:tcBorders>
          </w:tcPr>
          <w:p w14:paraId="5086D224" w14:textId="47519BF4" w:rsidR="004E04DF" w:rsidRPr="008F3219" w:rsidRDefault="008F3219" w:rsidP="008F3219">
            <w:pPr>
              <w:jc w:val="right"/>
              <w:rPr>
                <w:sz w:val="24"/>
                <w:szCs w:val="24"/>
              </w:rPr>
            </w:pPr>
            <w:r w:rsidRPr="008F3219">
              <w:rPr>
                <w:sz w:val="24"/>
                <w:szCs w:val="24"/>
              </w:rPr>
              <w:t>72</w:t>
            </w:r>
          </w:p>
        </w:tc>
      </w:tr>
      <w:tr w:rsidR="004E04DF" w:rsidRPr="0033093E" w14:paraId="6A0A9F42" w14:textId="77777777" w:rsidTr="00C32386">
        <w:trPr>
          <w:gridBefore w:val="1"/>
          <w:wBefore w:w="809" w:type="dxa"/>
        </w:trPr>
        <w:tc>
          <w:tcPr>
            <w:tcW w:w="810" w:type="dxa"/>
            <w:tcBorders>
              <w:top w:val="nil"/>
              <w:left w:val="nil"/>
              <w:bottom w:val="nil"/>
              <w:right w:val="nil"/>
            </w:tcBorders>
          </w:tcPr>
          <w:p w14:paraId="15822136" w14:textId="77777777" w:rsidR="004E04DF" w:rsidRPr="0033093E" w:rsidRDefault="004E04DF" w:rsidP="00E8416D">
            <w:pPr>
              <w:rPr>
                <w:sz w:val="24"/>
                <w:szCs w:val="24"/>
              </w:rPr>
            </w:pPr>
          </w:p>
        </w:tc>
        <w:tc>
          <w:tcPr>
            <w:tcW w:w="806" w:type="dxa"/>
            <w:tcBorders>
              <w:top w:val="nil"/>
              <w:left w:val="nil"/>
              <w:bottom w:val="nil"/>
              <w:right w:val="nil"/>
            </w:tcBorders>
          </w:tcPr>
          <w:p w14:paraId="3C40D80E"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1EAD56D9" w14:textId="77777777" w:rsidR="004E04DF" w:rsidRPr="0033093E" w:rsidRDefault="004E04DF" w:rsidP="00E8416D">
            <w:pPr>
              <w:rPr>
                <w:sz w:val="24"/>
                <w:szCs w:val="24"/>
              </w:rPr>
            </w:pPr>
            <w:r w:rsidRPr="0033093E">
              <w:rPr>
                <w:sz w:val="24"/>
                <w:szCs w:val="24"/>
              </w:rPr>
              <w:t>References</w:t>
            </w:r>
          </w:p>
        </w:tc>
        <w:tc>
          <w:tcPr>
            <w:tcW w:w="1255" w:type="dxa"/>
            <w:tcBorders>
              <w:top w:val="nil"/>
              <w:left w:val="nil"/>
              <w:bottom w:val="nil"/>
              <w:right w:val="nil"/>
            </w:tcBorders>
          </w:tcPr>
          <w:p w14:paraId="7AE97A6D" w14:textId="2F19AACA" w:rsidR="004E04DF" w:rsidRPr="008F3219" w:rsidRDefault="008F3219" w:rsidP="008F3219">
            <w:pPr>
              <w:jc w:val="right"/>
              <w:rPr>
                <w:sz w:val="24"/>
                <w:szCs w:val="24"/>
              </w:rPr>
            </w:pPr>
            <w:r w:rsidRPr="008F3219">
              <w:rPr>
                <w:sz w:val="24"/>
                <w:szCs w:val="24"/>
              </w:rPr>
              <w:t>8</w:t>
            </w:r>
            <w:r w:rsidR="00927FAE">
              <w:rPr>
                <w:sz w:val="24"/>
                <w:szCs w:val="24"/>
              </w:rPr>
              <w:t>4</w:t>
            </w:r>
          </w:p>
        </w:tc>
      </w:tr>
      <w:tr w:rsidR="004E04DF" w:rsidRPr="0033093E" w14:paraId="3FE0E5D3" w14:textId="77777777" w:rsidTr="00C32386">
        <w:trPr>
          <w:gridBefore w:val="1"/>
          <w:wBefore w:w="809" w:type="dxa"/>
        </w:trPr>
        <w:tc>
          <w:tcPr>
            <w:tcW w:w="810" w:type="dxa"/>
            <w:tcBorders>
              <w:top w:val="nil"/>
              <w:left w:val="nil"/>
              <w:bottom w:val="nil"/>
              <w:right w:val="nil"/>
            </w:tcBorders>
          </w:tcPr>
          <w:p w14:paraId="348C83F7" w14:textId="77777777" w:rsidR="004E04DF" w:rsidRPr="0033093E" w:rsidRDefault="004E04DF" w:rsidP="00E8416D">
            <w:pPr>
              <w:rPr>
                <w:b/>
                <w:bCs/>
                <w:sz w:val="24"/>
                <w:szCs w:val="24"/>
              </w:rPr>
            </w:pPr>
          </w:p>
        </w:tc>
        <w:tc>
          <w:tcPr>
            <w:tcW w:w="806" w:type="dxa"/>
            <w:tcBorders>
              <w:top w:val="nil"/>
              <w:left w:val="nil"/>
              <w:bottom w:val="nil"/>
              <w:right w:val="nil"/>
            </w:tcBorders>
          </w:tcPr>
          <w:p w14:paraId="0DAF5E2B" w14:textId="77777777" w:rsidR="004E04DF" w:rsidRPr="0033093E" w:rsidRDefault="004E04DF" w:rsidP="00E8416D">
            <w:pPr>
              <w:rPr>
                <w:b/>
                <w:bCs/>
                <w:sz w:val="24"/>
                <w:szCs w:val="24"/>
              </w:rPr>
            </w:pPr>
          </w:p>
        </w:tc>
        <w:tc>
          <w:tcPr>
            <w:tcW w:w="5670" w:type="dxa"/>
            <w:gridSpan w:val="2"/>
            <w:tcBorders>
              <w:top w:val="nil"/>
              <w:left w:val="nil"/>
              <w:bottom w:val="nil"/>
              <w:right w:val="nil"/>
            </w:tcBorders>
          </w:tcPr>
          <w:p w14:paraId="1BBC5D62" w14:textId="77777777" w:rsidR="004E04DF" w:rsidRPr="0033093E" w:rsidRDefault="004E04DF" w:rsidP="00E8416D">
            <w:pPr>
              <w:rPr>
                <w:b/>
                <w:bCs/>
                <w:sz w:val="24"/>
                <w:szCs w:val="24"/>
              </w:rPr>
            </w:pPr>
          </w:p>
        </w:tc>
        <w:tc>
          <w:tcPr>
            <w:tcW w:w="1255" w:type="dxa"/>
            <w:tcBorders>
              <w:top w:val="nil"/>
              <w:left w:val="nil"/>
              <w:bottom w:val="nil"/>
              <w:right w:val="nil"/>
            </w:tcBorders>
          </w:tcPr>
          <w:p w14:paraId="24573033" w14:textId="77777777" w:rsidR="004E04DF" w:rsidRPr="008F3219" w:rsidRDefault="004E04DF" w:rsidP="008F3219">
            <w:pPr>
              <w:jc w:val="right"/>
              <w:rPr>
                <w:sz w:val="24"/>
                <w:szCs w:val="24"/>
              </w:rPr>
            </w:pPr>
          </w:p>
        </w:tc>
      </w:tr>
      <w:tr w:rsidR="004E04DF" w:rsidRPr="0033093E" w14:paraId="1DFED360" w14:textId="77777777" w:rsidTr="00C32386">
        <w:trPr>
          <w:gridBefore w:val="1"/>
          <w:wBefore w:w="809" w:type="dxa"/>
        </w:trPr>
        <w:tc>
          <w:tcPr>
            <w:tcW w:w="810" w:type="dxa"/>
            <w:tcBorders>
              <w:top w:val="nil"/>
              <w:left w:val="nil"/>
              <w:bottom w:val="nil"/>
              <w:right w:val="nil"/>
            </w:tcBorders>
          </w:tcPr>
          <w:p w14:paraId="31DDAC91" w14:textId="77777777" w:rsidR="004E04DF" w:rsidRPr="0033093E" w:rsidRDefault="004E04DF" w:rsidP="00E8416D">
            <w:pPr>
              <w:rPr>
                <w:b/>
                <w:bCs/>
                <w:sz w:val="24"/>
                <w:szCs w:val="24"/>
              </w:rPr>
            </w:pPr>
          </w:p>
        </w:tc>
        <w:tc>
          <w:tcPr>
            <w:tcW w:w="6476" w:type="dxa"/>
            <w:gridSpan w:val="3"/>
            <w:tcBorders>
              <w:top w:val="nil"/>
              <w:left w:val="nil"/>
              <w:bottom w:val="nil"/>
              <w:right w:val="nil"/>
            </w:tcBorders>
          </w:tcPr>
          <w:p w14:paraId="2031F325" w14:textId="77777777" w:rsidR="004E04DF" w:rsidRPr="0033093E" w:rsidRDefault="004E04DF" w:rsidP="00E8416D">
            <w:pPr>
              <w:rPr>
                <w:b/>
                <w:bCs/>
                <w:sz w:val="24"/>
                <w:szCs w:val="24"/>
              </w:rPr>
            </w:pPr>
          </w:p>
        </w:tc>
        <w:tc>
          <w:tcPr>
            <w:tcW w:w="1255" w:type="dxa"/>
            <w:tcBorders>
              <w:top w:val="nil"/>
              <w:left w:val="nil"/>
              <w:bottom w:val="nil"/>
              <w:right w:val="nil"/>
            </w:tcBorders>
          </w:tcPr>
          <w:p w14:paraId="37499C52" w14:textId="77777777" w:rsidR="004E04DF" w:rsidRPr="008F3219" w:rsidRDefault="004E04DF" w:rsidP="008F3219">
            <w:pPr>
              <w:jc w:val="right"/>
              <w:rPr>
                <w:sz w:val="24"/>
                <w:szCs w:val="24"/>
              </w:rPr>
            </w:pPr>
          </w:p>
        </w:tc>
      </w:tr>
      <w:tr w:rsidR="004E04DF" w:rsidRPr="0033093E" w14:paraId="4AEFA897" w14:textId="77777777" w:rsidTr="00C32386">
        <w:trPr>
          <w:gridBefore w:val="1"/>
          <w:wBefore w:w="809" w:type="dxa"/>
        </w:trPr>
        <w:tc>
          <w:tcPr>
            <w:tcW w:w="810" w:type="dxa"/>
            <w:tcBorders>
              <w:top w:val="nil"/>
              <w:left w:val="nil"/>
              <w:bottom w:val="nil"/>
              <w:right w:val="nil"/>
            </w:tcBorders>
          </w:tcPr>
          <w:p w14:paraId="53FFDEB1" w14:textId="77777777" w:rsidR="004E04DF" w:rsidRPr="0033093E" w:rsidRDefault="004E04DF" w:rsidP="00E8416D">
            <w:pPr>
              <w:rPr>
                <w:b/>
                <w:bCs/>
                <w:sz w:val="24"/>
                <w:szCs w:val="24"/>
              </w:rPr>
            </w:pPr>
            <w:r w:rsidRPr="0033093E">
              <w:rPr>
                <w:b/>
                <w:bCs/>
                <w:sz w:val="24"/>
                <w:szCs w:val="24"/>
              </w:rPr>
              <w:t>4</w:t>
            </w:r>
          </w:p>
        </w:tc>
        <w:tc>
          <w:tcPr>
            <w:tcW w:w="6476" w:type="dxa"/>
            <w:gridSpan w:val="3"/>
            <w:tcBorders>
              <w:top w:val="nil"/>
              <w:left w:val="nil"/>
              <w:bottom w:val="nil"/>
              <w:right w:val="nil"/>
            </w:tcBorders>
          </w:tcPr>
          <w:p w14:paraId="1A0F1DD2" w14:textId="77777777" w:rsidR="004E04DF" w:rsidRPr="0033093E" w:rsidRDefault="004E04DF" w:rsidP="00E8416D">
            <w:pPr>
              <w:rPr>
                <w:b/>
                <w:bCs/>
                <w:sz w:val="24"/>
                <w:szCs w:val="24"/>
              </w:rPr>
            </w:pPr>
            <w:r w:rsidRPr="0033093E">
              <w:rPr>
                <w:b/>
                <w:bCs/>
                <w:sz w:val="24"/>
                <w:szCs w:val="24"/>
              </w:rPr>
              <w:t xml:space="preserve"> Wind and wind turbine influence on measurements of seismic noise</w:t>
            </w:r>
          </w:p>
        </w:tc>
        <w:tc>
          <w:tcPr>
            <w:tcW w:w="1255" w:type="dxa"/>
            <w:tcBorders>
              <w:top w:val="nil"/>
              <w:left w:val="nil"/>
              <w:bottom w:val="nil"/>
              <w:right w:val="nil"/>
            </w:tcBorders>
          </w:tcPr>
          <w:p w14:paraId="50F7BBE2" w14:textId="2FFAC1FD" w:rsidR="004E04DF" w:rsidRPr="008F3219" w:rsidRDefault="008F3219" w:rsidP="008F3219">
            <w:pPr>
              <w:jc w:val="right"/>
              <w:rPr>
                <w:sz w:val="24"/>
                <w:szCs w:val="24"/>
              </w:rPr>
            </w:pPr>
            <w:r w:rsidRPr="008F3219">
              <w:rPr>
                <w:sz w:val="24"/>
                <w:szCs w:val="24"/>
              </w:rPr>
              <w:t>9</w:t>
            </w:r>
            <w:r w:rsidR="00826C77">
              <w:rPr>
                <w:sz w:val="24"/>
                <w:szCs w:val="24"/>
              </w:rPr>
              <w:t>1</w:t>
            </w:r>
          </w:p>
        </w:tc>
      </w:tr>
      <w:tr w:rsidR="004E04DF" w:rsidRPr="0033093E" w14:paraId="1D6A3E10" w14:textId="77777777" w:rsidTr="00C32386">
        <w:trPr>
          <w:gridBefore w:val="1"/>
          <w:wBefore w:w="809" w:type="dxa"/>
        </w:trPr>
        <w:tc>
          <w:tcPr>
            <w:tcW w:w="810" w:type="dxa"/>
            <w:tcBorders>
              <w:top w:val="nil"/>
              <w:left w:val="nil"/>
              <w:bottom w:val="nil"/>
              <w:right w:val="nil"/>
            </w:tcBorders>
          </w:tcPr>
          <w:p w14:paraId="67237A60" w14:textId="77777777" w:rsidR="004E04DF" w:rsidRPr="0033093E" w:rsidRDefault="004E04DF" w:rsidP="00E8416D">
            <w:pPr>
              <w:rPr>
                <w:sz w:val="24"/>
                <w:szCs w:val="24"/>
              </w:rPr>
            </w:pPr>
          </w:p>
        </w:tc>
        <w:tc>
          <w:tcPr>
            <w:tcW w:w="806" w:type="dxa"/>
            <w:tcBorders>
              <w:top w:val="nil"/>
              <w:left w:val="nil"/>
              <w:bottom w:val="nil"/>
              <w:right w:val="nil"/>
            </w:tcBorders>
          </w:tcPr>
          <w:p w14:paraId="571AA6B1"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3479AAC5" w14:textId="77777777" w:rsidR="004E04DF" w:rsidRPr="0033093E" w:rsidRDefault="004E04DF" w:rsidP="00E8416D">
            <w:pPr>
              <w:rPr>
                <w:sz w:val="24"/>
                <w:szCs w:val="24"/>
              </w:rPr>
            </w:pPr>
            <w:r w:rsidRPr="0033093E">
              <w:rPr>
                <w:sz w:val="24"/>
                <w:szCs w:val="24"/>
              </w:rPr>
              <w:t>4.1 Abstract</w:t>
            </w:r>
          </w:p>
        </w:tc>
        <w:tc>
          <w:tcPr>
            <w:tcW w:w="1255" w:type="dxa"/>
            <w:tcBorders>
              <w:top w:val="nil"/>
              <w:left w:val="nil"/>
              <w:bottom w:val="nil"/>
              <w:right w:val="nil"/>
            </w:tcBorders>
          </w:tcPr>
          <w:p w14:paraId="3A991292" w14:textId="515552A3" w:rsidR="004E04DF" w:rsidRPr="008F3219" w:rsidRDefault="008F3219" w:rsidP="008F3219">
            <w:pPr>
              <w:jc w:val="right"/>
              <w:rPr>
                <w:sz w:val="24"/>
                <w:szCs w:val="24"/>
              </w:rPr>
            </w:pPr>
            <w:r w:rsidRPr="008F3219">
              <w:rPr>
                <w:sz w:val="24"/>
                <w:szCs w:val="24"/>
              </w:rPr>
              <w:t>9</w:t>
            </w:r>
            <w:r w:rsidR="00826C77">
              <w:rPr>
                <w:sz w:val="24"/>
                <w:szCs w:val="24"/>
              </w:rPr>
              <w:t>2</w:t>
            </w:r>
          </w:p>
        </w:tc>
      </w:tr>
      <w:tr w:rsidR="004E04DF" w:rsidRPr="0033093E" w14:paraId="58EA0CB0" w14:textId="77777777" w:rsidTr="00C32386">
        <w:trPr>
          <w:gridBefore w:val="1"/>
          <w:wBefore w:w="809" w:type="dxa"/>
        </w:trPr>
        <w:tc>
          <w:tcPr>
            <w:tcW w:w="810" w:type="dxa"/>
            <w:tcBorders>
              <w:top w:val="nil"/>
              <w:left w:val="nil"/>
              <w:bottom w:val="nil"/>
              <w:right w:val="nil"/>
            </w:tcBorders>
          </w:tcPr>
          <w:p w14:paraId="0FDBA92F" w14:textId="77777777" w:rsidR="004E04DF" w:rsidRPr="0033093E" w:rsidRDefault="004E04DF" w:rsidP="00E8416D">
            <w:pPr>
              <w:rPr>
                <w:sz w:val="24"/>
                <w:szCs w:val="24"/>
              </w:rPr>
            </w:pPr>
          </w:p>
        </w:tc>
        <w:tc>
          <w:tcPr>
            <w:tcW w:w="806" w:type="dxa"/>
            <w:tcBorders>
              <w:top w:val="nil"/>
              <w:left w:val="nil"/>
              <w:bottom w:val="nil"/>
              <w:right w:val="nil"/>
            </w:tcBorders>
          </w:tcPr>
          <w:p w14:paraId="78F61A7B"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1462D98C" w14:textId="77777777" w:rsidR="004E04DF" w:rsidRPr="0033093E" w:rsidRDefault="004E04DF" w:rsidP="00E8416D">
            <w:pPr>
              <w:rPr>
                <w:sz w:val="24"/>
                <w:szCs w:val="24"/>
              </w:rPr>
            </w:pPr>
            <w:r w:rsidRPr="0033093E">
              <w:rPr>
                <w:sz w:val="24"/>
                <w:szCs w:val="24"/>
              </w:rPr>
              <w:t>4.2 Introduction</w:t>
            </w:r>
          </w:p>
        </w:tc>
        <w:tc>
          <w:tcPr>
            <w:tcW w:w="1255" w:type="dxa"/>
            <w:tcBorders>
              <w:top w:val="nil"/>
              <w:left w:val="nil"/>
              <w:bottom w:val="nil"/>
              <w:right w:val="nil"/>
            </w:tcBorders>
          </w:tcPr>
          <w:p w14:paraId="2F4082E3" w14:textId="07BF36DB" w:rsidR="004E04DF" w:rsidRPr="008F3219" w:rsidRDefault="008F3219" w:rsidP="008F3219">
            <w:pPr>
              <w:jc w:val="right"/>
              <w:rPr>
                <w:sz w:val="24"/>
                <w:szCs w:val="24"/>
              </w:rPr>
            </w:pPr>
            <w:r w:rsidRPr="008F3219">
              <w:rPr>
                <w:sz w:val="24"/>
                <w:szCs w:val="24"/>
              </w:rPr>
              <w:t>9</w:t>
            </w:r>
            <w:r w:rsidR="00826C77">
              <w:rPr>
                <w:sz w:val="24"/>
                <w:szCs w:val="24"/>
              </w:rPr>
              <w:t>4</w:t>
            </w:r>
          </w:p>
        </w:tc>
      </w:tr>
      <w:tr w:rsidR="004E04DF" w:rsidRPr="0033093E" w14:paraId="15073AB8" w14:textId="77777777" w:rsidTr="00C32386">
        <w:trPr>
          <w:gridBefore w:val="1"/>
          <w:wBefore w:w="809" w:type="dxa"/>
        </w:trPr>
        <w:tc>
          <w:tcPr>
            <w:tcW w:w="810" w:type="dxa"/>
            <w:tcBorders>
              <w:top w:val="nil"/>
              <w:left w:val="nil"/>
              <w:bottom w:val="nil"/>
              <w:right w:val="nil"/>
            </w:tcBorders>
          </w:tcPr>
          <w:p w14:paraId="25F5AE0E" w14:textId="77777777" w:rsidR="004E04DF" w:rsidRPr="0033093E" w:rsidRDefault="004E04DF" w:rsidP="00E8416D">
            <w:pPr>
              <w:rPr>
                <w:sz w:val="24"/>
                <w:szCs w:val="24"/>
              </w:rPr>
            </w:pPr>
          </w:p>
        </w:tc>
        <w:tc>
          <w:tcPr>
            <w:tcW w:w="806" w:type="dxa"/>
            <w:tcBorders>
              <w:top w:val="nil"/>
              <w:left w:val="nil"/>
              <w:bottom w:val="nil"/>
              <w:right w:val="nil"/>
            </w:tcBorders>
          </w:tcPr>
          <w:p w14:paraId="5D231B10"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26D215B2" w14:textId="77777777" w:rsidR="004E04DF" w:rsidRPr="0033093E" w:rsidRDefault="004E04DF" w:rsidP="00E8416D">
            <w:pPr>
              <w:rPr>
                <w:sz w:val="24"/>
                <w:szCs w:val="24"/>
              </w:rPr>
            </w:pPr>
            <w:r w:rsidRPr="0033093E">
              <w:rPr>
                <w:sz w:val="24"/>
                <w:szCs w:val="24"/>
              </w:rPr>
              <w:t>4.3 Data acquisition and processing</w:t>
            </w:r>
          </w:p>
        </w:tc>
        <w:tc>
          <w:tcPr>
            <w:tcW w:w="1255" w:type="dxa"/>
            <w:tcBorders>
              <w:top w:val="nil"/>
              <w:left w:val="nil"/>
              <w:bottom w:val="nil"/>
              <w:right w:val="nil"/>
            </w:tcBorders>
          </w:tcPr>
          <w:p w14:paraId="6497222E" w14:textId="47B0B24B" w:rsidR="004E04DF" w:rsidRPr="008F3219" w:rsidRDefault="008F3219" w:rsidP="008F3219">
            <w:pPr>
              <w:jc w:val="right"/>
              <w:rPr>
                <w:sz w:val="24"/>
                <w:szCs w:val="24"/>
              </w:rPr>
            </w:pPr>
            <w:r w:rsidRPr="008F3219">
              <w:rPr>
                <w:sz w:val="24"/>
                <w:szCs w:val="24"/>
              </w:rPr>
              <w:t>9</w:t>
            </w:r>
            <w:r w:rsidR="00826C77">
              <w:rPr>
                <w:sz w:val="24"/>
                <w:szCs w:val="24"/>
              </w:rPr>
              <w:t>5</w:t>
            </w:r>
          </w:p>
        </w:tc>
      </w:tr>
      <w:tr w:rsidR="004E04DF" w:rsidRPr="0033093E" w14:paraId="57AE5B71" w14:textId="77777777" w:rsidTr="00C32386">
        <w:trPr>
          <w:gridBefore w:val="1"/>
          <w:wBefore w:w="809" w:type="dxa"/>
        </w:trPr>
        <w:tc>
          <w:tcPr>
            <w:tcW w:w="810" w:type="dxa"/>
            <w:tcBorders>
              <w:top w:val="nil"/>
              <w:left w:val="nil"/>
              <w:bottom w:val="nil"/>
              <w:right w:val="nil"/>
            </w:tcBorders>
          </w:tcPr>
          <w:p w14:paraId="51646FEC" w14:textId="77777777" w:rsidR="004E04DF" w:rsidRPr="0033093E" w:rsidRDefault="004E04DF" w:rsidP="00E8416D">
            <w:pPr>
              <w:rPr>
                <w:sz w:val="24"/>
                <w:szCs w:val="24"/>
              </w:rPr>
            </w:pPr>
          </w:p>
        </w:tc>
        <w:tc>
          <w:tcPr>
            <w:tcW w:w="806" w:type="dxa"/>
            <w:tcBorders>
              <w:top w:val="nil"/>
              <w:left w:val="nil"/>
              <w:bottom w:val="nil"/>
              <w:right w:val="nil"/>
            </w:tcBorders>
          </w:tcPr>
          <w:p w14:paraId="15268ABA" w14:textId="77777777" w:rsidR="004E04DF" w:rsidRPr="0033093E" w:rsidRDefault="004E04DF" w:rsidP="00E8416D">
            <w:pPr>
              <w:rPr>
                <w:sz w:val="24"/>
                <w:szCs w:val="24"/>
              </w:rPr>
            </w:pPr>
          </w:p>
        </w:tc>
        <w:tc>
          <w:tcPr>
            <w:tcW w:w="720" w:type="dxa"/>
            <w:tcBorders>
              <w:top w:val="nil"/>
              <w:left w:val="nil"/>
              <w:bottom w:val="nil"/>
              <w:right w:val="nil"/>
            </w:tcBorders>
          </w:tcPr>
          <w:p w14:paraId="02A4BAD2" w14:textId="77777777" w:rsidR="004E04DF" w:rsidRPr="0033093E" w:rsidRDefault="004E04DF" w:rsidP="00E8416D">
            <w:pPr>
              <w:rPr>
                <w:sz w:val="24"/>
                <w:szCs w:val="24"/>
              </w:rPr>
            </w:pPr>
          </w:p>
        </w:tc>
        <w:tc>
          <w:tcPr>
            <w:tcW w:w="4950" w:type="dxa"/>
            <w:tcBorders>
              <w:top w:val="nil"/>
              <w:left w:val="nil"/>
              <w:bottom w:val="nil"/>
              <w:right w:val="nil"/>
            </w:tcBorders>
          </w:tcPr>
          <w:p w14:paraId="049FB514" w14:textId="77777777" w:rsidR="004E04DF" w:rsidRPr="0033093E" w:rsidRDefault="004E04DF" w:rsidP="00E8416D">
            <w:pPr>
              <w:rPr>
                <w:sz w:val="24"/>
                <w:szCs w:val="24"/>
              </w:rPr>
            </w:pPr>
            <w:r w:rsidRPr="0033093E">
              <w:rPr>
                <w:sz w:val="24"/>
                <w:szCs w:val="24"/>
              </w:rPr>
              <w:t xml:space="preserve">4.3.1 Horizontal to </w:t>
            </w:r>
            <w:r>
              <w:rPr>
                <w:sz w:val="24"/>
                <w:szCs w:val="24"/>
              </w:rPr>
              <w:t>V</w:t>
            </w:r>
            <w:r w:rsidRPr="0033093E">
              <w:rPr>
                <w:sz w:val="24"/>
                <w:szCs w:val="24"/>
              </w:rPr>
              <w:t xml:space="preserve">ertical </w:t>
            </w:r>
            <w:r>
              <w:rPr>
                <w:sz w:val="24"/>
                <w:szCs w:val="24"/>
              </w:rPr>
              <w:t>S</w:t>
            </w:r>
            <w:r w:rsidRPr="0033093E">
              <w:rPr>
                <w:sz w:val="24"/>
                <w:szCs w:val="24"/>
              </w:rPr>
              <w:t xml:space="preserve">pectral </w:t>
            </w:r>
            <w:r>
              <w:rPr>
                <w:sz w:val="24"/>
                <w:szCs w:val="24"/>
              </w:rPr>
              <w:t>R</w:t>
            </w:r>
            <w:r w:rsidRPr="0033093E">
              <w:rPr>
                <w:sz w:val="24"/>
                <w:szCs w:val="24"/>
              </w:rPr>
              <w:t>atio</w:t>
            </w:r>
          </w:p>
        </w:tc>
        <w:tc>
          <w:tcPr>
            <w:tcW w:w="1255" w:type="dxa"/>
            <w:tcBorders>
              <w:top w:val="nil"/>
              <w:left w:val="nil"/>
              <w:bottom w:val="nil"/>
              <w:right w:val="nil"/>
            </w:tcBorders>
          </w:tcPr>
          <w:p w14:paraId="7DF268E0" w14:textId="1151DB50" w:rsidR="004E04DF" w:rsidRPr="008F3219" w:rsidRDefault="008F3219" w:rsidP="008F3219">
            <w:pPr>
              <w:jc w:val="right"/>
              <w:rPr>
                <w:sz w:val="24"/>
                <w:szCs w:val="24"/>
              </w:rPr>
            </w:pPr>
            <w:r w:rsidRPr="008F3219">
              <w:rPr>
                <w:sz w:val="24"/>
                <w:szCs w:val="24"/>
              </w:rPr>
              <w:t>9</w:t>
            </w:r>
            <w:r w:rsidR="00826C77">
              <w:rPr>
                <w:sz w:val="24"/>
                <w:szCs w:val="24"/>
              </w:rPr>
              <w:t>8</w:t>
            </w:r>
          </w:p>
        </w:tc>
      </w:tr>
      <w:tr w:rsidR="004E04DF" w:rsidRPr="0033093E" w14:paraId="29D06044" w14:textId="77777777" w:rsidTr="00C32386">
        <w:trPr>
          <w:gridBefore w:val="1"/>
          <w:wBefore w:w="809" w:type="dxa"/>
        </w:trPr>
        <w:tc>
          <w:tcPr>
            <w:tcW w:w="810" w:type="dxa"/>
            <w:tcBorders>
              <w:top w:val="nil"/>
              <w:left w:val="nil"/>
              <w:bottom w:val="nil"/>
              <w:right w:val="nil"/>
            </w:tcBorders>
          </w:tcPr>
          <w:p w14:paraId="56F6D557" w14:textId="77777777" w:rsidR="004E04DF" w:rsidRPr="0033093E" w:rsidRDefault="004E04DF" w:rsidP="00E8416D">
            <w:pPr>
              <w:rPr>
                <w:sz w:val="24"/>
                <w:szCs w:val="24"/>
              </w:rPr>
            </w:pPr>
          </w:p>
        </w:tc>
        <w:tc>
          <w:tcPr>
            <w:tcW w:w="806" w:type="dxa"/>
            <w:tcBorders>
              <w:top w:val="nil"/>
              <w:left w:val="nil"/>
              <w:bottom w:val="nil"/>
              <w:right w:val="nil"/>
            </w:tcBorders>
          </w:tcPr>
          <w:p w14:paraId="56635BE5" w14:textId="77777777" w:rsidR="004E04DF" w:rsidRPr="0033093E" w:rsidRDefault="004E04DF" w:rsidP="00E8416D">
            <w:pPr>
              <w:rPr>
                <w:sz w:val="24"/>
                <w:szCs w:val="24"/>
              </w:rPr>
            </w:pPr>
          </w:p>
        </w:tc>
        <w:tc>
          <w:tcPr>
            <w:tcW w:w="720" w:type="dxa"/>
            <w:tcBorders>
              <w:top w:val="nil"/>
              <w:left w:val="nil"/>
              <w:bottom w:val="nil"/>
              <w:right w:val="nil"/>
            </w:tcBorders>
          </w:tcPr>
          <w:p w14:paraId="3CC9529C" w14:textId="77777777" w:rsidR="004E04DF" w:rsidRPr="0033093E" w:rsidRDefault="004E04DF" w:rsidP="00E8416D">
            <w:pPr>
              <w:rPr>
                <w:sz w:val="24"/>
                <w:szCs w:val="24"/>
              </w:rPr>
            </w:pPr>
          </w:p>
        </w:tc>
        <w:tc>
          <w:tcPr>
            <w:tcW w:w="4950" w:type="dxa"/>
            <w:tcBorders>
              <w:top w:val="nil"/>
              <w:left w:val="nil"/>
              <w:bottom w:val="nil"/>
              <w:right w:val="nil"/>
            </w:tcBorders>
          </w:tcPr>
          <w:p w14:paraId="1272EC2A" w14:textId="77777777" w:rsidR="004E04DF" w:rsidRPr="0033093E" w:rsidRDefault="004E04DF" w:rsidP="00E8416D">
            <w:pPr>
              <w:rPr>
                <w:sz w:val="24"/>
                <w:szCs w:val="24"/>
              </w:rPr>
            </w:pPr>
            <w:r w:rsidRPr="0033093E">
              <w:rPr>
                <w:sz w:val="24"/>
                <w:szCs w:val="24"/>
              </w:rPr>
              <w:t>4.3.2 Cross Coherence</w:t>
            </w:r>
          </w:p>
        </w:tc>
        <w:tc>
          <w:tcPr>
            <w:tcW w:w="1255" w:type="dxa"/>
            <w:tcBorders>
              <w:top w:val="nil"/>
              <w:left w:val="nil"/>
              <w:bottom w:val="nil"/>
              <w:right w:val="nil"/>
            </w:tcBorders>
          </w:tcPr>
          <w:p w14:paraId="5DDAB14B" w14:textId="0D32A005" w:rsidR="004E04DF" w:rsidRPr="008F3219" w:rsidRDefault="008F3219" w:rsidP="008F3219">
            <w:pPr>
              <w:jc w:val="right"/>
              <w:rPr>
                <w:sz w:val="24"/>
                <w:szCs w:val="24"/>
              </w:rPr>
            </w:pPr>
            <w:r w:rsidRPr="008F3219">
              <w:rPr>
                <w:sz w:val="24"/>
                <w:szCs w:val="24"/>
              </w:rPr>
              <w:t>9</w:t>
            </w:r>
            <w:r w:rsidR="00826C77">
              <w:rPr>
                <w:sz w:val="24"/>
                <w:szCs w:val="24"/>
              </w:rPr>
              <w:t>9</w:t>
            </w:r>
          </w:p>
        </w:tc>
      </w:tr>
      <w:tr w:rsidR="004E04DF" w:rsidRPr="0033093E" w14:paraId="4D5D7125" w14:textId="77777777" w:rsidTr="00C32386">
        <w:trPr>
          <w:gridBefore w:val="1"/>
          <w:wBefore w:w="809" w:type="dxa"/>
        </w:trPr>
        <w:tc>
          <w:tcPr>
            <w:tcW w:w="810" w:type="dxa"/>
            <w:tcBorders>
              <w:top w:val="nil"/>
              <w:left w:val="nil"/>
              <w:bottom w:val="nil"/>
              <w:right w:val="nil"/>
            </w:tcBorders>
          </w:tcPr>
          <w:p w14:paraId="3A09D843" w14:textId="77777777" w:rsidR="004E04DF" w:rsidRPr="0033093E" w:rsidRDefault="004E04DF" w:rsidP="00E8416D">
            <w:pPr>
              <w:rPr>
                <w:sz w:val="24"/>
                <w:szCs w:val="24"/>
              </w:rPr>
            </w:pPr>
          </w:p>
        </w:tc>
        <w:tc>
          <w:tcPr>
            <w:tcW w:w="806" w:type="dxa"/>
            <w:tcBorders>
              <w:top w:val="nil"/>
              <w:left w:val="nil"/>
              <w:bottom w:val="nil"/>
              <w:right w:val="nil"/>
            </w:tcBorders>
          </w:tcPr>
          <w:p w14:paraId="26BA47BA"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535E65B0" w14:textId="77777777" w:rsidR="004E04DF" w:rsidRPr="0033093E" w:rsidRDefault="004E04DF" w:rsidP="00E8416D">
            <w:pPr>
              <w:rPr>
                <w:sz w:val="24"/>
                <w:szCs w:val="24"/>
              </w:rPr>
            </w:pPr>
            <w:r w:rsidRPr="0033093E">
              <w:rPr>
                <w:sz w:val="24"/>
                <w:szCs w:val="24"/>
              </w:rPr>
              <w:t>4.4 Results</w:t>
            </w:r>
          </w:p>
        </w:tc>
        <w:tc>
          <w:tcPr>
            <w:tcW w:w="1255" w:type="dxa"/>
            <w:tcBorders>
              <w:top w:val="nil"/>
              <w:left w:val="nil"/>
              <w:bottom w:val="nil"/>
              <w:right w:val="nil"/>
            </w:tcBorders>
          </w:tcPr>
          <w:p w14:paraId="676FF6D7" w14:textId="0B738FD8" w:rsidR="004E04DF" w:rsidRPr="008F3219" w:rsidRDefault="008F3219" w:rsidP="008F3219">
            <w:pPr>
              <w:jc w:val="right"/>
              <w:rPr>
                <w:sz w:val="24"/>
                <w:szCs w:val="24"/>
              </w:rPr>
            </w:pPr>
            <w:r w:rsidRPr="008F3219">
              <w:rPr>
                <w:sz w:val="24"/>
                <w:szCs w:val="24"/>
              </w:rPr>
              <w:t>10</w:t>
            </w:r>
            <w:r w:rsidR="00826C77">
              <w:rPr>
                <w:sz w:val="24"/>
                <w:szCs w:val="24"/>
              </w:rPr>
              <w:t>1</w:t>
            </w:r>
          </w:p>
        </w:tc>
      </w:tr>
      <w:tr w:rsidR="004E04DF" w:rsidRPr="0033093E" w14:paraId="29F27E8C" w14:textId="77777777" w:rsidTr="00C32386">
        <w:trPr>
          <w:gridBefore w:val="1"/>
          <w:wBefore w:w="809" w:type="dxa"/>
        </w:trPr>
        <w:tc>
          <w:tcPr>
            <w:tcW w:w="810" w:type="dxa"/>
            <w:tcBorders>
              <w:top w:val="nil"/>
              <w:left w:val="nil"/>
              <w:bottom w:val="nil"/>
              <w:right w:val="nil"/>
            </w:tcBorders>
          </w:tcPr>
          <w:p w14:paraId="14CA6685" w14:textId="77777777" w:rsidR="004E04DF" w:rsidRPr="0033093E" w:rsidRDefault="004E04DF" w:rsidP="00E8416D">
            <w:pPr>
              <w:rPr>
                <w:sz w:val="24"/>
                <w:szCs w:val="24"/>
              </w:rPr>
            </w:pPr>
          </w:p>
        </w:tc>
        <w:tc>
          <w:tcPr>
            <w:tcW w:w="806" w:type="dxa"/>
            <w:tcBorders>
              <w:top w:val="nil"/>
              <w:left w:val="nil"/>
              <w:bottom w:val="nil"/>
              <w:right w:val="nil"/>
            </w:tcBorders>
          </w:tcPr>
          <w:p w14:paraId="33CBBA22"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29B07E93" w14:textId="77777777" w:rsidR="004E04DF" w:rsidRPr="0033093E" w:rsidRDefault="004E04DF" w:rsidP="00E8416D">
            <w:pPr>
              <w:rPr>
                <w:sz w:val="24"/>
                <w:szCs w:val="24"/>
              </w:rPr>
            </w:pPr>
            <w:r w:rsidRPr="0033093E">
              <w:rPr>
                <w:sz w:val="24"/>
                <w:szCs w:val="24"/>
              </w:rPr>
              <w:t>4.5 Discussion</w:t>
            </w:r>
          </w:p>
        </w:tc>
        <w:tc>
          <w:tcPr>
            <w:tcW w:w="1255" w:type="dxa"/>
            <w:tcBorders>
              <w:top w:val="nil"/>
              <w:left w:val="nil"/>
              <w:bottom w:val="nil"/>
              <w:right w:val="nil"/>
            </w:tcBorders>
          </w:tcPr>
          <w:p w14:paraId="72F4872B" w14:textId="2A0B6D99" w:rsidR="004E04DF" w:rsidRPr="008F3219" w:rsidRDefault="008F3219" w:rsidP="008F3219">
            <w:pPr>
              <w:jc w:val="right"/>
              <w:rPr>
                <w:sz w:val="24"/>
                <w:szCs w:val="24"/>
              </w:rPr>
            </w:pPr>
            <w:r w:rsidRPr="008F3219">
              <w:rPr>
                <w:sz w:val="24"/>
                <w:szCs w:val="24"/>
              </w:rPr>
              <w:t>10</w:t>
            </w:r>
            <w:r w:rsidR="00826C77">
              <w:rPr>
                <w:sz w:val="24"/>
                <w:szCs w:val="24"/>
              </w:rPr>
              <w:t>3</w:t>
            </w:r>
          </w:p>
        </w:tc>
      </w:tr>
      <w:tr w:rsidR="004E04DF" w:rsidRPr="0033093E" w14:paraId="3F6309CD" w14:textId="77777777" w:rsidTr="00C32386">
        <w:trPr>
          <w:gridBefore w:val="1"/>
          <w:wBefore w:w="809" w:type="dxa"/>
        </w:trPr>
        <w:tc>
          <w:tcPr>
            <w:tcW w:w="810" w:type="dxa"/>
            <w:tcBorders>
              <w:top w:val="nil"/>
              <w:left w:val="nil"/>
              <w:bottom w:val="nil"/>
              <w:right w:val="nil"/>
            </w:tcBorders>
          </w:tcPr>
          <w:p w14:paraId="56ED9980" w14:textId="77777777" w:rsidR="004E04DF" w:rsidRPr="0033093E" w:rsidRDefault="004E04DF" w:rsidP="00E8416D">
            <w:pPr>
              <w:rPr>
                <w:sz w:val="24"/>
                <w:szCs w:val="24"/>
              </w:rPr>
            </w:pPr>
          </w:p>
        </w:tc>
        <w:tc>
          <w:tcPr>
            <w:tcW w:w="806" w:type="dxa"/>
            <w:tcBorders>
              <w:top w:val="nil"/>
              <w:left w:val="nil"/>
              <w:bottom w:val="nil"/>
              <w:right w:val="nil"/>
            </w:tcBorders>
          </w:tcPr>
          <w:p w14:paraId="742698C4"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07BF8C2C" w14:textId="77777777" w:rsidR="004E04DF" w:rsidRPr="0033093E" w:rsidRDefault="004E04DF" w:rsidP="00E8416D">
            <w:pPr>
              <w:rPr>
                <w:sz w:val="24"/>
                <w:szCs w:val="24"/>
              </w:rPr>
            </w:pPr>
            <w:r w:rsidRPr="0033093E">
              <w:rPr>
                <w:sz w:val="24"/>
                <w:szCs w:val="24"/>
              </w:rPr>
              <w:t>4.6 Conclusion</w:t>
            </w:r>
          </w:p>
        </w:tc>
        <w:tc>
          <w:tcPr>
            <w:tcW w:w="1255" w:type="dxa"/>
            <w:tcBorders>
              <w:top w:val="nil"/>
              <w:left w:val="nil"/>
              <w:bottom w:val="nil"/>
              <w:right w:val="nil"/>
            </w:tcBorders>
          </w:tcPr>
          <w:p w14:paraId="5A7115ED" w14:textId="082F8DEA" w:rsidR="004E04DF" w:rsidRPr="008F3219" w:rsidRDefault="008F3219" w:rsidP="008F3219">
            <w:pPr>
              <w:jc w:val="right"/>
              <w:rPr>
                <w:sz w:val="24"/>
                <w:szCs w:val="24"/>
              </w:rPr>
            </w:pPr>
            <w:r w:rsidRPr="008F3219">
              <w:rPr>
                <w:sz w:val="24"/>
                <w:szCs w:val="24"/>
              </w:rPr>
              <w:t>10</w:t>
            </w:r>
            <w:r w:rsidR="00826C77">
              <w:rPr>
                <w:sz w:val="24"/>
                <w:szCs w:val="24"/>
              </w:rPr>
              <w:t>5</w:t>
            </w:r>
          </w:p>
        </w:tc>
      </w:tr>
      <w:tr w:rsidR="004E04DF" w:rsidRPr="0033093E" w14:paraId="78461E9F" w14:textId="77777777" w:rsidTr="00C32386">
        <w:trPr>
          <w:gridBefore w:val="1"/>
          <w:wBefore w:w="809" w:type="dxa"/>
        </w:trPr>
        <w:tc>
          <w:tcPr>
            <w:tcW w:w="810" w:type="dxa"/>
            <w:tcBorders>
              <w:top w:val="nil"/>
              <w:left w:val="nil"/>
              <w:bottom w:val="nil"/>
              <w:right w:val="nil"/>
            </w:tcBorders>
          </w:tcPr>
          <w:p w14:paraId="557BDC1B" w14:textId="77777777" w:rsidR="004E04DF" w:rsidRPr="0033093E" w:rsidRDefault="004E04DF" w:rsidP="00E8416D">
            <w:pPr>
              <w:rPr>
                <w:sz w:val="24"/>
                <w:szCs w:val="24"/>
              </w:rPr>
            </w:pPr>
          </w:p>
        </w:tc>
        <w:tc>
          <w:tcPr>
            <w:tcW w:w="806" w:type="dxa"/>
            <w:tcBorders>
              <w:top w:val="nil"/>
              <w:left w:val="nil"/>
              <w:bottom w:val="nil"/>
              <w:right w:val="nil"/>
            </w:tcBorders>
          </w:tcPr>
          <w:p w14:paraId="0BB7E176"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285123B1" w14:textId="77777777" w:rsidR="004E04DF" w:rsidRPr="0033093E" w:rsidRDefault="004E04DF" w:rsidP="00E8416D">
            <w:pPr>
              <w:rPr>
                <w:sz w:val="24"/>
                <w:szCs w:val="24"/>
              </w:rPr>
            </w:pPr>
            <w:r w:rsidRPr="0033093E">
              <w:rPr>
                <w:sz w:val="24"/>
                <w:szCs w:val="24"/>
              </w:rPr>
              <w:t>4.7 Acknowledgment</w:t>
            </w:r>
          </w:p>
        </w:tc>
        <w:tc>
          <w:tcPr>
            <w:tcW w:w="1255" w:type="dxa"/>
            <w:tcBorders>
              <w:top w:val="nil"/>
              <w:left w:val="nil"/>
              <w:bottom w:val="nil"/>
              <w:right w:val="nil"/>
            </w:tcBorders>
          </w:tcPr>
          <w:p w14:paraId="4BD2FD24" w14:textId="50227725" w:rsidR="004E04DF" w:rsidRPr="008F3219" w:rsidRDefault="008F3219" w:rsidP="008F3219">
            <w:pPr>
              <w:jc w:val="right"/>
              <w:rPr>
                <w:sz w:val="24"/>
                <w:szCs w:val="24"/>
              </w:rPr>
            </w:pPr>
            <w:r w:rsidRPr="008F3219">
              <w:rPr>
                <w:sz w:val="24"/>
                <w:szCs w:val="24"/>
              </w:rPr>
              <w:t>10</w:t>
            </w:r>
            <w:r w:rsidR="00826C77">
              <w:rPr>
                <w:sz w:val="24"/>
                <w:szCs w:val="24"/>
              </w:rPr>
              <w:t>8</w:t>
            </w:r>
          </w:p>
        </w:tc>
      </w:tr>
      <w:tr w:rsidR="004E04DF" w:rsidRPr="0033093E" w14:paraId="7D69B591" w14:textId="77777777" w:rsidTr="00C32386">
        <w:trPr>
          <w:gridBefore w:val="1"/>
          <w:wBefore w:w="809" w:type="dxa"/>
        </w:trPr>
        <w:tc>
          <w:tcPr>
            <w:tcW w:w="810" w:type="dxa"/>
            <w:tcBorders>
              <w:top w:val="nil"/>
              <w:left w:val="nil"/>
              <w:bottom w:val="nil"/>
              <w:right w:val="nil"/>
            </w:tcBorders>
          </w:tcPr>
          <w:p w14:paraId="3511C415" w14:textId="77777777" w:rsidR="004E04DF" w:rsidRPr="0033093E" w:rsidRDefault="004E04DF" w:rsidP="00E8416D">
            <w:pPr>
              <w:rPr>
                <w:sz w:val="24"/>
                <w:szCs w:val="24"/>
              </w:rPr>
            </w:pPr>
          </w:p>
        </w:tc>
        <w:tc>
          <w:tcPr>
            <w:tcW w:w="806" w:type="dxa"/>
            <w:tcBorders>
              <w:top w:val="nil"/>
              <w:left w:val="nil"/>
              <w:bottom w:val="nil"/>
              <w:right w:val="nil"/>
            </w:tcBorders>
          </w:tcPr>
          <w:p w14:paraId="059C1919" w14:textId="77777777" w:rsidR="004E04DF" w:rsidRPr="0033093E" w:rsidRDefault="004E04DF" w:rsidP="00E8416D">
            <w:pPr>
              <w:rPr>
                <w:sz w:val="24"/>
                <w:szCs w:val="24"/>
              </w:rPr>
            </w:pPr>
          </w:p>
        </w:tc>
        <w:tc>
          <w:tcPr>
            <w:tcW w:w="5670" w:type="dxa"/>
            <w:gridSpan w:val="2"/>
            <w:tcBorders>
              <w:top w:val="nil"/>
              <w:left w:val="nil"/>
              <w:bottom w:val="nil"/>
              <w:right w:val="nil"/>
            </w:tcBorders>
          </w:tcPr>
          <w:p w14:paraId="507B81CA" w14:textId="77777777" w:rsidR="004E04DF" w:rsidRPr="0033093E" w:rsidRDefault="004E04DF" w:rsidP="00E8416D">
            <w:pPr>
              <w:rPr>
                <w:sz w:val="24"/>
                <w:szCs w:val="24"/>
              </w:rPr>
            </w:pPr>
            <w:r w:rsidRPr="0033093E">
              <w:rPr>
                <w:sz w:val="24"/>
                <w:szCs w:val="24"/>
              </w:rPr>
              <w:t>References</w:t>
            </w:r>
          </w:p>
        </w:tc>
        <w:tc>
          <w:tcPr>
            <w:tcW w:w="1255" w:type="dxa"/>
            <w:tcBorders>
              <w:top w:val="nil"/>
              <w:left w:val="nil"/>
              <w:bottom w:val="nil"/>
              <w:right w:val="nil"/>
            </w:tcBorders>
          </w:tcPr>
          <w:p w14:paraId="2D2EF495" w14:textId="5501958C" w:rsidR="004E04DF" w:rsidRPr="008F3219" w:rsidRDefault="008F3219" w:rsidP="008F3219">
            <w:pPr>
              <w:jc w:val="right"/>
              <w:rPr>
                <w:sz w:val="24"/>
                <w:szCs w:val="24"/>
              </w:rPr>
            </w:pPr>
            <w:r w:rsidRPr="008F3219">
              <w:rPr>
                <w:sz w:val="24"/>
                <w:szCs w:val="24"/>
              </w:rPr>
              <w:t>11</w:t>
            </w:r>
            <w:r w:rsidR="00826C77">
              <w:rPr>
                <w:sz w:val="24"/>
                <w:szCs w:val="24"/>
              </w:rPr>
              <w:t>9</w:t>
            </w:r>
          </w:p>
        </w:tc>
      </w:tr>
      <w:tr w:rsidR="004E04DF" w:rsidRPr="0033093E" w14:paraId="305B1336" w14:textId="77777777" w:rsidTr="00C32386">
        <w:trPr>
          <w:gridBefore w:val="1"/>
          <w:wBefore w:w="809" w:type="dxa"/>
        </w:trPr>
        <w:tc>
          <w:tcPr>
            <w:tcW w:w="810" w:type="dxa"/>
            <w:tcBorders>
              <w:top w:val="nil"/>
              <w:left w:val="nil"/>
              <w:bottom w:val="nil"/>
              <w:right w:val="nil"/>
            </w:tcBorders>
          </w:tcPr>
          <w:p w14:paraId="5B6779C7" w14:textId="77777777" w:rsidR="004E04DF" w:rsidRPr="0033093E" w:rsidRDefault="004E04DF" w:rsidP="00E8416D">
            <w:pPr>
              <w:rPr>
                <w:b/>
                <w:bCs/>
                <w:sz w:val="24"/>
                <w:szCs w:val="24"/>
              </w:rPr>
            </w:pPr>
          </w:p>
        </w:tc>
        <w:tc>
          <w:tcPr>
            <w:tcW w:w="6476" w:type="dxa"/>
            <w:gridSpan w:val="3"/>
            <w:tcBorders>
              <w:top w:val="nil"/>
              <w:left w:val="nil"/>
              <w:bottom w:val="nil"/>
              <w:right w:val="nil"/>
            </w:tcBorders>
          </w:tcPr>
          <w:p w14:paraId="2BB7BC1C" w14:textId="77777777" w:rsidR="004E04DF" w:rsidRPr="0033093E" w:rsidRDefault="004E04DF" w:rsidP="00E8416D">
            <w:pPr>
              <w:rPr>
                <w:b/>
                <w:bCs/>
                <w:sz w:val="24"/>
                <w:szCs w:val="24"/>
              </w:rPr>
            </w:pPr>
          </w:p>
        </w:tc>
        <w:tc>
          <w:tcPr>
            <w:tcW w:w="1255" w:type="dxa"/>
            <w:tcBorders>
              <w:top w:val="nil"/>
              <w:left w:val="nil"/>
              <w:bottom w:val="nil"/>
              <w:right w:val="nil"/>
            </w:tcBorders>
          </w:tcPr>
          <w:p w14:paraId="42B83877" w14:textId="0775CE50" w:rsidR="004E04DF" w:rsidRPr="008F3219" w:rsidRDefault="004E04DF" w:rsidP="008F3219">
            <w:pPr>
              <w:jc w:val="right"/>
              <w:rPr>
                <w:sz w:val="24"/>
                <w:szCs w:val="24"/>
              </w:rPr>
            </w:pPr>
          </w:p>
        </w:tc>
      </w:tr>
      <w:tr w:rsidR="004E04DF" w:rsidRPr="0033093E" w14:paraId="07859C2D" w14:textId="77777777" w:rsidTr="00C32386">
        <w:trPr>
          <w:gridBefore w:val="1"/>
          <w:wBefore w:w="809" w:type="dxa"/>
        </w:trPr>
        <w:tc>
          <w:tcPr>
            <w:tcW w:w="810" w:type="dxa"/>
            <w:tcBorders>
              <w:top w:val="nil"/>
              <w:left w:val="nil"/>
              <w:bottom w:val="nil"/>
              <w:right w:val="nil"/>
            </w:tcBorders>
          </w:tcPr>
          <w:p w14:paraId="30FCBA43" w14:textId="77777777" w:rsidR="004E04DF" w:rsidRPr="0033093E" w:rsidRDefault="004E04DF" w:rsidP="00E8416D">
            <w:pPr>
              <w:rPr>
                <w:b/>
                <w:bCs/>
                <w:sz w:val="24"/>
                <w:szCs w:val="24"/>
              </w:rPr>
            </w:pPr>
            <w:r w:rsidRPr="0033093E">
              <w:rPr>
                <w:b/>
                <w:bCs/>
                <w:sz w:val="24"/>
                <w:szCs w:val="24"/>
              </w:rPr>
              <w:t>5</w:t>
            </w:r>
          </w:p>
        </w:tc>
        <w:tc>
          <w:tcPr>
            <w:tcW w:w="6476" w:type="dxa"/>
            <w:gridSpan w:val="3"/>
            <w:tcBorders>
              <w:top w:val="nil"/>
              <w:left w:val="nil"/>
              <w:bottom w:val="nil"/>
              <w:right w:val="nil"/>
            </w:tcBorders>
          </w:tcPr>
          <w:p w14:paraId="6A82664B" w14:textId="77777777" w:rsidR="004E04DF" w:rsidRPr="0033093E" w:rsidRDefault="004E04DF" w:rsidP="00E8416D">
            <w:pPr>
              <w:rPr>
                <w:b/>
                <w:bCs/>
                <w:sz w:val="24"/>
                <w:szCs w:val="24"/>
              </w:rPr>
            </w:pPr>
            <w:r w:rsidRPr="0033093E">
              <w:rPr>
                <w:b/>
                <w:bCs/>
                <w:sz w:val="24"/>
                <w:szCs w:val="24"/>
              </w:rPr>
              <w:t xml:space="preserve"> Conclusion</w:t>
            </w:r>
          </w:p>
        </w:tc>
        <w:tc>
          <w:tcPr>
            <w:tcW w:w="1255" w:type="dxa"/>
            <w:tcBorders>
              <w:top w:val="nil"/>
              <w:left w:val="nil"/>
              <w:bottom w:val="nil"/>
              <w:right w:val="nil"/>
            </w:tcBorders>
          </w:tcPr>
          <w:p w14:paraId="279B2FCD" w14:textId="11425907" w:rsidR="004E04DF" w:rsidRPr="008F3219" w:rsidRDefault="008F3219" w:rsidP="008F3219">
            <w:pPr>
              <w:jc w:val="right"/>
              <w:rPr>
                <w:sz w:val="24"/>
                <w:szCs w:val="24"/>
              </w:rPr>
            </w:pPr>
            <w:r w:rsidRPr="008F3219">
              <w:rPr>
                <w:sz w:val="24"/>
                <w:szCs w:val="24"/>
              </w:rPr>
              <w:t>12</w:t>
            </w:r>
            <w:r w:rsidR="00826C77">
              <w:rPr>
                <w:sz w:val="24"/>
                <w:szCs w:val="24"/>
              </w:rPr>
              <w:t>1</w:t>
            </w:r>
          </w:p>
        </w:tc>
      </w:tr>
    </w:tbl>
    <w:p w14:paraId="2BC50F83" w14:textId="77777777" w:rsidR="004E04DF" w:rsidRDefault="004E04DF" w:rsidP="0069688F">
      <w:pPr>
        <w:rPr>
          <w:b/>
          <w:bCs/>
        </w:rPr>
      </w:pPr>
    </w:p>
    <w:p w14:paraId="38411336" w14:textId="77777777" w:rsidR="002065CC" w:rsidRPr="0069688F" w:rsidRDefault="002065CC" w:rsidP="0069688F">
      <w:pPr>
        <w:rPr>
          <w:b/>
          <w:bCs/>
        </w:rPr>
      </w:pPr>
    </w:p>
    <w:p w14:paraId="6EAA0396" w14:textId="77777777" w:rsidR="004E04DF" w:rsidRDefault="004E04DF" w:rsidP="00A543B0">
      <w:pPr>
        <w:jc w:val="center"/>
        <w:rPr>
          <w:b/>
          <w:bCs/>
          <w:sz w:val="24"/>
          <w:szCs w:val="24"/>
        </w:rPr>
      </w:pPr>
    </w:p>
    <w:p w14:paraId="2520DD7C" w14:textId="67E8F273" w:rsidR="004E04DF" w:rsidRPr="00495B03" w:rsidRDefault="004E04DF" w:rsidP="00A543B0">
      <w:pPr>
        <w:jc w:val="center"/>
        <w:rPr>
          <w:b/>
          <w:bCs/>
          <w:sz w:val="24"/>
          <w:szCs w:val="24"/>
        </w:rPr>
      </w:pPr>
      <w:r w:rsidRPr="00495B03">
        <w:rPr>
          <w:b/>
          <w:bCs/>
          <w:sz w:val="24"/>
          <w:szCs w:val="24"/>
        </w:rPr>
        <w:lastRenderedPageBreak/>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1815"/>
        <w:gridCol w:w="6407"/>
        <w:gridCol w:w="608"/>
      </w:tblGrid>
      <w:tr w:rsidR="004E04DF" w:rsidRPr="00495B03" w14:paraId="53F371D4" w14:textId="77777777" w:rsidTr="00C32386">
        <w:tc>
          <w:tcPr>
            <w:tcW w:w="520" w:type="dxa"/>
          </w:tcPr>
          <w:p w14:paraId="78DD9A36" w14:textId="77777777" w:rsidR="004E04DF" w:rsidRPr="00495B03" w:rsidRDefault="004E04DF">
            <w:pPr>
              <w:rPr>
                <w:sz w:val="24"/>
                <w:szCs w:val="24"/>
              </w:rPr>
            </w:pPr>
            <w:r>
              <w:rPr>
                <w:sz w:val="24"/>
                <w:szCs w:val="24"/>
              </w:rPr>
              <w:t>2</w:t>
            </w:r>
            <w:r w:rsidRPr="00495B03">
              <w:rPr>
                <w:sz w:val="24"/>
                <w:szCs w:val="24"/>
              </w:rPr>
              <w:t>.1</w:t>
            </w:r>
          </w:p>
        </w:tc>
        <w:tc>
          <w:tcPr>
            <w:tcW w:w="1815" w:type="dxa"/>
          </w:tcPr>
          <w:p w14:paraId="68720459" w14:textId="77777777" w:rsidR="004E04DF" w:rsidRPr="00495B03" w:rsidRDefault="004E04DF">
            <w:pPr>
              <w:rPr>
                <w:sz w:val="24"/>
                <w:szCs w:val="24"/>
              </w:rPr>
            </w:pPr>
            <w:r>
              <w:rPr>
                <w:sz w:val="24"/>
                <w:szCs w:val="24"/>
              </w:rPr>
              <w:t xml:space="preserve">Table 2.1 </w:t>
            </w:r>
          </w:p>
        </w:tc>
        <w:tc>
          <w:tcPr>
            <w:tcW w:w="6407" w:type="dxa"/>
          </w:tcPr>
          <w:p w14:paraId="791DB88C" w14:textId="77777777" w:rsidR="004E04DF" w:rsidRPr="00495B03" w:rsidRDefault="004E04DF">
            <w:pPr>
              <w:rPr>
                <w:sz w:val="24"/>
                <w:szCs w:val="24"/>
              </w:rPr>
            </w:pPr>
            <w:r>
              <w:rPr>
                <w:sz w:val="24"/>
                <w:szCs w:val="24"/>
              </w:rPr>
              <w:t>The n</w:t>
            </w:r>
            <w:r w:rsidRPr="00495B03">
              <w:rPr>
                <w:sz w:val="24"/>
                <w:szCs w:val="24"/>
              </w:rPr>
              <w:t>umber of events in the full catalog, full catalog b-value, common events, pre-calibration b-value of common events, and the final catalog. B-value approximations are estimated by least square fitting.</w:t>
            </w:r>
          </w:p>
        </w:tc>
        <w:tc>
          <w:tcPr>
            <w:tcW w:w="608" w:type="dxa"/>
          </w:tcPr>
          <w:p w14:paraId="043DDA7C" w14:textId="07082C8D" w:rsidR="004E04DF" w:rsidRPr="00495B03" w:rsidRDefault="006E7FE1">
            <w:pPr>
              <w:rPr>
                <w:sz w:val="24"/>
                <w:szCs w:val="24"/>
              </w:rPr>
            </w:pPr>
            <w:r>
              <w:rPr>
                <w:sz w:val="24"/>
                <w:szCs w:val="24"/>
              </w:rPr>
              <w:t>30</w:t>
            </w:r>
          </w:p>
        </w:tc>
      </w:tr>
      <w:tr w:rsidR="004E04DF" w:rsidRPr="00495B03" w14:paraId="627C79FC" w14:textId="77777777" w:rsidTr="00C32386">
        <w:tc>
          <w:tcPr>
            <w:tcW w:w="520" w:type="dxa"/>
          </w:tcPr>
          <w:p w14:paraId="3D62C75B" w14:textId="77777777" w:rsidR="004E04DF" w:rsidRPr="00495B03" w:rsidRDefault="004E04DF">
            <w:pPr>
              <w:rPr>
                <w:sz w:val="24"/>
                <w:szCs w:val="24"/>
              </w:rPr>
            </w:pPr>
            <w:r>
              <w:rPr>
                <w:sz w:val="24"/>
                <w:szCs w:val="24"/>
              </w:rPr>
              <w:t>2</w:t>
            </w:r>
            <w:r w:rsidRPr="00495B03">
              <w:rPr>
                <w:sz w:val="24"/>
                <w:szCs w:val="24"/>
              </w:rPr>
              <w:t>.2</w:t>
            </w:r>
          </w:p>
        </w:tc>
        <w:tc>
          <w:tcPr>
            <w:tcW w:w="1815" w:type="dxa"/>
          </w:tcPr>
          <w:p w14:paraId="1186B2C5" w14:textId="77777777" w:rsidR="004E04DF" w:rsidRPr="00495B03" w:rsidRDefault="004E04DF">
            <w:pPr>
              <w:rPr>
                <w:sz w:val="24"/>
                <w:szCs w:val="24"/>
              </w:rPr>
            </w:pPr>
            <w:r>
              <w:rPr>
                <w:sz w:val="24"/>
                <w:szCs w:val="24"/>
              </w:rPr>
              <w:t>Table 2.2</w:t>
            </w:r>
          </w:p>
        </w:tc>
        <w:tc>
          <w:tcPr>
            <w:tcW w:w="6407" w:type="dxa"/>
          </w:tcPr>
          <w:p w14:paraId="7784F8B1" w14:textId="77777777" w:rsidR="004E04DF" w:rsidRPr="00495B03" w:rsidRDefault="004E04DF">
            <w:pPr>
              <w:rPr>
                <w:sz w:val="24"/>
                <w:szCs w:val="24"/>
              </w:rPr>
            </w:pPr>
            <w:r w:rsidRPr="00495B03">
              <w:rPr>
                <w:sz w:val="24"/>
                <w:szCs w:val="24"/>
              </w:rPr>
              <w:t xml:space="preserve">Maximum likelihood fitting for b-value and </w:t>
            </w:r>
            <w:proofErr w:type="spellStart"/>
            <w:r w:rsidRPr="00495B03">
              <w:rPr>
                <w:sz w:val="24"/>
                <w:szCs w:val="24"/>
              </w:rPr>
              <w:t>seismogenic</w:t>
            </w:r>
            <w:proofErr w:type="spellEnd"/>
            <w:r w:rsidRPr="00495B03">
              <w:rPr>
                <w:sz w:val="24"/>
                <w:szCs w:val="24"/>
              </w:rPr>
              <w:t xml:space="preserve"> index before and after magnitude calibration with depth ranges and percentage of event recovery above Mc.</w:t>
            </w:r>
          </w:p>
        </w:tc>
        <w:tc>
          <w:tcPr>
            <w:tcW w:w="608" w:type="dxa"/>
          </w:tcPr>
          <w:p w14:paraId="4345A94B" w14:textId="5C1B485B" w:rsidR="004E04DF" w:rsidRPr="00495B03" w:rsidRDefault="006E7FE1">
            <w:pPr>
              <w:rPr>
                <w:sz w:val="24"/>
                <w:szCs w:val="24"/>
              </w:rPr>
            </w:pPr>
            <w:r>
              <w:rPr>
                <w:sz w:val="24"/>
                <w:szCs w:val="24"/>
              </w:rPr>
              <w:t>31</w:t>
            </w:r>
          </w:p>
        </w:tc>
      </w:tr>
    </w:tbl>
    <w:p w14:paraId="5C60AD49" w14:textId="77777777" w:rsidR="004E04DF" w:rsidRPr="00495B03" w:rsidRDefault="004E04DF" w:rsidP="00DC5175">
      <w:pPr>
        <w:rPr>
          <w:sz w:val="24"/>
          <w:szCs w:val="24"/>
        </w:rPr>
      </w:pPr>
    </w:p>
    <w:p w14:paraId="39E0A8AB" w14:textId="7AB3754B" w:rsidR="00EB70C9" w:rsidRDefault="00EB70C9" w:rsidP="00C7369F">
      <w:pPr>
        <w:jc w:val="center"/>
        <w:rPr>
          <w:sz w:val="24"/>
          <w:szCs w:val="24"/>
        </w:rPr>
      </w:pPr>
    </w:p>
    <w:p w14:paraId="75561259" w14:textId="77777777" w:rsidR="004E04DF" w:rsidRDefault="004E04DF" w:rsidP="00C7369F">
      <w:pPr>
        <w:jc w:val="center"/>
        <w:rPr>
          <w:sz w:val="24"/>
          <w:szCs w:val="24"/>
        </w:rPr>
      </w:pPr>
    </w:p>
    <w:p w14:paraId="777FAC10" w14:textId="77777777" w:rsidR="004E04DF" w:rsidRDefault="004E04DF" w:rsidP="00C7369F">
      <w:pPr>
        <w:jc w:val="center"/>
        <w:rPr>
          <w:sz w:val="24"/>
          <w:szCs w:val="24"/>
        </w:rPr>
      </w:pPr>
    </w:p>
    <w:p w14:paraId="2200BC56" w14:textId="77777777" w:rsidR="004E04DF" w:rsidRDefault="004E04DF" w:rsidP="00C7369F">
      <w:pPr>
        <w:jc w:val="center"/>
        <w:rPr>
          <w:sz w:val="24"/>
          <w:szCs w:val="24"/>
        </w:rPr>
      </w:pPr>
    </w:p>
    <w:p w14:paraId="4156BBAC" w14:textId="77777777" w:rsidR="004E04DF" w:rsidRDefault="004E04DF" w:rsidP="00C7369F">
      <w:pPr>
        <w:jc w:val="center"/>
        <w:rPr>
          <w:sz w:val="24"/>
          <w:szCs w:val="24"/>
        </w:rPr>
      </w:pPr>
    </w:p>
    <w:p w14:paraId="0BE14DA9" w14:textId="77777777" w:rsidR="004E04DF" w:rsidRDefault="004E04DF" w:rsidP="00C7369F">
      <w:pPr>
        <w:jc w:val="center"/>
        <w:rPr>
          <w:sz w:val="24"/>
          <w:szCs w:val="24"/>
        </w:rPr>
      </w:pPr>
    </w:p>
    <w:p w14:paraId="3767B94A" w14:textId="77777777" w:rsidR="004E04DF" w:rsidRDefault="004E04DF" w:rsidP="00C7369F">
      <w:pPr>
        <w:jc w:val="center"/>
        <w:rPr>
          <w:sz w:val="24"/>
          <w:szCs w:val="24"/>
        </w:rPr>
      </w:pPr>
    </w:p>
    <w:p w14:paraId="1CFB6ACF" w14:textId="77777777" w:rsidR="004E04DF" w:rsidRDefault="004E04DF" w:rsidP="00C7369F">
      <w:pPr>
        <w:jc w:val="center"/>
        <w:rPr>
          <w:sz w:val="24"/>
          <w:szCs w:val="24"/>
        </w:rPr>
      </w:pPr>
    </w:p>
    <w:p w14:paraId="70A6DAFA" w14:textId="77777777" w:rsidR="004E04DF" w:rsidRDefault="004E04DF" w:rsidP="00C7369F">
      <w:pPr>
        <w:jc w:val="center"/>
        <w:rPr>
          <w:sz w:val="24"/>
          <w:szCs w:val="24"/>
        </w:rPr>
      </w:pPr>
    </w:p>
    <w:p w14:paraId="3F373D00" w14:textId="77777777" w:rsidR="004E04DF" w:rsidRDefault="004E04DF" w:rsidP="00C7369F">
      <w:pPr>
        <w:jc w:val="center"/>
        <w:rPr>
          <w:sz w:val="24"/>
          <w:szCs w:val="24"/>
        </w:rPr>
      </w:pPr>
    </w:p>
    <w:p w14:paraId="435EF052" w14:textId="77777777" w:rsidR="004E04DF" w:rsidRDefault="004E04DF" w:rsidP="00C7369F">
      <w:pPr>
        <w:jc w:val="center"/>
        <w:rPr>
          <w:sz w:val="24"/>
          <w:szCs w:val="24"/>
        </w:rPr>
      </w:pPr>
    </w:p>
    <w:p w14:paraId="3D8BDE22" w14:textId="77777777" w:rsidR="004E04DF" w:rsidRDefault="004E04DF" w:rsidP="00C7369F">
      <w:pPr>
        <w:jc w:val="center"/>
        <w:rPr>
          <w:sz w:val="24"/>
          <w:szCs w:val="24"/>
        </w:rPr>
      </w:pPr>
    </w:p>
    <w:p w14:paraId="4F93201F" w14:textId="77777777" w:rsidR="004E04DF" w:rsidRDefault="004E04DF" w:rsidP="00C7369F">
      <w:pPr>
        <w:jc w:val="center"/>
        <w:rPr>
          <w:sz w:val="24"/>
          <w:szCs w:val="24"/>
        </w:rPr>
      </w:pPr>
    </w:p>
    <w:p w14:paraId="04FC3C81" w14:textId="77777777" w:rsidR="004E04DF" w:rsidRDefault="004E04DF" w:rsidP="00C7369F">
      <w:pPr>
        <w:jc w:val="center"/>
        <w:rPr>
          <w:sz w:val="24"/>
          <w:szCs w:val="24"/>
        </w:rPr>
      </w:pPr>
    </w:p>
    <w:p w14:paraId="1F7FE58B" w14:textId="77777777" w:rsidR="004E04DF" w:rsidRDefault="004E04DF" w:rsidP="00C7369F">
      <w:pPr>
        <w:jc w:val="center"/>
        <w:rPr>
          <w:sz w:val="24"/>
          <w:szCs w:val="24"/>
        </w:rPr>
      </w:pPr>
    </w:p>
    <w:p w14:paraId="7669B1A6" w14:textId="77777777" w:rsidR="004E04DF" w:rsidRDefault="004E04DF" w:rsidP="00C7369F">
      <w:pPr>
        <w:jc w:val="center"/>
        <w:rPr>
          <w:sz w:val="24"/>
          <w:szCs w:val="24"/>
        </w:rPr>
      </w:pPr>
    </w:p>
    <w:p w14:paraId="23257015" w14:textId="77777777" w:rsidR="004E04DF" w:rsidRDefault="004E04DF" w:rsidP="00C7369F">
      <w:pPr>
        <w:jc w:val="center"/>
        <w:rPr>
          <w:sz w:val="24"/>
          <w:szCs w:val="24"/>
        </w:rPr>
      </w:pPr>
    </w:p>
    <w:p w14:paraId="17A1B106" w14:textId="77777777" w:rsidR="004E04DF" w:rsidRDefault="004E04DF" w:rsidP="00C7369F">
      <w:pPr>
        <w:jc w:val="center"/>
        <w:rPr>
          <w:sz w:val="24"/>
          <w:szCs w:val="24"/>
        </w:rPr>
      </w:pPr>
    </w:p>
    <w:p w14:paraId="733C2C5E" w14:textId="77777777" w:rsidR="004E04DF" w:rsidRDefault="004E04DF" w:rsidP="00C7369F">
      <w:pPr>
        <w:jc w:val="center"/>
        <w:rPr>
          <w:sz w:val="24"/>
          <w:szCs w:val="24"/>
        </w:rPr>
      </w:pPr>
    </w:p>
    <w:p w14:paraId="0C379B43" w14:textId="77777777" w:rsidR="004D134E" w:rsidRDefault="004D134E" w:rsidP="00C7369F">
      <w:pPr>
        <w:jc w:val="center"/>
        <w:rPr>
          <w:sz w:val="24"/>
          <w:szCs w:val="24"/>
        </w:rPr>
      </w:pPr>
    </w:p>
    <w:p w14:paraId="34B34FA6" w14:textId="77777777" w:rsidR="004E04DF" w:rsidRDefault="004E04DF" w:rsidP="00C7369F">
      <w:pPr>
        <w:jc w:val="center"/>
        <w:rPr>
          <w:sz w:val="24"/>
          <w:szCs w:val="24"/>
        </w:rPr>
      </w:pPr>
    </w:p>
    <w:p w14:paraId="3DB17AF0" w14:textId="77777777" w:rsidR="004E04DF" w:rsidRDefault="004E04DF" w:rsidP="00C7369F">
      <w:pPr>
        <w:jc w:val="center"/>
        <w:rPr>
          <w:sz w:val="24"/>
          <w:szCs w:val="24"/>
        </w:rPr>
      </w:pPr>
    </w:p>
    <w:p w14:paraId="5D17835F" w14:textId="77777777" w:rsidR="004E04DF" w:rsidRPr="00CC1AC0" w:rsidRDefault="004E04DF" w:rsidP="004E04DF">
      <w:pPr>
        <w:jc w:val="center"/>
        <w:rPr>
          <w:b/>
          <w:bCs/>
          <w:sz w:val="24"/>
          <w:szCs w:val="24"/>
        </w:rPr>
      </w:pPr>
      <w:r w:rsidRPr="00CC1AC0">
        <w:rPr>
          <w:b/>
          <w:bCs/>
          <w:sz w:val="24"/>
          <w:szCs w:val="24"/>
        </w:rPr>
        <w:t>List of Figures</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1350"/>
        <w:gridCol w:w="6390"/>
        <w:gridCol w:w="895"/>
      </w:tblGrid>
      <w:tr w:rsidR="004E04DF" w14:paraId="5338501C" w14:textId="77777777" w:rsidTr="00C32386">
        <w:tc>
          <w:tcPr>
            <w:tcW w:w="715" w:type="dxa"/>
          </w:tcPr>
          <w:p w14:paraId="2D9AF6BE" w14:textId="3B382217" w:rsidR="004E04DF" w:rsidRDefault="004A7922" w:rsidP="00CC1AC0">
            <w:pPr>
              <w:rPr>
                <w:sz w:val="24"/>
                <w:szCs w:val="24"/>
              </w:rPr>
            </w:pPr>
            <w:r>
              <w:rPr>
                <w:sz w:val="24"/>
                <w:szCs w:val="24"/>
              </w:rPr>
              <w:t>1</w:t>
            </w:r>
          </w:p>
        </w:tc>
        <w:tc>
          <w:tcPr>
            <w:tcW w:w="1350" w:type="dxa"/>
          </w:tcPr>
          <w:p w14:paraId="2CF8A16E" w14:textId="77777777" w:rsidR="004E04DF" w:rsidRDefault="004E04DF" w:rsidP="00CC1AC0">
            <w:pPr>
              <w:rPr>
                <w:sz w:val="24"/>
                <w:szCs w:val="24"/>
              </w:rPr>
            </w:pPr>
            <w:r>
              <w:rPr>
                <w:sz w:val="24"/>
                <w:szCs w:val="24"/>
              </w:rPr>
              <w:t>Figure 2.1</w:t>
            </w:r>
          </w:p>
        </w:tc>
        <w:tc>
          <w:tcPr>
            <w:tcW w:w="6390" w:type="dxa"/>
          </w:tcPr>
          <w:p w14:paraId="5955BA99" w14:textId="77777777" w:rsidR="004E04DF" w:rsidRPr="00CC1AC0" w:rsidRDefault="004E04DF" w:rsidP="002B69FE">
            <w:pPr>
              <w:rPr>
                <w:sz w:val="24"/>
                <w:szCs w:val="24"/>
              </w:rPr>
            </w:pPr>
            <w:r w:rsidRPr="00CC1AC0">
              <w:rPr>
                <w:sz w:val="24"/>
                <w:szCs w:val="24"/>
              </w:rPr>
              <w:t xml:space="preserve">Array Geometry Caption: Overview of the experiment setting. </w:t>
            </w:r>
            <w:r>
              <w:rPr>
                <w:sz w:val="24"/>
                <w:szCs w:val="24"/>
              </w:rPr>
              <w:t>The l</w:t>
            </w:r>
            <w:r w:rsidRPr="00CC1AC0">
              <w:rPr>
                <w:sz w:val="24"/>
                <w:szCs w:val="24"/>
              </w:rPr>
              <w:t xml:space="preserve">ocation of treatment wells 21-10 and 21-09 (stars) are shown by symbols and the thin black line. 21-09 (recorded treatments A and B) and 22-09 (recorded all four treatments) are monitoring wells. Note </w:t>
            </w:r>
            <w:proofErr w:type="gramStart"/>
            <w:r w:rsidRPr="00CC1AC0">
              <w:rPr>
                <w:sz w:val="24"/>
                <w:szCs w:val="24"/>
              </w:rPr>
              <w:t>that well</w:t>
            </w:r>
            <w:proofErr w:type="gramEnd"/>
            <w:r w:rsidRPr="00CC1AC0">
              <w:rPr>
                <w:sz w:val="24"/>
                <w:szCs w:val="24"/>
              </w:rPr>
              <w:t xml:space="preserve"> 21-09 is </w:t>
            </w:r>
            <w:r>
              <w:rPr>
                <w:sz w:val="24"/>
                <w:szCs w:val="24"/>
              </w:rPr>
              <w:t xml:space="preserve">used for </w:t>
            </w:r>
            <w:r w:rsidRPr="00CC1AC0">
              <w:rPr>
                <w:sz w:val="24"/>
                <w:szCs w:val="24"/>
              </w:rPr>
              <w:t>both monitoring and treatment. Microseismic events are shown by colored dots where cyan represents treatment B, blue represents treatment A, purple represents treatment E. and magenta represents treatment C. Maximum horizontal stress direction is illustrated by the black arrow. Injection interval depth is shown as black rectangles and labeled with</w:t>
            </w:r>
            <w:r>
              <w:rPr>
                <w:sz w:val="24"/>
                <w:szCs w:val="24"/>
              </w:rPr>
              <w:t xml:space="preserve"> the</w:t>
            </w:r>
            <w:r w:rsidRPr="00CC1AC0">
              <w:rPr>
                <w:sz w:val="24"/>
                <w:szCs w:val="24"/>
              </w:rPr>
              <w:t xml:space="preserve"> treatment interval name. Top left figure: North-East view. Top right figure: North-Depth view. Bottom left: Depth-East view. Vertical exaggeration is 2:1.</w:t>
            </w:r>
          </w:p>
          <w:p w14:paraId="48E45DEB" w14:textId="77777777" w:rsidR="004E04DF" w:rsidRDefault="004E04DF" w:rsidP="00CC1AC0">
            <w:pPr>
              <w:rPr>
                <w:sz w:val="24"/>
                <w:szCs w:val="24"/>
              </w:rPr>
            </w:pPr>
          </w:p>
        </w:tc>
        <w:tc>
          <w:tcPr>
            <w:tcW w:w="895" w:type="dxa"/>
          </w:tcPr>
          <w:p w14:paraId="7BF3CE25" w14:textId="054B98CA" w:rsidR="004E04DF" w:rsidRDefault="00A72893" w:rsidP="00CC1AC0">
            <w:pPr>
              <w:rPr>
                <w:sz w:val="24"/>
                <w:szCs w:val="24"/>
              </w:rPr>
            </w:pPr>
            <w:r>
              <w:rPr>
                <w:sz w:val="24"/>
                <w:szCs w:val="24"/>
              </w:rPr>
              <w:t>32</w:t>
            </w:r>
          </w:p>
        </w:tc>
      </w:tr>
      <w:tr w:rsidR="004E04DF" w14:paraId="6C913605" w14:textId="77777777" w:rsidTr="00C32386">
        <w:tc>
          <w:tcPr>
            <w:tcW w:w="715" w:type="dxa"/>
          </w:tcPr>
          <w:p w14:paraId="326626F4" w14:textId="26BFDD01" w:rsidR="004E04DF" w:rsidRDefault="004A7922" w:rsidP="00CC1AC0">
            <w:pPr>
              <w:rPr>
                <w:sz w:val="24"/>
                <w:szCs w:val="24"/>
              </w:rPr>
            </w:pPr>
            <w:r>
              <w:rPr>
                <w:sz w:val="24"/>
                <w:szCs w:val="24"/>
              </w:rPr>
              <w:t>2</w:t>
            </w:r>
          </w:p>
        </w:tc>
        <w:tc>
          <w:tcPr>
            <w:tcW w:w="1350" w:type="dxa"/>
          </w:tcPr>
          <w:p w14:paraId="13F11DE2" w14:textId="77777777" w:rsidR="004E04DF" w:rsidRDefault="004E04DF" w:rsidP="00CC1AC0">
            <w:pPr>
              <w:rPr>
                <w:sz w:val="24"/>
                <w:szCs w:val="24"/>
              </w:rPr>
            </w:pPr>
            <w:r>
              <w:rPr>
                <w:sz w:val="24"/>
                <w:szCs w:val="24"/>
              </w:rPr>
              <w:t>Figure 2.2</w:t>
            </w:r>
          </w:p>
        </w:tc>
        <w:tc>
          <w:tcPr>
            <w:tcW w:w="6390" w:type="dxa"/>
          </w:tcPr>
          <w:p w14:paraId="24142645" w14:textId="77777777" w:rsidR="004E04DF" w:rsidRDefault="004E04DF" w:rsidP="00CC1AC0">
            <w:pPr>
              <w:rPr>
                <w:sz w:val="24"/>
                <w:szCs w:val="24"/>
              </w:rPr>
            </w:pPr>
            <w:r w:rsidRPr="00CC1AC0">
              <w:rPr>
                <w:sz w:val="24"/>
                <w:szCs w:val="24"/>
              </w:rPr>
              <w:t xml:space="preserve">Distribution of available common events between catalog and available waveform data. Each quarter shows </w:t>
            </w:r>
            <w:r>
              <w:rPr>
                <w:sz w:val="24"/>
                <w:szCs w:val="24"/>
              </w:rPr>
              <w:t xml:space="preserve">the </w:t>
            </w:r>
            <w:r w:rsidRPr="00CC1AC0">
              <w:rPr>
                <w:sz w:val="24"/>
                <w:szCs w:val="24"/>
              </w:rPr>
              <w:t>map view of the spatial variability between catalog events in black and available waveform events in green.</w:t>
            </w:r>
          </w:p>
        </w:tc>
        <w:tc>
          <w:tcPr>
            <w:tcW w:w="895" w:type="dxa"/>
          </w:tcPr>
          <w:p w14:paraId="340CDD44" w14:textId="39FB5BCB" w:rsidR="004E04DF" w:rsidRDefault="00A72893" w:rsidP="00CC1AC0">
            <w:pPr>
              <w:rPr>
                <w:sz w:val="24"/>
                <w:szCs w:val="24"/>
              </w:rPr>
            </w:pPr>
            <w:r>
              <w:rPr>
                <w:sz w:val="24"/>
                <w:szCs w:val="24"/>
              </w:rPr>
              <w:t>33</w:t>
            </w:r>
          </w:p>
        </w:tc>
      </w:tr>
      <w:tr w:rsidR="004E04DF" w14:paraId="3F57678D" w14:textId="77777777" w:rsidTr="00C32386">
        <w:tc>
          <w:tcPr>
            <w:tcW w:w="715" w:type="dxa"/>
          </w:tcPr>
          <w:p w14:paraId="19D24020" w14:textId="51E8E994" w:rsidR="004E04DF" w:rsidRDefault="004A7922" w:rsidP="00CC1AC0">
            <w:pPr>
              <w:rPr>
                <w:sz w:val="24"/>
                <w:szCs w:val="24"/>
              </w:rPr>
            </w:pPr>
            <w:r>
              <w:rPr>
                <w:sz w:val="24"/>
                <w:szCs w:val="24"/>
              </w:rPr>
              <w:t>3</w:t>
            </w:r>
          </w:p>
        </w:tc>
        <w:tc>
          <w:tcPr>
            <w:tcW w:w="1350" w:type="dxa"/>
          </w:tcPr>
          <w:p w14:paraId="31F2CB17" w14:textId="77777777" w:rsidR="004E04DF" w:rsidRDefault="004E04DF" w:rsidP="00CC1AC0">
            <w:pPr>
              <w:rPr>
                <w:sz w:val="24"/>
                <w:szCs w:val="24"/>
              </w:rPr>
            </w:pPr>
            <w:r>
              <w:rPr>
                <w:sz w:val="24"/>
                <w:szCs w:val="24"/>
              </w:rPr>
              <w:t>Figure 2.3</w:t>
            </w:r>
          </w:p>
        </w:tc>
        <w:tc>
          <w:tcPr>
            <w:tcW w:w="6390" w:type="dxa"/>
          </w:tcPr>
          <w:p w14:paraId="4A66056D" w14:textId="77777777" w:rsidR="004E04DF" w:rsidRDefault="004E04DF" w:rsidP="00CC1AC0">
            <w:pPr>
              <w:rPr>
                <w:sz w:val="24"/>
                <w:szCs w:val="24"/>
              </w:rPr>
            </w:pPr>
            <w:r w:rsidRPr="00CC1AC0">
              <w:rPr>
                <w:sz w:val="24"/>
                <w:szCs w:val="24"/>
              </w:rPr>
              <w:t>Injection volumes with common event</w:t>
            </w:r>
            <w:r>
              <w:rPr>
                <w:sz w:val="24"/>
                <w:szCs w:val="24"/>
              </w:rPr>
              <w:t>-</w:t>
            </w:r>
            <w:r w:rsidRPr="00CC1AC0">
              <w:rPr>
                <w:sz w:val="24"/>
                <w:szCs w:val="24"/>
              </w:rPr>
              <w:t xml:space="preserve">calibrated magnitudes </w:t>
            </w:r>
            <w:r>
              <w:rPr>
                <w:sz w:val="24"/>
                <w:szCs w:val="24"/>
              </w:rPr>
              <w:t xml:space="preserve">are </w:t>
            </w:r>
            <w:r w:rsidRPr="00CC1AC0">
              <w:rPr>
                <w:sz w:val="24"/>
                <w:szCs w:val="24"/>
              </w:rPr>
              <w:t>shown.</w:t>
            </w:r>
            <w:r>
              <w:rPr>
                <w:sz w:val="24"/>
                <w:szCs w:val="24"/>
              </w:rPr>
              <w:t xml:space="preserve"> </w:t>
            </w:r>
            <w:r w:rsidRPr="00CC1AC0">
              <w:rPr>
                <w:sz w:val="24"/>
                <w:szCs w:val="24"/>
              </w:rPr>
              <w:t xml:space="preserve">Clockwise from </w:t>
            </w:r>
            <w:r>
              <w:rPr>
                <w:sz w:val="24"/>
                <w:szCs w:val="24"/>
              </w:rPr>
              <w:t xml:space="preserve">the </w:t>
            </w:r>
            <w:r w:rsidRPr="00CC1AC0">
              <w:rPr>
                <w:sz w:val="24"/>
                <w:szCs w:val="24"/>
              </w:rPr>
              <w:t xml:space="preserve">upper left is treatment A, B, C, and E. Injection rate is plotted in orange. Blue dots are the distribution of microseismic events where vertical placement is </w:t>
            </w:r>
            <w:r>
              <w:rPr>
                <w:sz w:val="24"/>
                <w:szCs w:val="24"/>
              </w:rPr>
              <w:t xml:space="preserve">the </w:t>
            </w:r>
            <w:r w:rsidRPr="00CC1AC0">
              <w:rPr>
                <w:sz w:val="24"/>
                <w:szCs w:val="24"/>
              </w:rPr>
              <w:t xml:space="preserve">magnitude and horizontal position is timing relative to the start of the hydraulic fracturing. </w:t>
            </w:r>
            <w:r>
              <w:rPr>
                <w:sz w:val="24"/>
                <w:szCs w:val="24"/>
              </w:rPr>
              <w:t>The s</w:t>
            </w:r>
            <w:r w:rsidRPr="00CC1AC0">
              <w:rPr>
                <w:sz w:val="24"/>
                <w:szCs w:val="24"/>
              </w:rPr>
              <w:t xml:space="preserve">eismicity rate is shown in black by </w:t>
            </w:r>
            <w:r>
              <w:rPr>
                <w:sz w:val="24"/>
                <w:szCs w:val="24"/>
              </w:rPr>
              <w:t xml:space="preserve">the </w:t>
            </w:r>
            <w:r w:rsidRPr="00CC1AC0">
              <w:rPr>
                <w:sz w:val="24"/>
                <w:szCs w:val="24"/>
              </w:rPr>
              <w:t xml:space="preserve">number of events over time. </w:t>
            </w:r>
            <w:r>
              <w:rPr>
                <w:sz w:val="24"/>
                <w:szCs w:val="24"/>
              </w:rPr>
              <w:t>The m</w:t>
            </w:r>
            <w:r w:rsidRPr="00CC1AC0">
              <w:rPr>
                <w:sz w:val="24"/>
                <w:szCs w:val="24"/>
              </w:rPr>
              <w:t>agnitude of completeness for each treatment is shown as the blue triangle</w:t>
            </w:r>
          </w:p>
        </w:tc>
        <w:tc>
          <w:tcPr>
            <w:tcW w:w="895" w:type="dxa"/>
          </w:tcPr>
          <w:p w14:paraId="46EAF8CB" w14:textId="6291BC73" w:rsidR="004E04DF" w:rsidRDefault="00A72893" w:rsidP="00CC1AC0">
            <w:pPr>
              <w:rPr>
                <w:sz w:val="24"/>
                <w:szCs w:val="24"/>
              </w:rPr>
            </w:pPr>
            <w:r>
              <w:rPr>
                <w:sz w:val="24"/>
                <w:szCs w:val="24"/>
              </w:rPr>
              <w:t>34</w:t>
            </w:r>
          </w:p>
        </w:tc>
      </w:tr>
      <w:tr w:rsidR="004E04DF" w14:paraId="701AE082" w14:textId="77777777" w:rsidTr="00C32386">
        <w:tc>
          <w:tcPr>
            <w:tcW w:w="715" w:type="dxa"/>
          </w:tcPr>
          <w:p w14:paraId="172C63F7" w14:textId="4885DD0B" w:rsidR="004E04DF" w:rsidRDefault="004A7922" w:rsidP="00CC1AC0">
            <w:pPr>
              <w:rPr>
                <w:sz w:val="24"/>
                <w:szCs w:val="24"/>
              </w:rPr>
            </w:pPr>
            <w:r>
              <w:rPr>
                <w:sz w:val="24"/>
                <w:szCs w:val="24"/>
              </w:rPr>
              <w:t>4</w:t>
            </w:r>
          </w:p>
        </w:tc>
        <w:tc>
          <w:tcPr>
            <w:tcW w:w="1350" w:type="dxa"/>
          </w:tcPr>
          <w:p w14:paraId="1D03C91C" w14:textId="77777777" w:rsidR="004E04DF" w:rsidRDefault="004E04DF" w:rsidP="00CC1AC0">
            <w:pPr>
              <w:rPr>
                <w:sz w:val="24"/>
                <w:szCs w:val="24"/>
              </w:rPr>
            </w:pPr>
            <w:r>
              <w:rPr>
                <w:sz w:val="24"/>
                <w:szCs w:val="24"/>
              </w:rPr>
              <w:t>Figure 2.4</w:t>
            </w:r>
          </w:p>
        </w:tc>
        <w:tc>
          <w:tcPr>
            <w:tcW w:w="6390" w:type="dxa"/>
          </w:tcPr>
          <w:p w14:paraId="3546EA80" w14:textId="77777777" w:rsidR="004E04DF" w:rsidRDefault="004E04DF" w:rsidP="00D32CFA">
            <w:pPr>
              <w:rPr>
                <w:sz w:val="24"/>
                <w:szCs w:val="24"/>
              </w:rPr>
            </w:pPr>
            <w:r>
              <w:rPr>
                <w:sz w:val="24"/>
                <w:szCs w:val="24"/>
              </w:rPr>
              <w:t>A: C</w:t>
            </w:r>
            <w:r w:rsidRPr="00835211">
              <w:rPr>
                <w:sz w:val="24"/>
                <w:szCs w:val="24"/>
              </w:rPr>
              <w:t>omparison of two waveform</w:t>
            </w:r>
            <w:r>
              <w:rPr>
                <w:sz w:val="24"/>
                <w:szCs w:val="24"/>
              </w:rPr>
              <w:t>s</w:t>
            </w:r>
            <w:r w:rsidRPr="00835211">
              <w:rPr>
                <w:sz w:val="24"/>
                <w:szCs w:val="24"/>
              </w:rPr>
              <w:t xml:space="preserve"> contrasted by color with a similarity coefficient of 0.87. </w:t>
            </w:r>
            <w:r>
              <w:rPr>
                <w:sz w:val="24"/>
                <w:szCs w:val="24"/>
              </w:rPr>
              <w:t>B:</w:t>
            </w:r>
            <w:r w:rsidRPr="00835211">
              <w:rPr>
                <w:sz w:val="24"/>
                <w:szCs w:val="24"/>
              </w:rPr>
              <w:t xml:space="preserve"> the waveform amplitude value comparison between the two distinct events. Calculated amplitude ratios are denoted by the black dots where the principal component amplitude ratio is 0.74.</w:t>
            </w:r>
          </w:p>
          <w:p w14:paraId="7C9EF43B" w14:textId="77777777" w:rsidR="004E04DF" w:rsidRDefault="004E04DF" w:rsidP="00CC1AC0">
            <w:pPr>
              <w:rPr>
                <w:sz w:val="24"/>
                <w:szCs w:val="24"/>
              </w:rPr>
            </w:pPr>
          </w:p>
        </w:tc>
        <w:tc>
          <w:tcPr>
            <w:tcW w:w="895" w:type="dxa"/>
          </w:tcPr>
          <w:p w14:paraId="790C836D" w14:textId="2D882F24" w:rsidR="004E04DF" w:rsidRDefault="00A72893" w:rsidP="00CC1AC0">
            <w:pPr>
              <w:rPr>
                <w:sz w:val="24"/>
                <w:szCs w:val="24"/>
              </w:rPr>
            </w:pPr>
            <w:r>
              <w:rPr>
                <w:sz w:val="24"/>
                <w:szCs w:val="24"/>
              </w:rPr>
              <w:t>35</w:t>
            </w:r>
          </w:p>
        </w:tc>
      </w:tr>
      <w:tr w:rsidR="004E04DF" w14:paraId="5717B935" w14:textId="77777777" w:rsidTr="00C32386">
        <w:tc>
          <w:tcPr>
            <w:tcW w:w="715" w:type="dxa"/>
          </w:tcPr>
          <w:p w14:paraId="5223DB6E" w14:textId="407175B0" w:rsidR="004E04DF" w:rsidRDefault="004A7922" w:rsidP="00CC1AC0">
            <w:pPr>
              <w:rPr>
                <w:sz w:val="24"/>
                <w:szCs w:val="24"/>
              </w:rPr>
            </w:pPr>
            <w:r>
              <w:rPr>
                <w:sz w:val="24"/>
                <w:szCs w:val="24"/>
              </w:rPr>
              <w:t>5</w:t>
            </w:r>
          </w:p>
        </w:tc>
        <w:tc>
          <w:tcPr>
            <w:tcW w:w="1350" w:type="dxa"/>
          </w:tcPr>
          <w:p w14:paraId="44A5DCB5" w14:textId="77777777" w:rsidR="004E04DF" w:rsidRDefault="004E04DF" w:rsidP="00CC1AC0">
            <w:pPr>
              <w:rPr>
                <w:sz w:val="24"/>
                <w:szCs w:val="24"/>
              </w:rPr>
            </w:pPr>
            <w:r>
              <w:rPr>
                <w:sz w:val="24"/>
                <w:szCs w:val="24"/>
              </w:rPr>
              <w:t>Figure 2.5</w:t>
            </w:r>
          </w:p>
        </w:tc>
        <w:tc>
          <w:tcPr>
            <w:tcW w:w="6390" w:type="dxa"/>
          </w:tcPr>
          <w:p w14:paraId="2A10EC1D" w14:textId="77777777" w:rsidR="004E04DF" w:rsidRDefault="004E04DF" w:rsidP="001A20AE">
            <w:pPr>
              <w:rPr>
                <w:sz w:val="24"/>
                <w:szCs w:val="24"/>
              </w:rPr>
            </w:pPr>
            <w:r w:rsidRPr="00835211">
              <w:rPr>
                <w:sz w:val="24"/>
                <w:szCs w:val="24"/>
              </w:rPr>
              <w:t xml:space="preserve">Principal component analysis for magnitude calibration of the four fracking stages clockwise starting from the top left panel: treatment </w:t>
            </w:r>
            <w:r>
              <w:rPr>
                <w:sz w:val="24"/>
                <w:szCs w:val="24"/>
              </w:rPr>
              <w:t>A, B, C</w:t>
            </w:r>
            <w:r w:rsidRPr="00835211">
              <w:rPr>
                <w:sz w:val="24"/>
                <w:szCs w:val="24"/>
              </w:rPr>
              <w:t>, and E. Each quadrant is sub-divided into</w:t>
            </w:r>
            <w:r>
              <w:rPr>
                <w:sz w:val="24"/>
                <w:szCs w:val="24"/>
              </w:rPr>
              <w:t xml:space="preserve">: the </w:t>
            </w:r>
            <w:r w:rsidRPr="00835211">
              <w:rPr>
                <w:sz w:val="24"/>
                <w:szCs w:val="24"/>
              </w:rPr>
              <w:t>main section which shows the relative magnitude and amplitude ratio before (gray) and after magnitude calibration (red) distribution</w:t>
            </w:r>
            <w:r>
              <w:rPr>
                <w:sz w:val="24"/>
                <w:szCs w:val="24"/>
              </w:rPr>
              <w:t xml:space="preserve">; the upper right subsection that displays the density of the distribution in the main section after magnitude </w:t>
            </w:r>
            <w:r>
              <w:rPr>
                <w:sz w:val="24"/>
                <w:szCs w:val="24"/>
              </w:rPr>
              <w:lastRenderedPageBreak/>
              <w:t>calibration as a heat map with color bar corresponding to density in log10 scale; lower right subsection displays the density of the distribution before magnitude calibration with the same color bar to the upper right subsection</w:t>
            </w:r>
            <w:r w:rsidRPr="00835211">
              <w:rPr>
                <w:sz w:val="24"/>
                <w:szCs w:val="24"/>
              </w:rPr>
              <w:t>. Convergence in the principal component analysis is displayed by the calibrated points collapsing on the blue line that follows a slope of 1.5.</w:t>
            </w:r>
          </w:p>
          <w:p w14:paraId="663EDEA3" w14:textId="77777777" w:rsidR="004E04DF" w:rsidRPr="00D76E95" w:rsidRDefault="004E04DF" w:rsidP="00CC1AC0">
            <w:pPr>
              <w:rPr>
                <w:sz w:val="24"/>
                <w:szCs w:val="24"/>
              </w:rPr>
            </w:pPr>
          </w:p>
        </w:tc>
        <w:tc>
          <w:tcPr>
            <w:tcW w:w="895" w:type="dxa"/>
          </w:tcPr>
          <w:p w14:paraId="14F005B5" w14:textId="7D4EE7F6" w:rsidR="004E04DF" w:rsidRDefault="00A72893" w:rsidP="00CC1AC0">
            <w:pPr>
              <w:rPr>
                <w:sz w:val="24"/>
                <w:szCs w:val="24"/>
              </w:rPr>
            </w:pPr>
            <w:r>
              <w:rPr>
                <w:sz w:val="24"/>
                <w:szCs w:val="24"/>
              </w:rPr>
              <w:lastRenderedPageBreak/>
              <w:t>36</w:t>
            </w:r>
          </w:p>
        </w:tc>
      </w:tr>
      <w:tr w:rsidR="004E04DF" w14:paraId="25CD816E" w14:textId="77777777" w:rsidTr="00C32386">
        <w:tc>
          <w:tcPr>
            <w:tcW w:w="715" w:type="dxa"/>
          </w:tcPr>
          <w:p w14:paraId="442918E5" w14:textId="71FFF9D8" w:rsidR="004E04DF" w:rsidRDefault="004A7922" w:rsidP="00CC1AC0">
            <w:pPr>
              <w:rPr>
                <w:sz w:val="24"/>
                <w:szCs w:val="24"/>
              </w:rPr>
            </w:pPr>
            <w:r>
              <w:rPr>
                <w:sz w:val="24"/>
                <w:szCs w:val="24"/>
              </w:rPr>
              <w:t>6</w:t>
            </w:r>
          </w:p>
        </w:tc>
        <w:tc>
          <w:tcPr>
            <w:tcW w:w="1350" w:type="dxa"/>
          </w:tcPr>
          <w:p w14:paraId="77ACDF95" w14:textId="77777777" w:rsidR="004E04DF" w:rsidRDefault="004E04DF" w:rsidP="00CC1AC0">
            <w:pPr>
              <w:rPr>
                <w:sz w:val="24"/>
                <w:szCs w:val="24"/>
              </w:rPr>
            </w:pPr>
            <w:r>
              <w:rPr>
                <w:sz w:val="24"/>
                <w:szCs w:val="24"/>
              </w:rPr>
              <w:t>Figure 2.6</w:t>
            </w:r>
          </w:p>
        </w:tc>
        <w:tc>
          <w:tcPr>
            <w:tcW w:w="6390" w:type="dxa"/>
          </w:tcPr>
          <w:p w14:paraId="3E0A4187" w14:textId="77777777" w:rsidR="004E04DF" w:rsidRPr="00D76E95" w:rsidRDefault="004E04DF" w:rsidP="00CC1AC0">
            <w:pPr>
              <w:rPr>
                <w:sz w:val="24"/>
                <w:szCs w:val="24"/>
              </w:rPr>
            </w:pPr>
            <w:r w:rsidRPr="000C3479">
              <w:rPr>
                <w:sz w:val="24"/>
                <w:szCs w:val="24"/>
              </w:rPr>
              <w:t xml:space="preserve">Comparison of </w:t>
            </w:r>
            <w:r>
              <w:rPr>
                <w:sz w:val="24"/>
                <w:szCs w:val="24"/>
              </w:rPr>
              <w:t xml:space="preserve">the </w:t>
            </w:r>
            <w:r w:rsidRPr="000C3479">
              <w:rPr>
                <w:sz w:val="24"/>
                <w:szCs w:val="24"/>
              </w:rPr>
              <w:t xml:space="preserve">magnitude distribution for treatment B before and after magnitude calibration for different similar event clusters. </w:t>
            </w:r>
            <w:r>
              <w:rPr>
                <w:sz w:val="24"/>
                <w:szCs w:val="24"/>
              </w:rPr>
              <w:t xml:space="preserve">A: map view of the seismicity location, </w:t>
            </w:r>
            <w:proofErr w:type="spellStart"/>
            <w:r>
              <w:rPr>
                <w:sz w:val="24"/>
                <w:szCs w:val="24"/>
              </w:rPr>
              <w:t>SHmax</w:t>
            </w:r>
            <w:proofErr w:type="spellEnd"/>
            <w:r>
              <w:rPr>
                <w:sz w:val="24"/>
                <w:szCs w:val="24"/>
              </w:rPr>
              <w:t xml:space="preserve"> is shown as a reference. C: cross-section view along EW direction. B and D show the Frequency Magnitude Distribution for the full sub-catalog of treatment B (grey solid line) and sub-clusters before (B) and after (D) calibration (solid lines with colors corresponding to legend in A). </w:t>
            </w:r>
            <w:r w:rsidRPr="000C3479">
              <w:rPr>
                <w:sz w:val="24"/>
                <w:szCs w:val="24"/>
              </w:rPr>
              <w:t>For comparison, the dashed lines show the b-values estimated for the full sub</w:t>
            </w:r>
            <w:r>
              <w:rPr>
                <w:sz w:val="24"/>
                <w:szCs w:val="24"/>
              </w:rPr>
              <w:t>-</w:t>
            </w:r>
            <w:r w:rsidRPr="000C3479">
              <w:rPr>
                <w:sz w:val="24"/>
                <w:szCs w:val="24"/>
              </w:rPr>
              <w:t>catalog of treatment B. Vertical exaggeration is 2:1.</w:t>
            </w:r>
          </w:p>
        </w:tc>
        <w:tc>
          <w:tcPr>
            <w:tcW w:w="895" w:type="dxa"/>
          </w:tcPr>
          <w:p w14:paraId="2A80AF30" w14:textId="5C677EFF" w:rsidR="004E04DF" w:rsidRDefault="00A72893" w:rsidP="00CC1AC0">
            <w:pPr>
              <w:rPr>
                <w:sz w:val="24"/>
                <w:szCs w:val="24"/>
              </w:rPr>
            </w:pPr>
            <w:r>
              <w:rPr>
                <w:sz w:val="24"/>
                <w:szCs w:val="24"/>
              </w:rPr>
              <w:t>37</w:t>
            </w:r>
          </w:p>
        </w:tc>
      </w:tr>
      <w:tr w:rsidR="004E04DF" w14:paraId="166DE1A1" w14:textId="77777777" w:rsidTr="00C32386">
        <w:tc>
          <w:tcPr>
            <w:tcW w:w="715" w:type="dxa"/>
          </w:tcPr>
          <w:p w14:paraId="57EB2D41" w14:textId="75DBF37A" w:rsidR="004E04DF" w:rsidRDefault="004A7922" w:rsidP="00CC1AC0">
            <w:pPr>
              <w:rPr>
                <w:sz w:val="24"/>
                <w:szCs w:val="24"/>
              </w:rPr>
            </w:pPr>
            <w:r>
              <w:rPr>
                <w:sz w:val="24"/>
                <w:szCs w:val="24"/>
              </w:rPr>
              <w:t>7</w:t>
            </w:r>
          </w:p>
        </w:tc>
        <w:tc>
          <w:tcPr>
            <w:tcW w:w="1350" w:type="dxa"/>
          </w:tcPr>
          <w:p w14:paraId="7433FDB6" w14:textId="77777777" w:rsidR="004E04DF" w:rsidRDefault="004E04DF" w:rsidP="00CC1AC0">
            <w:pPr>
              <w:rPr>
                <w:sz w:val="24"/>
                <w:szCs w:val="24"/>
              </w:rPr>
            </w:pPr>
            <w:r>
              <w:rPr>
                <w:sz w:val="24"/>
                <w:szCs w:val="24"/>
              </w:rPr>
              <w:t>Figure 2.7</w:t>
            </w:r>
          </w:p>
        </w:tc>
        <w:tc>
          <w:tcPr>
            <w:tcW w:w="6390" w:type="dxa"/>
          </w:tcPr>
          <w:p w14:paraId="09992CED" w14:textId="77777777" w:rsidR="004E04DF" w:rsidRPr="00D76E95" w:rsidRDefault="004E04DF" w:rsidP="00CC1AC0">
            <w:pPr>
              <w:rPr>
                <w:sz w:val="24"/>
                <w:szCs w:val="24"/>
              </w:rPr>
            </w:pPr>
            <w:r w:rsidRPr="000C3479">
              <w:rPr>
                <w:sz w:val="24"/>
                <w:szCs w:val="24"/>
              </w:rPr>
              <w:t xml:space="preserve">Comparison of </w:t>
            </w:r>
            <w:r>
              <w:rPr>
                <w:sz w:val="24"/>
                <w:szCs w:val="24"/>
              </w:rPr>
              <w:t>Frequency-Magnitude-Distribution and corresponding b-values</w:t>
            </w:r>
            <w:r w:rsidRPr="000C3479">
              <w:rPr>
                <w:sz w:val="24"/>
                <w:szCs w:val="24"/>
              </w:rPr>
              <w:t xml:space="preserve"> for treatments before(left) and after(right) magnitude calibration, where b-values are estimated by maximum likelihood (MLE). The vertical axis is </w:t>
            </w:r>
            <w:r>
              <w:rPr>
                <w:sz w:val="24"/>
                <w:szCs w:val="24"/>
              </w:rPr>
              <w:t xml:space="preserve">the </w:t>
            </w:r>
            <w:r w:rsidRPr="000C3479">
              <w:rPr>
                <w:sz w:val="24"/>
                <w:szCs w:val="24"/>
              </w:rPr>
              <w:t xml:space="preserve">cumulative number of </w:t>
            </w:r>
            <w:proofErr w:type="gramStart"/>
            <w:r w:rsidRPr="000C3479">
              <w:rPr>
                <w:sz w:val="24"/>
                <w:szCs w:val="24"/>
              </w:rPr>
              <w:t>events</w:t>
            </w:r>
            <w:proofErr w:type="gramEnd"/>
            <w:r w:rsidRPr="000C3479">
              <w:rPr>
                <w:sz w:val="24"/>
                <w:szCs w:val="24"/>
              </w:rPr>
              <w:t xml:space="preserve"> and </w:t>
            </w:r>
            <w:r>
              <w:rPr>
                <w:sz w:val="24"/>
                <w:szCs w:val="24"/>
              </w:rPr>
              <w:t xml:space="preserve">the </w:t>
            </w:r>
            <w:r w:rsidRPr="000C3479">
              <w:rPr>
                <w:sz w:val="24"/>
                <w:szCs w:val="24"/>
              </w:rPr>
              <w:t xml:space="preserve">horizontal axes is the event magnitude. Each treatment is color coded the same as </w:t>
            </w:r>
            <w:r>
              <w:rPr>
                <w:sz w:val="24"/>
                <w:szCs w:val="24"/>
              </w:rPr>
              <w:t xml:space="preserve">in </w:t>
            </w:r>
            <w:r w:rsidRPr="000C3479">
              <w:rPr>
                <w:sz w:val="24"/>
                <w:szCs w:val="24"/>
              </w:rPr>
              <w:t xml:space="preserve">Figure </w:t>
            </w:r>
            <w:r>
              <w:rPr>
                <w:sz w:val="24"/>
                <w:szCs w:val="24"/>
              </w:rPr>
              <w:t>2.</w:t>
            </w:r>
            <w:r w:rsidRPr="000C3479">
              <w:rPr>
                <w:sz w:val="24"/>
                <w:szCs w:val="24"/>
              </w:rPr>
              <w:t>1.</w:t>
            </w:r>
          </w:p>
        </w:tc>
        <w:tc>
          <w:tcPr>
            <w:tcW w:w="895" w:type="dxa"/>
          </w:tcPr>
          <w:p w14:paraId="545D32AC" w14:textId="09C0E792" w:rsidR="004E04DF" w:rsidRDefault="00A72893" w:rsidP="00CC1AC0">
            <w:pPr>
              <w:rPr>
                <w:sz w:val="24"/>
                <w:szCs w:val="24"/>
              </w:rPr>
            </w:pPr>
            <w:r>
              <w:rPr>
                <w:sz w:val="24"/>
                <w:szCs w:val="24"/>
              </w:rPr>
              <w:t>38</w:t>
            </w:r>
          </w:p>
        </w:tc>
      </w:tr>
      <w:tr w:rsidR="004E04DF" w14:paraId="4D3A7FBF" w14:textId="77777777" w:rsidTr="00C32386">
        <w:tc>
          <w:tcPr>
            <w:tcW w:w="715" w:type="dxa"/>
          </w:tcPr>
          <w:p w14:paraId="10759B9B" w14:textId="50CB9615" w:rsidR="004E04DF" w:rsidRDefault="004A7922" w:rsidP="00CC1AC0">
            <w:pPr>
              <w:rPr>
                <w:sz w:val="24"/>
                <w:szCs w:val="24"/>
              </w:rPr>
            </w:pPr>
            <w:r>
              <w:rPr>
                <w:sz w:val="24"/>
                <w:szCs w:val="24"/>
              </w:rPr>
              <w:t>8</w:t>
            </w:r>
          </w:p>
        </w:tc>
        <w:tc>
          <w:tcPr>
            <w:tcW w:w="1350" w:type="dxa"/>
          </w:tcPr>
          <w:p w14:paraId="0ADF530B" w14:textId="77777777" w:rsidR="004E04DF" w:rsidRDefault="004E04DF" w:rsidP="00CC1AC0">
            <w:pPr>
              <w:rPr>
                <w:sz w:val="24"/>
                <w:szCs w:val="24"/>
              </w:rPr>
            </w:pPr>
            <w:r>
              <w:rPr>
                <w:sz w:val="24"/>
                <w:szCs w:val="24"/>
              </w:rPr>
              <w:t>Figure 2.8</w:t>
            </w:r>
          </w:p>
        </w:tc>
        <w:tc>
          <w:tcPr>
            <w:tcW w:w="6390" w:type="dxa"/>
          </w:tcPr>
          <w:p w14:paraId="34817648" w14:textId="77777777" w:rsidR="004E04DF" w:rsidRPr="00D76E95" w:rsidRDefault="004E04DF" w:rsidP="00CC1AC0">
            <w:pPr>
              <w:rPr>
                <w:sz w:val="24"/>
                <w:szCs w:val="24"/>
              </w:rPr>
            </w:pPr>
            <w:r w:rsidRPr="000C3479">
              <w:rPr>
                <w:sz w:val="24"/>
                <w:szCs w:val="24"/>
              </w:rPr>
              <w:t xml:space="preserve">Comparison of </w:t>
            </w:r>
            <w:r>
              <w:rPr>
                <w:sz w:val="24"/>
                <w:szCs w:val="24"/>
              </w:rPr>
              <w:t xml:space="preserve">the probability density function of b-value estimations from MLE (A and B), and the </w:t>
            </w:r>
            <w:proofErr w:type="spellStart"/>
            <w:r>
              <w:rPr>
                <w:sz w:val="24"/>
                <w:szCs w:val="24"/>
              </w:rPr>
              <w:t>seismogenic</w:t>
            </w:r>
            <w:proofErr w:type="spellEnd"/>
            <w:r>
              <w:rPr>
                <w:sz w:val="24"/>
                <w:szCs w:val="24"/>
              </w:rPr>
              <w:t xml:space="preserve"> index (C and D)</w:t>
            </w:r>
            <w:r w:rsidRPr="000C3479">
              <w:rPr>
                <w:sz w:val="24"/>
                <w:szCs w:val="24"/>
              </w:rPr>
              <w:t xml:space="preserve"> before (left</w:t>
            </w:r>
            <w:r>
              <w:rPr>
                <w:sz w:val="24"/>
                <w:szCs w:val="24"/>
              </w:rPr>
              <w:t xml:space="preserve"> panel: A and C</w:t>
            </w:r>
            <w:r w:rsidRPr="000C3479">
              <w:rPr>
                <w:sz w:val="24"/>
                <w:szCs w:val="24"/>
              </w:rPr>
              <w:t>) and after (right</w:t>
            </w:r>
            <w:r>
              <w:rPr>
                <w:sz w:val="24"/>
                <w:szCs w:val="24"/>
              </w:rPr>
              <w:t xml:space="preserve"> panel: B and D</w:t>
            </w:r>
            <w:r w:rsidRPr="000C3479">
              <w:rPr>
                <w:sz w:val="24"/>
                <w:szCs w:val="24"/>
              </w:rPr>
              <w:t xml:space="preserve">) magnitude calibration. For all estimates, 100 bootstrap trials are calculated with MLE estimates for </w:t>
            </w:r>
            <w:r>
              <w:rPr>
                <w:sz w:val="24"/>
                <w:szCs w:val="24"/>
              </w:rPr>
              <w:t xml:space="preserve">the </w:t>
            </w:r>
            <w:r w:rsidRPr="000C3479">
              <w:rPr>
                <w:sz w:val="24"/>
                <w:szCs w:val="24"/>
              </w:rPr>
              <w:t xml:space="preserve">b-value and </w:t>
            </w:r>
            <w:proofErr w:type="spellStart"/>
            <w:r w:rsidRPr="000C3479">
              <w:rPr>
                <w:sz w:val="24"/>
                <w:szCs w:val="24"/>
              </w:rPr>
              <w:t>seismogenic</w:t>
            </w:r>
            <w:proofErr w:type="spellEnd"/>
            <w:r w:rsidRPr="000C3479">
              <w:rPr>
                <w:sz w:val="24"/>
                <w:szCs w:val="24"/>
              </w:rPr>
              <w:t xml:space="preserve"> index.</w:t>
            </w:r>
          </w:p>
        </w:tc>
        <w:tc>
          <w:tcPr>
            <w:tcW w:w="895" w:type="dxa"/>
          </w:tcPr>
          <w:p w14:paraId="65A38537" w14:textId="06A585BD" w:rsidR="004E04DF" w:rsidRDefault="00A72893" w:rsidP="00CC1AC0">
            <w:pPr>
              <w:rPr>
                <w:sz w:val="24"/>
                <w:szCs w:val="24"/>
              </w:rPr>
            </w:pPr>
            <w:r>
              <w:rPr>
                <w:sz w:val="24"/>
                <w:szCs w:val="24"/>
              </w:rPr>
              <w:t>39</w:t>
            </w:r>
          </w:p>
        </w:tc>
      </w:tr>
      <w:tr w:rsidR="004E04DF" w14:paraId="5C6130CA" w14:textId="77777777" w:rsidTr="00C32386">
        <w:tc>
          <w:tcPr>
            <w:tcW w:w="715" w:type="dxa"/>
          </w:tcPr>
          <w:p w14:paraId="5843AA63" w14:textId="77E6502F" w:rsidR="004E04DF" w:rsidRDefault="004A7922" w:rsidP="00CC1AC0">
            <w:pPr>
              <w:rPr>
                <w:sz w:val="24"/>
                <w:szCs w:val="24"/>
              </w:rPr>
            </w:pPr>
            <w:r>
              <w:rPr>
                <w:sz w:val="24"/>
                <w:szCs w:val="24"/>
              </w:rPr>
              <w:t>9</w:t>
            </w:r>
          </w:p>
        </w:tc>
        <w:tc>
          <w:tcPr>
            <w:tcW w:w="1350" w:type="dxa"/>
          </w:tcPr>
          <w:p w14:paraId="36EC764D" w14:textId="77777777" w:rsidR="004E04DF" w:rsidRDefault="004E04DF" w:rsidP="00CC1AC0">
            <w:pPr>
              <w:rPr>
                <w:sz w:val="24"/>
                <w:szCs w:val="24"/>
              </w:rPr>
            </w:pPr>
            <w:r>
              <w:rPr>
                <w:sz w:val="24"/>
                <w:szCs w:val="24"/>
              </w:rPr>
              <w:t>Figure 2.9</w:t>
            </w:r>
          </w:p>
        </w:tc>
        <w:tc>
          <w:tcPr>
            <w:tcW w:w="6390" w:type="dxa"/>
          </w:tcPr>
          <w:p w14:paraId="288335C0" w14:textId="77777777" w:rsidR="004E04DF" w:rsidRPr="00D76E95" w:rsidRDefault="004E04DF" w:rsidP="00CC1AC0">
            <w:pPr>
              <w:rPr>
                <w:sz w:val="24"/>
                <w:szCs w:val="24"/>
              </w:rPr>
            </w:pPr>
            <w:r w:rsidRPr="00101CB7">
              <w:rPr>
                <w:sz w:val="24"/>
                <w:szCs w:val="24"/>
              </w:rPr>
              <w:t xml:space="preserve">Comparison of different treatments and subclusters of treatment B as represented by a </w:t>
            </w:r>
            <w:r>
              <w:rPr>
                <w:sz w:val="24"/>
                <w:szCs w:val="24"/>
              </w:rPr>
              <w:t>schematic</w:t>
            </w:r>
            <w:r w:rsidRPr="00101CB7">
              <w:rPr>
                <w:sz w:val="24"/>
                <w:szCs w:val="24"/>
              </w:rPr>
              <w:t xml:space="preserve"> Mohr circle. The dashed line shows the Coulomb Failure Envelope based on </w:t>
            </w:r>
            <w:r>
              <w:rPr>
                <w:sz w:val="24"/>
                <w:szCs w:val="24"/>
              </w:rPr>
              <w:t xml:space="preserve">a </w:t>
            </w:r>
            <w:r w:rsidRPr="00101CB7">
              <w:rPr>
                <w:sz w:val="24"/>
                <w:szCs w:val="24"/>
              </w:rPr>
              <w:t>friction coefficient of 0.</w:t>
            </w:r>
            <w:r>
              <w:rPr>
                <w:sz w:val="24"/>
                <w:szCs w:val="24"/>
              </w:rPr>
              <w:t>7</w:t>
            </w:r>
            <w:r w:rsidRPr="00101CB7">
              <w:rPr>
                <w:sz w:val="24"/>
                <w:szCs w:val="24"/>
              </w:rPr>
              <w:t>5. Different symbols represent different clusters.</w:t>
            </w:r>
            <w:r>
              <w:rPr>
                <w:sz w:val="24"/>
                <w:szCs w:val="24"/>
              </w:rPr>
              <w:t xml:space="preserve"> Solid-filled symbols represent clusters and treatments with off-SH-max axis orientation. Non-filled symbols represent seismicity groups that are parallel to SH-max.</w:t>
            </w:r>
          </w:p>
        </w:tc>
        <w:tc>
          <w:tcPr>
            <w:tcW w:w="895" w:type="dxa"/>
          </w:tcPr>
          <w:p w14:paraId="4CB1CF0E" w14:textId="35DE4D12" w:rsidR="004E04DF" w:rsidRDefault="00A72893" w:rsidP="00CC1AC0">
            <w:pPr>
              <w:rPr>
                <w:sz w:val="24"/>
                <w:szCs w:val="24"/>
              </w:rPr>
            </w:pPr>
            <w:r>
              <w:rPr>
                <w:sz w:val="24"/>
                <w:szCs w:val="24"/>
              </w:rPr>
              <w:t>40</w:t>
            </w:r>
          </w:p>
        </w:tc>
      </w:tr>
      <w:tr w:rsidR="004E04DF" w14:paraId="312AE2B8" w14:textId="77777777" w:rsidTr="00C32386">
        <w:tc>
          <w:tcPr>
            <w:tcW w:w="715" w:type="dxa"/>
          </w:tcPr>
          <w:p w14:paraId="17999405" w14:textId="0D569003" w:rsidR="004E04DF" w:rsidRDefault="004A7922" w:rsidP="00CC1AC0">
            <w:pPr>
              <w:rPr>
                <w:sz w:val="24"/>
                <w:szCs w:val="24"/>
              </w:rPr>
            </w:pPr>
            <w:r>
              <w:rPr>
                <w:sz w:val="24"/>
                <w:szCs w:val="24"/>
              </w:rPr>
              <w:t>10</w:t>
            </w:r>
          </w:p>
        </w:tc>
        <w:tc>
          <w:tcPr>
            <w:tcW w:w="1350" w:type="dxa"/>
          </w:tcPr>
          <w:p w14:paraId="79D04719" w14:textId="77777777" w:rsidR="004E04DF" w:rsidRDefault="004E04DF" w:rsidP="00CC1AC0">
            <w:pPr>
              <w:rPr>
                <w:sz w:val="24"/>
                <w:szCs w:val="24"/>
              </w:rPr>
            </w:pPr>
            <w:r>
              <w:rPr>
                <w:sz w:val="24"/>
                <w:szCs w:val="24"/>
              </w:rPr>
              <w:t>Figure 2.10</w:t>
            </w:r>
          </w:p>
        </w:tc>
        <w:tc>
          <w:tcPr>
            <w:tcW w:w="6390" w:type="dxa"/>
          </w:tcPr>
          <w:p w14:paraId="46448EA1" w14:textId="77777777" w:rsidR="004E04DF" w:rsidRPr="00101CB7" w:rsidRDefault="004E04DF" w:rsidP="00CC1AC0">
            <w:pPr>
              <w:rPr>
                <w:sz w:val="24"/>
                <w:szCs w:val="24"/>
              </w:rPr>
            </w:pPr>
            <w:r w:rsidRPr="00101CB7">
              <w:rPr>
                <w:sz w:val="24"/>
                <w:szCs w:val="24"/>
              </w:rPr>
              <w:t xml:space="preserve">Cumulative moment growth with </w:t>
            </w:r>
            <w:r>
              <w:rPr>
                <w:sz w:val="24"/>
                <w:szCs w:val="24"/>
              </w:rPr>
              <w:t xml:space="preserve">the </w:t>
            </w:r>
            <w:r w:rsidRPr="00101CB7">
              <w:rPr>
                <w:sz w:val="24"/>
                <w:szCs w:val="24"/>
              </w:rPr>
              <w:t>increasing number of earthquakes (A and B) and time since the start of injection (C and D) for each treatment before (</w:t>
            </w:r>
            <w:r>
              <w:rPr>
                <w:sz w:val="24"/>
                <w:szCs w:val="24"/>
              </w:rPr>
              <w:t>left panel: A and C</w:t>
            </w:r>
            <w:r w:rsidRPr="00101CB7">
              <w:rPr>
                <w:sz w:val="24"/>
                <w:szCs w:val="24"/>
              </w:rPr>
              <w:t>) and after (</w:t>
            </w:r>
            <w:r>
              <w:rPr>
                <w:sz w:val="24"/>
                <w:szCs w:val="24"/>
              </w:rPr>
              <w:t xml:space="preserve">right panel: </w:t>
            </w:r>
            <w:r w:rsidRPr="00101CB7">
              <w:rPr>
                <w:sz w:val="24"/>
                <w:szCs w:val="24"/>
              </w:rPr>
              <w:t>B and D) magnitude calibration.</w:t>
            </w:r>
          </w:p>
        </w:tc>
        <w:tc>
          <w:tcPr>
            <w:tcW w:w="895" w:type="dxa"/>
          </w:tcPr>
          <w:p w14:paraId="4F209CC4" w14:textId="744B3CB1" w:rsidR="004E04DF" w:rsidRDefault="00992182" w:rsidP="00CC1AC0">
            <w:pPr>
              <w:rPr>
                <w:sz w:val="24"/>
                <w:szCs w:val="24"/>
              </w:rPr>
            </w:pPr>
            <w:r>
              <w:rPr>
                <w:sz w:val="24"/>
                <w:szCs w:val="24"/>
              </w:rPr>
              <w:t>41</w:t>
            </w:r>
          </w:p>
        </w:tc>
      </w:tr>
      <w:tr w:rsidR="004E04DF" w14:paraId="165DFA17" w14:textId="77777777" w:rsidTr="00C32386">
        <w:tc>
          <w:tcPr>
            <w:tcW w:w="715" w:type="dxa"/>
          </w:tcPr>
          <w:p w14:paraId="55488CAD" w14:textId="7A903FA2" w:rsidR="004E04DF" w:rsidRDefault="004A7922" w:rsidP="00CC1AC0">
            <w:pPr>
              <w:rPr>
                <w:sz w:val="24"/>
                <w:szCs w:val="24"/>
              </w:rPr>
            </w:pPr>
            <w:r>
              <w:rPr>
                <w:sz w:val="24"/>
                <w:szCs w:val="24"/>
              </w:rPr>
              <w:lastRenderedPageBreak/>
              <w:t>11</w:t>
            </w:r>
          </w:p>
        </w:tc>
        <w:tc>
          <w:tcPr>
            <w:tcW w:w="1350" w:type="dxa"/>
          </w:tcPr>
          <w:p w14:paraId="5B49AEE6" w14:textId="77777777" w:rsidR="004E04DF" w:rsidRDefault="004E04DF" w:rsidP="00CC1AC0">
            <w:pPr>
              <w:rPr>
                <w:sz w:val="24"/>
                <w:szCs w:val="24"/>
              </w:rPr>
            </w:pPr>
            <w:r>
              <w:rPr>
                <w:sz w:val="24"/>
                <w:szCs w:val="24"/>
              </w:rPr>
              <w:t>Figure S2.1</w:t>
            </w:r>
          </w:p>
        </w:tc>
        <w:tc>
          <w:tcPr>
            <w:tcW w:w="6390" w:type="dxa"/>
          </w:tcPr>
          <w:p w14:paraId="34C79688" w14:textId="77777777" w:rsidR="004E04DF" w:rsidRPr="00D76E95" w:rsidRDefault="004E04DF" w:rsidP="00533770">
            <w:pPr>
              <w:rPr>
                <w:sz w:val="24"/>
                <w:szCs w:val="24"/>
              </w:rPr>
            </w:pPr>
            <w:r w:rsidRPr="00D76E95">
              <w:rPr>
                <w:sz w:val="24"/>
                <w:szCs w:val="24"/>
              </w:rPr>
              <w:t xml:space="preserve">Comparison of probability density function of b-value estimations from LST (A and B), and the </w:t>
            </w:r>
            <w:proofErr w:type="spellStart"/>
            <w:r w:rsidRPr="00D76E95">
              <w:rPr>
                <w:sz w:val="24"/>
                <w:szCs w:val="24"/>
              </w:rPr>
              <w:t>seismogenic</w:t>
            </w:r>
            <w:proofErr w:type="spellEnd"/>
            <w:r w:rsidRPr="00D76E95">
              <w:rPr>
                <w:sz w:val="24"/>
                <w:szCs w:val="24"/>
              </w:rPr>
              <w:t xml:space="preserve"> index (C and D) before (left panel: A and C) and after (right panel: B and D) magnitude calibration. For all estimates, 100 bootstrap trials are calculated with LST estimates for </w:t>
            </w:r>
            <w:r>
              <w:rPr>
                <w:sz w:val="24"/>
                <w:szCs w:val="24"/>
              </w:rPr>
              <w:t xml:space="preserve">the </w:t>
            </w:r>
            <w:r w:rsidRPr="00D76E95">
              <w:rPr>
                <w:sz w:val="24"/>
                <w:szCs w:val="24"/>
              </w:rPr>
              <w:t xml:space="preserve">b-value and </w:t>
            </w:r>
            <w:proofErr w:type="spellStart"/>
            <w:r w:rsidRPr="00D76E95">
              <w:rPr>
                <w:sz w:val="24"/>
                <w:szCs w:val="24"/>
              </w:rPr>
              <w:t>seismogenic</w:t>
            </w:r>
            <w:proofErr w:type="spellEnd"/>
            <w:r w:rsidRPr="00D76E95">
              <w:rPr>
                <w:sz w:val="24"/>
                <w:szCs w:val="24"/>
              </w:rPr>
              <w:t xml:space="preserve"> index.</w:t>
            </w:r>
          </w:p>
        </w:tc>
        <w:tc>
          <w:tcPr>
            <w:tcW w:w="895" w:type="dxa"/>
          </w:tcPr>
          <w:p w14:paraId="67E6A53D" w14:textId="1CABE61D" w:rsidR="004E04DF" w:rsidRDefault="00992182" w:rsidP="00CC1AC0">
            <w:pPr>
              <w:rPr>
                <w:sz w:val="24"/>
                <w:szCs w:val="24"/>
              </w:rPr>
            </w:pPr>
            <w:r>
              <w:rPr>
                <w:sz w:val="24"/>
                <w:szCs w:val="24"/>
              </w:rPr>
              <w:t>52</w:t>
            </w:r>
          </w:p>
        </w:tc>
      </w:tr>
      <w:tr w:rsidR="004E04DF" w14:paraId="5AF4E628" w14:textId="77777777" w:rsidTr="00C32386">
        <w:tc>
          <w:tcPr>
            <w:tcW w:w="715" w:type="dxa"/>
          </w:tcPr>
          <w:p w14:paraId="2E501188" w14:textId="2B93C016" w:rsidR="004E04DF" w:rsidRDefault="004A7922" w:rsidP="00CC1AC0">
            <w:pPr>
              <w:rPr>
                <w:sz w:val="24"/>
                <w:szCs w:val="24"/>
              </w:rPr>
            </w:pPr>
            <w:r>
              <w:rPr>
                <w:sz w:val="24"/>
                <w:szCs w:val="24"/>
              </w:rPr>
              <w:t>12</w:t>
            </w:r>
          </w:p>
        </w:tc>
        <w:tc>
          <w:tcPr>
            <w:tcW w:w="1350" w:type="dxa"/>
          </w:tcPr>
          <w:p w14:paraId="50BD6BB1" w14:textId="77777777" w:rsidR="004E04DF" w:rsidRDefault="004E04DF" w:rsidP="00CC1AC0">
            <w:pPr>
              <w:rPr>
                <w:sz w:val="24"/>
                <w:szCs w:val="24"/>
              </w:rPr>
            </w:pPr>
            <w:r>
              <w:rPr>
                <w:sz w:val="24"/>
                <w:szCs w:val="24"/>
              </w:rPr>
              <w:t>Figure 3.1</w:t>
            </w:r>
          </w:p>
        </w:tc>
        <w:tc>
          <w:tcPr>
            <w:tcW w:w="6390" w:type="dxa"/>
          </w:tcPr>
          <w:p w14:paraId="0DD9449D" w14:textId="77777777" w:rsidR="004E04DF" w:rsidRPr="00D76E95" w:rsidRDefault="004E04DF" w:rsidP="00CC1AC0">
            <w:pPr>
              <w:rPr>
                <w:sz w:val="24"/>
                <w:szCs w:val="24"/>
              </w:rPr>
            </w:pPr>
            <w:r>
              <w:rPr>
                <w:sz w:val="24"/>
                <w:szCs w:val="24"/>
              </w:rPr>
              <w:t xml:space="preserve">A </w:t>
            </w:r>
            <w:r w:rsidRPr="00D76E95">
              <w:rPr>
                <w:sz w:val="24"/>
                <w:szCs w:val="24"/>
              </w:rPr>
              <w:t xml:space="preserve">map of Oklahoma with fault lines. </w:t>
            </w:r>
            <w:r>
              <w:rPr>
                <w:sz w:val="24"/>
                <w:szCs w:val="24"/>
              </w:rPr>
              <w:t xml:space="preserve">The </w:t>
            </w:r>
            <w:r w:rsidRPr="00D76E95">
              <w:rPr>
                <w:sz w:val="24"/>
                <w:szCs w:val="24"/>
              </w:rPr>
              <w:t xml:space="preserve">red box is the array location. Roads </w:t>
            </w:r>
            <w:r>
              <w:rPr>
                <w:sz w:val="24"/>
                <w:szCs w:val="24"/>
              </w:rPr>
              <w:t>are shown as</w:t>
            </w:r>
            <w:r w:rsidRPr="00D76E95">
              <w:rPr>
                <w:sz w:val="24"/>
                <w:szCs w:val="24"/>
              </w:rPr>
              <w:t xml:space="preserve"> blue </w:t>
            </w:r>
            <w:r>
              <w:rPr>
                <w:sz w:val="24"/>
                <w:szCs w:val="24"/>
              </w:rPr>
              <w:t xml:space="preserve">lines </w:t>
            </w:r>
            <w:r w:rsidRPr="00D76E95">
              <w:rPr>
                <w:sz w:val="24"/>
                <w:szCs w:val="24"/>
              </w:rPr>
              <w:t xml:space="preserve">and railway </w:t>
            </w:r>
            <w:r>
              <w:rPr>
                <w:sz w:val="24"/>
                <w:szCs w:val="24"/>
              </w:rPr>
              <w:t>tracks are</w:t>
            </w:r>
            <w:r w:rsidRPr="00D76E95">
              <w:rPr>
                <w:sz w:val="24"/>
                <w:szCs w:val="24"/>
              </w:rPr>
              <w:t xml:space="preserve"> green</w:t>
            </w:r>
            <w:r>
              <w:rPr>
                <w:sz w:val="24"/>
                <w:szCs w:val="24"/>
              </w:rPr>
              <w:t xml:space="preserve"> lines.</w:t>
            </w:r>
          </w:p>
        </w:tc>
        <w:tc>
          <w:tcPr>
            <w:tcW w:w="895" w:type="dxa"/>
          </w:tcPr>
          <w:p w14:paraId="6329F04F" w14:textId="30B0380A" w:rsidR="004E04DF" w:rsidRDefault="00992182" w:rsidP="00CC1AC0">
            <w:pPr>
              <w:rPr>
                <w:sz w:val="24"/>
                <w:szCs w:val="24"/>
              </w:rPr>
            </w:pPr>
            <w:r>
              <w:rPr>
                <w:sz w:val="24"/>
                <w:szCs w:val="24"/>
              </w:rPr>
              <w:t>7</w:t>
            </w:r>
            <w:r w:rsidR="00286B0D">
              <w:rPr>
                <w:sz w:val="24"/>
                <w:szCs w:val="24"/>
              </w:rPr>
              <w:t>5</w:t>
            </w:r>
          </w:p>
        </w:tc>
      </w:tr>
      <w:tr w:rsidR="004E04DF" w14:paraId="46DDF60A" w14:textId="77777777" w:rsidTr="00C32386">
        <w:tc>
          <w:tcPr>
            <w:tcW w:w="715" w:type="dxa"/>
          </w:tcPr>
          <w:p w14:paraId="002E761C" w14:textId="6096AF83" w:rsidR="004E04DF" w:rsidRDefault="004A7922" w:rsidP="00CC1AC0">
            <w:pPr>
              <w:rPr>
                <w:sz w:val="24"/>
                <w:szCs w:val="24"/>
              </w:rPr>
            </w:pPr>
            <w:r>
              <w:rPr>
                <w:sz w:val="24"/>
                <w:szCs w:val="24"/>
              </w:rPr>
              <w:t>13</w:t>
            </w:r>
          </w:p>
        </w:tc>
        <w:tc>
          <w:tcPr>
            <w:tcW w:w="1350" w:type="dxa"/>
          </w:tcPr>
          <w:p w14:paraId="1175C107" w14:textId="77777777" w:rsidR="004E04DF" w:rsidRDefault="004E04DF" w:rsidP="00CC1AC0">
            <w:pPr>
              <w:rPr>
                <w:sz w:val="24"/>
                <w:szCs w:val="24"/>
              </w:rPr>
            </w:pPr>
            <w:r>
              <w:rPr>
                <w:sz w:val="24"/>
                <w:szCs w:val="24"/>
              </w:rPr>
              <w:t>Figure 3.2</w:t>
            </w:r>
          </w:p>
        </w:tc>
        <w:tc>
          <w:tcPr>
            <w:tcW w:w="6390" w:type="dxa"/>
          </w:tcPr>
          <w:p w14:paraId="6D7AED80" w14:textId="77777777" w:rsidR="004E04DF" w:rsidRPr="00D76E95" w:rsidRDefault="004E04DF" w:rsidP="00CC1AC0">
            <w:pPr>
              <w:rPr>
                <w:sz w:val="24"/>
                <w:szCs w:val="24"/>
              </w:rPr>
            </w:pPr>
            <w:r w:rsidRPr="00D76E95">
              <w:rPr>
                <w:sz w:val="24"/>
                <w:szCs w:val="24"/>
              </w:rPr>
              <w:t xml:space="preserve">Experiment location from </w:t>
            </w:r>
            <w:r>
              <w:rPr>
                <w:sz w:val="24"/>
                <w:szCs w:val="24"/>
              </w:rPr>
              <w:t xml:space="preserve">the </w:t>
            </w:r>
            <w:r w:rsidRPr="00D76E95">
              <w:rPr>
                <w:sz w:val="24"/>
                <w:szCs w:val="24"/>
              </w:rPr>
              <w:t xml:space="preserve">red box in </w:t>
            </w:r>
            <w:r>
              <w:rPr>
                <w:sz w:val="24"/>
                <w:szCs w:val="24"/>
              </w:rPr>
              <w:t>F</w:t>
            </w:r>
            <w:r w:rsidRPr="00D76E95">
              <w:rPr>
                <w:sz w:val="24"/>
                <w:szCs w:val="24"/>
              </w:rPr>
              <w:t xml:space="preserve">igure 1. </w:t>
            </w:r>
            <w:r>
              <w:rPr>
                <w:sz w:val="24"/>
                <w:szCs w:val="24"/>
              </w:rPr>
              <w:t>L</w:t>
            </w:r>
            <w:r w:rsidRPr="00D76E95">
              <w:rPr>
                <w:sz w:val="24"/>
                <w:szCs w:val="24"/>
              </w:rPr>
              <w:t>ocal events are in dots where they are color coded for each array and magnitude would depict circle size. Nodal stations for each segment of the deployment are shown by the colored triangles where blue is EW1-40, green is EW1-20, and red is EW2.</w:t>
            </w:r>
          </w:p>
        </w:tc>
        <w:tc>
          <w:tcPr>
            <w:tcW w:w="895" w:type="dxa"/>
          </w:tcPr>
          <w:p w14:paraId="1FF64C68" w14:textId="2A92F3E6" w:rsidR="004E04DF" w:rsidRDefault="00992182" w:rsidP="00CC1AC0">
            <w:pPr>
              <w:rPr>
                <w:sz w:val="24"/>
                <w:szCs w:val="24"/>
              </w:rPr>
            </w:pPr>
            <w:r>
              <w:rPr>
                <w:sz w:val="24"/>
                <w:szCs w:val="24"/>
              </w:rPr>
              <w:t>7</w:t>
            </w:r>
            <w:r w:rsidR="00286B0D">
              <w:rPr>
                <w:sz w:val="24"/>
                <w:szCs w:val="24"/>
              </w:rPr>
              <w:t>5</w:t>
            </w:r>
          </w:p>
        </w:tc>
      </w:tr>
      <w:tr w:rsidR="004E04DF" w14:paraId="5B7C3626" w14:textId="77777777" w:rsidTr="00C32386">
        <w:tc>
          <w:tcPr>
            <w:tcW w:w="715" w:type="dxa"/>
          </w:tcPr>
          <w:p w14:paraId="4C34C9AE" w14:textId="75CA6FC0" w:rsidR="004E04DF" w:rsidRDefault="009F5855" w:rsidP="00CC1AC0">
            <w:pPr>
              <w:rPr>
                <w:sz w:val="24"/>
                <w:szCs w:val="24"/>
              </w:rPr>
            </w:pPr>
            <w:r>
              <w:rPr>
                <w:sz w:val="24"/>
                <w:szCs w:val="24"/>
              </w:rPr>
              <w:t>14</w:t>
            </w:r>
          </w:p>
        </w:tc>
        <w:tc>
          <w:tcPr>
            <w:tcW w:w="1350" w:type="dxa"/>
          </w:tcPr>
          <w:p w14:paraId="2029EF34" w14:textId="77777777" w:rsidR="004E04DF" w:rsidRDefault="004E04DF" w:rsidP="00CC1AC0">
            <w:pPr>
              <w:rPr>
                <w:sz w:val="24"/>
                <w:szCs w:val="24"/>
              </w:rPr>
            </w:pPr>
            <w:r>
              <w:rPr>
                <w:sz w:val="24"/>
                <w:szCs w:val="24"/>
              </w:rPr>
              <w:t>Figure 3.3</w:t>
            </w:r>
          </w:p>
        </w:tc>
        <w:tc>
          <w:tcPr>
            <w:tcW w:w="6390" w:type="dxa"/>
          </w:tcPr>
          <w:p w14:paraId="03CA7350" w14:textId="77777777" w:rsidR="004E04DF" w:rsidRPr="00D76E95" w:rsidRDefault="004E04DF" w:rsidP="00CC1AC0">
            <w:pPr>
              <w:rPr>
                <w:sz w:val="24"/>
                <w:szCs w:val="24"/>
              </w:rPr>
            </w:pPr>
            <w:r w:rsidRPr="00D76E95">
              <w:rPr>
                <w:sz w:val="24"/>
                <w:szCs w:val="24"/>
              </w:rPr>
              <w:t>Day and nighttime noise for node station 4013 and corresponding DAS channel up to the Nyquist frequency of the down</w:t>
            </w:r>
            <w:r>
              <w:rPr>
                <w:sz w:val="24"/>
                <w:szCs w:val="24"/>
              </w:rPr>
              <w:t>-</w:t>
            </w:r>
            <w:r w:rsidRPr="00D76E95">
              <w:rPr>
                <w:sz w:val="24"/>
                <w:szCs w:val="24"/>
              </w:rPr>
              <w:t>sampled DAS and node time series.</w:t>
            </w:r>
          </w:p>
        </w:tc>
        <w:tc>
          <w:tcPr>
            <w:tcW w:w="895" w:type="dxa"/>
          </w:tcPr>
          <w:p w14:paraId="08B67A3D" w14:textId="39146C9F" w:rsidR="004E04DF" w:rsidRDefault="00992182" w:rsidP="00CC1AC0">
            <w:pPr>
              <w:rPr>
                <w:sz w:val="24"/>
                <w:szCs w:val="24"/>
              </w:rPr>
            </w:pPr>
            <w:r>
              <w:rPr>
                <w:sz w:val="24"/>
                <w:szCs w:val="24"/>
              </w:rPr>
              <w:t>7</w:t>
            </w:r>
            <w:r w:rsidR="00286B0D">
              <w:rPr>
                <w:sz w:val="24"/>
                <w:szCs w:val="24"/>
              </w:rPr>
              <w:t>6</w:t>
            </w:r>
          </w:p>
        </w:tc>
      </w:tr>
      <w:tr w:rsidR="004E04DF" w14:paraId="2861DA49" w14:textId="77777777" w:rsidTr="00C32386">
        <w:tc>
          <w:tcPr>
            <w:tcW w:w="715" w:type="dxa"/>
          </w:tcPr>
          <w:p w14:paraId="47362E4A" w14:textId="3F7E6E44" w:rsidR="004E04DF" w:rsidRDefault="009F5855" w:rsidP="00CC1AC0">
            <w:pPr>
              <w:rPr>
                <w:sz w:val="24"/>
                <w:szCs w:val="24"/>
              </w:rPr>
            </w:pPr>
            <w:r>
              <w:rPr>
                <w:sz w:val="24"/>
                <w:szCs w:val="24"/>
              </w:rPr>
              <w:t>15</w:t>
            </w:r>
          </w:p>
        </w:tc>
        <w:tc>
          <w:tcPr>
            <w:tcW w:w="1350" w:type="dxa"/>
          </w:tcPr>
          <w:p w14:paraId="049AA899" w14:textId="77777777" w:rsidR="004E04DF" w:rsidRDefault="004E04DF" w:rsidP="00CC1AC0">
            <w:pPr>
              <w:rPr>
                <w:sz w:val="24"/>
                <w:szCs w:val="24"/>
              </w:rPr>
            </w:pPr>
            <w:r>
              <w:rPr>
                <w:sz w:val="24"/>
                <w:szCs w:val="24"/>
              </w:rPr>
              <w:t>Figure 3.4</w:t>
            </w:r>
          </w:p>
        </w:tc>
        <w:tc>
          <w:tcPr>
            <w:tcW w:w="6390" w:type="dxa"/>
          </w:tcPr>
          <w:p w14:paraId="3C42B5A5" w14:textId="77777777" w:rsidR="004E04DF" w:rsidRPr="00D76E95" w:rsidRDefault="004E04DF" w:rsidP="00CC1AC0">
            <w:pPr>
              <w:rPr>
                <w:sz w:val="24"/>
                <w:szCs w:val="24"/>
              </w:rPr>
            </w:pPr>
            <w:r w:rsidRPr="00D76E95">
              <w:rPr>
                <w:sz w:val="24"/>
                <w:szCs w:val="24"/>
              </w:rPr>
              <w:t>Deployment duration average noise spectrum of the DAS array for the first 3000 channels and an example 10-minute RMS time series capturing the 2.3 local magnitude earthquake on May 2, 2021.</w:t>
            </w:r>
          </w:p>
        </w:tc>
        <w:tc>
          <w:tcPr>
            <w:tcW w:w="895" w:type="dxa"/>
          </w:tcPr>
          <w:p w14:paraId="663F6064" w14:textId="63147D2A" w:rsidR="004E04DF" w:rsidRDefault="00A02534" w:rsidP="00CC1AC0">
            <w:pPr>
              <w:rPr>
                <w:sz w:val="24"/>
                <w:szCs w:val="24"/>
              </w:rPr>
            </w:pPr>
            <w:r>
              <w:rPr>
                <w:sz w:val="24"/>
                <w:szCs w:val="24"/>
              </w:rPr>
              <w:t>7</w:t>
            </w:r>
            <w:r w:rsidR="00286B0D">
              <w:rPr>
                <w:sz w:val="24"/>
                <w:szCs w:val="24"/>
              </w:rPr>
              <w:t>7</w:t>
            </w:r>
          </w:p>
        </w:tc>
      </w:tr>
      <w:tr w:rsidR="004E04DF" w14:paraId="0E5D27B9" w14:textId="77777777" w:rsidTr="00C32386">
        <w:tc>
          <w:tcPr>
            <w:tcW w:w="715" w:type="dxa"/>
          </w:tcPr>
          <w:p w14:paraId="4CFFE2F5" w14:textId="3E838B38" w:rsidR="004E04DF" w:rsidRDefault="009F5855" w:rsidP="00CC1AC0">
            <w:pPr>
              <w:rPr>
                <w:sz w:val="24"/>
                <w:szCs w:val="24"/>
              </w:rPr>
            </w:pPr>
            <w:r>
              <w:rPr>
                <w:sz w:val="24"/>
                <w:szCs w:val="24"/>
              </w:rPr>
              <w:t>16</w:t>
            </w:r>
          </w:p>
        </w:tc>
        <w:tc>
          <w:tcPr>
            <w:tcW w:w="1350" w:type="dxa"/>
          </w:tcPr>
          <w:p w14:paraId="0FB2B2F0" w14:textId="77777777" w:rsidR="004E04DF" w:rsidRDefault="004E04DF" w:rsidP="00CC1AC0">
            <w:pPr>
              <w:rPr>
                <w:sz w:val="24"/>
                <w:szCs w:val="24"/>
              </w:rPr>
            </w:pPr>
            <w:r>
              <w:rPr>
                <w:sz w:val="24"/>
                <w:szCs w:val="24"/>
              </w:rPr>
              <w:t>Figure 3.5</w:t>
            </w:r>
          </w:p>
        </w:tc>
        <w:tc>
          <w:tcPr>
            <w:tcW w:w="6390" w:type="dxa"/>
          </w:tcPr>
          <w:p w14:paraId="5587642C" w14:textId="77777777" w:rsidR="004E04DF" w:rsidRPr="00D76E95" w:rsidRDefault="004E04DF" w:rsidP="00CC1AC0">
            <w:pPr>
              <w:rPr>
                <w:sz w:val="24"/>
                <w:szCs w:val="24"/>
              </w:rPr>
            </w:pPr>
            <w:r w:rsidRPr="00D76E95">
              <w:rPr>
                <w:sz w:val="24"/>
                <w:szCs w:val="24"/>
              </w:rPr>
              <w:t>RMS of DAS data. Passing vehicle</w:t>
            </w:r>
            <w:r>
              <w:rPr>
                <w:sz w:val="24"/>
                <w:szCs w:val="24"/>
              </w:rPr>
              <w:t>s</w:t>
            </w:r>
            <w:r w:rsidRPr="00D76E95">
              <w:rPr>
                <w:sz w:val="24"/>
                <w:szCs w:val="24"/>
              </w:rPr>
              <w:t>, ambient noise</w:t>
            </w:r>
            <w:r>
              <w:rPr>
                <w:sz w:val="24"/>
                <w:szCs w:val="24"/>
              </w:rPr>
              <w:t>,</w:t>
            </w:r>
            <w:r w:rsidRPr="00D76E95">
              <w:rPr>
                <w:sz w:val="24"/>
                <w:szCs w:val="24"/>
              </w:rPr>
              <w:t xml:space="preserve"> and </w:t>
            </w:r>
            <w:r>
              <w:rPr>
                <w:sz w:val="24"/>
                <w:szCs w:val="24"/>
              </w:rPr>
              <w:t xml:space="preserve">a </w:t>
            </w:r>
            <w:r w:rsidRPr="00D76E95">
              <w:rPr>
                <w:sz w:val="24"/>
                <w:szCs w:val="24"/>
              </w:rPr>
              <w:t>local event are highlighted.</w:t>
            </w:r>
          </w:p>
        </w:tc>
        <w:tc>
          <w:tcPr>
            <w:tcW w:w="895" w:type="dxa"/>
          </w:tcPr>
          <w:p w14:paraId="461AD4A9" w14:textId="7B93B0B1" w:rsidR="004E04DF" w:rsidRDefault="00A02534" w:rsidP="00CC1AC0">
            <w:pPr>
              <w:rPr>
                <w:sz w:val="24"/>
                <w:szCs w:val="24"/>
              </w:rPr>
            </w:pPr>
            <w:r>
              <w:rPr>
                <w:sz w:val="24"/>
                <w:szCs w:val="24"/>
              </w:rPr>
              <w:t>7</w:t>
            </w:r>
            <w:r w:rsidR="00286B0D">
              <w:rPr>
                <w:sz w:val="24"/>
                <w:szCs w:val="24"/>
              </w:rPr>
              <w:t>8</w:t>
            </w:r>
          </w:p>
        </w:tc>
      </w:tr>
      <w:tr w:rsidR="004E04DF" w14:paraId="61D7686F" w14:textId="77777777" w:rsidTr="00C32386">
        <w:tc>
          <w:tcPr>
            <w:tcW w:w="715" w:type="dxa"/>
          </w:tcPr>
          <w:p w14:paraId="26C98CE5" w14:textId="677A1EB3" w:rsidR="004E04DF" w:rsidRDefault="009F5855" w:rsidP="00CC1AC0">
            <w:pPr>
              <w:rPr>
                <w:sz w:val="24"/>
                <w:szCs w:val="24"/>
              </w:rPr>
            </w:pPr>
            <w:r>
              <w:rPr>
                <w:sz w:val="24"/>
                <w:szCs w:val="24"/>
              </w:rPr>
              <w:t>17</w:t>
            </w:r>
          </w:p>
        </w:tc>
        <w:tc>
          <w:tcPr>
            <w:tcW w:w="1350" w:type="dxa"/>
          </w:tcPr>
          <w:p w14:paraId="1D2EF8DF" w14:textId="77777777" w:rsidR="004E04DF" w:rsidRDefault="004E04DF" w:rsidP="00CC1AC0">
            <w:pPr>
              <w:rPr>
                <w:sz w:val="24"/>
                <w:szCs w:val="24"/>
              </w:rPr>
            </w:pPr>
            <w:r>
              <w:rPr>
                <w:sz w:val="24"/>
                <w:szCs w:val="24"/>
              </w:rPr>
              <w:t>Figure 3.6</w:t>
            </w:r>
          </w:p>
        </w:tc>
        <w:tc>
          <w:tcPr>
            <w:tcW w:w="6390" w:type="dxa"/>
          </w:tcPr>
          <w:p w14:paraId="2E0E4806" w14:textId="77777777" w:rsidR="004E04DF" w:rsidRPr="00D76E95" w:rsidRDefault="004E04DF" w:rsidP="00CC1AC0">
            <w:pPr>
              <w:rPr>
                <w:sz w:val="24"/>
                <w:szCs w:val="24"/>
              </w:rPr>
            </w:pPr>
            <w:r>
              <w:rPr>
                <w:sz w:val="24"/>
                <w:szCs w:val="24"/>
              </w:rPr>
              <w:t>A w</w:t>
            </w:r>
            <w:r w:rsidRPr="00D76E95">
              <w:rPr>
                <w:sz w:val="24"/>
                <w:szCs w:val="24"/>
              </w:rPr>
              <w:t>aveform comparison of DAS and nodal station 4006. T</w:t>
            </w:r>
            <w:r>
              <w:rPr>
                <w:sz w:val="24"/>
                <w:szCs w:val="24"/>
              </w:rPr>
              <w:t>he t</w:t>
            </w:r>
            <w:r w:rsidRPr="00D76E95">
              <w:rPr>
                <w:sz w:val="24"/>
                <w:szCs w:val="24"/>
              </w:rPr>
              <w:t xml:space="preserve">op is stack DAS, single DAS, and Node. </w:t>
            </w:r>
            <w:r>
              <w:rPr>
                <w:sz w:val="24"/>
                <w:szCs w:val="24"/>
              </w:rPr>
              <w:t>The b</w:t>
            </w:r>
            <w:r w:rsidRPr="00D76E95">
              <w:rPr>
                <w:sz w:val="24"/>
                <w:szCs w:val="24"/>
              </w:rPr>
              <w:t>ottom left is</w:t>
            </w:r>
            <w:r>
              <w:rPr>
                <w:sz w:val="24"/>
                <w:szCs w:val="24"/>
              </w:rPr>
              <w:t xml:space="preserve"> a</w:t>
            </w:r>
            <w:r w:rsidRPr="00D76E95">
              <w:rPr>
                <w:sz w:val="24"/>
                <w:szCs w:val="24"/>
              </w:rPr>
              <w:t xml:space="preserve"> car signal, </w:t>
            </w:r>
            <w:r>
              <w:rPr>
                <w:sz w:val="24"/>
                <w:szCs w:val="24"/>
              </w:rPr>
              <w:t xml:space="preserve">the </w:t>
            </w:r>
            <w:r w:rsidRPr="00D76E95">
              <w:rPr>
                <w:sz w:val="24"/>
                <w:szCs w:val="24"/>
              </w:rPr>
              <w:t xml:space="preserve">bottom middle is an earthquake, and </w:t>
            </w:r>
            <w:r>
              <w:rPr>
                <w:sz w:val="24"/>
                <w:szCs w:val="24"/>
              </w:rPr>
              <w:t xml:space="preserve">the </w:t>
            </w:r>
            <w:r w:rsidRPr="00D76E95">
              <w:rPr>
                <w:sz w:val="24"/>
                <w:szCs w:val="24"/>
              </w:rPr>
              <w:t>bottom right is averaged and smoothed signal spectrum.</w:t>
            </w:r>
          </w:p>
        </w:tc>
        <w:tc>
          <w:tcPr>
            <w:tcW w:w="895" w:type="dxa"/>
          </w:tcPr>
          <w:p w14:paraId="74EDCCD1" w14:textId="36C37EEC" w:rsidR="004E04DF" w:rsidRDefault="00A02534" w:rsidP="00CC1AC0">
            <w:pPr>
              <w:rPr>
                <w:sz w:val="24"/>
                <w:szCs w:val="24"/>
              </w:rPr>
            </w:pPr>
            <w:r>
              <w:rPr>
                <w:sz w:val="24"/>
                <w:szCs w:val="24"/>
              </w:rPr>
              <w:t>7</w:t>
            </w:r>
            <w:r w:rsidR="00286B0D">
              <w:rPr>
                <w:sz w:val="24"/>
                <w:szCs w:val="24"/>
              </w:rPr>
              <w:t>9</w:t>
            </w:r>
          </w:p>
        </w:tc>
      </w:tr>
      <w:tr w:rsidR="004E04DF" w14:paraId="6A602008" w14:textId="77777777" w:rsidTr="00C32386">
        <w:tc>
          <w:tcPr>
            <w:tcW w:w="715" w:type="dxa"/>
          </w:tcPr>
          <w:p w14:paraId="1FCE4391" w14:textId="6C05C70C" w:rsidR="004E04DF" w:rsidRDefault="009F5855" w:rsidP="00CC1AC0">
            <w:pPr>
              <w:rPr>
                <w:sz w:val="24"/>
                <w:szCs w:val="24"/>
              </w:rPr>
            </w:pPr>
            <w:r>
              <w:rPr>
                <w:sz w:val="24"/>
                <w:szCs w:val="24"/>
              </w:rPr>
              <w:t>18</w:t>
            </w:r>
          </w:p>
        </w:tc>
        <w:tc>
          <w:tcPr>
            <w:tcW w:w="1350" w:type="dxa"/>
          </w:tcPr>
          <w:p w14:paraId="4702D1F7" w14:textId="77777777" w:rsidR="004E04DF" w:rsidRPr="004F3816" w:rsidRDefault="004E04DF" w:rsidP="00CC1AC0">
            <w:pPr>
              <w:rPr>
                <w:sz w:val="24"/>
                <w:szCs w:val="24"/>
              </w:rPr>
            </w:pPr>
            <w:r w:rsidRPr="004F3816">
              <w:rPr>
                <w:sz w:val="24"/>
                <w:szCs w:val="24"/>
              </w:rPr>
              <w:t>Figure 3.7</w:t>
            </w:r>
          </w:p>
        </w:tc>
        <w:tc>
          <w:tcPr>
            <w:tcW w:w="6390" w:type="dxa"/>
          </w:tcPr>
          <w:p w14:paraId="523DC4B9" w14:textId="77777777" w:rsidR="004E04DF" w:rsidRPr="00D76E95" w:rsidRDefault="004E04DF" w:rsidP="00CC1AC0">
            <w:pPr>
              <w:rPr>
                <w:sz w:val="24"/>
                <w:szCs w:val="24"/>
              </w:rPr>
            </w:pPr>
            <w:r w:rsidRPr="00D76E95">
              <w:rPr>
                <w:sz w:val="24"/>
                <w:szCs w:val="24"/>
              </w:rPr>
              <w:t xml:space="preserve">A train detection sparse array highlighting sections of both consecutive triggered DAS channels and consecutive time windows with large amplitude signals. An example time series is shown to illustrate </w:t>
            </w:r>
            <w:r>
              <w:rPr>
                <w:sz w:val="24"/>
                <w:szCs w:val="24"/>
              </w:rPr>
              <w:t xml:space="preserve">a </w:t>
            </w:r>
            <w:r w:rsidRPr="00D76E95">
              <w:rPr>
                <w:sz w:val="24"/>
                <w:szCs w:val="24"/>
              </w:rPr>
              <w:t>single</w:t>
            </w:r>
            <w:r>
              <w:rPr>
                <w:sz w:val="24"/>
                <w:szCs w:val="24"/>
              </w:rPr>
              <w:t>-</w:t>
            </w:r>
            <w:r w:rsidRPr="00D76E95">
              <w:rPr>
                <w:sz w:val="24"/>
                <w:szCs w:val="24"/>
              </w:rPr>
              <w:t>channel train signal.</w:t>
            </w:r>
          </w:p>
        </w:tc>
        <w:tc>
          <w:tcPr>
            <w:tcW w:w="895" w:type="dxa"/>
          </w:tcPr>
          <w:p w14:paraId="26B0DECD" w14:textId="30550DF6" w:rsidR="004E04DF" w:rsidRDefault="00286B0D" w:rsidP="00CC1AC0">
            <w:pPr>
              <w:rPr>
                <w:sz w:val="24"/>
                <w:szCs w:val="24"/>
              </w:rPr>
            </w:pPr>
            <w:r>
              <w:rPr>
                <w:sz w:val="24"/>
                <w:szCs w:val="24"/>
              </w:rPr>
              <w:t>80</w:t>
            </w:r>
          </w:p>
        </w:tc>
      </w:tr>
      <w:tr w:rsidR="004E04DF" w14:paraId="76BE2961" w14:textId="77777777" w:rsidTr="00C32386">
        <w:tc>
          <w:tcPr>
            <w:tcW w:w="715" w:type="dxa"/>
          </w:tcPr>
          <w:p w14:paraId="04B9D0A4" w14:textId="64FC0E5A" w:rsidR="004E04DF" w:rsidRDefault="009F5855" w:rsidP="00CC1AC0">
            <w:pPr>
              <w:rPr>
                <w:sz w:val="24"/>
                <w:szCs w:val="24"/>
              </w:rPr>
            </w:pPr>
            <w:r>
              <w:rPr>
                <w:sz w:val="24"/>
                <w:szCs w:val="24"/>
              </w:rPr>
              <w:t>19</w:t>
            </w:r>
          </w:p>
        </w:tc>
        <w:tc>
          <w:tcPr>
            <w:tcW w:w="1350" w:type="dxa"/>
          </w:tcPr>
          <w:p w14:paraId="6785CF1C" w14:textId="77777777" w:rsidR="004E04DF" w:rsidRPr="004F3816" w:rsidRDefault="004E04DF" w:rsidP="004F3816">
            <w:pPr>
              <w:rPr>
                <w:sz w:val="24"/>
                <w:szCs w:val="24"/>
              </w:rPr>
            </w:pPr>
            <w:r w:rsidRPr="004F3816">
              <w:rPr>
                <w:sz w:val="24"/>
                <w:szCs w:val="24"/>
              </w:rPr>
              <w:t>Figure 3.8</w:t>
            </w:r>
          </w:p>
        </w:tc>
        <w:tc>
          <w:tcPr>
            <w:tcW w:w="6390" w:type="dxa"/>
          </w:tcPr>
          <w:p w14:paraId="13675378" w14:textId="77777777" w:rsidR="004E04DF" w:rsidRPr="00D76E95" w:rsidRDefault="004E04DF" w:rsidP="004F3816">
            <w:pPr>
              <w:pStyle w:val="Caption"/>
              <w:rPr>
                <w:i w:val="0"/>
                <w:iCs w:val="0"/>
                <w:color w:val="auto"/>
                <w:sz w:val="24"/>
                <w:szCs w:val="24"/>
              </w:rPr>
            </w:pPr>
            <w:r w:rsidRPr="00D76E95">
              <w:rPr>
                <w:i w:val="0"/>
                <w:iCs w:val="0"/>
                <w:color w:val="auto"/>
                <w:sz w:val="24"/>
                <w:szCs w:val="24"/>
              </w:rPr>
              <w:t xml:space="preserve">Example </w:t>
            </w:r>
            <w:proofErr w:type="spellStart"/>
            <w:r w:rsidRPr="00D76E95">
              <w:rPr>
                <w:i w:val="0"/>
                <w:iCs w:val="0"/>
                <w:color w:val="auto"/>
                <w:sz w:val="24"/>
                <w:szCs w:val="24"/>
              </w:rPr>
              <w:t>HVSRpy</w:t>
            </w:r>
            <w:proofErr w:type="spellEnd"/>
            <w:r w:rsidRPr="00D76E95">
              <w:rPr>
                <w:i w:val="0"/>
                <w:iCs w:val="0"/>
                <w:color w:val="auto"/>
                <w:sz w:val="24"/>
                <w:szCs w:val="24"/>
              </w:rPr>
              <w:t xml:space="preserve"> output for station 4006 where time series components and resultant HVSR curve are displayed. Spectral rejection (blue line) is shown here with improvement to standard deviation.</w:t>
            </w:r>
          </w:p>
        </w:tc>
        <w:tc>
          <w:tcPr>
            <w:tcW w:w="895" w:type="dxa"/>
          </w:tcPr>
          <w:p w14:paraId="7DF9E474" w14:textId="4D07BA6D" w:rsidR="004E04DF" w:rsidRDefault="00A02534" w:rsidP="00CC1AC0">
            <w:pPr>
              <w:rPr>
                <w:sz w:val="24"/>
                <w:szCs w:val="24"/>
              </w:rPr>
            </w:pPr>
            <w:r>
              <w:rPr>
                <w:sz w:val="24"/>
                <w:szCs w:val="24"/>
              </w:rPr>
              <w:t>8</w:t>
            </w:r>
            <w:r w:rsidR="00286B0D">
              <w:rPr>
                <w:sz w:val="24"/>
                <w:szCs w:val="24"/>
              </w:rPr>
              <w:t>1</w:t>
            </w:r>
          </w:p>
        </w:tc>
      </w:tr>
      <w:tr w:rsidR="004E04DF" w14:paraId="54E6167D" w14:textId="77777777" w:rsidTr="00C32386">
        <w:tc>
          <w:tcPr>
            <w:tcW w:w="715" w:type="dxa"/>
          </w:tcPr>
          <w:p w14:paraId="78465629" w14:textId="123F0C3E" w:rsidR="004E04DF" w:rsidRDefault="009F5855" w:rsidP="00CC1AC0">
            <w:pPr>
              <w:rPr>
                <w:sz w:val="24"/>
                <w:szCs w:val="24"/>
              </w:rPr>
            </w:pPr>
            <w:r>
              <w:rPr>
                <w:sz w:val="24"/>
                <w:szCs w:val="24"/>
              </w:rPr>
              <w:t>20</w:t>
            </w:r>
          </w:p>
        </w:tc>
        <w:tc>
          <w:tcPr>
            <w:tcW w:w="1350" w:type="dxa"/>
          </w:tcPr>
          <w:p w14:paraId="3D6460B3" w14:textId="77777777" w:rsidR="004E04DF" w:rsidRDefault="004E04DF" w:rsidP="00CC1AC0">
            <w:pPr>
              <w:rPr>
                <w:sz w:val="24"/>
                <w:szCs w:val="24"/>
              </w:rPr>
            </w:pPr>
            <w:r>
              <w:rPr>
                <w:sz w:val="24"/>
                <w:szCs w:val="24"/>
              </w:rPr>
              <w:t>Figure 3.9</w:t>
            </w:r>
          </w:p>
        </w:tc>
        <w:tc>
          <w:tcPr>
            <w:tcW w:w="6390" w:type="dxa"/>
          </w:tcPr>
          <w:p w14:paraId="4EDE8BF7" w14:textId="77777777" w:rsidR="004E04DF" w:rsidRPr="00306476" w:rsidRDefault="004E04DF" w:rsidP="00CC1AC0">
            <w:pPr>
              <w:rPr>
                <w:sz w:val="24"/>
                <w:szCs w:val="24"/>
              </w:rPr>
            </w:pPr>
            <w:r w:rsidRPr="00306476">
              <w:rPr>
                <w:sz w:val="24"/>
                <w:szCs w:val="24"/>
              </w:rPr>
              <w:t>Compilation of HVSR curves for all deployments between 2020 and 2021 as defined by color.</w:t>
            </w:r>
          </w:p>
        </w:tc>
        <w:tc>
          <w:tcPr>
            <w:tcW w:w="895" w:type="dxa"/>
          </w:tcPr>
          <w:p w14:paraId="4AAC73DF" w14:textId="4056A8E0" w:rsidR="004E04DF" w:rsidRDefault="00A02534" w:rsidP="00CC1AC0">
            <w:pPr>
              <w:rPr>
                <w:sz w:val="24"/>
                <w:szCs w:val="24"/>
              </w:rPr>
            </w:pPr>
            <w:r>
              <w:rPr>
                <w:sz w:val="24"/>
                <w:szCs w:val="24"/>
              </w:rPr>
              <w:t>8</w:t>
            </w:r>
            <w:r w:rsidR="00286B0D">
              <w:rPr>
                <w:sz w:val="24"/>
                <w:szCs w:val="24"/>
              </w:rPr>
              <w:t>2</w:t>
            </w:r>
          </w:p>
        </w:tc>
      </w:tr>
      <w:tr w:rsidR="004E04DF" w14:paraId="77EE2289" w14:textId="77777777" w:rsidTr="00C32386">
        <w:tc>
          <w:tcPr>
            <w:tcW w:w="715" w:type="dxa"/>
          </w:tcPr>
          <w:p w14:paraId="19F9A981" w14:textId="1827A7BD" w:rsidR="004E04DF" w:rsidRDefault="009F5855" w:rsidP="00CC1AC0">
            <w:pPr>
              <w:rPr>
                <w:sz w:val="24"/>
                <w:szCs w:val="24"/>
              </w:rPr>
            </w:pPr>
            <w:r>
              <w:rPr>
                <w:sz w:val="24"/>
                <w:szCs w:val="24"/>
              </w:rPr>
              <w:t>21</w:t>
            </w:r>
          </w:p>
        </w:tc>
        <w:tc>
          <w:tcPr>
            <w:tcW w:w="1350" w:type="dxa"/>
          </w:tcPr>
          <w:p w14:paraId="19E88984" w14:textId="77777777" w:rsidR="004E04DF" w:rsidRDefault="004E04DF" w:rsidP="00CC1AC0">
            <w:pPr>
              <w:rPr>
                <w:sz w:val="24"/>
                <w:szCs w:val="24"/>
              </w:rPr>
            </w:pPr>
            <w:r>
              <w:rPr>
                <w:sz w:val="24"/>
                <w:szCs w:val="24"/>
              </w:rPr>
              <w:t>Figure 3.10</w:t>
            </w:r>
          </w:p>
        </w:tc>
        <w:tc>
          <w:tcPr>
            <w:tcW w:w="6390" w:type="dxa"/>
          </w:tcPr>
          <w:p w14:paraId="08F043A8" w14:textId="77777777" w:rsidR="004E04DF" w:rsidRPr="00306476" w:rsidRDefault="004E04DF" w:rsidP="00CC1AC0">
            <w:pPr>
              <w:rPr>
                <w:sz w:val="24"/>
                <w:szCs w:val="24"/>
              </w:rPr>
            </w:pPr>
            <w:r w:rsidRPr="00306476">
              <w:rPr>
                <w:sz w:val="24"/>
                <w:szCs w:val="24"/>
              </w:rPr>
              <w:t xml:space="preserve">Interpreted geologic structure layers from forward modeling of the HVSR curves using an estimated velocity model to determine depth. </w:t>
            </w:r>
            <w:r>
              <w:rPr>
                <w:sz w:val="24"/>
                <w:szCs w:val="24"/>
              </w:rPr>
              <w:t>The e</w:t>
            </w:r>
            <w:r w:rsidRPr="00306476">
              <w:rPr>
                <w:sz w:val="24"/>
                <w:szCs w:val="24"/>
              </w:rPr>
              <w:t xml:space="preserve">stimated fundamental frequency interpreted depth is shown as a green line and secondary frequency peaks are used to generate deeper interpreted structures (black lines).  </w:t>
            </w:r>
          </w:p>
        </w:tc>
        <w:tc>
          <w:tcPr>
            <w:tcW w:w="895" w:type="dxa"/>
          </w:tcPr>
          <w:p w14:paraId="04602813" w14:textId="34A69980" w:rsidR="004E04DF" w:rsidRDefault="00A02534" w:rsidP="00CC1AC0">
            <w:pPr>
              <w:rPr>
                <w:sz w:val="24"/>
                <w:szCs w:val="24"/>
              </w:rPr>
            </w:pPr>
            <w:r>
              <w:rPr>
                <w:sz w:val="24"/>
                <w:szCs w:val="24"/>
              </w:rPr>
              <w:t>8</w:t>
            </w:r>
            <w:r w:rsidR="00286B0D">
              <w:rPr>
                <w:sz w:val="24"/>
                <w:szCs w:val="24"/>
              </w:rPr>
              <w:t>3</w:t>
            </w:r>
          </w:p>
        </w:tc>
      </w:tr>
      <w:tr w:rsidR="004E04DF" w14:paraId="2D75C467" w14:textId="77777777" w:rsidTr="00C32386">
        <w:tc>
          <w:tcPr>
            <w:tcW w:w="715" w:type="dxa"/>
          </w:tcPr>
          <w:p w14:paraId="05AFE679" w14:textId="43EE8F9C" w:rsidR="004E04DF" w:rsidRDefault="009F5855" w:rsidP="00CC1AC0">
            <w:pPr>
              <w:rPr>
                <w:sz w:val="24"/>
                <w:szCs w:val="24"/>
              </w:rPr>
            </w:pPr>
            <w:r>
              <w:rPr>
                <w:sz w:val="24"/>
                <w:szCs w:val="24"/>
              </w:rPr>
              <w:lastRenderedPageBreak/>
              <w:t>22</w:t>
            </w:r>
          </w:p>
        </w:tc>
        <w:tc>
          <w:tcPr>
            <w:tcW w:w="1350" w:type="dxa"/>
          </w:tcPr>
          <w:p w14:paraId="48295772" w14:textId="77777777" w:rsidR="004E04DF" w:rsidRDefault="004E04DF" w:rsidP="00CC1AC0">
            <w:pPr>
              <w:rPr>
                <w:sz w:val="24"/>
                <w:szCs w:val="24"/>
              </w:rPr>
            </w:pPr>
            <w:r>
              <w:rPr>
                <w:sz w:val="24"/>
                <w:szCs w:val="24"/>
              </w:rPr>
              <w:t>Figure 4.1</w:t>
            </w:r>
          </w:p>
        </w:tc>
        <w:tc>
          <w:tcPr>
            <w:tcW w:w="6390" w:type="dxa"/>
          </w:tcPr>
          <w:p w14:paraId="750C7FAF" w14:textId="77777777" w:rsidR="004E04DF" w:rsidRPr="00306476" w:rsidRDefault="004E04DF" w:rsidP="00CC1AC0">
            <w:pPr>
              <w:rPr>
                <w:sz w:val="24"/>
                <w:szCs w:val="24"/>
              </w:rPr>
            </w:pPr>
            <w:r w:rsidRPr="00306476">
              <w:rPr>
                <w:sz w:val="24"/>
                <w:szCs w:val="24"/>
              </w:rPr>
              <w:t xml:space="preserve">Local map in Grant County Oklahoma, Alfalfa County, and overview map showing </w:t>
            </w:r>
            <w:r>
              <w:rPr>
                <w:sz w:val="24"/>
                <w:szCs w:val="24"/>
              </w:rPr>
              <w:t xml:space="preserve">the </w:t>
            </w:r>
            <w:r w:rsidRPr="00306476">
              <w:rPr>
                <w:sz w:val="24"/>
                <w:szCs w:val="24"/>
              </w:rPr>
              <w:t>area of interest. geometry and individual stations are with triangles, neighboring wind turbine locations are depicted with red dots, and roads are shown in green lines.</w:t>
            </w:r>
          </w:p>
        </w:tc>
        <w:tc>
          <w:tcPr>
            <w:tcW w:w="895" w:type="dxa"/>
          </w:tcPr>
          <w:p w14:paraId="7B8B6384" w14:textId="34A602B9" w:rsidR="004E04DF" w:rsidRDefault="00A02534" w:rsidP="00CC1AC0">
            <w:pPr>
              <w:rPr>
                <w:sz w:val="24"/>
                <w:szCs w:val="24"/>
              </w:rPr>
            </w:pPr>
            <w:r>
              <w:rPr>
                <w:sz w:val="24"/>
                <w:szCs w:val="24"/>
              </w:rPr>
              <w:t>1</w:t>
            </w:r>
            <w:r w:rsidR="00286B0D">
              <w:rPr>
                <w:sz w:val="24"/>
                <w:szCs w:val="24"/>
              </w:rPr>
              <w:t>10</w:t>
            </w:r>
          </w:p>
        </w:tc>
      </w:tr>
      <w:tr w:rsidR="004E04DF" w14:paraId="53867001" w14:textId="77777777" w:rsidTr="00C32386">
        <w:tc>
          <w:tcPr>
            <w:tcW w:w="715" w:type="dxa"/>
          </w:tcPr>
          <w:p w14:paraId="19FC6A3A" w14:textId="2309C59B" w:rsidR="004E04DF" w:rsidRDefault="009F5855" w:rsidP="00CC1AC0">
            <w:pPr>
              <w:rPr>
                <w:sz w:val="24"/>
                <w:szCs w:val="24"/>
              </w:rPr>
            </w:pPr>
            <w:r>
              <w:rPr>
                <w:sz w:val="24"/>
                <w:szCs w:val="24"/>
              </w:rPr>
              <w:t>23</w:t>
            </w:r>
          </w:p>
        </w:tc>
        <w:tc>
          <w:tcPr>
            <w:tcW w:w="1350" w:type="dxa"/>
          </w:tcPr>
          <w:p w14:paraId="0383FF80" w14:textId="77777777" w:rsidR="004E04DF" w:rsidRDefault="004E04DF" w:rsidP="00CC1AC0">
            <w:pPr>
              <w:rPr>
                <w:sz w:val="24"/>
                <w:szCs w:val="24"/>
              </w:rPr>
            </w:pPr>
            <w:r>
              <w:rPr>
                <w:sz w:val="24"/>
                <w:szCs w:val="24"/>
              </w:rPr>
              <w:t>Figure 4.2</w:t>
            </w:r>
          </w:p>
        </w:tc>
        <w:tc>
          <w:tcPr>
            <w:tcW w:w="6390" w:type="dxa"/>
          </w:tcPr>
          <w:p w14:paraId="79ED8F76" w14:textId="77777777" w:rsidR="004E04DF" w:rsidRPr="00FA11EC" w:rsidRDefault="004E04DF" w:rsidP="00CC1AC0">
            <w:pPr>
              <w:rPr>
                <w:sz w:val="24"/>
                <w:szCs w:val="24"/>
              </w:rPr>
            </w:pPr>
            <w:r>
              <w:rPr>
                <w:sz w:val="24"/>
                <w:szCs w:val="24"/>
              </w:rPr>
              <w:t xml:space="preserve">A </w:t>
            </w:r>
            <w:r w:rsidRPr="00FA11EC">
              <w:rPr>
                <w:sz w:val="24"/>
                <w:szCs w:val="24"/>
              </w:rPr>
              <w:t>10</w:t>
            </w:r>
            <w:r>
              <w:rPr>
                <w:sz w:val="24"/>
                <w:szCs w:val="24"/>
              </w:rPr>
              <w:t>-</w:t>
            </w:r>
            <w:r w:rsidRPr="00FA11EC">
              <w:rPr>
                <w:sz w:val="24"/>
                <w:szCs w:val="24"/>
              </w:rPr>
              <w:t xml:space="preserve">second time series window of the Z component for Stations 1001 from </w:t>
            </w:r>
            <w:r>
              <w:rPr>
                <w:sz w:val="24"/>
                <w:szCs w:val="24"/>
              </w:rPr>
              <w:t xml:space="preserve">the </w:t>
            </w:r>
            <w:r w:rsidRPr="00FA11EC">
              <w:rPr>
                <w:sz w:val="24"/>
                <w:szCs w:val="24"/>
              </w:rPr>
              <w:t xml:space="preserve">Grant County array and </w:t>
            </w:r>
            <w:r>
              <w:rPr>
                <w:sz w:val="24"/>
                <w:szCs w:val="24"/>
              </w:rPr>
              <w:t>S</w:t>
            </w:r>
            <w:r w:rsidRPr="00FA11EC">
              <w:rPr>
                <w:sz w:val="24"/>
                <w:szCs w:val="24"/>
              </w:rPr>
              <w:t>tation 2012 from the Alfalfa County array. Two time periods are shown where Day time hour</w:t>
            </w:r>
            <w:r>
              <w:rPr>
                <w:sz w:val="24"/>
                <w:szCs w:val="24"/>
              </w:rPr>
              <w:t>s</w:t>
            </w:r>
            <w:r w:rsidRPr="00FA11EC">
              <w:rPr>
                <w:sz w:val="24"/>
                <w:szCs w:val="24"/>
              </w:rPr>
              <w:t xml:space="preserve"> </w:t>
            </w:r>
            <w:r>
              <w:rPr>
                <w:sz w:val="24"/>
                <w:szCs w:val="24"/>
              </w:rPr>
              <w:t xml:space="preserve">start </w:t>
            </w:r>
            <w:r w:rsidRPr="00FA11EC">
              <w:rPr>
                <w:sz w:val="24"/>
                <w:szCs w:val="24"/>
              </w:rPr>
              <w:t>at 7</w:t>
            </w:r>
            <w:r>
              <w:rPr>
                <w:sz w:val="24"/>
                <w:szCs w:val="24"/>
              </w:rPr>
              <w:t xml:space="preserve"> </w:t>
            </w:r>
            <w:r w:rsidRPr="00FA11EC">
              <w:rPr>
                <w:sz w:val="24"/>
                <w:szCs w:val="24"/>
              </w:rPr>
              <w:t>pm and nighttime</w:t>
            </w:r>
            <w:r>
              <w:rPr>
                <w:sz w:val="24"/>
                <w:szCs w:val="24"/>
              </w:rPr>
              <w:t xml:space="preserve"> starts</w:t>
            </w:r>
            <w:r w:rsidRPr="00FA11EC">
              <w:rPr>
                <w:sz w:val="24"/>
                <w:szCs w:val="24"/>
              </w:rPr>
              <w:t xml:space="preserve"> at 2</w:t>
            </w:r>
            <w:r>
              <w:rPr>
                <w:sz w:val="24"/>
                <w:szCs w:val="24"/>
              </w:rPr>
              <w:t xml:space="preserve"> </w:t>
            </w:r>
            <w:r w:rsidRPr="00FA11EC">
              <w:rPr>
                <w:sz w:val="24"/>
                <w:szCs w:val="24"/>
              </w:rPr>
              <w:t>am CST. Note the different y-axis in the bottom left figure.</w:t>
            </w:r>
          </w:p>
        </w:tc>
        <w:tc>
          <w:tcPr>
            <w:tcW w:w="895" w:type="dxa"/>
          </w:tcPr>
          <w:p w14:paraId="29A5AA63" w14:textId="61DA1DC1" w:rsidR="004E04DF" w:rsidRDefault="00A02534" w:rsidP="00CC1AC0">
            <w:pPr>
              <w:rPr>
                <w:sz w:val="24"/>
                <w:szCs w:val="24"/>
              </w:rPr>
            </w:pPr>
            <w:r>
              <w:rPr>
                <w:sz w:val="24"/>
                <w:szCs w:val="24"/>
              </w:rPr>
              <w:t>11</w:t>
            </w:r>
            <w:r w:rsidR="00286B0D">
              <w:rPr>
                <w:sz w:val="24"/>
                <w:szCs w:val="24"/>
              </w:rPr>
              <w:t>1</w:t>
            </w:r>
          </w:p>
        </w:tc>
      </w:tr>
      <w:tr w:rsidR="004E04DF" w14:paraId="4AD452F6" w14:textId="77777777" w:rsidTr="00C32386">
        <w:tc>
          <w:tcPr>
            <w:tcW w:w="715" w:type="dxa"/>
          </w:tcPr>
          <w:p w14:paraId="6783C09C" w14:textId="5C77FFF3" w:rsidR="004E04DF" w:rsidRDefault="009F5855" w:rsidP="00CC1AC0">
            <w:pPr>
              <w:rPr>
                <w:sz w:val="24"/>
                <w:szCs w:val="24"/>
              </w:rPr>
            </w:pPr>
            <w:r>
              <w:rPr>
                <w:sz w:val="24"/>
                <w:szCs w:val="24"/>
              </w:rPr>
              <w:t>24</w:t>
            </w:r>
          </w:p>
        </w:tc>
        <w:tc>
          <w:tcPr>
            <w:tcW w:w="1350" w:type="dxa"/>
          </w:tcPr>
          <w:p w14:paraId="4481103D" w14:textId="77777777" w:rsidR="004E04DF" w:rsidRDefault="004E04DF" w:rsidP="00CC1AC0">
            <w:pPr>
              <w:rPr>
                <w:sz w:val="24"/>
                <w:szCs w:val="24"/>
              </w:rPr>
            </w:pPr>
            <w:r>
              <w:rPr>
                <w:sz w:val="24"/>
                <w:szCs w:val="24"/>
              </w:rPr>
              <w:t>Figure 4.3</w:t>
            </w:r>
          </w:p>
        </w:tc>
        <w:tc>
          <w:tcPr>
            <w:tcW w:w="6390" w:type="dxa"/>
          </w:tcPr>
          <w:p w14:paraId="2658DFC2" w14:textId="490D5C0B" w:rsidR="004E04DF" w:rsidRPr="00FA11EC" w:rsidRDefault="00CC01A4" w:rsidP="00CC1AC0">
            <w:pPr>
              <w:rPr>
                <w:sz w:val="24"/>
                <w:szCs w:val="24"/>
              </w:rPr>
            </w:pPr>
            <w:r>
              <w:rPr>
                <w:sz w:val="24"/>
                <w:szCs w:val="24"/>
              </w:rPr>
              <w:t>North component p</w:t>
            </w:r>
            <w:r w:rsidR="004E04DF" w:rsidRPr="00FA11EC">
              <w:rPr>
                <w:sz w:val="24"/>
                <w:szCs w:val="24"/>
              </w:rPr>
              <w:t>ower spectrum of each nodal station in Grant County. Significant peak frequencies of interest are identified. Nodal station 1008 is furthest from the cluster of turbines.</w:t>
            </w:r>
          </w:p>
        </w:tc>
        <w:tc>
          <w:tcPr>
            <w:tcW w:w="895" w:type="dxa"/>
          </w:tcPr>
          <w:p w14:paraId="3A8CE906" w14:textId="2E92D24B" w:rsidR="004E04DF" w:rsidRDefault="00A02534" w:rsidP="00CC1AC0">
            <w:pPr>
              <w:rPr>
                <w:sz w:val="24"/>
                <w:szCs w:val="24"/>
              </w:rPr>
            </w:pPr>
            <w:r>
              <w:rPr>
                <w:sz w:val="24"/>
                <w:szCs w:val="24"/>
              </w:rPr>
              <w:t>11</w:t>
            </w:r>
            <w:r w:rsidR="00286B0D">
              <w:rPr>
                <w:sz w:val="24"/>
                <w:szCs w:val="24"/>
              </w:rPr>
              <w:t>2</w:t>
            </w:r>
          </w:p>
        </w:tc>
      </w:tr>
      <w:tr w:rsidR="004E04DF" w14:paraId="644E2A2E" w14:textId="77777777" w:rsidTr="00C32386">
        <w:tc>
          <w:tcPr>
            <w:tcW w:w="715" w:type="dxa"/>
          </w:tcPr>
          <w:p w14:paraId="4E7F81A8" w14:textId="298807A5" w:rsidR="004E04DF" w:rsidRDefault="009F5855" w:rsidP="00CC1AC0">
            <w:pPr>
              <w:rPr>
                <w:sz w:val="24"/>
                <w:szCs w:val="24"/>
              </w:rPr>
            </w:pPr>
            <w:r>
              <w:rPr>
                <w:sz w:val="24"/>
                <w:szCs w:val="24"/>
              </w:rPr>
              <w:t>25</w:t>
            </w:r>
          </w:p>
        </w:tc>
        <w:tc>
          <w:tcPr>
            <w:tcW w:w="1350" w:type="dxa"/>
          </w:tcPr>
          <w:p w14:paraId="0C9DDF27" w14:textId="77777777" w:rsidR="004E04DF" w:rsidRDefault="004E04DF" w:rsidP="00CC1AC0">
            <w:pPr>
              <w:rPr>
                <w:sz w:val="24"/>
                <w:szCs w:val="24"/>
              </w:rPr>
            </w:pPr>
            <w:r>
              <w:rPr>
                <w:sz w:val="24"/>
                <w:szCs w:val="24"/>
              </w:rPr>
              <w:t>Figure 4.4</w:t>
            </w:r>
          </w:p>
        </w:tc>
        <w:tc>
          <w:tcPr>
            <w:tcW w:w="6390" w:type="dxa"/>
          </w:tcPr>
          <w:p w14:paraId="1F869BD5" w14:textId="77777777" w:rsidR="004E04DF" w:rsidRPr="00306476" w:rsidRDefault="004E04DF" w:rsidP="00CC1AC0">
            <w:pPr>
              <w:rPr>
                <w:sz w:val="24"/>
                <w:szCs w:val="24"/>
              </w:rPr>
            </w:pPr>
            <w:r w:rsidRPr="00306476">
              <w:rPr>
                <w:sz w:val="24"/>
                <w:szCs w:val="24"/>
              </w:rPr>
              <w:t xml:space="preserve">Correlation plots of Station 1001 according to pass band frequencies expressed in power log amplitudes. </w:t>
            </w:r>
            <w:proofErr w:type="spellStart"/>
            <w:r w:rsidRPr="00306476">
              <w:rPr>
                <w:sz w:val="24"/>
                <w:szCs w:val="24"/>
              </w:rPr>
              <w:t>Mesonet</w:t>
            </w:r>
            <w:proofErr w:type="spellEnd"/>
            <w:r w:rsidRPr="00306476">
              <w:rPr>
                <w:sz w:val="24"/>
                <w:szCs w:val="24"/>
              </w:rPr>
              <w:t xml:space="preserve"> station MEDF temperature, wind direction, and wind speed data</w:t>
            </w:r>
            <w:r>
              <w:rPr>
                <w:sz w:val="24"/>
                <w:szCs w:val="24"/>
              </w:rPr>
              <w:t xml:space="preserve"> are</w:t>
            </w:r>
            <w:r w:rsidRPr="00306476">
              <w:rPr>
                <w:sz w:val="24"/>
                <w:szCs w:val="24"/>
              </w:rPr>
              <w:t xml:space="preserve"> used for this comparison. T</w:t>
            </w:r>
            <w:r>
              <w:rPr>
                <w:sz w:val="24"/>
                <w:szCs w:val="24"/>
              </w:rPr>
              <w:t>he t</w:t>
            </w:r>
            <w:r w:rsidRPr="00306476">
              <w:rPr>
                <w:sz w:val="24"/>
                <w:szCs w:val="24"/>
              </w:rPr>
              <w:t xml:space="preserve">op row is temperature, </w:t>
            </w:r>
            <w:r>
              <w:rPr>
                <w:sz w:val="24"/>
                <w:szCs w:val="24"/>
              </w:rPr>
              <w:t xml:space="preserve">the </w:t>
            </w:r>
            <w:r w:rsidRPr="00306476">
              <w:rPr>
                <w:sz w:val="24"/>
                <w:szCs w:val="24"/>
              </w:rPr>
              <w:t>center row i</w:t>
            </w:r>
            <w:r>
              <w:rPr>
                <w:sz w:val="24"/>
                <w:szCs w:val="24"/>
              </w:rPr>
              <w:t>s</w:t>
            </w:r>
            <w:r w:rsidRPr="00306476">
              <w:rPr>
                <w:sz w:val="24"/>
                <w:szCs w:val="24"/>
              </w:rPr>
              <w:t xml:space="preserve"> Wind direction with color showing wind speed, and </w:t>
            </w:r>
            <w:r>
              <w:rPr>
                <w:sz w:val="24"/>
                <w:szCs w:val="24"/>
              </w:rPr>
              <w:t xml:space="preserve">the </w:t>
            </w:r>
            <w:r w:rsidRPr="00306476">
              <w:rPr>
                <w:sz w:val="24"/>
                <w:szCs w:val="24"/>
              </w:rPr>
              <w:t>bottom row is wind speed with color showing wind direction. Color bars on the right show wind speed and wind direction.</w:t>
            </w:r>
          </w:p>
        </w:tc>
        <w:tc>
          <w:tcPr>
            <w:tcW w:w="895" w:type="dxa"/>
          </w:tcPr>
          <w:p w14:paraId="0A150ADB" w14:textId="272181FB" w:rsidR="004E04DF" w:rsidRDefault="00A02534" w:rsidP="00CC1AC0">
            <w:pPr>
              <w:rPr>
                <w:sz w:val="24"/>
                <w:szCs w:val="24"/>
              </w:rPr>
            </w:pPr>
            <w:r>
              <w:rPr>
                <w:sz w:val="24"/>
                <w:szCs w:val="24"/>
              </w:rPr>
              <w:t>11</w:t>
            </w:r>
            <w:r w:rsidR="00286B0D">
              <w:rPr>
                <w:sz w:val="24"/>
                <w:szCs w:val="24"/>
              </w:rPr>
              <w:t>3</w:t>
            </w:r>
          </w:p>
        </w:tc>
      </w:tr>
      <w:tr w:rsidR="004E04DF" w14:paraId="5045AE7B" w14:textId="77777777" w:rsidTr="00C32386">
        <w:tc>
          <w:tcPr>
            <w:tcW w:w="715" w:type="dxa"/>
          </w:tcPr>
          <w:p w14:paraId="25B51083" w14:textId="13083E48" w:rsidR="004E04DF" w:rsidRDefault="009F5855" w:rsidP="00CC1AC0">
            <w:pPr>
              <w:rPr>
                <w:sz w:val="24"/>
                <w:szCs w:val="24"/>
              </w:rPr>
            </w:pPr>
            <w:r>
              <w:rPr>
                <w:sz w:val="24"/>
                <w:szCs w:val="24"/>
              </w:rPr>
              <w:t>26</w:t>
            </w:r>
          </w:p>
        </w:tc>
        <w:tc>
          <w:tcPr>
            <w:tcW w:w="1350" w:type="dxa"/>
          </w:tcPr>
          <w:p w14:paraId="2E473759" w14:textId="77777777" w:rsidR="004E04DF" w:rsidRDefault="004E04DF" w:rsidP="00CC1AC0">
            <w:pPr>
              <w:rPr>
                <w:sz w:val="24"/>
                <w:szCs w:val="24"/>
              </w:rPr>
            </w:pPr>
            <w:r>
              <w:rPr>
                <w:sz w:val="24"/>
                <w:szCs w:val="24"/>
              </w:rPr>
              <w:t>Figure 4.5</w:t>
            </w:r>
          </w:p>
        </w:tc>
        <w:tc>
          <w:tcPr>
            <w:tcW w:w="6390" w:type="dxa"/>
          </w:tcPr>
          <w:p w14:paraId="7D232F4A" w14:textId="77777777" w:rsidR="004E04DF" w:rsidRPr="00306476" w:rsidRDefault="004E04DF" w:rsidP="00CC1AC0">
            <w:pPr>
              <w:rPr>
                <w:sz w:val="24"/>
                <w:szCs w:val="24"/>
              </w:rPr>
            </w:pPr>
            <w:r w:rsidRPr="00306476">
              <w:rPr>
                <w:sz w:val="24"/>
                <w:szCs w:val="24"/>
              </w:rPr>
              <w:t>Average power spectrum of each component for all stations in both arrays. Spectral curves show differences in day, night, windy, non-windy, and total average.</w:t>
            </w:r>
          </w:p>
        </w:tc>
        <w:tc>
          <w:tcPr>
            <w:tcW w:w="895" w:type="dxa"/>
          </w:tcPr>
          <w:p w14:paraId="49DA218B" w14:textId="2C8D1364" w:rsidR="004E04DF" w:rsidRDefault="00316679" w:rsidP="00CC1AC0">
            <w:pPr>
              <w:rPr>
                <w:sz w:val="24"/>
                <w:szCs w:val="24"/>
              </w:rPr>
            </w:pPr>
            <w:r>
              <w:rPr>
                <w:sz w:val="24"/>
                <w:szCs w:val="24"/>
              </w:rPr>
              <w:t>11</w:t>
            </w:r>
            <w:r w:rsidR="00286B0D">
              <w:rPr>
                <w:sz w:val="24"/>
                <w:szCs w:val="24"/>
              </w:rPr>
              <w:t>4</w:t>
            </w:r>
          </w:p>
        </w:tc>
      </w:tr>
      <w:tr w:rsidR="004E04DF" w14:paraId="02E9B5B2" w14:textId="77777777" w:rsidTr="00C32386">
        <w:tc>
          <w:tcPr>
            <w:tcW w:w="715" w:type="dxa"/>
          </w:tcPr>
          <w:p w14:paraId="1C438E7C" w14:textId="113E23FB" w:rsidR="004E04DF" w:rsidRDefault="009F5855" w:rsidP="00CC1AC0">
            <w:pPr>
              <w:rPr>
                <w:sz w:val="24"/>
                <w:szCs w:val="24"/>
              </w:rPr>
            </w:pPr>
            <w:r>
              <w:rPr>
                <w:sz w:val="24"/>
                <w:szCs w:val="24"/>
              </w:rPr>
              <w:t>27</w:t>
            </w:r>
          </w:p>
        </w:tc>
        <w:tc>
          <w:tcPr>
            <w:tcW w:w="1350" w:type="dxa"/>
          </w:tcPr>
          <w:p w14:paraId="66BDF0CE" w14:textId="77777777" w:rsidR="004E04DF" w:rsidRDefault="004E04DF" w:rsidP="00CC1AC0">
            <w:pPr>
              <w:rPr>
                <w:sz w:val="24"/>
                <w:szCs w:val="24"/>
              </w:rPr>
            </w:pPr>
            <w:r>
              <w:rPr>
                <w:sz w:val="24"/>
                <w:szCs w:val="24"/>
              </w:rPr>
              <w:t>Figure 4.6</w:t>
            </w:r>
          </w:p>
        </w:tc>
        <w:tc>
          <w:tcPr>
            <w:tcW w:w="6390" w:type="dxa"/>
          </w:tcPr>
          <w:p w14:paraId="1FCBECCC" w14:textId="77777777" w:rsidR="004E04DF" w:rsidRPr="00306476" w:rsidRDefault="004E04DF" w:rsidP="00CC1AC0">
            <w:pPr>
              <w:rPr>
                <w:sz w:val="24"/>
                <w:szCs w:val="24"/>
              </w:rPr>
            </w:pPr>
            <w:r w:rsidRPr="00306476">
              <w:rPr>
                <w:sz w:val="24"/>
                <w:szCs w:val="24"/>
              </w:rPr>
              <w:t>Amplitude spectrum median average noise per station listed by distance from the nearest wind turbine. A squared polynomial best</w:t>
            </w:r>
            <w:r>
              <w:rPr>
                <w:sz w:val="24"/>
                <w:szCs w:val="24"/>
              </w:rPr>
              <w:t>-</w:t>
            </w:r>
            <w:r w:rsidRPr="00306476">
              <w:rPr>
                <w:sz w:val="24"/>
                <w:szCs w:val="24"/>
              </w:rPr>
              <w:t>fit line is used to approximate a spatial signal strength decay.</w:t>
            </w:r>
          </w:p>
        </w:tc>
        <w:tc>
          <w:tcPr>
            <w:tcW w:w="895" w:type="dxa"/>
          </w:tcPr>
          <w:p w14:paraId="6D481F67" w14:textId="62188AD0" w:rsidR="004E04DF" w:rsidRDefault="00316679" w:rsidP="00CC1AC0">
            <w:pPr>
              <w:rPr>
                <w:sz w:val="24"/>
                <w:szCs w:val="24"/>
              </w:rPr>
            </w:pPr>
            <w:r>
              <w:rPr>
                <w:sz w:val="24"/>
                <w:szCs w:val="24"/>
              </w:rPr>
              <w:t>11</w:t>
            </w:r>
            <w:r w:rsidR="00286B0D">
              <w:rPr>
                <w:sz w:val="24"/>
                <w:szCs w:val="24"/>
              </w:rPr>
              <w:t>5</w:t>
            </w:r>
          </w:p>
        </w:tc>
      </w:tr>
      <w:tr w:rsidR="004E04DF" w14:paraId="4CC6C9CD" w14:textId="77777777" w:rsidTr="00C32386">
        <w:tc>
          <w:tcPr>
            <w:tcW w:w="715" w:type="dxa"/>
          </w:tcPr>
          <w:p w14:paraId="5AEC2A21" w14:textId="50A6E70B" w:rsidR="004E04DF" w:rsidRDefault="009F5855" w:rsidP="00CC1AC0">
            <w:pPr>
              <w:rPr>
                <w:sz w:val="24"/>
                <w:szCs w:val="24"/>
              </w:rPr>
            </w:pPr>
            <w:r>
              <w:rPr>
                <w:sz w:val="24"/>
                <w:szCs w:val="24"/>
              </w:rPr>
              <w:t>28</w:t>
            </w:r>
          </w:p>
        </w:tc>
        <w:tc>
          <w:tcPr>
            <w:tcW w:w="1350" w:type="dxa"/>
          </w:tcPr>
          <w:p w14:paraId="3119243C" w14:textId="77777777" w:rsidR="004E04DF" w:rsidRDefault="004E04DF" w:rsidP="00CC1AC0">
            <w:pPr>
              <w:rPr>
                <w:sz w:val="24"/>
                <w:szCs w:val="24"/>
              </w:rPr>
            </w:pPr>
            <w:r>
              <w:rPr>
                <w:sz w:val="24"/>
                <w:szCs w:val="24"/>
              </w:rPr>
              <w:t>Figure 4.7</w:t>
            </w:r>
          </w:p>
        </w:tc>
        <w:tc>
          <w:tcPr>
            <w:tcW w:w="6390" w:type="dxa"/>
          </w:tcPr>
          <w:p w14:paraId="2C8FE006" w14:textId="77777777" w:rsidR="004E04DF" w:rsidRPr="00306476" w:rsidRDefault="004E04DF" w:rsidP="005F684B">
            <w:pPr>
              <w:pStyle w:val="Caption"/>
              <w:rPr>
                <w:rFonts w:ascii="Times New Roman" w:eastAsia="Times New Roman" w:hAnsi="Times New Roman" w:cs="Times New Roman"/>
                <w:i w:val="0"/>
                <w:iCs w:val="0"/>
                <w:color w:val="auto"/>
                <w:sz w:val="24"/>
                <w:szCs w:val="24"/>
                <w:lang w:eastAsia="ja-JP"/>
              </w:rPr>
            </w:pPr>
            <w:r w:rsidRPr="00306476">
              <w:rPr>
                <w:i w:val="0"/>
                <w:iCs w:val="0"/>
                <w:color w:val="auto"/>
                <w:sz w:val="24"/>
                <w:szCs w:val="24"/>
              </w:rPr>
              <w:t xml:space="preserve">HVSR results for day 353 at hour 12 from using </w:t>
            </w:r>
            <w:proofErr w:type="spellStart"/>
            <w:r w:rsidRPr="00306476">
              <w:rPr>
                <w:i w:val="0"/>
                <w:iCs w:val="0"/>
                <w:color w:val="auto"/>
                <w:sz w:val="24"/>
                <w:szCs w:val="24"/>
              </w:rPr>
              <w:t>HVSRpy</w:t>
            </w:r>
            <w:proofErr w:type="spellEnd"/>
            <w:r w:rsidRPr="00306476">
              <w:rPr>
                <w:i w:val="0"/>
                <w:iCs w:val="0"/>
                <w:color w:val="auto"/>
                <w:sz w:val="24"/>
                <w:szCs w:val="24"/>
              </w:rPr>
              <w:t xml:space="preserve">. Spectral rejection is shown to improve HVSR peak frequency selection and standard deviation. </w:t>
            </w:r>
          </w:p>
        </w:tc>
        <w:tc>
          <w:tcPr>
            <w:tcW w:w="895" w:type="dxa"/>
          </w:tcPr>
          <w:p w14:paraId="269211EF" w14:textId="1DF29597" w:rsidR="004E04DF" w:rsidRDefault="00316679" w:rsidP="00CC1AC0">
            <w:pPr>
              <w:rPr>
                <w:sz w:val="24"/>
                <w:szCs w:val="24"/>
              </w:rPr>
            </w:pPr>
            <w:r>
              <w:rPr>
                <w:sz w:val="24"/>
                <w:szCs w:val="24"/>
              </w:rPr>
              <w:t>11</w:t>
            </w:r>
            <w:r w:rsidR="00286B0D">
              <w:rPr>
                <w:sz w:val="24"/>
                <w:szCs w:val="24"/>
              </w:rPr>
              <w:t>6</w:t>
            </w:r>
          </w:p>
        </w:tc>
      </w:tr>
      <w:tr w:rsidR="004E04DF" w14:paraId="6735A7A6" w14:textId="77777777" w:rsidTr="00C32386">
        <w:tc>
          <w:tcPr>
            <w:tcW w:w="715" w:type="dxa"/>
          </w:tcPr>
          <w:p w14:paraId="01389E5C" w14:textId="629AB749" w:rsidR="004E04DF" w:rsidRDefault="009F5855" w:rsidP="00CC1AC0">
            <w:pPr>
              <w:rPr>
                <w:sz w:val="24"/>
                <w:szCs w:val="24"/>
              </w:rPr>
            </w:pPr>
            <w:r>
              <w:rPr>
                <w:sz w:val="24"/>
                <w:szCs w:val="24"/>
              </w:rPr>
              <w:t>29</w:t>
            </w:r>
          </w:p>
        </w:tc>
        <w:tc>
          <w:tcPr>
            <w:tcW w:w="1350" w:type="dxa"/>
          </w:tcPr>
          <w:p w14:paraId="741FDD93" w14:textId="77777777" w:rsidR="004E04DF" w:rsidRDefault="004E04DF" w:rsidP="00CC1AC0">
            <w:pPr>
              <w:rPr>
                <w:sz w:val="24"/>
                <w:szCs w:val="24"/>
              </w:rPr>
            </w:pPr>
            <w:r>
              <w:rPr>
                <w:sz w:val="24"/>
                <w:szCs w:val="24"/>
              </w:rPr>
              <w:t>Figure 4.8</w:t>
            </w:r>
          </w:p>
        </w:tc>
        <w:tc>
          <w:tcPr>
            <w:tcW w:w="6390" w:type="dxa"/>
          </w:tcPr>
          <w:p w14:paraId="05844C6A" w14:textId="77777777" w:rsidR="004E04DF" w:rsidRPr="00306476" w:rsidRDefault="004E04DF" w:rsidP="009E4722">
            <w:pPr>
              <w:pStyle w:val="Caption"/>
              <w:jc w:val="both"/>
              <w:rPr>
                <w:b/>
                <w:i w:val="0"/>
                <w:iCs w:val="0"/>
                <w:color w:val="auto"/>
                <w:sz w:val="24"/>
                <w:szCs w:val="24"/>
              </w:rPr>
            </w:pPr>
            <w:r w:rsidRPr="00306476">
              <w:rPr>
                <w:i w:val="0"/>
                <w:iCs w:val="0"/>
                <w:color w:val="auto"/>
                <w:sz w:val="24"/>
                <w:szCs w:val="24"/>
              </w:rPr>
              <w:t xml:space="preserve">Ambient seismic wave propagation directivity from frequency bands within 0 - 50 Hz and broadband cross coherence for station pairs. </w:t>
            </w:r>
            <w:r>
              <w:rPr>
                <w:i w:val="0"/>
                <w:iCs w:val="0"/>
                <w:color w:val="auto"/>
                <w:sz w:val="24"/>
                <w:szCs w:val="24"/>
              </w:rPr>
              <w:t>The s</w:t>
            </w:r>
            <w:r w:rsidRPr="00306476">
              <w:rPr>
                <w:i w:val="0"/>
                <w:iCs w:val="0"/>
                <w:color w:val="auto"/>
                <w:sz w:val="24"/>
                <w:szCs w:val="24"/>
              </w:rPr>
              <w:t xml:space="preserve">eismic wave source is shown in yellow compared to the direction of travel increasing in green tint. </w:t>
            </w:r>
          </w:p>
        </w:tc>
        <w:tc>
          <w:tcPr>
            <w:tcW w:w="895" w:type="dxa"/>
          </w:tcPr>
          <w:p w14:paraId="3F742ED6" w14:textId="7D93FBE4" w:rsidR="004E04DF" w:rsidRDefault="00316679" w:rsidP="00CC1AC0">
            <w:pPr>
              <w:rPr>
                <w:sz w:val="24"/>
                <w:szCs w:val="24"/>
              </w:rPr>
            </w:pPr>
            <w:r>
              <w:rPr>
                <w:sz w:val="24"/>
                <w:szCs w:val="24"/>
              </w:rPr>
              <w:t>11</w:t>
            </w:r>
            <w:r w:rsidR="00286B0D">
              <w:rPr>
                <w:sz w:val="24"/>
                <w:szCs w:val="24"/>
              </w:rPr>
              <w:t>7</w:t>
            </w:r>
          </w:p>
        </w:tc>
      </w:tr>
      <w:tr w:rsidR="004E04DF" w14:paraId="5D4D235E" w14:textId="77777777" w:rsidTr="00C32386">
        <w:tc>
          <w:tcPr>
            <w:tcW w:w="715" w:type="dxa"/>
          </w:tcPr>
          <w:p w14:paraId="106D7854" w14:textId="7FCA56D3" w:rsidR="004E04DF" w:rsidRDefault="009F5855" w:rsidP="00CC1AC0">
            <w:pPr>
              <w:rPr>
                <w:sz w:val="24"/>
                <w:szCs w:val="24"/>
              </w:rPr>
            </w:pPr>
            <w:r>
              <w:rPr>
                <w:sz w:val="24"/>
                <w:szCs w:val="24"/>
              </w:rPr>
              <w:t>30</w:t>
            </w:r>
          </w:p>
        </w:tc>
        <w:tc>
          <w:tcPr>
            <w:tcW w:w="1350" w:type="dxa"/>
          </w:tcPr>
          <w:p w14:paraId="52ADED01" w14:textId="77777777" w:rsidR="004E04DF" w:rsidRDefault="004E04DF" w:rsidP="00CC1AC0">
            <w:pPr>
              <w:rPr>
                <w:sz w:val="24"/>
                <w:szCs w:val="24"/>
              </w:rPr>
            </w:pPr>
            <w:r>
              <w:rPr>
                <w:sz w:val="24"/>
                <w:szCs w:val="24"/>
              </w:rPr>
              <w:t>Figure 4.9</w:t>
            </w:r>
          </w:p>
        </w:tc>
        <w:tc>
          <w:tcPr>
            <w:tcW w:w="6390" w:type="dxa"/>
          </w:tcPr>
          <w:p w14:paraId="756A2BEE" w14:textId="77777777" w:rsidR="004E04DF" w:rsidRPr="00306476" w:rsidRDefault="004E04DF" w:rsidP="00CC1AC0">
            <w:pPr>
              <w:rPr>
                <w:sz w:val="24"/>
                <w:szCs w:val="24"/>
              </w:rPr>
            </w:pPr>
            <w:r w:rsidRPr="00306476">
              <w:rPr>
                <w:sz w:val="24"/>
                <w:szCs w:val="24"/>
              </w:rPr>
              <w:t>Average HVSR spectral curve between both Grant County and Alfalfa County. Differences in day, night, low wind, and high wind periods are insignificant for the HVSR method.</w:t>
            </w:r>
          </w:p>
        </w:tc>
        <w:tc>
          <w:tcPr>
            <w:tcW w:w="895" w:type="dxa"/>
          </w:tcPr>
          <w:p w14:paraId="0524513C" w14:textId="18234CE6" w:rsidR="004E04DF" w:rsidRDefault="00316679" w:rsidP="00CC1AC0">
            <w:pPr>
              <w:rPr>
                <w:sz w:val="24"/>
                <w:szCs w:val="24"/>
              </w:rPr>
            </w:pPr>
            <w:r>
              <w:rPr>
                <w:sz w:val="24"/>
                <w:szCs w:val="24"/>
              </w:rPr>
              <w:t>11</w:t>
            </w:r>
            <w:r w:rsidR="00286B0D">
              <w:rPr>
                <w:sz w:val="24"/>
                <w:szCs w:val="24"/>
              </w:rPr>
              <w:t>8</w:t>
            </w:r>
          </w:p>
        </w:tc>
      </w:tr>
    </w:tbl>
    <w:p w14:paraId="7352AC4E" w14:textId="77777777" w:rsidR="004E04DF" w:rsidRPr="00CC1AC0" w:rsidRDefault="004E04DF" w:rsidP="006A5754">
      <w:pPr>
        <w:rPr>
          <w:sz w:val="24"/>
          <w:szCs w:val="24"/>
        </w:rPr>
      </w:pPr>
    </w:p>
    <w:p w14:paraId="1D2FB89E" w14:textId="77777777" w:rsidR="004D134E" w:rsidRPr="00945EE1" w:rsidRDefault="004D134E" w:rsidP="00C7369F">
      <w:pPr>
        <w:jc w:val="center"/>
        <w:rPr>
          <w:sz w:val="24"/>
          <w:szCs w:val="24"/>
        </w:rPr>
      </w:pPr>
    </w:p>
    <w:p w14:paraId="719AE301" w14:textId="5E039F10" w:rsidR="00EB70C9" w:rsidRPr="00945EE1" w:rsidRDefault="00EB70C9" w:rsidP="00C7369F">
      <w:pPr>
        <w:jc w:val="center"/>
        <w:rPr>
          <w:sz w:val="24"/>
          <w:szCs w:val="24"/>
        </w:rPr>
      </w:pPr>
    </w:p>
    <w:p w14:paraId="4426B8EA" w14:textId="77777777" w:rsidR="004E04DF" w:rsidRPr="003715DD" w:rsidRDefault="004E04DF" w:rsidP="003715DD">
      <w:pPr>
        <w:spacing w:line="480" w:lineRule="auto"/>
        <w:rPr>
          <w:b/>
          <w:bCs/>
          <w:sz w:val="24"/>
          <w:szCs w:val="24"/>
        </w:rPr>
      </w:pPr>
      <w:r w:rsidRPr="003715DD">
        <w:rPr>
          <w:b/>
          <w:bCs/>
          <w:sz w:val="24"/>
          <w:szCs w:val="24"/>
        </w:rPr>
        <w:t>Acknowledgment</w:t>
      </w:r>
    </w:p>
    <w:p w14:paraId="1C90BE94" w14:textId="77777777" w:rsidR="004E04DF" w:rsidRPr="003715DD" w:rsidRDefault="004E04DF" w:rsidP="003715DD">
      <w:pPr>
        <w:spacing w:line="480" w:lineRule="auto"/>
        <w:ind w:firstLine="720"/>
        <w:rPr>
          <w:sz w:val="24"/>
          <w:szCs w:val="24"/>
        </w:rPr>
      </w:pPr>
      <w:r w:rsidRPr="003715DD">
        <w:rPr>
          <w:sz w:val="24"/>
          <w:szCs w:val="24"/>
        </w:rPr>
        <w:t xml:space="preserve">“Never give up!” are words I have </w:t>
      </w:r>
      <w:r>
        <w:rPr>
          <w:sz w:val="24"/>
          <w:szCs w:val="24"/>
        </w:rPr>
        <w:t xml:space="preserve">taped </w:t>
      </w:r>
      <w:r w:rsidRPr="003715DD">
        <w:rPr>
          <w:sz w:val="24"/>
          <w:szCs w:val="24"/>
        </w:rPr>
        <w:t>on my apartment wall and looked at every day since the start of my doctoral journey. I was transplanted away from family and familiarity in pursuit of the knowledge and growth I knew I would obtain at the University of Oklahoma. Where I had a void in</w:t>
      </w:r>
      <w:r>
        <w:rPr>
          <w:sz w:val="24"/>
          <w:szCs w:val="24"/>
        </w:rPr>
        <w:t xml:space="preserve"> my</w:t>
      </w:r>
      <w:r w:rsidRPr="003715DD">
        <w:rPr>
          <w:sz w:val="24"/>
          <w:szCs w:val="24"/>
        </w:rPr>
        <w:t xml:space="preserve"> family, I managed to find and meet amazing individuals who encouraged and shared meals with me. My feelings of unfamiliarity were replaced with new experiences and perspective</w:t>
      </w:r>
      <w:r>
        <w:rPr>
          <w:sz w:val="24"/>
          <w:szCs w:val="24"/>
        </w:rPr>
        <w:t>s</w:t>
      </w:r>
      <w:r w:rsidRPr="003715DD">
        <w:rPr>
          <w:sz w:val="24"/>
          <w:szCs w:val="24"/>
        </w:rPr>
        <w:t xml:space="preserve"> of others, allowing me to further my personal growth. I am not sure I would have been able to complete my journey without those I have met and connected with along the way. I would like to express my deepest gratitude to those individuals.</w:t>
      </w:r>
    </w:p>
    <w:p w14:paraId="77EBF7DF" w14:textId="77777777" w:rsidR="004E04DF" w:rsidRPr="003715DD" w:rsidRDefault="004E04DF" w:rsidP="003715DD">
      <w:pPr>
        <w:spacing w:line="480" w:lineRule="auto"/>
        <w:ind w:firstLine="720"/>
        <w:rPr>
          <w:sz w:val="24"/>
          <w:szCs w:val="24"/>
        </w:rPr>
      </w:pPr>
      <w:r w:rsidRPr="003715DD">
        <w:rPr>
          <w:sz w:val="24"/>
          <w:szCs w:val="24"/>
        </w:rPr>
        <w:t xml:space="preserve">First and foremost, I would like to thank my advisor, Dr. Nori Nakata, for being the first in </w:t>
      </w:r>
      <w:proofErr w:type="gramStart"/>
      <w:r w:rsidRPr="003715DD">
        <w:rPr>
          <w:sz w:val="24"/>
          <w:szCs w:val="24"/>
        </w:rPr>
        <w:t>the line</w:t>
      </w:r>
      <w:proofErr w:type="gramEnd"/>
      <w:r w:rsidRPr="003715DD">
        <w:rPr>
          <w:sz w:val="24"/>
          <w:szCs w:val="24"/>
        </w:rPr>
        <w:t xml:space="preserve"> to believe in my abilities and accept me as his Ph</w:t>
      </w:r>
      <w:r>
        <w:rPr>
          <w:sz w:val="24"/>
          <w:szCs w:val="24"/>
        </w:rPr>
        <w:t>.</w:t>
      </w:r>
      <w:r w:rsidRPr="003715DD">
        <w:rPr>
          <w:sz w:val="24"/>
          <w:szCs w:val="24"/>
        </w:rPr>
        <w:t>D</w:t>
      </w:r>
      <w:r>
        <w:rPr>
          <w:sz w:val="24"/>
          <w:szCs w:val="24"/>
        </w:rPr>
        <w:t>.</w:t>
      </w:r>
      <w:r w:rsidRPr="003715DD">
        <w:rPr>
          <w:sz w:val="24"/>
          <w:szCs w:val="24"/>
        </w:rPr>
        <w:t xml:space="preserve"> student. His patience and encouragement in the early years of my program allowed me to initiate and develop my technical skills with coding. I’m not sure if I will ever be as great of a programmer as he is, but I will continue honing my skills for many years to come. Working with him, I was able to travel and explore many parts of Oklahoma where we battled boiling fierce heat, brutal cold temperatures, a barrage of insects, and seasonal allergies on many field deployments. His guidance helped me establish a baseline foundation where I am comfortable continuing my journey. </w:t>
      </w:r>
    </w:p>
    <w:p w14:paraId="32912A7C" w14:textId="77777777" w:rsidR="004E04DF" w:rsidRPr="003715DD" w:rsidRDefault="004E04DF" w:rsidP="003715DD">
      <w:pPr>
        <w:spacing w:line="480" w:lineRule="auto"/>
        <w:ind w:firstLine="720"/>
        <w:rPr>
          <w:sz w:val="24"/>
          <w:szCs w:val="24"/>
        </w:rPr>
      </w:pPr>
      <w:r w:rsidRPr="003715DD">
        <w:rPr>
          <w:sz w:val="24"/>
          <w:szCs w:val="24"/>
        </w:rPr>
        <w:t xml:space="preserve">To Dr. Xiaowei Chen, who co-advised me and kept me focused on my research projects during the last 3 years. Multitasking projects are always </w:t>
      </w:r>
      <w:proofErr w:type="gramStart"/>
      <w:r w:rsidRPr="003715DD">
        <w:rPr>
          <w:sz w:val="24"/>
          <w:szCs w:val="24"/>
        </w:rPr>
        <w:t>challenging</w:t>
      </w:r>
      <w:proofErr w:type="gramEnd"/>
      <w:r w:rsidRPr="003715DD">
        <w:rPr>
          <w:sz w:val="24"/>
          <w:szCs w:val="24"/>
        </w:rPr>
        <w:t xml:space="preserve"> and she seemed to be able </w:t>
      </w:r>
      <w:r w:rsidRPr="003715DD">
        <w:rPr>
          <w:sz w:val="24"/>
          <w:szCs w:val="24"/>
        </w:rPr>
        <w:lastRenderedPageBreak/>
        <w:t xml:space="preserve">to handle such tasks with grace and poise that it would appear mythical to me. Try as I might, I would struggle significantly with juggling multiple projects. I would like to thank Dr. Chen for having patience with me as I consistently fumbled my way through toward the end of my journey. I would especially like to express my thanks for bringing me with her for a sabbatical to the Seismological Laboratory at Caltech where we worked with distributed acoustic sensing. I am very grateful for the opportunity to have worked closely with such an emerging technology at one of the most prestigious research institutions in the country. </w:t>
      </w:r>
    </w:p>
    <w:p w14:paraId="0617B649" w14:textId="77777777" w:rsidR="004E04DF" w:rsidRPr="003715DD" w:rsidRDefault="004E04DF" w:rsidP="003715DD">
      <w:pPr>
        <w:spacing w:line="480" w:lineRule="auto"/>
        <w:ind w:firstLine="720"/>
        <w:rPr>
          <w:sz w:val="24"/>
          <w:szCs w:val="24"/>
        </w:rPr>
      </w:pPr>
      <w:r w:rsidRPr="003715DD">
        <w:rPr>
          <w:sz w:val="24"/>
          <w:szCs w:val="24"/>
        </w:rPr>
        <w:t xml:space="preserve">I would like to thank Dr. Jacob I. Walter, who accepted the impromptu role of </w:t>
      </w:r>
      <w:r>
        <w:rPr>
          <w:sz w:val="24"/>
          <w:szCs w:val="24"/>
        </w:rPr>
        <w:t xml:space="preserve">the </w:t>
      </w:r>
      <w:r w:rsidRPr="003715DD">
        <w:rPr>
          <w:sz w:val="24"/>
          <w:szCs w:val="24"/>
        </w:rPr>
        <w:t xml:space="preserve">committee chair. Under his advisement, collaboration, and management, I can finalize my work and combine </w:t>
      </w:r>
      <w:proofErr w:type="gramStart"/>
      <w:r w:rsidRPr="003715DD">
        <w:rPr>
          <w:sz w:val="24"/>
          <w:szCs w:val="24"/>
        </w:rPr>
        <w:t>them</w:t>
      </w:r>
      <w:proofErr w:type="gramEnd"/>
      <w:r w:rsidRPr="003715DD">
        <w:rPr>
          <w:sz w:val="24"/>
          <w:szCs w:val="24"/>
        </w:rPr>
        <w:t xml:space="preserve"> into what I can only hope is a worthy dissertation. His patience and encouragement echoed “Never give up!” to me.</w:t>
      </w:r>
    </w:p>
    <w:p w14:paraId="56B8BCD3" w14:textId="77777777" w:rsidR="004E04DF" w:rsidRPr="003715DD" w:rsidRDefault="004E04DF" w:rsidP="003715DD">
      <w:pPr>
        <w:spacing w:line="480" w:lineRule="auto"/>
        <w:ind w:firstLine="720"/>
        <w:rPr>
          <w:sz w:val="24"/>
          <w:szCs w:val="24"/>
        </w:rPr>
      </w:pPr>
      <w:r w:rsidRPr="003715DD">
        <w:rPr>
          <w:sz w:val="24"/>
          <w:szCs w:val="24"/>
        </w:rPr>
        <w:t xml:space="preserve">My sincere thanks to my committee members – Dr. Brett M. Carpenter, Dr. </w:t>
      </w:r>
      <w:proofErr w:type="spellStart"/>
      <w:r w:rsidRPr="003715DD">
        <w:rPr>
          <w:sz w:val="24"/>
          <w:szCs w:val="24"/>
        </w:rPr>
        <w:t>Xingru</w:t>
      </w:r>
      <w:proofErr w:type="spellEnd"/>
      <w:r w:rsidRPr="003715DD">
        <w:rPr>
          <w:sz w:val="24"/>
          <w:szCs w:val="24"/>
        </w:rPr>
        <w:t xml:space="preserve"> Wu, and Dr. </w:t>
      </w:r>
      <w:proofErr w:type="spellStart"/>
      <w:r w:rsidRPr="003715DD">
        <w:rPr>
          <w:sz w:val="24"/>
          <w:szCs w:val="24"/>
        </w:rPr>
        <w:t>Junle</w:t>
      </w:r>
      <w:proofErr w:type="spellEnd"/>
      <w:r w:rsidRPr="003715DD">
        <w:rPr>
          <w:sz w:val="24"/>
          <w:szCs w:val="24"/>
        </w:rPr>
        <w:t xml:space="preserve"> Jiang for their support in my endeavor and valuable feedback on improving this dissertation. I would like to extend my thanks to the school of geosciences staff – Dr. Gerilyn S. </w:t>
      </w:r>
      <w:proofErr w:type="spellStart"/>
      <w:r w:rsidRPr="003715DD">
        <w:rPr>
          <w:sz w:val="24"/>
          <w:szCs w:val="24"/>
        </w:rPr>
        <w:t>Soreghan</w:t>
      </w:r>
      <w:proofErr w:type="spellEnd"/>
      <w:r w:rsidRPr="003715DD">
        <w:rPr>
          <w:sz w:val="24"/>
          <w:szCs w:val="24"/>
        </w:rPr>
        <w:t xml:space="preserve">, Dr. Shannon Dulin, Dr. Michael H. Engel, Leah Moser, Rebecca Fay, Gail Holloway, Ginger Leivas, Ashley Tullius, Robert L. Turner, and Stephen Holloway for their assistance throughout my doctoral program and enthusiastic lunchtime company, banter, and shenanigans. </w:t>
      </w:r>
    </w:p>
    <w:p w14:paraId="0830CE3C" w14:textId="77777777" w:rsidR="004E04DF" w:rsidRPr="003715DD" w:rsidRDefault="004E04DF" w:rsidP="003715DD">
      <w:pPr>
        <w:spacing w:line="480" w:lineRule="auto"/>
        <w:ind w:firstLine="720"/>
        <w:rPr>
          <w:sz w:val="24"/>
          <w:szCs w:val="24"/>
        </w:rPr>
      </w:pPr>
      <w:r w:rsidRPr="003715DD">
        <w:rPr>
          <w:sz w:val="24"/>
          <w:szCs w:val="24"/>
        </w:rPr>
        <w:t xml:space="preserve">I am grateful to the friends I have made in OU – Pranshu, Deepankar, </w:t>
      </w:r>
      <w:proofErr w:type="spellStart"/>
      <w:r w:rsidRPr="003715DD">
        <w:rPr>
          <w:sz w:val="24"/>
          <w:szCs w:val="24"/>
        </w:rPr>
        <w:t>Zhuobo</w:t>
      </w:r>
      <w:proofErr w:type="spellEnd"/>
      <w:r w:rsidRPr="003715DD">
        <w:rPr>
          <w:sz w:val="24"/>
          <w:szCs w:val="24"/>
        </w:rPr>
        <w:t xml:space="preserve">, Yan, Collin, Alex, </w:t>
      </w:r>
      <w:proofErr w:type="spellStart"/>
      <w:r w:rsidRPr="003715DD">
        <w:rPr>
          <w:sz w:val="24"/>
          <w:szCs w:val="24"/>
        </w:rPr>
        <w:t>Peiyao</w:t>
      </w:r>
      <w:proofErr w:type="spellEnd"/>
      <w:r w:rsidRPr="003715DD">
        <w:rPr>
          <w:sz w:val="24"/>
          <w:szCs w:val="24"/>
        </w:rPr>
        <w:t xml:space="preserve">, </w:t>
      </w:r>
      <w:proofErr w:type="spellStart"/>
      <w:r w:rsidRPr="003715DD">
        <w:rPr>
          <w:sz w:val="24"/>
          <w:szCs w:val="24"/>
        </w:rPr>
        <w:t>Jiewen</w:t>
      </w:r>
      <w:proofErr w:type="spellEnd"/>
      <w:r w:rsidRPr="003715DD">
        <w:rPr>
          <w:sz w:val="24"/>
          <w:szCs w:val="24"/>
        </w:rPr>
        <w:t xml:space="preserve">, </w:t>
      </w:r>
      <w:proofErr w:type="spellStart"/>
      <w:r w:rsidRPr="003715DD">
        <w:rPr>
          <w:sz w:val="24"/>
          <w:szCs w:val="24"/>
        </w:rPr>
        <w:t>Jianhang</w:t>
      </w:r>
      <w:proofErr w:type="spellEnd"/>
      <w:r w:rsidRPr="003715DD">
        <w:rPr>
          <w:sz w:val="24"/>
          <w:szCs w:val="24"/>
        </w:rPr>
        <w:t xml:space="preserve">, Marlena, Sophia, Julian, Roberto, Murphy, Mario, Laura, Diana, Pamela, Emily, and others for being wonderful confidants and for keeping </w:t>
      </w:r>
      <w:r>
        <w:rPr>
          <w:sz w:val="24"/>
          <w:szCs w:val="24"/>
        </w:rPr>
        <w:t xml:space="preserve">the </w:t>
      </w:r>
      <w:proofErr w:type="gramStart"/>
      <w:r w:rsidRPr="003715DD">
        <w:rPr>
          <w:sz w:val="24"/>
          <w:szCs w:val="24"/>
        </w:rPr>
        <w:t>day to day</w:t>
      </w:r>
      <w:proofErr w:type="gramEnd"/>
      <w:r w:rsidRPr="003715DD">
        <w:rPr>
          <w:sz w:val="24"/>
          <w:szCs w:val="24"/>
        </w:rPr>
        <w:t xml:space="preserve"> life fun </w:t>
      </w:r>
      <w:r w:rsidRPr="003715DD">
        <w:rPr>
          <w:sz w:val="24"/>
          <w:szCs w:val="24"/>
        </w:rPr>
        <w:lastRenderedPageBreak/>
        <w:t xml:space="preserve">and interesting. Finally, I want to give my deepest gratitude to my family for their unconditional support in </w:t>
      </w:r>
      <w:proofErr w:type="gramStart"/>
      <w:r w:rsidRPr="003715DD">
        <w:rPr>
          <w:sz w:val="24"/>
          <w:szCs w:val="24"/>
        </w:rPr>
        <w:t>all of</w:t>
      </w:r>
      <w:proofErr w:type="gramEnd"/>
      <w:r w:rsidRPr="003715DD">
        <w:rPr>
          <w:sz w:val="24"/>
          <w:szCs w:val="24"/>
        </w:rPr>
        <w:t xml:space="preserve"> my life’s pursuits.</w:t>
      </w:r>
    </w:p>
    <w:p w14:paraId="536496A2" w14:textId="77777777" w:rsidR="004E04DF" w:rsidRPr="003715DD" w:rsidRDefault="004E04DF" w:rsidP="003715DD">
      <w:pPr>
        <w:spacing w:line="480" w:lineRule="auto"/>
        <w:ind w:firstLine="720"/>
        <w:rPr>
          <w:sz w:val="24"/>
          <w:szCs w:val="24"/>
        </w:rPr>
      </w:pPr>
      <w:r w:rsidRPr="003715DD">
        <w:rPr>
          <w:sz w:val="24"/>
          <w:szCs w:val="24"/>
        </w:rPr>
        <w:t xml:space="preserve">I knew the path toward success would be riddled with arduous twists and turns, oftentimes being </w:t>
      </w:r>
      <w:proofErr w:type="gramStart"/>
      <w:r w:rsidRPr="003715DD">
        <w:rPr>
          <w:sz w:val="24"/>
          <w:szCs w:val="24"/>
        </w:rPr>
        <w:t>lost</w:t>
      </w:r>
      <w:proofErr w:type="gramEnd"/>
      <w:r w:rsidRPr="003715DD">
        <w:rPr>
          <w:sz w:val="24"/>
          <w:szCs w:val="24"/>
        </w:rPr>
        <w:t xml:space="preserve"> or having to backtrack and start over. It certainly was not a simple feat arriving to where I am today without the care and support </w:t>
      </w:r>
      <w:r>
        <w:rPr>
          <w:sz w:val="24"/>
          <w:szCs w:val="24"/>
        </w:rPr>
        <w:t>of</w:t>
      </w:r>
      <w:r w:rsidRPr="003715DD">
        <w:rPr>
          <w:sz w:val="24"/>
          <w:szCs w:val="24"/>
        </w:rPr>
        <w:t xml:space="preserve"> others because they made “Never give up!” that </w:t>
      </w:r>
      <w:proofErr w:type="gramStart"/>
      <w:r w:rsidRPr="003715DD">
        <w:rPr>
          <w:sz w:val="24"/>
          <w:szCs w:val="24"/>
        </w:rPr>
        <w:t>much</w:t>
      </w:r>
      <w:proofErr w:type="gramEnd"/>
      <w:r w:rsidRPr="003715DD">
        <w:rPr>
          <w:sz w:val="24"/>
          <w:szCs w:val="24"/>
        </w:rPr>
        <w:t xml:space="preserve"> easier maintain. </w:t>
      </w:r>
    </w:p>
    <w:p w14:paraId="1722443D" w14:textId="77777777" w:rsidR="004E04DF" w:rsidRDefault="004E04DF" w:rsidP="004E04DF">
      <w:pPr>
        <w:jc w:val="center"/>
        <w:rPr>
          <w:sz w:val="24"/>
          <w:szCs w:val="24"/>
        </w:rPr>
      </w:pPr>
    </w:p>
    <w:p w14:paraId="49D463AA" w14:textId="77777777" w:rsidR="004E04DF" w:rsidRDefault="004E04DF" w:rsidP="004E04DF">
      <w:pPr>
        <w:jc w:val="center"/>
        <w:rPr>
          <w:sz w:val="24"/>
          <w:szCs w:val="24"/>
        </w:rPr>
      </w:pPr>
    </w:p>
    <w:p w14:paraId="4CBBA46A" w14:textId="77777777" w:rsidR="004E04DF" w:rsidRDefault="004E04DF" w:rsidP="004E04DF">
      <w:pPr>
        <w:jc w:val="center"/>
        <w:rPr>
          <w:sz w:val="24"/>
          <w:szCs w:val="24"/>
        </w:rPr>
      </w:pPr>
    </w:p>
    <w:p w14:paraId="5C0DF5AD" w14:textId="77777777" w:rsidR="004E04DF" w:rsidRDefault="004E04DF" w:rsidP="004E04DF">
      <w:pPr>
        <w:jc w:val="center"/>
        <w:rPr>
          <w:sz w:val="24"/>
          <w:szCs w:val="24"/>
        </w:rPr>
      </w:pPr>
    </w:p>
    <w:p w14:paraId="19C7F8FE" w14:textId="77777777" w:rsidR="004E04DF" w:rsidRDefault="004E04DF" w:rsidP="004E04DF">
      <w:pPr>
        <w:jc w:val="center"/>
        <w:rPr>
          <w:sz w:val="24"/>
          <w:szCs w:val="24"/>
        </w:rPr>
      </w:pPr>
    </w:p>
    <w:p w14:paraId="6D8967B6" w14:textId="77777777" w:rsidR="004E04DF" w:rsidRDefault="004E04DF" w:rsidP="004E04DF">
      <w:pPr>
        <w:jc w:val="center"/>
        <w:rPr>
          <w:sz w:val="24"/>
          <w:szCs w:val="24"/>
        </w:rPr>
      </w:pPr>
    </w:p>
    <w:p w14:paraId="3E676466" w14:textId="77777777" w:rsidR="004E04DF" w:rsidRDefault="004E04DF" w:rsidP="004E04DF">
      <w:pPr>
        <w:jc w:val="center"/>
        <w:rPr>
          <w:sz w:val="24"/>
          <w:szCs w:val="24"/>
        </w:rPr>
      </w:pPr>
    </w:p>
    <w:p w14:paraId="0FEB3296" w14:textId="77777777" w:rsidR="004E04DF" w:rsidRDefault="004E04DF" w:rsidP="004E04DF">
      <w:pPr>
        <w:jc w:val="center"/>
        <w:rPr>
          <w:sz w:val="24"/>
          <w:szCs w:val="24"/>
        </w:rPr>
      </w:pPr>
    </w:p>
    <w:p w14:paraId="1F898A4C" w14:textId="77777777" w:rsidR="004E04DF" w:rsidRDefault="004E04DF" w:rsidP="004E04DF">
      <w:pPr>
        <w:jc w:val="center"/>
        <w:rPr>
          <w:sz w:val="24"/>
          <w:szCs w:val="24"/>
        </w:rPr>
      </w:pPr>
    </w:p>
    <w:p w14:paraId="4B4D64D3" w14:textId="77777777" w:rsidR="004E04DF" w:rsidRDefault="004E04DF" w:rsidP="004E04DF">
      <w:pPr>
        <w:jc w:val="center"/>
        <w:rPr>
          <w:sz w:val="24"/>
          <w:szCs w:val="24"/>
        </w:rPr>
      </w:pPr>
    </w:p>
    <w:p w14:paraId="7588EE98" w14:textId="77777777" w:rsidR="004E04DF" w:rsidRDefault="004E04DF" w:rsidP="004E04DF">
      <w:pPr>
        <w:jc w:val="center"/>
        <w:rPr>
          <w:sz w:val="24"/>
          <w:szCs w:val="24"/>
        </w:rPr>
      </w:pPr>
    </w:p>
    <w:p w14:paraId="372A3DA4" w14:textId="77777777" w:rsidR="004E04DF" w:rsidRDefault="004E04DF" w:rsidP="004E04DF">
      <w:pPr>
        <w:jc w:val="center"/>
        <w:rPr>
          <w:sz w:val="24"/>
          <w:szCs w:val="24"/>
        </w:rPr>
      </w:pPr>
    </w:p>
    <w:p w14:paraId="053399C9" w14:textId="77777777" w:rsidR="004E04DF" w:rsidRDefault="004E04DF" w:rsidP="004E04DF">
      <w:pPr>
        <w:jc w:val="center"/>
        <w:rPr>
          <w:sz w:val="24"/>
          <w:szCs w:val="24"/>
        </w:rPr>
      </w:pPr>
    </w:p>
    <w:p w14:paraId="26FF3F95" w14:textId="77777777" w:rsidR="004E04DF" w:rsidRDefault="004E04DF" w:rsidP="004E04DF">
      <w:pPr>
        <w:jc w:val="center"/>
        <w:rPr>
          <w:sz w:val="24"/>
          <w:szCs w:val="24"/>
        </w:rPr>
      </w:pPr>
    </w:p>
    <w:p w14:paraId="3C1D9F1C" w14:textId="77777777" w:rsidR="004E04DF" w:rsidRDefault="004E04DF" w:rsidP="004E04DF">
      <w:pPr>
        <w:jc w:val="center"/>
        <w:rPr>
          <w:sz w:val="24"/>
          <w:szCs w:val="24"/>
        </w:rPr>
      </w:pPr>
    </w:p>
    <w:p w14:paraId="2891EFF3" w14:textId="77777777" w:rsidR="004E04DF" w:rsidRDefault="004E04DF" w:rsidP="004E04DF">
      <w:pPr>
        <w:jc w:val="center"/>
        <w:rPr>
          <w:sz w:val="24"/>
          <w:szCs w:val="24"/>
        </w:rPr>
      </w:pPr>
    </w:p>
    <w:p w14:paraId="2FC708BE" w14:textId="77777777" w:rsidR="004E04DF" w:rsidRDefault="004E04DF" w:rsidP="004E04DF">
      <w:pPr>
        <w:jc w:val="center"/>
        <w:rPr>
          <w:sz w:val="24"/>
          <w:szCs w:val="24"/>
        </w:rPr>
      </w:pPr>
    </w:p>
    <w:p w14:paraId="06620649" w14:textId="77777777" w:rsidR="004E04DF" w:rsidRDefault="004E04DF" w:rsidP="004E04DF">
      <w:pPr>
        <w:jc w:val="center"/>
        <w:rPr>
          <w:sz w:val="24"/>
          <w:szCs w:val="24"/>
        </w:rPr>
      </w:pPr>
    </w:p>
    <w:p w14:paraId="4F51CCF6" w14:textId="77777777" w:rsidR="004E04DF" w:rsidRDefault="004E04DF" w:rsidP="004E04DF">
      <w:pPr>
        <w:jc w:val="center"/>
        <w:rPr>
          <w:sz w:val="24"/>
          <w:szCs w:val="24"/>
        </w:rPr>
      </w:pPr>
    </w:p>
    <w:p w14:paraId="3FD07A29" w14:textId="77777777" w:rsidR="004E04DF" w:rsidRDefault="004E04DF" w:rsidP="004E04DF">
      <w:pPr>
        <w:jc w:val="center"/>
        <w:rPr>
          <w:sz w:val="24"/>
          <w:szCs w:val="24"/>
        </w:rPr>
      </w:pPr>
    </w:p>
    <w:p w14:paraId="5CF6D758" w14:textId="77777777" w:rsidR="004E04DF" w:rsidRPr="004E4DE4" w:rsidRDefault="004E04DF" w:rsidP="004E4DE4">
      <w:pPr>
        <w:spacing w:line="480" w:lineRule="auto"/>
        <w:rPr>
          <w:b/>
          <w:bCs/>
          <w:sz w:val="24"/>
          <w:szCs w:val="24"/>
        </w:rPr>
      </w:pPr>
      <w:r w:rsidRPr="004E4DE4">
        <w:rPr>
          <w:b/>
          <w:bCs/>
          <w:sz w:val="24"/>
          <w:szCs w:val="24"/>
        </w:rPr>
        <w:t>Abstract of the dissertation</w:t>
      </w:r>
    </w:p>
    <w:p w14:paraId="04B043E8" w14:textId="77777777" w:rsidR="004E04DF" w:rsidRPr="004E4DE4" w:rsidRDefault="004E04DF" w:rsidP="004E4DE4">
      <w:pPr>
        <w:spacing w:line="480" w:lineRule="auto"/>
        <w:ind w:firstLine="720"/>
        <w:rPr>
          <w:sz w:val="24"/>
          <w:szCs w:val="24"/>
        </w:rPr>
      </w:pPr>
      <w:r w:rsidRPr="004E4DE4">
        <w:rPr>
          <w:sz w:val="24"/>
          <w:szCs w:val="24"/>
        </w:rPr>
        <w:t xml:space="preserve">A geoscientist yearns to learn more about the subsurface and one way of characterizing the subsurface is through active seismic methods which utilize a local source to initiate a strong waveform (e.g., explosives, </w:t>
      </w:r>
      <w:proofErr w:type="spellStart"/>
      <w:r w:rsidRPr="004E4DE4">
        <w:rPr>
          <w:sz w:val="24"/>
          <w:szCs w:val="24"/>
        </w:rPr>
        <w:t>vibroseis</w:t>
      </w:r>
      <w:proofErr w:type="spellEnd"/>
      <w:r w:rsidRPr="004E4DE4">
        <w:rPr>
          <w:sz w:val="24"/>
          <w:szCs w:val="24"/>
        </w:rPr>
        <w:t xml:space="preserve">, sledgehammer). However, active sources are generally costly to operate, </w:t>
      </w:r>
      <w:r>
        <w:rPr>
          <w:sz w:val="24"/>
          <w:szCs w:val="24"/>
        </w:rPr>
        <w:t xml:space="preserve">and </w:t>
      </w:r>
      <w:r w:rsidRPr="004E4DE4">
        <w:rPr>
          <w:sz w:val="24"/>
          <w:szCs w:val="24"/>
        </w:rPr>
        <w:t>logistically complicated since, depending on location, they require approval from an authorizing body, a</w:t>
      </w:r>
      <w:r>
        <w:rPr>
          <w:sz w:val="24"/>
          <w:szCs w:val="24"/>
        </w:rPr>
        <w:t>nd are</w:t>
      </w:r>
      <w:r w:rsidRPr="004E4DE4">
        <w:rPr>
          <w:sz w:val="24"/>
          <w:szCs w:val="24"/>
        </w:rPr>
        <w:t xml:space="preserve"> very intrusive and disturbing to the environment. Alternatively, passive seismic methods are preferred due to their low cost, ease of instrument deployment, and low environmental impact. Passive seismic is not without its caveats. Passive seismic relies on the surrounding ambient seismic noise for measurements, which can be influenced by local noise sources (e.g., vehicles, strong wind), effectively lowering</w:t>
      </w:r>
      <w:r>
        <w:rPr>
          <w:sz w:val="24"/>
          <w:szCs w:val="24"/>
        </w:rPr>
        <w:t xml:space="preserve"> the</w:t>
      </w:r>
      <w:r w:rsidRPr="004E4DE4">
        <w:rPr>
          <w:sz w:val="24"/>
          <w:szCs w:val="24"/>
        </w:rPr>
        <w:t xml:space="preserve"> signal</w:t>
      </w:r>
      <w:r>
        <w:rPr>
          <w:sz w:val="24"/>
          <w:szCs w:val="24"/>
        </w:rPr>
        <w:t>-</w:t>
      </w:r>
      <w:r w:rsidRPr="004E4DE4">
        <w:rPr>
          <w:sz w:val="24"/>
          <w:szCs w:val="24"/>
        </w:rPr>
        <w:t>to</w:t>
      </w:r>
      <w:r>
        <w:rPr>
          <w:sz w:val="24"/>
          <w:szCs w:val="24"/>
        </w:rPr>
        <w:t>-</w:t>
      </w:r>
      <w:r w:rsidRPr="004E4DE4">
        <w:rPr>
          <w:sz w:val="24"/>
          <w:szCs w:val="24"/>
        </w:rPr>
        <w:t>noise ratio. I will present an array of exciting results from low</w:t>
      </w:r>
      <w:r>
        <w:rPr>
          <w:sz w:val="24"/>
          <w:szCs w:val="24"/>
        </w:rPr>
        <w:t>-</w:t>
      </w:r>
      <w:r w:rsidRPr="004E4DE4">
        <w:rPr>
          <w:sz w:val="24"/>
          <w:szCs w:val="24"/>
        </w:rPr>
        <w:t xml:space="preserve">amplitude seismic recordings and novel approaches to measuring them to understand the seismic noise environment and microseismic events, which have implications for the field of seismology. I will show an improved analysis of </w:t>
      </w:r>
      <w:proofErr w:type="spellStart"/>
      <w:r w:rsidRPr="004E4DE4">
        <w:rPr>
          <w:sz w:val="24"/>
          <w:szCs w:val="24"/>
        </w:rPr>
        <w:t>seismogenic</w:t>
      </w:r>
      <w:proofErr w:type="spellEnd"/>
      <w:r w:rsidRPr="004E4DE4">
        <w:rPr>
          <w:sz w:val="24"/>
          <w:szCs w:val="24"/>
        </w:rPr>
        <w:t xml:space="preserve"> potential from magnitude calibration, an interpreted resonant subsurface boundary determined from resonance frequencies, and</w:t>
      </w:r>
      <w:r>
        <w:rPr>
          <w:sz w:val="24"/>
          <w:szCs w:val="24"/>
        </w:rPr>
        <w:t xml:space="preserve"> a</w:t>
      </w:r>
      <w:r w:rsidRPr="004E4DE4">
        <w:rPr>
          <w:sz w:val="24"/>
          <w:szCs w:val="24"/>
        </w:rPr>
        <w:t xml:space="preserve"> correlation of wind speed and seismic recordings. I use an induced seismicity catalog recorded by two nearby boreholes to apply a novel workflow of waveform correlation to 2074 earthquakes for magnitude calibration and subsequent evaluation of </w:t>
      </w:r>
      <w:proofErr w:type="spellStart"/>
      <w:r w:rsidRPr="004E4DE4">
        <w:rPr>
          <w:sz w:val="24"/>
          <w:szCs w:val="24"/>
        </w:rPr>
        <w:t>seismogenic</w:t>
      </w:r>
      <w:proofErr w:type="spellEnd"/>
      <w:r w:rsidRPr="004E4DE4">
        <w:rPr>
          <w:sz w:val="24"/>
          <w:szCs w:val="24"/>
        </w:rPr>
        <w:t xml:space="preserve"> potential. Waveform correlation reveals statistically significant differences in b-value and </w:t>
      </w:r>
      <w:proofErr w:type="spellStart"/>
      <w:r w:rsidRPr="004E4DE4">
        <w:rPr>
          <w:sz w:val="24"/>
          <w:szCs w:val="24"/>
        </w:rPr>
        <w:t>seismogenic</w:t>
      </w:r>
      <w:proofErr w:type="spellEnd"/>
      <w:r w:rsidRPr="004E4DE4">
        <w:rPr>
          <w:sz w:val="24"/>
          <w:szCs w:val="24"/>
        </w:rPr>
        <w:t xml:space="preserve"> potential after calibration and suggests a dependence of the earthquake statistics upon their optimal or suboptimal orientation to the local stress field. In another study, we utilize distributed acoustic sensing (DAS) recording, which </w:t>
      </w:r>
      <w:r w:rsidRPr="004E4DE4">
        <w:rPr>
          <w:sz w:val="24"/>
          <w:szCs w:val="24"/>
        </w:rPr>
        <w:lastRenderedPageBreak/>
        <w:t>allows for a high density of receivers with minimal field deployment. The technique leverages novel sensors to measure backscatter from a telecommunication dark fiber, resulting in a time series of strain along the cable, effectively 100s to 1000s of “seismometers.” Comparison between this novel sensing device and traditional sensors reveals the higher noise level of DAS. However, the higher spatial resolution of DAS allows for stacking measurements along channels and identifying noise sources that were previously not easily recognizable in traditional arrays. Recorded measurements are often subject to increased background noise in an urban or noisy environment. From seismic recordings across Oklahoma from dense arrays, I examine the effects of wind and wind turbines on recorded seismic noise via single</w:t>
      </w:r>
      <w:r>
        <w:rPr>
          <w:sz w:val="24"/>
          <w:szCs w:val="24"/>
        </w:rPr>
        <w:t>-</w:t>
      </w:r>
      <w:r w:rsidRPr="004E4DE4">
        <w:rPr>
          <w:sz w:val="24"/>
          <w:szCs w:val="24"/>
        </w:rPr>
        <w:t xml:space="preserve">station site response techniques to determine site resonance frequencies and noise source origin. </w:t>
      </w:r>
    </w:p>
    <w:p w14:paraId="2FE0272A" w14:textId="77777777" w:rsidR="004E04DF" w:rsidRDefault="004E04DF" w:rsidP="004E04DF">
      <w:pPr>
        <w:jc w:val="center"/>
        <w:rPr>
          <w:sz w:val="24"/>
          <w:szCs w:val="24"/>
        </w:rPr>
      </w:pPr>
    </w:p>
    <w:p w14:paraId="759EA7BB" w14:textId="77777777" w:rsidR="004E04DF" w:rsidRDefault="004E04DF" w:rsidP="004E04DF">
      <w:pPr>
        <w:jc w:val="center"/>
        <w:rPr>
          <w:sz w:val="24"/>
          <w:szCs w:val="24"/>
        </w:rPr>
      </w:pPr>
    </w:p>
    <w:p w14:paraId="20A5C0E6" w14:textId="77777777" w:rsidR="004E04DF" w:rsidRDefault="004E04DF" w:rsidP="004E04DF">
      <w:pPr>
        <w:jc w:val="center"/>
        <w:rPr>
          <w:sz w:val="24"/>
          <w:szCs w:val="24"/>
        </w:rPr>
      </w:pPr>
    </w:p>
    <w:p w14:paraId="3FEE9B9E" w14:textId="77777777" w:rsidR="004E04DF" w:rsidRDefault="004E04DF" w:rsidP="004E04DF">
      <w:pPr>
        <w:jc w:val="center"/>
        <w:rPr>
          <w:sz w:val="24"/>
          <w:szCs w:val="24"/>
        </w:rPr>
      </w:pPr>
    </w:p>
    <w:p w14:paraId="61FDE169" w14:textId="77777777" w:rsidR="004E04DF" w:rsidRDefault="004E04DF" w:rsidP="004E04DF">
      <w:pPr>
        <w:jc w:val="center"/>
        <w:rPr>
          <w:sz w:val="24"/>
          <w:szCs w:val="24"/>
        </w:rPr>
      </w:pPr>
    </w:p>
    <w:p w14:paraId="72AF2D80" w14:textId="77777777" w:rsidR="004E04DF" w:rsidRDefault="004E04DF" w:rsidP="004E04DF">
      <w:pPr>
        <w:jc w:val="center"/>
        <w:rPr>
          <w:sz w:val="24"/>
          <w:szCs w:val="24"/>
        </w:rPr>
      </w:pPr>
    </w:p>
    <w:p w14:paraId="2B3FA674" w14:textId="77777777" w:rsidR="004E04DF" w:rsidRDefault="004E04DF" w:rsidP="004E04DF">
      <w:pPr>
        <w:jc w:val="center"/>
        <w:rPr>
          <w:sz w:val="24"/>
          <w:szCs w:val="24"/>
        </w:rPr>
      </w:pPr>
    </w:p>
    <w:p w14:paraId="3B217A44" w14:textId="77777777" w:rsidR="004E04DF" w:rsidRDefault="004E04DF" w:rsidP="004E04DF">
      <w:pPr>
        <w:jc w:val="center"/>
        <w:rPr>
          <w:sz w:val="24"/>
          <w:szCs w:val="24"/>
        </w:rPr>
      </w:pPr>
    </w:p>
    <w:p w14:paraId="07B8F949" w14:textId="77777777" w:rsidR="004E04DF" w:rsidRDefault="004E04DF" w:rsidP="004E04DF">
      <w:pPr>
        <w:jc w:val="center"/>
        <w:rPr>
          <w:sz w:val="24"/>
          <w:szCs w:val="24"/>
        </w:rPr>
      </w:pPr>
    </w:p>
    <w:p w14:paraId="5B736729" w14:textId="77777777" w:rsidR="004E04DF" w:rsidRDefault="004E04DF" w:rsidP="004E04DF">
      <w:pPr>
        <w:jc w:val="center"/>
        <w:rPr>
          <w:sz w:val="24"/>
          <w:szCs w:val="24"/>
        </w:rPr>
      </w:pPr>
    </w:p>
    <w:p w14:paraId="205555D6" w14:textId="77777777" w:rsidR="004E04DF" w:rsidRDefault="004E04DF" w:rsidP="004E04DF">
      <w:pPr>
        <w:jc w:val="center"/>
        <w:rPr>
          <w:sz w:val="24"/>
          <w:szCs w:val="24"/>
        </w:rPr>
      </w:pPr>
    </w:p>
    <w:p w14:paraId="703762E8" w14:textId="77777777" w:rsidR="004E04DF" w:rsidRDefault="004E04DF" w:rsidP="004E04DF">
      <w:pPr>
        <w:jc w:val="center"/>
        <w:rPr>
          <w:sz w:val="24"/>
          <w:szCs w:val="24"/>
        </w:rPr>
      </w:pPr>
    </w:p>
    <w:p w14:paraId="7228DBAE" w14:textId="77777777" w:rsidR="004E04DF" w:rsidRDefault="004E04DF" w:rsidP="003E27C1">
      <w:pPr>
        <w:rPr>
          <w:sz w:val="24"/>
          <w:szCs w:val="24"/>
        </w:rPr>
      </w:pPr>
    </w:p>
    <w:p w14:paraId="145B62F0" w14:textId="77777777" w:rsidR="004E04DF" w:rsidRDefault="004E04DF" w:rsidP="004E04DF">
      <w:pPr>
        <w:jc w:val="center"/>
        <w:rPr>
          <w:sz w:val="24"/>
          <w:szCs w:val="24"/>
        </w:rPr>
      </w:pPr>
    </w:p>
    <w:p w14:paraId="0FD6F197" w14:textId="77777777" w:rsidR="00F45D8F" w:rsidRDefault="00F45D8F" w:rsidP="00A47C33">
      <w:pPr>
        <w:spacing w:line="480" w:lineRule="auto"/>
        <w:jc w:val="center"/>
        <w:rPr>
          <w:b/>
          <w:bCs/>
          <w:sz w:val="72"/>
          <w:szCs w:val="72"/>
        </w:rPr>
        <w:sectPr w:rsidR="00F45D8F" w:rsidSect="003E27C1">
          <w:pgSz w:w="12240" w:h="15840"/>
          <w:pgMar w:top="1440" w:right="1440" w:bottom="1440" w:left="1440" w:header="720" w:footer="720" w:gutter="0"/>
          <w:pgNumType w:fmt="lowerRoman" w:start="4"/>
          <w:cols w:space="720"/>
          <w:docGrid w:linePitch="360"/>
        </w:sectPr>
      </w:pPr>
    </w:p>
    <w:p w14:paraId="522B5721" w14:textId="77777777" w:rsidR="004C3823" w:rsidRDefault="004C3823" w:rsidP="00A47C33">
      <w:pPr>
        <w:spacing w:line="480" w:lineRule="auto"/>
        <w:jc w:val="center"/>
        <w:rPr>
          <w:b/>
          <w:bCs/>
          <w:sz w:val="72"/>
          <w:szCs w:val="72"/>
        </w:rPr>
      </w:pPr>
      <w:r w:rsidRPr="00A47C33">
        <w:rPr>
          <w:b/>
          <w:bCs/>
          <w:sz w:val="72"/>
          <w:szCs w:val="72"/>
        </w:rPr>
        <w:lastRenderedPageBreak/>
        <w:t>Chapter 1</w:t>
      </w:r>
      <w:r>
        <w:rPr>
          <w:b/>
          <w:bCs/>
          <w:sz w:val="72"/>
          <w:szCs w:val="72"/>
        </w:rPr>
        <w:t>:</w:t>
      </w:r>
    </w:p>
    <w:p w14:paraId="63BA64F4" w14:textId="77777777" w:rsidR="004C3823" w:rsidRDefault="004C3823" w:rsidP="00D25543">
      <w:pPr>
        <w:spacing w:line="480" w:lineRule="auto"/>
        <w:jc w:val="center"/>
        <w:rPr>
          <w:b/>
          <w:bCs/>
          <w:sz w:val="72"/>
          <w:szCs w:val="72"/>
        </w:rPr>
      </w:pPr>
      <w:r w:rsidRPr="00A47C33">
        <w:rPr>
          <w:b/>
          <w:bCs/>
          <w:sz w:val="72"/>
          <w:szCs w:val="72"/>
        </w:rPr>
        <w:t>Introduction</w:t>
      </w:r>
    </w:p>
    <w:p w14:paraId="00BFC7ED" w14:textId="77777777" w:rsidR="004C3823" w:rsidRDefault="004C3823" w:rsidP="00D25543">
      <w:pPr>
        <w:spacing w:line="480" w:lineRule="auto"/>
        <w:jc w:val="center"/>
        <w:rPr>
          <w:b/>
          <w:bCs/>
          <w:sz w:val="72"/>
          <w:szCs w:val="72"/>
        </w:rPr>
      </w:pPr>
    </w:p>
    <w:p w14:paraId="5865760F" w14:textId="77777777" w:rsidR="004C3823" w:rsidRDefault="004C3823" w:rsidP="00D25543">
      <w:pPr>
        <w:spacing w:line="480" w:lineRule="auto"/>
        <w:jc w:val="center"/>
        <w:rPr>
          <w:b/>
          <w:bCs/>
          <w:sz w:val="72"/>
          <w:szCs w:val="72"/>
        </w:rPr>
      </w:pPr>
    </w:p>
    <w:p w14:paraId="476F08AC" w14:textId="77777777" w:rsidR="004C3823" w:rsidRDefault="004C3823" w:rsidP="00D25543">
      <w:pPr>
        <w:spacing w:line="480" w:lineRule="auto"/>
        <w:jc w:val="center"/>
        <w:rPr>
          <w:b/>
          <w:bCs/>
          <w:sz w:val="72"/>
          <w:szCs w:val="72"/>
        </w:rPr>
      </w:pPr>
    </w:p>
    <w:p w14:paraId="09AC9105" w14:textId="77777777" w:rsidR="004C3823" w:rsidRDefault="004C3823" w:rsidP="00D25543">
      <w:pPr>
        <w:spacing w:line="480" w:lineRule="auto"/>
        <w:jc w:val="center"/>
        <w:rPr>
          <w:b/>
          <w:bCs/>
          <w:sz w:val="72"/>
          <w:szCs w:val="72"/>
        </w:rPr>
      </w:pPr>
    </w:p>
    <w:p w14:paraId="3C441AD3" w14:textId="77777777" w:rsidR="004C3823" w:rsidRPr="00A47C33" w:rsidRDefault="004C3823" w:rsidP="00A47C33">
      <w:pPr>
        <w:spacing w:line="480" w:lineRule="auto"/>
        <w:jc w:val="center"/>
        <w:rPr>
          <w:b/>
          <w:bCs/>
          <w:sz w:val="72"/>
          <w:szCs w:val="72"/>
        </w:rPr>
      </w:pPr>
    </w:p>
    <w:p w14:paraId="1BC5D85C" w14:textId="77777777" w:rsidR="004C3823" w:rsidRPr="00236546" w:rsidRDefault="004C3823" w:rsidP="00236546">
      <w:pPr>
        <w:spacing w:line="480" w:lineRule="auto"/>
        <w:rPr>
          <w:b/>
          <w:bCs/>
          <w:sz w:val="24"/>
          <w:szCs w:val="24"/>
        </w:rPr>
      </w:pPr>
      <w:r w:rsidRPr="00236546">
        <w:rPr>
          <w:b/>
          <w:bCs/>
          <w:sz w:val="24"/>
          <w:szCs w:val="24"/>
        </w:rPr>
        <w:lastRenderedPageBreak/>
        <w:t>1.1 Introduction</w:t>
      </w:r>
    </w:p>
    <w:p w14:paraId="100A14BF" w14:textId="77777777" w:rsidR="004C3823" w:rsidRPr="00236546" w:rsidRDefault="004C3823" w:rsidP="00236546">
      <w:pPr>
        <w:spacing w:line="480" w:lineRule="auto"/>
        <w:ind w:firstLine="720"/>
        <w:rPr>
          <w:sz w:val="24"/>
          <w:szCs w:val="24"/>
        </w:rPr>
      </w:pPr>
      <w:r w:rsidRPr="00236546">
        <w:rPr>
          <w:sz w:val="24"/>
          <w:szCs w:val="24"/>
        </w:rPr>
        <w:t>In our ever-changing landscape and growing society, it is not uncommon for the general population to go about their day woefully unaware of the destructive force beneath their feet. We live in a world that is constantly shifting and in a state of flux. However, every so often we are reminded of the energy that can be released in the form of an earthquake. Early civilization societies postulated the origin of earthquakes (Agnew et al., 2002) such as Aristotle (330BCE) attributed earthquakes to winds blowing in unground caverns (</w:t>
      </w:r>
      <w:proofErr w:type="spellStart"/>
      <w:r w:rsidRPr="00236546">
        <w:rPr>
          <w:sz w:val="24"/>
          <w:szCs w:val="24"/>
        </w:rPr>
        <w:t>Missiakoulis</w:t>
      </w:r>
      <w:proofErr w:type="spellEnd"/>
      <w:r w:rsidRPr="00236546">
        <w:rPr>
          <w:sz w:val="24"/>
          <w:szCs w:val="24"/>
        </w:rPr>
        <w:t>, 2008), and early Japan gave credit to a large subterranean serpent-like catfish for earthquakes (Severn, 2012). Advancements in seismological thinking did not occur until the Lisbon earthquake of 1755 due to its destructiveness and evidence for causing motion at great distances (</w:t>
      </w:r>
      <w:proofErr w:type="spellStart"/>
      <w:r w:rsidRPr="00236546">
        <w:rPr>
          <w:sz w:val="24"/>
          <w:szCs w:val="24"/>
        </w:rPr>
        <w:t>Frechet</w:t>
      </w:r>
      <w:proofErr w:type="spellEnd"/>
      <w:r w:rsidRPr="00236546">
        <w:rPr>
          <w:sz w:val="24"/>
          <w:szCs w:val="24"/>
        </w:rPr>
        <w:t xml:space="preserve"> 2008). Public interest in destructive earthquakes shown in Tan and Maharjan 2018 showed an increased interest in earthquakes after large events and correlated public interest to the destructiveness of the earthquake.  </w:t>
      </w:r>
    </w:p>
    <w:p w14:paraId="6DCA9643" w14:textId="77777777" w:rsidR="004C3823" w:rsidRPr="00236546" w:rsidRDefault="004C3823" w:rsidP="00FD4451">
      <w:pPr>
        <w:spacing w:line="480" w:lineRule="auto"/>
        <w:ind w:firstLine="720"/>
        <w:rPr>
          <w:sz w:val="24"/>
          <w:szCs w:val="24"/>
        </w:rPr>
      </w:pPr>
      <w:r w:rsidRPr="00236546">
        <w:rPr>
          <w:sz w:val="24"/>
          <w:szCs w:val="24"/>
        </w:rPr>
        <w:t xml:space="preserve">It is commonly known that the destructiveness of earthquakes is directly linked to their magnitude (Gutenberg and Richter, 1942) and site-specific shaking intensity (Hartzell, 1992). Magnitude estimates have evolved with various techniques in calculation such as the least square technique for estimating b-value and maximum likelihood. These variations have led to prolonged debates about a preferred method for estimations. More importantly, the continued interest in geoscience research has aided in the development of recording for longer continuous durations for background noise and </w:t>
      </w:r>
      <w:r>
        <w:rPr>
          <w:sz w:val="24"/>
          <w:szCs w:val="24"/>
        </w:rPr>
        <w:t xml:space="preserve">the </w:t>
      </w:r>
      <w:r w:rsidRPr="00236546">
        <w:rPr>
          <w:sz w:val="24"/>
          <w:szCs w:val="24"/>
        </w:rPr>
        <w:t xml:space="preserve">detection </w:t>
      </w:r>
      <w:r>
        <w:rPr>
          <w:sz w:val="24"/>
          <w:szCs w:val="24"/>
        </w:rPr>
        <w:t xml:space="preserve">of </w:t>
      </w:r>
      <w:r w:rsidRPr="00236546">
        <w:rPr>
          <w:sz w:val="24"/>
          <w:szCs w:val="24"/>
        </w:rPr>
        <w:t>smaller earthquakes.</w:t>
      </w:r>
      <w:r>
        <w:rPr>
          <w:sz w:val="24"/>
          <w:szCs w:val="24"/>
        </w:rPr>
        <w:t xml:space="preserve"> </w:t>
      </w:r>
      <w:r w:rsidRPr="00236546">
        <w:rPr>
          <w:sz w:val="24"/>
          <w:szCs w:val="24"/>
        </w:rPr>
        <w:t xml:space="preserve">Continuous ambient noise analysis has had a resurgence in recent decades, thanks mainly in part to advancements in commercial and personal computing where larger datasets may be processed at the same time. </w:t>
      </w:r>
      <w:r w:rsidRPr="00236546">
        <w:rPr>
          <w:sz w:val="24"/>
          <w:szCs w:val="24"/>
        </w:rPr>
        <w:lastRenderedPageBreak/>
        <w:t>One advantage of continuous data is that multiple datasets can be compared amongst each other. Large dataset recordings from regional networks ha</w:t>
      </w:r>
      <w:r>
        <w:rPr>
          <w:sz w:val="24"/>
          <w:szCs w:val="24"/>
        </w:rPr>
        <w:t>ve</w:t>
      </w:r>
      <w:r w:rsidRPr="00236546">
        <w:rPr>
          <w:sz w:val="24"/>
          <w:szCs w:val="24"/>
        </w:rPr>
        <w:t xml:space="preserve"> helped in monitoring the earthquake activity in Oklahoma where seismicity increased steadily in the earlier part of the millennium due to large-scale fluid injection as investigated in many studies (</w:t>
      </w:r>
      <w:proofErr w:type="gramStart"/>
      <w:r w:rsidRPr="00236546">
        <w:rPr>
          <w:sz w:val="24"/>
          <w:szCs w:val="24"/>
        </w:rPr>
        <w:t>i.e.</w:t>
      </w:r>
      <w:proofErr w:type="gramEnd"/>
      <w:r w:rsidRPr="00236546">
        <w:rPr>
          <w:sz w:val="24"/>
          <w:szCs w:val="24"/>
        </w:rPr>
        <w:t xml:space="preserve"> Rashidi and </w:t>
      </w:r>
      <w:proofErr w:type="spellStart"/>
      <w:r w:rsidRPr="00236546">
        <w:rPr>
          <w:sz w:val="24"/>
          <w:szCs w:val="24"/>
        </w:rPr>
        <w:t>Ghassemieh</w:t>
      </w:r>
      <w:proofErr w:type="spellEnd"/>
      <w:r w:rsidRPr="00236546">
        <w:rPr>
          <w:sz w:val="24"/>
          <w:szCs w:val="24"/>
        </w:rPr>
        <w:t>, 2023). However, current regional networks still lack the spatial density to capture interstation lateral heterogeneities in the subsurface.</w:t>
      </w:r>
      <w:r>
        <w:rPr>
          <w:sz w:val="24"/>
          <w:szCs w:val="24"/>
        </w:rPr>
        <w:t xml:space="preserve"> High-density local deployments of seismic sensors can resolve the smaller-scale lateral variations in the subsurface that regional networks cannot capture.</w:t>
      </w:r>
    </w:p>
    <w:p w14:paraId="0FF36EFF" w14:textId="77777777" w:rsidR="004C3823" w:rsidRPr="00236546" w:rsidRDefault="004C3823" w:rsidP="00236546">
      <w:pPr>
        <w:spacing w:line="480" w:lineRule="auto"/>
        <w:ind w:firstLine="720"/>
        <w:rPr>
          <w:sz w:val="24"/>
          <w:szCs w:val="24"/>
        </w:rPr>
      </w:pPr>
      <w:r w:rsidRPr="00236546">
        <w:rPr>
          <w:sz w:val="24"/>
          <w:szCs w:val="24"/>
        </w:rPr>
        <w:t xml:space="preserve">The overall motivation for this dissertation is to explore new ways to investigate ground motion intensity. This is done broadly by first examining the earthquake magnitudes during a hydraulic fracturing survey and then with passive seismic techniques to investigate site response and the potential for ground motion amplification. I present the applications of passive seismic techniques at local deployments for high-spatial-resolution </w:t>
      </w:r>
      <w:r>
        <w:rPr>
          <w:sz w:val="24"/>
          <w:szCs w:val="24"/>
        </w:rPr>
        <w:t xml:space="preserve">surveys </w:t>
      </w:r>
      <w:r w:rsidRPr="00236546">
        <w:rPr>
          <w:sz w:val="24"/>
          <w:szCs w:val="24"/>
        </w:rPr>
        <w:t>of the shallow subsurface. Apart from the overall motivation, each section will have its motivation which will be introduced.  The individual section motivation includes the – (</w:t>
      </w:r>
      <w:proofErr w:type="spellStart"/>
      <w:r w:rsidRPr="00236546">
        <w:rPr>
          <w:sz w:val="24"/>
          <w:szCs w:val="24"/>
        </w:rPr>
        <w:t>i</w:t>
      </w:r>
      <w:proofErr w:type="spellEnd"/>
      <w:r w:rsidRPr="00236546">
        <w:rPr>
          <w:sz w:val="24"/>
          <w:szCs w:val="24"/>
        </w:rPr>
        <w:t xml:space="preserve">) improvement of magnitudes, (ii) resonance of a deep intracontinental basin, and (iii) local region noise sources’ impact on acoustic seismic recordings. </w:t>
      </w:r>
    </w:p>
    <w:p w14:paraId="08F5DA6C" w14:textId="77777777" w:rsidR="004C3823" w:rsidRPr="00236546" w:rsidRDefault="004C3823" w:rsidP="00236546">
      <w:pPr>
        <w:spacing w:line="480" w:lineRule="auto"/>
        <w:rPr>
          <w:b/>
          <w:bCs/>
          <w:sz w:val="24"/>
          <w:szCs w:val="24"/>
        </w:rPr>
      </w:pPr>
      <w:r w:rsidRPr="00236546">
        <w:rPr>
          <w:b/>
          <w:bCs/>
          <w:sz w:val="24"/>
          <w:szCs w:val="24"/>
        </w:rPr>
        <w:t>1.2 Overview of the Dissertation</w:t>
      </w:r>
    </w:p>
    <w:p w14:paraId="5AC91409" w14:textId="2D60FACD" w:rsidR="004C3823" w:rsidRPr="00236546" w:rsidRDefault="004C3823" w:rsidP="00236546">
      <w:pPr>
        <w:spacing w:line="480" w:lineRule="auto"/>
        <w:ind w:firstLine="720"/>
        <w:rPr>
          <w:sz w:val="24"/>
          <w:szCs w:val="24"/>
        </w:rPr>
      </w:pPr>
      <w:r w:rsidRPr="00236546">
        <w:rPr>
          <w:sz w:val="24"/>
          <w:szCs w:val="24"/>
        </w:rPr>
        <w:t xml:space="preserve">In Chapter 2, </w:t>
      </w:r>
      <w:r w:rsidR="00F5625F">
        <w:rPr>
          <w:sz w:val="24"/>
          <w:szCs w:val="24"/>
        </w:rPr>
        <w:t>I</w:t>
      </w:r>
      <w:r>
        <w:rPr>
          <w:sz w:val="24"/>
          <w:szCs w:val="24"/>
        </w:rPr>
        <w:t xml:space="preserve"> investigate</w:t>
      </w:r>
      <w:r w:rsidRPr="00236546">
        <w:rPr>
          <w:sz w:val="24"/>
          <w:szCs w:val="24"/>
        </w:rPr>
        <w:t xml:space="preserve"> a classical dataset</w:t>
      </w:r>
      <w:r>
        <w:rPr>
          <w:sz w:val="24"/>
          <w:szCs w:val="24"/>
        </w:rPr>
        <w:t xml:space="preserve">, the </w:t>
      </w:r>
      <w:r w:rsidRPr="00210D3E">
        <w:rPr>
          <w:sz w:val="24"/>
          <w:szCs w:val="24"/>
        </w:rPr>
        <w:t>Cotton Valley</w:t>
      </w:r>
      <w:r w:rsidRPr="00236546">
        <w:rPr>
          <w:sz w:val="24"/>
          <w:szCs w:val="24"/>
        </w:rPr>
        <w:t xml:space="preserve"> hydraulic fracturing survey in Carthage, Texas. </w:t>
      </w:r>
      <w:r w:rsidR="00F5625F">
        <w:rPr>
          <w:sz w:val="24"/>
          <w:szCs w:val="24"/>
        </w:rPr>
        <w:t>I</w:t>
      </w:r>
      <w:r w:rsidRPr="00236546">
        <w:rPr>
          <w:sz w:val="24"/>
          <w:szCs w:val="24"/>
        </w:rPr>
        <w:t xml:space="preserve"> will use waveform correlation to improve magnitudes calibration and apply newly calibrated magnitudes to quantify the </w:t>
      </w:r>
      <w:proofErr w:type="spellStart"/>
      <w:r w:rsidRPr="00236546">
        <w:rPr>
          <w:sz w:val="24"/>
          <w:szCs w:val="24"/>
        </w:rPr>
        <w:t>seismogenic</w:t>
      </w:r>
      <w:proofErr w:type="spellEnd"/>
      <w:r w:rsidRPr="00236546">
        <w:rPr>
          <w:sz w:val="24"/>
          <w:szCs w:val="24"/>
        </w:rPr>
        <w:t xml:space="preserve"> potential. Cross-correlation </w:t>
      </w:r>
      <w:r w:rsidRPr="00236546">
        <w:rPr>
          <w:sz w:val="24"/>
          <w:szCs w:val="24"/>
        </w:rPr>
        <w:lastRenderedPageBreak/>
        <w:t xml:space="preserve">is used to identify individual fracturing clusters for a b-value analysis and subsequently </w:t>
      </w:r>
      <w:proofErr w:type="spellStart"/>
      <w:r w:rsidRPr="00236546">
        <w:rPr>
          <w:sz w:val="24"/>
          <w:szCs w:val="24"/>
        </w:rPr>
        <w:t>seismogenic</w:t>
      </w:r>
      <w:proofErr w:type="spellEnd"/>
      <w:r w:rsidRPr="00236546">
        <w:rPr>
          <w:sz w:val="24"/>
          <w:szCs w:val="24"/>
        </w:rPr>
        <w:t xml:space="preserve"> potential. </w:t>
      </w:r>
      <w:r w:rsidR="00A601F4">
        <w:rPr>
          <w:sz w:val="24"/>
          <w:szCs w:val="24"/>
        </w:rPr>
        <w:t>I</w:t>
      </w:r>
      <w:r w:rsidRPr="00236546">
        <w:rPr>
          <w:sz w:val="24"/>
          <w:szCs w:val="24"/>
        </w:rPr>
        <w:t xml:space="preserve"> show improvement in magnitude calibration and </w:t>
      </w:r>
      <w:proofErr w:type="spellStart"/>
      <w:r w:rsidRPr="00236546">
        <w:rPr>
          <w:sz w:val="24"/>
          <w:szCs w:val="24"/>
        </w:rPr>
        <w:t>seismogenic</w:t>
      </w:r>
      <w:proofErr w:type="spellEnd"/>
      <w:r w:rsidRPr="00236546">
        <w:rPr>
          <w:sz w:val="24"/>
          <w:szCs w:val="24"/>
        </w:rPr>
        <w:t xml:space="preserve"> potential results show a better correlation with the different fracture sets.</w:t>
      </w:r>
    </w:p>
    <w:p w14:paraId="6F127CF3" w14:textId="3190B3D1" w:rsidR="004C3823" w:rsidRPr="00236546" w:rsidRDefault="004C3823" w:rsidP="00236546">
      <w:pPr>
        <w:spacing w:line="480" w:lineRule="auto"/>
        <w:ind w:firstLine="720"/>
        <w:rPr>
          <w:sz w:val="24"/>
          <w:szCs w:val="24"/>
        </w:rPr>
      </w:pPr>
      <w:r w:rsidRPr="00236546">
        <w:rPr>
          <w:sz w:val="24"/>
          <w:szCs w:val="24"/>
        </w:rPr>
        <w:t xml:space="preserve">In Chapter 3, </w:t>
      </w:r>
      <w:r w:rsidR="00A601F4">
        <w:rPr>
          <w:sz w:val="24"/>
          <w:szCs w:val="24"/>
        </w:rPr>
        <w:t>I</w:t>
      </w:r>
      <w:r w:rsidRPr="00236546">
        <w:rPr>
          <w:sz w:val="24"/>
          <w:szCs w:val="24"/>
        </w:rPr>
        <w:t xml:space="preserve"> use data collected from 3 component nodal sensors co-located with distributed acoustic sensing using a dark fiber array to compare and evaluate the local site conditions for resonance at a high spatial resolution (kilometer scale). 1-month of continuous passive acoustic seismic data was collected. </w:t>
      </w:r>
      <w:r w:rsidR="00A601F4">
        <w:rPr>
          <w:sz w:val="24"/>
          <w:szCs w:val="24"/>
        </w:rPr>
        <w:t>I</w:t>
      </w:r>
      <w:r w:rsidRPr="00236546">
        <w:rPr>
          <w:sz w:val="24"/>
          <w:szCs w:val="24"/>
        </w:rPr>
        <w:t xml:space="preserve"> then compare the results with a velocity model to estimate geologic basin structures</w:t>
      </w:r>
      <w:r>
        <w:rPr>
          <w:sz w:val="24"/>
          <w:szCs w:val="24"/>
        </w:rPr>
        <w:t xml:space="preserve"> which</w:t>
      </w:r>
      <w:r w:rsidRPr="00236546">
        <w:rPr>
          <w:sz w:val="24"/>
          <w:szCs w:val="24"/>
        </w:rPr>
        <w:t xml:space="preserve"> show shallow and coherent resonance layers within the subsurface. </w:t>
      </w:r>
    </w:p>
    <w:p w14:paraId="335074C2" w14:textId="2B55B906" w:rsidR="004C3823" w:rsidRPr="00236546" w:rsidRDefault="004C3823" w:rsidP="00236546">
      <w:pPr>
        <w:spacing w:line="480" w:lineRule="auto"/>
        <w:ind w:firstLine="720"/>
        <w:rPr>
          <w:sz w:val="24"/>
          <w:szCs w:val="24"/>
        </w:rPr>
      </w:pPr>
      <w:r w:rsidRPr="00236546">
        <w:rPr>
          <w:sz w:val="24"/>
          <w:szCs w:val="24"/>
        </w:rPr>
        <w:t xml:space="preserve">In Chapter 4, </w:t>
      </w:r>
      <w:r w:rsidR="00A601F4">
        <w:rPr>
          <w:sz w:val="24"/>
          <w:szCs w:val="24"/>
        </w:rPr>
        <w:t>I</w:t>
      </w:r>
      <w:r w:rsidRPr="00236546">
        <w:rPr>
          <w:sz w:val="24"/>
          <w:szCs w:val="24"/>
        </w:rPr>
        <w:t xml:space="preserve"> collect 1-month of continuous passive acoustic seismic data </w:t>
      </w:r>
      <w:r>
        <w:rPr>
          <w:sz w:val="24"/>
          <w:szCs w:val="24"/>
        </w:rPr>
        <w:t xml:space="preserve">from two locations in Northern Oklahoma </w:t>
      </w:r>
      <w:r w:rsidRPr="00236546">
        <w:rPr>
          <w:sz w:val="24"/>
          <w:szCs w:val="24"/>
        </w:rPr>
        <w:t xml:space="preserve">and compare them with wind speed data. Ambient noise processing techniques are used to identify and analyze the </w:t>
      </w:r>
      <w:r>
        <w:rPr>
          <w:sz w:val="24"/>
          <w:szCs w:val="24"/>
        </w:rPr>
        <w:t xml:space="preserve">dominant </w:t>
      </w:r>
      <w:r w:rsidRPr="00236546">
        <w:rPr>
          <w:sz w:val="24"/>
          <w:szCs w:val="24"/>
        </w:rPr>
        <w:t xml:space="preserve">local noise source, wind turbines. </w:t>
      </w:r>
      <w:r w:rsidR="00A601F4">
        <w:rPr>
          <w:sz w:val="24"/>
          <w:szCs w:val="24"/>
        </w:rPr>
        <w:t>I</w:t>
      </w:r>
      <w:r w:rsidRPr="00236546">
        <w:rPr>
          <w:sz w:val="24"/>
          <w:szCs w:val="24"/>
        </w:rPr>
        <w:t xml:space="preserve"> compare the results </w:t>
      </w:r>
      <w:r>
        <w:rPr>
          <w:sz w:val="24"/>
          <w:szCs w:val="24"/>
        </w:rPr>
        <w:t>from the two arrays</w:t>
      </w:r>
      <w:r w:rsidRPr="00236546">
        <w:rPr>
          <w:sz w:val="24"/>
          <w:szCs w:val="24"/>
        </w:rPr>
        <w:t xml:space="preserve"> under similar wind speed conditions, but</w:t>
      </w:r>
      <w:r>
        <w:rPr>
          <w:sz w:val="24"/>
          <w:szCs w:val="24"/>
        </w:rPr>
        <w:t xml:space="preserve"> one</w:t>
      </w:r>
      <w:r w:rsidRPr="00236546">
        <w:rPr>
          <w:sz w:val="24"/>
          <w:szCs w:val="24"/>
        </w:rPr>
        <w:t xml:space="preserve"> lacking in wind turbines.</w:t>
      </w:r>
    </w:p>
    <w:p w14:paraId="309C0155" w14:textId="77777777" w:rsidR="004C3823" w:rsidRPr="00236546" w:rsidRDefault="004C3823" w:rsidP="00236546">
      <w:pPr>
        <w:spacing w:line="480" w:lineRule="auto"/>
        <w:rPr>
          <w:b/>
          <w:bCs/>
          <w:sz w:val="24"/>
          <w:szCs w:val="24"/>
        </w:rPr>
      </w:pPr>
      <w:r w:rsidRPr="00236546">
        <w:rPr>
          <w:b/>
          <w:bCs/>
          <w:sz w:val="24"/>
          <w:szCs w:val="24"/>
        </w:rPr>
        <w:t>1.3 Structure of the Dissertation</w:t>
      </w:r>
    </w:p>
    <w:p w14:paraId="6BEBDEF6" w14:textId="77777777" w:rsidR="004C3823" w:rsidRPr="00236546" w:rsidRDefault="004C3823" w:rsidP="00236546">
      <w:pPr>
        <w:spacing w:line="480" w:lineRule="auto"/>
        <w:ind w:firstLine="720"/>
        <w:rPr>
          <w:sz w:val="24"/>
          <w:szCs w:val="24"/>
        </w:rPr>
      </w:pPr>
      <w:r w:rsidRPr="00236546">
        <w:rPr>
          <w:sz w:val="24"/>
          <w:szCs w:val="24"/>
        </w:rPr>
        <w:t>This dissertation consists of 3 chapters, one of which is formatted in preparation to be submitted for publishing</w:t>
      </w:r>
      <w:r>
        <w:rPr>
          <w:sz w:val="24"/>
          <w:szCs w:val="24"/>
        </w:rPr>
        <w:t>,</w:t>
      </w:r>
      <w:r w:rsidRPr="00236546">
        <w:rPr>
          <w:sz w:val="24"/>
          <w:szCs w:val="24"/>
        </w:rPr>
        <w:t xml:space="preserve"> and the other two are in preparation for submission. The chapters are as follows:</w:t>
      </w:r>
    </w:p>
    <w:p w14:paraId="52D56F57" w14:textId="77777777" w:rsidR="004C3823" w:rsidRDefault="004C3823" w:rsidP="00236546">
      <w:pPr>
        <w:pStyle w:val="ListParagraph"/>
        <w:numPr>
          <w:ilvl w:val="0"/>
          <w:numId w:val="1"/>
        </w:numPr>
        <w:spacing w:line="480" w:lineRule="auto"/>
        <w:rPr>
          <w:sz w:val="24"/>
          <w:szCs w:val="24"/>
        </w:rPr>
      </w:pPr>
      <w:r w:rsidRPr="00236546">
        <w:rPr>
          <w:b/>
          <w:bCs/>
          <w:sz w:val="24"/>
          <w:szCs w:val="24"/>
        </w:rPr>
        <w:t>Chapter 2:</w:t>
      </w:r>
      <w:r w:rsidRPr="00236546">
        <w:rPr>
          <w:sz w:val="24"/>
          <w:szCs w:val="24"/>
        </w:rPr>
        <w:t xml:space="preserve"> Waveform correlation improves magnitude calibration during hydraulic fracturing.</w:t>
      </w:r>
    </w:p>
    <w:p w14:paraId="50C53C32" w14:textId="77777777" w:rsidR="002D7B7D" w:rsidRDefault="002D7B7D" w:rsidP="002D7B7D">
      <w:pPr>
        <w:pStyle w:val="ListParagraph"/>
        <w:numPr>
          <w:ilvl w:val="0"/>
          <w:numId w:val="1"/>
        </w:numPr>
        <w:spacing w:line="480" w:lineRule="auto"/>
        <w:rPr>
          <w:sz w:val="24"/>
          <w:szCs w:val="24"/>
        </w:rPr>
      </w:pPr>
      <w:r w:rsidRPr="00236546">
        <w:rPr>
          <w:sz w:val="24"/>
          <w:szCs w:val="24"/>
        </w:rPr>
        <w:t xml:space="preserve">In preparation for </w:t>
      </w:r>
      <w:r>
        <w:rPr>
          <w:sz w:val="24"/>
          <w:szCs w:val="24"/>
        </w:rPr>
        <w:t>re</w:t>
      </w:r>
      <w:r w:rsidRPr="00236546">
        <w:rPr>
          <w:sz w:val="24"/>
          <w:szCs w:val="24"/>
        </w:rPr>
        <w:t>submission to the Bulletin of Seismological Society of America</w:t>
      </w:r>
      <w:r>
        <w:rPr>
          <w:sz w:val="24"/>
          <w:szCs w:val="24"/>
        </w:rPr>
        <w:t xml:space="preserve"> as:</w:t>
      </w:r>
    </w:p>
    <w:p w14:paraId="3748D5E6" w14:textId="77777777" w:rsidR="004C3823" w:rsidRPr="00561998" w:rsidRDefault="004C3823" w:rsidP="00A47C33">
      <w:pPr>
        <w:pStyle w:val="ListParagraph"/>
        <w:spacing w:line="480" w:lineRule="auto"/>
        <w:rPr>
          <w:sz w:val="24"/>
          <w:szCs w:val="24"/>
        </w:rPr>
      </w:pPr>
      <w:proofErr w:type="gramStart"/>
      <w:r>
        <w:rPr>
          <w:sz w:val="24"/>
          <w:szCs w:val="24"/>
        </w:rPr>
        <w:lastRenderedPageBreak/>
        <w:t>Ng,R.</w:t>
      </w:r>
      <w:proofErr w:type="gramEnd"/>
      <w:r>
        <w:rPr>
          <w:sz w:val="24"/>
          <w:szCs w:val="24"/>
        </w:rPr>
        <w:t>,Chen,X.,Nakata,N.,</w:t>
      </w:r>
      <w:proofErr w:type="spellStart"/>
      <w:r>
        <w:rPr>
          <w:sz w:val="24"/>
          <w:szCs w:val="24"/>
        </w:rPr>
        <w:t>Walter,J.I</w:t>
      </w:r>
      <w:proofErr w:type="spellEnd"/>
      <w:r>
        <w:rPr>
          <w:sz w:val="24"/>
          <w:szCs w:val="24"/>
        </w:rPr>
        <w:t>.,</w:t>
      </w:r>
      <w:r w:rsidRPr="00561759">
        <w:rPr>
          <w:sz w:val="24"/>
          <w:szCs w:val="24"/>
        </w:rPr>
        <w:t xml:space="preserve"> </w:t>
      </w:r>
      <w:r>
        <w:rPr>
          <w:sz w:val="24"/>
          <w:szCs w:val="24"/>
        </w:rPr>
        <w:t xml:space="preserve">(2023). </w:t>
      </w:r>
      <w:r w:rsidRPr="00236546">
        <w:rPr>
          <w:sz w:val="24"/>
          <w:szCs w:val="24"/>
        </w:rPr>
        <w:t>Waveform correlation improves magnitude calibration during hydraulic fracturing.</w:t>
      </w:r>
      <w:r>
        <w:rPr>
          <w:sz w:val="24"/>
          <w:szCs w:val="24"/>
        </w:rPr>
        <w:t xml:space="preserve"> </w:t>
      </w:r>
      <w:r w:rsidRPr="00D176F0">
        <w:rPr>
          <w:i/>
          <w:iCs/>
          <w:sz w:val="24"/>
          <w:szCs w:val="24"/>
        </w:rPr>
        <w:t>Bulletin of the Seismological Society of America</w:t>
      </w:r>
    </w:p>
    <w:p w14:paraId="0042B09A" w14:textId="77777777" w:rsidR="004C3823" w:rsidRPr="00236546" w:rsidRDefault="004C3823" w:rsidP="00236546">
      <w:pPr>
        <w:pStyle w:val="ListParagraph"/>
        <w:numPr>
          <w:ilvl w:val="0"/>
          <w:numId w:val="1"/>
        </w:numPr>
        <w:spacing w:line="480" w:lineRule="auto"/>
        <w:rPr>
          <w:sz w:val="24"/>
          <w:szCs w:val="24"/>
        </w:rPr>
      </w:pPr>
      <w:r w:rsidRPr="00236546">
        <w:rPr>
          <w:b/>
          <w:bCs/>
          <w:sz w:val="24"/>
          <w:szCs w:val="24"/>
        </w:rPr>
        <w:t>Chapter 3:</w:t>
      </w:r>
      <w:r w:rsidRPr="00236546">
        <w:rPr>
          <w:sz w:val="24"/>
          <w:szCs w:val="24"/>
        </w:rPr>
        <w:t xml:space="preserve"> Site response of ambient seismic noise of Northern Oklahoma from the perspective of Nodal and DAS arrays.</w:t>
      </w:r>
    </w:p>
    <w:p w14:paraId="03A841CE" w14:textId="77777777" w:rsidR="004C3823" w:rsidRPr="00236546" w:rsidRDefault="004C3823" w:rsidP="00236546">
      <w:pPr>
        <w:pStyle w:val="ListParagraph"/>
        <w:numPr>
          <w:ilvl w:val="0"/>
          <w:numId w:val="1"/>
        </w:numPr>
        <w:spacing w:line="480" w:lineRule="auto"/>
        <w:rPr>
          <w:sz w:val="24"/>
          <w:szCs w:val="24"/>
        </w:rPr>
      </w:pPr>
      <w:r w:rsidRPr="00236546">
        <w:rPr>
          <w:b/>
          <w:bCs/>
          <w:sz w:val="24"/>
          <w:szCs w:val="24"/>
        </w:rPr>
        <w:t>Chapter 4:</w:t>
      </w:r>
      <w:r w:rsidRPr="00236546">
        <w:rPr>
          <w:sz w:val="24"/>
          <w:szCs w:val="24"/>
        </w:rPr>
        <w:t xml:space="preserve"> Wind and wind turbine influence on measurements of seismic noise. </w:t>
      </w:r>
    </w:p>
    <w:p w14:paraId="68F12912" w14:textId="0F0BB0D1" w:rsidR="004C3823" w:rsidRDefault="004C3823" w:rsidP="00236546">
      <w:pPr>
        <w:pStyle w:val="ListParagraph"/>
        <w:spacing w:line="480" w:lineRule="auto"/>
        <w:rPr>
          <w:sz w:val="24"/>
          <w:szCs w:val="24"/>
        </w:rPr>
      </w:pPr>
    </w:p>
    <w:p w14:paraId="06C19481" w14:textId="77777777" w:rsidR="004C3823" w:rsidRDefault="004C3823" w:rsidP="00236546">
      <w:pPr>
        <w:pStyle w:val="ListParagraph"/>
        <w:spacing w:line="480" w:lineRule="auto"/>
        <w:rPr>
          <w:sz w:val="24"/>
          <w:szCs w:val="24"/>
        </w:rPr>
      </w:pPr>
    </w:p>
    <w:p w14:paraId="4B6AD34F" w14:textId="77777777" w:rsidR="004C3823" w:rsidRDefault="004C3823" w:rsidP="00236546">
      <w:pPr>
        <w:pStyle w:val="ListParagraph"/>
        <w:spacing w:line="480" w:lineRule="auto"/>
        <w:rPr>
          <w:sz w:val="24"/>
          <w:szCs w:val="24"/>
        </w:rPr>
      </w:pPr>
    </w:p>
    <w:p w14:paraId="5C394B40" w14:textId="77777777" w:rsidR="004C3823" w:rsidRDefault="004C3823" w:rsidP="00236546">
      <w:pPr>
        <w:pStyle w:val="ListParagraph"/>
        <w:spacing w:line="480" w:lineRule="auto"/>
        <w:rPr>
          <w:sz w:val="24"/>
          <w:szCs w:val="24"/>
        </w:rPr>
      </w:pPr>
    </w:p>
    <w:p w14:paraId="1D08B004" w14:textId="77777777" w:rsidR="004C3823" w:rsidRDefault="004C3823" w:rsidP="00236546">
      <w:pPr>
        <w:pStyle w:val="ListParagraph"/>
        <w:spacing w:line="480" w:lineRule="auto"/>
        <w:rPr>
          <w:sz w:val="24"/>
          <w:szCs w:val="24"/>
        </w:rPr>
      </w:pPr>
    </w:p>
    <w:p w14:paraId="71555427" w14:textId="77777777" w:rsidR="004C3823" w:rsidRDefault="004C3823" w:rsidP="00236546">
      <w:pPr>
        <w:pStyle w:val="ListParagraph"/>
        <w:spacing w:line="480" w:lineRule="auto"/>
        <w:rPr>
          <w:sz w:val="24"/>
          <w:szCs w:val="24"/>
        </w:rPr>
      </w:pPr>
    </w:p>
    <w:p w14:paraId="718A600A" w14:textId="77777777" w:rsidR="004C3823" w:rsidRDefault="004C3823" w:rsidP="00236546">
      <w:pPr>
        <w:pStyle w:val="ListParagraph"/>
        <w:spacing w:line="480" w:lineRule="auto"/>
        <w:rPr>
          <w:sz w:val="24"/>
          <w:szCs w:val="24"/>
        </w:rPr>
      </w:pPr>
    </w:p>
    <w:p w14:paraId="649353D8" w14:textId="77777777" w:rsidR="004C3823" w:rsidRDefault="004C3823" w:rsidP="00236546">
      <w:pPr>
        <w:pStyle w:val="ListParagraph"/>
        <w:spacing w:line="480" w:lineRule="auto"/>
        <w:rPr>
          <w:sz w:val="24"/>
          <w:szCs w:val="24"/>
        </w:rPr>
      </w:pPr>
    </w:p>
    <w:p w14:paraId="03047B2F" w14:textId="77777777" w:rsidR="004C3823" w:rsidRDefault="004C3823" w:rsidP="00236546">
      <w:pPr>
        <w:pStyle w:val="ListParagraph"/>
        <w:spacing w:line="480" w:lineRule="auto"/>
        <w:rPr>
          <w:sz w:val="24"/>
          <w:szCs w:val="24"/>
        </w:rPr>
      </w:pPr>
    </w:p>
    <w:p w14:paraId="5DF67B43" w14:textId="77777777" w:rsidR="004C3823" w:rsidRDefault="004C3823" w:rsidP="00236546">
      <w:pPr>
        <w:pStyle w:val="ListParagraph"/>
        <w:spacing w:line="480" w:lineRule="auto"/>
        <w:rPr>
          <w:sz w:val="24"/>
          <w:szCs w:val="24"/>
        </w:rPr>
      </w:pPr>
    </w:p>
    <w:p w14:paraId="53E3943B" w14:textId="77777777" w:rsidR="004C3823" w:rsidRDefault="004C3823" w:rsidP="00236546">
      <w:pPr>
        <w:pStyle w:val="ListParagraph"/>
        <w:spacing w:line="480" w:lineRule="auto"/>
        <w:rPr>
          <w:sz w:val="24"/>
          <w:szCs w:val="24"/>
        </w:rPr>
      </w:pPr>
    </w:p>
    <w:p w14:paraId="5CBA7293" w14:textId="77777777" w:rsidR="004C3823" w:rsidRDefault="004C3823" w:rsidP="00236546">
      <w:pPr>
        <w:pStyle w:val="ListParagraph"/>
        <w:spacing w:line="480" w:lineRule="auto"/>
        <w:rPr>
          <w:sz w:val="24"/>
          <w:szCs w:val="24"/>
        </w:rPr>
      </w:pPr>
    </w:p>
    <w:p w14:paraId="77CA54C1" w14:textId="77777777" w:rsidR="004C3823" w:rsidRDefault="004C3823" w:rsidP="00236546">
      <w:pPr>
        <w:pStyle w:val="ListParagraph"/>
        <w:spacing w:line="480" w:lineRule="auto"/>
        <w:rPr>
          <w:sz w:val="24"/>
          <w:szCs w:val="24"/>
        </w:rPr>
      </w:pPr>
    </w:p>
    <w:p w14:paraId="28226AC6" w14:textId="77777777" w:rsidR="004C3823" w:rsidRDefault="004C3823" w:rsidP="00236546">
      <w:pPr>
        <w:pStyle w:val="ListParagraph"/>
        <w:spacing w:line="480" w:lineRule="auto"/>
        <w:rPr>
          <w:sz w:val="24"/>
          <w:szCs w:val="24"/>
        </w:rPr>
      </w:pPr>
    </w:p>
    <w:p w14:paraId="4B66EEBE" w14:textId="77777777" w:rsidR="004C3823" w:rsidRDefault="004C3823" w:rsidP="00236546">
      <w:pPr>
        <w:pStyle w:val="ListParagraph"/>
        <w:spacing w:line="480" w:lineRule="auto"/>
        <w:rPr>
          <w:sz w:val="24"/>
          <w:szCs w:val="24"/>
        </w:rPr>
      </w:pPr>
    </w:p>
    <w:p w14:paraId="421DD74D" w14:textId="77777777" w:rsidR="002D7B7D" w:rsidRDefault="002D7B7D" w:rsidP="00236546">
      <w:pPr>
        <w:pStyle w:val="ListParagraph"/>
        <w:spacing w:line="480" w:lineRule="auto"/>
        <w:rPr>
          <w:sz w:val="24"/>
          <w:szCs w:val="24"/>
        </w:rPr>
      </w:pPr>
    </w:p>
    <w:p w14:paraId="46E1CD6F" w14:textId="77777777" w:rsidR="004C3823" w:rsidRPr="00236546" w:rsidRDefault="004C3823" w:rsidP="00236546">
      <w:pPr>
        <w:pStyle w:val="ListParagraph"/>
        <w:spacing w:line="480" w:lineRule="auto"/>
        <w:rPr>
          <w:sz w:val="24"/>
          <w:szCs w:val="24"/>
        </w:rPr>
      </w:pPr>
    </w:p>
    <w:p w14:paraId="5F92F011" w14:textId="77777777" w:rsidR="004C3823" w:rsidRPr="00236546" w:rsidRDefault="004C3823" w:rsidP="00236546">
      <w:pPr>
        <w:spacing w:line="480" w:lineRule="auto"/>
        <w:rPr>
          <w:b/>
          <w:bCs/>
          <w:sz w:val="24"/>
          <w:szCs w:val="24"/>
        </w:rPr>
      </w:pPr>
      <w:r w:rsidRPr="00236546">
        <w:rPr>
          <w:b/>
          <w:bCs/>
          <w:sz w:val="24"/>
          <w:szCs w:val="24"/>
        </w:rPr>
        <w:lastRenderedPageBreak/>
        <w:t>References</w:t>
      </w:r>
      <w:r>
        <w:rPr>
          <w:b/>
          <w:bCs/>
          <w:sz w:val="24"/>
          <w:szCs w:val="24"/>
        </w:rPr>
        <w:t>:</w:t>
      </w:r>
    </w:p>
    <w:p w14:paraId="2310A6BA" w14:textId="77777777" w:rsidR="004C3823" w:rsidRDefault="004C3823" w:rsidP="00A47C33">
      <w:pPr>
        <w:spacing w:line="480" w:lineRule="auto"/>
        <w:ind w:left="720" w:hanging="720"/>
        <w:rPr>
          <w:rFonts w:ascii="Arial" w:hAnsi="Arial" w:cs="Arial"/>
          <w:color w:val="222222"/>
          <w:sz w:val="24"/>
          <w:szCs w:val="24"/>
          <w:shd w:val="clear" w:color="auto" w:fill="FFFFFF"/>
        </w:rPr>
      </w:pPr>
      <w:r w:rsidRPr="00236546">
        <w:rPr>
          <w:rFonts w:ascii="Arial" w:hAnsi="Arial" w:cs="Arial"/>
          <w:color w:val="222222"/>
          <w:sz w:val="24"/>
          <w:szCs w:val="24"/>
          <w:shd w:val="clear" w:color="auto" w:fill="FFFFFF"/>
        </w:rPr>
        <w:t>Agnew, D. C., Lee, W. H. K., Kanamori, H., Jennings, P. C., &amp; Kisslinger, C. (2002). History of seismology. </w:t>
      </w:r>
      <w:r w:rsidRPr="00236546">
        <w:rPr>
          <w:rFonts w:ascii="Arial" w:hAnsi="Arial" w:cs="Arial"/>
          <w:i/>
          <w:iCs/>
          <w:color w:val="222222"/>
          <w:sz w:val="24"/>
          <w:szCs w:val="24"/>
          <w:shd w:val="clear" w:color="auto" w:fill="FFFFFF"/>
        </w:rPr>
        <w:t>International handbook of earthquake and engineering seismology</w:t>
      </w:r>
      <w:r w:rsidRPr="00236546">
        <w:rPr>
          <w:rFonts w:ascii="Arial" w:hAnsi="Arial" w:cs="Arial"/>
          <w:color w:val="222222"/>
          <w:sz w:val="24"/>
          <w:szCs w:val="24"/>
          <w:shd w:val="clear" w:color="auto" w:fill="FFFFFF"/>
        </w:rPr>
        <w:t>, </w:t>
      </w:r>
      <w:r w:rsidRPr="00236546">
        <w:rPr>
          <w:rFonts w:ascii="Arial" w:hAnsi="Arial" w:cs="Arial"/>
          <w:i/>
          <w:iCs/>
          <w:color w:val="222222"/>
          <w:sz w:val="24"/>
          <w:szCs w:val="24"/>
          <w:shd w:val="clear" w:color="auto" w:fill="FFFFFF"/>
        </w:rPr>
        <w:t>81</w:t>
      </w:r>
      <w:r w:rsidRPr="00236546">
        <w:rPr>
          <w:rFonts w:ascii="Arial" w:hAnsi="Arial" w:cs="Arial"/>
          <w:color w:val="222222"/>
          <w:sz w:val="24"/>
          <w:szCs w:val="24"/>
          <w:shd w:val="clear" w:color="auto" w:fill="FFFFFF"/>
        </w:rPr>
        <w:t>(A), 3-11.</w:t>
      </w:r>
    </w:p>
    <w:p w14:paraId="50D8EC49" w14:textId="77777777" w:rsidR="004C3823" w:rsidRPr="00236546" w:rsidRDefault="004C3823" w:rsidP="00A47C33">
      <w:pPr>
        <w:spacing w:line="480" w:lineRule="auto"/>
        <w:ind w:left="720" w:hanging="720"/>
        <w:rPr>
          <w:rFonts w:ascii="Arial" w:hAnsi="Arial" w:cs="Arial"/>
          <w:color w:val="222222"/>
          <w:sz w:val="24"/>
          <w:szCs w:val="24"/>
          <w:shd w:val="clear" w:color="auto" w:fill="FFFFFF"/>
        </w:rPr>
      </w:pPr>
      <w:r w:rsidRPr="00E44C73">
        <w:rPr>
          <w:rFonts w:ascii="Arial" w:hAnsi="Arial" w:cs="Arial"/>
          <w:color w:val="222222"/>
          <w:sz w:val="24"/>
          <w:szCs w:val="24"/>
          <w:shd w:val="clear" w:color="auto" w:fill="FFFFFF"/>
        </w:rPr>
        <w:t>Chester, D. K. (2001). The 1755 Lisbon earthquake. </w:t>
      </w:r>
      <w:r w:rsidRPr="00E44C73">
        <w:rPr>
          <w:rFonts w:ascii="Arial" w:hAnsi="Arial" w:cs="Arial"/>
          <w:i/>
          <w:iCs/>
          <w:color w:val="222222"/>
          <w:sz w:val="24"/>
          <w:szCs w:val="24"/>
          <w:shd w:val="clear" w:color="auto" w:fill="FFFFFF"/>
        </w:rPr>
        <w:t>Progress in Physical Geography</w:t>
      </w:r>
      <w:r w:rsidRPr="00E44C73">
        <w:rPr>
          <w:rFonts w:ascii="Arial" w:hAnsi="Arial" w:cs="Arial"/>
          <w:color w:val="222222"/>
          <w:sz w:val="24"/>
          <w:szCs w:val="24"/>
          <w:shd w:val="clear" w:color="auto" w:fill="FFFFFF"/>
        </w:rPr>
        <w:t>, </w:t>
      </w:r>
      <w:r w:rsidRPr="00E44C73">
        <w:rPr>
          <w:rFonts w:ascii="Arial" w:hAnsi="Arial" w:cs="Arial"/>
          <w:i/>
          <w:iCs/>
          <w:color w:val="222222"/>
          <w:sz w:val="24"/>
          <w:szCs w:val="24"/>
          <w:shd w:val="clear" w:color="auto" w:fill="FFFFFF"/>
        </w:rPr>
        <w:t>25</w:t>
      </w:r>
      <w:r w:rsidRPr="00E44C73">
        <w:rPr>
          <w:rFonts w:ascii="Arial" w:hAnsi="Arial" w:cs="Arial"/>
          <w:color w:val="222222"/>
          <w:sz w:val="24"/>
          <w:szCs w:val="24"/>
          <w:shd w:val="clear" w:color="auto" w:fill="FFFFFF"/>
        </w:rPr>
        <w:t>(3), 363-383.</w:t>
      </w:r>
    </w:p>
    <w:p w14:paraId="2CED87A2" w14:textId="77777777" w:rsidR="004C3823" w:rsidRPr="00236546" w:rsidRDefault="004C3823" w:rsidP="00A47C33">
      <w:pPr>
        <w:spacing w:line="480" w:lineRule="auto"/>
        <w:ind w:left="720" w:hanging="720"/>
        <w:rPr>
          <w:rFonts w:ascii="Arial" w:hAnsi="Arial" w:cs="Arial"/>
          <w:color w:val="222222"/>
          <w:sz w:val="24"/>
          <w:szCs w:val="24"/>
          <w:shd w:val="clear" w:color="auto" w:fill="FFFFFF"/>
        </w:rPr>
      </w:pPr>
      <w:r w:rsidRPr="00236546">
        <w:rPr>
          <w:rFonts w:ascii="Arial" w:hAnsi="Arial" w:cs="Arial"/>
          <w:color w:val="222222"/>
          <w:sz w:val="24"/>
          <w:szCs w:val="24"/>
          <w:shd w:val="clear" w:color="auto" w:fill="FFFFFF"/>
        </w:rPr>
        <w:t>Fréchet, J. (2008). Past and future of historical seismicity studies in France. </w:t>
      </w:r>
      <w:r w:rsidRPr="00236546">
        <w:rPr>
          <w:rFonts w:ascii="Arial" w:hAnsi="Arial" w:cs="Arial"/>
          <w:i/>
          <w:iCs/>
          <w:color w:val="222222"/>
          <w:sz w:val="24"/>
          <w:szCs w:val="24"/>
          <w:shd w:val="clear" w:color="auto" w:fill="FFFFFF"/>
        </w:rPr>
        <w:t>Historical Seismology: Interdisciplinary Studies of Past and Recent Earthquakes</w:t>
      </w:r>
      <w:r w:rsidRPr="00236546">
        <w:rPr>
          <w:rFonts w:ascii="Arial" w:hAnsi="Arial" w:cs="Arial"/>
          <w:color w:val="222222"/>
          <w:sz w:val="24"/>
          <w:szCs w:val="24"/>
          <w:shd w:val="clear" w:color="auto" w:fill="FFFFFF"/>
        </w:rPr>
        <w:t>, 131-145.</w:t>
      </w:r>
    </w:p>
    <w:p w14:paraId="2F7926E6" w14:textId="77777777" w:rsidR="004C3823" w:rsidRPr="00236546" w:rsidRDefault="004C3823" w:rsidP="00A47C33">
      <w:pPr>
        <w:spacing w:line="480" w:lineRule="auto"/>
        <w:ind w:left="720" w:hanging="720"/>
        <w:rPr>
          <w:rFonts w:ascii="Arial" w:hAnsi="Arial" w:cs="Arial"/>
          <w:color w:val="222222"/>
          <w:sz w:val="24"/>
          <w:szCs w:val="24"/>
          <w:shd w:val="clear" w:color="auto" w:fill="FFFFFF"/>
        </w:rPr>
      </w:pPr>
      <w:r w:rsidRPr="00236546">
        <w:rPr>
          <w:rFonts w:ascii="Arial" w:hAnsi="Arial" w:cs="Arial"/>
          <w:color w:val="222222"/>
          <w:sz w:val="24"/>
          <w:szCs w:val="24"/>
          <w:shd w:val="clear" w:color="auto" w:fill="FFFFFF"/>
        </w:rPr>
        <w:t>Gutenberg, B., &amp; Richter, C. F. (1942). Earthquake magnitude, intensity, energy, and acceleration. </w:t>
      </w:r>
      <w:r w:rsidRPr="00236546">
        <w:rPr>
          <w:rFonts w:ascii="Arial" w:hAnsi="Arial" w:cs="Arial"/>
          <w:i/>
          <w:iCs/>
          <w:color w:val="222222"/>
          <w:sz w:val="24"/>
          <w:szCs w:val="24"/>
          <w:shd w:val="clear" w:color="auto" w:fill="FFFFFF"/>
        </w:rPr>
        <w:t xml:space="preserve">Bulletin of the Seismological </w:t>
      </w:r>
      <w:r>
        <w:rPr>
          <w:rFonts w:ascii="Arial" w:hAnsi="Arial" w:cs="Arial"/>
          <w:i/>
          <w:iCs/>
          <w:color w:val="222222"/>
          <w:sz w:val="24"/>
          <w:szCs w:val="24"/>
          <w:shd w:val="clear" w:color="auto" w:fill="FFFFFF"/>
        </w:rPr>
        <w:t>S</w:t>
      </w:r>
      <w:r w:rsidRPr="00236546">
        <w:rPr>
          <w:rFonts w:ascii="Arial" w:hAnsi="Arial" w:cs="Arial"/>
          <w:i/>
          <w:iCs/>
          <w:color w:val="222222"/>
          <w:sz w:val="24"/>
          <w:szCs w:val="24"/>
          <w:shd w:val="clear" w:color="auto" w:fill="FFFFFF"/>
        </w:rPr>
        <w:t>ociety of America</w:t>
      </w:r>
      <w:r w:rsidRPr="00236546">
        <w:rPr>
          <w:rFonts w:ascii="Arial" w:hAnsi="Arial" w:cs="Arial"/>
          <w:color w:val="222222"/>
          <w:sz w:val="24"/>
          <w:szCs w:val="24"/>
          <w:shd w:val="clear" w:color="auto" w:fill="FFFFFF"/>
        </w:rPr>
        <w:t>, </w:t>
      </w:r>
      <w:r w:rsidRPr="00236546">
        <w:rPr>
          <w:rFonts w:ascii="Arial" w:hAnsi="Arial" w:cs="Arial"/>
          <w:i/>
          <w:iCs/>
          <w:color w:val="222222"/>
          <w:sz w:val="24"/>
          <w:szCs w:val="24"/>
          <w:shd w:val="clear" w:color="auto" w:fill="FFFFFF"/>
        </w:rPr>
        <w:t>32</w:t>
      </w:r>
      <w:r w:rsidRPr="00236546">
        <w:rPr>
          <w:rFonts w:ascii="Arial" w:hAnsi="Arial" w:cs="Arial"/>
          <w:color w:val="222222"/>
          <w:sz w:val="24"/>
          <w:szCs w:val="24"/>
          <w:shd w:val="clear" w:color="auto" w:fill="FFFFFF"/>
        </w:rPr>
        <w:t>(3), 163-191.</w:t>
      </w:r>
    </w:p>
    <w:p w14:paraId="55D5FF40" w14:textId="77777777" w:rsidR="004C3823" w:rsidRDefault="004C3823" w:rsidP="00A47C33">
      <w:pPr>
        <w:spacing w:line="480" w:lineRule="auto"/>
        <w:ind w:left="720" w:hanging="720"/>
        <w:rPr>
          <w:rFonts w:ascii="Arial" w:hAnsi="Arial" w:cs="Arial"/>
          <w:color w:val="222222"/>
          <w:sz w:val="24"/>
          <w:szCs w:val="24"/>
          <w:shd w:val="clear" w:color="auto" w:fill="FFFFFF"/>
        </w:rPr>
      </w:pPr>
      <w:r w:rsidRPr="00236546">
        <w:rPr>
          <w:rFonts w:ascii="Arial" w:hAnsi="Arial" w:cs="Arial"/>
          <w:color w:val="222222"/>
          <w:sz w:val="24"/>
          <w:szCs w:val="24"/>
          <w:shd w:val="clear" w:color="auto" w:fill="FFFFFF"/>
        </w:rPr>
        <w:t>Hartzell, S. H. (1992). Site response estimation from earthquake data. </w:t>
      </w:r>
      <w:r w:rsidRPr="00236546">
        <w:rPr>
          <w:rFonts w:ascii="Arial" w:hAnsi="Arial" w:cs="Arial"/>
          <w:i/>
          <w:iCs/>
          <w:color w:val="222222"/>
          <w:sz w:val="24"/>
          <w:szCs w:val="24"/>
          <w:shd w:val="clear" w:color="auto" w:fill="FFFFFF"/>
        </w:rPr>
        <w:t>Bulletin of the Seismological Society of America</w:t>
      </w:r>
      <w:r w:rsidRPr="00236546">
        <w:rPr>
          <w:rFonts w:ascii="Arial" w:hAnsi="Arial" w:cs="Arial"/>
          <w:color w:val="222222"/>
          <w:sz w:val="24"/>
          <w:szCs w:val="24"/>
          <w:shd w:val="clear" w:color="auto" w:fill="FFFFFF"/>
        </w:rPr>
        <w:t>, </w:t>
      </w:r>
      <w:r w:rsidRPr="00236546">
        <w:rPr>
          <w:rFonts w:ascii="Arial" w:hAnsi="Arial" w:cs="Arial"/>
          <w:i/>
          <w:iCs/>
          <w:color w:val="222222"/>
          <w:sz w:val="24"/>
          <w:szCs w:val="24"/>
          <w:shd w:val="clear" w:color="auto" w:fill="FFFFFF"/>
        </w:rPr>
        <w:t>82</w:t>
      </w:r>
      <w:r w:rsidRPr="00236546">
        <w:rPr>
          <w:rFonts w:ascii="Arial" w:hAnsi="Arial" w:cs="Arial"/>
          <w:color w:val="222222"/>
          <w:sz w:val="24"/>
          <w:szCs w:val="24"/>
          <w:shd w:val="clear" w:color="auto" w:fill="FFFFFF"/>
        </w:rPr>
        <w:t>(6), 2308-2327.</w:t>
      </w:r>
    </w:p>
    <w:p w14:paraId="0DAE0ED9" w14:textId="77777777" w:rsidR="004C3823" w:rsidRPr="00236546" w:rsidRDefault="004C3823" w:rsidP="00A47C33">
      <w:pPr>
        <w:spacing w:line="480" w:lineRule="auto"/>
        <w:ind w:left="720" w:hanging="720"/>
        <w:rPr>
          <w:rFonts w:ascii="Arial" w:hAnsi="Arial" w:cs="Arial"/>
          <w:color w:val="222222"/>
          <w:sz w:val="24"/>
          <w:szCs w:val="24"/>
          <w:shd w:val="clear" w:color="auto" w:fill="FFFFFF"/>
        </w:rPr>
      </w:pPr>
      <w:proofErr w:type="spellStart"/>
      <w:r w:rsidRPr="004358D7">
        <w:rPr>
          <w:rFonts w:ascii="Arial" w:hAnsi="Arial" w:cs="Arial"/>
          <w:color w:val="222222"/>
          <w:sz w:val="24"/>
          <w:szCs w:val="24"/>
          <w:shd w:val="clear" w:color="auto" w:fill="FFFFFF"/>
        </w:rPr>
        <w:t>Missiakoulis</w:t>
      </w:r>
      <w:proofErr w:type="spellEnd"/>
      <w:r w:rsidRPr="004358D7">
        <w:rPr>
          <w:rFonts w:ascii="Arial" w:hAnsi="Arial" w:cs="Arial"/>
          <w:color w:val="222222"/>
          <w:sz w:val="24"/>
          <w:szCs w:val="24"/>
          <w:shd w:val="clear" w:color="auto" w:fill="FFFFFF"/>
        </w:rPr>
        <w:t>, S. (2008). Aristotle and earthquake data: A historical note. </w:t>
      </w:r>
      <w:r w:rsidRPr="004358D7">
        <w:rPr>
          <w:rFonts w:ascii="Arial" w:hAnsi="Arial" w:cs="Arial"/>
          <w:i/>
          <w:iCs/>
          <w:color w:val="222222"/>
          <w:sz w:val="24"/>
          <w:szCs w:val="24"/>
          <w:shd w:val="clear" w:color="auto" w:fill="FFFFFF"/>
        </w:rPr>
        <w:t>International Statistical Review</w:t>
      </w:r>
      <w:r w:rsidRPr="004358D7">
        <w:rPr>
          <w:rFonts w:ascii="Arial" w:hAnsi="Arial" w:cs="Arial"/>
          <w:color w:val="222222"/>
          <w:sz w:val="24"/>
          <w:szCs w:val="24"/>
          <w:shd w:val="clear" w:color="auto" w:fill="FFFFFF"/>
        </w:rPr>
        <w:t>, </w:t>
      </w:r>
      <w:r w:rsidRPr="004358D7">
        <w:rPr>
          <w:rFonts w:ascii="Arial" w:hAnsi="Arial" w:cs="Arial"/>
          <w:i/>
          <w:iCs/>
          <w:color w:val="222222"/>
          <w:sz w:val="24"/>
          <w:szCs w:val="24"/>
          <w:shd w:val="clear" w:color="auto" w:fill="FFFFFF"/>
        </w:rPr>
        <w:t>76</w:t>
      </w:r>
      <w:r w:rsidRPr="004358D7">
        <w:rPr>
          <w:rFonts w:ascii="Arial" w:hAnsi="Arial" w:cs="Arial"/>
          <w:color w:val="222222"/>
          <w:sz w:val="24"/>
          <w:szCs w:val="24"/>
          <w:shd w:val="clear" w:color="auto" w:fill="FFFFFF"/>
        </w:rPr>
        <w:t>(1), 130-133.</w:t>
      </w:r>
    </w:p>
    <w:p w14:paraId="697C5114" w14:textId="77777777" w:rsidR="004C3823" w:rsidRDefault="004C3823" w:rsidP="00A47C33">
      <w:pPr>
        <w:spacing w:line="480" w:lineRule="auto"/>
        <w:ind w:left="720" w:hanging="720"/>
        <w:rPr>
          <w:rFonts w:ascii="Arial" w:hAnsi="Arial" w:cs="Arial"/>
          <w:color w:val="222222"/>
          <w:sz w:val="24"/>
          <w:szCs w:val="24"/>
          <w:shd w:val="clear" w:color="auto" w:fill="FFFFFF"/>
        </w:rPr>
      </w:pPr>
      <w:r w:rsidRPr="00236546">
        <w:rPr>
          <w:rFonts w:ascii="Arial" w:hAnsi="Arial" w:cs="Arial"/>
          <w:color w:val="222222"/>
          <w:sz w:val="24"/>
          <w:szCs w:val="24"/>
          <w:shd w:val="clear" w:color="auto" w:fill="FFFFFF"/>
        </w:rPr>
        <w:t xml:space="preserve">Rashidi, J. N., &amp; </w:t>
      </w:r>
      <w:proofErr w:type="spellStart"/>
      <w:r w:rsidRPr="00236546">
        <w:rPr>
          <w:rFonts w:ascii="Arial" w:hAnsi="Arial" w:cs="Arial"/>
          <w:color w:val="222222"/>
          <w:sz w:val="24"/>
          <w:szCs w:val="24"/>
          <w:shd w:val="clear" w:color="auto" w:fill="FFFFFF"/>
        </w:rPr>
        <w:t>Ghassemieh</w:t>
      </w:r>
      <w:proofErr w:type="spellEnd"/>
      <w:r w:rsidRPr="00236546">
        <w:rPr>
          <w:rFonts w:ascii="Arial" w:hAnsi="Arial" w:cs="Arial"/>
          <w:color w:val="222222"/>
          <w:sz w:val="24"/>
          <w:szCs w:val="24"/>
          <w:shd w:val="clear" w:color="auto" w:fill="FFFFFF"/>
        </w:rPr>
        <w:t>, M. (2023). Predicting the magnitude of injection-induced earthquakes using machine learning techniques. </w:t>
      </w:r>
      <w:r w:rsidRPr="00236546">
        <w:rPr>
          <w:rFonts w:ascii="Arial" w:hAnsi="Arial" w:cs="Arial"/>
          <w:i/>
          <w:iCs/>
          <w:color w:val="222222"/>
          <w:sz w:val="24"/>
          <w:szCs w:val="24"/>
          <w:shd w:val="clear" w:color="auto" w:fill="FFFFFF"/>
        </w:rPr>
        <w:t>Natural Hazards</w:t>
      </w:r>
      <w:r w:rsidRPr="00236546">
        <w:rPr>
          <w:rFonts w:ascii="Arial" w:hAnsi="Arial" w:cs="Arial"/>
          <w:color w:val="222222"/>
          <w:sz w:val="24"/>
          <w:szCs w:val="24"/>
          <w:shd w:val="clear" w:color="auto" w:fill="FFFFFF"/>
        </w:rPr>
        <w:t>, 1-26.</w:t>
      </w:r>
      <w:r w:rsidRPr="003423F0">
        <w:rPr>
          <w:rFonts w:ascii="Arial" w:hAnsi="Arial" w:cs="Arial"/>
          <w:color w:val="222222"/>
          <w:sz w:val="24"/>
          <w:szCs w:val="24"/>
          <w:shd w:val="clear" w:color="auto" w:fill="FFFFFF"/>
        </w:rPr>
        <w:t xml:space="preserve"> </w:t>
      </w:r>
    </w:p>
    <w:p w14:paraId="613F5996" w14:textId="77777777" w:rsidR="004C3823" w:rsidRDefault="004C3823" w:rsidP="00A47C33">
      <w:pPr>
        <w:spacing w:line="480" w:lineRule="auto"/>
        <w:ind w:left="720" w:hanging="720"/>
        <w:rPr>
          <w:rFonts w:ascii="Arial" w:hAnsi="Arial" w:cs="Arial"/>
          <w:color w:val="222222"/>
          <w:sz w:val="24"/>
          <w:szCs w:val="24"/>
          <w:shd w:val="clear" w:color="auto" w:fill="FFFFFF"/>
        </w:rPr>
      </w:pPr>
      <w:r w:rsidRPr="00CC7160">
        <w:rPr>
          <w:rFonts w:ascii="Arial" w:hAnsi="Arial" w:cs="Arial"/>
          <w:color w:val="222222"/>
          <w:sz w:val="24"/>
          <w:szCs w:val="24"/>
          <w:shd w:val="clear" w:color="auto" w:fill="FFFFFF"/>
        </w:rPr>
        <w:t>Severn, R. T. (2012). Understanding earthquakes: from myth to science. </w:t>
      </w:r>
      <w:r w:rsidRPr="00CC7160">
        <w:rPr>
          <w:rFonts w:ascii="Arial" w:hAnsi="Arial" w:cs="Arial"/>
          <w:i/>
          <w:iCs/>
          <w:color w:val="222222"/>
          <w:sz w:val="24"/>
          <w:szCs w:val="24"/>
          <w:shd w:val="clear" w:color="auto" w:fill="FFFFFF"/>
        </w:rPr>
        <w:t>Bulletin of Earthquake Engineering</w:t>
      </w:r>
      <w:r w:rsidRPr="00CC7160">
        <w:rPr>
          <w:rFonts w:ascii="Arial" w:hAnsi="Arial" w:cs="Arial"/>
          <w:color w:val="222222"/>
          <w:sz w:val="24"/>
          <w:szCs w:val="24"/>
          <w:shd w:val="clear" w:color="auto" w:fill="FFFFFF"/>
        </w:rPr>
        <w:t>, </w:t>
      </w:r>
      <w:r w:rsidRPr="00CC7160">
        <w:rPr>
          <w:rFonts w:ascii="Arial" w:hAnsi="Arial" w:cs="Arial"/>
          <w:i/>
          <w:iCs/>
          <w:color w:val="222222"/>
          <w:sz w:val="24"/>
          <w:szCs w:val="24"/>
          <w:shd w:val="clear" w:color="auto" w:fill="FFFFFF"/>
        </w:rPr>
        <w:t>10</w:t>
      </w:r>
      <w:r w:rsidRPr="00CC7160">
        <w:rPr>
          <w:rFonts w:ascii="Arial" w:hAnsi="Arial" w:cs="Arial"/>
          <w:color w:val="222222"/>
          <w:sz w:val="24"/>
          <w:szCs w:val="24"/>
          <w:shd w:val="clear" w:color="auto" w:fill="FFFFFF"/>
        </w:rPr>
        <w:t>(2), 351-366.</w:t>
      </w:r>
    </w:p>
    <w:p w14:paraId="565CA9DB" w14:textId="77777777" w:rsidR="004C3823" w:rsidRPr="00236546" w:rsidRDefault="004C3823" w:rsidP="00A47C33">
      <w:pPr>
        <w:spacing w:line="480" w:lineRule="auto"/>
        <w:ind w:left="720" w:hanging="720"/>
        <w:rPr>
          <w:sz w:val="24"/>
          <w:szCs w:val="24"/>
        </w:rPr>
      </w:pPr>
      <w:r w:rsidRPr="007C2A05">
        <w:rPr>
          <w:rFonts w:ascii="Arial" w:hAnsi="Arial" w:cs="Arial"/>
          <w:color w:val="222222"/>
          <w:sz w:val="24"/>
          <w:szCs w:val="24"/>
          <w:shd w:val="clear" w:color="auto" w:fill="FFFFFF"/>
        </w:rPr>
        <w:t xml:space="preserve">Tan, Y. J., &amp; Maharjan, R. (2018). What </w:t>
      </w:r>
      <w:r>
        <w:rPr>
          <w:rFonts w:ascii="Arial" w:hAnsi="Arial" w:cs="Arial"/>
          <w:color w:val="222222"/>
          <w:sz w:val="24"/>
          <w:szCs w:val="24"/>
          <w:shd w:val="clear" w:color="auto" w:fill="FFFFFF"/>
        </w:rPr>
        <w:t>G</w:t>
      </w:r>
      <w:r w:rsidRPr="007C2A05">
        <w:rPr>
          <w:rFonts w:ascii="Arial" w:hAnsi="Arial" w:cs="Arial"/>
          <w:color w:val="222222"/>
          <w:sz w:val="24"/>
          <w:szCs w:val="24"/>
          <w:shd w:val="clear" w:color="auto" w:fill="FFFFFF"/>
        </w:rPr>
        <w:t>oogling trends tell us about public interest in earthquakes. </w:t>
      </w:r>
      <w:r w:rsidRPr="007C2A05">
        <w:rPr>
          <w:rFonts w:ascii="Arial" w:hAnsi="Arial" w:cs="Arial"/>
          <w:i/>
          <w:iCs/>
          <w:color w:val="222222"/>
          <w:sz w:val="24"/>
          <w:szCs w:val="24"/>
          <w:shd w:val="clear" w:color="auto" w:fill="FFFFFF"/>
        </w:rPr>
        <w:t>Seismological Research Letters</w:t>
      </w:r>
      <w:r w:rsidRPr="007C2A05">
        <w:rPr>
          <w:rFonts w:ascii="Arial" w:hAnsi="Arial" w:cs="Arial"/>
          <w:color w:val="222222"/>
          <w:sz w:val="24"/>
          <w:szCs w:val="24"/>
          <w:shd w:val="clear" w:color="auto" w:fill="FFFFFF"/>
        </w:rPr>
        <w:t>, </w:t>
      </w:r>
      <w:r w:rsidRPr="007C2A05">
        <w:rPr>
          <w:rFonts w:ascii="Arial" w:hAnsi="Arial" w:cs="Arial"/>
          <w:i/>
          <w:iCs/>
          <w:color w:val="222222"/>
          <w:sz w:val="24"/>
          <w:szCs w:val="24"/>
          <w:shd w:val="clear" w:color="auto" w:fill="FFFFFF"/>
        </w:rPr>
        <w:t>89</w:t>
      </w:r>
      <w:r w:rsidRPr="007C2A05">
        <w:rPr>
          <w:rFonts w:ascii="Arial" w:hAnsi="Arial" w:cs="Arial"/>
          <w:color w:val="222222"/>
          <w:sz w:val="24"/>
          <w:szCs w:val="24"/>
          <w:shd w:val="clear" w:color="auto" w:fill="FFFFFF"/>
        </w:rPr>
        <w:t>(2A), 653-657.</w:t>
      </w:r>
    </w:p>
    <w:p w14:paraId="3A082F73" w14:textId="77777777" w:rsidR="004C3823" w:rsidRDefault="004C3823" w:rsidP="0084663F">
      <w:pPr>
        <w:jc w:val="center"/>
        <w:rPr>
          <w:b/>
          <w:bCs/>
          <w:sz w:val="72"/>
          <w:szCs w:val="72"/>
        </w:rPr>
      </w:pPr>
      <w:r w:rsidRPr="006C4097">
        <w:rPr>
          <w:b/>
          <w:bCs/>
          <w:sz w:val="72"/>
          <w:szCs w:val="72"/>
        </w:rPr>
        <w:lastRenderedPageBreak/>
        <w:t xml:space="preserve">Chapter 2: </w:t>
      </w:r>
    </w:p>
    <w:p w14:paraId="67112086" w14:textId="77777777" w:rsidR="004C3823" w:rsidRPr="006C4097" w:rsidRDefault="004C3823" w:rsidP="0084663F">
      <w:pPr>
        <w:jc w:val="center"/>
        <w:rPr>
          <w:b/>
          <w:bCs/>
          <w:sz w:val="72"/>
          <w:szCs w:val="72"/>
        </w:rPr>
      </w:pPr>
      <w:r w:rsidRPr="006C4097">
        <w:rPr>
          <w:b/>
          <w:bCs/>
          <w:sz w:val="72"/>
          <w:szCs w:val="72"/>
        </w:rPr>
        <w:t xml:space="preserve">Waveform correlation improves magnitude calibration during hydraulic </w:t>
      </w:r>
      <w:proofErr w:type="gramStart"/>
      <w:r w:rsidRPr="006C4097">
        <w:rPr>
          <w:b/>
          <w:bCs/>
          <w:sz w:val="72"/>
          <w:szCs w:val="72"/>
        </w:rPr>
        <w:t>fracturing</w:t>
      </w:r>
      <w:proofErr w:type="gramEnd"/>
    </w:p>
    <w:p w14:paraId="1719950A" w14:textId="77777777" w:rsidR="004C3823" w:rsidRDefault="004C3823" w:rsidP="00C32F8E">
      <w:pPr>
        <w:spacing w:line="480" w:lineRule="auto"/>
        <w:rPr>
          <w:b/>
          <w:bCs/>
          <w:sz w:val="24"/>
          <w:szCs w:val="24"/>
        </w:rPr>
      </w:pPr>
    </w:p>
    <w:p w14:paraId="4B776ABD" w14:textId="77777777" w:rsidR="004C3823" w:rsidRDefault="004C3823" w:rsidP="00C32F8E">
      <w:pPr>
        <w:spacing w:line="480" w:lineRule="auto"/>
        <w:rPr>
          <w:b/>
          <w:bCs/>
          <w:sz w:val="24"/>
          <w:szCs w:val="24"/>
        </w:rPr>
      </w:pPr>
    </w:p>
    <w:p w14:paraId="3F46A0CA" w14:textId="77777777" w:rsidR="004C3823" w:rsidRDefault="004C3823" w:rsidP="00C32F8E">
      <w:pPr>
        <w:spacing w:line="480" w:lineRule="auto"/>
        <w:rPr>
          <w:b/>
          <w:bCs/>
          <w:sz w:val="24"/>
          <w:szCs w:val="24"/>
        </w:rPr>
      </w:pPr>
    </w:p>
    <w:p w14:paraId="13932DD7" w14:textId="77777777" w:rsidR="004C3823" w:rsidRDefault="004C3823" w:rsidP="00C32F8E">
      <w:pPr>
        <w:spacing w:line="480" w:lineRule="auto"/>
        <w:rPr>
          <w:b/>
          <w:bCs/>
          <w:sz w:val="24"/>
          <w:szCs w:val="24"/>
        </w:rPr>
      </w:pPr>
    </w:p>
    <w:p w14:paraId="10525D63" w14:textId="77777777" w:rsidR="004C3823" w:rsidRDefault="004C3823" w:rsidP="00C32F8E">
      <w:pPr>
        <w:spacing w:line="480" w:lineRule="auto"/>
        <w:rPr>
          <w:b/>
          <w:bCs/>
          <w:sz w:val="24"/>
          <w:szCs w:val="24"/>
        </w:rPr>
      </w:pPr>
    </w:p>
    <w:p w14:paraId="42D54EFE" w14:textId="77777777" w:rsidR="004C3823" w:rsidRDefault="004C3823" w:rsidP="00C32F8E">
      <w:pPr>
        <w:spacing w:line="480" w:lineRule="auto"/>
        <w:rPr>
          <w:b/>
          <w:bCs/>
          <w:sz w:val="24"/>
          <w:szCs w:val="24"/>
        </w:rPr>
      </w:pPr>
    </w:p>
    <w:p w14:paraId="0C4450AD" w14:textId="77777777" w:rsidR="004C3823" w:rsidRDefault="004C3823" w:rsidP="00C32F8E">
      <w:pPr>
        <w:spacing w:line="480" w:lineRule="auto"/>
        <w:rPr>
          <w:b/>
          <w:bCs/>
          <w:sz w:val="24"/>
          <w:szCs w:val="24"/>
        </w:rPr>
      </w:pPr>
    </w:p>
    <w:p w14:paraId="33D7ADA1" w14:textId="77777777" w:rsidR="004C3823" w:rsidRDefault="004C3823" w:rsidP="00C32F8E">
      <w:pPr>
        <w:spacing w:line="480" w:lineRule="auto"/>
        <w:rPr>
          <w:b/>
          <w:bCs/>
          <w:sz w:val="24"/>
          <w:szCs w:val="24"/>
        </w:rPr>
      </w:pPr>
    </w:p>
    <w:p w14:paraId="742CB67A" w14:textId="77777777" w:rsidR="004C3823" w:rsidRDefault="004C3823" w:rsidP="00C32F8E">
      <w:pPr>
        <w:spacing w:line="480" w:lineRule="auto"/>
        <w:rPr>
          <w:b/>
          <w:bCs/>
          <w:sz w:val="24"/>
          <w:szCs w:val="24"/>
        </w:rPr>
      </w:pPr>
    </w:p>
    <w:p w14:paraId="726160FA" w14:textId="77777777" w:rsidR="004C3823" w:rsidRDefault="004C3823" w:rsidP="00C32F8E">
      <w:pPr>
        <w:spacing w:line="480" w:lineRule="auto"/>
        <w:rPr>
          <w:b/>
          <w:bCs/>
          <w:sz w:val="24"/>
          <w:szCs w:val="24"/>
        </w:rPr>
      </w:pPr>
    </w:p>
    <w:p w14:paraId="1CD23E00" w14:textId="77777777" w:rsidR="004C3823" w:rsidRDefault="004C3823" w:rsidP="00C32F8E">
      <w:pPr>
        <w:spacing w:line="480" w:lineRule="auto"/>
        <w:rPr>
          <w:b/>
          <w:bCs/>
          <w:sz w:val="24"/>
          <w:szCs w:val="24"/>
        </w:rPr>
      </w:pPr>
    </w:p>
    <w:p w14:paraId="48A13E1F" w14:textId="77777777" w:rsidR="004C3823" w:rsidRPr="00492A10" w:rsidRDefault="004C3823" w:rsidP="00C32F8E">
      <w:pPr>
        <w:spacing w:line="480" w:lineRule="auto"/>
        <w:rPr>
          <w:b/>
          <w:bCs/>
          <w:sz w:val="24"/>
          <w:szCs w:val="24"/>
        </w:rPr>
      </w:pPr>
      <w:r>
        <w:rPr>
          <w:b/>
          <w:bCs/>
          <w:sz w:val="24"/>
          <w:szCs w:val="24"/>
        </w:rPr>
        <w:lastRenderedPageBreak/>
        <w:t xml:space="preserve">2.1 </w:t>
      </w:r>
      <w:r w:rsidRPr="00492A10">
        <w:rPr>
          <w:b/>
          <w:bCs/>
          <w:sz w:val="24"/>
          <w:szCs w:val="24"/>
        </w:rPr>
        <w:t>Abstract</w:t>
      </w:r>
    </w:p>
    <w:p w14:paraId="6CD906F9" w14:textId="77777777" w:rsidR="004C3823" w:rsidRPr="00492A10" w:rsidRDefault="004C3823" w:rsidP="00C32F8E">
      <w:pPr>
        <w:spacing w:line="480" w:lineRule="auto"/>
        <w:ind w:firstLine="720"/>
        <w:rPr>
          <w:sz w:val="24"/>
          <w:szCs w:val="24"/>
        </w:rPr>
      </w:pPr>
      <w:r w:rsidRPr="00492A10">
        <w:rPr>
          <w:sz w:val="24"/>
          <w:szCs w:val="24"/>
        </w:rPr>
        <w:t>Microseismic monitoring is an important technique to obtain detailed knowledge of in-situ fracture size and orientation</w:t>
      </w:r>
      <w:r>
        <w:rPr>
          <w:sz w:val="24"/>
          <w:szCs w:val="24"/>
        </w:rPr>
        <w:t xml:space="preserve"> during </w:t>
      </w:r>
      <w:r w:rsidRPr="00492A10">
        <w:rPr>
          <w:sz w:val="24"/>
          <w:szCs w:val="24"/>
        </w:rPr>
        <w:t xml:space="preserve">active well stimulation to maximize </w:t>
      </w:r>
      <w:r>
        <w:rPr>
          <w:sz w:val="24"/>
          <w:szCs w:val="24"/>
        </w:rPr>
        <w:t>fluid flow</w:t>
      </w:r>
      <w:r w:rsidRPr="00492A10">
        <w:rPr>
          <w:sz w:val="24"/>
          <w:szCs w:val="24"/>
        </w:rPr>
        <w:t xml:space="preserve"> throughout the rock volume and </w:t>
      </w:r>
      <w:r>
        <w:rPr>
          <w:sz w:val="24"/>
          <w:szCs w:val="24"/>
        </w:rPr>
        <w:t>optimize</w:t>
      </w:r>
      <w:r w:rsidRPr="00492A10">
        <w:rPr>
          <w:sz w:val="24"/>
          <w:szCs w:val="24"/>
        </w:rPr>
        <w:t xml:space="preserve"> production. </w:t>
      </w:r>
      <w:r>
        <w:rPr>
          <w:sz w:val="24"/>
          <w:szCs w:val="24"/>
        </w:rPr>
        <w:t>Furthermore, considering that the frequency of earthquake magnitudes empirically follows a power law (</w:t>
      </w:r>
      <w:proofErr w:type="gramStart"/>
      <w:r>
        <w:rPr>
          <w:sz w:val="24"/>
          <w:szCs w:val="24"/>
        </w:rPr>
        <w:t>i.e.</w:t>
      </w:r>
      <w:proofErr w:type="gramEnd"/>
      <w:r>
        <w:rPr>
          <w:sz w:val="24"/>
          <w:szCs w:val="24"/>
        </w:rPr>
        <w:t xml:space="preserve"> Gutenberg-Richter), the accuracy of </w:t>
      </w:r>
      <w:r w:rsidRPr="00492A10">
        <w:rPr>
          <w:sz w:val="24"/>
          <w:szCs w:val="24"/>
        </w:rPr>
        <w:t xml:space="preserve">microseismic event magnitude distributions </w:t>
      </w:r>
      <w:r>
        <w:rPr>
          <w:sz w:val="24"/>
          <w:szCs w:val="24"/>
        </w:rPr>
        <w:t>is</w:t>
      </w:r>
      <w:r w:rsidRPr="00492A10">
        <w:rPr>
          <w:sz w:val="24"/>
          <w:szCs w:val="24"/>
        </w:rPr>
        <w:t xml:space="preserve"> </w:t>
      </w:r>
      <w:r>
        <w:rPr>
          <w:sz w:val="24"/>
          <w:szCs w:val="24"/>
        </w:rPr>
        <w:t xml:space="preserve">potentially </w:t>
      </w:r>
      <w:r w:rsidRPr="00492A10">
        <w:rPr>
          <w:sz w:val="24"/>
          <w:szCs w:val="24"/>
        </w:rPr>
        <w:t xml:space="preserve">crucial </w:t>
      </w:r>
      <w:r>
        <w:rPr>
          <w:sz w:val="24"/>
          <w:szCs w:val="24"/>
        </w:rPr>
        <w:t>for</w:t>
      </w:r>
      <w:r w:rsidRPr="00492A10">
        <w:rPr>
          <w:sz w:val="24"/>
          <w:szCs w:val="24"/>
        </w:rPr>
        <w:t xml:space="preserve"> seismic risk management. </w:t>
      </w:r>
      <w:r>
        <w:rPr>
          <w:sz w:val="24"/>
          <w:szCs w:val="24"/>
        </w:rPr>
        <w:t>In this study, we analyze</w:t>
      </w:r>
      <w:r w:rsidRPr="00492A10">
        <w:rPr>
          <w:sz w:val="24"/>
          <w:szCs w:val="24"/>
        </w:rPr>
        <w:t xml:space="preserve"> microseismicity</w:t>
      </w:r>
      <w:r>
        <w:rPr>
          <w:sz w:val="24"/>
          <w:szCs w:val="24"/>
        </w:rPr>
        <w:t xml:space="preserve"> observed during</w:t>
      </w:r>
      <w:r w:rsidRPr="00492A10">
        <w:rPr>
          <w:sz w:val="24"/>
          <w:szCs w:val="24"/>
        </w:rPr>
        <w:t xml:space="preserve"> four hydraulic fracture stages of the legacy Cotton Valley experiment in 1997 at the Carthage gas field of East Texas, where fractures with </w:t>
      </w:r>
      <w:r>
        <w:rPr>
          <w:sz w:val="24"/>
          <w:szCs w:val="24"/>
        </w:rPr>
        <w:t>significant</w:t>
      </w:r>
      <w:r w:rsidRPr="00492A10">
        <w:rPr>
          <w:sz w:val="24"/>
          <w:szCs w:val="24"/>
        </w:rPr>
        <w:t xml:space="preserve"> moment release were activated at the base of the sand-shale Upper Cotton Valley formation. We perform waveform cross-correlation to detect similar event clusters and calibrate event magnitudes based on relative amplitudes </w:t>
      </w:r>
      <w:r>
        <w:rPr>
          <w:sz w:val="24"/>
          <w:szCs w:val="24"/>
        </w:rPr>
        <w:t>within those clusters</w:t>
      </w:r>
      <w:r w:rsidRPr="00492A10">
        <w:rPr>
          <w:sz w:val="24"/>
          <w:szCs w:val="24"/>
        </w:rPr>
        <w:t xml:space="preserve"> from waveform cross-correlation. The calibrated magnitudes significantly reduce the deviations between magnitude differences and relative amplitudes of event pairs. This subsequently reduces the magnitude differences between clusters located at different depths. Reduction in magnitude differences between clusters suggests that attenuation</w:t>
      </w:r>
      <w:r>
        <w:rPr>
          <w:sz w:val="24"/>
          <w:szCs w:val="24"/>
        </w:rPr>
        <w:t>-</w:t>
      </w:r>
      <w:r w:rsidRPr="00492A10">
        <w:rPr>
          <w:sz w:val="24"/>
          <w:szCs w:val="24"/>
        </w:rPr>
        <w:t xml:space="preserve">related biases could be effectively mitigated with waveform correlation. </w:t>
      </w:r>
      <w:r>
        <w:rPr>
          <w:sz w:val="24"/>
          <w:szCs w:val="24"/>
        </w:rPr>
        <w:t>The m</w:t>
      </w:r>
      <w:r w:rsidRPr="00492A10">
        <w:rPr>
          <w:sz w:val="24"/>
          <w:szCs w:val="24"/>
        </w:rPr>
        <w:t xml:space="preserve">aximum likelihood method is applied to understand the magnitude frequency distributions and quantify </w:t>
      </w:r>
      <w:r>
        <w:rPr>
          <w:sz w:val="24"/>
          <w:szCs w:val="24"/>
        </w:rPr>
        <w:t xml:space="preserve">the </w:t>
      </w:r>
      <w:proofErr w:type="spellStart"/>
      <w:r w:rsidRPr="00492A10">
        <w:rPr>
          <w:sz w:val="24"/>
          <w:szCs w:val="24"/>
        </w:rPr>
        <w:t>seismogenic</w:t>
      </w:r>
      <w:proofErr w:type="spellEnd"/>
      <w:r w:rsidRPr="00492A10">
        <w:rPr>
          <w:sz w:val="24"/>
          <w:szCs w:val="24"/>
        </w:rPr>
        <w:t xml:space="preserve"> </w:t>
      </w:r>
      <w:r>
        <w:rPr>
          <w:sz w:val="24"/>
          <w:szCs w:val="24"/>
        </w:rPr>
        <w:t>index of the geographic clusters</w:t>
      </w:r>
      <w:r w:rsidRPr="00492A10">
        <w:rPr>
          <w:sz w:val="24"/>
          <w:szCs w:val="24"/>
        </w:rPr>
        <w:t xml:space="preserve">. Statistical analyses after magnitude calibration suggest that fractures that are more favorably oriented for shear failure have lower b-value and higher </w:t>
      </w:r>
      <w:proofErr w:type="spellStart"/>
      <w:r>
        <w:rPr>
          <w:sz w:val="24"/>
          <w:szCs w:val="24"/>
        </w:rPr>
        <w:t>seismogenic</w:t>
      </w:r>
      <w:proofErr w:type="spellEnd"/>
      <w:r>
        <w:rPr>
          <w:sz w:val="24"/>
          <w:szCs w:val="24"/>
        </w:rPr>
        <w:t xml:space="preserve"> index, perhaps suggesting a </w:t>
      </w:r>
      <w:r w:rsidRPr="00492A10">
        <w:rPr>
          <w:sz w:val="24"/>
          <w:szCs w:val="24"/>
        </w:rPr>
        <w:t xml:space="preserve">higher </w:t>
      </w:r>
      <w:r>
        <w:rPr>
          <w:sz w:val="24"/>
          <w:szCs w:val="24"/>
        </w:rPr>
        <w:t>potential for larger earthquakes, rather</w:t>
      </w:r>
      <w:r w:rsidRPr="00492A10">
        <w:rPr>
          <w:sz w:val="24"/>
          <w:szCs w:val="24"/>
        </w:rPr>
        <w:t xml:space="preserve"> than fractures subparallel to maximum horizontal principal stress orientation.</w:t>
      </w:r>
    </w:p>
    <w:p w14:paraId="5CED64E2" w14:textId="77777777" w:rsidR="004C3823" w:rsidRDefault="004C3823" w:rsidP="00C32F8E">
      <w:pPr>
        <w:spacing w:line="480" w:lineRule="auto"/>
        <w:rPr>
          <w:b/>
          <w:bCs/>
          <w:sz w:val="24"/>
          <w:szCs w:val="24"/>
        </w:rPr>
      </w:pPr>
    </w:p>
    <w:p w14:paraId="1A4417A2" w14:textId="77777777" w:rsidR="004C3823" w:rsidRPr="00492A10" w:rsidRDefault="004C3823" w:rsidP="00C32F8E">
      <w:pPr>
        <w:spacing w:line="480" w:lineRule="auto"/>
        <w:rPr>
          <w:b/>
          <w:bCs/>
          <w:sz w:val="24"/>
          <w:szCs w:val="24"/>
        </w:rPr>
      </w:pPr>
      <w:r>
        <w:rPr>
          <w:b/>
          <w:bCs/>
          <w:sz w:val="24"/>
          <w:szCs w:val="24"/>
        </w:rPr>
        <w:lastRenderedPageBreak/>
        <w:t>2.2</w:t>
      </w:r>
      <w:r w:rsidRPr="00492A10">
        <w:rPr>
          <w:b/>
          <w:bCs/>
          <w:sz w:val="24"/>
          <w:szCs w:val="24"/>
        </w:rPr>
        <w:t xml:space="preserve"> Introduction</w:t>
      </w:r>
    </w:p>
    <w:p w14:paraId="414B5A0C" w14:textId="77777777" w:rsidR="004C3823" w:rsidRPr="00492A10" w:rsidRDefault="004C3823" w:rsidP="00C32F8E">
      <w:pPr>
        <w:spacing w:line="480" w:lineRule="auto"/>
        <w:ind w:firstLine="720"/>
        <w:rPr>
          <w:sz w:val="24"/>
          <w:szCs w:val="24"/>
        </w:rPr>
      </w:pPr>
      <w:r w:rsidRPr="00492A10">
        <w:rPr>
          <w:sz w:val="24"/>
          <w:szCs w:val="24"/>
        </w:rPr>
        <w:t>Microseismicity monitoring has been a useful technique in quality control of the operation during hydraulic fracturing in oil and gas exploration (Albright et al., 1982). Source location, fracture orientation, and fracture growth may be determined from microseismic monitoring to improve and calibrate treatment designs</w:t>
      </w:r>
      <w:r>
        <w:rPr>
          <w:sz w:val="24"/>
          <w:szCs w:val="24"/>
        </w:rPr>
        <w:t>, as</w:t>
      </w:r>
      <w:r w:rsidRPr="00492A10">
        <w:rPr>
          <w:sz w:val="24"/>
          <w:szCs w:val="24"/>
        </w:rPr>
        <w:t xml:space="preserve"> well</w:t>
      </w:r>
      <w:r>
        <w:rPr>
          <w:sz w:val="24"/>
          <w:szCs w:val="24"/>
        </w:rPr>
        <w:t xml:space="preserve"> as identify potential</w:t>
      </w:r>
      <w:r w:rsidRPr="00492A10">
        <w:rPr>
          <w:sz w:val="24"/>
          <w:szCs w:val="24"/>
        </w:rPr>
        <w:t xml:space="preserve"> placement for </w:t>
      </w:r>
      <w:r>
        <w:rPr>
          <w:sz w:val="24"/>
          <w:szCs w:val="24"/>
        </w:rPr>
        <w:t xml:space="preserve">additional </w:t>
      </w:r>
      <w:r w:rsidRPr="00492A10">
        <w:rPr>
          <w:sz w:val="24"/>
          <w:szCs w:val="24"/>
        </w:rPr>
        <w:t>hydraulic fracturing or wastewater injection</w:t>
      </w:r>
      <w:r>
        <w:rPr>
          <w:sz w:val="24"/>
          <w:szCs w:val="24"/>
        </w:rPr>
        <w:t xml:space="preserve"> wells</w:t>
      </w:r>
      <w:r w:rsidRPr="00492A10">
        <w:rPr>
          <w:sz w:val="24"/>
          <w:szCs w:val="24"/>
        </w:rPr>
        <w:t xml:space="preserve"> within the desired unit. </w:t>
      </w:r>
      <w:r>
        <w:rPr>
          <w:sz w:val="24"/>
          <w:szCs w:val="24"/>
        </w:rPr>
        <w:t>In some cases, it may be</w:t>
      </w:r>
      <w:r w:rsidRPr="00492A10">
        <w:rPr>
          <w:sz w:val="24"/>
          <w:szCs w:val="24"/>
        </w:rPr>
        <w:t xml:space="preserve"> essential </w:t>
      </w:r>
      <w:r>
        <w:rPr>
          <w:sz w:val="24"/>
          <w:szCs w:val="24"/>
        </w:rPr>
        <w:t>to maximize</w:t>
      </w:r>
      <w:r w:rsidRPr="00492A10">
        <w:rPr>
          <w:sz w:val="24"/>
          <w:szCs w:val="24"/>
        </w:rPr>
        <w:t xml:space="preserve"> economical production </w:t>
      </w:r>
      <w:r>
        <w:rPr>
          <w:sz w:val="24"/>
          <w:szCs w:val="24"/>
        </w:rPr>
        <w:t>by ensuring the rock volume is thoroughly stimulated and creates high permeability for long-term hydrocarbon recovery by examining such factors as</w:t>
      </w:r>
      <w:r w:rsidRPr="00492A10">
        <w:rPr>
          <w:sz w:val="24"/>
          <w:szCs w:val="24"/>
        </w:rPr>
        <w:t xml:space="preserve"> proper fracture orientation, size, fractured volume, and hydraulic communication</w:t>
      </w:r>
      <w:r>
        <w:rPr>
          <w:sz w:val="24"/>
          <w:szCs w:val="24"/>
        </w:rPr>
        <w:t>.</w:t>
      </w:r>
    </w:p>
    <w:p w14:paraId="02CA610B" w14:textId="77777777" w:rsidR="004C3823" w:rsidRPr="00492A10" w:rsidRDefault="004C3823" w:rsidP="00C32F8E">
      <w:pPr>
        <w:spacing w:line="480" w:lineRule="auto"/>
        <w:rPr>
          <w:sz w:val="24"/>
          <w:szCs w:val="24"/>
        </w:rPr>
      </w:pPr>
      <w:r w:rsidRPr="00492A10">
        <w:rPr>
          <w:sz w:val="24"/>
          <w:szCs w:val="24"/>
        </w:rPr>
        <w:t>Hydraulic</w:t>
      </w:r>
      <w:r>
        <w:rPr>
          <w:sz w:val="24"/>
          <w:szCs w:val="24"/>
        </w:rPr>
        <w:t xml:space="preserve"> </w:t>
      </w:r>
      <w:r w:rsidRPr="00492A10">
        <w:rPr>
          <w:sz w:val="24"/>
          <w:szCs w:val="24"/>
        </w:rPr>
        <w:t xml:space="preserve">fracturing creates fractures and expands high-permeability fracture pathways for effective and efficient hydrocarbon extraction. This process is completed in stages because of the large amount of energy required to pump fluids and materials (e.g., sand proppant to hold fractures open) for generating fractures and is only practical to frack for </w:t>
      </w:r>
      <w:r>
        <w:rPr>
          <w:sz w:val="24"/>
          <w:szCs w:val="24"/>
        </w:rPr>
        <w:t xml:space="preserve">a </w:t>
      </w:r>
      <w:r w:rsidRPr="00492A10">
        <w:rPr>
          <w:sz w:val="24"/>
          <w:szCs w:val="24"/>
        </w:rPr>
        <w:t xml:space="preserve">limited amount of time in each segment of the leased rock volume. The behavior of </w:t>
      </w:r>
      <w:proofErr w:type="gramStart"/>
      <w:r>
        <w:rPr>
          <w:sz w:val="24"/>
          <w:szCs w:val="24"/>
        </w:rPr>
        <w:t>the seismicity</w:t>
      </w:r>
      <w:proofErr w:type="gramEnd"/>
      <w:r>
        <w:rPr>
          <w:sz w:val="24"/>
          <w:szCs w:val="24"/>
        </w:rPr>
        <w:t xml:space="preserve"> that is </w:t>
      </w:r>
      <w:r w:rsidRPr="00492A10">
        <w:rPr>
          <w:sz w:val="24"/>
          <w:szCs w:val="24"/>
        </w:rPr>
        <w:t xml:space="preserve">induced </w:t>
      </w:r>
      <w:r>
        <w:rPr>
          <w:sz w:val="24"/>
          <w:szCs w:val="24"/>
        </w:rPr>
        <w:t>during well stimulation</w:t>
      </w:r>
      <w:r w:rsidRPr="00492A10">
        <w:rPr>
          <w:sz w:val="24"/>
          <w:szCs w:val="24"/>
        </w:rPr>
        <w:t xml:space="preserve"> is spatially and temporally controlled by stress relaxation and pore pressure fluctuations initiated at the injection location (Shapiro et al., 1997). Hydraulic fractures are created through</w:t>
      </w:r>
      <w:r>
        <w:rPr>
          <w:sz w:val="24"/>
          <w:szCs w:val="24"/>
        </w:rPr>
        <w:t xml:space="preserve"> a</w:t>
      </w:r>
      <w:r w:rsidRPr="00492A10">
        <w:rPr>
          <w:sz w:val="24"/>
          <w:szCs w:val="24"/>
        </w:rPr>
        <w:t xml:space="preserve"> tensile opening in the direction of</w:t>
      </w:r>
      <w:r>
        <w:rPr>
          <w:sz w:val="24"/>
          <w:szCs w:val="24"/>
        </w:rPr>
        <w:t xml:space="preserve"> the</w:t>
      </w:r>
      <w:r w:rsidRPr="00492A10">
        <w:rPr>
          <w:sz w:val="24"/>
          <w:szCs w:val="24"/>
        </w:rPr>
        <w:t xml:space="preserve"> least principal stress, and the expected hydraulic fracture usually aligns with the direction of maximum principal stress (Hubbert </w:t>
      </w:r>
      <w:r>
        <w:rPr>
          <w:sz w:val="24"/>
          <w:szCs w:val="24"/>
        </w:rPr>
        <w:t>and</w:t>
      </w:r>
      <w:r w:rsidRPr="00492A10">
        <w:rPr>
          <w:sz w:val="24"/>
          <w:szCs w:val="24"/>
        </w:rPr>
        <w:t xml:space="preserve"> Willis, 1957). While </w:t>
      </w:r>
      <w:r>
        <w:rPr>
          <w:sz w:val="24"/>
          <w:szCs w:val="24"/>
        </w:rPr>
        <w:t xml:space="preserve">the </w:t>
      </w:r>
      <w:r w:rsidRPr="00492A10">
        <w:rPr>
          <w:sz w:val="24"/>
          <w:szCs w:val="24"/>
        </w:rPr>
        <w:t xml:space="preserve">tensile opening mode is expected for hydraulic fractures, shear slip has often been observed for microseismic events and larger events, which has been interpreted to represent </w:t>
      </w:r>
      <w:r>
        <w:rPr>
          <w:sz w:val="24"/>
          <w:szCs w:val="24"/>
        </w:rPr>
        <w:t xml:space="preserve">an </w:t>
      </w:r>
      <w:r w:rsidRPr="00492A10">
        <w:rPr>
          <w:sz w:val="24"/>
          <w:szCs w:val="24"/>
        </w:rPr>
        <w:t xml:space="preserve">interaction between hydraulic fractures and natural fractures </w:t>
      </w:r>
      <w:r>
        <w:rPr>
          <w:sz w:val="24"/>
          <w:szCs w:val="24"/>
        </w:rPr>
        <w:t xml:space="preserve">or </w:t>
      </w:r>
      <w:r>
        <w:rPr>
          <w:sz w:val="24"/>
          <w:szCs w:val="24"/>
        </w:rPr>
        <w:lastRenderedPageBreak/>
        <w:t xml:space="preserve">other sedimentary structures such as bedding planes </w:t>
      </w:r>
      <w:r w:rsidRPr="00492A10">
        <w:rPr>
          <w:sz w:val="24"/>
          <w:szCs w:val="24"/>
        </w:rPr>
        <w:t xml:space="preserve">(Maxwell </w:t>
      </w:r>
      <w:r>
        <w:rPr>
          <w:sz w:val="24"/>
          <w:szCs w:val="24"/>
        </w:rPr>
        <w:t>and</w:t>
      </w:r>
      <w:r w:rsidRPr="00492A10">
        <w:rPr>
          <w:sz w:val="24"/>
          <w:szCs w:val="24"/>
        </w:rPr>
        <w:t xml:space="preserve"> Cipolla, 2011; Rutledge et al., 2004; Hubbert </w:t>
      </w:r>
      <w:r>
        <w:rPr>
          <w:sz w:val="24"/>
          <w:szCs w:val="24"/>
        </w:rPr>
        <w:t>and</w:t>
      </w:r>
      <w:r w:rsidRPr="00492A10">
        <w:rPr>
          <w:sz w:val="24"/>
          <w:szCs w:val="24"/>
        </w:rPr>
        <w:t xml:space="preserve"> Willis, 1957).</w:t>
      </w:r>
    </w:p>
    <w:p w14:paraId="28F99EF1" w14:textId="77777777" w:rsidR="004C3823" w:rsidRDefault="004C3823" w:rsidP="00C32F8E">
      <w:pPr>
        <w:spacing w:line="480" w:lineRule="auto"/>
        <w:ind w:firstLine="720"/>
        <w:rPr>
          <w:sz w:val="24"/>
          <w:szCs w:val="24"/>
        </w:rPr>
      </w:pPr>
      <w:r w:rsidRPr="00492A10">
        <w:rPr>
          <w:sz w:val="24"/>
          <w:szCs w:val="24"/>
        </w:rPr>
        <w:t xml:space="preserve">Analyses of characteristics of event occurrence </w:t>
      </w:r>
      <w:r>
        <w:rPr>
          <w:sz w:val="24"/>
          <w:szCs w:val="24"/>
        </w:rPr>
        <w:t>may provide a glimpse into the state of</w:t>
      </w:r>
      <w:r w:rsidRPr="00492A10">
        <w:rPr>
          <w:sz w:val="24"/>
          <w:szCs w:val="24"/>
        </w:rPr>
        <w:t xml:space="preserve"> subsurface stress. The power-law distribution of earthquake occurrence</w:t>
      </w:r>
      <w:r w:rsidRPr="00345A80">
        <w:rPr>
          <w:sz w:val="24"/>
          <w:szCs w:val="24"/>
        </w:rPr>
        <w:t xml:space="preserve"> </w:t>
      </w:r>
      <w:r>
        <w:rPr>
          <w:sz w:val="24"/>
          <w:szCs w:val="24"/>
        </w:rPr>
        <w:t xml:space="preserve">in </w:t>
      </w:r>
      <w:r w:rsidRPr="00074873">
        <w:rPr>
          <w:b/>
          <w:bCs/>
          <w:sz w:val="24"/>
          <w:szCs w:val="24"/>
        </w:rPr>
        <w:t>equation 2.1</w:t>
      </w:r>
      <w:r w:rsidRPr="00492A10">
        <w:rPr>
          <w:sz w:val="24"/>
          <w:szCs w:val="24"/>
        </w:rPr>
        <w:t xml:space="preserve">, commonly referred to as the Gutenberg-Richter (GR) relationship (Gutenberg </w:t>
      </w:r>
      <w:r>
        <w:rPr>
          <w:sz w:val="24"/>
          <w:szCs w:val="24"/>
        </w:rPr>
        <w:t>and</w:t>
      </w:r>
      <w:r w:rsidRPr="00492A10">
        <w:rPr>
          <w:sz w:val="24"/>
          <w:szCs w:val="24"/>
        </w:rPr>
        <w:t xml:space="preserve"> Richter, 1942), is described as </w:t>
      </w:r>
    </w:p>
    <w:p w14:paraId="0B534305" w14:textId="77777777" w:rsidR="004C3823" w:rsidRDefault="00DF2C3F" w:rsidP="008C483A">
      <w:pPr>
        <w:spacing w:line="480" w:lineRule="auto"/>
        <w:jc w:val="center"/>
        <w:rPr>
          <w:sz w:val="24"/>
          <w:szCs w:val="24"/>
        </w:rPr>
      </w:pPr>
      <m:oMath>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10</m:t>
                </m:r>
              </m:sub>
            </m:sSub>
          </m:fName>
          <m:e>
            <m:r>
              <w:rPr>
                <w:rFonts w:ascii="Cambria Math" w:hAnsi="Cambria Math"/>
                <w:sz w:val="24"/>
                <w:szCs w:val="24"/>
              </w:rPr>
              <m:t>N</m:t>
            </m:r>
          </m:e>
        </m:func>
        <m:r>
          <w:rPr>
            <w:rFonts w:ascii="Cambria Math" w:hAnsi="Cambria Math"/>
            <w:sz w:val="24"/>
            <w:szCs w:val="24"/>
          </w:rPr>
          <m:t>=a-bM</m:t>
        </m:r>
      </m:oMath>
      <w:r w:rsidR="004C3823" w:rsidRPr="00492A10">
        <w:rPr>
          <w:sz w:val="24"/>
          <w:szCs w:val="24"/>
        </w:rPr>
        <w:t>,</w:t>
      </w:r>
    </w:p>
    <w:p w14:paraId="143EDB87" w14:textId="77777777" w:rsidR="004C3823" w:rsidRDefault="004C3823" w:rsidP="00074873">
      <w:pPr>
        <w:spacing w:line="480" w:lineRule="auto"/>
        <w:jc w:val="right"/>
        <w:rPr>
          <w:sz w:val="24"/>
          <w:szCs w:val="24"/>
        </w:rPr>
      </w:pPr>
      <w:r>
        <w:rPr>
          <w:sz w:val="24"/>
          <w:szCs w:val="24"/>
        </w:rPr>
        <w:t>(2.1)</w:t>
      </w:r>
    </w:p>
    <w:p w14:paraId="4A78932C" w14:textId="77777777" w:rsidR="004C3823" w:rsidRPr="00492A10" w:rsidRDefault="004C3823" w:rsidP="00C32F8E">
      <w:pPr>
        <w:spacing w:line="480" w:lineRule="auto"/>
        <w:ind w:firstLine="720"/>
        <w:rPr>
          <w:sz w:val="24"/>
          <w:szCs w:val="24"/>
        </w:rPr>
      </w:pPr>
      <w:r w:rsidRPr="00492A10">
        <w:rPr>
          <w:sz w:val="24"/>
          <w:szCs w:val="24"/>
        </w:rPr>
        <w:t xml:space="preserve">where </w:t>
      </w:r>
      <m:oMath>
        <m:r>
          <w:rPr>
            <w:rFonts w:ascii="Cambria Math" w:hAnsi="Cambria Math"/>
            <w:sz w:val="24"/>
            <w:szCs w:val="24"/>
          </w:rPr>
          <m:t>N</m:t>
        </m:r>
      </m:oMath>
      <w:r w:rsidRPr="00492A10">
        <w:rPr>
          <w:sz w:val="24"/>
          <w:szCs w:val="24"/>
        </w:rPr>
        <w:t xml:space="preserve"> is the cumulative number of earthquakes above </w:t>
      </w:r>
      <m:oMath>
        <m:r>
          <w:rPr>
            <w:rFonts w:ascii="Cambria Math" w:hAnsi="Cambria Math"/>
            <w:sz w:val="24"/>
            <w:szCs w:val="24"/>
          </w:rPr>
          <m:t>M</m:t>
        </m:r>
      </m:oMath>
      <w:r w:rsidRPr="00492A10">
        <w:rPr>
          <w:sz w:val="24"/>
          <w:szCs w:val="24"/>
        </w:rPr>
        <w:t xml:space="preserve"> magnitude, </w:t>
      </w:r>
      <m:oMath>
        <m:r>
          <w:rPr>
            <w:rFonts w:ascii="Cambria Math" w:hAnsi="Cambria Math"/>
            <w:sz w:val="24"/>
            <w:szCs w:val="24"/>
          </w:rPr>
          <m:t>a</m:t>
        </m:r>
      </m:oMath>
      <w:r w:rsidRPr="00492A10">
        <w:rPr>
          <w:sz w:val="24"/>
          <w:szCs w:val="24"/>
        </w:rPr>
        <w:t xml:space="preserve"> is the intercept, and </w:t>
      </w:r>
      <m:oMath>
        <m:r>
          <w:rPr>
            <w:rFonts w:ascii="Cambria Math" w:hAnsi="Cambria Math"/>
            <w:sz w:val="24"/>
            <w:szCs w:val="24"/>
          </w:rPr>
          <m:t>b</m:t>
        </m:r>
      </m:oMath>
      <w:r w:rsidRPr="00492A10">
        <w:rPr>
          <w:sz w:val="24"/>
          <w:szCs w:val="24"/>
        </w:rPr>
        <w:t xml:space="preserve"> is the slope of the power-law distribution. However, not all events are detected by a network of seismometers. The magnitude of completeness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c</m:t>
            </m:r>
          </m:sub>
        </m:sSub>
      </m:oMath>
      <w:r w:rsidRPr="00492A10">
        <w:rPr>
          <w:sz w:val="24"/>
          <w:szCs w:val="24"/>
        </w:rPr>
        <w:t>) describes the mag</w:t>
      </w:r>
      <w:proofErr w:type="spellStart"/>
      <w:r w:rsidRPr="00492A10">
        <w:rPr>
          <w:sz w:val="24"/>
          <w:szCs w:val="24"/>
        </w:rPr>
        <w:t>nitude</w:t>
      </w:r>
      <w:proofErr w:type="spellEnd"/>
      <w:r w:rsidRPr="00492A10">
        <w:rPr>
          <w:sz w:val="24"/>
          <w:szCs w:val="24"/>
        </w:rPr>
        <w:t xml:space="preserve"> threshold, above which all events should be completely detected by the network. The b-value has been observed to vary across different tectonic zones, stress regimes, </w:t>
      </w:r>
      <w:r>
        <w:rPr>
          <w:sz w:val="24"/>
          <w:szCs w:val="24"/>
        </w:rPr>
        <w:t xml:space="preserve">earthquake </w:t>
      </w:r>
      <w:r w:rsidRPr="00492A10">
        <w:rPr>
          <w:sz w:val="24"/>
          <w:szCs w:val="24"/>
        </w:rPr>
        <w:t>causal conditions, and even temporally for the same study region (e.g., Ghosh et al., 2008). It has been suggested that it may represent a relative indicator of stress distributions across fault zones (Bachmann et al., 2014; Schorlemmer et al., 2005). Bachmann et al. (2012) found that</w:t>
      </w:r>
      <w:r>
        <w:rPr>
          <w:sz w:val="24"/>
          <w:szCs w:val="24"/>
        </w:rPr>
        <w:t xml:space="preserve"> the</w:t>
      </w:r>
      <w:r w:rsidRPr="00492A10">
        <w:rPr>
          <w:sz w:val="24"/>
          <w:szCs w:val="24"/>
        </w:rPr>
        <w:t xml:space="preserve"> b-value decreases with distance from the injection point, which could indicate reduced fault strength due to higher pore pressure near </w:t>
      </w:r>
      <w:r>
        <w:rPr>
          <w:sz w:val="24"/>
          <w:szCs w:val="24"/>
        </w:rPr>
        <w:t xml:space="preserve">the </w:t>
      </w:r>
      <w:r w:rsidRPr="00492A10">
        <w:rPr>
          <w:sz w:val="24"/>
          <w:szCs w:val="24"/>
        </w:rPr>
        <w:t>injection source. The relationship between injected volume and magnitude evolution can help us forecast induced seismicity and evaluate</w:t>
      </w:r>
      <w:r>
        <w:rPr>
          <w:sz w:val="24"/>
          <w:szCs w:val="24"/>
        </w:rPr>
        <w:t xml:space="preserve"> a potential</w:t>
      </w:r>
      <w:r w:rsidRPr="00492A10">
        <w:rPr>
          <w:sz w:val="24"/>
          <w:szCs w:val="24"/>
        </w:rPr>
        <w:t xml:space="preserve"> maximum magnitude</w:t>
      </w:r>
      <w:r>
        <w:rPr>
          <w:sz w:val="24"/>
          <w:szCs w:val="24"/>
        </w:rPr>
        <w:t xml:space="preserve"> for a fault zone</w:t>
      </w:r>
      <w:r w:rsidRPr="00492A10">
        <w:rPr>
          <w:sz w:val="24"/>
          <w:szCs w:val="24"/>
        </w:rPr>
        <w:t xml:space="preserve"> (McGarr, 2014). Shapiro et al. (2010) developed the </w:t>
      </w:r>
      <w:proofErr w:type="spellStart"/>
      <w:r>
        <w:rPr>
          <w:sz w:val="24"/>
          <w:szCs w:val="24"/>
        </w:rPr>
        <w:t>s</w:t>
      </w:r>
      <w:r w:rsidRPr="00492A10">
        <w:rPr>
          <w:sz w:val="24"/>
          <w:szCs w:val="24"/>
        </w:rPr>
        <w:t>eismogenic</w:t>
      </w:r>
      <w:proofErr w:type="spellEnd"/>
      <w:r w:rsidRPr="00492A10">
        <w:rPr>
          <w:sz w:val="24"/>
          <w:szCs w:val="24"/>
        </w:rPr>
        <w:t xml:space="preserve"> </w:t>
      </w:r>
      <w:r>
        <w:rPr>
          <w:sz w:val="24"/>
          <w:szCs w:val="24"/>
        </w:rPr>
        <w:t>i</w:t>
      </w:r>
      <w:r w:rsidRPr="00492A10">
        <w:rPr>
          <w:sz w:val="24"/>
          <w:szCs w:val="24"/>
        </w:rPr>
        <w:t xml:space="preserve">ndex </w:t>
      </w:r>
      <w:r>
        <w:rPr>
          <w:sz w:val="24"/>
          <w:szCs w:val="24"/>
        </w:rPr>
        <w:t xml:space="preserve">(SI) </w:t>
      </w:r>
      <w:r w:rsidRPr="00492A10">
        <w:rPr>
          <w:sz w:val="24"/>
          <w:szCs w:val="24"/>
        </w:rPr>
        <w:t xml:space="preserve">model to explain the relationship between injected </w:t>
      </w:r>
      <w:r w:rsidRPr="00492A10">
        <w:rPr>
          <w:sz w:val="24"/>
          <w:szCs w:val="24"/>
        </w:rPr>
        <w:lastRenderedPageBreak/>
        <w:t xml:space="preserve">volume and event number for different magnitudes, where regions with higher </w:t>
      </w:r>
      <w:proofErr w:type="spellStart"/>
      <w:r w:rsidRPr="00492A10">
        <w:rPr>
          <w:sz w:val="24"/>
          <w:szCs w:val="24"/>
        </w:rPr>
        <w:t>seismogenic</w:t>
      </w:r>
      <w:proofErr w:type="spellEnd"/>
      <w:r w:rsidRPr="00492A10">
        <w:rPr>
          <w:sz w:val="24"/>
          <w:szCs w:val="24"/>
        </w:rPr>
        <w:t xml:space="preserve"> index have</w:t>
      </w:r>
      <w:r>
        <w:rPr>
          <w:sz w:val="24"/>
          <w:szCs w:val="24"/>
        </w:rPr>
        <w:t xml:space="preserve"> a</w:t>
      </w:r>
      <w:r w:rsidRPr="00492A10">
        <w:rPr>
          <w:sz w:val="24"/>
          <w:szCs w:val="24"/>
        </w:rPr>
        <w:t xml:space="preserve"> higher probability of larger earthquakes with the same injected volume. </w:t>
      </w:r>
      <w:r>
        <w:rPr>
          <w:sz w:val="24"/>
          <w:szCs w:val="24"/>
        </w:rPr>
        <w:t xml:space="preserve">The </w:t>
      </w:r>
      <w:proofErr w:type="spellStart"/>
      <w:r>
        <w:rPr>
          <w:sz w:val="24"/>
          <w:szCs w:val="24"/>
        </w:rPr>
        <w:t>s</w:t>
      </w:r>
      <w:r w:rsidRPr="00492A10">
        <w:rPr>
          <w:sz w:val="24"/>
          <w:szCs w:val="24"/>
        </w:rPr>
        <w:t>eismogenic</w:t>
      </w:r>
      <w:proofErr w:type="spellEnd"/>
      <w:r w:rsidRPr="00492A10">
        <w:rPr>
          <w:sz w:val="24"/>
          <w:szCs w:val="24"/>
        </w:rPr>
        <w:t xml:space="preserve"> index is a statistical approach to examine the occurrence probability of fluid injection</w:t>
      </w:r>
      <w:r>
        <w:rPr>
          <w:sz w:val="24"/>
          <w:szCs w:val="24"/>
        </w:rPr>
        <w:t>-</w:t>
      </w:r>
      <w:r w:rsidRPr="00492A10">
        <w:rPr>
          <w:sz w:val="24"/>
          <w:szCs w:val="24"/>
        </w:rPr>
        <w:t>inducing earthquakes at a given injection site (Shapiro et al., 2010).</w:t>
      </w:r>
    </w:p>
    <w:p w14:paraId="0EB2E39E" w14:textId="77777777" w:rsidR="004C3823" w:rsidRPr="00492A10" w:rsidRDefault="004C3823" w:rsidP="00C32F8E">
      <w:pPr>
        <w:spacing w:line="480" w:lineRule="auto"/>
        <w:ind w:firstLine="720"/>
        <w:rPr>
          <w:sz w:val="24"/>
          <w:szCs w:val="24"/>
        </w:rPr>
      </w:pPr>
      <w:r w:rsidRPr="00492A10">
        <w:rPr>
          <w:sz w:val="24"/>
          <w:szCs w:val="24"/>
        </w:rPr>
        <w:t>In this study, we analyze a legacy dataset for four hydraulic fracturing stages of the tight-gas reservoir within the sand-shale Cotton Valley formation in Carthage, Texas (May – July 1997) (Walker, 1997). High</w:t>
      </w:r>
      <w:r>
        <w:rPr>
          <w:sz w:val="24"/>
          <w:szCs w:val="24"/>
        </w:rPr>
        <w:t>-</w:t>
      </w:r>
      <w:r w:rsidRPr="00492A10">
        <w:rPr>
          <w:sz w:val="24"/>
          <w:szCs w:val="24"/>
        </w:rPr>
        <w:t xml:space="preserve">resolution relocation and focal mechanism analyses </w:t>
      </w:r>
      <w:r>
        <w:rPr>
          <w:sz w:val="24"/>
          <w:szCs w:val="24"/>
        </w:rPr>
        <w:t>by</w:t>
      </w:r>
      <w:r w:rsidRPr="00492A10">
        <w:rPr>
          <w:sz w:val="24"/>
          <w:szCs w:val="24"/>
        </w:rPr>
        <w:t xml:space="preserve"> Rutledge et al. (2004) revealed different sets of fractures within the base of the Upper Cotton Valley formation</w:t>
      </w:r>
      <w:r>
        <w:rPr>
          <w:sz w:val="24"/>
          <w:szCs w:val="24"/>
        </w:rPr>
        <w:t>.</w:t>
      </w:r>
      <w:r w:rsidRPr="00492A10">
        <w:rPr>
          <w:sz w:val="24"/>
          <w:szCs w:val="24"/>
        </w:rPr>
        <w:t xml:space="preserve"> </w:t>
      </w:r>
      <w:r>
        <w:rPr>
          <w:sz w:val="24"/>
          <w:szCs w:val="24"/>
        </w:rPr>
        <w:t xml:space="preserve">Hydraulic </w:t>
      </w:r>
      <w:r w:rsidRPr="00492A10">
        <w:rPr>
          <w:sz w:val="24"/>
          <w:szCs w:val="24"/>
        </w:rPr>
        <w:t xml:space="preserve">treatments with anomalously high moment releases and </w:t>
      </w:r>
      <w:r>
        <w:rPr>
          <w:sz w:val="24"/>
          <w:szCs w:val="24"/>
        </w:rPr>
        <w:t xml:space="preserve">a high </w:t>
      </w:r>
      <w:r w:rsidRPr="00492A10">
        <w:rPr>
          <w:sz w:val="24"/>
          <w:szCs w:val="24"/>
        </w:rPr>
        <w:t>number of events occur</w:t>
      </w:r>
      <w:r>
        <w:rPr>
          <w:sz w:val="24"/>
          <w:szCs w:val="24"/>
        </w:rPr>
        <w:t>red</w:t>
      </w:r>
      <w:r w:rsidRPr="00492A10">
        <w:rPr>
          <w:sz w:val="24"/>
          <w:szCs w:val="24"/>
        </w:rPr>
        <w:t xml:space="preserve"> within several dense clusters</w:t>
      </w:r>
      <w:r>
        <w:rPr>
          <w:sz w:val="24"/>
          <w:szCs w:val="24"/>
        </w:rPr>
        <w:t xml:space="preserve">, which </w:t>
      </w:r>
      <w:r w:rsidRPr="00492A10">
        <w:rPr>
          <w:sz w:val="24"/>
          <w:szCs w:val="24"/>
        </w:rPr>
        <w:t xml:space="preserve">delineate fault bends or jogs </w:t>
      </w:r>
      <w:r>
        <w:rPr>
          <w:sz w:val="24"/>
          <w:szCs w:val="24"/>
        </w:rPr>
        <w:t>that</w:t>
      </w:r>
      <w:r w:rsidRPr="00492A10">
        <w:rPr>
          <w:sz w:val="24"/>
          <w:szCs w:val="24"/>
        </w:rPr>
        <w:t xml:space="preserve"> are more favorably oriented for shear failure. Our aim in this study is to investigate whether statistical analyses can reveal different characteristics of fractures. We begin by introducing the dataset, then perform magnitude calibration using waveform cross-correlation analysis, followed by a detailed magnitude-frequency distribution and </w:t>
      </w:r>
      <w:proofErr w:type="spellStart"/>
      <w:r w:rsidRPr="00492A10">
        <w:rPr>
          <w:sz w:val="24"/>
          <w:szCs w:val="24"/>
        </w:rPr>
        <w:t>seismogenic</w:t>
      </w:r>
      <w:proofErr w:type="spellEnd"/>
      <w:r w:rsidRPr="00492A10">
        <w:rPr>
          <w:sz w:val="24"/>
          <w:szCs w:val="24"/>
        </w:rPr>
        <w:t xml:space="preserve"> index analyses. Finally, we discuss the improvements before and after magnitude</w:t>
      </w:r>
      <w:r>
        <w:rPr>
          <w:sz w:val="24"/>
          <w:szCs w:val="24"/>
        </w:rPr>
        <w:t xml:space="preserve"> </w:t>
      </w:r>
      <w:r w:rsidRPr="00492A10">
        <w:rPr>
          <w:sz w:val="24"/>
          <w:szCs w:val="24"/>
        </w:rPr>
        <w:t>calibrations and the implications of</w:t>
      </w:r>
      <w:r>
        <w:rPr>
          <w:sz w:val="24"/>
          <w:szCs w:val="24"/>
        </w:rPr>
        <w:t xml:space="preserve"> the</w:t>
      </w:r>
      <w:r w:rsidRPr="00492A10">
        <w:rPr>
          <w:sz w:val="24"/>
          <w:szCs w:val="24"/>
        </w:rPr>
        <w:t xml:space="preserve"> improved results. </w:t>
      </w:r>
    </w:p>
    <w:p w14:paraId="7FD2D5B3" w14:textId="77777777" w:rsidR="004C3823" w:rsidRPr="00492A10" w:rsidRDefault="004C3823" w:rsidP="00C32F8E">
      <w:pPr>
        <w:spacing w:line="480" w:lineRule="auto"/>
        <w:rPr>
          <w:b/>
          <w:bCs/>
          <w:sz w:val="24"/>
          <w:szCs w:val="24"/>
        </w:rPr>
      </w:pPr>
      <w:r w:rsidRPr="00492A10">
        <w:rPr>
          <w:b/>
          <w:bCs/>
          <w:sz w:val="24"/>
          <w:szCs w:val="24"/>
        </w:rPr>
        <w:t>2</w:t>
      </w:r>
      <w:r>
        <w:rPr>
          <w:b/>
          <w:bCs/>
          <w:sz w:val="24"/>
          <w:szCs w:val="24"/>
        </w:rPr>
        <w:t>.2.1</w:t>
      </w:r>
      <w:r w:rsidRPr="00492A10">
        <w:rPr>
          <w:b/>
          <w:bCs/>
          <w:sz w:val="24"/>
          <w:szCs w:val="24"/>
        </w:rPr>
        <w:t xml:space="preserve"> Experiment data </w:t>
      </w:r>
    </w:p>
    <w:p w14:paraId="565D21CC" w14:textId="77777777" w:rsidR="004C3823" w:rsidRPr="00492A10" w:rsidRDefault="004C3823" w:rsidP="00C32F8E">
      <w:pPr>
        <w:spacing w:line="480" w:lineRule="auto"/>
        <w:ind w:firstLine="720"/>
        <w:rPr>
          <w:sz w:val="24"/>
          <w:szCs w:val="24"/>
        </w:rPr>
      </w:pPr>
      <w:r w:rsidRPr="00492A10">
        <w:rPr>
          <w:sz w:val="24"/>
          <w:szCs w:val="24"/>
        </w:rPr>
        <w:t xml:space="preserve">The hydraulic fracturing data used in our study was recorded in 1997 during injections at depths of 2757-2838 meters and 2615-2696 meters in the Cotton Valley Formation. The hydraulic fracturing experiment induced more than 4,000 microseismic events over six treatments, which were recorded by two borehole monitoring arrays (Walker, 1997; Walker et </w:t>
      </w:r>
      <w:r w:rsidRPr="00492A10">
        <w:rPr>
          <w:sz w:val="24"/>
          <w:szCs w:val="24"/>
        </w:rPr>
        <w:lastRenderedPageBreak/>
        <w:t>al., 1998). Increasing the number of monitoring borehole arrays from one to two in the experiment for some treatments improved the ability to distinguish between coherent noise and microseismic events, in addition to overcoming low signal</w:t>
      </w:r>
      <w:r>
        <w:rPr>
          <w:sz w:val="24"/>
          <w:szCs w:val="24"/>
        </w:rPr>
        <w:t>-</w:t>
      </w:r>
      <w:r w:rsidRPr="00492A10">
        <w:rPr>
          <w:sz w:val="24"/>
          <w:szCs w:val="24"/>
        </w:rPr>
        <w:t>to-noise ratio and low resolution, as described by Zinno et al. (1998).</w:t>
      </w:r>
    </w:p>
    <w:p w14:paraId="4DE66CFE" w14:textId="77777777" w:rsidR="004C3823" w:rsidRPr="00492A10" w:rsidRDefault="004C3823" w:rsidP="00C32F8E">
      <w:pPr>
        <w:spacing w:line="480" w:lineRule="auto"/>
        <w:ind w:firstLine="720"/>
        <w:rPr>
          <w:sz w:val="24"/>
          <w:szCs w:val="24"/>
        </w:rPr>
      </w:pPr>
      <w:r w:rsidRPr="00492A10">
        <w:rPr>
          <w:sz w:val="24"/>
          <w:szCs w:val="24"/>
        </w:rPr>
        <w:t xml:space="preserve">For our analysis, we only use the available treatments A, B, C, and E as represented in </w:t>
      </w:r>
      <w:r w:rsidRPr="00020BC1">
        <w:rPr>
          <w:b/>
          <w:bCs/>
          <w:sz w:val="24"/>
          <w:szCs w:val="24"/>
        </w:rPr>
        <w:t>Figure 2.1</w:t>
      </w:r>
      <w:r>
        <w:rPr>
          <w:b/>
          <w:bCs/>
          <w:sz w:val="24"/>
          <w:szCs w:val="24"/>
        </w:rPr>
        <w:t>,</w:t>
      </w:r>
      <w:r w:rsidRPr="00492A10">
        <w:rPr>
          <w:sz w:val="24"/>
          <w:szCs w:val="24"/>
        </w:rPr>
        <w:t xml:space="preserve"> and follow the same naming convention </w:t>
      </w:r>
      <w:r>
        <w:rPr>
          <w:sz w:val="24"/>
          <w:szCs w:val="24"/>
        </w:rPr>
        <w:t>as</w:t>
      </w:r>
      <w:r w:rsidRPr="00492A10">
        <w:rPr>
          <w:sz w:val="24"/>
          <w:szCs w:val="24"/>
        </w:rPr>
        <w:t xml:space="preserve"> Rutledge et al. (2004), which include 2547 events from the original Walker (1997) catalog (</w:t>
      </w:r>
      <w:r w:rsidRPr="00074873">
        <w:rPr>
          <w:b/>
          <w:bCs/>
          <w:sz w:val="24"/>
          <w:szCs w:val="24"/>
        </w:rPr>
        <w:t xml:space="preserve">Table </w:t>
      </w:r>
      <w:r>
        <w:rPr>
          <w:b/>
          <w:bCs/>
          <w:sz w:val="24"/>
          <w:szCs w:val="24"/>
        </w:rPr>
        <w:t>2.</w:t>
      </w:r>
      <w:r w:rsidRPr="00074873">
        <w:rPr>
          <w:b/>
          <w:bCs/>
          <w:sz w:val="24"/>
          <w:szCs w:val="24"/>
        </w:rPr>
        <w:t>1</w:t>
      </w:r>
      <w:r w:rsidRPr="00492A10">
        <w:rPr>
          <w:sz w:val="24"/>
          <w:szCs w:val="24"/>
        </w:rPr>
        <w:t>). Among these events, 2074 ha</w:t>
      </w:r>
      <w:r>
        <w:rPr>
          <w:sz w:val="24"/>
          <w:szCs w:val="24"/>
        </w:rPr>
        <w:t xml:space="preserve">s </w:t>
      </w:r>
      <w:r w:rsidRPr="00492A10">
        <w:rPr>
          <w:sz w:val="24"/>
          <w:szCs w:val="24"/>
        </w:rPr>
        <w:t xml:space="preserve">available waveforms. The distribution of catalog events with complete waveforms is shown in </w:t>
      </w:r>
      <w:r w:rsidRPr="00020BC1">
        <w:rPr>
          <w:b/>
          <w:bCs/>
          <w:sz w:val="24"/>
          <w:szCs w:val="24"/>
        </w:rPr>
        <w:t>Figure 2.2</w:t>
      </w:r>
      <w:r>
        <w:rPr>
          <w:sz w:val="24"/>
          <w:szCs w:val="24"/>
        </w:rPr>
        <w:t>,</w:t>
      </w:r>
      <w:r w:rsidRPr="00492A10">
        <w:rPr>
          <w:sz w:val="24"/>
          <w:szCs w:val="24"/>
        </w:rPr>
        <w:t xml:space="preserve"> which shows an evenly sampled subset of the original catalog. The relationship between the 2074 microseismic events and injection rate with time is shown in </w:t>
      </w:r>
      <w:r w:rsidRPr="00020BC1">
        <w:rPr>
          <w:b/>
          <w:bCs/>
          <w:sz w:val="24"/>
          <w:szCs w:val="24"/>
        </w:rPr>
        <w:t>Figure 2.3</w:t>
      </w:r>
      <w:r w:rsidRPr="00492A10">
        <w:rPr>
          <w:sz w:val="24"/>
          <w:szCs w:val="24"/>
        </w:rPr>
        <w:t xml:space="preserve"> for the four treatments analyzed here.</w:t>
      </w:r>
    </w:p>
    <w:p w14:paraId="1BF03CF8" w14:textId="77777777" w:rsidR="004C3823" w:rsidRPr="00492A10" w:rsidRDefault="004C3823" w:rsidP="00C32F8E">
      <w:pPr>
        <w:spacing w:line="480" w:lineRule="auto"/>
        <w:ind w:firstLine="720"/>
        <w:rPr>
          <w:sz w:val="24"/>
          <w:szCs w:val="24"/>
        </w:rPr>
      </w:pPr>
      <w:r w:rsidRPr="00492A10">
        <w:rPr>
          <w:sz w:val="24"/>
          <w:szCs w:val="24"/>
        </w:rPr>
        <w:t xml:space="preserve">We observe </w:t>
      </w:r>
      <w:r>
        <w:rPr>
          <w:sz w:val="24"/>
          <w:szCs w:val="24"/>
        </w:rPr>
        <w:t xml:space="preserve">a </w:t>
      </w:r>
      <w:r w:rsidRPr="00492A10">
        <w:rPr>
          <w:sz w:val="24"/>
          <w:szCs w:val="24"/>
        </w:rPr>
        <w:t xml:space="preserve">good correlation between the onset time of the injection rate and </w:t>
      </w:r>
      <w:r>
        <w:rPr>
          <w:sz w:val="24"/>
          <w:szCs w:val="24"/>
        </w:rPr>
        <w:t xml:space="preserve">the </w:t>
      </w:r>
      <w:r w:rsidRPr="00492A10">
        <w:rPr>
          <w:sz w:val="24"/>
          <w:szCs w:val="24"/>
        </w:rPr>
        <w:t>origin time of the induced seismic events. In treatments A, B, and C the abrupt decrease in injection rate also correlated with the seismicity rate drop</w:t>
      </w:r>
      <w:r>
        <w:rPr>
          <w:sz w:val="24"/>
          <w:szCs w:val="24"/>
        </w:rPr>
        <w:t xml:space="preserve"> (</w:t>
      </w:r>
      <w:r>
        <w:rPr>
          <w:b/>
          <w:bCs/>
          <w:sz w:val="24"/>
          <w:szCs w:val="24"/>
        </w:rPr>
        <w:t xml:space="preserve">Figure </w:t>
      </w:r>
      <w:r w:rsidRPr="00074873">
        <w:rPr>
          <w:b/>
          <w:bCs/>
          <w:sz w:val="24"/>
          <w:szCs w:val="24"/>
        </w:rPr>
        <w:t>2.</w:t>
      </w:r>
      <w:r w:rsidRPr="00502B66">
        <w:rPr>
          <w:b/>
          <w:bCs/>
          <w:sz w:val="24"/>
          <w:szCs w:val="24"/>
        </w:rPr>
        <w:t>3</w:t>
      </w:r>
      <w:r>
        <w:rPr>
          <w:sz w:val="24"/>
          <w:szCs w:val="24"/>
        </w:rPr>
        <w:t>)</w:t>
      </w:r>
      <w:r w:rsidRPr="00492A10">
        <w:rPr>
          <w:sz w:val="24"/>
          <w:szCs w:val="24"/>
        </w:rPr>
        <w:t xml:space="preserve">. However, in treatment E there is a relative anomalous increase in seismicity rate with injection. Rutledge et al., (2004) attribute anomalous seismic activity to pressurized fracture offsets or orientation changes that concentrated stress and fluid choke off. Typical right lateral movement places the left-stepping jog of treatment E in compression, but a right step is hypothesized by Rutledge et al., </w:t>
      </w:r>
      <w:r>
        <w:rPr>
          <w:sz w:val="24"/>
          <w:szCs w:val="24"/>
        </w:rPr>
        <w:t>(</w:t>
      </w:r>
      <w:r w:rsidRPr="00492A10">
        <w:rPr>
          <w:sz w:val="24"/>
          <w:szCs w:val="24"/>
        </w:rPr>
        <w:t>2004</w:t>
      </w:r>
      <w:r>
        <w:rPr>
          <w:sz w:val="24"/>
          <w:szCs w:val="24"/>
        </w:rPr>
        <w:t>)</w:t>
      </w:r>
      <w:r w:rsidRPr="00492A10">
        <w:rPr>
          <w:sz w:val="24"/>
          <w:szCs w:val="24"/>
        </w:rPr>
        <w:t xml:space="preserve"> as a pressure sink which delayed seismicity. Therefore, seismicity increased even after shut-in</w:t>
      </w:r>
      <w:r>
        <w:rPr>
          <w:sz w:val="24"/>
          <w:szCs w:val="24"/>
        </w:rPr>
        <w:t>, which is an industry term that denotes no further fluids were entering or exiting the wellhead</w:t>
      </w:r>
      <w:r w:rsidRPr="00492A10">
        <w:rPr>
          <w:sz w:val="24"/>
          <w:szCs w:val="24"/>
        </w:rPr>
        <w:t>.</w:t>
      </w:r>
    </w:p>
    <w:p w14:paraId="6A5FB0C3" w14:textId="77777777" w:rsidR="004C3823" w:rsidRPr="00492A10" w:rsidRDefault="004C3823" w:rsidP="00C32F8E">
      <w:pPr>
        <w:spacing w:line="480" w:lineRule="auto"/>
        <w:ind w:firstLine="720"/>
        <w:rPr>
          <w:sz w:val="24"/>
          <w:szCs w:val="24"/>
        </w:rPr>
      </w:pPr>
      <w:r w:rsidRPr="00492A10">
        <w:rPr>
          <w:sz w:val="24"/>
          <w:szCs w:val="24"/>
        </w:rPr>
        <w:lastRenderedPageBreak/>
        <w:t xml:space="preserve">In this analysis, we only use the 2074 cataloged events with complete waveforms </w:t>
      </w:r>
      <w:r>
        <w:rPr>
          <w:sz w:val="24"/>
          <w:szCs w:val="24"/>
        </w:rPr>
        <w:t>that</w:t>
      </w:r>
      <w:r w:rsidRPr="00492A10">
        <w:rPr>
          <w:sz w:val="24"/>
          <w:szCs w:val="24"/>
        </w:rPr>
        <w:t xml:space="preserve"> clear P and S-wave arrivals from four stages analyzed in Rutledge </w:t>
      </w:r>
      <w:r>
        <w:rPr>
          <w:sz w:val="24"/>
          <w:szCs w:val="24"/>
        </w:rPr>
        <w:t>and</w:t>
      </w:r>
      <w:r w:rsidRPr="00492A10">
        <w:rPr>
          <w:sz w:val="24"/>
          <w:szCs w:val="24"/>
        </w:rPr>
        <w:t xml:space="preserve"> Urbancic, (1999). Seismic moments are calculated </w:t>
      </w:r>
      <w:r>
        <w:rPr>
          <w:sz w:val="24"/>
          <w:szCs w:val="24"/>
        </w:rPr>
        <w:t>by</w:t>
      </w:r>
      <w:r w:rsidRPr="00492A10">
        <w:rPr>
          <w:sz w:val="24"/>
          <w:szCs w:val="24"/>
        </w:rPr>
        <w:t xml:space="preserve"> Rutledge et al. (2004) using methods described in Andrews (1986), which averages </w:t>
      </w:r>
      <w:r>
        <w:rPr>
          <w:sz w:val="24"/>
          <w:szCs w:val="24"/>
        </w:rPr>
        <w:t xml:space="preserve">the </w:t>
      </w:r>
      <w:r w:rsidRPr="00492A10">
        <w:rPr>
          <w:sz w:val="24"/>
          <w:szCs w:val="24"/>
        </w:rPr>
        <w:t xml:space="preserve">values obtained from P and S phase recordings from several stations. The </w:t>
      </w:r>
      <w:r>
        <w:rPr>
          <w:sz w:val="24"/>
          <w:szCs w:val="24"/>
        </w:rPr>
        <w:t>seismic</w:t>
      </w:r>
      <w:r w:rsidRPr="00492A10">
        <w:rPr>
          <w:sz w:val="24"/>
          <w:szCs w:val="24"/>
        </w:rPr>
        <w:t xml:space="preserve"> moments from Rutledge et al. (2004) used in this study are mostly between the narrow range of 0.4 µNm – 8 µNm. The majority of the relocated microseismic events form clouds that delineate fractures aligned with the maximum horizontal stress (SH-max</w:t>
      </w:r>
      <w:r>
        <w:rPr>
          <w:sz w:val="24"/>
          <w:szCs w:val="24"/>
        </w:rPr>
        <w:t xml:space="preserve"> at N80E</w:t>
      </w:r>
      <w:r w:rsidRPr="00492A10">
        <w:rPr>
          <w:sz w:val="24"/>
          <w:szCs w:val="24"/>
        </w:rPr>
        <w:t>), especially during treatments A and C (</w:t>
      </w:r>
      <w:r w:rsidRPr="00020BC1">
        <w:rPr>
          <w:b/>
          <w:bCs/>
          <w:sz w:val="24"/>
          <w:szCs w:val="24"/>
        </w:rPr>
        <w:t>Figure 2.1</w:t>
      </w:r>
      <w:r w:rsidRPr="00492A10">
        <w:rPr>
          <w:sz w:val="24"/>
          <w:szCs w:val="24"/>
        </w:rPr>
        <w:t xml:space="preserve">). During treatments B and E, microseismicity occurred in several clusters </w:t>
      </w:r>
      <w:r>
        <w:rPr>
          <w:sz w:val="24"/>
          <w:szCs w:val="24"/>
        </w:rPr>
        <w:t xml:space="preserve">we identified using cross-correlation </w:t>
      </w:r>
      <w:r w:rsidRPr="00492A10">
        <w:rPr>
          <w:sz w:val="24"/>
          <w:szCs w:val="24"/>
        </w:rPr>
        <w:t>with some having anomalous orientations that are off</w:t>
      </w:r>
      <w:r>
        <w:rPr>
          <w:sz w:val="24"/>
          <w:szCs w:val="24"/>
        </w:rPr>
        <w:t>-</w:t>
      </w:r>
      <w:r w:rsidRPr="00492A10">
        <w:rPr>
          <w:sz w:val="24"/>
          <w:szCs w:val="24"/>
        </w:rPr>
        <w:t xml:space="preserve">axis to fractures aligned with SH-max (Rutledge et al., 2004). As seen in </w:t>
      </w:r>
      <w:r w:rsidRPr="00020BC1">
        <w:rPr>
          <w:b/>
          <w:bCs/>
          <w:sz w:val="24"/>
          <w:szCs w:val="24"/>
        </w:rPr>
        <w:t>Figure 2.1</w:t>
      </w:r>
      <w:r w:rsidRPr="00492A10">
        <w:rPr>
          <w:sz w:val="24"/>
          <w:szCs w:val="24"/>
        </w:rPr>
        <w:t xml:space="preserve">, most stations to event hypocenters distances are </w:t>
      </w:r>
      <w:r>
        <w:rPr>
          <w:sz w:val="24"/>
          <w:szCs w:val="24"/>
        </w:rPr>
        <w:t>at similar</w:t>
      </w:r>
      <w:r w:rsidRPr="00492A10">
        <w:rPr>
          <w:sz w:val="24"/>
          <w:szCs w:val="24"/>
        </w:rPr>
        <w:t xml:space="preserve"> equidistant range</w:t>
      </w:r>
      <w:r>
        <w:rPr>
          <w:sz w:val="24"/>
          <w:szCs w:val="24"/>
        </w:rPr>
        <w:t>s</w:t>
      </w:r>
      <w:r w:rsidRPr="00492A10">
        <w:rPr>
          <w:sz w:val="24"/>
          <w:szCs w:val="24"/>
        </w:rPr>
        <w:t xml:space="preserve"> between 1km -2km and</w:t>
      </w:r>
      <w:r>
        <w:rPr>
          <w:sz w:val="24"/>
          <w:szCs w:val="24"/>
        </w:rPr>
        <w:t xml:space="preserve"> at</w:t>
      </w:r>
      <w:r w:rsidRPr="00492A10">
        <w:rPr>
          <w:sz w:val="24"/>
          <w:szCs w:val="24"/>
        </w:rPr>
        <w:t xml:space="preserve"> </w:t>
      </w:r>
      <w:r>
        <w:rPr>
          <w:sz w:val="24"/>
          <w:szCs w:val="24"/>
        </w:rPr>
        <w:t xml:space="preserve">a </w:t>
      </w:r>
      <w:r w:rsidRPr="00492A10">
        <w:rPr>
          <w:sz w:val="24"/>
          <w:szCs w:val="24"/>
        </w:rPr>
        <w:t>similar depth.</w:t>
      </w:r>
    </w:p>
    <w:p w14:paraId="740D0B4B" w14:textId="77777777" w:rsidR="004C3823" w:rsidRPr="00492A10" w:rsidRDefault="004C3823" w:rsidP="00C32F8E">
      <w:pPr>
        <w:spacing w:line="480" w:lineRule="auto"/>
        <w:rPr>
          <w:b/>
          <w:bCs/>
          <w:sz w:val="24"/>
          <w:szCs w:val="24"/>
        </w:rPr>
      </w:pPr>
      <w:r>
        <w:rPr>
          <w:b/>
          <w:bCs/>
          <w:sz w:val="24"/>
          <w:szCs w:val="24"/>
        </w:rPr>
        <w:t>2.3</w:t>
      </w:r>
      <w:r w:rsidRPr="00492A10">
        <w:rPr>
          <w:b/>
          <w:bCs/>
          <w:sz w:val="24"/>
          <w:szCs w:val="24"/>
        </w:rPr>
        <w:t xml:space="preserve"> Methods</w:t>
      </w:r>
    </w:p>
    <w:p w14:paraId="33773003" w14:textId="77777777" w:rsidR="004C3823" w:rsidRPr="00492A10" w:rsidRDefault="004C3823" w:rsidP="00C32F8E">
      <w:pPr>
        <w:spacing w:line="480" w:lineRule="auto"/>
        <w:ind w:firstLine="720"/>
        <w:rPr>
          <w:sz w:val="24"/>
          <w:szCs w:val="24"/>
        </w:rPr>
      </w:pPr>
      <w:r w:rsidRPr="00492A10">
        <w:rPr>
          <w:sz w:val="24"/>
          <w:szCs w:val="24"/>
        </w:rPr>
        <w:t xml:space="preserve">In this study, we perform magnitude calibration based on </w:t>
      </w:r>
      <w:r>
        <w:rPr>
          <w:sz w:val="24"/>
          <w:szCs w:val="24"/>
        </w:rPr>
        <w:t xml:space="preserve">the </w:t>
      </w:r>
      <w:r w:rsidRPr="00492A10">
        <w:rPr>
          <w:sz w:val="24"/>
          <w:szCs w:val="24"/>
        </w:rPr>
        <w:t xml:space="preserve">relative amplitude (Cleveland </w:t>
      </w:r>
      <w:r>
        <w:rPr>
          <w:sz w:val="24"/>
          <w:szCs w:val="24"/>
        </w:rPr>
        <w:t>and</w:t>
      </w:r>
      <w:r w:rsidRPr="00492A10">
        <w:rPr>
          <w:sz w:val="24"/>
          <w:szCs w:val="24"/>
        </w:rPr>
        <w:t xml:space="preserve"> Ammon, 2015) measured from waveform cross-correlation following Chen et al. (2018). Then, we perform magnitude-frequency distribution analysis to obtain</w:t>
      </w:r>
      <w:r>
        <w:rPr>
          <w:sz w:val="24"/>
          <w:szCs w:val="24"/>
        </w:rPr>
        <w:t xml:space="preserve"> the</w:t>
      </w:r>
      <w:r w:rsidRPr="00492A10">
        <w:rPr>
          <w:sz w:val="24"/>
          <w:szCs w:val="24"/>
        </w:rPr>
        <w:t xml:space="preserve"> b-value for each treatment with </w:t>
      </w:r>
      <w:r>
        <w:rPr>
          <w:sz w:val="24"/>
          <w:szCs w:val="24"/>
        </w:rPr>
        <w:t xml:space="preserve">the </w:t>
      </w:r>
      <w:r w:rsidRPr="00492A10">
        <w:rPr>
          <w:sz w:val="24"/>
          <w:szCs w:val="24"/>
        </w:rPr>
        <w:t xml:space="preserve">maximum-likelihood method (referred to as “MLE”) and compare results using both the original catalog magnitudes and the calibrated magnitudes. To better understand the improvement of calibrated magnitudes, we compare the frequency-magnitude distributions (FMD) of the different treatments and subclusters of treatment B. Finally, we link magnitudes with injected volume to obtain </w:t>
      </w:r>
      <w:proofErr w:type="spellStart"/>
      <w:r w:rsidRPr="00492A10">
        <w:rPr>
          <w:sz w:val="24"/>
          <w:szCs w:val="24"/>
        </w:rPr>
        <w:t>seismogenic</w:t>
      </w:r>
      <w:proofErr w:type="spellEnd"/>
      <w:r w:rsidRPr="00492A10">
        <w:rPr>
          <w:sz w:val="24"/>
          <w:szCs w:val="24"/>
        </w:rPr>
        <w:t xml:space="preserve"> indexes for each treatment following Shapiro et al. (2010) using </w:t>
      </w:r>
      <w:r>
        <w:rPr>
          <w:sz w:val="24"/>
          <w:szCs w:val="24"/>
        </w:rPr>
        <w:t>corresponding</w:t>
      </w:r>
      <w:r w:rsidRPr="00492A10">
        <w:rPr>
          <w:sz w:val="24"/>
          <w:szCs w:val="24"/>
        </w:rPr>
        <w:t xml:space="preserve"> b-values </w:t>
      </w:r>
      <w:r>
        <w:rPr>
          <w:sz w:val="24"/>
          <w:szCs w:val="24"/>
        </w:rPr>
        <w:t>obtained from</w:t>
      </w:r>
      <w:r w:rsidRPr="00492A10">
        <w:rPr>
          <w:sz w:val="24"/>
          <w:szCs w:val="24"/>
        </w:rPr>
        <w:t xml:space="preserve"> MLE</w:t>
      </w:r>
      <w:r>
        <w:rPr>
          <w:sz w:val="24"/>
          <w:szCs w:val="24"/>
        </w:rPr>
        <w:t xml:space="preserve">. For both the b-value and </w:t>
      </w:r>
      <w:proofErr w:type="spellStart"/>
      <w:r>
        <w:rPr>
          <w:sz w:val="24"/>
          <w:szCs w:val="24"/>
        </w:rPr>
        <w:lastRenderedPageBreak/>
        <w:t>seismogenic</w:t>
      </w:r>
      <w:proofErr w:type="spellEnd"/>
      <w:r>
        <w:rPr>
          <w:sz w:val="24"/>
          <w:szCs w:val="24"/>
        </w:rPr>
        <w:t xml:space="preserve"> index, we assess the uncertainty through bootstrap resampling. The relative variations of b-value and </w:t>
      </w:r>
      <w:proofErr w:type="spellStart"/>
      <w:r>
        <w:rPr>
          <w:sz w:val="24"/>
          <w:szCs w:val="24"/>
        </w:rPr>
        <w:t>seismogenic</w:t>
      </w:r>
      <w:proofErr w:type="spellEnd"/>
      <w:r>
        <w:rPr>
          <w:sz w:val="24"/>
          <w:szCs w:val="24"/>
        </w:rPr>
        <w:t xml:space="preserve"> index among treatments and subclusters are interpreted as related to the relative stress state of different fractures via Mohr circle analysis. </w:t>
      </w:r>
    </w:p>
    <w:p w14:paraId="7E79AEFD" w14:textId="77777777" w:rsidR="004C3823" w:rsidRPr="00492A10" w:rsidRDefault="004C3823" w:rsidP="00C32F8E">
      <w:pPr>
        <w:spacing w:line="480" w:lineRule="auto"/>
        <w:rPr>
          <w:b/>
          <w:bCs/>
          <w:sz w:val="24"/>
          <w:szCs w:val="24"/>
        </w:rPr>
      </w:pPr>
      <w:r>
        <w:rPr>
          <w:b/>
          <w:bCs/>
          <w:sz w:val="24"/>
          <w:szCs w:val="24"/>
        </w:rPr>
        <w:t>2.3.1</w:t>
      </w:r>
      <w:r w:rsidRPr="00492A10">
        <w:rPr>
          <w:b/>
          <w:bCs/>
          <w:sz w:val="24"/>
          <w:szCs w:val="24"/>
        </w:rPr>
        <w:t xml:space="preserve"> Magnitude calibration using cross-</w:t>
      </w:r>
      <w:proofErr w:type="gramStart"/>
      <w:r w:rsidRPr="00492A10">
        <w:rPr>
          <w:b/>
          <w:bCs/>
          <w:sz w:val="24"/>
          <w:szCs w:val="24"/>
        </w:rPr>
        <w:t>correlation</w:t>
      </w:r>
      <w:proofErr w:type="gramEnd"/>
    </w:p>
    <w:p w14:paraId="1D3B2031" w14:textId="77777777" w:rsidR="004C3823" w:rsidRPr="00492A10" w:rsidRDefault="004C3823" w:rsidP="00C32F8E">
      <w:pPr>
        <w:spacing w:line="480" w:lineRule="auto"/>
        <w:ind w:firstLine="720"/>
        <w:rPr>
          <w:sz w:val="24"/>
          <w:szCs w:val="24"/>
        </w:rPr>
      </w:pPr>
      <w:r w:rsidRPr="00492A10">
        <w:rPr>
          <w:sz w:val="24"/>
          <w:szCs w:val="24"/>
        </w:rPr>
        <w:t>Precise magnitude estimates may be acquired from the cross</w:t>
      </w:r>
      <w:r>
        <w:rPr>
          <w:sz w:val="24"/>
          <w:szCs w:val="24"/>
        </w:rPr>
        <w:t>-</w:t>
      </w:r>
      <w:r w:rsidRPr="00492A10">
        <w:rPr>
          <w:sz w:val="24"/>
          <w:szCs w:val="24"/>
        </w:rPr>
        <w:t>correlation of two earthquake waveforms with well</w:t>
      </w:r>
      <w:r>
        <w:rPr>
          <w:sz w:val="24"/>
          <w:szCs w:val="24"/>
        </w:rPr>
        <w:t>-</w:t>
      </w:r>
      <w:r w:rsidRPr="00492A10">
        <w:rPr>
          <w:sz w:val="24"/>
          <w:szCs w:val="24"/>
        </w:rPr>
        <w:t xml:space="preserve">constrained reference event magnitudes (Gibbons </w:t>
      </w:r>
      <w:r>
        <w:rPr>
          <w:sz w:val="24"/>
          <w:szCs w:val="24"/>
        </w:rPr>
        <w:t>and</w:t>
      </w:r>
      <w:r w:rsidRPr="00492A10">
        <w:rPr>
          <w:sz w:val="24"/>
          <w:szCs w:val="24"/>
        </w:rPr>
        <w:t xml:space="preserve"> Ringdal, 2006; Schaff </w:t>
      </w:r>
      <w:r>
        <w:rPr>
          <w:sz w:val="24"/>
          <w:szCs w:val="24"/>
        </w:rPr>
        <w:t>and</w:t>
      </w:r>
      <w:r w:rsidRPr="00492A10">
        <w:rPr>
          <w:sz w:val="24"/>
          <w:szCs w:val="24"/>
        </w:rPr>
        <w:t xml:space="preserve"> Richards, 2014) and can be applied to earthquake clusters with similar faulting geometry and depth (Cleveland </w:t>
      </w:r>
      <w:r>
        <w:rPr>
          <w:sz w:val="24"/>
          <w:szCs w:val="24"/>
        </w:rPr>
        <w:t>and</w:t>
      </w:r>
      <w:r w:rsidRPr="00492A10">
        <w:rPr>
          <w:sz w:val="24"/>
          <w:szCs w:val="24"/>
        </w:rPr>
        <w:t xml:space="preserve"> Ammon, 2015). Magnitude calibration can reduce the scattering between the relative amplitude ratios and magnitude differences of event pairs, which is important to improve statistical analyses related to magnitude distributions (Chen et al., 2018; Shelly et al., 2015, 2016).</w:t>
      </w:r>
    </w:p>
    <w:p w14:paraId="004EAA15" w14:textId="77777777" w:rsidR="004C3823" w:rsidRPr="00492A10" w:rsidRDefault="004C3823" w:rsidP="00C32F8E">
      <w:pPr>
        <w:spacing w:line="480" w:lineRule="auto"/>
        <w:ind w:firstLine="720"/>
        <w:rPr>
          <w:sz w:val="24"/>
          <w:szCs w:val="24"/>
        </w:rPr>
      </w:pPr>
      <w:r w:rsidRPr="00492A10">
        <w:rPr>
          <w:sz w:val="24"/>
          <w:szCs w:val="24"/>
        </w:rPr>
        <w:t>The dataset includes rotated three-component microseismic event waveform</w:t>
      </w:r>
      <w:r>
        <w:rPr>
          <w:sz w:val="24"/>
          <w:szCs w:val="24"/>
        </w:rPr>
        <w:t>s</w:t>
      </w:r>
      <w:r w:rsidRPr="00492A10">
        <w:rPr>
          <w:sz w:val="24"/>
          <w:szCs w:val="24"/>
        </w:rPr>
        <w:t xml:space="preserve"> at each geophone with sampling rates of 1000 Hz. For each treatment, only a subset of waveforms </w:t>
      </w:r>
      <w:r>
        <w:rPr>
          <w:sz w:val="24"/>
          <w:szCs w:val="24"/>
        </w:rPr>
        <w:t>is</w:t>
      </w:r>
      <w:r w:rsidRPr="00492A10">
        <w:rPr>
          <w:sz w:val="24"/>
          <w:szCs w:val="24"/>
        </w:rPr>
        <w:t xml:space="preserve"> available for the cataloged events from Rutledge et al. (2004) (</w:t>
      </w:r>
      <w:r w:rsidRPr="00074873">
        <w:rPr>
          <w:b/>
          <w:bCs/>
          <w:sz w:val="24"/>
          <w:szCs w:val="24"/>
        </w:rPr>
        <w:t>Table 2.1</w:t>
      </w:r>
      <w:r w:rsidRPr="00492A10">
        <w:rPr>
          <w:sz w:val="24"/>
          <w:szCs w:val="24"/>
        </w:rPr>
        <w:t xml:space="preserve">). We first apply a short-term average/long-term average (STA/LTA) picker using the GISMO (Reyes </w:t>
      </w:r>
      <w:r>
        <w:rPr>
          <w:sz w:val="24"/>
          <w:szCs w:val="24"/>
        </w:rPr>
        <w:t>and</w:t>
      </w:r>
      <w:r w:rsidRPr="00492A10">
        <w:rPr>
          <w:sz w:val="24"/>
          <w:szCs w:val="24"/>
        </w:rPr>
        <w:t xml:space="preserve"> West, 2011) package to obtain P-wave arrival time on the vertical channel and S-wave arrival time on horizontal and transverse channels. Waveforms with no detectable picks are not used in the following analysis. Examination of waveforms suggests that the transverse component has the highest signal-to-noise ratio. Therefore, we use </w:t>
      </w:r>
      <w:r>
        <w:rPr>
          <w:sz w:val="24"/>
          <w:szCs w:val="24"/>
        </w:rPr>
        <w:t xml:space="preserve">the </w:t>
      </w:r>
      <w:r w:rsidRPr="00492A10">
        <w:rPr>
          <w:sz w:val="24"/>
          <w:szCs w:val="24"/>
        </w:rPr>
        <w:t xml:space="preserve">S-wave </w:t>
      </w:r>
      <w:r>
        <w:rPr>
          <w:sz w:val="24"/>
          <w:szCs w:val="24"/>
        </w:rPr>
        <w:t>from the</w:t>
      </w:r>
      <w:r w:rsidRPr="00492A10">
        <w:rPr>
          <w:sz w:val="24"/>
          <w:szCs w:val="24"/>
        </w:rPr>
        <w:t xml:space="preserve"> transverse component for magnitude calibration.</w:t>
      </w:r>
    </w:p>
    <w:p w14:paraId="64DF9688" w14:textId="77777777" w:rsidR="004C3823" w:rsidRPr="00492A10" w:rsidRDefault="004C3823" w:rsidP="00C32F8E">
      <w:pPr>
        <w:spacing w:line="480" w:lineRule="auto"/>
        <w:ind w:firstLine="720"/>
        <w:rPr>
          <w:sz w:val="24"/>
          <w:szCs w:val="24"/>
        </w:rPr>
      </w:pPr>
      <w:r w:rsidRPr="00492A10">
        <w:rPr>
          <w:sz w:val="24"/>
          <w:szCs w:val="24"/>
        </w:rPr>
        <w:lastRenderedPageBreak/>
        <w:t>We then measure relative amplitude using waveform cross-correlation (CC) with the following steps for each treatment:</w:t>
      </w:r>
    </w:p>
    <w:p w14:paraId="709ED45E" w14:textId="77777777" w:rsidR="004C3823" w:rsidRPr="003D367A" w:rsidRDefault="004C3823" w:rsidP="004C3823">
      <w:pPr>
        <w:pStyle w:val="ListParagraph"/>
        <w:numPr>
          <w:ilvl w:val="0"/>
          <w:numId w:val="4"/>
        </w:numPr>
        <w:spacing w:line="480" w:lineRule="auto"/>
        <w:rPr>
          <w:sz w:val="24"/>
          <w:szCs w:val="24"/>
        </w:rPr>
      </w:pPr>
      <w:r w:rsidRPr="003D367A">
        <w:rPr>
          <w:sz w:val="24"/>
          <w:szCs w:val="24"/>
        </w:rPr>
        <w:t xml:space="preserve">A detailed inspection shows that many traces have </w:t>
      </w:r>
      <w:r>
        <w:rPr>
          <w:sz w:val="24"/>
          <w:szCs w:val="24"/>
        </w:rPr>
        <w:t xml:space="preserve">a </w:t>
      </w:r>
      <w:r w:rsidRPr="003D367A">
        <w:rPr>
          <w:sz w:val="24"/>
          <w:szCs w:val="24"/>
        </w:rPr>
        <w:t>low signal</w:t>
      </w:r>
      <w:r>
        <w:rPr>
          <w:sz w:val="24"/>
          <w:szCs w:val="24"/>
        </w:rPr>
        <w:t>-</w:t>
      </w:r>
      <w:r w:rsidRPr="003D367A">
        <w:rPr>
          <w:sz w:val="24"/>
          <w:szCs w:val="24"/>
        </w:rPr>
        <w:t>to</w:t>
      </w:r>
      <w:r>
        <w:rPr>
          <w:sz w:val="24"/>
          <w:szCs w:val="24"/>
        </w:rPr>
        <w:t>-</w:t>
      </w:r>
      <w:r w:rsidRPr="003D367A">
        <w:rPr>
          <w:sz w:val="24"/>
          <w:szCs w:val="24"/>
        </w:rPr>
        <w:t>noise. To improve our data visualization, we apply a Butterworth bandpass between 20 Hz</w:t>
      </w:r>
      <w:r>
        <w:rPr>
          <w:sz w:val="24"/>
          <w:szCs w:val="24"/>
        </w:rPr>
        <w:t xml:space="preserve"> and </w:t>
      </w:r>
      <w:r w:rsidRPr="003D367A">
        <w:rPr>
          <w:sz w:val="24"/>
          <w:szCs w:val="24"/>
        </w:rPr>
        <w:t xml:space="preserve">150 Hz where observed amplitudes for microseismic events are </w:t>
      </w:r>
      <w:r>
        <w:rPr>
          <w:sz w:val="24"/>
          <w:szCs w:val="24"/>
        </w:rPr>
        <w:t xml:space="preserve">the </w:t>
      </w:r>
      <w:r w:rsidRPr="003D367A">
        <w:rPr>
          <w:sz w:val="24"/>
          <w:szCs w:val="24"/>
        </w:rPr>
        <w:t>largest.</w:t>
      </w:r>
    </w:p>
    <w:p w14:paraId="18461722" w14:textId="77777777" w:rsidR="004C3823" w:rsidRPr="003D367A" w:rsidRDefault="004C3823" w:rsidP="004C3823">
      <w:pPr>
        <w:pStyle w:val="ListParagraph"/>
        <w:numPr>
          <w:ilvl w:val="0"/>
          <w:numId w:val="4"/>
        </w:numPr>
        <w:spacing w:line="480" w:lineRule="auto"/>
        <w:rPr>
          <w:sz w:val="24"/>
          <w:szCs w:val="24"/>
        </w:rPr>
      </w:pPr>
      <w:r w:rsidRPr="003D367A">
        <w:rPr>
          <w:sz w:val="24"/>
          <w:szCs w:val="24"/>
        </w:rPr>
        <w:t xml:space="preserve">Extract a 70 </w:t>
      </w:r>
      <w:proofErr w:type="spellStart"/>
      <w:r w:rsidRPr="003D367A">
        <w:rPr>
          <w:sz w:val="24"/>
          <w:szCs w:val="24"/>
        </w:rPr>
        <w:t>ms</w:t>
      </w:r>
      <w:proofErr w:type="spellEnd"/>
      <w:r w:rsidRPr="003D367A">
        <w:rPr>
          <w:sz w:val="24"/>
          <w:szCs w:val="24"/>
        </w:rPr>
        <w:t xml:space="preserve"> window around the initial arrival of the microseismic event (10 </w:t>
      </w:r>
      <w:proofErr w:type="spellStart"/>
      <w:r w:rsidRPr="003D367A">
        <w:rPr>
          <w:sz w:val="24"/>
          <w:szCs w:val="24"/>
        </w:rPr>
        <w:t>ms</w:t>
      </w:r>
      <w:proofErr w:type="spellEnd"/>
      <w:r w:rsidRPr="003D367A">
        <w:rPr>
          <w:sz w:val="24"/>
          <w:szCs w:val="24"/>
        </w:rPr>
        <w:t xml:space="preserve"> before and 60 </w:t>
      </w:r>
      <w:proofErr w:type="spellStart"/>
      <w:r w:rsidRPr="003D367A">
        <w:rPr>
          <w:sz w:val="24"/>
          <w:szCs w:val="24"/>
        </w:rPr>
        <w:t>ms</w:t>
      </w:r>
      <w:proofErr w:type="spellEnd"/>
      <w:r w:rsidRPr="003D367A">
        <w:rPr>
          <w:sz w:val="24"/>
          <w:szCs w:val="24"/>
        </w:rPr>
        <w:t xml:space="preserve"> after).</w:t>
      </w:r>
    </w:p>
    <w:p w14:paraId="53F225ED" w14:textId="77777777" w:rsidR="004C3823" w:rsidRPr="003D367A" w:rsidRDefault="004C3823" w:rsidP="004C3823">
      <w:pPr>
        <w:pStyle w:val="ListParagraph"/>
        <w:numPr>
          <w:ilvl w:val="0"/>
          <w:numId w:val="4"/>
        </w:numPr>
        <w:spacing w:line="480" w:lineRule="auto"/>
        <w:rPr>
          <w:sz w:val="24"/>
          <w:szCs w:val="24"/>
        </w:rPr>
      </w:pPr>
      <w:r w:rsidRPr="003D367A">
        <w:rPr>
          <w:sz w:val="24"/>
          <w:szCs w:val="24"/>
        </w:rPr>
        <w:t xml:space="preserve">Cross-correlate each event pair at each station and measure </w:t>
      </w:r>
      <w:r>
        <w:rPr>
          <w:sz w:val="24"/>
          <w:szCs w:val="24"/>
        </w:rPr>
        <w:t xml:space="preserve">the </w:t>
      </w:r>
      <w:r w:rsidRPr="003D367A">
        <w:rPr>
          <w:sz w:val="24"/>
          <w:szCs w:val="24"/>
        </w:rPr>
        <w:t xml:space="preserve">relative amplitude ratio using principal component analysis for waveform pairs with </w:t>
      </w:r>
      <w:r>
        <w:rPr>
          <w:sz w:val="24"/>
          <w:szCs w:val="24"/>
        </w:rPr>
        <w:t xml:space="preserve">a </w:t>
      </w:r>
      <w:r w:rsidRPr="003D367A">
        <w:rPr>
          <w:sz w:val="24"/>
          <w:szCs w:val="24"/>
        </w:rPr>
        <w:t>CC coefficient greater than 0.6 (</w:t>
      </w:r>
      <w:proofErr w:type="spellStart"/>
      <w:r w:rsidRPr="003D367A">
        <w:rPr>
          <w:sz w:val="24"/>
          <w:szCs w:val="24"/>
        </w:rPr>
        <w:t>Wold</w:t>
      </w:r>
      <w:proofErr w:type="spellEnd"/>
      <w:r w:rsidRPr="003D367A">
        <w:rPr>
          <w:sz w:val="24"/>
          <w:szCs w:val="24"/>
        </w:rPr>
        <w:t xml:space="preserve"> et al., 1987). An example of relative amplitude measurement is shown in </w:t>
      </w:r>
      <w:r w:rsidRPr="00020BC1">
        <w:rPr>
          <w:b/>
          <w:bCs/>
          <w:sz w:val="24"/>
          <w:szCs w:val="24"/>
        </w:rPr>
        <w:t>Figure 2.4</w:t>
      </w:r>
      <w:r w:rsidRPr="003D367A">
        <w:rPr>
          <w:sz w:val="24"/>
          <w:szCs w:val="24"/>
        </w:rPr>
        <w:t xml:space="preserve">. The waveform pairs are time-shifted based on the lag time, and </w:t>
      </w:r>
      <w:r>
        <w:rPr>
          <w:sz w:val="24"/>
          <w:szCs w:val="24"/>
        </w:rPr>
        <w:t xml:space="preserve">the </w:t>
      </w:r>
      <w:r w:rsidRPr="003D367A">
        <w:rPr>
          <w:sz w:val="24"/>
          <w:szCs w:val="24"/>
        </w:rPr>
        <w:t>relative amplitude ratio is calculated by taking the maximum eigenvalue of the covariance of the shifted waveform pairs. Only event pairs with amplitude ratio measurements from more than 5 receivers are used for magnitude calibration.</w:t>
      </w:r>
    </w:p>
    <w:p w14:paraId="0BA5E63E" w14:textId="77777777" w:rsidR="004C3823" w:rsidRPr="00D06719" w:rsidRDefault="004C3823" w:rsidP="004C3823">
      <w:pPr>
        <w:pStyle w:val="ListParagraph"/>
        <w:numPr>
          <w:ilvl w:val="0"/>
          <w:numId w:val="4"/>
        </w:numPr>
        <w:spacing w:line="480" w:lineRule="auto"/>
        <w:rPr>
          <w:sz w:val="24"/>
          <w:szCs w:val="24"/>
        </w:rPr>
      </w:pPr>
      <w:r w:rsidRPr="003D367A">
        <w:rPr>
          <w:sz w:val="24"/>
          <w:szCs w:val="24"/>
        </w:rPr>
        <w:t xml:space="preserve">Invert for new magnitudes based on amplitude ratios and cataloged seismic moment </w:t>
      </w:r>
      <w:r w:rsidRPr="00D06719">
        <w:rPr>
          <w:sz w:val="24"/>
          <w:szCs w:val="24"/>
        </w:rPr>
        <w:t xml:space="preserve">(Chen et al., 2018; Cleveland </w:t>
      </w:r>
      <w:r>
        <w:rPr>
          <w:sz w:val="24"/>
          <w:szCs w:val="24"/>
        </w:rPr>
        <w:t>and</w:t>
      </w:r>
      <w:r w:rsidRPr="00D06719">
        <w:rPr>
          <w:sz w:val="24"/>
          <w:szCs w:val="24"/>
        </w:rPr>
        <w:t xml:space="preserve"> Ammon, 2015; Schaff </w:t>
      </w:r>
      <w:r>
        <w:rPr>
          <w:sz w:val="24"/>
          <w:szCs w:val="24"/>
        </w:rPr>
        <w:t>and</w:t>
      </w:r>
      <w:r w:rsidRPr="00D06719">
        <w:rPr>
          <w:sz w:val="24"/>
          <w:szCs w:val="24"/>
        </w:rPr>
        <w:t xml:space="preserve"> Richards, 2014; Shelly et al., 2015, 2016) based on </w:t>
      </w:r>
      <w:r w:rsidRPr="00020BC1">
        <w:rPr>
          <w:b/>
          <w:bCs/>
          <w:sz w:val="24"/>
          <w:szCs w:val="24"/>
        </w:rPr>
        <w:t xml:space="preserve">equation </w:t>
      </w:r>
      <w:r>
        <w:rPr>
          <w:b/>
          <w:bCs/>
          <w:sz w:val="24"/>
          <w:szCs w:val="24"/>
        </w:rPr>
        <w:t>2.2</w:t>
      </w:r>
      <w:r w:rsidRPr="00D06719">
        <w:rPr>
          <w:sz w:val="24"/>
          <w:szCs w:val="24"/>
        </w:rPr>
        <w:t>,</w:t>
      </w:r>
    </w:p>
    <w:p w14:paraId="767E96A3" w14:textId="77777777" w:rsidR="004C3823" w:rsidRDefault="00DF2C3F" w:rsidP="00D71EA5">
      <w:pPr>
        <w:spacing w:line="480" w:lineRule="auto"/>
        <w:jc w:val="center"/>
        <w:rPr>
          <w:sz w:val="24"/>
          <w:szCs w:val="24"/>
        </w:rPr>
      </w:pPr>
      <m:oMath>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m>
                    <m:mPr>
                      <m:mcs>
                        <m:mc>
                          <m:mcPr>
                            <m:count m:val="1"/>
                            <m:mcJc m:val="center"/>
                          </m:mcPr>
                        </m:mc>
                      </m:mcs>
                      <m:ctrlPr>
                        <w:rPr>
                          <w:rFonts w:ascii="Cambria Math" w:hAnsi="Cambria Math"/>
                          <w:i/>
                          <w:sz w:val="24"/>
                          <w:szCs w:val="24"/>
                        </w:rPr>
                      </m:ctrlPr>
                    </m:mP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1,2</m:t>
                                </m:r>
                              </m:sub>
                            </m:sSub>
                          </m:e>
                        </m:func>
                      </m:e>
                    </m:mr>
                    <m:mr>
                      <m:e>
                        <m:m>
                          <m:mPr>
                            <m:mcs>
                              <m:mc>
                                <m:mcPr>
                                  <m:count m:val="1"/>
                                  <m:mcJc m:val="center"/>
                                </m:mcPr>
                              </m:mc>
                            </m:mcs>
                            <m:ctrlPr>
                              <w:rPr>
                                <w:rFonts w:ascii="Cambria Math" w:hAnsi="Cambria Math"/>
                                <w:i/>
                                <w:sz w:val="24"/>
                                <w:szCs w:val="24"/>
                              </w:rPr>
                            </m:ctrlPr>
                          </m:mP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1,3</m:t>
                                      </m:r>
                                    </m:sub>
                                  </m:sSub>
                                </m:e>
                              </m:func>
                            </m:e>
                          </m:m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1,4</m:t>
                                      </m:r>
                                    </m:sub>
                                  </m:sSub>
                                </m:e>
                              </m:func>
                            </m:e>
                          </m:mr>
                        </m:m>
                      </m:e>
                    </m:mr>
                    <m:mr>
                      <m:e>
                        <m:r>
                          <w:rPr>
                            <w:rFonts w:ascii="Cambria Math" w:hAnsi="Cambria Math"/>
                            <w:sz w:val="24"/>
                            <w:szCs w:val="24"/>
                          </w:rPr>
                          <m:t>⋯</m:t>
                        </m:r>
                      </m:e>
                    </m:mr>
                  </m:m>
                </m:e>
              </m:m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N-1,N</m:t>
                          </m:r>
                        </m:sub>
                      </m:sSub>
                    </m:e>
                  </m:func>
                </m:e>
              </m:mr>
              <m:mr>
                <m:e>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i</m:t>
                              </m:r>
                            </m:sup>
                          </m:sSubSup>
                        </m:e>
                      </m:func>
                    </m:e>
                  </m:nary>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m>
                    <m:mPr>
                      <m:mcs>
                        <m:mc>
                          <m:mcPr>
                            <m:count m:val="3"/>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1</m:t>
                        </m:r>
                      </m:e>
                    </m:mr>
                    <m:mr>
                      <m:e>
                        <m:r>
                          <w:rPr>
                            <w:rFonts w:ascii="Cambria Math" w:hAnsi="Cambria Math"/>
                            <w:sz w:val="24"/>
                            <w:szCs w:val="24"/>
                          </w:rPr>
                          <m:t>-1</m:t>
                        </m:r>
                      </m:e>
                      <m:e>
                        <m:r>
                          <w:rPr>
                            <w:rFonts w:ascii="Cambria Math" w:hAnsi="Cambria Math"/>
                            <w:sz w:val="24"/>
                            <w:szCs w:val="24"/>
                          </w:rPr>
                          <m:t>0</m:t>
                        </m:r>
                      </m:e>
                      <m:e>
                        <m:r>
                          <w:rPr>
                            <w:rFonts w:ascii="Cambria Math" w:hAnsi="Cambria Math"/>
                            <w:sz w:val="24"/>
                            <w:szCs w:val="24"/>
                          </w:rPr>
                          <m:t>0</m:t>
                        </m:r>
                      </m:e>
                    </m:mr>
                  </m:m>
                </m:e>
                <m:e>
                  <m:m>
                    <m:mPr>
                      <m:mcs>
                        <m:mc>
                          <m:mcPr>
                            <m:count m:val="3"/>
                            <m:mcJc m:val="center"/>
                          </m:mcPr>
                        </m:mc>
                      </m:mcs>
                      <m:ctrlPr>
                        <w:rPr>
                          <w:rFonts w:ascii="Cambria Math" w:hAnsi="Cambria Math"/>
                          <w:i/>
                          <w:sz w:val="24"/>
                          <w:szCs w:val="24"/>
                        </w:rPr>
                      </m:ctrlPr>
                    </m:mPr>
                    <m:mr>
                      <m:e>
                        <m:r>
                          <w:rPr>
                            <w:rFonts w:ascii="Cambria Math" w:hAnsi="Cambria Math"/>
                            <w:sz w:val="24"/>
                            <w:szCs w:val="24"/>
                          </w:rPr>
                          <m:t>⋯</m:t>
                        </m:r>
                      </m:e>
                      <m:e>
                        <m:r>
                          <w:rPr>
                            <w:rFonts w:ascii="Cambria Math" w:hAnsi="Cambria Math"/>
                            <w:sz w:val="24"/>
                            <w:szCs w:val="24"/>
                          </w:rPr>
                          <m:t>⋯</m:t>
                        </m:r>
                      </m:e>
                      <m:e>
                        <m:r>
                          <w:rPr>
                            <w:rFonts w:ascii="Cambria Math" w:hAnsi="Cambria Math"/>
                            <w:sz w:val="24"/>
                            <w:szCs w:val="24"/>
                          </w:rPr>
                          <m:t>0</m:t>
                        </m:r>
                      </m:e>
                    </m:mr>
                    <m:mr>
                      <m:e>
                        <m:r>
                          <w:rPr>
                            <w:rFonts w:ascii="Cambria Math" w:hAnsi="Cambria Math"/>
                            <w:sz w:val="24"/>
                            <w:szCs w:val="24"/>
                          </w:rPr>
                          <m:t>⋯</m:t>
                        </m:r>
                      </m:e>
                      <m:e>
                        <m:r>
                          <w:rPr>
                            <w:rFonts w:ascii="Cambria Math" w:hAnsi="Cambria Math"/>
                            <w:sz w:val="24"/>
                            <w:szCs w:val="24"/>
                          </w:rPr>
                          <m:t>⋯</m:t>
                        </m:r>
                      </m:e>
                      <m:e>
                        <m:r>
                          <w:rPr>
                            <w:rFonts w:ascii="Cambria Math" w:hAnsi="Cambria Math"/>
                            <w:sz w:val="24"/>
                            <w:szCs w:val="24"/>
                          </w:rPr>
                          <m:t>0</m:t>
                        </m:r>
                      </m:e>
                    </m:mr>
                    <m:mr>
                      <m:e>
                        <m:r>
                          <w:rPr>
                            <w:rFonts w:ascii="Cambria Math" w:hAnsi="Cambria Math"/>
                            <w:sz w:val="24"/>
                            <w:szCs w:val="24"/>
                          </w:rPr>
                          <m:t>1</m:t>
                        </m:r>
                      </m:e>
                      <m:e>
                        <m:r>
                          <w:rPr>
                            <w:rFonts w:ascii="Cambria Math" w:hAnsi="Cambria Math"/>
                            <w:sz w:val="24"/>
                            <w:szCs w:val="24"/>
                          </w:rPr>
                          <m:t>⋯</m:t>
                        </m:r>
                      </m:e>
                      <m:e>
                        <m:r>
                          <w:rPr>
                            <w:rFonts w:ascii="Cambria Math" w:hAnsi="Cambria Math"/>
                            <w:sz w:val="24"/>
                            <w:szCs w:val="24"/>
                          </w:rPr>
                          <m:t>0</m:t>
                        </m:r>
                      </m:e>
                    </m:mr>
                  </m:m>
                </m:e>
              </m:mr>
              <m:mr>
                <m:e>
                  <m:m>
                    <m:mPr>
                      <m:mcs>
                        <m:mc>
                          <m:mcPr>
                            <m:count m:val="3"/>
                            <m:mcJc m:val="center"/>
                          </m:mcPr>
                        </m:mc>
                      </m:mcs>
                      <m:ctrlPr>
                        <w:rPr>
                          <w:rFonts w:ascii="Cambria Math" w:hAnsi="Cambria Math"/>
                          <w:i/>
                          <w:sz w:val="24"/>
                          <w:szCs w:val="24"/>
                        </w:rPr>
                      </m:ctrlPr>
                    </m:mPr>
                    <m:mr>
                      <m:e>
                        <m:r>
                          <w:rPr>
                            <w:rFonts w:ascii="Cambria Math" w:hAnsi="Cambria Math"/>
                            <w:sz w:val="24"/>
                            <w:szCs w:val="24"/>
                          </w:rPr>
                          <m:t>⋯</m:t>
                        </m:r>
                      </m:e>
                      <m:e>
                        <m:r>
                          <w:rPr>
                            <w:rFonts w:ascii="Cambria Math" w:hAnsi="Cambria Math"/>
                            <w:sz w:val="24"/>
                            <w:szCs w:val="24"/>
                          </w:rPr>
                          <m:t>⋯</m:t>
                        </m:r>
                      </m:e>
                      <m:e>
                        <m:r>
                          <w:rPr>
                            <w:rFonts w:ascii="Cambria Math" w:hAnsi="Cambria Math"/>
                            <w:sz w:val="24"/>
                            <w:szCs w:val="24"/>
                          </w:rPr>
                          <m:t>⋯</m:t>
                        </m:r>
                      </m:e>
                    </m:mr>
                    <m:mr>
                      <m:e>
                        <m:r>
                          <w:rPr>
                            <w:rFonts w:ascii="Cambria Math" w:hAnsi="Cambria Math"/>
                            <w:sz w:val="24"/>
                            <w:szCs w:val="24"/>
                          </w:rPr>
                          <m:t>0</m:t>
                        </m:r>
                      </m:e>
                      <m:e>
                        <m:r>
                          <w:rPr>
                            <w:rFonts w:ascii="Cambria Math" w:hAnsi="Cambria Math"/>
                            <w:sz w:val="24"/>
                            <w:szCs w:val="24"/>
                          </w:rPr>
                          <m:t>⋯</m:t>
                        </m:r>
                      </m:e>
                      <m:e>
                        <m:r>
                          <w:rPr>
                            <w:rFonts w:ascii="Cambria Math" w:hAnsi="Cambria Math"/>
                            <w:sz w:val="24"/>
                            <w:szCs w:val="24"/>
                          </w:rPr>
                          <m:t>⋯</m:t>
                        </m:r>
                      </m:e>
                    </m:mr>
                    <m:mr>
                      <m:e>
                        <m:r>
                          <w:rPr>
                            <w:rFonts w:ascii="Cambria Math" w:hAnsi="Cambria Math"/>
                            <w:sz w:val="24"/>
                            <w:szCs w:val="24"/>
                          </w:rPr>
                          <m:t>1</m:t>
                        </m:r>
                      </m:e>
                      <m:e>
                        <m:r>
                          <w:rPr>
                            <w:rFonts w:ascii="Cambria Math" w:hAnsi="Cambria Math"/>
                            <w:sz w:val="24"/>
                            <w:szCs w:val="24"/>
                          </w:rPr>
                          <m:t>1</m:t>
                        </m:r>
                      </m:e>
                      <m:e>
                        <m:r>
                          <w:rPr>
                            <w:rFonts w:ascii="Cambria Math" w:hAnsi="Cambria Math"/>
                            <w:sz w:val="24"/>
                            <w:szCs w:val="24"/>
                          </w:rPr>
                          <m:t>1</m:t>
                        </m:r>
                      </m:e>
                    </m:mr>
                  </m:m>
                </m:e>
                <m:e>
                  <m:m>
                    <m:mPr>
                      <m:mcs>
                        <m:mc>
                          <m:mcPr>
                            <m:count m:val="3"/>
                            <m:mcJc m:val="center"/>
                          </m:mcPr>
                        </m:mc>
                      </m:mcs>
                      <m:ctrlPr>
                        <w:rPr>
                          <w:rFonts w:ascii="Cambria Math" w:hAnsi="Cambria Math"/>
                          <w:i/>
                          <w:sz w:val="24"/>
                          <w:szCs w:val="24"/>
                        </w:rPr>
                      </m:ctrlPr>
                    </m:mPr>
                    <m:mr>
                      <m:e>
                        <m:r>
                          <w:rPr>
                            <w:rFonts w:ascii="Cambria Math" w:hAnsi="Cambria Math"/>
                            <w:sz w:val="24"/>
                            <w:szCs w:val="24"/>
                          </w:rPr>
                          <m:t>⋯</m:t>
                        </m:r>
                      </m:e>
                      <m:e>
                        <m:r>
                          <w:rPr>
                            <w:rFonts w:ascii="Cambria Math" w:hAnsi="Cambria Math"/>
                            <w:sz w:val="24"/>
                            <w:szCs w:val="24"/>
                          </w:rPr>
                          <m:t>⋯</m:t>
                        </m:r>
                      </m:e>
                      <m:e>
                        <m:r>
                          <w:rPr>
                            <w:rFonts w:ascii="Cambria Math" w:hAnsi="Cambria Math"/>
                            <w:sz w:val="24"/>
                            <w:szCs w:val="24"/>
                          </w:rPr>
                          <m:t>⋯</m:t>
                        </m:r>
                      </m:e>
                    </m:mr>
                    <m:mr>
                      <m:e>
                        <m:r>
                          <w:rPr>
                            <w:rFonts w:ascii="Cambria Math" w:hAnsi="Cambria Math"/>
                            <w:sz w:val="24"/>
                            <w:szCs w:val="24"/>
                          </w:rPr>
                          <m:t>0</m:t>
                        </m:r>
                      </m:e>
                      <m:e>
                        <m:r>
                          <w:rPr>
                            <w:rFonts w:ascii="Cambria Math" w:hAnsi="Cambria Math"/>
                            <w:sz w:val="24"/>
                            <w:szCs w:val="24"/>
                          </w:rPr>
                          <m:t>-1</m:t>
                        </m:r>
                      </m:e>
                      <m:e>
                        <m:r>
                          <w:rPr>
                            <w:rFonts w:ascii="Cambria Math" w:hAnsi="Cambria Math"/>
                            <w:sz w:val="24"/>
                            <w:szCs w:val="24"/>
                          </w:rPr>
                          <m:t>1</m:t>
                        </m:r>
                      </m:e>
                    </m:mr>
                    <m:mr>
                      <m:e>
                        <m:r>
                          <w:rPr>
                            <w:rFonts w:ascii="Cambria Math" w:hAnsi="Cambria Math"/>
                            <w:sz w:val="24"/>
                            <w:szCs w:val="24"/>
                          </w:rPr>
                          <m:t>⋯</m:t>
                        </m:r>
                      </m:e>
                      <m:e>
                        <m:r>
                          <w:rPr>
                            <w:rFonts w:ascii="Cambria Math" w:hAnsi="Cambria Math"/>
                            <w:sz w:val="24"/>
                            <w:szCs w:val="24"/>
                          </w:rPr>
                          <m:t>⋯</m:t>
                        </m:r>
                      </m:e>
                      <m:e>
                        <m:r>
                          <w:rPr>
                            <w:rFonts w:ascii="Cambria Math" w:hAnsi="Cambria Math"/>
                            <w:sz w:val="24"/>
                            <w:szCs w:val="24"/>
                          </w:rPr>
                          <m:t>1</m:t>
                        </m:r>
                      </m:e>
                    </m:mr>
                  </m:m>
                </m:e>
              </m:mr>
            </m:m>
          </m:e>
        </m:d>
        <m:r>
          <w:rPr>
            <w:rFonts w:ascii="Cambria Math" w:hAnsi="Cambria Math"/>
            <w:sz w:val="24"/>
            <w:szCs w:val="24"/>
          </w:rPr>
          <m:t>×</m:t>
        </m:r>
        <m:d>
          <m:dPr>
            <m:begChr m:val="["/>
            <m:endChr m:val="]"/>
            <m:ctrlPr>
              <w:rPr>
                <w:rFonts w:ascii="Cambria Math" w:hAnsi="Cambria Math"/>
                <w:i/>
                <w:sz w:val="24"/>
                <w:szCs w:val="24"/>
              </w:rPr>
            </m:ctrlPr>
          </m:dPr>
          <m:e>
            <m:m>
              <m:mPr>
                <m:mcs>
                  <m:mc>
                    <m:mcPr>
                      <m:count m:val="1"/>
                      <m:mcJc m:val="center"/>
                    </m:mcPr>
                  </m:mc>
                </m:mcs>
                <m:ctrlPr>
                  <w:rPr>
                    <w:rFonts w:ascii="Cambria Math" w:hAnsi="Cambria Math"/>
                    <w:i/>
                    <w:sz w:val="24"/>
                    <w:szCs w:val="24"/>
                  </w:rPr>
                </m:ctrlPr>
              </m:mPr>
              <m:mr>
                <m:e>
                  <m:m>
                    <m:mPr>
                      <m:mcs>
                        <m:mc>
                          <m:mcPr>
                            <m:count m:val="1"/>
                            <m:mcJc m:val="center"/>
                          </m:mcPr>
                        </m:mc>
                      </m:mcs>
                      <m:ctrlPr>
                        <w:rPr>
                          <w:rFonts w:ascii="Cambria Math" w:hAnsi="Cambria Math"/>
                          <w:i/>
                          <w:sz w:val="24"/>
                          <w:szCs w:val="24"/>
                        </w:rPr>
                      </m:ctrlPr>
                    </m:mP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1</m:t>
                                </m:r>
                              </m:sup>
                            </m:sSubSup>
                          </m:e>
                        </m:func>
                      </m:e>
                    </m:mr>
                    <m:mr>
                      <m:e>
                        <m:m>
                          <m:mPr>
                            <m:mcs>
                              <m:mc>
                                <m:mcPr>
                                  <m:count m:val="1"/>
                                  <m:mcJc m:val="center"/>
                                </m:mcPr>
                              </m:mc>
                            </m:mcs>
                            <m:ctrlPr>
                              <w:rPr>
                                <w:rFonts w:ascii="Cambria Math" w:hAnsi="Cambria Math"/>
                                <w:i/>
                                <w:sz w:val="24"/>
                                <w:szCs w:val="24"/>
                              </w:rPr>
                            </m:ctrlPr>
                          </m:mP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2</m:t>
                                      </m:r>
                                    </m:sup>
                                  </m:sSubSup>
                                </m:e>
                              </m:func>
                            </m:e>
                          </m:m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3</m:t>
                                      </m:r>
                                    </m:sup>
                                  </m:sSubSup>
                                </m:e>
                              </m:func>
                            </m:e>
                          </m:mr>
                        </m:m>
                      </m:e>
                    </m:mr>
                    <m:mr>
                      <m:e>
                        <m:r>
                          <w:rPr>
                            <w:rFonts w:ascii="Cambria Math" w:hAnsi="Cambria Math"/>
                            <w:sz w:val="24"/>
                            <w:szCs w:val="24"/>
                          </w:rPr>
                          <m:t>⋯</m:t>
                        </m:r>
                      </m:e>
                    </m:mr>
                  </m:m>
                </m:e>
              </m:m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N-1</m:t>
                          </m:r>
                        </m:sup>
                      </m:sSubSup>
                    </m:e>
                  </m:func>
                </m:e>
              </m:mr>
              <m:mr>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N</m:t>
                          </m:r>
                        </m:sup>
                      </m:sSubSup>
                    </m:e>
                  </m:func>
                </m:e>
              </m:mr>
            </m:m>
          </m:e>
        </m:d>
      </m:oMath>
      <w:r w:rsidR="004C3823" w:rsidRPr="00D06719">
        <w:rPr>
          <w:sz w:val="24"/>
          <w:szCs w:val="24"/>
        </w:rPr>
        <w:tab/>
      </w:r>
    </w:p>
    <w:p w14:paraId="7165DB4E" w14:textId="77777777" w:rsidR="004C3823" w:rsidRPr="00D06719" w:rsidRDefault="004C3823" w:rsidP="006C4097">
      <w:pPr>
        <w:spacing w:line="480" w:lineRule="auto"/>
        <w:jc w:val="right"/>
        <w:rPr>
          <w:sz w:val="24"/>
          <w:szCs w:val="24"/>
        </w:rPr>
      </w:pPr>
      <w:r w:rsidRPr="00D06719">
        <w:rPr>
          <w:sz w:val="24"/>
          <w:szCs w:val="24"/>
        </w:rPr>
        <w:t>(</w:t>
      </w:r>
      <w:r>
        <w:rPr>
          <w:sz w:val="24"/>
          <w:szCs w:val="24"/>
        </w:rPr>
        <w:t>2.2</w:t>
      </w:r>
      <w:r w:rsidRPr="00D06719">
        <w:rPr>
          <w:sz w:val="24"/>
          <w:szCs w:val="24"/>
        </w:rPr>
        <w:t>)</w:t>
      </w:r>
    </w:p>
    <w:p w14:paraId="6B9B3558" w14:textId="77777777" w:rsidR="004C3823" w:rsidRPr="00D06719" w:rsidRDefault="004C3823" w:rsidP="00C32F8E">
      <w:pPr>
        <w:spacing w:line="480" w:lineRule="auto"/>
        <w:rPr>
          <w:sz w:val="24"/>
          <w:szCs w:val="24"/>
        </w:rPr>
      </w:pPr>
      <w:r w:rsidRPr="00D06719">
        <w:rPr>
          <w:sz w:val="24"/>
          <w:szCs w:val="24"/>
        </w:rPr>
        <w:lastRenderedPageBreak/>
        <w:t>where the logarithmic amplitude ratio (</w:t>
      </w:r>
      <m:oMath>
        <m:r>
          <w:rPr>
            <w:rFonts w:ascii="Cambria Math" w:hAnsi="Cambria Math"/>
            <w:sz w:val="24"/>
            <w:szCs w:val="24"/>
          </w:rPr>
          <m:t>A</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j,k</m:t>
            </m:r>
          </m:sub>
        </m:sSub>
      </m:oMath>
      <w:r w:rsidRPr="00D06719">
        <w:rPr>
          <w:sz w:val="24"/>
          <w:szCs w:val="24"/>
        </w:rPr>
        <w:t xml:space="preserve">) between events j and k is the averaged amplitude ratio from all receivers with CC &gt; 0.6. In the last row of </w:t>
      </w:r>
      <w:r w:rsidRPr="00074873">
        <w:rPr>
          <w:b/>
          <w:bCs/>
          <w:sz w:val="24"/>
          <w:szCs w:val="24"/>
        </w:rPr>
        <w:t>equation 2.2</w:t>
      </w:r>
      <w:r w:rsidRPr="00D06719">
        <w:rPr>
          <w:sz w:val="24"/>
          <w:szCs w:val="24"/>
        </w:rPr>
        <w:t xml:space="preserve">, N is the total number of recorded earthquakes and </w:t>
      </w:r>
      <m:oMath>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ctrlPr>
                      <w:rPr>
                        <w:rFonts w:ascii="Cambria Math" w:hAnsi="Cambria Math"/>
                        <w:sz w:val="24"/>
                        <w:szCs w:val="24"/>
                      </w:rPr>
                    </m:ctrlPr>
                  </m:e>
                  <m:sub>
                    <m:r>
                      <w:rPr>
                        <w:rFonts w:ascii="Cambria Math" w:hAnsi="Cambria Math"/>
                        <w:sz w:val="24"/>
                        <w:szCs w:val="24"/>
                      </w:rPr>
                      <m:t>10</m:t>
                    </m:r>
                    <m:ctrlPr>
                      <w:rPr>
                        <w:rFonts w:ascii="Cambria Math" w:hAnsi="Cambria Math"/>
                        <w:sz w:val="24"/>
                        <w:szCs w:val="24"/>
                      </w:rPr>
                    </m:ctrlPr>
                  </m:sub>
                </m:sSub>
              </m:fName>
              <m:e>
                <m:sSubSup>
                  <m:sSubSupPr>
                    <m:ctrlPr>
                      <w:rPr>
                        <w:rFonts w:ascii="Cambria Math" w:hAnsi="Cambria Math"/>
                        <w:i/>
                        <w:sz w:val="24"/>
                        <w:szCs w:val="24"/>
                      </w:rPr>
                    </m:ctrlPr>
                  </m:sSubSupPr>
                  <m:e>
                    <m:r>
                      <w:rPr>
                        <w:rFonts w:ascii="Cambria Math" w:hAnsi="Cambria Math"/>
                        <w:sz w:val="24"/>
                        <w:szCs w:val="24"/>
                      </w:rPr>
                      <m:t>M</m:t>
                    </m:r>
                  </m:e>
                  <m:sub>
                    <m:r>
                      <w:rPr>
                        <w:rFonts w:ascii="Cambria Math" w:hAnsi="Cambria Math"/>
                        <w:sz w:val="24"/>
                        <w:szCs w:val="24"/>
                      </w:rPr>
                      <m:t>0</m:t>
                    </m:r>
                  </m:sub>
                  <m:sup>
                    <m:r>
                      <w:rPr>
                        <w:rFonts w:ascii="Cambria Math" w:hAnsi="Cambria Math"/>
                        <w:sz w:val="24"/>
                        <w:szCs w:val="24"/>
                      </w:rPr>
                      <m:t>i</m:t>
                    </m:r>
                  </m:sup>
                </m:sSubSup>
              </m:e>
            </m:func>
          </m:e>
        </m:nary>
        <m:r>
          <w:rPr>
            <w:rFonts w:ascii="Cambria Math" w:hAnsi="Cambria Math"/>
            <w:sz w:val="24"/>
            <w:szCs w:val="24"/>
          </w:rPr>
          <m:t xml:space="preserve"> </m:t>
        </m:r>
      </m:oMath>
      <w:r w:rsidRPr="00D06719">
        <w:rPr>
          <w:sz w:val="24"/>
          <w:szCs w:val="24"/>
        </w:rPr>
        <w:t>is the summation of the total seismic moment for events included in the calibration from the initial catalog, which constrain</w:t>
      </w:r>
      <w:proofErr w:type="spellStart"/>
      <w:r>
        <w:rPr>
          <w:sz w:val="24"/>
          <w:szCs w:val="24"/>
        </w:rPr>
        <w:t>s</w:t>
      </w:r>
      <w:proofErr w:type="spellEnd"/>
      <w:r w:rsidRPr="00D06719">
        <w:rPr>
          <w:sz w:val="24"/>
          <w:szCs w:val="24"/>
        </w:rPr>
        <w:t xml:space="preserve"> the summation of the calibrated seismic moment. The calibrated magnitudes are obtained via the moment magnitude relationship (</w:t>
      </w:r>
      <w:r w:rsidRPr="00074873">
        <w:rPr>
          <w:b/>
          <w:bCs/>
          <w:sz w:val="24"/>
          <w:szCs w:val="24"/>
        </w:rPr>
        <w:t>equation 2.3</w:t>
      </w:r>
      <w:r w:rsidRPr="00D06719">
        <w:rPr>
          <w:sz w:val="24"/>
          <w:szCs w:val="24"/>
        </w:rPr>
        <w:t>) from Kanamori</w:t>
      </w:r>
      <w:r>
        <w:rPr>
          <w:sz w:val="24"/>
          <w:szCs w:val="24"/>
        </w:rPr>
        <w:t>,</w:t>
      </w:r>
      <w:r w:rsidRPr="00D06719">
        <w:rPr>
          <w:sz w:val="24"/>
          <w:szCs w:val="24"/>
        </w:rPr>
        <w:t xml:space="preserve"> </w:t>
      </w:r>
      <w:r>
        <w:rPr>
          <w:sz w:val="24"/>
          <w:szCs w:val="24"/>
        </w:rPr>
        <w:t>(</w:t>
      </w:r>
      <w:r w:rsidRPr="00D06719">
        <w:rPr>
          <w:sz w:val="24"/>
          <w:szCs w:val="24"/>
        </w:rPr>
        <w:t>1977) where the moment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m:t>
            </m:r>
          </m:sub>
        </m:sSub>
      </m:oMath>
      <w:r w:rsidRPr="00D06719">
        <w:rPr>
          <w:sz w:val="24"/>
          <w:szCs w:val="24"/>
        </w:rPr>
        <w:t>) in dyne-cm is converted to N-m to obtain moment magnitude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w</m:t>
            </m:r>
          </m:sub>
        </m:sSub>
      </m:oMath>
      <w:r w:rsidRPr="00D06719">
        <w:rPr>
          <w:sz w:val="24"/>
          <w:szCs w:val="24"/>
        </w:rPr>
        <w:t>):</w:t>
      </w:r>
    </w:p>
    <w:p w14:paraId="3C5A7478" w14:textId="77777777" w:rsidR="004C3823" w:rsidRDefault="00DF2C3F" w:rsidP="00D71EA5">
      <w:pPr>
        <w:spacing w:line="48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w</m:t>
            </m:r>
          </m:sub>
        </m:sSub>
        <m:r>
          <w:rPr>
            <w:rFonts w:ascii="Cambria Math" w:hAnsi="Cambria Math"/>
            <w:sz w:val="24"/>
            <w:szCs w:val="24"/>
          </w:rPr>
          <m:t>=(</m:t>
        </m:r>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10</m:t>
                </m:r>
              </m:sub>
            </m:sSub>
          </m:fName>
          <m:e>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m:t>
                </m:r>
              </m:sub>
            </m:sSub>
          </m:e>
        </m:func>
        <m:r>
          <w:rPr>
            <w:rFonts w:ascii="Cambria Math" w:hAnsi="Cambria Math"/>
            <w:sz w:val="24"/>
            <w:szCs w:val="24"/>
          </w:rPr>
          <m:t>-9.1)/1.5</m:t>
        </m:r>
      </m:oMath>
      <w:r w:rsidR="004C3823">
        <w:rPr>
          <w:sz w:val="24"/>
          <w:szCs w:val="24"/>
        </w:rPr>
        <w:tab/>
      </w:r>
    </w:p>
    <w:p w14:paraId="7532F10A" w14:textId="77777777" w:rsidR="004C3823" w:rsidRPr="00492A10" w:rsidRDefault="004C3823" w:rsidP="006C4097">
      <w:pPr>
        <w:spacing w:line="480" w:lineRule="auto"/>
        <w:jc w:val="right"/>
        <w:rPr>
          <w:sz w:val="24"/>
          <w:szCs w:val="24"/>
        </w:rPr>
      </w:pPr>
      <w:r>
        <w:rPr>
          <w:sz w:val="24"/>
          <w:szCs w:val="24"/>
        </w:rPr>
        <w:t>(2.3)</w:t>
      </w:r>
    </w:p>
    <w:p w14:paraId="3E55F77B" w14:textId="77777777" w:rsidR="004C3823" w:rsidRPr="00492A10" w:rsidRDefault="004C3823" w:rsidP="00C32F8E">
      <w:pPr>
        <w:spacing w:line="480" w:lineRule="auto"/>
        <w:rPr>
          <w:b/>
          <w:bCs/>
          <w:sz w:val="24"/>
          <w:szCs w:val="24"/>
        </w:rPr>
      </w:pPr>
      <w:r>
        <w:rPr>
          <w:b/>
          <w:bCs/>
          <w:sz w:val="24"/>
          <w:szCs w:val="24"/>
        </w:rPr>
        <w:t>2.3.2</w:t>
      </w:r>
      <w:r w:rsidRPr="00492A10">
        <w:rPr>
          <w:b/>
          <w:bCs/>
          <w:sz w:val="24"/>
          <w:szCs w:val="24"/>
        </w:rPr>
        <w:t xml:space="preserve"> b-value</w:t>
      </w:r>
    </w:p>
    <w:p w14:paraId="0304046D" w14:textId="77777777" w:rsidR="004C3823" w:rsidRDefault="004C3823" w:rsidP="00C32F8E">
      <w:pPr>
        <w:spacing w:line="480" w:lineRule="auto"/>
        <w:ind w:firstLine="720"/>
        <w:rPr>
          <w:sz w:val="24"/>
          <w:szCs w:val="24"/>
        </w:rPr>
      </w:pPr>
      <w:proofErr w:type="gramStart"/>
      <w:r w:rsidRPr="00492A10">
        <w:rPr>
          <w:sz w:val="24"/>
          <w:szCs w:val="24"/>
        </w:rPr>
        <w:t>Similar to</w:t>
      </w:r>
      <w:proofErr w:type="gramEnd"/>
      <w:r w:rsidRPr="00492A10">
        <w:rPr>
          <w:sz w:val="24"/>
          <w:szCs w:val="24"/>
        </w:rPr>
        <w:t xml:space="preserve"> Ibanez et al. (2012), we determine the Mc by maximum curvature method (MAXC) (Wyss et al., 2000) from an open-source z-map </w:t>
      </w:r>
      <w:proofErr w:type="spellStart"/>
      <w:r w:rsidRPr="00492A10">
        <w:rPr>
          <w:sz w:val="24"/>
          <w:szCs w:val="24"/>
        </w:rPr>
        <w:t>Matlab</w:t>
      </w:r>
      <w:proofErr w:type="spellEnd"/>
      <w:r w:rsidRPr="00492A10">
        <w:rPr>
          <w:sz w:val="24"/>
          <w:szCs w:val="24"/>
        </w:rPr>
        <w:t xml:space="preserve"> toolbox (Wiemer </w:t>
      </w:r>
      <w:r>
        <w:rPr>
          <w:sz w:val="24"/>
          <w:szCs w:val="24"/>
        </w:rPr>
        <w:t>and</w:t>
      </w:r>
      <w:r w:rsidRPr="00492A10">
        <w:rPr>
          <w:sz w:val="24"/>
          <w:szCs w:val="24"/>
        </w:rPr>
        <w:t xml:space="preserve"> Malone, 2001). MAXC determines Mc by the maximum value of the first derivative of the frequency-magnitude curve, the point of maximum curvature. However, a caveat in MAXC is the tendency to underestimate Mc in data as explained by </w:t>
      </w:r>
      <w:proofErr w:type="spellStart"/>
      <w:r w:rsidRPr="00492A10">
        <w:rPr>
          <w:sz w:val="24"/>
          <w:szCs w:val="24"/>
        </w:rPr>
        <w:t>Mignan</w:t>
      </w:r>
      <w:proofErr w:type="spellEnd"/>
      <w:r w:rsidRPr="00492A10">
        <w:rPr>
          <w:sz w:val="24"/>
          <w:szCs w:val="24"/>
        </w:rPr>
        <w:t xml:space="preserve"> and Woessner (2012). Using events with magnitudes above the estimated Mc, the b-values </w:t>
      </w:r>
      <w:r>
        <w:rPr>
          <w:sz w:val="24"/>
          <w:szCs w:val="24"/>
        </w:rPr>
        <w:t>from the Gutenberg-Richter relationship (</w:t>
      </w:r>
      <w:r w:rsidRPr="00074873">
        <w:rPr>
          <w:b/>
          <w:bCs/>
          <w:sz w:val="24"/>
          <w:szCs w:val="24"/>
        </w:rPr>
        <w:t>equation 2.1</w:t>
      </w:r>
      <w:r>
        <w:rPr>
          <w:sz w:val="24"/>
          <w:szCs w:val="24"/>
        </w:rPr>
        <w:t xml:space="preserve">) are obtained </w:t>
      </w:r>
      <w:r w:rsidRPr="00492A10">
        <w:rPr>
          <w:sz w:val="24"/>
          <w:szCs w:val="24"/>
        </w:rPr>
        <w:t xml:space="preserve">using the maximum-likelihood method (MLE) (Wiemer </w:t>
      </w:r>
      <w:r>
        <w:rPr>
          <w:sz w:val="24"/>
          <w:szCs w:val="24"/>
        </w:rPr>
        <w:t>and</w:t>
      </w:r>
      <w:r w:rsidRPr="00492A10">
        <w:rPr>
          <w:sz w:val="24"/>
          <w:szCs w:val="24"/>
        </w:rPr>
        <w:t xml:space="preserve"> Malone, 2001)</w:t>
      </w:r>
      <w:r>
        <w:rPr>
          <w:sz w:val="24"/>
          <w:szCs w:val="24"/>
        </w:rPr>
        <w:t xml:space="preserve">. </w:t>
      </w:r>
      <w:r w:rsidRPr="00492A10">
        <w:rPr>
          <w:sz w:val="24"/>
          <w:szCs w:val="24"/>
        </w:rPr>
        <w:t xml:space="preserve"> </w:t>
      </w:r>
      <w:r>
        <w:rPr>
          <w:sz w:val="24"/>
          <w:szCs w:val="24"/>
        </w:rPr>
        <w:t>T</w:t>
      </w:r>
      <w:r w:rsidRPr="00492A10">
        <w:rPr>
          <w:sz w:val="24"/>
          <w:szCs w:val="24"/>
        </w:rPr>
        <w:t xml:space="preserve">he estimated b-value is the logarithmic of </w:t>
      </w:r>
      <m:oMath>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av</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min</m:t>
            </m:r>
          </m:sub>
        </m:sSub>
        <m:r>
          <w:rPr>
            <w:rFonts w:ascii="Cambria Math" w:hAnsi="Cambria Math"/>
            <w:sz w:val="24"/>
            <w:szCs w:val="24"/>
          </w:rPr>
          <m:t>)</m:t>
        </m:r>
      </m:oMath>
      <w:r>
        <w:rPr>
          <w:sz w:val="24"/>
          <w:szCs w:val="24"/>
        </w:rPr>
        <w:t xml:space="preserve"> </w:t>
      </w:r>
      <w:r w:rsidRPr="00492A10">
        <w:rPr>
          <w:sz w:val="24"/>
          <w:szCs w:val="24"/>
        </w:rPr>
        <w:t>using the average magnitude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av</m:t>
            </m:r>
          </m:sub>
        </m:sSub>
      </m:oMath>
      <w:r w:rsidRPr="00492A10">
        <w:rPr>
          <w:sz w:val="24"/>
          <w:szCs w:val="24"/>
        </w:rPr>
        <w:t>) a</w:t>
      </w:r>
      <w:proofErr w:type="spellStart"/>
      <w:r w:rsidRPr="00492A10">
        <w:rPr>
          <w:sz w:val="24"/>
          <w:szCs w:val="24"/>
        </w:rPr>
        <w:t>nd</w:t>
      </w:r>
      <w:proofErr w:type="spellEnd"/>
      <w:r w:rsidRPr="00492A10">
        <w:rPr>
          <w:sz w:val="24"/>
          <w:szCs w:val="24"/>
        </w:rPr>
        <w:t xml:space="preserve"> minimum magnitude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min</m:t>
            </m:r>
          </m:sub>
        </m:sSub>
      </m:oMath>
      <w:r w:rsidRPr="00492A10">
        <w:rPr>
          <w:sz w:val="24"/>
          <w:szCs w:val="24"/>
        </w:rPr>
        <w:t xml:space="preserve">) (both before and after magnitude calibration) following </w:t>
      </w:r>
      <w:r w:rsidRPr="00074873">
        <w:rPr>
          <w:b/>
          <w:bCs/>
          <w:sz w:val="24"/>
          <w:szCs w:val="24"/>
        </w:rPr>
        <w:t>equation 2.4</w:t>
      </w:r>
      <w:r w:rsidRPr="00492A10">
        <w:rPr>
          <w:sz w:val="24"/>
          <w:szCs w:val="24"/>
        </w:rPr>
        <w:t xml:space="preserve"> (Aki, 1965):</w:t>
      </w:r>
    </w:p>
    <w:p w14:paraId="4C2A7BCD" w14:textId="77777777" w:rsidR="004C3823" w:rsidRDefault="004C3823" w:rsidP="00C32F8E">
      <w:pPr>
        <w:spacing w:line="480" w:lineRule="auto"/>
        <w:ind w:firstLine="720"/>
        <w:rPr>
          <w:sz w:val="24"/>
          <w:szCs w:val="24"/>
        </w:rPr>
      </w:pPr>
    </w:p>
    <w:p w14:paraId="14DC35C7" w14:textId="77777777" w:rsidR="004C3823" w:rsidRDefault="004C3823" w:rsidP="00D06719">
      <w:pPr>
        <w:spacing w:line="480" w:lineRule="auto"/>
        <w:jc w:val="center"/>
        <w:rPr>
          <w:sz w:val="24"/>
          <w:szCs w:val="24"/>
        </w:rPr>
      </w:pPr>
      <m:oMath>
        <m:r>
          <w:rPr>
            <w:rFonts w:ascii="Cambria Math" w:hAnsi="Cambria Math"/>
            <w:sz w:val="24"/>
            <w:szCs w:val="24"/>
          </w:rPr>
          <w:lastRenderedPageBreak/>
          <m:t>b=</m:t>
        </m:r>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10</m:t>
                </m:r>
              </m:sub>
            </m:sSub>
          </m:fName>
          <m:e>
            <m:r>
              <w:rPr>
                <w:rFonts w:ascii="Cambria Math" w:hAnsi="Cambria Math"/>
                <w:sz w:val="24"/>
                <w:szCs w:val="24"/>
              </w:rPr>
              <m:t>e/(</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av</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min</m:t>
                </m:r>
              </m:sub>
            </m:sSub>
            <m:r>
              <w:rPr>
                <w:rFonts w:ascii="Cambria Math" w:hAnsi="Cambria Math"/>
                <w:sz w:val="24"/>
                <w:szCs w:val="24"/>
              </w:rPr>
              <m:t>)</m:t>
            </m:r>
          </m:e>
        </m:func>
      </m:oMath>
      <w:r>
        <w:rPr>
          <w:sz w:val="24"/>
          <w:szCs w:val="24"/>
        </w:rPr>
        <w:t xml:space="preserve"> </w:t>
      </w:r>
      <w:r>
        <w:rPr>
          <w:sz w:val="24"/>
          <w:szCs w:val="24"/>
        </w:rPr>
        <w:tab/>
      </w:r>
    </w:p>
    <w:p w14:paraId="5F07D6A7" w14:textId="77777777" w:rsidR="004C3823" w:rsidRPr="00492A10" w:rsidRDefault="004C3823" w:rsidP="006C4097">
      <w:pPr>
        <w:spacing w:line="480" w:lineRule="auto"/>
        <w:jc w:val="right"/>
        <w:rPr>
          <w:sz w:val="24"/>
          <w:szCs w:val="24"/>
        </w:rPr>
      </w:pPr>
      <w:r>
        <w:rPr>
          <w:sz w:val="24"/>
          <w:szCs w:val="24"/>
        </w:rPr>
        <w:t>(2.4)</w:t>
      </w:r>
    </w:p>
    <w:p w14:paraId="4AC2A9D2" w14:textId="77777777" w:rsidR="004C3823" w:rsidRPr="00492A10" w:rsidRDefault="004C3823" w:rsidP="00C32F8E">
      <w:pPr>
        <w:spacing w:line="480" w:lineRule="auto"/>
        <w:ind w:firstLine="720"/>
        <w:rPr>
          <w:sz w:val="24"/>
          <w:szCs w:val="24"/>
        </w:rPr>
      </w:pPr>
      <w:r>
        <w:rPr>
          <w:sz w:val="24"/>
          <w:szCs w:val="24"/>
        </w:rPr>
        <w:t xml:space="preserve">While </w:t>
      </w:r>
      <w:r w:rsidRPr="00492A10">
        <w:rPr>
          <w:sz w:val="24"/>
          <w:szCs w:val="24"/>
        </w:rPr>
        <w:t xml:space="preserve">MLE provides reliable estimates of b-values when the FMD follows </w:t>
      </w:r>
      <w:r>
        <w:rPr>
          <w:sz w:val="24"/>
          <w:szCs w:val="24"/>
        </w:rPr>
        <w:t xml:space="preserve">a </w:t>
      </w:r>
      <w:r w:rsidRPr="00492A10">
        <w:rPr>
          <w:sz w:val="24"/>
          <w:szCs w:val="24"/>
        </w:rPr>
        <w:t>GR relationship (Milojevic, 2010)</w:t>
      </w:r>
      <w:r>
        <w:rPr>
          <w:sz w:val="24"/>
          <w:szCs w:val="24"/>
        </w:rPr>
        <w:t>, there is the possibility that</w:t>
      </w:r>
      <w:r w:rsidRPr="00492A10">
        <w:rPr>
          <w:sz w:val="24"/>
          <w:szCs w:val="24"/>
        </w:rPr>
        <w:t xml:space="preserve"> MLE</w:t>
      </w:r>
      <w:r>
        <w:rPr>
          <w:sz w:val="24"/>
          <w:szCs w:val="24"/>
        </w:rPr>
        <w:t xml:space="preserve"> tends</w:t>
      </w:r>
      <w:r w:rsidRPr="00492A10">
        <w:rPr>
          <w:sz w:val="24"/>
          <w:szCs w:val="24"/>
        </w:rPr>
        <w:t xml:space="preserve"> to bias lower magnitude events when Mc is too low and will result in a poor fit to the GR relationship</w:t>
      </w:r>
      <w:r>
        <w:rPr>
          <w:sz w:val="24"/>
          <w:szCs w:val="24"/>
        </w:rPr>
        <w:t xml:space="preserve"> (Ibanez et al., 2012)</w:t>
      </w:r>
      <w:r w:rsidRPr="00492A10">
        <w:rPr>
          <w:sz w:val="24"/>
          <w:szCs w:val="24"/>
        </w:rPr>
        <w:t>.</w:t>
      </w:r>
    </w:p>
    <w:p w14:paraId="28F9BF5F" w14:textId="77777777" w:rsidR="004C3823" w:rsidRPr="00492A10" w:rsidRDefault="004C3823" w:rsidP="00C32F8E">
      <w:pPr>
        <w:spacing w:line="480" w:lineRule="auto"/>
        <w:ind w:firstLine="720"/>
        <w:rPr>
          <w:sz w:val="24"/>
          <w:szCs w:val="24"/>
        </w:rPr>
      </w:pPr>
      <w:r w:rsidRPr="00492A10">
        <w:rPr>
          <w:sz w:val="24"/>
          <w:szCs w:val="24"/>
        </w:rPr>
        <w:t xml:space="preserve">To assess the uncertainty in b-values due to possible biases in Mc, we perform bootstrap resampling with 100 resampled datasets for each treatment. For each resampled dataset, a new Mc and b-value are estimated. Generally, b-values are expected to be </w:t>
      </w:r>
      <w:r w:rsidRPr="00492A10">
        <w:rPr>
          <w:rFonts w:ascii="Cambria Math" w:hAnsi="Cambria Math" w:cs="Cambria Math"/>
          <w:sz w:val="24"/>
          <w:szCs w:val="24"/>
        </w:rPr>
        <w:t>∼</w:t>
      </w:r>
      <w:r w:rsidRPr="00492A10">
        <w:rPr>
          <w:sz w:val="24"/>
          <w:szCs w:val="24"/>
        </w:rPr>
        <w:t xml:space="preserve">1 in large sample sizes (Frohlich </w:t>
      </w:r>
      <w:r>
        <w:rPr>
          <w:sz w:val="24"/>
          <w:szCs w:val="24"/>
        </w:rPr>
        <w:t>and</w:t>
      </w:r>
      <w:r w:rsidRPr="00492A10">
        <w:rPr>
          <w:sz w:val="24"/>
          <w:szCs w:val="24"/>
        </w:rPr>
        <w:t xml:space="preserve"> Davis, 1993), which is typically observed for tectonic earthquakes (Kagan, 1999), but seismicity associated with fluid injection (Bachmann et al., 2011, 2012, 2014; Lei et al., 2008) or magma intrusion (Wiemer </w:t>
      </w:r>
      <w:r>
        <w:rPr>
          <w:sz w:val="24"/>
          <w:szCs w:val="24"/>
        </w:rPr>
        <w:t>and</w:t>
      </w:r>
      <w:r w:rsidRPr="00492A10">
        <w:rPr>
          <w:sz w:val="24"/>
          <w:szCs w:val="24"/>
        </w:rPr>
        <w:t xml:space="preserve"> McNutt, 1997) often have b-values greater than 1. Differences in styles of faulting also produce varying b-values (Schorlemmer et al., 2005). The spatiotemporal variations of </w:t>
      </w:r>
      <w:r>
        <w:rPr>
          <w:sz w:val="24"/>
          <w:szCs w:val="24"/>
        </w:rPr>
        <w:t xml:space="preserve">the </w:t>
      </w:r>
      <w:r w:rsidRPr="00492A10">
        <w:rPr>
          <w:sz w:val="24"/>
          <w:szCs w:val="24"/>
        </w:rPr>
        <w:t xml:space="preserve">b-value often indicate stress distributions, with lower b-values indicating higher differential stress (Schorlemmer et al., 2005) or associated with fault activation (Shelly et al., 2016; Chen et al., 2018). </w:t>
      </w:r>
    </w:p>
    <w:p w14:paraId="102F7070" w14:textId="77777777" w:rsidR="004C3823" w:rsidRPr="00492A10" w:rsidRDefault="004C3823" w:rsidP="00C32F8E">
      <w:pPr>
        <w:spacing w:line="480" w:lineRule="auto"/>
        <w:rPr>
          <w:b/>
          <w:bCs/>
          <w:sz w:val="24"/>
          <w:szCs w:val="24"/>
        </w:rPr>
      </w:pPr>
      <w:r>
        <w:rPr>
          <w:b/>
          <w:bCs/>
          <w:sz w:val="24"/>
          <w:szCs w:val="24"/>
        </w:rPr>
        <w:t>2.3.3</w:t>
      </w:r>
      <w:r w:rsidRPr="00492A10">
        <w:rPr>
          <w:b/>
          <w:bCs/>
          <w:sz w:val="24"/>
          <w:szCs w:val="24"/>
        </w:rPr>
        <w:t xml:space="preserve"> Mohr circle construction</w:t>
      </w:r>
    </w:p>
    <w:p w14:paraId="06F932C3" w14:textId="77777777" w:rsidR="004C3823" w:rsidRPr="008F3C37" w:rsidRDefault="004C3823" w:rsidP="00C32F8E">
      <w:pPr>
        <w:spacing w:line="480" w:lineRule="auto"/>
        <w:ind w:firstLine="720"/>
        <w:rPr>
          <w:sz w:val="24"/>
          <w:szCs w:val="24"/>
        </w:rPr>
      </w:pPr>
      <w:r>
        <w:rPr>
          <w:sz w:val="24"/>
          <w:szCs w:val="24"/>
        </w:rPr>
        <w:t xml:space="preserve">A Mohr circle can be used to visualize the subcluster analysis of the treatments with clusters not orientated along to </w:t>
      </w:r>
      <w:proofErr w:type="spellStart"/>
      <w:r>
        <w:rPr>
          <w:sz w:val="24"/>
          <w:szCs w:val="24"/>
        </w:rPr>
        <w:t>SHmax</w:t>
      </w:r>
      <w:proofErr w:type="spellEnd"/>
      <w:r>
        <w:rPr>
          <w:sz w:val="24"/>
          <w:szCs w:val="24"/>
        </w:rPr>
        <w:t xml:space="preserve">. </w:t>
      </w:r>
      <w:r w:rsidRPr="00492A10">
        <w:rPr>
          <w:sz w:val="24"/>
          <w:szCs w:val="24"/>
        </w:rPr>
        <w:t>Developed by Mohr (1900) to investigate fluid pressure and stress</w:t>
      </w:r>
      <w:r>
        <w:rPr>
          <w:sz w:val="24"/>
          <w:szCs w:val="24"/>
        </w:rPr>
        <w:t>-</w:t>
      </w:r>
      <w:r w:rsidRPr="00492A10">
        <w:rPr>
          <w:sz w:val="24"/>
          <w:szCs w:val="24"/>
        </w:rPr>
        <w:t xml:space="preserve">controlling fracture opening, Mohr diagrams provide a useful tool for visualization of the relationship between the normal stress acting on a fracture surface and </w:t>
      </w:r>
      <w:r>
        <w:rPr>
          <w:sz w:val="24"/>
          <w:szCs w:val="24"/>
        </w:rPr>
        <w:t xml:space="preserve">the </w:t>
      </w:r>
      <w:r w:rsidRPr="00492A10">
        <w:rPr>
          <w:sz w:val="24"/>
          <w:szCs w:val="24"/>
        </w:rPr>
        <w:t xml:space="preserve">shear stress </w:t>
      </w:r>
      <w:r w:rsidRPr="00492A10">
        <w:rPr>
          <w:sz w:val="24"/>
          <w:szCs w:val="24"/>
        </w:rPr>
        <w:lastRenderedPageBreak/>
        <w:t>required to overcome the friction angle. We can describe the normal stress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n</m:t>
            </m:r>
          </m:sub>
        </m:sSub>
      </m:oMath>
      <w:r w:rsidRPr="00492A10">
        <w:rPr>
          <w:sz w:val="24"/>
          <w:szCs w:val="24"/>
        </w:rPr>
        <w:t>) using the maximum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m:t>
            </m:r>
          </m:sub>
        </m:sSub>
      </m:oMath>
      <w:r w:rsidRPr="00492A10">
        <w:rPr>
          <w:sz w:val="24"/>
          <w:szCs w:val="24"/>
        </w:rPr>
        <w:t>) and minimum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3</m:t>
            </m:r>
          </m:sub>
        </m:sSub>
      </m:oMath>
      <w:r w:rsidRPr="00492A10">
        <w:rPr>
          <w:sz w:val="24"/>
          <w:szCs w:val="24"/>
        </w:rPr>
        <w:t xml:space="preserve">) principal stress, and (θ) the angle </w:t>
      </w:r>
      <w:r>
        <w:rPr>
          <w:sz w:val="24"/>
          <w:szCs w:val="24"/>
        </w:rPr>
        <w:t>between</w:t>
      </w:r>
      <w:r w:rsidRPr="00492A10">
        <w:rPr>
          <w:sz w:val="24"/>
          <w:szCs w:val="24"/>
        </w:rPr>
        <w:t xml:space="preserve"> the fracture plane</w:t>
      </w:r>
      <w:r>
        <w:rPr>
          <w:sz w:val="24"/>
          <w:szCs w:val="24"/>
        </w:rPr>
        <w:t xml:space="preserve"> and maximum principal stress</w:t>
      </w:r>
      <w:r w:rsidRPr="00492A10">
        <w:rPr>
          <w:sz w:val="24"/>
          <w:szCs w:val="24"/>
        </w:rPr>
        <w:t xml:space="preserve">. Mohr-Coulomb failure criterion (Heyman et al., 1971) included a failure envelope </w:t>
      </w:r>
      <w:r>
        <w:rPr>
          <w:sz w:val="24"/>
          <w:szCs w:val="24"/>
        </w:rPr>
        <w:t>that</w:t>
      </w:r>
      <w:r w:rsidRPr="00492A10">
        <w:rPr>
          <w:sz w:val="24"/>
          <w:szCs w:val="24"/>
        </w:rPr>
        <w:t xml:space="preserve"> is tangential to the Mohr circle where the apex between the failure envelope and </w:t>
      </w:r>
      <w:r>
        <w:rPr>
          <w:sz w:val="24"/>
          <w:szCs w:val="24"/>
        </w:rPr>
        <w:t xml:space="preserve">the </w:t>
      </w:r>
      <w:r w:rsidRPr="00492A10">
        <w:rPr>
          <w:sz w:val="24"/>
          <w:szCs w:val="24"/>
        </w:rPr>
        <w:t>Mohr circle is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f</m:t>
            </m:r>
          </m:sub>
        </m:sSub>
      </m:oMath>
      <w:r w:rsidRPr="00492A10">
        <w:rPr>
          <w:sz w:val="24"/>
          <w:szCs w:val="24"/>
        </w:rPr>
        <w:t>). Normal stress is determined g</w:t>
      </w:r>
      <w:proofErr w:type="spellStart"/>
      <w:r w:rsidRPr="008F3C37">
        <w:rPr>
          <w:sz w:val="24"/>
          <w:szCs w:val="24"/>
        </w:rPr>
        <w:t>eometrically</w:t>
      </w:r>
      <w:proofErr w:type="spellEnd"/>
      <w:r w:rsidRPr="008F3C37">
        <w:rPr>
          <w:sz w:val="24"/>
          <w:szCs w:val="24"/>
        </w:rPr>
        <w:t xml:space="preserve"> in </w:t>
      </w:r>
      <w:r w:rsidRPr="00074873">
        <w:rPr>
          <w:b/>
          <w:bCs/>
          <w:sz w:val="24"/>
          <w:szCs w:val="24"/>
        </w:rPr>
        <w:t>equation 2.5</w:t>
      </w:r>
      <w:r w:rsidRPr="008F3C37">
        <w:rPr>
          <w:sz w:val="24"/>
          <w:szCs w:val="24"/>
        </w:rPr>
        <w:t xml:space="preserve"> using the horizontal component of the Mohr circle normal stress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3</m:t>
                </m:r>
              </m:sub>
            </m:sSub>
          </m:num>
          <m:den>
            <m:r>
              <w:rPr>
                <w:rFonts w:ascii="Cambria Math" w:hAnsi="Cambria Math"/>
                <w:sz w:val="24"/>
                <w:szCs w:val="24"/>
              </w:rPr>
              <m:t>2</m:t>
            </m:r>
          </m:den>
        </m:f>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2θ</m:t>
            </m:r>
          </m:e>
        </m:func>
      </m:oMath>
      <w:r w:rsidRPr="008F3C37">
        <w:rPr>
          <w:sz w:val="24"/>
          <w:szCs w:val="24"/>
        </w:rPr>
        <w:t>) and the principal average stress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3</m:t>
                </m:r>
              </m:sub>
            </m:sSub>
          </m:num>
          <m:den>
            <m:r>
              <w:rPr>
                <w:rFonts w:ascii="Cambria Math" w:hAnsi="Cambria Math"/>
                <w:sz w:val="24"/>
                <w:szCs w:val="24"/>
              </w:rPr>
              <m:t>2</m:t>
            </m:r>
          </m:den>
        </m:f>
      </m:oMath>
      <w:r w:rsidRPr="008F3C37">
        <w:rPr>
          <w:sz w:val="24"/>
          <w:szCs w:val="24"/>
        </w:rPr>
        <w:t>).</w:t>
      </w:r>
    </w:p>
    <w:p w14:paraId="211D0D8D" w14:textId="77777777" w:rsidR="004C3823" w:rsidRDefault="00DF2C3F" w:rsidP="008F3C37">
      <w:pPr>
        <w:pStyle w:val="BodyText"/>
        <w:spacing w:before="6"/>
        <w:jc w:val="center"/>
        <w:rPr>
          <w:sz w:val="24"/>
          <w:szCs w:val="24"/>
        </w:rPr>
      </w:pP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n</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3</m:t>
                </m:r>
              </m:sub>
            </m:sSub>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3</m:t>
                </m:r>
              </m:sub>
            </m:sSub>
          </m:num>
          <m:den>
            <m:r>
              <w:rPr>
                <w:rFonts w:ascii="Cambria Math" w:hAnsi="Cambria Math"/>
                <w:sz w:val="24"/>
                <w:szCs w:val="24"/>
              </w:rPr>
              <m:t>2</m:t>
            </m:r>
          </m:den>
        </m:f>
        <m:func>
          <m:funcPr>
            <m:ctrlPr>
              <w:rPr>
                <w:rFonts w:ascii="Cambria Math" w:hAnsi="Cambria Math"/>
                <w:i/>
                <w:sz w:val="24"/>
                <w:szCs w:val="24"/>
              </w:rPr>
            </m:ctrlPr>
          </m:funcPr>
          <m:fName>
            <m:r>
              <m:rPr>
                <m:sty m:val="p"/>
              </m:rPr>
              <w:rPr>
                <w:rFonts w:ascii="Cambria Math" w:hAnsi="Cambria Math"/>
                <w:sz w:val="24"/>
                <w:szCs w:val="24"/>
              </w:rPr>
              <m:t>cos</m:t>
            </m:r>
          </m:fName>
          <m:e>
            <m:r>
              <w:rPr>
                <w:rFonts w:ascii="Cambria Math" w:hAnsi="Cambria Math"/>
                <w:sz w:val="24"/>
                <w:szCs w:val="24"/>
              </w:rPr>
              <m:t>2θ</m:t>
            </m:r>
          </m:e>
        </m:func>
      </m:oMath>
      <w:r w:rsidR="004C3823">
        <w:rPr>
          <w:sz w:val="24"/>
          <w:szCs w:val="24"/>
        </w:rPr>
        <w:tab/>
      </w:r>
    </w:p>
    <w:p w14:paraId="729DA23A" w14:textId="77777777" w:rsidR="004C3823" w:rsidRPr="008F3C37" w:rsidRDefault="004C3823" w:rsidP="006C4097">
      <w:pPr>
        <w:pStyle w:val="BodyText"/>
        <w:spacing w:before="6"/>
        <w:jc w:val="right"/>
        <w:rPr>
          <w:sz w:val="24"/>
          <w:szCs w:val="24"/>
        </w:rPr>
      </w:pPr>
      <w:r>
        <w:rPr>
          <w:sz w:val="24"/>
          <w:szCs w:val="24"/>
        </w:rPr>
        <w:t>(2.5)</w:t>
      </w:r>
    </w:p>
    <w:p w14:paraId="24657A44" w14:textId="77777777" w:rsidR="004C3823" w:rsidRPr="00701FEA" w:rsidRDefault="004C3823" w:rsidP="00C32F8E">
      <w:pPr>
        <w:spacing w:line="480" w:lineRule="auto"/>
        <w:ind w:firstLine="720"/>
        <w:rPr>
          <w:sz w:val="24"/>
          <w:szCs w:val="24"/>
        </w:rPr>
      </w:pPr>
      <w:r w:rsidRPr="008F3C37">
        <w:rPr>
          <w:sz w:val="24"/>
          <w:szCs w:val="24"/>
        </w:rPr>
        <w:t xml:space="preserve">Mohr-Coulomb failure criterion failure envelope describes the stress state at failure </w:t>
      </w:r>
      <w:r w:rsidRPr="00701FEA">
        <w:rPr>
          <w:sz w:val="24"/>
          <w:szCs w:val="24"/>
        </w:rPr>
        <w:t>when the acting shear stress overcome</w:t>
      </w:r>
      <w:r>
        <w:rPr>
          <w:sz w:val="24"/>
          <w:szCs w:val="24"/>
        </w:rPr>
        <w:t>s</w:t>
      </w:r>
      <w:r w:rsidRPr="00701FEA">
        <w:rPr>
          <w:sz w:val="24"/>
          <w:szCs w:val="24"/>
        </w:rPr>
        <w:t xml:space="preserve"> the internal friction angle (φ) and normal stress. The geometric relationship</w:t>
      </w:r>
      <w:r>
        <w:rPr>
          <w:sz w:val="24"/>
          <w:szCs w:val="24"/>
        </w:rPr>
        <w:t xml:space="preserve"> (</w:t>
      </w:r>
      <w:r w:rsidRPr="00074873">
        <w:rPr>
          <w:b/>
          <w:bCs/>
          <w:sz w:val="24"/>
          <w:szCs w:val="24"/>
        </w:rPr>
        <w:t>equation 2.6</w:t>
      </w:r>
      <w:r>
        <w:rPr>
          <w:sz w:val="24"/>
          <w:szCs w:val="24"/>
        </w:rPr>
        <w:t>)</w:t>
      </w:r>
      <w:r w:rsidRPr="00701FEA">
        <w:rPr>
          <w:sz w:val="24"/>
          <w:szCs w:val="24"/>
        </w:rPr>
        <w:t xml:space="preserve"> of the shear stress at failure (</w:t>
      </w: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f</m:t>
            </m:r>
          </m:sub>
        </m:sSub>
      </m:oMath>
      <w:r w:rsidRPr="00701FEA">
        <w:rPr>
          <w:sz w:val="24"/>
          <w:szCs w:val="24"/>
        </w:rPr>
        <w:t xml:space="preserve">) to the normal stress and material cohesion (c) is given </w:t>
      </w:r>
      <w:proofErr w:type="gramStart"/>
      <w:r w:rsidRPr="00701FEA">
        <w:rPr>
          <w:sz w:val="24"/>
          <w:szCs w:val="24"/>
        </w:rPr>
        <w:t>by</w:t>
      </w:r>
      <w:proofErr w:type="gramEnd"/>
    </w:p>
    <w:p w14:paraId="64104B75" w14:textId="77777777" w:rsidR="004C3823" w:rsidRDefault="00DF2C3F" w:rsidP="00B268E0">
      <w:pPr>
        <w:spacing w:line="48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f</m:t>
            </m:r>
          </m:sub>
        </m:sSub>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n</m:t>
            </m:r>
          </m:sub>
        </m:sSub>
        <m:func>
          <m:funcPr>
            <m:ctrlPr>
              <w:rPr>
                <w:rFonts w:ascii="Cambria Math" w:hAnsi="Cambria Math"/>
                <w:i/>
                <w:sz w:val="24"/>
                <w:szCs w:val="24"/>
              </w:rPr>
            </m:ctrlPr>
          </m:funcPr>
          <m:fName>
            <m:r>
              <m:rPr>
                <m:sty m:val="p"/>
              </m:rPr>
              <w:rPr>
                <w:rFonts w:ascii="Cambria Math" w:hAnsi="Cambria Math"/>
                <w:sz w:val="24"/>
                <w:szCs w:val="24"/>
              </w:rPr>
              <m:t>tan</m:t>
            </m:r>
          </m:fName>
          <m:e>
            <m:r>
              <w:rPr>
                <w:rFonts w:ascii="Cambria Math" w:hAnsi="Cambria Math"/>
                <w:sz w:val="24"/>
                <w:szCs w:val="24"/>
              </w:rPr>
              <m:t>φ</m:t>
            </m:r>
          </m:e>
        </m:func>
      </m:oMath>
      <w:r w:rsidR="004C3823">
        <w:rPr>
          <w:sz w:val="24"/>
          <w:szCs w:val="24"/>
        </w:rPr>
        <w:tab/>
      </w:r>
    </w:p>
    <w:p w14:paraId="602BAFA7" w14:textId="77777777" w:rsidR="004C3823" w:rsidRDefault="004C3823" w:rsidP="006C4097">
      <w:pPr>
        <w:spacing w:line="480" w:lineRule="auto"/>
        <w:jc w:val="right"/>
        <w:rPr>
          <w:sz w:val="24"/>
          <w:szCs w:val="24"/>
        </w:rPr>
      </w:pPr>
      <w:r>
        <w:rPr>
          <w:sz w:val="24"/>
          <w:szCs w:val="24"/>
        </w:rPr>
        <w:t>(2.6)</w:t>
      </w:r>
    </w:p>
    <w:p w14:paraId="06FE85F1" w14:textId="77777777" w:rsidR="004C3823" w:rsidRPr="00701FEA" w:rsidRDefault="004C3823" w:rsidP="00A700C7">
      <w:pPr>
        <w:spacing w:line="480" w:lineRule="auto"/>
        <w:rPr>
          <w:sz w:val="24"/>
          <w:szCs w:val="24"/>
        </w:rPr>
      </w:pPr>
      <w:r>
        <w:rPr>
          <w:sz w:val="24"/>
          <w:szCs w:val="24"/>
        </w:rPr>
        <w:tab/>
        <w:t xml:space="preserve">Since we are only interested in the relative variation of the fracture stress states on the Mohr circle, we only calculate a schematic Mohr diagram with normalized stress amplitude and assume a friction coefficient of 0.75 for the Coulomb failure envelope. </w:t>
      </w:r>
    </w:p>
    <w:p w14:paraId="6D653415" w14:textId="77777777" w:rsidR="004C3823" w:rsidRPr="00701FEA" w:rsidRDefault="004C3823" w:rsidP="00C32F8E">
      <w:pPr>
        <w:spacing w:line="480" w:lineRule="auto"/>
        <w:rPr>
          <w:b/>
          <w:bCs/>
          <w:sz w:val="24"/>
          <w:szCs w:val="24"/>
        </w:rPr>
      </w:pPr>
      <w:r>
        <w:rPr>
          <w:b/>
          <w:bCs/>
          <w:sz w:val="24"/>
          <w:szCs w:val="24"/>
        </w:rPr>
        <w:t>2.3.4</w:t>
      </w:r>
      <w:r w:rsidRPr="00701FEA">
        <w:rPr>
          <w:b/>
          <w:bCs/>
          <w:sz w:val="24"/>
          <w:szCs w:val="24"/>
        </w:rPr>
        <w:t xml:space="preserve"> </w:t>
      </w:r>
      <w:proofErr w:type="spellStart"/>
      <w:r w:rsidRPr="00701FEA">
        <w:rPr>
          <w:b/>
          <w:bCs/>
          <w:sz w:val="24"/>
          <w:szCs w:val="24"/>
        </w:rPr>
        <w:t>Seismogenic</w:t>
      </w:r>
      <w:proofErr w:type="spellEnd"/>
      <w:r w:rsidRPr="00701FEA">
        <w:rPr>
          <w:b/>
          <w:bCs/>
          <w:sz w:val="24"/>
          <w:szCs w:val="24"/>
        </w:rPr>
        <w:t xml:space="preserve"> Index</w:t>
      </w:r>
    </w:p>
    <w:p w14:paraId="5E8BF90C" w14:textId="77777777" w:rsidR="004C3823" w:rsidRDefault="004C3823" w:rsidP="00C32F8E">
      <w:pPr>
        <w:spacing w:line="480" w:lineRule="auto"/>
        <w:ind w:firstLine="720"/>
        <w:rPr>
          <w:sz w:val="24"/>
          <w:szCs w:val="24"/>
        </w:rPr>
      </w:pPr>
      <w:r w:rsidRPr="00492A10">
        <w:rPr>
          <w:sz w:val="24"/>
          <w:szCs w:val="24"/>
        </w:rPr>
        <w:t xml:space="preserve">Developed by Shapiro et al. (2010), the </w:t>
      </w:r>
      <w:proofErr w:type="spellStart"/>
      <w:r w:rsidRPr="00492A10">
        <w:rPr>
          <w:sz w:val="24"/>
          <w:szCs w:val="24"/>
        </w:rPr>
        <w:t>seismogenic</w:t>
      </w:r>
      <w:proofErr w:type="spellEnd"/>
      <w:r w:rsidRPr="00492A10">
        <w:rPr>
          <w:sz w:val="24"/>
          <w:szCs w:val="24"/>
        </w:rPr>
        <w:t xml:space="preserve"> index ∑ is a derived parameter based on</w:t>
      </w:r>
      <w:r>
        <w:rPr>
          <w:sz w:val="24"/>
          <w:szCs w:val="24"/>
        </w:rPr>
        <w:t xml:space="preserve"> the</w:t>
      </w:r>
      <w:r w:rsidRPr="00492A10">
        <w:rPr>
          <w:sz w:val="24"/>
          <w:szCs w:val="24"/>
        </w:rPr>
        <w:t xml:space="preserve"> fluid-injection rate and seismicity rate of induced earthquakes that quantifies the </w:t>
      </w:r>
      <w:r w:rsidRPr="00492A10">
        <w:rPr>
          <w:sz w:val="24"/>
          <w:szCs w:val="24"/>
        </w:rPr>
        <w:lastRenderedPageBreak/>
        <w:t>seismotectonic state at an injection site</w:t>
      </w:r>
      <w:r>
        <w:rPr>
          <w:sz w:val="24"/>
          <w:szCs w:val="24"/>
        </w:rPr>
        <w:t>, originally empirically derived from geothermal case studies</w:t>
      </w:r>
      <w:r w:rsidRPr="00492A10">
        <w:rPr>
          <w:sz w:val="24"/>
          <w:szCs w:val="24"/>
        </w:rPr>
        <w:t xml:space="preserve">. The </w:t>
      </w:r>
      <w:proofErr w:type="spellStart"/>
      <w:r w:rsidRPr="00492A10">
        <w:rPr>
          <w:sz w:val="24"/>
          <w:szCs w:val="24"/>
        </w:rPr>
        <w:t>seismogenic</w:t>
      </w:r>
      <w:proofErr w:type="spellEnd"/>
      <w:r w:rsidRPr="00492A10">
        <w:rPr>
          <w:sz w:val="24"/>
          <w:szCs w:val="24"/>
        </w:rPr>
        <w:t xml:space="preserve"> index is theoretically independent of injection time and any injection characteristics (Shapiro et al., 2010), where the larger the index the larger the probability of </w:t>
      </w:r>
      <w:r>
        <w:rPr>
          <w:sz w:val="24"/>
          <w:szCs w:val="24"/>
        </w:rPr>
        <w:t xml:space="preserve">a </w:t>
      </w:r>
      <w:r w:rsidRPr="00492A10">
        <w:rPr>
          <w:sz w:val="24"/>
          <w:szCs w:val="24"/>
        </w:rPr>
        <w:t xml:space="preserve">significant magnitude event. Shapiro et al. (2010) estimated the </w:t>
      </w:r>
      <w:proofErr w:type="spellStart"/>
      <w:r w:rsidRPr="00492A10">
        <w:rPr>
          <w:sz w:val="24"/>
          <w:szCs w:val="24"/>
        </w:rPr>
        <w:t>seismogenic</w:t>
      </w:r>
      <w:proofErr w:type="spellEnd"/>
      <w:r w:rsidRPr="00492A10">
        <w:rPr>
          <w:sz w:val="24"/>
          <w:szCs w:val="24"/>
        </w:rPr>
        <w:t xml:space="preserve"> index for a specific injection location using the following:</w:t>
      </w:r>
    </w:p>
    <w:p w14:paraId="3ADE1F18" w14:textId="77777777" w:rsidR="004C3823" w:rsidRDefault="00DF2C3F" w:rsidP="00645E45">
      <w:pPr>
        <w:spacing w:line="480" w:lineRule="auto"/>
        <w:jc w:val="center"/>
        <w:rPr>
          <w:sz w:val="24"/>
          <w:szCs w:val="24"/>
        </w:rPr>
      </w:pPr>
      <m:oMath>
        <m:nary>
          <m:naryPr>
            <m:chr m:val="∑"/>
            <m:limLoc m:val="undOvr"/>
            <m:subHide m:val="1"/>
            <m:supHide m:val="1"/>
            <m:ctrlPr>
              <w:rPr>
                <w:rFonts w:ascii="Cambria Math" w:hAnsi="Cambria Math"/>
                <w:i/>
                <w:sz w:val="24"/>
                <w:szCs w:val="24"/>
              </w:rPr>
            </m:ctrlPr>
          </m:naryPr>
          <m:sub/>
          <m:sup/>
          <m:e>
            <m:r>
              <w:rPr>
                <w:rFonts w:ascii="Cambria Math" w:hAnsi="Cambria Math"/>
                <w:sz w:val="24"/>
                <w:szCs w:val="24"/>
              </w:rPr>
              <m:t>(t)</m:t>
            </m:r>
          </m:e>
        </m:nary>
        <m:r>
          <w:rPr>
            <w:rFonts w:ascii="Cambria Math" w:hAnsi="Cambria Math"/>
            <w:sz w:val="24"/>
            <w:szCs w:val="24"/>
          </w:rPr>
          <m:t>=</m:t>
        </m:r>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10</m:t>
                </m:r>
              </m:sub>
            </m:sSub>
          </m:fName>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≥M</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10</m:t>
                    </m:r>
                  </m:sub>
                </m:sSub>
              </m:fName>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c</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+bM</m:t>
                </m:r>
              </m:e>
            </m:func>
          </m:e>
        </m:func>
      </m:oMath>
      <w:r w:rsidR="004C3823">
        <w:rPr>
          <w:sz w:val="24"/>
          <w:szCs w:val="24"/>
        </w:rPr>
        <w:tab/>
      </w:r>
    </w:p>
    <w:p w14:paraId="765BBE79" w14:textId="77777777" w:rsidR="004C3823" w:rsidRPr="00492A10" w:rsidRDefault="004C3823" w:rsidP="00FF4FB5">
      <w:pPr>
        <w:spacing w:line="480" w:lineRule="auto"/>
        <w:jc w:val="right"/>
        <w:rPr>
          <w:sz w:val="24"/>
          <w:szCs w:val="24"/>
        </w:rPr>
      </w:pPr>
      <w:r>
        <w:rPr>
          <w:sz w:val="24"/>
          <w:szCs w:val="24"/>
        </w:rPr>
        <w:t>(2.7)</w:t>
      </w:r>
    </w:p>
    <w:p w14:paraId="38A7113B" w14:textId="77777777" w:rsidR="004C3823" w:rsidRDefault="004C3823" w:rsidP="00C32F8E">
      <w:pPr>
        <w:spacing w:line="480" w:lineRule="auto"/>
        <w:rPr>
          <w:sz w:val="24"/>
          <w:szCs w:val="24"/>
        </w:rPr>
      </w:pPr>
      <w:r w:rsidRPr="00492A10">
        <w:rPr>
          <w:sz w:val="24"/>
          <w:szCs w:val="24"/>
        </w:rPr>
        <w:t>where N is the number of induced events with magnitude ≥ M   larger than (M) as a function of injection time (t) and the cumulative injection fluid volume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c</m:t>
            </m:r>
          </m:sub>
        </m:sSub>
      </m:oMath>
      <w:r w:rsidRPr="00492A10">
        <w:rPr>
          <w:sz w:val="24"/>
          <w:szCs w:val="24"/>
        </w:rPr>
        <w:t xml:space="preserve">). </w:t>
      </w:r>
      <w:r w:rsidRPr="00020BC1">
        <w:rPr>
          <w:b/>
          <w:bCs/>
          <w:sz w:val="24"/>
          <w:szCs w:val="24"/>
        </w:rPr>
        <w:t xml:space="preserve">Figure 2.3 </w:t>
      </w:r>
      <w:r w:rsidRPr="00492A10">
        <w:rPr>
          <w:sz w:val="24"/>
          <w:szCs w:val="24"/>
        </w:rPr>
        <w:t xml:space="preserve">depicts the relationship between the injection rate, time, magnitude, and </w:t>
      </w:r>
      <w:r>
        <w:rPr>
          <w:sz w:val="24"/>
          <w:szCs w:val="24"/>
        </w:rPr>
        <w:t xml:space="preserve">the </w:t>
      </w:r>
      <w:r w:rsidRPr="00492A10">
        <w:rPr>
          <w:sz w:val="24"/>
          <w:szCs w:val="24"/>
        </w:rPr>
        <w:t>number of events which is used to determin</w:t>
      </w:r>
      <w:r>
        <w:rPr>
          <w:sz w:val="24"/>
          <w:szCs w:val="24"/>
        </w:rPr>
        <w:t xml:space="preserve">e </w:t>
      </w:r>
      <w:r w:rsidRPr="00492A10">
        <w:rPr>
          <w:sz w:val="24"/>
          <w:szCs w:val="24"/>
        </w:rPr>
        <w:t xml:space="preserve">the </w:t>
      </w:r>
      <w:proofErr w:type="spellStart"/>
      <w:r>
        <w:rPr>
          <w:sz w:val="24"/>
          <w:szCs w:val="24"/>
        </w:rPr>
        <w:t>seismogenic</w:t>
      </w:r>
      <w:proofErr w:type="spellEnd"/>
      <w:r>
        <w:rPr>
          <w:sz w:val="24"/>
          <w:szCs w:val="24"/>
        </w:rPr>
        <w:t xml:space="preserve"> index </w:t>
      </w:r>
      <w:r w:rsidRPr="00492A10">
        <w:rPr>
          <w:sz w:val="24"/>
          <w:szCs w:val="24"/>
        </w:rPr>
        <w:t xml:space="preserve">values in </w:t>
      </w:r>
      <w:r w:rsidRPr="00020BC1">
        <w:rPr>
          <w:b/>
          <w:bCs/>
          <w:sz w:val="24"/>
          <w:szCs w:val="24"/>
        </w:rPr>
        <w:t xml:space="preserve">equation </w:t>
      </w:r>
      <w:r>
        <w:rPr>
          <w:b/>
          <w:bCs/>
          <w:sz w:val="24"/>
          <w:szCs w:val="24"/>
        </w:rPr>
        <w:t>2.7</w:t>
      </w:r>
      <w:r w:rsidRPr="00492A10">
        <w:rPr>
          <w:sz w:val="24"/>
          <w:szCs w:val="24"/>
        </w:rPr>
        <w:t xml:space="preserve">. We use the previously obtained b-values and Mc to calculate </w:t>
      </w:r>
      <w:r>
        <w:rPr>
          <w:sz w:val="24"/>
          <w:szCs w:val="24"/>
        </w:rPr>
        <w:t xml:space="preserve">the </w:t>
      </w:r>
      <w:proofErr w:type="spellStart"/>
      <w:r w:rsidRPr="00492A10">
        <w:rPr>
          <w:sz w:val="24"/>
          <w:szCs w:val="24"/>
        </w:rPr>
        <w:t>seismogenic</w:t>
      </w:r>
      <w:proofErr w:type="spellEnd"/>
      <w:r w:rsidRPr="00492A10">
        <w:rPr>
          <w:sz w:val="24"/>
          <w:szCs w:val="24"/>
        </w:rPr>
        <w:t xml:space="preserve"> index at each time step of 0.5 hour</w:t>
      </w:r>
      <w:r>
        <w:rPr>
          <w:sz w:val="24"/>
          <w:szCs w:val="24"/>
        </w:rPr>
        <w:t>s</w:t>
      </w:r>
      <w:r w:rsidRPr="00492A10">
        <w:rPr>
          <w:sz w:val="24"/>
          <w:szCs w:val="24"/>
        </w:rPr>
        <w:t xml:space="preserve"> and assume the average as the final index for each treatment. For each treatment, the </w:t>
      </w:r>
      <w:proofErr w:type="spellStart"/>
      <w:r w:rsidRPr="00492A10">
        <w:rPr>
          <w:sz w:val="24"/>
          <w:szCs w:val="24"/>
        </w:rPr>
        <w:t>seismogenic</w:t>
      </w:r>
      <w:proofErr w:type="spellEnd"/>
      <w:r w:rsidRPr="00492A10">
        <w:rPr>
          <w:sz w:val="24"/>
          <w:szCs w:val="24"/>
        </w:rPr>
        <w:t xml:space="preserve"> index is estimated using the catalog both before and after magnitude calibration. </w:t>
      </w:r>
    </w:p>
    <w:p w14:paraId="7C4CE636" w14:textId="77777777" w:rsidR="004C3823" w:rsidRDefault="004C3823" w:rsidP="00A700C7">
      <w:pPr>
        <w:spacing w:line="480" w:lineRule="auto"/>
        <w:ind w:firstLine="720"/>
        <w:rPr>
          <w:sz w:val="24"/>
          <w:szCs w:val="24"/>
        </w:rPr>
      </w:pPr>
      <w:r w:rsidRPr="00492A10">
        <w:rPr>
          <w:sz w:val="24"/>
          <w:szCs w:val="24"/>
        </w:rPr>
        <w:t xml:space="preserve">The uncertainty of the </w:t>
      </w:r>
      <w:proofErr w:type="spellStart"/>
      <w:r w:rsidRPr="00492A10">
        <w:rPr>
          <w:sz w:val="24"/>
          <w:szCs w:val="24"/>
        </w:rPr>
        <w:t>seismogenic</w:t>
      </w:r>
      <w:proofErr w:type="spellEnd"/>
      <w:r w:rsidRPr="00492A10">
        <w:rPr>
          <w:sz w:val="24"/>
          <w:szCs w:val="24"/>
        </w:rPr>
        <w:t xml:space="preserve"> index is estimated with the </w:t>
      </w:r>
      <w:r>
        <w:rPr>
          <w:sz w:val="24"/>
          <w:szCs w:val="24"/>
        </w:rPr>
        <w:t xml:space="preserve">same </w:t>
      </w:r>
      <w:r w:rsidRPr="00492A10">
        <w:rPr>
          <w:sz w:val="24"/>
          <w:szCs w:val="24"/>
        </w:rPr>
        <w:t>100</w:t>
      </w:r>
      <w:r>
        <w:rPr>
          <w:sz w:val="24"/>
          <w:szCs w:val="24"/>
        </w:rPr>
        <w:t>-</w:t>
      </w:r>
      <w:r w:rsidRPr="00492A10">
        <w:rPr>
          <w:sz w:val="24"/>
          <w:szCs w:val="24"/>
        </w:rPr>
        <w:t xml:space="preserve">resampled dataset for each treatment </w:t>
      </w:r>
      <w:r>
        <w:rPr>
          <w:sz w:val="24"/>
          <w:szCs w:val="24"/>
        </w:rPr>
        <w:t xml:space="preserve">used for b-value uncertainty estimation. Both b-value and </w:t>
      </w:r>
      <w:proofErr w:type="spellStart"/>
      <w:r>
        <w:rPr>
          <w:sz w:val="24"/>
          <w:szCs w:val="24"/>
        </w:rPr>
        <w:t>seismogenic</w:t>
      </w:r>
      <w:proofErr w:type="spellEnd"/>
      <w:r>
        <w:rPr>
          <w:sz w:val="24"/>
          <w:szCs w:val="24"/>
        </w:rPr>
        <w:t xml:space="preserve"> index uncertainties are </w:t>
      </w:r>
      <w:r w:rsidRPr="00492A10">
        <w:rPr>
          <w:sz w:val="24"/>
          <w:szCs w:val="24"/>
        </w:rPr>
        <w:t>quantified with probability density functions based on results from these resampled datasets, where bootstrapped probability histogram results (h) are from the ratio of the cumulative (n) observations within a given bin size (k) at (</w:t>
      </w:r>
      <w:proofErr w:type="spellStart"/>
      <w:r w:rsidRPr="00492A10">
        <w:rPr>
          <w:sz w:val="24"/>
          <w:szCs w:val="24"/>
        </w:rPr>
        <w:t>i</w:t>
      </w:r>
      <w:proofErr w:type="spellEnd"/>
      <w:r w:rsidRPr="00492A10">
        <w:rPr>
          <w:sz w:val="24"/>
          <w:szCs w:val="24"/>
        </w:rPr>
        <w:t>) bins</w:t>
      </w:r>
      <w:r>
        <w:rPr>
          <w:sz w:val="24"/>
          <w:szCs w:val="24"/>
        </w:rPr>
        <w:t xml:space="preserve"> shown in </w:t>
      </w:r>
      <w:r w:rsidRPr="00074873">
        <w:rPr>
          <w:b/>
          <w:bCs/>
          <w:sz w:val="24"/>
          <w:szCs w:val="24"/>
        </w:rPr>
        <w:t>equation 2.8</w:t>
      </w:r>
      <w:r w:rsidRPr="00492A10">
        <w:rPr>
          <w:sz w:val="24"/>
          <w:szCs w:val="24"/>
        </w:rPr>
        <w:t>.</w:t>
      </w:r>
    </w:p>
    <w:p w14:paraId="2D28A765" w14:textId="77777777" w:rsidR="004C3823" w:rsidRDefault="004C3823" w:rsidP="00B37AC4">
      <w:pPr>
        <w:spacing w:line="480" w:lineRule="auto"/>
        <w:jc w:val="center"/>
        <w:rPr>
          <w:sz w:val="24"/>
          <w:szCs w:val="24"/>
        </w:rPr>
      </w:pPr>
      <m:oMath>
        <m:r>
          <w:rPr>
            <w:rFonts w:ascii="Cambria Math" w:hAnsi="Cambria Math"/>
            <w:sz w:val="24"/>
            <w:szCs w:val="24"/>
          </w:rPr>
          <w:lastRenderedPageBreak/>
          <m:t>h=</m:t>
        </m:r>
        <m:f>
          <m:fPr>
            <m:ctrlPr>
              <w:rPr>
                <w:rFonts w:ascii="Cambria Math" w:hAnsi="Cambria Math"/>
                <w:i/>
                <w:sz w:val="24"/>
                <w:szCs w:val="24"/>
              </w:rPr>
            </m:ctrlPr>
          </m:fPr>
          <m:num>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k</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e>
            </m:nary>
          </m:num>
          <m:den>
            <m:r>
              <w:rPr>
                <w:rFonts w:ascii="Cambria Math" w:hAnsi="Cambria Math"/>
                <w:sz w:val="24"/>
                <w:szCs w:val="24"/>
              </w:rPr>
              <m:t>k</m:t>
            </m:r>
          </m:den>
        </m:f>
      </m:oMath>
      <w:r>
        <w:rPr>
          <w:sz w:val="24"/>
          <w:szCs w:val="24"/>
        </w:rPr>
        <w:tab/>
      </w:r>
    </w:p>
    <w:p w14:paraId="0BAA9840" w14:textId="77777777" w:rsidR="004C3823" w:rsidRPr="00492A10" w:rsidRDefault="004C3823" w:rsidP="00FF4FB5">
      <w:pPr>
        <w:spacing w:line="480" w:lineRule="auto"/>
        <w:jc w:val="right"/>
        <w:rPr>
          <w:sz w:val="24"/>
          <w:szCs w:val="24"/>
        </w:rPr>
      </w:pPr>
      <w:r>
        <w:rPr>
          <w:sz w:val="24"/>
          <w:szCs w:val="24"/>
        </w:rPr>
        <w:t>(2.8)</w:t>
      </w:r>
    </w:p>
    <w:p w14:paraId="2A9F7876" w14:textId="77777777" w:rsidR="004C3823" w:rsidRPr="00492A10" w:rsidRDefault="004C3823" w:rsidP="00C32F8E">
      <w:pPr>
        <w:spacing w:line="480" w:lineRule="auto"/>
        <w:rPr>
          <w:b/>
          <w:bCs/>
          <w:sz w:val="24"/>
          <w:szCs w:val="24"/>
        </w:rPr>
      </w:pPr>
      <w:r>
        <w:rPr>
          <w:b/>
          <w:bCs/>
          <w:sz w:val="24"/>
          <w:szCs w:val="24"/>
        </w:rPr>
        <w:t xml:space="preserve">2.4 </w:t>
      </w:r>
      <w:r w:rsidRPr="00492A10">
        <w:rPr>
          <w:b/>
          <w:bCs/>
          <w:sz w:val="24"/>
          <w:szCs w:val="24"/>
        </w:rPr>
        <w:t>Results</w:t>
      </w:r>
    </w:p>
    <w:p w14:paraId="42DD1CF6" w14:textId="77777777" w:rsidR="004C3823" w:rsidRPr="00492A10" w:rsidRDefault="004C3823" w:rsidP="00C32F8E">
      <w:pPr>
        <w:spacing w:line="480" w:lineRule="auto"/>
        <w:ind w:firstLine="720"/>
        <w:rPr>
          <w:sz w:val="24"/>
          <w:szCs w:val="24"/>
        </w:rPr>
      </w:pPr>
      <w:r w:rsidRPr="00492A10">
        <w:rPr>
          <w:sz w:val="24"/>
          <w:szCs w:val="24"/>
        </w:rPr>
        <w:t xml:space="preserve">Out of the 2074 cataloged events with waveforms (see </w:t>
      </w:r>
      <w:r w:rsidRPr="00074873">
        <w:rPr>
          <w:b/>
          <w:bCs/>
          <w:sz w:val="24"/>
          <w:szCs w:val="24"/>
        </w:rPr>
        <w:t>Table 2.1</w:t>
      </w:r>
      <w:r w:rsidRPr="00492A10">
        <w:rPr>
          <w:sz w:val="24"/>
          <w:szCs w:val="24"/>
        </w:rPr>
        <w:t xml:space="preserve">), we obtain calibrated magnitudes for 1963 events. We compare the relationship between magnitude difference and measured amplitude ratio to examine the improvement of calibrated magnitude. Then, we compare the distribution for </w:t>
      </w:r>
      <w:r>
        <w:rPr>
          <w:sz w:val="24"/>
          <w:szCs w:val="24"/>
        </w:rPr>
        <w:t xml:space="preserve">the </w:t>
      </w:r>
      <w:r w:rsidRPr="00492A10">
        <w:rPr>
          <w:sz w:val="24"/>
          <w:szCs w:val="24"/>
        </w:rPr>
        <w:t xml:space="preserve">b-value and </w:t>
      </w:r>
      <w:proofErr w:type="spellStart"/>
      <w:r w:rsidRPr="00492A10">
        <w:rPr>
          <w:sz w:val="24"/>
          <w:szCs w:val="24"/>
        </w:rPr>
        <w:t>seismogenic</w:t>
      </w:r>
      <w:proofErr w:type="spellEnd"/>
      <w:r w:rsidRPr="00492A10">
        <w:rPr>
          <w:sz w:val="24"/>
          <w:szCs w:val="24"/>
        </w:rPr>
        <w:t xml:space="preserve"> index from the bootstrap resampling to discuss </w:t>
      </w:r>
      <w:r>
        <w:rPr>
          <w:sz w:val="24"/>
          <w:szCs w:val="24"/>
        </w:rPr>
        <w:t xml:space="preserve">the </w:t>
      </w:r>
      <w:proofErr w:type="spellStart"/>
      <w:r w:rsidRPr="00492A10">
        <w:rPr>
          <w:sz w:val="24"/>
          <w:szCs w:val="24"/>
        </w:rPr>
        <w:t>geomechanical</w:t>
      </w:r>
      <w:proofErr w:type="spellEnd"/>
      <w:r w:rsidRPr="00492A10">
        <w:rPr>
          <w:sz w:val="24"/>
          <w:szCs w:val="24"/>
        </w:rPr>
        <w:t xml:space="preserve"> implications of those measurements. </w:t>
      </w:r>
    </w:p>
    <w:p w14:paraId="37ACD7E5" w14:textId="77777777" w:rsidR="004C3823" w:rsidRPr="00492A10" w:rsidRDefault="004C3823" w:rsidP="00C32F8E">
      <w:pPr>
        <w:spacing w:line="480" w:lineRule="auto"/>
        <w:rPr>
          <w:b/>
          <w:bCs/>
          <w:sz w:val="24"/>
          <w:szCs w:val="24"/>
        </w:rPr>
      </w:pPr>
      <w:r>
        <w:rPr>
          <w:b/>
          <w:bCs/>
          <w:sz w:val="24"/>
          <w:szCs w:val="24"/>
        </w:rPr>
        <w:t>2.4.1</w:t>
      </w:r>
      <w:r w:rsidRPr="00492A10">
        <w:rPr>
          <w:b/>
          <w:bCs/>
          <w:sz w:val="24"/>
          <w:szCs w:val="24"/>
        </w:rPr>
        <w:t xml:space="preserve"> Calibrated magnitude</w:t>
      </w:r>
    </w:p>
    <w:p w14:paraId="7CE32D73" w14:textId="77777777" w:rsidR="004C3823" w:rsidRPr="00492A10" w:rsidRDefault="004C3823" w:rsidP="00C32F8E">
      <w:pPr>
        <w:spacing w:line="480" w:lineRule="auto"/>
        <w:ind w:firstLine="720"/>
        <w:rPr>
          <w:sz w:val="24"/>
          <w:szCs w:val="24"/>
        </w:rPr>
      </w:pPr>
      <w:r w:rsidRPr="00492A10">
        <w:rPr>
          <w:sz w:val="24"/>
          <w:szCs w:val="24"/>
        </w:rPr>
        <w:t xml:space="preserve">For each stage, we use heat maps to examine the relationship between the logarithm of amplitude ratio measured from </w:t>
      </w:r>
      <w:r>
        <w:rPr>
          <w:sz w:val="24"/>
          <w:szCs w:val="24"/>
        </w:rPr>
        <w:t xml:space="preserve">the </w:t>
      </w:r>
      <w:r w:rsidRPr="00492A10">
        <w:rPr>
          <w:sz w:val="24"/>
          <w:szCs w:val="24"/>
        </w:rPr>
        <w:t xml:space="preserve">waveform and </w:t>
      </w:r>
      <w:r>
        <w:rPr>
          <w:sz w:val="24"/>
          <w:szCs w:val="24"/>
        </w:rPr>
        <w:t xml:space="preserve">the </w:t>
      </w:r>
      <w:r w:rsidRPr="00492A10">
        <w:rPr>
          <w:sz w:val="24"/>
          <w:szCs w:val="24"/>
        </w:rPr>
        <w:t xml:space="preserve">relative magnitude between available event pairs. The image resolution of the heat map is determined by the total number of events in each bin of amplitude ratio and relative magnitude. </w:t>
      </w:r>
      <w:r w:rsidRPr="00020BC1">
        <w:rPr>
          <w:b/>
          <w:bCs/>
          <w:sz w:val="24"/>
          <w:szCs w:val="24"/>
        </w:rPr>
        <w:t>Figure 2.5</w:t>
      </w:r>
      <w:r w:rsidRPr="00492A10">
        <w:rPr>
          <w:sz w:val="24"/>
          <w:szCs w:val="24"/>
        </w:rPr>
        <w:t xml:space="preserve"> clearly shows magnitude calibration significantly reduces the scatter for all treatments converging to a slope of 1.5 between amplitude ratio and relative magnitude as expected from </w:t>
      </w:r>
      <w:r w:rsidRPr="00020BC1">
        <w:rPr>
          <w:b/>
          <w:bCs/>
          <w:sz w:val="24"/>
          <w:szCs w:val="24"/>
        </w:rPr>
        <w:t>equation 2</w:t>
      </w:r>
      <w:r>
        <w:rPr>
          <w:b/>
          <w:bCs/>
          <w:sz w:val="24"/>
          <w:szCs w:val="24"/>
        </w:rPr>
        <w:t>.3</w:t>
      </w:r>
      <w:r w:rsidRPr="00492A10">
        <w:rPr>
          <w:sz w:val="24"/>
          <w:szCs w:val="24"/>
        </w:rPr>
        <w:t xml:space="preserve"> (the moment magnitude relationship).</w:t>
      </w:r>
    </w:p>
    <w:p w14:paraId="32539D00" w14:textId="77777777" w:rsidR="004C3823" w:rsidRPr="00492A10" w:rsidRDefault="004C3823" w:rsidP="00C32F8E">
      <w:pPr>
        <w:spacing w:line="480" w:lineRule="auto"/>
        <w:ind w:firstLine="720"/>
        <w:rPr>
          <w:sz w:val="24"/>
          <w:szCs w:val="24"/>
        </w:rPr>
      </w:pPr>
      <w:r>
        <w:rPr>
          <w:sz w:val="24"/>
          <w:szCs w:val="24"/>
        </w:rPr>
        <w:t>Before</w:t>
      </w:r>
      <w:r w:rsidRPr="00492A10">
        <w:rPr>
          <w:sz w:val="24"/>
          <w:szCs w:val="24"/>
        </w:rPr>
        <w:t xml:space="preserve"> magnitude calibration, different treatments exhibit </w:t>
      </w:r>
      <w:r>
        <w:rPr>
          <w:sz w:val="24"/>
          <w:szCs w:val="24"/>
        </w:rPr>
        <w:t>diverse</w:t>
      </w:r>
      <w:r w:rsidRPr="00492A10">
        <w:rPr>
          <w:sz w:val="24"/>
          <w:szCs w:val="24"/>
        </w:rPr>
        <w:t xml:space="preserve"> behaviors. Both treatments A and B were conducted in treatment well 21-10 and monitored by wells 21-09 and 22-09. Both exhibited highly scattered distributions between amplitude ratio and relative magnitude </w:t>
      </w:r>
      <w:r>
        <w:rPr>
          <w:sz w:val="24"/>
          <w:szCs w:val="24"/>
        </w:rPr>
        <w:t>before</w:t>
      </w:r>
      <w:r w:rsidRPr="00492A10">
        <w:rPr>
          <w:sz w:val="24"/>
          <w:szCs w:val="24"/>
        </w:rPr>
        <w:t xml:space="preserve"> magnitude calibration. Several sub-parallel linear trends can be identified </w:t>
      </w:r>
      <w:r w:rsidRPr="00492A10">
        <w:rPr>
          <w:sz w:val="24"/>
          <w:szCs w:val="24"/>
        </w:rPr>
        <w:lastRenderedPageBreak/>
        <w:t xml:space="preserve">with an approximate slope of 1.5 matching that of the inversion in </w:t>
      </w:r>
      <w:r w:rsidRPr="00074873">
        <w:rPr>
          <w:b/>
          <w:bCs/>
          <w:sz w:val="24"/>
          <w:szCs w:val="24"/>
        </w:rPr>
        <w:t>equation 2.3</w:t>
      </w:r>
      <w:r w:rsidRPr="00492A10">
        <w:rPr>
          <w:sz w:val="24"/>
          <w:szCs w:val="24"/>
        </w:rPr>
        <w:t xml:space="preserve">. These sub-parallel groups and increased scatter in the uncalibrated data could be due to attenuation from different ray paths (see </w:t>
      </w:r>
      <w:r w:rsidRPr="00020BC1">
        <w:rPr>
          <w:b/>
          <w:bCs/>
          <w:sz w:val="24"/>
          <w:szCs w:val="24"/>
        </w:rPr>
        <w:t>Figure 2.1</w:t>
      </w:r>
      <w:r w:rsidRPr="00492A10">
        <w:rPr>
          <w:sz w:val="24"/>
          <w:szCs w:val="24"/>
        </w:rPr>
        <w:t>).</w:t>
      </w:r>
      <w:r>
        <w:rPr>
          <w:sz w:val="24"/>
          <w:szCs w:val="24"/>
        </w:rPr>
        <w:t xml:space="preserve"> </w:t>
      </w:r>
      <w:r w:rsidRPr="00492A10">
        <w:rPr>
          <w:sz w:val="24"/>
          <w:szCs w:val="24"/>
        </w:rPr>
        <w:t xml:space="preserve">Treatments C and E were conducted in treatment well 21-09 and recorded by well 22-09. These two treatments exhibit tighter distributions compared to treatments A and B </w:t>
      </w:r>
      <w:r>
        <w:rPr>
          <w:sz w:val="24"/>
          <w:szCs w:val="24"/>
        </w:rPr>
        <w:t>before</w:t>
      </w:r>
      <w:r w:rsidRPr="00492A10">
        <w:rPr>
          <w:sz w:val="24"/>
          <w:szCs w:val="24"/>
        </w:rPr>
        <w:t xml:space="preserve"> magnitude calibration, which could be due to narrower depth distribution since ray paths to the monitoring well are similar (see </w:t>
      </w:r>
      <w:r w:rsidRPr="00020BC1">
        <w:rPr>
          <w:b/>
          <w:bCs/>
          <w:sz w:val="24"/>
          <w:szCs w:val="24"/>
        </w:rPr>
        <w:t>Figure 2.1</w:t>
      </w:r>
      <w:r w:rsidRPr="00492A10">
        <w:rPr>
          <w:sz w:val="24"/>
          <w:szCs w:val="24"/>
        </w:rPr>
        <w:t>).</w:t>
      </w:r>
      <w:r>
        <w:rPr>
          <w:sz w:val="24"/>
          <w:szCs w:val="24"/>
        </w:rPr>
        <w:t xml:space="preserve"> </w:t>
      </w:r>
      <w:r w:rsidRPr="00492A10">
        <w:rPr>
          <w:sz w:val="24"/>
          <w:szCs w:val="24"/>
        </w:rPr>
        <w:t xml:space="preserve">To better understand the cause of the scattered magnitudes in the original catalog, we examine the FMD for similar event clusters during treatment B. We group events based on waveform similarity by defining similar event clusters with minimum CC of 0.6 from at least 8 stations. </w:t>
      </w:r>
      <w:r w:rsidRPr="00020BC1">
        <w:rPr>
          <w:b/>
          <w:bCs/>
          <w:sz w:val="24"/>
          <w:szCs w:val="24"/>
        </w:rPr>
        <w:t>Figure 2.6</w:t>
      </w:r>
      <w:r w:rsidRPr="00492A10">
        <w:rPr>
          <w:sz w:val="24"/>
          <w:szCs w:val="24"/>
        </w:rPr>
        <w:t xml:space="preserve"> shows events in each cluster confined within similar depth and spatial location, which is consistent with grouping based on location and polarity in Rutledge et al. (2004). These clusters have large magnitude differences before calibration, which decrease after calibration (</w:t>
      </w:r>
      <w:r w:rsidRPr="00020BC1">
        <w:rPr>
          <w:b/>
          <w:bCs/>
          <w:sz w:val="24"/>
          <w:szCs w:val="24"/>
        </w:rPr>
        <w:t>Figure 2.6b and</w:t>
      </w:r>
      <w:r w:rsidRPr="00492A10">
        <w:rPr>
          <w:sz w:val="24"/>
          <w:szCs w:val="24"/>
        </w:rPr>
        <w:t xml:space="preserve"> </w:t>
      </w:r>
      <w:r w:rsidRPr="00020BC1">
        <w:rPr>
          <w:b/>
          <w:bCs/>
          <w:sz w:val="24"/>
          <w:szCs w:val="24"/>
        </w:rPr>
        <w:t>2.6d</w:t>
      </w:r>
      <w:r w:rsidRPr="00492A10">
        <w:rPr>
          <w:sz w:val="24"/>
          <w:szCs w:val="24"/>
        </w:rPr>
        <w:t>). The measured amplitude ratio</w:t>
      </w:r>
      <w:r>
        <w:rPr>
          <w:sz w:val="24"/>
          <w:szCs w:val="24"/>
        </w:rPr>
        <w:t>s</w:t>
      </w:r>
      <w:r w:rsidRPr="00492A10">
        <w:rPr>
          <w:sz w:val="24"/>
          <w:szCs w:val="24"/>
        </w:rPr>
        <w:t xml:space="preserve"> </w:t>
      </w:r>
      <w:r>
        <w:rPr>
          <w:sz w:val="24"/>
          <w:szCs w:val="24"/>
        </w:rPr>
        <w:t>are</w:t>
      </w:r>
      <w:r w:rsidRPr="00492A10">
        <w:rPr>
          <w:sz w:val="24"/>
          <w:szCs w:val="24"/>
        </w:rPr>
        <w:t xml:space="preserve"> based on filtered waveform</w:t>
      </w:r>
      <w:r>
        <w:rPr>
          <w:sz w:val="24"/>
          <w:szCs w:val="24"/>
        </w:rPr>
        <w:t>s</w:t>
      </w:r>
      <w:r w:rsidRPr="00492A10">
        <w:rPr>
          <w:sz w:val="24"/>
          <w:szCs w:val="24"/>
        </w:rPr>
        <w:t xml:space="preserve"> between 20 and 150 Hz, which is well below the expected corner frequency for the magnitude range (Urbancic et al., 1996). By measuring </w:t>
      </w:r>
      <w:r>
        <w:rPr>
          <w:sz w:val="24"/>
          <w:szCs w:val="24"/>
        </w:rPr>
        <w:t xml:space="preserve">the </w:t>
      </w:r>
      <w:r w:rsidRPr="00492A10">
        <w:rPr>
          <w:sz w:val="24"/>
          <w:szCs w:val="24"/>
        </w:rPr>
        <w:t>amplitude ratio between event pairs at similar locations, the attenuation from</w:t>
      </w:r>
      <w:r>
        <w:rPr>
          <w:sz w:val="24"/>
          <w:szCs w:val="24"/>
        </w:rPr>
        <w:t xml:space="preserve"> the</w:t>
      </w:r>
      <w:r w:rsidRPr="00492A10">
        <w:rPr>
          <w:sz w:val="24"/>
          <w:szCs w:val="24"/>
        </w:rPr>
        <w:t xml:space="preserve"> source region and path can be effectively canceled out as seen in </w:t>
      </w:r>
      <w:r w:rsidRPr="00020BC1">
        <w:rPr>
          <w:b/>
          <w:bCs/>
          <w:sz w:val="24"/>
          <w:szCs w:val="24"/>
        </w:rPr>
        <w:t>Figure 2.5</w:t>
      </w:r>
      <w:r w:rsidRPr="00492A10">
        <w:rPr>
          <w:sz w:val="24"/>
          <w:szCs w:val="24"/>
        </w:rPr>
        <w:t xml:space="preserve">. </w:t>
      </w:r>
    </w:p>
    <w:p w14:paraId="4CBAC52B" w14:textId="77777777" w:rsidR="004C3823" w:rsidRPr="00492A10" w:rsidRDefault="004C3823" w:rsidP="00C32F8E">
      <w:pPr>
        <w:spacing w:line="480" w:lineRule="auto"/>
        <w:rPr>
          <w:b/>
          <w:bCs/>
          <w:sz w:val="24"/>
          <w:szCs w:val="24"/>
        </w:rPr>
      </w:pPr>
      <w:r>
        <w:rPr>
          <w:b/>
          <w:bCs/>
          <w:sz w:val="24"/>
          <w:szCs w:val="24"/>
        </w:rPr>
        <w:t>2.4.2</w:t>
      </w:r>
      <w:r w:rsidRPr="00492A10">
        <w:rPr>
          <w:b/>
          <w:bCs/>
          <w:sz w:val="24"/>
          <w:szCs w:val="24"/>
        </w:rPr>
        <w:t xml:space="preserve"> Frequency-Magnitude </w:t>
      </w:r>
      <w:r>
        <w:rPr>
          <w:b/>
          <w:bCs/>
          <w:sz w:val="24"/>
          <w:szCs w:val="24"/>
        </w:rPr>
        <w:t>D</w:t>
      </w:r>
      <w:r w:rsidRPr="00492A10">
        <w:rPr>
          <w:b/>
          <w:bCs/>
          <w:sz w:val="24"/>
          <w:szCs w:val="24"/>
        </w:rPr>
        <w:t xml:space="preserve">istribution and </w:t>
      </w:r>
      <w:r>
        <w:rPr>
          <w:b/>
          <w:bCs/>
          <w:sz w:val="24"/>
          <w:szCs w:val="24"/>
        </w:rPr>
        <w:t xml:space="preserve">the </w:t>
      </w:r>
      <w:proofErr w:type="spellStart"/>
      <w:r w:rsidRPr="00492A10">
        <w:rPr>
          <w:b/>
          <w:bCs/>
          <w:sz w:val="24"/>
          <w:szCs w:val="24"/>
        </w:rPr>
        <w:t>Seismogenic</w:t>
      </w:r>
      <w:proofErr w:type="spellEnd"/>
      <w:r w:rsidRPr="00492A10">
        <w:rPr>
          <w:b/>
          <w:bCs/>
          <w:sz w:val="24"/>
          <w:szCs w:val="24"/>
        </w:rPr>
        <w:t xml:space="preserve"> Index</w:t>
      </w:r>
    </w:p>
    <w:p w14:paraId="342AD6FE" w14:textId="77777777" w:rsidR="004C3823" w:rsidRPr="00492A10" w:rsidRDefault="004C3823" w:rsidP="00C32F8E">
      <w:pPr>
        <w:spacing w:line="480" w:lineRule="auto"/>
        <w:ind w:firstLine="720"/>
        <w:rPr>
          <w:sz w:val="24"/>
          <w:szCs w:val="24"/>
        </w:rPr>
      </w:pPr>
      <w:r w:rsidRPr="00020BC1">
        <w:rPr>
          <w:b/>
          <w:bCs/>
          <w:sz w:val="24"/>
          <w:szCs w:val="24"/>
        </w:rPr>
        <w:t>Figure 2.7</w:t>
      </w:r>
      <w:r w:rsidRPr="00492A10">
        <w:rPr>
          <w:sz w:val="24"/>
          <w:szCs w:val="24"/>
        </w:rPr>
        <w:t xml:space="preserve"> shows </w:t>
      </w:r>
      <w:r>
        <w:rPr>
          <w:sz w:val="24"/>
          <w:szCs w:val="24"/>
        </w:rPr>
        <w:t xml:space="preserve">the </w:t>
      </w:r>
      <w:r w:rsidRPr="00492A10">
        <w:rPr>
          <w:sz w:val="24"/>
          <w:szCs w:val="24"/>
        </w:rPr>
        <w:t xml:space="preserve">FMDs of the four treatments before and after magnitude calibration. </w:t>
      </w:r>
      <w:r w:rsidRPr="00074873">
        <w:rPr>
          <w:b/>
          <w:bCs/>
          <w:sz w:val="24"/>
          <w:szCs w:val="24"/>
        </w:rPr>
        <w:t>Table 2.2</w:t>
      </w:r>
      <w:r>
        <w:rPr>
          <w:sz w:val="24"/>
          <w:szCs w:val="24"/>
        </w:rPr>
        <w:t xml:space="preserve"> provides the resultant </w:t>
      </w:r>
      <w:proofErr w:type="spellStart"/>
      <w:r>
        <w:rPr>
          <w:sz w:val="24"/>
          <w:szCs w:val="24"/>
        </w:rPr>
        <w:t>seismogenic</w:t>
      </w:r>
      <w:proofErr w:type="spellEnd"/>
      <w:r>
        <w:rPr>
          <w:sz w:val="24"/>
          <w:szCs w:val="24"/>
        </w:rPr>
        <w:t xml:space="preserve"> index before and after magnitude calibration as well as the b-value and Mc for each treatment. </w:t>
      </w:r>
      <w:r w:rsidRPr="00492A10">
        <w:rPr>
          <w:sz w:val="24"/>
          <w:szCs w:val="24"/>
        </w:rPr>
        <w:t>For all treatments, there exist</w:t>
      </w:r>
      <w:r>
        <w:rPr>
          <w:sz w:val="24"/>
          <w:szCs w:val="24"/>
        </w:rPr>
        <w:t>s</w:t>
      </w:r>
      <w:r w:rsidRPr="00492A10">
        <w:rPr>
          <w:sz w:val="24"/>
          <w:szCs w:val="24"/>
        </w:rPr>
        <w:t xml:space="preserve"> </w:t>
      </w:r>
      <w:r>
        <w:rPr>
          <w:sz w:val="24"/>
          <w:szCs w:val="24"/>
        </w:rPr>
        <w:t xml:space="preserve">some </w:t>
      </w:r>
      <w:r w:rsidRPr="00492A10">
        <w:rPr>
          <w:sz w:val="24"/>
          <w:szCs w:val="24"/>
        </w:rPr>
        <w:t xml:space="preserve">deviation from the GR relationship at higher magnitudes. Deviations from </w:t>
      </w:r>
      <w:r>
        <w:rPr>
          <w:sz w:val="24"/>
          <w:szCs w:val="24"/>
        </w:rPr>
        <w:t xml:space="preserve">the </w:t>
      </w:r>
      <w:r w:rsidRPr="00492A10">
        <w:rPr>
          <w:sz w:val="24"/>
          <w:szCs w:val="24"/>
        </w:rPr>
        <w:t xml:space="preserve">GR </w:t>
      </w:r>
      <w:r w:rsidRPr="00492A10">
        <w:rPr>
          <w:sz w:val="24"/>
          <w:szCs w:val="24"/>
        </w:rPr>
        <w:lastRenderedPageBreak/>
        <w:t>relationship have been observed for fluid</w:t>
      </w:r>
      <w:r>
        <w:rPr>
          <w:sz w:val="24"/>
          <w:szCs w:val="24"/>
        </w:rPr>
        <w:t>-</w:t>
      </w:r>
      <w:r w:rsidRPr="00492A10">
        <w:rPr>
          <w:sz w:val="24"/>
          <w:szCs w:val="24"/>
        </w:rPr>
        <w:t xml:space="preserve">induced seismicity (Skoumal et al., 2015). This could explain the large difference in b-value between </w:t>
      </w:r>
      <w:r>
        <w:rPr>
          <w:sz w:val="24"/>
          <w:szCs w:val="24"/>
        </w:rPr>
        <w:t xml:space="preserve">the </w:t>
      </w:r>
      <w:r w:rsidRPr="00492A10">
        <w:rPr>
          <w:sz w:val="24"/>
          <w:szCs w:val="24"/>
        </w:rPr>
        <w:t>MLE and least squares (LST) method</w:t>
      </w:r>
      <w:r>
        <w:rPr>
          <w:sz w:val="24"/>
          <w:szCs w:val="24"/>
        </w:rPr>
        <w:t>s</w:t>
      </w:r>
      <w:r w:rsidRPr="00492A10">
        <w:rPr>
          <w:sz w:val="24"/>
          <w:szCs w:val="24"/>
        </w:rPr>
        <w:t xml:space="preserve"> (see supplementary materials). The b-values with </w:t>
      </w:r>
      <w:r>
        <w:rPr>
          <w:sz w:val="24"/>
          <w:szCs w:val="24"/>
        </w:rPr>
        <w:t xml:space="preserve">the </w:t>
      </w:r>
      <w:r w:rsidRPr="00492A10">
        <w:rPr>
          <w:sz w:val="24"/>
          <w:szCs w:val="24"/>
        </w:rPr>
        <w:t>MLE method for treatments A, B</w:t>
      </w:r>
      <w:r>
        <w:rPr>
          <w:sz w:val="24"/>
          <w:szCs w:val="24"/>
        </w:rPr>
        <w:t>,</w:t>
      </w:r>
      <w:r w:rsidRPr="00492A10">
        <w:rPr>
          <w:sz w:val="24"/>
          <w:szCs w:val="24"/>
        </w:rPr>
        <w:t xml:space="preserve"> and C are systematically lower than the b-value estimates from </w:t>
      </w:r>
      <w:proofErr w:type="spellStart"/>
      <w:r w:rsidRPr="00492A10">
        <w:rPr>
          <w:sz w:val="24"/>
          <w:szCs w:val="24"/>
        </w:rPr>
        <w:t>Dinske</w:t>
      </w:r>
      <w:proofErr w:type="spellEnd"/>
      <w:r w:rsidRPr="00492A10">
        <w:rPr>
          <w:sz w:val="24"/>
          <w:szCs w:val="24"/>
        </w:rPr>
        <w:t xml:space="preserve"> et al., (2013). However, those b-values from </w:t>
      </w:r>
      <w:proofErr w:type="spellStart"/>
      <w:r w:rsidRPr="00492A10">
        <w:rPr>
          <w:sz w:val="24"/>
          <w:szCs w:val="24"/>
        </w:rPr>
        <w:t>Dinske</w:t>
      </w:r>
      <w:proofErr w:type="spellEnd"/>
      <w:r w:rsidRPr="00492A10">
        <w:rPr>
          <w:sz w:val="24"/>
          <w:szCs w:val="24"/>
        </w:rPr>
        <w:t xml:space="preserve"> et al. (2013) agree well with our LST b-values</w:t>
      </w:r>
      <w:r>
        <w:rPr>
          <w:sz w:val="24"/>
          <w:szCs w:val="24"/>
        </w:rPr>
        <w:t xml:space="preserve"> (see supplementary materials)</w:t>
      </w:r>
      <w:r w:rsidRPr="00492A10">
        <w:rPr>
          <w:sz w:val="24"/>
          <w:szCs w:val="24"/>
        </w:rPr>
        <w:t>, suggesting that the choice of b-value methods strongly influence</w:t>
      </w:r>
      <w:r>
        <w:rPr>
          <w:sz w:val="24"/>
          <w:szCs w:val="24"/>
        </w:rPr>
        <w:t>s</w:t>
      </w:r>
      <w:r w:rsidRPr="00492A10">
        <w:rPr>
          <w:sz w:val="24"/>
          <w:szCs w:val="24"/>
        </w:rPr>
        <w:t xml:space="preserve"> the results when the FMD strongly deviates from </w:t>
      </w:r>
      <w:r>
        <w:rPr>
          <w:sz w:val="24"/>
          <w:szCs w:val="24"/>
        </w:rPr>
        <w:t xml:space="preserve">the </w:t>
      </w:r>
      <w:r w:rsidRPr="00492A10">
        <w:rPr>
          <w:sz w:val="24"/>
          <w:szCs w:val="24"/>
        </w:rPr>
        <w:t>GR relationship (Skoumal et al., 2015). Despite</w:t>
      </w:r>
      <w:r>
        <w:rPr>
          <w:sz w:val="24"/>
          <w:szCs w:val="24"/>
        </w:rPr>
        <w:t xml:space="preserve"> </w:t>
      </w:r>
      <w:r w:rsidRPr="00492A10">
        <w:rPr>
          <w:sz w:val="24"/>
          <w:szCs w:val="24"/>
        </w:rPr>
        <w:t xml:space="preserve">the large differences in absolute b-values, the relative differences between b-values using the same method remain consistent. Both </w:t>
      </w:r>
      <w:proofErr w:type="spellStart"/>
      <w:r w:rsidRPr="00492A10">
        <w:rPr>
          <w:sz w:val="24"/>
          <w:szCs w:val="24"/>
        </w:rPr>
        <w:t>Dinske</w:t>
      </w:r>
      <w:proofErr w:type="spellEnd"/>
      <w:r w:rsidRPr="00492A10">
        <w:rPr>
          <w:sz w:val="24"/>
          <w:szCs w:val="24"/>
        </w:rPr>
        <w:t xml:space="preserve"> et al., (2013) and the MLE estimates </w:t>
      </w:r>
      <w:r>
        <w:rPr>
          <w:sz w:val="24"/>
          <w:szCs w:val="24"/>
        </w:rPr>
        <w:t xml:space="preserve">here, </w:t>
      </w:r>
      <w:r w:rsidRPr="00492A10">
        <w:rPr>
          <w:sz w:val="24"/>
          <w:szCs w:val="24"/>
        </w:rPr>
        <w:t xml:space="preserve">found treatment B has </w:t>
      </w:r>
      <w:r>
        <w:rPr>
          <w:sz w:val="24"/>
          <w:szCs w:val="24"/>
        </w:rPr>
        <w:t xml:space="preserve">a </w:t>
      </w:r>
      <w:r w:rsidRPr="00492A10">
        <w:rPr>
          <w:sz w:val="24"/>
          <w:szCs w:val="24"/>
        </w:rPr>
        <w:t xml:space="preserve">slightly lower b-value than treatment A and </w:t>
      </w:r>
      <w:r>
        <w:rPr>
          <w:sz w:val="24"/>
          <w:szCs w:val="24"/>
        </w:rPr>
        <w:t xml:space="preserve">a </w:t>
      </w:r>
      <w:r w:rsidRPr="00492A10">
        <w:rPr>
          <w:sz w:val="24"/>
          <w:szCs w:val="24"/>
        </w:rPr>
        <w:t>much higher b-value for treatment C.</w:t>
      </w:r>
    </w:p>
    <w:p w14:paraId="6A8695FA" w14:textId="77777777" w:rsidR="004C3823" w:rsidRPr="00492A10" w:rsidRDefault="004C3823" w:rsidP="00C32F8E">
      <w:pPr>
        <w:spacing w:line="480" w:lineRule="auto"/>
        <w:ind w:firstLine="720"/>
        <w:rPr>
          <w:sz w:val="24"/>
          <w:szCs w:val="24"/>
        </w:rPr>
      </w:pPr>
      <w:r w:rsidRPr="00492A10">
        <w:rPr>
          <w:sz w:val="24"/>
          <w:szCs w:val="24"/>
        </w:rPr>
        <w:t>The probability density functions for</w:t>
      </w:r>
      <w:r>
        <w:rPr>
          <w:sz w:val="24"/>
          <w:szCs w:val="24"/>
        </w:rPr>
        <w:t xml:space="preserve"> the</w:t>
      </w:r>
      <w:r w:rsidRPr="00492A10">
        <w:rPr>
          <w:sz w:val="24"/>
          <w:szCs w:val="24"/>
        </w:rPr>
        <w:t xml:space="preserve"> b-value and </w:t>
      </w:r>
      <w:proofErr w:type="spellStart"/>
      <w:r w:rsidRPr="00492A10">
        <w:rPr>
          <w:sz w:val="24"/>
          <w:szCs w:val="24"/>
        </w:rPr>
        <w:t>seismogenic</w:t>
      </w:r>
      <w:proofErr w:type="spellEnd"/>
      <w:r w:rsidRPr="00492A10">
        <w:rPr>
          <w:sz w:val="24"/>
          <w:szCs w:val="24"/>
        </w:rPr>
        <w:t xml:space="preserve"> index from the four treatments are compared in detail in </w:t>
      </w:r>
      <w:r w:rsidRPr="00020BC1">
        <w:rPr>
          <w:b/>
          <w:bCs/>
          <w:sz w:val="24"/>
          <w:szCs w:val="24"/>
        </w:rPr>
        <w:t>Figure 2.8</w:t>
      </w:r>
      <w:r w:rsidRPr="00492A10">
        <w:rPr>
          <w:sz w:val="24"/>
          <w:szCs w:val="24"/>
        </w:rPr>
        <w:t xml:space="preserve">. The uncertainty for treatment C is significantly reduced after magnitude calibration, suggesting magnitude calibration improves the stability of subsequent calculations. The relative distribution of </w:t>
      </w:r>
      <w:r>
        <w:rPr>
          <w:sz w:val="24"/>
          <w:szCs w:val="24"/>
        </w:rPr>
        <w:t xml:space="preserve">the </w:t>
      </w:r>
      <w:proofErr w:type="spellStart"/>
      <w:r w:rsidRPr="00492A10">
        <w:rPr>
          <w:sz w:val="24"/>
          <w:szCs w:val="24"/>
        </w:rPr>
        <w:t>seismogenic</w:t>
      </w:r>
      <w:proofErr w:type="spellEnd"/>
      <w:r w:rsidRPr="00492A10">
        <w:rPr>
          <w:sz w:val="24"/>
          <w:szCs w:val="24"/>
        </w:rPr>
        <w:t xml:space="preserve"> index is consistent before and after calibration: treatment E has the highest value, followed by treatment B, A</w:t>
      </w:r>
      <w:r>
        <w:rPr>
          <w:sz w:val="24"/>
          <w:szCs w:val="24"/>
        </w:rPr>
        <w:t>,</w:t>
      </w:r>
      <w:r w:rsidRPr="00492A10">
        <w:rPr>
          <w:sz w:val="24"/>
          <w:szCs w:val="24"/>
        </w:rPr>
        <w:t xml:space="preserve"> and C. The relative distribution of </w:t>
      </w:r>
      <w:r>
        <w:rPr>
          <w:sz w:val="24"/>
          <w:szCs w:val="24"/>
        </w:rPr>
        <w:t xml:space="preserve">the </w:t>
      </w:r>
      <w:r w:rsidRPr="00492A10">
        <w:rPr>
          <w:sz w:val="24"/>
          <w:szCs w:val="24"/>
        </w:rPr>
        <w:t>b-value shows some differences. Before magnitude calibration, treatment B has the lowest b-value, followed by treatment</w:t>
      </w:r>
      <w:r>
        <w:rPr>
          <w:sz w:val="24"/>
          <w:szCs w:val="24"/>
        </w:rPr>
        <w:t>s</w:t>
      </w:r>
      <w:r w:rsidRPr="00492A10">
        <w:rPr>
          <w:sz w:val="24"/>
          <w:szCs w:val="24"/>
        </w:rPr>
        <w:t xml:space="preserve"> E, A, and C, while after calibration, treatment E stands out with the lowest b-value, followed by treatments B</w:t>
      </w:r>
      <w:r>
        <w:rPr>
          <w:sz w:val="24"/>
          <w:szCs w:val="24"/>
        </w:rPr>
        <w:t>,</w:t>
      </w:r>
      <w:r w:rsidRPr="00492A10">
        <w:rPr>
          <w:sz w:val="24"/>
          <w:szCs w:val="24"/>
        </w:rPr>
        <w:t xml:space="preserve"> A</w:t>
      </w:r>
      <w:r>
        <w:rPr>
          <w:sz w:val="24"/>
          <w:szCs w:val="24"/>
        </w:rPr>
        <w:t xml:space="preserve">, </w:t>
      </w:r>
      <w:r w:rsidRPr="00492A10">
        <w:rPr>
          <w:sz w:val="24"/>
          <w:szCs w:val="24"/>
        </w:rPr>
        <w:t xml:space="preserve">and C. Treatments B and A consistently have similar b-values, and treatment C always has the highest b-value. Both </w:t>
      </w:r>
      <w:r>
        <w:rPr>
          <w:sz w:val="24"/>
          <w:szCs w:val="24"/>
        </w:rPr>
        <w:t xml:space="preserve">the </w:t>
      </w:r>
      <w:proofErr w:type="spellStart"/>
      <w:r w:rsidRPr="00492A10">
        <w:rPr>
          <w:sz w:val="24"/>
          <w:szCs w:val="24"/>
        </w:rPr>
        <w:t>seismogenic</w:t>
      </w:r>
      <w:proofErr w:type="spellEnd"/>
      <w:r w:rsidRPr="00492A10">
        <w:rPr>
          <w:sz w:val="24"/>
          <w:szCs w:val="24"/>
        </w:rPr>
        <w:t xml:space="preserve"> index and b-value can be associated with seismic hazard: </w:t>
      </w:r>
      <w:r>
        <w:rPr>
          <w:sz w:val="24"/>
          <w:szCs w:val="24"/>
        </w:rPr>
        <w:t xml:space="preserve">a </w:t>
      </w:r>
      <w:r w:rsidRPr="00492A10">
        <w:rPr>
          <w:sz w:val="24"/>
          <w:szCs w:val="24"/>
        </w:rPr>
        <w:t xml:space="preserve">higher </w:t>
      </w:r>
      <w:proofErr w:type="spellStart"/>
      <w:r w:rsidRPr="00492A10">
        <w:rPr>
          <w:sz w:val="24"/>
          <w:szCs w:val="24"/>
        </w:rPr>
        <w:t>seismogenic</w:t>
      </w:r>
      <w:proofErr w:type="spellEnd"/>
      <w:r w:rsidRPr="00492A10">
        <w:rPr>
          <w:sz w:val="24"/>
          <w:szCs w:val="24"/>
        </w:rPr>
        <w:t xml:space="preserve"> index and lower b-value indicate </w:t>
      </w:r>
      <w:r>
        <w:rPr>
          <w:sz w:val="24"/>
          <w:szCs w:val="24"/>
        </w:rPr>
        <w:t xml:space="preserve">a statistical population of earthquakes with a distribution composed of </w:t>
      </w:r>
      <w:r w:rsidRPr="00492A10">
        <w:rPr>
          <w:sz w:val="24"/>
          <w:szCs w:val="24"/>
        </w:rPr>
        <w:t>larger events</w:t>
      </w:r>
      <w:r>
        <w:rPr>
          <w:sz w:val="24"/>
          <w:szCs w:val="24"/>
        </w:rPr>
        <w:t xml:space="preserve"> within the range of magnitudes observed</w:t>
      </w:r>
      <w:r w:rsidRPr="00492A10">
        <w:rPr>
          <w:sz w:val="24"/>
          <w:szCs w:val="24"/>
        </w:rPr>
        <w:t xml:space="preserve">. In this respect, the relative </w:t>
      </w:r>
      <w:r w:rsidRPr="00492A10">
        <w:rPr>
          <w:sz w:val="24"/>
          <w:szCs w:val="24"/>
        </w:rPr>
        <w:lastRenderedPageBreak/>
        <w:t xml:space="preserve">ranking of b-value and </w:t>
      </w:r>
      <w:proofErr w:type="spellStart"/>
      <w:r w:rsidRPr="00492A10">
        <w:rPr>
          <w:sz w:val="24"/>
          <w:szCs w:val="24"/>
        </w:rPr>
        <w:t>seismogenic</w:t>
      </w:r>
      <w:proofErr w:type="spellEnd"/>
      <w:r w:rsidRPr="00492A10">
        <w:rPr>
          <w:sz w:val="24"/>
          <w:szCs w:val="24"/>
        </w:rPr>
        <w:t xml:space="preserve"> index after magnitude calibration consistently indicate</w:t>
      </w:r>
      <w:r>
        <w:rPr>
          <w:sz w:val="24"/>
          <w:szCs w:val="24"/>
        </w:rPr>
        <w:t>s the</w:t>
      </w:r>
      <w:r w:rsidRPr="00492A10">
        <w:rPr>
          <w:sz w:val="24"/>
          <w:szCs w:val="24"/>
        </w:rPr>
        <w:t xml:space="preserve"> highest </w:t>
      </w:r>
      <w:proofErr w:type="spellStart"/>
      <w:r w:rsidRPr="00492A10">
        <w:rPr>
          <w:sz w:val="24"/>
          <w:szCs w:val="24"/>
        </w:rPr>
        <w:t>seismogenic</w:t>
      </w:r>
      <w:proofErr w:type="spellEnd"/>
      <w:r w:rsidRPr="00492A10">
        <w:rPr>
          <w:sz w:val="24"/>
          <w:szCs w:val="24"/>
        </w:rPr>
        <w:t xml:space="preserve"> potential for treatment E, demonstrating that magnitude calibration perhaps provides a more coherent hazard assessment using different parameters.</w:t>
      </w:r>
    </w:p>
    <w:p w14:paraId="48349181" w14:textId="77777777" w:rsidR="004C3823" w:rsidRPr="00492A10" w:rsidRDefault="004C3823" w:rsidP="00C32F8E">
      <w:pPr>
        <w:spacing w:line="480" w:lineRule="auto"/>
        <w:ind w:firstLine="720"/>
        <w:rPr>
          <w:sz w:val="24"/>
          <w:szCs w:val="24"/>
        </w:rPr>
      </w:pPr>
      <w:r w:rsidRPr="00020BC1">
        <w:rPr>
          <w:b/>
          <w:bCs/>
          <w:sz w:val="24"/>
          <w:szCs w:val="24"/>
        </w:rPr>
        <w:t>Figure 2.6</w:t>
      </w:r>
      <w:r w:rsidRPr="00492A10">
        <w:rPr>
          <w:sz w:val="24"/>
          <w:szCs w:val="24"/>
        </w:rPr>
        <w:t xml:space="preserve"> shows that treatment B can be further separated into similar event clusters. A principal-component-analysis method is used to estimate the geometry of each cluster following Qin et al. (2022). Among all clusters, clusters 1 and 4 show a relatively larger angle</w:t>
      </w:r>
      <w:r>
        <w:rPr>
          <w:sz w:val="24"/>
          <w:szCs w:val="24"/>
        </w:rPr>
        <w:t>, 20</w:t>
      </w:r>
      <w:r>
        <w:rPr>
          <w:rFonts w:cstheme="minorHAnsi"/>
          <w:sz w:val="24"/>
          <w:szCs w:val="24"/>
        </w:rPr>
        <w:t>°</w:t>
      </w:r>
      <w:r>
        <w:rPr>
          <w:sz w:val="24"/>
          <w:szCs w:val="24"/>
        </w:rPr>
        <w:t>,</w:t>
      </w:r>
      <w:r w:rsidRPr="00492A10">
        <w:rPr>
          <w:sz w:val="24"/>
          <w:szCs w:val="24"/>
        </w:rPr>
        <w:t xml:space="preserve"> from </w:t>
      </w:r>
      <w:proofErr w:type="spellStart"/>
      <w:r w:rsidRPr="00492A10">
        <w:rPr>
          <w:sz w:val="24"/>
          <w:szCs w:val="24"/>
        </w:rPr>
        <w:t>SHmax</w:t>
      </w:r>
      <w:proofErr w:type="spellEnd"/>
      <w:r w:rsidRPr="00492A10">
        <w:rPr>
          <w:sz w:val="24"/>
          <w:szCs w:val="24"/>
        </w:rPr>
        <w:t xml:space="preserve"> orientation, while the other clusters have </w:t>
      </w:r>
      <w:r>
        <w:rPr>
          <w:sz w:val="24"/>
          <w:szCs w:val="24"/>
        </w:rPr>
        <w:t xml:space="preserve">a </w:t>
      </w:r>
      <w:r w:rsidRPr="00492A10">
        <w:rPr>
          <w:sz w:val="24"/>
          <w:szCs w:val="24"/>
        </w:rPr>
        <w:t xml:space="preserve">similar orientation to </w:t>
      </w:r>
      <w:proofErr w:type="spellStart"/>
      <w:r w:rsidRPr="00492A10">
        <w:rPr>
          <w:sz w:val="24"/>
          <w:szCs w:val="24"/>
        </w:rPr>
        <w:t>SHmax</w:t>
      </w:r>
      <w:proofErr w:type="spellEnd"/>
      <w:r w:rsidRPr="00492A10">
        <w:rPr>
          <w:sz w:val="24"/>
          <w:szCs w:val="24"/>
        </w:rPr>
        <w:t xml:space="preserve">. We then further assess the distribution of b-value and </w:t>
      </w:r>
      <w:proofErr w:type="spellStart"/>
      <w:r w:rsidRPr="00492A10">
        <w:rPr>
          <w:sz w:val="24"/>
          <w:szCs w:val="24"/>
        </w:rPr>
        <w:t>seismogenic</w:t>
      </w:r>
      <w:proofErr w:type="spellEnd"/>
      <w:r w:rsidRPr="00492A10">
        <w:rPr>
          <w:sz w:val="24"/>
          <w:szCs w:val="24"/>
        </w:rPr>
        <w:t xml:space="preserve"> index for events within clusters 1 and 4 (referred to as “C1-4”) and the rest of the events (referred to as “others”). C1-4 consists of about 40% of all events in treatment B. </w:t>
      </w:r>
      <w:r w:rsidRPr="00020BC1">
        <w:rPr>
          <w:b/>
          <w:bCs/>
          <w:sz w:val="24"/>
          <w:szCs w:val="24"/>
        </w:rPr>
        <w:t>Figure 2.8</w:t>
      </w:r>
      <w:r w:rsidRPr="00492A10">
        <w:rPr>
          <w:sz w:val="24"/>
          <w:szCs w:val="24"/>
        </w:rPr>
        <w:t xml:space="preserve"> shows that C1-4 has</w:t>
      </w:r>
      <w:r>
        <w:rPr>
          <w:sz w:val="24"/>
          <w:szCs w:val="24"/>
        </w:rPr>
        <w:t xml:space="preserve"> a</w:t>
      </w:r>
      <w:r w:rsidRPr="00492A10">
        <w:rPr>
          <w:sz w:val="24"/>
          <w:szCs w:val="24"/>
        </w:rPr>
        <w:t xml:space="preserve"> lower b-value and </w:t>
      </w:r>
      <w:r>
        <w:rPr>
          <w:sz w:val="24"/>
          <w:szCs w:val="24"/>
        </w:rPr>
        <w:t xml:space="preserve">a </w:t>
      </w:r>
      <w:r w:rsidRPr="00492A10">
        <w:rPr>
          <w:sz w:val="24"/>
          <w:szCs w:val="24"/>
        </w:rPr>
        <w:t xml:space="preserve">higher </w:t>
      </w:r>
      <w:proofErr w:type="spellStart"/>
      <w:r w:rsidRPr="00492A10">
        <w:rPr>
          <w:sz w:val="24"/>
          <w:szCs w:val="24"/>
        </w:rPr>
        <w:t>seismogenic</w:t>
      </w:r>
      <w:proofErr w:type="spellEnd"/>
      <w:r w:rsidRPr="00492A10">
        <w:rPr>
          <w:sz w:val="24"/>
          <w:szCs w:val="24"/>
        </w:rPr>
        <w:t xml:space="preserve"> index than “others”. The overall b-value of treatment B lies between C1-4 and “others”. The events that are not within C1-4 have </w:t>
      </w:r>
      <w:r>
        <w:rPr>
          <w:sz w:val="24"/>
          <w:szCs w:val="24"/>
        </w:rPr>
        <w:t xml:space="preserve">a </w:t>
      </w:r>
      <w:r w:rsidRPr="00492A10">
        <w:rPr>
          <w:sz w:val="24"/>
          <w:szCs w:val="24"/>
        </w:rPr>
        <w:t>similar</w:t>
      </w:r>
      <w:r>
        <w:rPr>
          <w:sz w:val="24"/>
          <w:szCs w:val="24"/>
        </w:rPr>
        <w:t xml:space="preserve"> </w:t>
      </w:r>
      <w:proofErr w:type="spellStart"/>
      <w:r w:rsidRPr="00492A10">
        <w:rPr>
          <w:sz w:val="24"/>
          <w:szCs w:val="24"/>
        </w:rPr>
        <w:t>seismogenic</w:t>
      </w:r>
      <w:proofErr w:type="spellEnd"/>
      <w:r w:rsidRPr="00492A10">
        <w:rPr>
          <w:sz w:val="24"/>
          <w:szCs w:val="24"/>
        </w:rPr>
        <w:t xml:space="preserve"> index </w:t>
      </w:r>
      <w:r>
        <w:rPr>
          <w:sz w:val="24"/>
          <w:szCs w:val="24"/>
        </w:rPr>
        <w:t>compared to</w:t>
      </w:r>
      <w:r w:rsidRPr="00492A10">
        <w:rPr>
          <w:sz w:val="24"/>
          <w:szCs w:val="24"/>
        </w:rPr>
        <w:t xml:space="preserve"> treatment A both before and after magnitude calibration. This suggests different </w:t>
      </w:r>
      <w:proofErr w:type="spellStart"/>
      <w:r w:rsidRPr="00492A10">
        <w:rPr>
          <w:sz w:val="24"/>
          <w:szCs w:val="24"/>
        </w:rPr>
        <w:t>seismogenic</w:t>
      </w:r>
      <w:proofErr w:type="spellEnd"/>
      <w:r w:rsidRPr="00492A10">
        <w:rPr>
          <w:sz w:val="24"/>
          <w:szCs w:val="24"/>
        </w:rPr>
        <w:t xml:space="preserve"> potentials for fractures of different orientation</w:t>
      </w:r>
      <w:r>
        <w:rPr>
          <w:sz w:val="24"/>
          <w:szCs w:val="24"/>
        </w:rPr>
        <w:t>s</w:t>
      </w:r>
      <w:r w:rsidRPr="00492A10">
        <w:rPr>
          <w:sz w:val="24"/>
          <w:szCs w:val="24"/>
        </w:rPr>
        <w:t xml:space="preserve"> during the same treatment. </w:t>
      </w:r>
    </w:p>
    <w:p w14:paraId="23BEDB1B" w14:textId="77777777" w:rsidR="004C3823" w:rsidRPr="00492A10" w:rsidRDefault="004C3823" w:rsidP="00C32F8E">
      <w:pPr>
        <w:spacing w:line="480" w:lineRule="auto"/>
        <w:rPr>
          <w:b/>
          <w:bCs/>
          <w:sz w:val="24"/>
          <w:szCs w:val="24"/>
        </w:rPr>
      </w:pPr>
      <w:r>
        <w:rPr>
          <w:b/>
          <w:bCs/>
          <w:sz w:val="24"/>
          <w:szCs w:val="24"/>
        </w:rPr>
        <w:t>2.5</w:t>
      </w:r>
      <w:r w:rsidRPr="00492A10">
        <w:rPr>
          <w:b/>
          <w:bCs/>
          <w:sz w:val="24"/>
          <w:szCs w:val="24"/>
        </w:rPr>
        <w:t xml:space="preserve"> Discussion</w:t>
      </w:r>
    </w:p>
    <w:p w14:paraId="6BE85B18" w14:textId="77777777" w:rsidR="004C3823" w:rsidRPr="00492A10" w:rsidRDefault="004C3823" w:rsidP="00C32F8E">
      <w:pPr>
        <w:spacing w:line="480" w:lineRule="auto"/>
        <w:ind w:firstLine="720"/>
        <w:rPr>
          <w:sz w:val="24"/>
          <w:szCs w:val="24"/>
        </w:rPr>
      </w:pPr>
      <w:r w:rsidRPr="00492A10">
        <w:rPr>
          <w:sz w:val="24"/>
          <w:szCs w:val="24"/>
        </w:rPr>
        <w:t xml:space="preserve">Within the scope of this study, we determine </w:t>
      </w:r>
      <w:proofErr w:type="spellStart"/>
      <w:r w:rsidRPr="00492A10">
        <w:rPr>
          <w:sz w:val="24"/>
          <w:szCs w:val="24"/>
        </w:rPr>
        <w:t>seismogenic</w:t>
      </w:r>
      <w:proofErr w:type="spellEnd"/>
      <w:r w:rsidRPr="00492A10">
        <w:rPr>
          <w:sz w:val="24"/>
          <w:szCs w:val="24"/>
        </w:rPr>
        <w:t xml:space="preserve"> index values from calibrated magnitudes based on</w:t>
      </w:r>
      <w:r>
        <w:rPr>
          <w:sz w:val="24"/>
          <w:szCs w:val="24"/>
        </w:rPr>
        <w:t xml:space="preserve"> a</w:t>
      </w:r>
      <w:r w:rsidRPr="00492A10">
        <w:rPr>
          <w:sz w:val="24"/>
          <w:szCs w:val="24"/>
        </w:rPr>
        <w:t xml:space="preserve"> limited range of data. The magnitude calibration using the full waveform provides significantly improved magnitudes, though the statistical analysis of</w:t>
      </w:r>
      <w:r>
        <w:rPr>
          <w:sz w:val="24"/>
          <w:szCs w:val="24"/>
        </w:rPr>
        <w:t xml:space="preserve"> the</w:t>
      </w:r>
      <w:r w:rsidRPr="00492A10">
        <w:rPr>
          <w:sz w:val="24"/>
          <w:szCs w:val="24"/>
        </w:rPr>
        <w:t xml:space="preserve"> b-value and </w:t>
      </w:r>
      <w:proofErr w:type="spellStart"/>
      <w:r w:rsidRPr="00492A10">
        <w:rPr>
          <w:sz w:val="24"/>
          <w:szCs w:val="24"/>
        </w:rPr>
        <w:t>seismogenic</w:t>
      </w:r>
      <w:proofErr w:type="spellEnd"/>
      <w:r w:rsidRPr="00492A10">
        <w:rPr>
          <w:sz w:val="24"/>
          <w:szCs w:val="24"/>
        </w:rPr>
        <w:t xml:space="preserve"> index show</w:t>
      </w:r>
      <w:r>
        <w:rPr>
          <w:sz w:val="24"/>
          <w:szCs w:val="24"/>
        </w:rPr>
        <w:t>s</w:t>
      </w:r>
      <w:r w:rsidRPr="00492A10">
        <w:rPr>
          <w:sz w:val="24"/>
          <w:szCs w:val="24"/>
        </w:rPr>
        <w:t xml:space="preserve"> some differences. Here, we further discuss the influence of magnitude calibration on statistical analyses and the possible physical processes that cause the differences among different treatments and different fractures.</w:t>
      </w:r>
    </w:p>
    <w:p w14:paraId="4BFBA214" w14:textId="77777777" w:rsidR="004C3823" w:rsidRPr="00492A10" w:rsidRDefault="004C3823" w:rsidP="00C32F8E">
      <w:pPr>
        <w:spacing w:line="480" w:lineRule="auto"/>
        <w:rPr>
          <w:b/>
          <w:bCs/>
          <w:sz w:val="24"/>
          <w:szCs w:val="24"/>
        </w:rPr>
      </w:pPr>
      <w:r>
        <w:rPr>
          <w:b/>
          <w:bCs/>
          <w:sz w:val="24"/>
          <w:szCs w:val="24"/>
        </w:rPr>
        <w:lastRenderedPageBreak/>
        <w:t>2.5.1</w:t>
      </w:r>
      <w:r w:rsidRPr="00492A10">
        <w:rPr>
          <w:b/>
          <w:bCs/>
          <w:sz w:val="24"/>
          <w:szCs w:val="24"/>
        </w:rPr>
        <w:t xml:space="preserve"> Factors influenc</w:t>
      </w:r>
      <w:r>
        <w:rPr>
          <w:b/>
          <w:bCs/>
          <w:sz w:val="24"/>
          <w:szCs w:val="24"/>
        </w:rPr>
        <w:t>ing</w:t>
      </w:r>
      <w:r w:rsidRPr="00492A10">
        <w:rPr>
          <w:b/>
          <w:bCs/>
          <w:sz w:val="24"/>
          <w:szCs w:val="24"/>
        </w:rPr>
        <w:t xml:space="preserve"> magnitude </w:t>
      </w:r>
      <w:proofErr w:type="gramStart"/>
      <w:r w:rsidRPr="00492A10">
        <w:rPr>
          <w:b/>
          <w:bCs/>
          <w:sz w:val="24"/>
          <w:szCs w:val="24"/>
        </w:rPr>
        <w:t>measurement</w:t>
      </w:r>
      <w:proofErr w:type="gramEnd"/>
    </w:p>
    <w:p w14:paraId="0F85A492" w14:textId="77777777" w:rsidR="004C3823" w:rsidRPr="00492A10" w:rsidRDefault="004C3823" w:rsidP="00C32F8E">
      <w:pPr>
        <w:spacing w:line="480" w:lineRule="auto"/>
        <w:ind w:firstLine="720"/>
        <w:rPr>
          <w:sz w:val="24"/>
          <w:szCs w:val="24"/>
        </w:rPr>
      </w:pPr>
      <w:r w:rsidRPr="00492A10">
        <w:rPr>
          <w:sz w:val="24"/>
          <w:szCs w:val="24"/>
        </w:rPr>
        <w:t xml:space="preserve">The significant improvement in agreement between amplitude ratio and magnitude difference in </w:t>
      </w:r>
      <w:r w:rsidRPr="00020BC1">
        <w:rPr>
          <w:b/>
          <w:bCs/>
          <w:sz w:val="24"/>
          <w:szCs w:val="24"/>
        </w:rPr>
        <w:t xml:space="preserve">Figure 2.5 </w:t>
      </w:r>
      <w:r w:rsidRPr="00492A10">
        <w:rPr>
          <w:sz w:val="24"/>
          <w:szCs w:val="24"/>
        </w:rPr>
        <w:t xml:space="preserve">suggests that analysis of the full waveform is needed for microseismic events. Catalog magnitude estimations were calculated based on seismic moments measured </w:t>
      </w:r>
      <w:r>
        <w:rPr>
          <w:sz w:val="24"/>
          <w:szCs w:val="24"/>
        </w:rPr>
        <w:t>by</w:t>
      </w:r>
      <w:r w:rsidRPr="00492A10">
        <w:rPr>
          <w:sz w:val="24"/>
          <w:szCs w:val="24"/>
        </w:rPr>
        <w:t xml:space="preserve"> Urbancic et al. (1996) and the moment magnitude relationship in </w:t>
      </w:r>
      <w:r w:rsidRPr="00020BC1">
        <w:rPr>
          <w:b/>
          <w:bCs/>
          <w:sz w:val="24"/>
          <w:szCs w:val="24"/>
        </w:rPr>
        <w:t>equation 2</w:t>
      </w:r>
      <w:r>
        <w:rPr>
          <w:b/>
          <w:bCs/>
          <w:sz w:val="24"/>
          <w:szCs w:val="24"/>
        </w:rPr>
        <w:t>.3</w:t>
      </w:r>
      <w:r w:rsidRPr="00492A10">
        <w:rPr>
          <w:sz w:val="24"/>
          <w:szCs w:val="24"/>
        </w:rPr>
        <w:t xml:space="preserve"> (Rutledge et al., 2004). Influences such as attenuation (quality factor Q) may impact seismic moment measurements. Lower quality factors Q (high attenuation) w</w:t>
      </w:r>
      <w:r>
        <w:rPr>
          <w:sz w:val="24"/>
          <w:szCs w:val="24"/>
        </w:rPr>
        <w:t>ere</w:t>
      </w:r>
      <w:r w:rsidRPr="00492A10">
        <w:rPr>
          <w:sz w:val="24"/>
          <w:szCs w:val="24"/>
        </w:rPr>
        <w:t xml:space="preserve"> shown to result in a smaller seismic moment and magnitude estimation than similar earthquakes in higher Q regions (Chung </w:t>
      </w:r>
      <w:r>
        <w:rPr>
          <w:sz w:val="24"/>
          <w:szCs w:val="24"/>
        </w:rPr>
        <w:t>and</w:t>
      </w:r>
      <w:r w:rsidRPr="00492A10">
        <w:rPr>
          <w:sz w:val="24"/>
          <w:szCs w:val="24"/>
        </w:rPr>
        <w:t xml:space="preserve"> Bernreuter, 1981). Events with highly similar waveforms typically share similar ray paths and are closely located (Kane et al., 2013), so the amplitude ratios from full waveform are less influenced by attenuation. </w:t>
      </w:r>
      <w:r>
        <w:rPr>
          <w:sz w:val="24"/>
          <w:szCs w:val="24"/>
        </w:rPr>
        <w:t>In other words, a</w:t>
      </w:r>
      <w:r w:rsidRPr="00492A10">
        <w:rPr>
          <w:sz w:val="24"/>
          <w:szCs w:val="24"/>
        </w:rPr>
        <w:t xml:space="preserve">ttenuation from </w:t>
      </w:r>
      <w:r>
        <w:rPr>
          <w:sz w:val="24"/>
          <w:szCs w:val="24"/>
        </w:rPr>
        <w:t xml:space="preserve">the </w:t>
      </w:r>
      <w:r w:rsidRPr="00492A10">
        <w:rPr>
          <w:sz w:val="24"/>
          <w:szCs w:val="24"/>
        </w:rPr>
        <w:t xml:space="preserve">source region and path </w:t>
      </w:r>
      <w:r>
        <w:rPr>
          <w:sz w:val="24"/>
          <w:szCs w:val="24"/>
        </w:rPr>
        <w:t>are</w:t>
      </w:r>
      <w:r w:rsidRPr="00492A10">
        <w:rPr>
          <w:sz w:val="24"/>
          <w:szCs w:val="24"/>
        </w:rPr>
        <w:t xml:space="preserve"> effectively canceled out</w:t>
      </w:r>
      <w:r>
        <w:rPr>
          <w:sz w:val="24"/>
          <w:szCs w:val="24"/>
        </w:rPr>
        <w:t>.</w:t>
      </w:r>
      <w:r w:rsidRPr="00492A10">
        <w:rPr>
          <w:sz w:val="24"/>
          <w:szCs w:val="24"/>
        </w:rPr>
        <w:t xml:space="preserve"> </w:t>
      </w:r>
      <w:r>
        <w:rPr>
          <w:sz w:val="24"/>
          <w:szCs w:val="24"/>
        </w:rPr>
        <w:t>M</w:t>
      </w:r>
      <w:r w:rsidRPr="00492A10">
        <w:rPr>
          <w:sz w:val="24"/>
          <w:szCs w:val="24"/>
        </w:rPr>
        <w:t xml:space="preserve">itigating the influence of attenuation on the original magnitude estimations leads to significantly improved magnitude estimations. </w:t>
      </w:r>
      <w:r w:rsidRPr="00020BC1">
        <w:rPr>
          <w:b/>
          <w:bCs/>
          <w:sz w:val="24"/>
          <w:szCs w:val="24"/>
        </w:rPr>
        <w:t>Figure 2.6</w:t>
      </w:r>
      <w:r w:rsidRPr="00492A10">
        <w:rPr>
          <w:sz w:val="24"/>
          <w:szCs w:val="24"/>
        </w:rPr>
        <w:t xml:space="preserve"> clearly shows that magnitude calibration reduces the systematic magnitude differences among clusters located at different depths. </w:t>
      </w:r>
      <w:r w:rsidRPr="00020BC1">
        <w:rPr>
          <w:b/>
          <w:bCs/>
          <w:sz w:val="24"/>
          <w:szCs w:val="24"/>
        </w:rPr>
        <w:t>Figure 2.5</w:t>
      </w:r>
      <w:r w:rsidRPr="00492A10">
        <w:rPr>
          <w:sz w:val="24"/>
          <w:szCs w:val="24"/>
        </w:rPr>
        <w:t xml:space="preserve"> shows that the original magnitude difference exhibits a very scattered relationship with the amplitude ratios. The calibrated magnitudes mitigate the attenuation problem and exhibit better agreement with the amplitude ratios in </w:t>
      </w:r>
      <w:r w:rsidRPr="00020BC1">
        <w:rPr>
          <w:b/>
          <w:bCs/>
          <w:sz w:val="24"/>
          <w:szCs w:val="24"/>
        </w:rPr>
        <w:t>Figure 2.5</w:t>
      </w:r>
      <w:r w:rsidRPr="00492A10">
        <w:rPr>
          <w:sz w:val="24"/>
          <w:szCs w:val="24"/>
        </w:rPr>
        <w:t>.</w:t>
      </w:r>
    </w:p>
    <w:p w14:paraId="15073D93" w14:textId="77777777" w:rsidR="004C3823" w:rsidRPr="00492A10" w:rsidRDefault="004C3823" w:rsidP="00C32F8E">
      <w:pPr>
        <w:spacing w:line="480" w:lineRule="auto"/>
        <w:ind w:firstLine="720"/>
        <w:rPr>
          <w:sz w:val="24"/>
          <w:szCs w:val="24"/>
        </w:rPr>
      </w:pPr>
      <w:r w:rsidRPr="00492A10">
        <w:rPr>
          <w:sz w:val="24"/>
          <w:szCs w:val="24"/>
        </w:rPr>
        <w:t>Cleveland and Ammon (2015) used a wide aperture of seismic network</w:t>
      </w:r>
      <w:r>
        <w:rPr>
          <w:sz w:val="24"/>
          <w:szCs w:val="24"/>
        </w:rPr>
        <w:t>s</w:t>
      </w:r>
      <w:r w:rsidRPr="00492A10">
        <w:rPr>
          <w:sz w:val="24"/>
          <w:szCs w:val="24"/>
        </w:rPr>
        <w:t xml:space="preserve"> for events used in amplitude ratio calculations. The borehole arrays used here have relatively limited azimuthal coverage and could lead to issues in radiation pattern</w:t>
      </w:r>
      <w:r>
        <w:rPr>
          <w:sz w:val="24"/>
          <w:szCs w:val="24"/>
        </w:rPr>
        <w:t>s</w:t>
      </w:r>
      <w:r w:rsidRPr="00492A10">
        <w:rPr>
          <w:sz w:val="24"/>
          <w:szCs w:val="24"/>
        </w:rPr>
        <w:t xml:space="preserve">. </w:t>
      </w:r>
      <w:r w:rsidRPr="00020BC1">
        <w:rPr>
          <w:b/>
          <w:bCs/>
          <w:sz w:val="24"/>
          <w:szCs w:val="24"/>
        </w:rPr>
        <w:t>Figure 2.6</w:t>
      </w:r>
      <w:r w:rsidRPr="00492A10">
        <w:rPr>
          <w:sz w:val="24"/>
          <w:szCs w:val="24"/>
        </w:rPr>
        <w:t xml:space="preserve"> shows that events of similar waveforms are grouped into compact clusters, which agree with clusters of similar focal mechanism solutions in Rutledge et al. (2004). This suggests that when measuring</w:t>
      </w:r>
      <w:r>
        <w:rPr>
          <w:sz w:val="24"/>
          <w:szCs w:val="24"/>
        </w:rPr>
        <w:t xml:space="preserve"> the</w:t>
      </w:r>
      <w:r w:rsidRPr="00492A10">
        <w:rPr>
          <w:sz w:val="24"/>
          <w:szCs w:val="24"/>
        </w:rPr>
        <w:t xml:space="preserve"> ratio </w:t>
      </w:r>
      <w:r w:rsidRPr="00492A10">
        <w:rPr>
          <w:sz w:val="24"/>
          <w:szCs w:val="24"/>
        </w:rPr>
        <w:lastRenderedPageBreak/>
        <w:t>between events of similar waveforms, the influence of radiation pattern would be relatively small</w:t>
      </w:r>
      <w:r>
        <w:rPr>
          <w:sz w:val="24"/>
          <w:szCs w:val="24"/>
        </w:rPr>
        <w:t xml:space="preserve">, </w:t>
      </w:r>
      <w:proofErr w:type="gramStart"/>
      <w:r>
        <w:rPr>
          <w:sz w:val="24"/>
          <w:szCs w:val="24"/>
        </w:rPr>
        <w:t>as long as</w:t>
      </w:r>
      <w:proofErr w:type="gramEnd"/>
      <w:r>
        <w:rPr>
          <w:sz w:val="24"/>
          <w:szCs w:val="24"/>
        </w:rPr>
        <w:t xml:space="preserve"> the events have similar focal mechanisms or faulting styles</w:t>
      </w:r>
      <w:r w:rsidRPr="00492A10">
        <w:rPr>
          <w:sz w:val="24"/>
          <w:szCs w:val="24"/>
        </w:rPr>
        <w:t>.</w:t>
      </w:r>
    </w:p>
    <w:p w14:paraId="51D1DD49" w14:textId="77777777" w:rsidR="004C3823" w:rsidRPr="00492A10" w:rsidRDefault="004C3823" w:rsidP="00C32F8E">
      <w:pPr>
        <w:spacing w:line="480" w:lineRule="auto"/>
        <w:rPr>
          <w:b/>
          <w:bCs/>
          <w:sz w:val="24"/>
          <w:szCs w:val="24"/>
        </w:rPr>
      </w:pPr>
      <w:r>
        <w:rPr>
          <w:b/>
          <w:bCs/>
          <w:sz w:val="24"/>
          <w:szCs w:val="24"/>
        </w:rPr>
        <w:t>2.5.2</w:t>
      </w:r>
      <w:r w:rsidRPr="00492A10">
        <w:rPr>
          <w:b/>
          <w:bCs/>
          <w:sz w:val="24"/>
          <w:szCs w:val="24"/>
        </w:rPr>
        <w:t xml:space="preserve"> Uncertainties in statistical measurement</w:t>
      </w:r>
    </w:p>
    <w:p w14:paraId="7B230BCA" w14:textId="77777777" w:rsidR="004C3823" w:rsidRPr="00492A10" w:rsidRDefault="004C3823" w:rsidP="00C32F8E">
      <w:pPr>
        <w:spacing w:line="480" w:lineRule="auto"/>
        <w:ind w:firstLine="720"/>
        <w:rPr>
          <w:sz w:val="24"/>
          <w:szCs w:val="24"/>
        </w:rPr>
      </w:pPr>
      <w:r>
        <w:rPr>
          <w:sz w:val="24"/>
          <w:szCs w:val="24"/>
        </w:rPr>
        <w:t>The</w:t>
      </w:r>
      <w:r w:rsidRPr="00492A10">
        <w:rPr>
          <w:sz w:val="24"/>
          <w:szCs w:val="24"/>
        </w:rPr>
        <w:t xml:space="preserve"> b-value </w:t>
      </w:r>
      <w:r>
        <w:rPr>
          <w:sz w:val="24"/>
          <w:szCs w:val="24"/>
        </w:rPr>
        <w:t xml:space="preserve">tends </w:t>
      </w:r>
      <w:r w:rsidRPr="00492A10">
        <w:rPr>
          <w:sz w:val="24"/>
          <w:szCs w:val="24"/>
        </w:rPr>
        <w:t xml:space="preserve">to be approximately </w:t>
      </w:r>
      <w:r>
        <w:rPr>
          <w:sz w:val="24"/>
          <w:szCs w:val="24"/>
        </w:rPr>
        <w:t>~1</w:t>
      </w:r>
      <w:r w:rsidRPr="00492A10">
        <w:rPr>
          <w:sz w:val="24"/>
          <w:szCs w:val="24"/>
        </w:rPr>
        <w:t xml:space="preserve"> for tectonic earthquakes (Schorlemmer et al., 2005) and nearly </w:t>
      </w:r>
      <w:r>
        <w:rPr>
          <w:sz w:val="24"/>
          <w:szCs w:val="24"/>
        </w:rPr>
        <w:t>~1</w:t>
      </w:r>
      <w:r w:rsidRPr="00492A10">
        <w:rPr>
          <w:sz w:val="24"/>
          <w:szCs w:val="24"/>
        </w:rPr>
        <w:t xml:space="preserve"> for intercontinental regions such as Oklahoma (e.g., Walter et al., 2017). However, for induced seismicity </w:t>
      </w:r>
      <w:r>
        <w:rPr>
          <w:sz w:val="24"/>
          <w:szCs w:val="24"/>
        </w:rPr>
        <w:t xml:space="preserve">that is triggered or </w:t>
      </w:r>
      <w:r w:rsidRPr="00492A10">
        <w:rPr>
          <w:sz w:val="24"/>
          <w:szCs w:val="24"/>
        </w:rPr>
        <w:t xml:space="preserve">associated with hydraulic fracturing, the b-value tends to be higher, which represents a greater quantity of lower magnitude events to larger magnitude events when compared to </w:t>
      </w:r>
      <w:r>
        <w:rPr>
          <w:sz w:val="24"/>
          <w:szCs w:val="24"/>
        </w:rPr>
        <w:t>regions where the b-value tends to be approximately 1</w:t>
      </w:r>
      <w:r w:rsidRPr="00492A10">
        <w:rPr>
          <w:sz w:val="24"/>
          <w:szCs w:val="24"/>
        </w:rPr>
        <w:t xml:space="preserve"> (Eaton et al., 2014). Corrected magnitudes that are included in b-value estimation are important when characterizing induced seismicity since there is often a </w:t>
      </w:r>
      <w:r>
        <w:rPr>
          <w:sz w:val="24"/>
          <w:szCs w:val="24"/>
        </w:rPr>
        <w:t>smaller</w:t>
      </w:r>
      <w:r w:rsidRPr="00492A10">
        <w:rPr>
          <w:sz w:val="24"/>
          <w:szCs w:val="24"/>
        </w:rPr>
        <w:t xml:space="preserve"> dynamic range </w:t>
      </w:r>
      <w:r>
        <w:rPr>
          <w:sz w:val="24"/>
          <w:szCs w:val="24"/>
        </w:rPr>
        <w:t>of magnitude units</w:t>
      </w:r>
      <w:r w:rsidRPr="00492A10">
        <w:rPr>
          <w:sz w:val="24"/>
          <w:szCs w:val="24"/>
        </w:rPr>
        <w:t xml:space="preserve"> as compared to natural earthquakes because the catalogs are typically smaller. </w:t>
      </w:r>
      <w:r>
        <w:rPr>
          <w:sz w:val="24"/>
          <w:szCs w:val="24"/>
        </w:rPr>
        <w:t>A r</w:t>
      </w:r>
      <w:r w:rsidRPr="00492A10">
        <w:rPr>
          <w:sz w:val="24"/>
          <w:szCs w:val="24"/>
        </w:rPr>
        <w:t xml:space="preserve">elatively higher b-value implies lower </w:t>
      </w:r>
      <w:r>
        <w:rPr>
          <w:sz w:val="24"/>
          <w:szCs w:val="24"/>
        </w:rPr>
        <w:t>distribution</w:t>
      </w:r>
      <w:r w:rsidRPr="00492A10">
        <w:rPr>
          <w:sz w:val="24"/>
          <w:szCs w:val="24"/>
        </w:rPr>
        <w:t xml:space="preserve"> of larger events, </w:t>
      </w:r>
      <w:r>
        <w:rPr>
          <w:sz w:val="24"/>
          <w:szCs w:val="24"/>
        </w:rPr>
        <w:t xml:space="preserve">which has been interpreted as being consistent with a conceptual model of </w:t>
      </w:r>
      <w:r w:rsidRPr="00492A10">
        <w:rPr>
          <w:sz w:val="24"/>
          <w:szCs w:val="24"/>
        </w:rPr>
        <w:t>relatively lower fault strength (Schorlemmer et al., 2005).</w:t>
      </w:r>
      <w:r w:rsidRPr="00CE045D">
        <w:rPr>
          <w:sz w:val="24"/>
          <w:szCs w:val="24"/>
        </w:rPr>
        <w:t xml:space="preserve"> </w:t>
      </w:r>
      <w:r>
        <w:rPr>
          <w:sz w:val="24"/>
          <w:szCs w:val="24"/>
        </w:rPr>
        <w:t>In such a model, asperities remain small.</w:t>
      </w:r>
      <w:r w:rsidRPr="00492A10">
        <w:rPr>
          <w:sz w:val="24"/>
          <w:szCs w:val="24"/>
        </w:rPr>
        <w:t xml:space="preserve"> On the other hand, event number and magnitude may depend on the injection pressure and, within the </w:t>
      </w:r>
      <w:proofErr w:type="spellStart"/>
      <w:r>
        <w:rPr>
          <w:sz w:val="24"/>
          <w:szCs w:val="24"/>
        </w:rPr>
        <w:t>s</w:t>
      </w:r>
      <w:r w:rsidRPr="00492A10">
        <w:rPr>
          <w:sz w:val="24"/>
          <w:szCs w:val="24"/>
        </w:rPr>
        <w:t>eismogenic</w:t>
      </w:r>
      <w:proofErr w:type="spellEnd"/>
      <w:r w:rsidRPr="00492A10">
        <w:rPr>
          <w:sz w:val="24"/>
          <w:szCs w:val="24"/>
        </w:rPr>
        <w:t xml:space="preserve"> </w:t>
      </w:r>
      <w:r>
        <w:rPr>
          <w:sz w:val="24"/>
          <w:szCs w:val="24"/>
        </w:rPr>
        <w:t>i</w:t>
      </w:r>
      <w:r w:rsidRPr="00492A10">
        <w:rPr>
          <w:sz w:val="24"/>
          <w:szCs w:val="24"/>
        </w:rPr>
        <w:t xml:space="preserve">ndex model, is proportional </w:t>
      </w:r>
      <w:r>
        <w:rPr>
          <w:sz w:val="24"/>
          <w:szCs w:val="24"/>
        </w:rPr>
        <w:t>to</w:t>
      </w:r>
      <w:r w:rsidRPr="00492A10">
        <w:rPr>
          <w:sz w:val="24"/>
          <w:szCs w:val="24"/>
        </w:rPr>
        <w:t xml:space="preserve"> injection </w:t>
      </w:r>
      <w:r>
        <w:rPr>
          <w:sz w:val="24"/>
          <w:szCs w:val="24"/>
        </w:rPr>
        <w:t>volume</w:t>
      </w:r>
      <w:r w:rsidRPr="00492A10">
        <w:rPr>
          <w:sz w:val="24"/>
          <w:szCs w:val="24"/>
        </w:rPr>
        <w:t xml:space="preserve"> (</w:t>
      </w:r>
      <w:proofErr w:type="spellStart"/>
      <w:r w:rsidRPr="00492A10">
        <w:rPr>
          <w:sz w:val="24"/>
          <w:szCs w:val="24"/>
        </w:rPr>
        <w:t>Dinske</w:t>
      </w:r>
      <w:proofErr w:type="spellEnd"/>
      <w:r w:rsidRPr="00492A10">
        <w:rPr>
          <w:sz w:val="24"/>
          <w:szCs w:val="24"/>
        </w:rPr>
        <w:t xml:space="preserve"> </w:t>
      </w:r>
      <w:r>
        <w:rPr>
          <w:sz w:val="24"/>
          <w:szCs w:val="24"/>
        </w:rPr>
        <w:t>and</w:t>
      </w:r>
      <w:r w:rsidRPr="00492A10">
        <w:rPr>
          <w:sz w:val="24"/>
          <w:szCs w:val="24"/>
        </w:rPr>
        <w:t xml:space="preserve"> Shapiro, 2016; Shapiro et al., 2007, 2010).</w:t>
      </w:r>
    </w:p>
    <w:p w14:paraId="0A882F29" w14:textId="77777777" w:rsidR="004C3823" w:rsidRPr="00492A10" w:rsidRDefault="004C3823" w:rsidP="00C32F8E">
      <w:pPr>
        <w:spacing w:line="480" w:lineRule="auto"/>
        <w:ind w:firstLine="720"/>
        <w:rPr>
          <w:sz w:val="24"/>
          <w:szCs w:val="24"/>
        </w:rPr>
      </w:pPr>
      <w:r w:rsidRPr="00492A10">
        <w:rPr>
          <w:sz w:val="24"/>
          <w:szCs w:val="24"/>
        </w:rPr>
        <w:t xml:space="preserve">The </w:t>
      </w:r>
      <w:proofErr w:type="spellStart"/>
      <w:r w:rsidRPr="00492A10">
        <w:rPr>
          <w:sz w:val="24"/>
          <w:szCs w:val="24"/>
        </w:rPr>
        <w:t>seismogenic</w:t>
      </w:r>
      <w:proofErr w:type="spellEnd"/>
      <w:r w:rsidRPr="00492A10">
        <w:rPr>
          <w:sz w:val="24"/>
          <w:szCs w:val="24"/>
        </w:rPr>
        <w:t xml:space="preserve"> index estimation requires an estimation of</w:t>
      </w:r>
      <w:r>
        <w:rPr>
          <w:sz w:val="24"/>
          <w:szCs w:val="24"/>
        </w:rPr>
        <w:t xml:space="preserve"> the</w:t>
      </w:r>
      <w:r w:rsidRPr="00492A10">
        <w:rPr>
          <w:sz w:val="24"/>
          <w:szCs w:val="24"/>
        </w:rPr>
        <w:t xml:space="preserve"> b-value (</w:t>
      </w:r>
      <w:r w:rsidRPr="00074873">
        <w:rPr>
          <w:b/>
          <w:bCs/>
          <w:sz w:val="24"/>
          <w:szCs w:val="24"/>
        </w:rPr>
        <w:t>equation 2.</w:t>
      </w:r>
      <w:r>
        <w:rPr>
          <w:b/>
          <w:bCs/>
          <w:sz w:val="24"/>
          <w:szCs w:val="24"/>
        </w:rPr>
        <w:t>5</w:t>
      </w:r>
      <w:r w:rsidRPr="00492A10">
        <w:rPr>
          <w:sz w:val="24"/>
          <w:szCs w:val="24"/>
        </w:rPr>
        <w:t>), so uncertainties in</w:t>
      </w:r>
      <w:r>
        <w:rPr>
          <w:sz w:val="24"/>
          <w:szCs w:val="24"/>
        </w:rPr>
        <w:t xml:space="preserve"> the</w:t>
      </w:r>
      <w:r w:rsidRPr="00492A10">
        <w:rPr>
          <w:sz w:val="24"/>
          <w:szCs w:val="24"/>
        </w:rPr>
        <w:t xml:space="preserve"> b-value would influence </w:t>
      </w:r>
      <w:proofErr w:type="spellStart"/>
      <w:r w:rsidRPr="00492A10">
        <w:rPr>
          <w:sz w:val="24"/>
          <w:szCs w:val="24"/>
        </w:rPr>
        <w:t>seismogenic</w:t>
      </w:r>
      <w:proofErr w:type="spellEnd"/>
      <w:r w:rsidRPr="00492A10">
        <w:rPr>
          <w:sz w:val="24"/>
          <w:szCs w:val="24"/>
        </w:rPr>
        <w:t xml:space="preserve"> index estimations. The uncertainties are assessed via</w:t>
      </w:r>
      <w:r>
        <w:rPr>
          <w:sz w:val="24"/>
          <w:szCs w:val="24"/>
        </w:rPr>
        <w:t xml:space="preserve"> the</w:t>
      </w:r>
      <w:r w:rsidRPr="00492A10">
        <w:rPr>
          <w:sz w:val="24"/>
          <w:szCs w:val="24"/>
        </w:rPr>
        <w:t xml:space="preserve"> bootstrap resampling method, and a new Mc is estimated for each resampled dataset. This could mitigate the potential bias due to possible underestimation </w:t>
      </w:r>
      <w:r w:rsidRPr="00492A10">
        <w:rPr>
          <w:sz w:val="24"/>
          <w:szCs w:val="24"/>
        </w:rPr>
        <w:lastRenderedPageBreak/>
        <w:t>of Mc using the MAXC method (</w:t>
      </w:r>
      <w:proofErr w:type="spellStart"/>
      <w:r w:rsidRPr="00492A10">
        <w:rPr>
          <w:sz w:val="24"/>
          <w:szCs w:val="24"/>
        </w:rPr>
        <w:t>Mignan</w:t>
      </w:r>
      <w:proofErr w:type="spellEnd"/>
      <w:r w:rsidRPr="00492A10">
        <w:rPr>
          <w:sz w:val="24"/>
          <w:szCs w:val="24"/>
        </w:rPr>
        <w:t xml:space="preserve"> and Woessner, 2012). </w:t>
      </w:r>
      <w:r>
        <w:rPr>
          <w:sz w:val="24"/>
          <w:szCs w:val="24"/>
        </w:rPr>
        <w:t>S</w:t>
      </w:r>
      <w:r w:rsidRPr="00492A10">
        <w:rPr>
          <w:sz w:val="24"/>
          <w:szCs w:val="24"/>
        </w:rPr>
        <w:t xml:space="preserve">ometimes, the FMD can deviate from </w:t>
      </w:r>
      <w:r>
        <w:rPr>
          <w:sz w:val="24"/>
          <w:szCs w:val="24"/>
        </w:rPr>
        <w:t xml:space="preserve">the </w:t>
      </w:r>
      <w:r w:rsidRPr="00492A10">
        <w:rPr>
          <w:sz w:val="24"/>
          <w:szCs w:val="24"/>
        </w:rPr>
        <w:t xml:space="preserve">GR relationship (Skoumal et al., 2015), especially for earthquake catalogs that consist of small numbers of events. </w:t>
      </w:r>
      <w:r w:rsidRPr="00020BC1">
        <w:rPr>
          <w:b/>
          <w:bCs/>
          <w:sz w:val="24"/>
          <w:szCs w:val="24"/>
        </w:rPr>
        <w:t>Figure 2.7</w:t>
      </w:r>
      <w:r w:rsidRPr="00492A10">
        <w:rPr>
          <w:sz w:val="24"/>
          <w:szCs w:val="24"/>
        </w:rPr>
        <w:t xml:space="preserve"> shows </w:t>
      </w:r>
      <w:r>
        <w:rPr>
          <w:sz w:val="24"/>
          <w:szCs w:val="24"/>
        </w:rPr>
        <w:t xml:space="preserve">the </w:t>
      </w:r>
      <w:r w:rsidRPr="00492A10">
        <w:rPr>
          <w:sz w:val="24"/>
          <w:szCs w:val="24"/>
        </w:rPr>
        <w:t xml:space="preserve">deviation from </w:t>
      </w:r>
      <w:r>
        <w:rPr>
          <w:sz w:val="24"/>
          <w:szCs w:val="24"/>
        </w:rPr>
        <w:t xml:space="preserve">the </w:t>
      </w:r>
      <w:r w:rsidRPr="00492A10">
        <w:rPr>
          <w:sz w:val="24"/>
          <w:szCs w:val="24"/>
        </w:rPr>
        <w:t>GR relationship at larger magnitudes. This leads to some discrepanc</w:t>
      </w:r>
      <w:r>
        <w:rPr>
          <w:sz w:val="24"/>
          <w:szCs w:val="24"/>
        </w:rPr>
        <w:t>ies</w:t>
      </w:r>
      <w:r w:rsidRPr="00492A10">
        <w:rPr>
          <w:sz w:val="24"/>
          <w:szCs w:val="24"/>
        </w:rPr>
        <w:t xml:space="preserve"> between different method</w:t>
      </w:r>
      <w:r>
        <w:rPr>
          <w:sz w:val="24"/>
          <w:szCs w:val="24"/>
        </w:rPr>
        <w:t>s</w:t>
      </w:r>
      <w:r w:rsidRPr="00492A10">
        <w:rPr>
          <w:sz w:val="24"/>
          <w:szCs w:val="24"/>
        </w:rPr>
        <w:t>, for example, LST tends to produce steep slopes that fit larger magnitude bins better. However, LST tends to have larger uncertainties using</w:t>
      </w:r>
      <w:r>
        <w:rPr>
          <w:sz w:val="24"/>
          <w:szCs w:val="24"/>
        </w:rPr>
        <w:t xml:space="preserve"> the</w:t>
      </w:r>
      <w:r w:rsidRPr="00492A10">
        <w:rPr>
          <w:sz w:val="24"/>
          <w:szCs w:val="24"/>
        </w:rPr>
        <w:t xml:space="preserve"> bootstrap resampling method, and the probability density function features bi-modal distribution for treatment B (</w:t>
      </w:r>
      <w:r w:rsidRPr="00020BC1">
        <w:rPr>
          <w:b/>
          <w:bCs/>
          <w:sz w:val="24"/>
          <w:szCs w:val="24"/>
        </w:rPr>
        <w:t>Figure S</w:t>
      </w:r>
      <w:r>
        <w:rPr>
          <w:b/>
          <w:bCs/>
          <w:sz w:val="24"/>
          <w:szCs w:val="24"/>
        </w:rPr>
        <w:t>2.</w:t>
      </w:r>
      <w:r w:rsidRPr="00020BC1">
        <w:rPr>
          <w:b/>
          <w:bCs/>
          <w:sz w:val="24"/>
          <w:szCs w:val="24"/>
        </w:rPr>
        <w:t>1</w:t>
      </w:r>
      <w:r w:rsidRPr="00492A10">
        <w:rPr>
          <w:sz w:val="24"/>
          <w:szCs w:val="24"/>
        </w:rPr>
        <w:t xml:space="preserve"> in </w:t>
      </w:r>
      <w:r>
        <w:rPr>
          <w:sz w:val="24"/>
          <w:szCs w:val="24"/>
        </w:rPr>
        <w:t xml:space="preserve">the </w:t>
      </w:r>
      <w:r w:rsidRPr="00492A10">
        <w:rPr>
          <w:sz w:val="24"/>
          <w:szCs w:val="24"/>
        </w:rPr>
        <w:t xml:space="preserve">supplemental material). Despite the larger uncertainty, LST shows some consistent relative distributions with MLE estimates: treatment E has </w:t>
      </w:r>
      <w:r>
        <w:rPr>
          <w:sz w:val="24"/>
          <w:szCs w:val="24"/>
        </w:rPr>
        <w:t xml:space="preserve">a </w:t>
      </w:r>
      <w:r w:rsidRPr="00492A10">
        <w:rPr>
          <w:sz w:val="24"/>
          <w:szCs w:val="24"/>
        </w:rPr>
        <w:t>lower b-value</w:t>
      </w:r>
      <w:r>
        <w:rPr>
          <w:sz w:val="24"/>
          <w:szCs w:val="24"/>
        </w:rPr>
        <w:t xml:space="preserve"> and</w:t>
      </w:r>
      <w:r w:rsidRPr="00492A10">
        <w:rPr>
          <w:sz w:val="24"/>
          <w:szCs w:val="24"/>
        </w:rPr>
        <w:t xml:space="preserve"> higher </w:t>
      </w:r>
      <w:proofErr w:type="spellStart"/>
      <w:r w:rsidRPr="00492A10">
        <w:rPr>
          <w:sz w:val="24"/>
          <w:szCs w:val="24"/>
        </w:rPr>
        <w:t>seismogenic</w:t>
      </w:r>
      <w:proofErr w:type="spellEnd"/>
      <w:r w:rsidRPr="00492A10">
        <w:rPr>
          <w:sz w:val="24"/>
          <w:szCs w:val="24"/>
        </w:rPr>
        <w:t xml:space="preserve"> index than “others” (non C1-4) from treatment B, followed by treatment A and C. The relative distribution between the whole treatment B (and C1-4) and treatment E shows some inconsistency due to the bi-modal distribution of b-values from the bootstrap resampling, suggesting </w:t>
      </w:r>
      <w:r>
        <w:rPr>
          <w:sz w:val="24"/>
          <w:szCs w:val="24"/>
        </w:rPr>
        <w:t xml:space="preserve">a </w:t>
      </w:r>
      <w:r w:rsidRPr="00492A10">
        <w:rPr>
          <w:sz w:val="24"/>
          <w:szCs w:val="24"/>
        </w:rPr>
        <w:t>possibl</w:t>
      </w:r>
      <w:r>
        <w:rPr>
          <w:sz w:val="24"/>
          <w:szCs w:val="24"/>
        </w:rPr>
        <w:t>e</w:t>
      </w:r>
      <w:r w:rsidRPr="00492A10">
        <w:rPr>
          <w:sz w:val="24"/>
          <w:szCs w:val="24"/>
        </w:rPr>
        <w:t xml:space="preserve"> instability with the least-square approach, or some differences in </w:t>
      </w:r>
      <w:r>
        <w:rPr>
          <w:sz w:val="24"/>
          <w:szCs w:val="24"/>
        </w:rPr>
        <w:t xml:space="preserve">the </w:t>
      </w:r>
      <w:proofErr w:type="spellStart"/>
      <w:r w:rsidRPr="00492A10">
        <w:rPr>
          <w:sz w:val="24"/>
          <w:szCs w:val="24"/>
        </w:rPr>
        <w:t>seismogenic</w:t>
      </w:r>
      <w:proofErr w:type="spellEnd"/>
      <w:r w:rsidRPr="00492A10">
        <w:rPr>
          <w:sz w:val="24"/>
          <w:szCs w:val="24"/>
        </w:rPr>
        <w:t xml:space="preserve"> potential of different sets of fractures during treatment B.</w:t>
      </w:r>
    </w:p>
    <w:p w14:paraId="2585E53A" w14:textId="77777777" w:rsidR="004C3823" w:rsidRPr="00492A10" w:rsidRDefault="004C3823" w:rsidP="00C32F8E">
      <w:pPr>
        <w:spacing w:line="480" w:lineRule="auto"/>
        <w:rPr>
          <w:b/>
          <w:bCs/>
          <w:sz w:val="24"/>
          <w:szCs w:val="24"/>
        </w:rPr>
      </w:pPr>
      <w:r>
        <w:rPr>
          <w:b/>
          <w:bCs/>
          <w:sz w:val="24"/>
          <w:szCs w:val="24"/>
        </w:rPr>
        <w:t>2.5.3</w:t>
      </w:r>
      <w:r w:rsidRPr="00492A10">
        <w:rPr>
          <w:b/>
          <w:bCs/>
          <w:sz w:val="24"/>
          <w:szCs w:val="24"/>
        </w:rPr>
        <w:t xml:space="preserve"> Difference in </w:t>
      </w:r>
      <w:r>
        <w:rPr>
          <w:b/>
          <w:bCs/>
          <w:sz w:val="24"/>
          <w:szCs w:val="24"/>
        </w:rPr>
        <w:t xml:space="preserve">the </w:t>
      </w:r>
      <w:proofErr w:type="spellStart"/>
      <w:r w:rsidRPr="00492A10">
        <w:rPr>
          <w:b/>
          <w:bCs/>
          <w:sz w:val="24"/>
          <w:szCs w:val="24"/>
        </w:rPr>
        <w:t>seismogenic</w:t>
      </w:r>
      <w:proofErr w:type="spellEnd"/>
      <w:r w:rsidRPr="00492A10">
        <w:rPr>
          <w:b/>
          <w:bCs/>
          <w:sz w:val="24"/>
          <w:szCs w:val="24"/>
        </w:rPr>
        <w:t xml:space="preserve"> potential for different sets of fractures</w:t>
      </w:r>
    </w:p>
    <w:p w14:paraId="1CB7B7CA" w14:textId="77777777" w:rsidR="004C3823" w:rsidRPr="00492A10" w:rsidRDefault="004C3823" w:rsidP="00C32F8E">
      <w:pPr>
        <w:spacing w:line="480" w:lineRule="auto"/>
        <w:ind w:firstLine="720"/>
        <w:rPr>
          <w:sz w:val="24"/>
          <w:szCs w:val="24"/>
        </w:rPr>
      </w:pPr>
      <w:r w:rsidRPr="00492A10">
        <w:rPr>
          <w:sz w:val="24"/>
          <w:szCs w:val="24"/>
        </w:rPr>
        <w:t xml:space="preserve">The natural fracture system in the Cotton Valley formation is dominated by fractures with similar orientations to </w:t>
      </w:r>
      <w:proofErr w:type="spellStart"/>
      <w:r w:rsidRPr="00492A10">
        <w:rPr>
          <w:sz w:val="24"/>
          <w:szCs w:val="24"/>
        </w:rPr>
        <w:t>SHmax</w:t>
      </w:r>
      <w:proofErr w:type="spellEnd"/>
      <w:r w:rsidRPr="00492A10">
        <w:rPr>
          <w:sz w:val="24"/>
          <w:szCs w:val="24"/>
        </w:rPr>
        <w:t xml:space="preserve"> (Rutledge </w:t>
      </w:r>
      <w:r>
        <w:rPr>
          <w:sz w:val="24"/>
          <w:szCs w:val="24"/>
        </w:rPr>
        <w:t>and</w:t>
      </w:r>
      <w:r w:rsidRPr="00492A10">
        <w:rPr>
          <w:sz w:val="24"/>
          <w:szCs w:val="24"/>
        </w:rPr>
        <w:t xml:space="preserve"> Phillips, 2003)</w:t>
      </w:r>
      <w:r>
        <w:rPr>
          <w:sz w:val="24"/>
          <w:szCs w:val="24"/>
        </w:rPr>
        <w:t>. As suggested for other areas</w:t>
      </w:r>
      <w:r w:rsidRPr="00492A10">
        <w:rPr>
          <w:sz w:val="24"/>
          <w:szCs w:val="24"/>
        </w:rPr>
        <w:t>, the shear failure microseismic events represent</w:t>
      </w:r>
      <w:r>
        <w:rPr>
          <w:sz w:val="24"/>
          <w:szCs w:val="24"/>
        </w:rPr>
        <w:t xml:space="preserve"> an</w:t>
      </w:r>
      <w:r w:rsidRPr="00492A10">
        <w:rPr>
          <w:sz w:val="24"/>
          <w:szCs w:val="24"/>
        </w:rPr>
        <w:t xml:space="preserve"> interaction between hydraulic fracture and natural fracture system (Maxwell </w:t>
      </w:r>
      <w:r>
        <w:rPr>
          <w:sz w:val="24"/>
          <w:szCs w:val="24"/>
        </w:rPr>
        <w:t>and</w:t>
      </w:r>
      <w:r w:rsidRPr="00492A10">
        <w:rPr>
          <w:sz w:val="24"/>
          <w:szCs w:val="24"/>
        </w:rPr>
        <w:t xml:space="preserve"> Cipolla, 2011). Treatments A and C involve fractures of similar orientation to </w:t>
      </w:r>
      <w:proofErr w:type="spellStart"/>
      <w:r w:rsidRPr="00492A10">
        <w:rPr>
          <w:sz w:val="24"/>
          <w:szCs w:val="24"/>
        </w:rPr>
        <w:t>S</w:t>
      </w:r>
      <w:r>
        <w:rPr>
          <w:sz w:val="24"/>
          <w:szCs w:val="24"/>
        </w:rPr>
        <w:t>H</w:t>
      </w:r>
      <w:r w:rsidRPr="00492A10">
        <w:rPr>
          <w:sz w:val="24"/>
          <w:szCs w:val="24"/>
        </w:rPr>
        <w:t>max</w:t>
      </w:r>
      <w:proofErr w:type="spellEnd"/>
      <w:r w:rsidRPr="00492A10">
        <w:rPr>
          <w:sz w:val="24"/>
          <w:szCs w:val="24"/>
        </w:rPr>
        <w:t xml:space="preserve"> at shallower depth, while treatments B and E involved fractures at deeper depth with some anomalous fractures that are more favorably oriented relative to the </w:t>
      </w:r>
      <w:r w:rsidRPr="00492A10">
        <w:rPr>
          <w:sz w:val="24"/>
          <w:szCs w:val="24"/>
        </w:rPr>
        <w:lastRenderedPageBreak/>
        <w:t>stress field (Rutledge et al., 2004) (</w:t>
      </w:r>
      <w:r w:rsidRPr="00020BC1">
        <w:rPr>
          <w:b/>
          <w:bCs/>
          <w:sz w:val="24"/>
          <w:szCs w:val="24"/>
        </w:rPr>
        <w:t>Figures 2.2</w:t>
      </w:r>
      <w:r w:rsidRPr="00492A10">
        <w:rPr>
          <w:sz w:val="24"/>
          <w:szCs w:val="24"/>
        </w:rPr>
        <w:t>). Rutledge et al. (2004) interpreted those anomalous clusters as fault jogs or bends that represent areas of stress concentration.</w:t>
      </w:r>
    </w:p>
    <w:p w14:paraId="4F12926E" w14:textId="77777777" w:rsidR="004C3823" w:rsidRPr="00492A10" w:rsidRDefault="004C3823" w:rsidP="00C32F8E">
      <w:pPr>
        <w:spacing w:line="480" w:lineRule="auto"/>
        <w:ind w:firstLine="720"/>
        <w:rPr>
          <w:sz w:val="24"/>
          <w:szCs w:val="24"/>
        </w:rPr>
      </w:pPr>
      <w:r w:rsidRPr="00492A10">
        <w:rPr>
          <w:sz w:val="24"/>
          <w:szCs w:val="24"/>
        </w:rPr>
        <w:t xml:space="preserve">During treatment E, over 80% of events occurred along the fracture that is significantly deviating from </w:t>
      </w:r>
      <w:proofErr w:type="spellStart"/>
      <w:r w:rsidRPr="00492A10">
        <w:rPr>
          <w:sz w:val="24"/>
          <w:szCs w:val="24"/>
        </w:rPr>
        <w:t>S</w:t>
      </w:r>
      <w:r>
        <w:rPr>
          <w:sz w:val="24"/>
          <w:szCs w:val="24"/>
        </w:rPr>
        <w:t>H</w:t>
      </w:r>
      <w:r w:rsidRPr="00492A10">
        <w:rPr>
          <w:sz w:val="24"/>
          <w:szCs w:val="24"/>
        </w:rPr>
        <w:t>max</w:t>
      </w:r>
      <w:proofErr w:type="spellEnd"/>
      <w:r w:rsidRPr="00492A10">
        <w:rPr>
          <w:sz w:val="24"/>
          <w:szCs w:val="24"/>
        </w:rPr>
        <w:t xml:space="preserve">, therefore, we do not separately analyze different event groups in treatment E. During treatment B, about 40% of events occurred within clusters 1 and 4 that strongly deviate from </w:t>
      </w:r>
      <w:proofErr w:type="spellStart"/>
      <w:r w:rsidRPr="00492A10">
        <w:rPr>
          <w:sz w:val="24"/>
          <w:szCs w:val="24"/>
        </w:rPr>
        <w:t>S</w:t>
      </w:r>
      <w:r>
        <w:rPr>
          <w:sz w:val="24"/>
          <w:szCs w:val="24"/>
        </w:rPr>
        <w:t>H</w:t>
      </w:r>
      <w:r w:rsidRPr="00492A10">
        <w:rPr>
          <w:sz w:val="24"/>
          <w:szCs w:val="24"/>
        </w:rPr>
        <w:t>max</w:t>
      </w:r>
      <w:proofErr w:type="spellEnd"/>
      <w:r w:rsidRPr="00492A10">
        <w:rPr>
          <w:sz w:val="24"/>
          <w:szCs w:val="24"/>
        </w:rPr>
        <w:t>, so we separately analyzed different event groups (</w:t>
      </w:r>
      <w:r w:rsidRPr="00020BC1">
        <w:rPr>
          <w:b/>
          <w:bCs/>
          <w:sz w:val="24"/>
          <w:szCs w:val="24"/>
        </w:rPr>
        <w:t>Figure 2.8</w:t>
      </w:r>
      <w:r w:rsidRPr="00492A10">
        <w:rPr>
          <w:sz w:val="24"/>
          <w:szCs w:val="24"/>
        </w:rPr>
        <w:t xml:space="preserve"> and </w:t>
      </w:r>
      <w:r w:rsidRPr="00020BC1">
        <w:rPr>
          <w:b/>
          <w:bCs/>
          <w:sz w:val="24"/>
          <w:szCs w:val="24"/>
        </w:rPr>
        <w:t>Figure S</w:t>
      </w:r>
      <w:r>
        <w:rPr>
          <w:b/>
          <w:bCs/>
          <w:sz w:val="24"/>
          <w:szCs w:val="24"/>
        </w:rPr>
        <w:t>2.</w:t>
      </w:r>
      <w:r w:rsidRPr="00020BC1">
        <w:rPr>
          <w:b/>
          <w:bCs/>
          <w:sz w:val="24"/>
          <w:szCs w:val="24"/>
        </w:rPr>
        <w:t>1</w:t>
      </w:r>
      <w:r w:rsidRPr="00492A10">
        <w:rPr>
          <w:sz w:val="24"/>
          <w:szCs w:val="24"/>
        </w:rPr>
        <w:t xml:space="preserve">). The b-value results from MLE show that C1-4 during treatment B behave more similarly to treatment E, while the other events occurring fractures aligned with </w:t>
      </w:r>
      <w:proofErr w:type="spellStart"/>
      <w:r w:rsidRPr="00492A10">
        <w:rPr>
          <w:sz w:val="24"/>
          <w:szCs w:val="24"/>
        </w:rPr>
        <w:t>Shmax</w:t>
      </w:r>
      <w:proofErr w:type="spellEnd"/>
      <w:r w:rsidRPr="00492A10">
        <w:rPr>
          <w:sz w:val="24"/>
          <w:szCs w:val="24"/>
        </w:rPr>
        <w:t xml:space="preserve"> behave more similarly to treatment A (</w:t>
      </w:r>
      <w:r w:rsidRPr="00020BC1">
        <w:rPr>
          <w:b/>
          <w:bCs/>
          <w:sz w:val="24"/>
          <w:szCs w:val="24"/>
        </w:rPr>
        <w:t>Figure 2.8</w:t>
      </w:r>
      <w:r w:rsidRPr="00492A10">
        <w:rPr>
          <w:sz w:val="24"/>
          <w:szCs w:val="24"/>
        </w:rPr>
        <w:t>).</w:t>
      </w:r>
    </w:p>
    <w:p w14:paraId="16885BD5" w14:textId="77777777" w:rsidR="004C3823" w:rsidRPr="00492A10" w:rsidRDefault="004C3823" w:rsidP="00C32F8E">
      <w:pPr>
        <w:spacing w:line="480" w:lineRule="auto"/>
        <w:ind w:firstLine="720"/>
        <w:rPr>
          <w:sz w:val="24"/>
          <w:szCs w:val="24"/>
        </w:rPr>
      </w:pPr>
      <w:r w:rsidRPr="00492A10">
        <w:rPr>
          <w:sz w:val="24"/>
          <w:szCs w:val="24"/>
        </w:rPr>
        <w:t xml:space="preserve">Based on the relative angle between the orientation of different fracture sets and the </w:t>
      </w:r>
      <w:proofErr w:type="spellStart"/>
      <w:r w:rsidRPr="00492A10">
        <w:rPr>
          <w:sz w:val="24"/>
          <w:szCs w:val="24"/>
        </w:rPr>
        <w:t>SHmax</w:t>
      </w:r>
      <w:proofErr w:type="spellEnd"/>
      <w:r w:rsidRPr="00492A10">
        <w:rPr>
          <w:sz w:val="24"/>
          <w:szCs w:val="24"/>
        </w:rPr>
        <w:t xml:space="preserve">, </w:t>
      </w:r>
      <w:r w:rsidRPr="00020BC1">
        <w:rPr>
          <w:b/>
          <w:bCs/>
          <w:sz w:val="24"/>
          <w:szCs w:val="24"/>
        </w:rPr>
        <w:t>Figure 2.9</w:t>
      </w:r>
      <w:r w:rsidRPr="00492A10">
        <w:rPr>
          <w:sz w:val="24"/>
          <w:szCs w:val="24"/>
        </w:rPr>
        <w:t xml:space="preserve"> displays these fracture sets on a schematic Mohr diagram and a Coulomb failure envelope with </w:t>
      </w:r>
      <w:r>
        <w:rPr>
          <w:sz w:val="24"/>
          <w:szCs w:val="24"/>
        </w:rPr>
        <w:t xml:space="preserve">a </w:t>
      </w:r>
      <w:r w:rsidRPr="00492A10">
        <w:rPr>
          <w:sz w:val="24"/>
          <w:szCs w:val="24"/>
        </w:rPr>
        <w:t xml:space="preserve">friction coefficient of 0.75. </w:t>
      </w:r>
      <w:r>
        <w:rPr>
          <w:sz w:val="24"/>
          <w:szCs w:val="24"/>
        </w:rPr>
        <w:t>The</w:t>
      </w:r>
      <w:r w:rsidRPr="00492A10">
        <w:rPr>
          <w:sz w:val="24"/>
          <w:szCs w:val="24"/>
        </w:rPr>
        <w:t xml:space="preserve"> largest cluster in treatment E and C1-4 in treatment B are more optimally oriented than the other fractures. The evolution of cumulative seismic moment shows that the seismic moment release during treatment B is mainly released during C1-4 as exhibited in </w:t>
      </w:r>
      <w:r w:rsidRPr="00020BC1">
        <w:rPr>
          <w:b/>
          <w:bCs/>
          <w:sz w:val="24"/>
          <w:szCs w:val="24"/>
        </w:rPr>
        <w:t>Figure 2.10</w:t>
      </w:r>
      <w:r w:rsidRPr="00492A10">
        <w:rPr>
          <w:sz w:val="24"/>
          <w:szCs w:val="24"/>
        </w:rPr>
        <w:t xml:space="preserve">. The latter part of C1-4 and treatment E have much higher moment release per event than other treatments or event groups. Thus, the improved statistical measurements using MLE with calibrated magnitude are consistent with </w:t>
      </w:r>
      <w:r>
        <w:rPr>
          <w:sz w:val="24"/>
          <w:szCs w:val="24"/>
        </w:rPr>
        <w:t xml:space="preserve">the </w:t>
      </w:r>
      <w:proofErr w:type="spellStart"/>
      <w:r w:rsidRPr="00492A10">
        <w:rPr>
          <w:sz w:val="24"/>
          <w:szCs w:val="24"/>
        </w:rPr>
        <w:t>geomechanical</w:t>
      </w:r>
      <w:proofErr w:type="spellEnd"/>
      <w:r w:rsidRPr="00492A10">
        <w:rPr>
          <w:sz w:val="24"/>
          <w:szCs w:val="24"/>
        </w:rPr>
        <w:t xml:space="preserve"> properties of different sets of fractures and agree with observed seismic moment release history. These observations are consistent with larger regional scale</w:t>
      </w:r>
      <w:r>
        <w:rPr>
          <w:sz w:val="24"/>
          <w:szCs w:val="24"/>
        </w:rPr>
        <w:t>-</w:t>
      </w:r>
      <w:r w:rsidRPr="00492A10">
        <w:rPr>
          <w:sz w:val="24"/>
          <w:szCs w:val="24"/>
        </w:rPr>
        <w:t>induced seismicity observations in Oklahoma related to wastewater disposal. Qin et al. (2019) found th</w:t>
      </w:r>
      <w:r>
        <w:rPr>
          <w:sz w:val="24"/>
          <w:szCs w:val="24"/>
        </w:rPr>
        <w:t>at</w:t>
      </w:r>
      <w:r w:rsidRPr="00492A10">
        <w:rPr>
          <w:sz w:val="24"/>
          <w:szCs w:val="24"/>
        </w:rPr>
        <w:t xml:space="preserve"> larger magnitude events in Oklahoma mostly occur along optimally orientated faults, and that non-optimally oriented faults with lower shear stress mostly occur within spatial areas of</w:t>
      </w:r>
      <w:r>
        <w:rPr>
          <w:sz w:val="24"/>
          <w:szCs w:val="24"/>
        </w:rPr>
        <w:t xml:space="preserve"> the</w:t>
      </w:r>
      <w:r w:rsidRPr="00492A10">
        <w:rPr>
          <w:sz w:val="24"/>
          <w:szCs w:val="24"/>
        </w:rPr>
        <w:t xml:space="preserve"> </w:t>
      </w:r>
      <w:r w:rsidRPr="00492A10">
        <w:rPr>
          <w:sz w:val="24"/>
          <w:szCs w:val="24"/>
        </w:rPr>
        <w:lastRenderedPageBreak/>
        <w:t xml:space="preserve">highest injection volume of wastewater. The consistency between large-scale observations and local fracture network suggests </w:t>
      </w:r>
      <w:r>
        <w:rPr>
          <w:sz w:val="24"/>
          <w:szCs w:val="24"/>
        </w:rPr>
        <w:t xml:space="preserve">self-similarity, in that </w:t>
      </w:r>
      <w:r w:rsidRPr="00492A10">
        <w:rPr>
          <w:sz w:val="24"/>
          <w:szCs w:val="24"/>
        </w:rPr>
        <w:t>similar physical process</w:t>
      </w:r>
      <w:r>
        <w:rPr>
          <w:sz w:val="24"/>
          <w:szCs w:val="24"/>
        </w:rPr>
        <w:t>es</w:t>
      </w:r>
      <w:r w:rsidRPr="00492A10">
        <w:rPr>
          <w:sz w:val="24"/>
          <w:szCs w:val="24"/>
        </w:rPr>
        <w:t xml:space="preserve"> control the </w:t>
      </w:r>
      <w:proofErr w:type="spellStart"/>
      <w:r w:rsidRPr="00492A10">
        <w:rPr>
          <w:sz w:val="24"/>
          <w:szCs w:val="24"/>
        </w:rPr>
        <w:t>seismogenic</w:t>
      </w:r>
      <w:proofErr w:type="spellEnd"/>
      <w:r w:rsidRPr="00492A10">
        <w:rPr>
          <w:sz w:val="24"/>
          <w:szCs w:val="24"/>
        </w:rPr>
        <w:t xml:space="preserve"> processes at</w:t>
      </w:r>
      <w:r>
        <w:rPr>
          <w:sz w:val="24"/>
          <w:szCs w:val="24"/>
        </w:rPr>
        <w:t xml:space="preserve"> vastly</w:t>
      </w:r>
      <w:r w:rsidRPr="00492A10">
        <w:rPr>
          <w:sz w:val="24"/>
          <w:szCs w:val="24"/>
        </w:rPr>
        <w:t xml:space="preserve"> different spatial scales.</w:t>
      </w:r>
    </w:p>
    <w:p w14:paraId="0837B401" w14:textId="77777777" w:rsidR="004C3823" w:rsidRPr="00492A10" w:rsidRDefault="004C3823" w:rsidP="00C32F8E">
      <w:pPr>
        <w:spacing w:line="480" w:lineRule="auto"/>
        <w:ind w:firstLine="720"/>
        <w:rPr>
          <w:sz w:val="24"/>
          <w:szCs w:val="24"/>
        </w:rPr>
      </w:pPr>
      <w:r w:rsidRPr="00492A10">
        <w:rPr>
          <w:sz w:val="24"/>
          <w:szCs w:val="24"/>
        </w:rPr>
        <w:t>In addition to fracture orientations, depth may play a role in affecting different statistics for different fracture sets. Clusters 1-4 during treatment B and treatment E are located at relatively deeper depth</w:t>
      </w:r>
      <w:r>
        <w:rPr>
          <w:sz w:val="24"/>
          <w:szCs w:val="24"/>
        </w:rPr>
        <w:t>s. This observation is generally</w:t>
      </w:r>
      <w:r w:rsidRPr="00492A10">
        <w:rPr>
          <w:sz w:val="24"/>
          <w:szCs w:val="24"/>
        </w:rPr>
        <w:t xml:space="preserve"> in agreement with the decrease in </w:t>
      </w:r>
      <w:r>
        <w:rPr>
          <w:sz w:val="24"/>
          <w:szCs w:val="24"/>
        </w:rPr>
        <w:t xml:space="preserve">the </w:t>
      </w:r>
      <w:r w:rsidRPr="00492A10">
        <w:rPr>
          <w:sz w:val="24"/>
          <w:szCs w:val="24"/>
        </w:rPr>
        <w:t>b-value with depth observed in Gerstenberger et al. (2001), likely related to increased stress with deeper depth. It may be possible the fracture orientation is depth related. However, Seeburger and Zoback (1982) examined 10 wells drilled in granitic rock from 3 different locations in North America and showed little depth dependence with fracture orientation in well fracture analysis.</w:t>
      </w:r>
    </w:p>
    <w:p w14:paraId="5C0131A0" w14:textId="77777777" w:rsidR="004C3823" w:rsidRPr="00D927FF" w:rsidRDefault="004C3823" w:rsidP="00C32F8E">
      <w:pPr>
        <w:spacing w:line="480" w:lineRule="auto"/>
        <w:rPr>
          <w:b/>
          <w:bCs/>
          <w:sz w:val="24"/>
          <w:szCs w:val="24"/>
        </w:rPr>
      </w:pPr>
      <w:r>
        <w:rPr>
          <w:b/>
          <w:bCs/>
          <w:sz w:val="24"/>
          <w:szCs w:val="24"/>
        </w:rPr>
        <w:t>2.6</w:t>
      </w:r>
      <w:r w:rsidRPr="00492A10">
        <w:rPr>
          <w:b/>
          <w:bCs/>
          <w:sz w:val="24"/>
          <w:szCs w:val="24"/>
        </w:rPr>
        <w:t xml:space="preserve"> Conclusion</w:t>
      </w:r>
    </w:p>
    <w:p w14:paraId="34D9A7DC" w14:textId="77777777" w:rsidR="004C3823" w:rsidRPr="00492A10" w:rsidRDefault="004C3823" w:rsidP="00C32F8E">
      <w:pPr>
        <w:spacing w:line="480" w:lineRule="auto"/>
        <w:ind w:firstLine="720"/>
        <w:rPr>
          <w:sz w:val="24"/>
          <w:szCs w:val="24"/>
        </w:rPr>
      </w:pPr>
      <w:r w:rsidRPr="00492A10">
        <w:rPr>
          <w:sz w:val="24"/>
          <w:szCs w:val="24"/>
        </w:rPr>
        <w:t xml:space="preserve">We propose an addition to the statistical analysis workflow of microseismic events by incorporating a magnitude calibration method based on waveform cross-correlation. Using the available initial catalog magnitudes and magnitude calibration method, we obtain new magnitudes from microseismic events during four fracture stages. The </w:t>
      </w:r>
      <w:r>
        <w:rPr>
          <w:sz w:val="24"/>
          <w:szCs w:val="24"/>
        </w:rPr>
        <w:t>observed improvement in</w:t>
      </w:r>
      <w:r w:rsidRPr="00492A10">
        <w:rPr>
          <w:sz w:val="24"/>
          <w:szCs w:val="24"/>
        </w:rPr>
        <w:t xml:space="preserve"> magnitude difference and amplitude ratio</w:t>
      </w:r>
      <w:r>
        <w:rPr>
          <w:sz w:val="24"/>
          <w:szCs w:val="24"/>
        </w:rPr>
        <w:t>s after calibration</w:t>
      </w:r>
      <w:r w:rsidRPr="00492A10">
        <w:rPr>
          <w:sz w:val="24"/>
          <w:szCs w:val="24"/>
        </w:rPr>
        <w:t xml:space="preserve"> </w:t>
      </w:r>
      <w:r>
        <w:rPr>
          <w:sz w:val="24"/>
          <w:szCs w:val="24"/>
        </w:rPr>
        <w:t>suggests</w:t>
      </w:r>
      <w:r w:rsidRPr="00492A10">
        <w:rPr>
          <w:sz w:val="24"/>
          <w:szCs w:val="24"/>
        </w:rPr>
        <w:t xml:space="preserve"> the new magnitude</w:t>
      </w:r>
      <w:r>
        <w:rPr>
          <w:sz w:val="24"/>
          <w:szCs w:val="24"/>
        </w:rPr>
        <w:t>s</w:t>
      </w:r>
      <w:r w:rsidRPr="00492A10">
        <w:rPr>
          <w:sz w:val="24"/>
          <w:szCs w:val="24"/>
        </w:rPr>
        <w:t xml:space="preserve"> are more accurate. With the new magnitude</w:t>
      </w:r>
      <w:r>
        <w:rPr>
          <w:sz w:val="24"/>
          <w:szCs w:val="24"/>
        </w:rPr>
        <w:t>s</w:t>
      </w:r>
      <w:r w:rsidRPr="00492A10">
        <w:rPr>
          <w:sz w:val="24"/>
          <w:szCs w:val="24"/>
        </w:rPr>
        <w:t xml:space="preserve">, systematic differences </w:t>
      </w:r>
      <w:r>
        <w:rPr>
          <w:sz w:val="24"/>
          <w:szCs w:val="24"/>
        </w:rPr>
        <w:t>in</w:t>
      </w:r>
      <w:r w:rsidRPr="00492A10">
        <w:rPr>
          <w:sz w:val="24"/>
          <w:szCs w:val="24"/>
        </w:rPr>
        <w:t xml:space="preserve"> </w:t>
      </w:r>
      <w:r>
        <w:rPr>
          <w:sz w:val="24"/>
          <w:szCs w:val="24"/>
        </w:rPr>
        <w:t xml:space="preserve">the </w:t>
      </w:r>
      <w:r w:rsidRPr="00492A10">
        <w:rPr>
          <w:sz w:val="24"/>
          <w:szCs w:val="24"/>
        </w:rPr>
        <w:t xml:space="preserve">b-value and </w:t>
      </w:r>
      <w:proofErr w:type="spellStart"/>
      <w:r w:rsidRPr="00492A10">
        <w:rPr>
          <w:sz w:val="24"/>
          <w:szCs w:val="24"/>
        </w:rPr>
        <w:t>seismogenic</w:t>
      </w:r>
      <w:proofErr w:type="spellEnd"/>
      <w:r w:rsidRPr="00492A10">
        <w:rPr>
          <w:sz w:val="24"/>
          <w:szCs w:val="24"/>
        </w:rPr>
        <w:t xml:space="preserve"> index between different fracture sets are revealed. Clusters 1 and 4 during treatment B and treatment E are more optimally oriented based on </w:t>
      </w:r>
      <w:r>
        <w:rPr>
          <w:sz w:val="24"/>
          <w:szCs w:val="24"/>
        </w:rPr>
        <w:t xml:space="preserve">the </w:t>
      </w:r>
      <w:r w:rsidRPr="00492A10">
        <w:rPr>
          <w:sz w:val="24"/>
          <w:szCs w:val="24"/>
        </w:rPr>
        <w:t xml:space="preserve">schematic Mohr diagram, which is consistent with higher </w:t>
      </w:r>
      <w:proofErr w:type="spellStart"/>
      <w:r w:rsidRPr="00492A10">
        <w:rPr>
          <w:sz w:val="24"/>
          <w:szCs w:val="24"/>
        </w:rPr>
        <w:t>seismogenic</w:t>
      </w:r>
      <w:proofErr w:type="spellEnd"/>
      <w:r w:rsidRPr="00492A10">
        <w:rPr>
          <w:sz w:val="24"/>
          <w:szCs w:val="24"/>
        </w:rPr>
        <w:t xml:space="preserve"> potential based on the lower b-value and higher </w:t>
      </w:r>
      <w:proofErr w:type="spellStart"/>
      <w:r w:rsidRPr="00492A10">
        <w:rPr>
          <w:sz w:val="24"/>
          <w:szCs w:val="24"/>
        </w:rPr>
        <w:t>seismogenic</w:t>
      </w:r>
      <w:proofErr w:type="spellEnd"/>
      <w:r w:rsidRPr="00492A10">
        <w:rPr>
          <w:sz w:val="24"/>
          <w:szCs w:val="24"/>
        </w:rPr>
        <w:t xml:space="preserve"> index from the improved statistical analysis. Possible real</w:t>
      </w:r>
      <w:r>
        <w:rPr>
          <w:sz w:val="24"/>
          <w:szCs w:val="24"/>
        </w:rPr>
        <w:t>-</w:t>
      </w:r>
      <w:r w:rsidRPr="00492A10">
        <w:rPr>
          <w:sz w:val="24"/>
          <w:szCs w:val="24"/>
        </w:rPr>
        <w:t xml:space="preserve">time </w:t>
      </w:r>
      <w:r w:rsidRPr="00492A10">
        <w:rPr>
          <w:sz w:val="24"/>
          <w:szCs w:val="24"/>
        </w:rPr>
        <w:lastRenderedPageBreak/>
        <w:t>implementation of magnitude calibration can significantly improve microseismicity monitoring and assessment of seismic hazard</w:t>
      </w:r>
      <w:r>
        <w:rPr>
          <w:sz w:val="24"/>
          <w:szCs w:val="24"/>
        </w:rPr>
        <w:t>s</w:t>
      </w:r>
      <w:r w:rsidRPr="00492A10">
        <w:rPr>
          <w:sz w:val="24"/>
          <w:szCs w:val="24"/>
        </w:rPr>
        <w:t xml:space="preserve"> and help identification of slip activation of optimally oriented fractures. However, additional comparisons will be required for other hydraulic fracturing datasets to support our findings.</w:t>
      </w:r>
    </w:p>
    <w:p w14:paraId="1D096982" w14:textId="77777777" w:rsidR="004C3823" w:rsidRPr="00D927FF" w:rsidRDefault="004C3823" w:rsidP="00C32F8E">
      <w:pPr>
        <w:spacing w:line="480" w:lineRule="auto"/>
        <w:rPr>
          <w:b/>
          <w:bCs/>
          <w:sz w:val="24"/>
          <w:szCs w:val="24"/>
        </w:rPr>
      </w:pPr>
      <w:r>
        <w:rPr>
          <w:b/>
          <w:bCs/>
          <w:sz w:val="24"/>
          <w:szCs w:val="24"/>
        </w:rPr>
        <w:t>2.7</w:t>
      </w:r>
      <w:r w:rsidRPr="00492A10">
        <w:rPr>
          <w:b/>
          <w:bCs/>
          <w:sz w:val="24"/>
          <w:szCs w:val="24"/>
        </w:rPr>
        <w:t xml:space="preserve"> Data and Resources</w:t>
      </w:r>
    </w:p>
    <w:p w14:paraId="0D2157C0" w14:textId="77777777" w:rsidR="004C3823" w:rsidRPr="00492A10" w:rsidRDefault="004C3823" w:rsidP="00C32F8E">
      <w:pPr>
        <w:spacing w:line="480" w:lineRule="auto"/>
        <w:ind w:firstLine="720"/>
        <w:rPr>
          <w:sz w:val="24"/>
          <w:szCs w:val="24"/>
        </w:rPr>
      </w:pPr>
      <w:r w:rsidRPr="00492A10">
        <w:rPr>
          <w:sz w:val="24"/>
          <w:szCs w:val="24"/>
        </w:rPr>
        <w:t xml:space="preserve">All data used in this paper came from Rutledge et al. (2004) listed in the references. We processed the SAC format waveform data using GISMO a MATLAB toolbox for seismic data analysis (Thompson, 2017). Supplementary materials contain </w:t>
      </w:r>
      <w:r>
        <w:rPr>
          <w:sz w:val="24"/>
          <w:szCs w:val="24"/>
        </w:rPr>
        <w:t xml:space="preserve">an </w:t>
      </w:r>
      <w:r w:rsidRPr="00492A10">
        <w:rPr>
          <w:sz w:val="24"/>
          <w:szCs w:val="24"/>
        </w:rPr>
        <w:t>analysis o</w:t>
      </w:r>
      <w:r>
        <w:rPr>
          <w:sz w:val="24"/>
          <w:szCs w:val="24"/>
        </w:rPr>
        <w:t>f</w:t>
      </w:r>
      <w:r w:rsidRPr="00492A10">
        <w:rPr>
          <w:sz w:val="24"/>
          <w:szCs w:val="24"/>
        </w:rPr>
        <w:t xml:space="preserve"> the dataset results affected by varying the number of input events.</w:t>
      </w:r>
    </w:p>
    <w:p w14:paraId="53302B14" w14:textId="77777777" w:rsidR="004C3823" w:rsidRPr="00D927FF" w:rsidRDefault="004C3823" w:rsidP="00C32F8E">
      <w:pPr>
        <w:spacing w:line="480" w:lineRule="auto"/>
        <w:rPr>
          <w:b/>
          <w:bCs/>
          <w:sz w:val="24"/>
          <w:szCs w:val="24"/>
        </w:rPr>
      </w:pPr>
      <w:r>
        <w:rPr>
          <w:b/>
          <w:bCs/>
          <w:sz w:val="24"/>
          <w:szCs w:val="24"/>
        </w:rPr>
        <w:t>2.8</w:t>
      </w:r>
      <w:r w:rsidRPr="00492A10">
        <w:rPr>
          <w:b/>
          <w:bCs/>
          <w:sz w:val="24"/>
          <w:szCs w:val="24"/>
        </w:rPr>
        <w:t xml:space="preserve"> Declaration of Competing Interest</w:t>
      </w:r>
    </w:p>
    <w:p w14:paraId="79F17F4B" w14:textId="77777777" w:rsidR="004C3823" w:rsidRPr="00492A10" w:rsidRDefault="004C3823" w:rsidP="00C32F8E">
      <w:pPr>
        <w:spacing w:line="480" w:lineRule="auto"/>
        <w:ind w:firstLine="720"/>
        <w:rPr>
          <w:sz w:val="24"/>
          <w:szCs w:val="24"/>
        </w:rPr>
      </w:pPr>
      <w:r w:rsidRPr="00492A10">
        <w:rPr>
          <w:sz w:val="24"/>
          <w:szCs w:val="24"/>
        </w:rPr>
        <w:t>The authors acknowledge that there are no conflicts of interest recorded.</w:t>
      </w:r>
    </w:p>
    <w:p w14:paraId="40AD6911" w14:textId="77777777" w:rsidR="004C3823" w:rsidRPr="00492A10" w:rsidRDefault="004C3823" w:rsidP="00C32F8E">
      <w:pPr>
        <w:spacing w:line="480" w:lineRule="auto"/>
        <w:rPr>
          <w:b/>
          <w:bCs/>
          <w:sz w:val="24"/>
          <w:szCs w:val="24"/>
        </w:rPr>
      </w:pPr>
      <w:r>
        <w:rPr>
          <w:b/>
          <w:bCs/>
          <w:sz w:val="24"/>
          <w:szCs w:val="24"/>
        </w:rPr>
        <w:t xml:space="preserve">2.9 </w:t>
      </w:r>
      <w:r w:rsidRPr="00492A10">
        <w:rPr>
          <w:b/>
          <w:bCs/>
          <w:sz w:val="24"/>
          <w:szCs w:val="24"/>
        </w:rPr>
        <w:t>Acknowledgements</w:t>
      </w:r>
    </w:p>
    <w:p w14:paraId="57A47EBA" w14:textId="77777777" w:rsidR="004C3823" w:rsidRDefault="004C3823" w:rsidP="00C32F8E">
      <w:pPr>
        <w:spacing w:line="480" w:lineRule="auto"/>
        <w:ind w:firstLine="720"/>
        <w:rPr>
          <w:sz w:val="24"/>
          <w:szCs w:val="24"/>
        </w:rPr>
      </w:pPr>
      <w:r w:rsidRPr="00492A10">
        <w:rPr>
          <w:sz w:val="24"/>
          <w:szCs w:val="24"/>
        </w:rPr>
        <w:t>We thank James Rutledge for providing seismic waveform data. We are grateful to the two anonymous reviewers for their insightful reviews that improved the manuscript. This research is partially supported by</w:t>
      </w:r>
      <w:r>
        <w:rPr>
          <w:sz w:val="24"/>
          <w:szCs w:val="24"/>
        </w:rPr>
        <w:t xml:space="preserve"> a</w:t>
      </w:r>
      <w:r w:rsidRPr="00492A10">
        <w:rPr>
          <w:sz w:val="24"/>
          <w:szCs w:val="24"/>
        </w:rPr>
        <w:t xml:space="preserve"> graduate assistantship from the School of Geosciences and the McCoy fund from the University of Oklahoma.</w:t>
      </w:r>
    </w:p>
    <w:p w14:paraId="5C9E7F55" w14:textId="77777777" w:rsidR="004C3823" w:rsidRDefault="004C3823" w:rsidP="00C32F8E">
      <w:pPr>
        <w:spacing w:line="480" w:lineRule="auto"/>
        <w:ind w:firstLine="720"/>
        <w:rPr>
          <w:sz w:val="24"/>
          <w:szCs w:val="24"/>
        </w:rPr>
      </w:pPr>
    </w:p>
    <w:p w14:paraId="4787D0F2" w14:textId="77777777" w:rsidR="004C3823" w:rsidRDefault="004C3823" w:rsidP="00C32F8E">
      <w:pPr>
        <w:spacing w:line="480" w:lineRule="auto"/>
        <w:ind w:firstLine="720"/>
        <w:rPr>
          <w:sz w:val="24"/>
          <w:szCs w:val="24"/>
        </w:rPr>
      </w:pPr>
    </w:p>
    <w:p w14:paraId="4067B16D" w14:textId="77777777" w:rsidR="004C3823" w:rsidRPr="00492A10" w:rsidRDefault="004C3823" w:rsidP="00C32F8E">
      <w:pPr>
        <w:spacing w:line="480" w:lineRule="auto"/>
        <w:ind w:firstLine="720"/>
        <w:rPr>
          <w:sz w:val="24"/>
          <w:szCs w:val="24"/>
        </w:rPr>
      </w:pPr>
    </w:p>
    <w:p w14:paraId="650E7072" w14:textId="77777777" w:rsidR="004C3823" w:rsidRPr="00020BC1" w:rsidRDefault="004C3823" w:rsidP="00020BC1">
      <w:pPr>
        <w:rPr>
          <w:sz w:val="24"/>
          <w:szCs w:val="24"/>
        </w:rPr>
      </w:pPr>
      <w:r>
        <w:rPr>
          <w:b/>
          <w:bCs/>
          <w:sz w:val="24"/>
          <w:szCs w:val="24"/>
        </w:rPr>
        <w:lastRenderedPageBreak/>
        <w:t>2.</w:t>
      </w:r>
      <w:r w:rsidRPr="00492A10">
        <w:rPr>
          <w:b/>
          <w:bCs/>
          <w:sz w:val="24"/>
          <w:szCs w:val="24"/>
        </w:rPr>
        <w:t>1</w:t>
      </w:r>
      <w:r>
        <w:rPr>
          <w:b/>
          <w:bCs/>
          <w:sz w:val="24"/>
          <w:szCs w:val="24"/>
        </w:rPr>
        <w:t>0</w:t>
      </w:r>
      <w:r w:rsidRPr="00492A10">
        <w:rPr>
          <w:b/>
          <w:bCs/>
          <w:sz w:val="24"/>
          <w:szCs w:val="24"/>
        </w:rPr>
        <w:t xml:space="preserve"> Tables and </w:t>
      </w:r>
      <w:r>
        <w:rPr>
          <w:b/>
          <w:bCs/>
          <w:sz w:val="24"/>
          <w:szCs w:val="24"/>
        </w:rPr>
        <w:t>C</w:t>
      </w:r>
      <w:r w:rsidRPr="00492A10">
        <w:rPr>
          <w:b/>
          <w:bCs/>
          <w:sz w:val="24"/>
          <w:szCs w:val="24"/>
        </w:rPr>
        <w:t>aptions</w:t>
      </w:r>
    </w:p>
    <w:tbl>
      <w:tblPr>
        <w:tblStyle w:val="TableGrid"/>
        <w:tblW w:w="0" w:type="auto"/>
        <w:jc w:val="center"/>
        <w:tblLook w:val="04A0" w:firstRow="1" w:lastRow="0" w:firstColumn="1" w:lastColumn="0" w:noHBand="0" w:noVBand="1"/>
      </w:tblPr>
      <w:tblGrid>
        <w:gridCol w:w="1502"/>
        <w:gridCol w:w="1103"/>
        <w:gridCol w:w="1260"/>
        <w:gridCol w:w="916"/>
      </w:tblGrid>
      <w:tr w:rsidR="004C3823" w14:paraId="41A6E16C" w14:textId="77777777" w:rsidTr="003635F4">
        <w:trPr>
          <w:jc w:val="center"/>
        </w:trPr>
        <w:tc>
          <w:tcPr>
            <w:tcW w:w="1502" w:type="dxa"/>
          </w:tcPr>
          <w:p w14:paraId="75FCBB0C" w14:textId="77777777" w:rsidR="004C3823" w:rsidRDefault="004C3823" w:rsidP="00DF3746">
            <w:pPr>
              <w:rPr>
                <w:sz w:val="24"/>
                <w:szCs w:val="24"/>
              </w:rPr>
            </w:pPr>
            <w:r>
              <w:rPr>
                <w:sz w:val="24"/>
                <w:szCs w:val="24"/>
              </w:rPr>
              <w:t>Treatment</w:t>
            </w:r>
          </w:p>
        </w:tc>
        <w:tc>
          <w:tcPr>
            <w:tcW w:w="1103" w:type="dxa"/>
          </w:tcPr>
          <w:p w14:paraId="7BA0C24D" w14:textId="77777777" w:rsidR="004C3823" w:rsidRDefault="004C3823" w:rsidP="00DF3746">
            <w:pPr>
              <w:rPr>
                <w:sz w:val="24"/>
                <w:szCs w:val="24"/>
              </w:rPr>
            </w:pPr>
            <w:r>
              <w:rPr>
                <w:sz w:val="24"/>
                <w:szCs w:val="24"/>
              </w:rPr>
              <w:t>No. of raw catalog events</w:t>
            </w:r>
          </w:p>
        </w:tc>
        <w:tc>
          <w:tcPr>
            <w:tcW w:w="1260" w:type="dxa"/>
          </w:tcPr>
          <w:p w14:paraId="614B096B" w14:textId="77777777" w:rsidR="004C3823" w:rsidRDefault="004C3823" w:rsidP="00DF3746">
            <w:pPr>
              <w:rPr>
                <w:sz w:val="24"/>
                <w:szCs w:val="24"/>
              </w:rPr>
            </w:pPr>
            <w:r>
              <w:rPr>
                <w:sz w:val="24"/>
                <w:szCs w:val="24"/>
              </w:rPr>
              <w:t>No. of common events</w:t>
            </w:r>
          </w:p>
        </w:tc>
        <w:tc>
          <w:tcPr>
            <w:tcW w:w="916" w:type="dxa"/>
          </w:tcPr>
          <w:p w14:paraId="16B53B0B" w14:textId="77777777" w:rsidR="004C3823" w:rsidRDefault="004C3823" w:rsidP="00DF3746">
            <w:pPr>
              <w:rPr>
                <w:sz w:val="24"/>
                <w:szCs w:val="24"/>
              </w:rPr>
            </w:pPr>
            <w:r>
              <w:rPr>
                <w:sz w:val="24"/>
                <w:szCs w:val="24"/>
              </w:rPr>
              <w:t>Final catalog events</w:t>
            </w:r>
          </w:p>
        </w:tc>
      </w:tr>
      <w:tr w:rsidR="004C3823" w14:paraId="483F70DE" w14:textId="77777777" w:rsidTr="003635F4">
        <w:trPr>
          <w:jc w:val="center"/>
        </w:trPr>
        <w:tc>
          <w:tcPr>
            <w:tcW w:w="1502" w:type="dxa"/>
          </w:tcPr>
          <w:p w14:paraId="3A22D090" w14:textId="77777777" w:rsidR="004C3823" w:rsidRDefault="004C3823" w:rsidP="00DF3746">
            <w:pPr>
              <w:rPr>
                <w:sz w:val="24"/>
                <w:szCs w:val="24"/>
              </w:rPr>
            </w:pPr>
            <w:r>
              <w:rPr>
                <w:sz w:val="24"/>
                <w:szCs w:val="24"/>
              </w:rPr>
              <w:t>P1S3 (A)</w:t>
            </w:r>
          </w:p>
        </w:tc>
        <w:tc>
          <w:tcPr>
            <w:tcW w:w="1103" w:type="dxa"/>
          </w:tcPr>
          <w:p w14:paraId="64A80677" w14:textId="77777777" w:rsidR="004C3823" w:rsidRDefault="004C3823" w:rsidP="00DF3746">
            <w:pPr>
              <w:rPr>
                <w:sz w:val="24"/>
                <w:szCs w:val="24"/>
              </w:rPr>
            </w:pPr>
            <w:r>
              <w:rPr>
                <w:sz w:val="24"/>
                <w:szCs w:val="24"/>
              </w:rPr>
              <w:t>628</w:t>
            </w:r>
          </w:p>
        </w:tc>
        <w:tc>
          <w:tcPr>
            <w:tcW w:w="1260" w:type="dxa"/>
          </w:tcPr>
          <w:p w14:paraId="1D0D017D" w14:textId="77777777" w:rsidR="004C3823" w:rsidRDefault="004C3823" w:rsidP="00DF3746">
            <w:pPr>
              <w:rPr>
                <w:sz w:val="24"/>
                <w:szCs w:val="24"/>
              </w:rPr>
            </w:pPr>
            <w:r>
              <w:rPr>
                <w:sz w:val="24"/>
                <w:szCs w:val="24"/>
              </w:rPr>
              <w:t>628</w:t>
            </w:r>
          </w:p>
        </w:tc>
        <w:tc>
          <w:tcPr>
            <w:tcW w:w="916" w:type="dxa"/>
          </w:tcPr>
          <w:p w14:paraId="16FECE5D" w14:textId="77777777" w:rsidR="004C3823" w:rsidRDefault="004C3823" w:rsidP="00DF3746">
            <w:pPr>
              <w:rPr>
                <w:sz w:val="24"/>
                <w:szCs w:val="24"/>
              </w:rPr>
            </w:pPr>
            <w:r>
              <w:rPr>
                <w:sz w:val="24"/>
                <w:szCs w:val="24"/>
              </w:rPr>
              <w:t>596</w:t>
            </w:r>
          </w:p>
        </w:tc>
      </w:tr>
      <w:tr w:rsidR="004C3823" w14:paraId="1EF92696" w14:textId="77777777" w:rsidTr="003635F4">
        <w:trPr>
          <w:jc w:val="center"/>
        </w:trPr>
        <w:tc>
          <w:tcPr>
            <w:tcW w:w="1502" w:type="dxa"/>
          </w:tcPr>
          <w:p w14:paraId="44D9DF7F" w14:textId="77777777" w:rsidR="004C3823" w:rsidRDefault="004C3823" w:rsidP="00DF3746">
            <w:pPr>
              <w:rPr>
                <w:sz w:val="24"/>
                <w:szCs w:val="24"/>
              </w:rPr>
            </w:pPr>
            <w:r>
              <w:rPr>
                <w:sz w:val="24"/>
                <w:szCs w:val="24"/>
              </w:rPr>
              <w:t>P1S2 (B)</w:t>
            </w:r>
          </w:p>
        </w:tc>
        <w:tc>
          <w:tcPr>
            <w:tcW w:w="1103" w:type="dxa"/>
          </w:tcPr>
          <w:p w14:paraId="755FE5B9" w14:textId="77777777" w:rsidR="004C3823" w:rsidRDefault="004C3823" w:rsidP="00DF3746">
            <w:pPr>
              <w:rPr>
                <w:sz w:val="24"/>
                <w:szCs w:val="24"/>
              </w:rPr>
            </w:pPr>
            <w:r>
              <w:rPr>
                <w:sz w:val="24"/>
                <w:szCs w:val="24"/>
              </w:rPr>
              <w:t>888</w:t>
            </w:r>
          </w:p>
        </w:tc>
        <w:tc>
          <w:tcPr>
            <w:tcW w:w="1260" w:type="dxa"/>
          </w:tcPr>
          <w:p w14:paraId="7AFCDB32" w14:textId="77777777" w:rsidR="004C3823" w:rsidRDefault="004C3823" w:rsidP="00DF3746">
            <w:pPr>
              <w:rPr>
                <w:sz w:val="24"/>
                <w:szCs w:val="24"/>
              </w:rPr>
            </w:pPr>
            <w:r>
              <w:rPr>
                <w:sz w:val="24"/>
                <w:szCs w:val="24"/>
              </w:rPr>
              <w:t>644</w:t>
            </w:r>
          </w:p>
        </w:tc>
        <w:tc>
          <w:tcPr>
            <w:tcW w:w="916" w:type="dxa"/>
          </w:tcPr>
          <w:p w14:paraId="51720A12" w14:textId="77777777" w:rsidR="004C3823" w:rsidRDefault="004C3823" w:rsidP="00DF3746">
            <w:pPr>
              <w:rPr>
                <w:sz w:val="24"/>
                <w:szCs w:val="24"/>
              </w:rPr>
            </w:pPr>
            <w:r>
              <w:rPr>
                <w:sz w:val="24"/>
                <w:szCs w:val="24"/>
              </w:rPr>
              <w:t>581</w:t>
            </w:r>
          </w:p>
        </w:tc>
      </w:tr>
      <w:tr w:rsidR="004C3823" w14:paraId="457DF289" w14:textId="77777777" w:rsidTr="003635F4">
        <w:trPr>
          <w:trHeight w:val="332"/>
          <w:jc w:val="center"/>
        </w:trPr>
        <w:tc>
          <w:tcPr>
            <w:tcW w:w="1502" w:type="dxa"/>
          </w:tcPr>
          <w:p w14:paraId="574A1E5C" w14:textId="77777777" w:rsidR="004C3823" w:rsidRDefault="004C3823" w:rsidP="00DF3746">
            <w:pPr>
              <w:rPr>
                <w:sz w:val="24"/>
                <w:szCs w:val="24"/>
              </w:rPr>
            </w:pPr>
            <w:r>
              <w:rPr>
                <w:sz w:val="24"/>
                <w:szCs w:val="24"/>
              </w:rPr>
              <w:t>P2S3 (C)</w:t>
            </w:r>
          </w:p>
        </w:tc>
        <w:tc>
          <w:tcPr>
            <w:tcW w:w="1103" w:type="dxa"/>
          </w:tcPr>
          <w:p w14:paraId="517B8F67" w14:textId="77777777" w:rsidR="004C3823" w:rsidRDefault="004C3823" w:rsidP="00DF3746">
            <w:pPr>
              <w:rPr>
                <w:sz w:val="24"/>
                <w:szCs w:val="24"/>
              </w:rPr>
            </w:pPr>
            <w:r>
              <w:rPr>
                <w:sz w:val="24"/>
                <w:szCs w:val="24"/>
              </w:rPr>
              <w:t>369</w:t>
            </w:r>
          </w:p>
        </w:tc>
        <w:tc>
          <w:tcPr>
            <w:tcW w:w="1260" w:type="dxa"/>
          </w:tcPr>
          <w:p w14:paraId="0C395669" w14:textId="77777777" w:rsidR="004C3823" w:rsidRDefault="004C3823" w:rsidP="00DF3746">
            <w:pPr>
              <w:rPr>
                <w:sz w:val="24"/>
                <w:szCs w:val="24"/>
              </w:rPr>
            </w:pPr>
            <w:r>
              <w:rPr>
                <w:sz w:val="24"/>
                <w:szCs w:val="24"/>
              </w:rPr>
              <w:t>369</w:t>
            </w:r>
          </w:p>
        </w:tc>
        <w:tc>
          <w:tcPr>
            <w:tcW w:w="916" w:type="dxa"/>
          </w:tcPr>
          <w:p w14:paraId="0EB4B484" w14:textId="77777777" w:rsidR="004C3823" w:rsidRDefault="004C3823" w:rsidP="00DF3746">
            <w:pPr>
              <w:rPr>
                <w:sz w:val="24"/>
                <w:szCs w:val="24"/>
              </w:rPr>
            </w:pPr>
            <w:r>
              <w:rPr>
                <w:sz w:val="24"/>
                <w:szCs w:val="24"/>
              </w:rPr>
              <w:t>368</w:t>
            </w:r>
          </w:p>
        </w:tc>
      </w:tr>
      <w:tr w:rsidR="004C3823" w14:paraId="0B993AFD" w14:textId="77777777" w:rsidTr="003635F4">
        <w:trPr>
          <w:jc w:val="center"/>
        </w:trPr>
        <w:tc>
          <w:tcPr>
            <w:tcW w:w="1502" w:type="dxa"/>
          </w:tcPr>
          <w:p w14:paraId="0BCE4FA8" w14:textId="77777777" w:rsidR="004C3823" w:rsidRDefault="004C3823" w:rsidP="00DF3746">
            <w:pPr>
              <w:rPr>
                <w:sz w:val="24"/>
                <w:szCs w:val="24"/>
              </w:rPr>
            </w:pPr>
            <w:r>
              <w:rPr>
                <w:sz w:val="24"/>
                <w:szCs w:val="24"/>
              </w:rPr>
              <w:t>P2S1 (E)</w:t>
            </w:r>
          </w:p>
        </w:tc>
        <w:tc>
          <w:tcPr>
            <w:tcW w:w="1103" w:type="dxa"/>
          </w:tcPr>
          <w:p w14:paraId="04D2AA5D" w14:textId="77777777" w:rsidR="004C3823" w:rsidRDefault="004C3823" w:rsidP="00DF3746">
            <w:pPr>
              <w:rPr>
                <w:sz w:val="24"/>
                <w:szCs w:val="24"/>
              </w:rPr>
            </w:pPr>
            <w:r>
              <w:rPr>
                <w:sz w:val="24"/>
                <w:szCs w:val="24"/>
              </w:rPr>
              <w:t>662</w:t>
            </w:r>
          </w:p>
        </w:tc>
        <w:tc>
          <w:tcPr>
            <w:tcW w:w="1260" w:type="dxa"/>
          </w:tcPr>
          <w:p w14:paraId="20DE6C75" w14:textId="77777777" w:rsidR="004C3823" w:rsidRDefault="004C3823" w:rsidP="00DF3746">
            <w:pPr>
              <w:rPr>
                <w:sz w:val="24"/>
                <w:szCs w:val="24"/>
              </w:rPr>
            </w:pPr>
            <w:r>
              <w:rPr>
                <w:sz w:val="24"/>
                <w:szCs w:val="24"/>
              </w:rPr>
              <w:t>433</w:t>
            </w:r>
          </w:p>
        </w:tc>
        <w:tc>
          <w:tcPr>
            <w:tcW w:w="916" w:type="dxa"/>
          </w:tcPr>
          <w:p w14:paraId="0FF3809A" w14:textId="77777777" w:rsidR="004C3823" w:rsidRDefault="004C3823" w:rsidP="00DF3746">
            <w:pPr>
              <w:rPr>
                <w:sz w:val="24"/>
                <w:szCs w:val="24"/>
              </w:rPr>
            </w:pPr>
            <w:r>
              <w:rPr>
                <w:sz w:val="24"/>
                <w:szCs w:val="24"/>
              </w:rPr>
              <w:t>418</w:t>
            </w:r>
          </w:p>
        </w:tc>
      </w:tr>
      <w:tr w:rsidR="004C3823" w14:paraId="2FD4C143" w14:textId="77777777" w:rsidTr="003635F4">
        <w:trPr>
          <w:jc w:val="center"/>
        </w:trPr>
        <w:tc>
          <w:tcPr>
            <w:tcW w:w="1502" w:type="dxa"/>
          </w:tcPr>
          <w:p w14:paraId="1078A161" w14:textId="77777777" w:rsidR="004C3823" w:rsidRDefault="004C3823" w:rsidP="00DF3746">
            <w:pPr>
              <w:rPr>
                <w:sz w:val="24"/>
                <w:szCs w:val="24"/>
              </w:rPr>
            </w:pPr>
            <w:r>
              <w:rPr>
                <w:sz w:val="24"/>
                <w:szCs w:val="24"/>
              </w:rPr>
              <w:t>Total events</w:t>
            </w:r>
          </w:p>
        </w:tc>
        <w:tc>
          <w:tcPr>
            <w:tcW w:w="1103" w:type="dxa"/>
          </w:tcPr>
          <w:p w14:paraId="7ED3B2D1" w14:textId="77777777" w:rsidR="004C3823" w:rsidRDefault="004C3823" w:rsidP="00DF3746">
            <w:pPr>
              <w:rPr>
                <w:sz w:val="24"/>
                <w:szCs w:val="24"/>
              </w:rPr>
            </w:pPr>
            <w:r>
              <w:rPr>
                <w:sz w:val="24"/>
                <w:szCs w:val="24"/>
              </w:rPr>
              <w:t>2547</w:t>
            </w:r>
          </w:p>
        </w:tc>
        <w:tc>
          <w:tcPr>
            <w:tcW w:w="1260" w:type="dxa"/>
          </w:tcPr>
          <w:p w14:paraId="1A7FFF0E" w14:textId="77777777" w:rsidR="004C3823" w:rsidRDefault="004C3823" w:rsidP="00DF3746">
            <w:pPr>
              <w:rPr>
                <w:sz w:val="24"/>
                <w:szCs w:val="24"/>
              </w:rPr>
            </w:pPr>
            <w:r>
              <w:rPr>
                <w:sz w:val="24"/>
                <w:szCs w:val="24"/>
              </w:rPr>
              <w:t>2074</w:t>
            </w:r>
          </w:p>
        </w:tc>
        <w:tc>
          <w:tcPr>
            <w:tcW w:w="916" w:type="dxa"/>
          </w:tcPr>
          <w:p w14:paraId="3B686AC4" w14:textId="77777777" w:rsidR="004C3823" w:rsidRDefault="004C3823" w:rsidP="00DF3746">
            <w:pPr>
              <w:rPr>
                <w:sz w:val="24"/>
                <w:szCs w:val="24"/>
              </w:rPr>
            </w:pPr>
            <w:r>
              <w:rPr>
                <w:sz w:val="24"/>
                <w:szCs w:val="24"/>
              </w:rPr>
              <w:t>1963</w:t>
            </w:r>
          </w:p>
        </w:tc>
      </w:tr>
    </w:tbl>
    <w:p w14:paraId="1006FBF0" w14:textId="77777777" w:rsidR="004C3823" w:rsidRDefault="004C3823" w:rsidP="003635F4">
      <w:pPr>
        <w:rPr>
          <w:sz w:val="24"/>
          <w:szCs w:val="24"/>
        </w:rPr>
      </w:pPr>
      <w:r w:rsidRPr="003635F4">
        <w:rPr>
          <w:sz w:val="24"/>
          <w:szCs w:val="24"/>
        </w:rPr>
        <w:t xml:space="preserve">Table </w:t>
      </w:r>
      <w:r>
        <w:rPr>
          <w:sz w:val="24"/>
          <w:szCs w:val="24"/>
        </w:rPr>
        <w:t>2.</w:t>
      </w:r>
      <w:r w:rsidRPr="003635F4">
        <w:rPr>
          <w:sz w:val="24"/>
          <w:szCs w:val="24"/>
        </w:rPr>
        <w:t>1: Number of events in the full catalog, full catalog b-value, common events, and the final catalog.</w:t>
      </w:r>
    </w:p>
    <w:p w14:paraId="76FBDC6F" w14:textId="77777777" w:rsidR="004C3823" w:rsidRDefault="004C3823" w:rsidP="003635F4">
      <w:pPr>
        <w:rPr>
          <w:sz w:val="24"/>
          <w:szCs w:val="24"/>
        </w:rPr>
      </w:pPr>
    </w:p>
    <w:p w14:paraId="37447BA5" w14:textId="77777777" w:rsidR="004C3823" w:rsidRDefault="004C3823" w:rsidP="003635F4">
      <w:pPr>
        <w:rPr>
          <w:sz w:val="24"/>
          <w:szCs w:val="24"/>
        </w:rPr>
      </w:pPr>
    </w:p>
    <w:p w14:paraId="59484361" w14:textId="77777777" w:rsidR="004C3823" w:rsidRDefault="004C3823" w:rsidP="003635F4">
      <w:pPr>
        <w:rPr>
          <w:sz w:val="24"/>
          <w:szCs w:val="24"/>
        </w:rPr>
      </w:pPr>
    </w:p>
    <w:p w14:paraId="444DC34B" w14:textId="77777777" w:rsidR="004C3823" w:rsidRDefault="004C3823" w:rsidP="003635F4">
      <w:pPr>
        <w:rPr>
          <w:sz w:val="24"/>
          <w:szCs w:val="24"/>
        </w:rPr>
      </w:pPr>
    </w:p>
    <w:p w14:paraId="7649F307" w14:textId="77777777" w:rsidR="004C3823" w:rsidRDefault="004C3823" w:rsidP="003635F4">
      <w:pPr>
        <w:rPr>
          <w:sz w:val="24"/>
          <w:szCs w:val="24"/>
        </w:rPr>
      </w:pPr>
    </w:p>
    <w:p w14:paraId="0DFD4B22" w14:textId="77777777" w:rsidR="004C3823" w:rsidRDefault="004C3823" w:rsidP="003635F4">
      <w:pPr>
        <w:rPr>
          <w:sz w:val="24"/>
          <w:szCs w:val="24"/>
        </w:rPr>
      </w:pPr>
    </w:p>
    <w:p w14:paraId="493806EE" w14:textId="77777777" w:rsidR="004C3823" w:rsidRDefault="004C3823" w:rsidP="003635F4">
      <w:pPr>
        <w:rPr>
          <w:sz w:val="24"/>
          <w:szCs w:val="24"/>
        </w:rPr>
      </w:pPr>
    </w:p>
    <w:p w14:paraId="056EBF6B" w14:textId="77777777" w:rsidR="004C3823" w:rsidRDefault="004C3823" w:rsidP="003635F4">
      <w:pPr>
        <w:rPr>
          <w:sz w:val="24"/>
          <w:szCs w:val="24"/>
        </w:rPr>
      </w:pPr>
    </w:p>
    <w:p w14:paraId="04B20F04" w14:textId="77777777" w:rsidR="004C3823" w:rsidRDefault="004C3823" w:rsidP="003635F4">
      <w:pPr>
        <w:rPr>
          <w:sz w:val="24"/>
          <w:szCs w:val="24"/>
        </w:rPr>
      </w:pPr>
    </w:p>
    <w:p w14:paraId="3DF6C733" w14:textId="77777777" w:rsidR="004C3823" w:rsidRDefault="004C3823" w:rsidP="003635F4">
      <w:pPr>
        <w:rPr>
          <w:sz w:val="24"/>
          <w:szCs w:val="24"/>
        </w:rPr>
      </w:pPr>
    </w:p>
    <w:p w14:paraId="3F44B297" w14:textId="77777777" w:rsidR="004C3823" w:rsidRDefault="004C3823" w:rsidP="003635F4">
      <w:pPr>
        <w:rPr>
          <w:sz w:val="24"/>
          <w:szCs w:val="24"/>
        </w:rPr>
      </w:pPr>
    </w:p>
    <w:p w14:paraId="49841423" w14:textId="77777777" w:rsidR="004C3823" w:rsidRDefault="004C3823" w:rsidP="003635F4">
      <w:pPr>
        <w:rPr>
          <w:sz w:val="24"/>
          <w:szCs w:val="24"/>
        </w:rPr>
      </w:pPr>
    </w:p>
    <w:p w14:paraId="6B054EEA" w14:textId="77777777" w:rsidR="004C3823" w:rsidRDefault="004C3823" w:rsidP="003635F4">
      <w:pPr>
        <w:rPr>
          <w:sz w:val="24"/>
          <w:szCs w:val="24"/>
        </w:rPr>
      </w:pPr>
    </w:p>
    <w:p w14:paraId="45B15CCC" w14:textId="77777777" w:rsidR="004C3823" w:rsidRDefault="004C3823" w:rsidP="003635F4">
      <w:pPr>
        <w:rPr>
          <w:sz w:val="24"/>
          <w:szCs w:val="24"/>
        </w:rPr>
      </w:pPr>
    </w:p>
    <w:p w14:paraId="4041C644" w14:textId="77777777" w:rsidR="004C3823" w:rsidRDefault="004C3823" w:rsidP="003635F4">
      <w:pPr>
        <w:rPr>
          <w:sz w:val="24"/>
          <w:szCs w:val="24"/>
        </w:rPr>
      </w:pPr>
    </w:p>
    <w:p w14:paraId="365FF579" w14:textId="77777777" w:rsidR="004C3823" w:rsidRPr="003635F4" w:rsidRDefault="004C3823" w:rsidP="003635F4">
      <w:pPr>
        <w:rPr>
          <w:sz w:val="24"/>
          <w:szCs w:val="24"/>
        </w:rPr>
      </w:pPr>
    </w:p>
    <w:tbl>
      <w:tblPr>
        <w:tblStyle w:val="TableGrid"/>
        <w:tblW w:w="0" w:type="auto"/>
        <w:tblLook w:val="04A0" w:firstRow="1" w:lastRow="0" w:firstColumn="1" w:lastColumn="0" w:noHBand="0" w:noVBand="1"/>
      </w:tblPr>
      <w:tblGrid>
        <w:gridCol w:w="1118"/>
        <w:gridCol w:w="523"/>
        <w:gridCol w:w="523"/>
        <w:gridCol w:w="523"/>
        <w:gridCol w:w="523"/>
        <w:gridCol w:w="1046"/>
        <w:gridCol w:w="1139"/>
      </w:tblGrid>
      <w:tr w:rsidR="004C3823" w14:paraId="04DEC956" w14:textId="77777777" w:rsidTr="00FF4FB5">
        <w:trPr>
          <w:cantSplit/>
          <w:trHeight w:val="1430"/>
        </w:trPr>
        <w:tc>
          <w:tcPr>
            <w:tcW w:w="1118" w:type="dxa"/>
            <w:textDirection w:val="btLr"/>
          </w:tcPr>
          <w:p w14:paraId="1A58E379" w14:textId="77777777" w:rsidR="004C3823" w:rsidRDefault="004C3823" w:rsidP="00D638AE">
            <w:pPr>
              <w:ind w:left="113" w:right="113"/>
              <w:rPr>
                <w:sz w:val="24"/>
                <w:szCs w:val="24"/>
              </w:rPr>
            </w:pPr>
            <w:r>
              <w:rPr>
                <w:sz w:val="24"/>
                <w:szCs w:val="24"/>
              </w:rPr>
              <w:lastRenderedPageBreak/>
              <w:t xml:space="preserve">New </w:t>
            </w:r>
            <w:proofErr w:type="spellStart"/>
            <w:r>
              <w:rPr>
                <w:sz w:val="24"/>
                <w:szCs w:val="24"/>
              </w:rPr>
              <w:t>seismogenic</w:t>
            </w:r>
            <w:proofErr w:type="spellEnd"/>
            <w:r>
              <w:rPr>
                <w:sz w:val="24"/>
                <w:szCs w:val="24"/>
              </w:rPr>
              <w:t xml:space="preserve"> index</w:t>
            </w:r>
          </w:p>
        </w:tc>
        <w:tc>
          <w:tcPr>
            <w:tcW w:w="523" w:type="dxa"/>
            <w:textDirection w:val="btLr"/>
          </w:tcPr>
          <w:p w14:paraId="5F1B5B7E" w14:textId="77777777" w:rsidR="004C3823" w:rsidRDefault="004C3823" w:rsidP="00D638AE">
            <w:pPr>
              <w:ind w:left="113" w:right="113"/>
              <w:rPr>
                <w:sz w:val="24"/>
                <w:szCs w:val="24"/>
              </w:rPr>
            </w:pPr>
            <w:r>
              <w:rPr>
                <w:sz w:val="24"/>
                <w:szCs w:val="24"/>
              </w:rPr>
              <w:t xml:space="preserve">-4.4 </w:t>
            </w:r>
            <w:r>
              <w:rPr>
                <w:rFonts w:cstheme="minorHAnsi"/>
                <w:sz w:val="24"/>
                <w:szCs w:val="24"/>
              </w:rPr>
              <w:t>±</w:t>
            </w:r>
            <w:r>
              <w:rPr>
                <w:sz w:val="24"/>
                <w:szCs w:val="24"/>
              </w:rPr>
              <w:t xml:space="preserve"> 0.18</w:t>
            </w:r>
          </w:p>
        </w:tc>
        <w:tc>
          <w:tcPr>
            <w:tcW w:w="523" w:type="dxa"/>
            <w:textDirection w:val="btLr"/>
          </w:tcPr>
          <w:p w14:paraId="3791D601" w14:textId="77777777" w:rsidR="004C3823" w:rsidRDefault="004C3823" w:rsidP="00D638AE">
            <w:pPr>
              <w:ind w:left="113" w:right="113"/>
              <w:rPr>
                <w:sz w:val="24"/>
                <w:szCs w:val="24"/>
              </w:rPr>
            </w:pPr>
            <w:r>
              <w:rPr>
                <w:sz w:val="24"/>
                <w:szCs w:val="24"/>
              </w:rPr>
              <w:t xml:space="preserve">-3.8 </w:t>
            </w:r>
            <w:r>
              <w:rPr>
                <w:rFonts w:cstheme="minorHAnsi"/>
                <w:sz w:val="24"/>
                <w:szCs w:val="24"/>
              </w:rPr>
              <w:t>±</w:t>
            </w:r>
            <w:r>
              <w:rPr>
                <w:sz w:val="24"/>
                <w:szCs w:val="24"/>
              </w:rPr>
              <w:t xml:space="preserve"> 0.20</w:t>
            </w:r>
          </w:p>
        </w:tc>
        <w:tc>
          <w:tcPr>
            <w:tcW w:w="523" w:type="dxa"/>
            <w:textDirection w:val="btLr"/>
          </w:tcPr>
          <w:p w14:paraId="70CBA70C" w14:textId="77777777" w:rsidR="004C3823" w:rsidRDefault="004C3823" w:rsidP="00D638AE">
            <w:pPr>
              <w:ind w:left="113" w:right="113"/>
              <w:rPr>
                <w:sz w:val="24"/>
                <w:szCs w:val="24"/>
              </w:rPr>
            </w:pPr>
            <w:r>
              <w:rPr>
                <w:sz w:val="24"/>
                <w:szCs w:val="24"/>
              </w:rPr>
              <w:t xml:space="preserve">-5.5 </w:t>
            </w:r>
            <w:r>
              <w:rPr>
                <w:rFonts w:cstheme="minorHAnsi"/>
                <w:sz w:val="24"/>
                <w:szCs w:val="24"/>
              </w:rPr>
              <w:t>±</w:t>
            </w:r>
            <w:r>
              <w:rPr>
                <w:sz w:val="24"/>
                <w:szCs w:val="24"/>
              </w:rPr>
              <w:t xml:space="preserve"> 0.24</w:t>
            </w:r>
          </w:p>
        </w:tc>
        <w:tc>
          <w:tcPr>
            <w:tcW w:w="523" w:type="dxa"/>
            <w:tcBorders>
              <w:right w:val="single" w:sz="4" w:space="0" w:color="auto"/>
            </w:tcBorders>
            <w:textDirection w:val="btLr"/>
          </w:tcPr>
          <w:p w14:paraId="4FD46A86" w14:textId="77777777" w:rsidR="004C3823" w:rsidRDefault="004C3823" w:rsidP="00D638AE">
            <w:pPr>
              <w:ind w:left="113" w:right="113"/>
              <w:rPr>
                <w:sz w:val="24"/>
                <w:szCs w:val="24"/>
              </w:rPr>
            </w:pPr>
            <w:r>
              <w:rPr>
                <w:sz w:val="24"/>
                <w:szCs w:val="24"/>
              </w:rPr>
              <w:t xml:space="preserve">-2.7 </w:t>
            </w:r>
            <w:r>
              <w:rPr>
                <w:rFonts w:cstheme="minorHAnsi"/>
                <w:sz w:val="24"/>
                <w:szCs w:val="24"/>
              </w:rPr>
              <w:t>±</w:t>
            </w:r>
            <w:r>
              <w:rPr>
                <w:sz w:val="24"/>
                <w:szCs w:val="24"/>
              </w:rPr>
              <w:t xml:space="preserve"> 0.11</w:t>
            </w:r>
          </w:p>
        </w:tc>
        <w:tc>
          <w:tcPr>
            <w:tcW w:w="1046" w:type="dxa"/>
            <w:vMerge w:val="restart"/>
            <w:tcBorders>
              <w:top w:val="nil"/>
              <w:left w:val="single" w:sz="4" w:space="0" w:color="auto"/>
              <w:bottom w:val="nil"/>
              <w:right w:val="nil"/>
            </w:tcBorders>
            <w:textDirection w:val="btLr"/>
          </w:tcPr>
          <w:p w14:paraId="23077790" w14:textId="77777777" w:rsidR="004C3823" w:rsidRDefault="004C3823" w:rsidP="00D638AE">
            <w:pPr>
              <w:ind w:left="113" w:right="113"/>
              <w:rPr>
                <w:sz w:val="24"/>
                <w:szCs w:val="24"/>
              </w:rPr>
            </w:pPr>
          </w:p>
        </w:tc>
        <w:tc>
          <w:tcPr>
            <w:tcW w:w="1139" w:type="dxa"/>
            <w:vMerge w:val="restart"/>
            <w:tcBorders>
              <w:top w:val="nil"/>
              <w:left w:val="nil"/>
              <w:right w:val="nil"/>
            </w:tcBorders>
            <w:textDirection w:val="btLr"/>
          </w:tcPr>
          <w:p w14:paraId="7082A3D4" w14:textId="77777777" w:rsidR="004C3823" w:rsidRPr="00EB480A" w:rsidRDefault="004C3823" w:rsidP="00FF4FB5">
            <w:pPr>
              <w:rPr>
                <w:sz w:val="24"/>
                <w:szCs w:val="24"/>
              </w:rPr>
            </w:pPr>
            <w:r w:rsidRPr="00EB480A">
              <w:rPr>
                <w:sz w:val="24"/>
                <w:szCs w:val="24"/>
              </w:rPr>
              <w:t xml:space="preserve">Table </w:t>
            </w:r>
            <w:r>
              <w:rPr>
                <w:sz w:val="24"/>
                <w:szCs w:val="24"/>
              </w:rPr>
              <w:t>2.</w:t>
            </w:r>
            <w:r w:rsidRPr="00EB480A">
              <w:rPr>
                <w:sz w:val="24"/>
                <w:szCs w:val="24"/>
              </w:rPr>
              <w:t xml:space="preserve">2 Caption: Maximum likelihood fitting for b-value and </w:t>
            </w:r>
            <w:proofErr w:type="spellStart"/>
            <w:r w:rsidRPr="00EB480A">
              <w:rPr>
                <w:sz w:val="24"/>
                <w:szCs w:val="24"/>
              </w:rPr>
              <w:t>seismogenic</w:t>
            </w:r>
            <w:proofErr w:type="spellEnd"/>
            <w:r w:rsidRPr="00EB480A">
              <w:rPr>
                <w:sz w:val="24"/>
                <w:szCs w:val="24"/>
              </w:rPr>
              <w:t xml:space="preserve"> index before and after magnitude calibration with depth ranges and percentage of event recovery above Mc.</w:t>
            </w:r>
          </w:p>
          <w:p w14:paraId="5ED3F805" w14:textId="77777777" w:rsidR="004C3823" w:rsidRDefault="004C3823" w:rsidP="00D638AE">
            <w:pPr>
              <w:ind w:left="113" w:right="113"/>
              <w:rPr>
                <w:sz w:val="24"/>
                <w:szCs w:val="24"/>
              </w:rPr>
            </w:pPr>
          </w:p>
        </w:tc>
      </w:tr>
      <w:tr w:rsidR="004C3823" w14:paraId="5A782A19" w14:textId="77777777" w:rsidTr="00FF4FB5">
        <w:trPr>
          <w:cantSplit/>
          <w:trHeight w:val="800"/>
        </w:trPr>
        <w:tc>
          <w:tcPr>
            <w:tcW w:w="1118" w:type="dxa"/>
            <w:textDirection w:val="btLr"/>
          </w:tcPr>
          <w:p w14:paraId="71DEA2D5" w14:textId="77777777" w:rsidR="004C3823" w:rsidRDefault="004C3823" w:rsidP="00D638AE">
            <w:pPr>
              <w:ind w:left="113" w:right="113"/>
              <w:rPr>
                <w:sz w:val="24"/>
                <w:szCs w:val="24"/>
              </w:rPr>
            </w:pPr>
            <w:r>
              <w:rPr>
                <w:sz w:val="24"/>
                <w:szCs w:val="24"/>
              </w:rPr>
              <w:t>New Mc</w:t>
            </w:r>
          </w:p>
        </w:tc>
        <w:tc>
          <w:tcPr>
            <w:tcW w:w="523" w:type="dxa"/>
            <w:textDirection w:val="btLr"/>
          </w:tcPr>
          <w:p w14:paraId="0519C73C" w14:textId="77777777" w:rsidR="004C3823" w:rsidRDefault="004C3823" w:rsidP="00D638AE">
            <w:pPr>
              <w:ind w:left="113" w:right="113"/>
              <w:rPr>
                <w:sz w:val="24"/>
                <w:szCs w:val="24"/>
              </w:rPr>
            </w:pPr>
            <w:r>
              <w:rPr>
                <w:sz w:val="24"/>
                <w:szCs w:val="24"/>
              </w:rPr>
              <w:t>-2.10</w:t>
            </w:r>
          </w:p>
        </w:tc>
        <w:tc>
          <w:tcPr>
            <w:tcW w:w="523" w:type="dxa"/>
            <w:textDirection w:val="btLr"/>
          </w:tcPr>
          <w:p w14:paraId="48FCF408" w14:textId="77777777" w:rsidR="004C3823" w:rsidRDefault="004C3823" w:rsidP="00D638AE">
            <w:pPr>
              <w:ind w:left="113" w:right="113"/>
              <w:rPr>
                <w:sz w:val="24"/>
                <w:szCs w:val="24"/>
              </w:rPr>
            </w:pPr>
            <w:r>
              <w:rPr>
                <w:sz w:val="24"/>
                <w:szCs w:val="24"/>
              </w:rPr>
              <w:t>-1.86</w:t>
            </w:r>
          </w:p>
        </w:tc>
        <w:tc>
          <w:tcPr>
            <w:tcW w:w="523" w:type="dxa"/>
            <w:textDirection w:val="btLr"/>
          </w:tcPr>
          <w:p w14:paraId="2B2AA954" w14:textId="77777777" w:rsidR="004C3823" w:rsidRDefault="004C3823" w:rsidP="00D638AE">
            <w:pPr>
              <w:ind w:left="113" w:right="113"/>
              <w:rPr>
                <w:sz w:val="24"/>
                <w:szCs w:val="24"/>
              </w:rPr>
            </w:pPr>
            <w:r>
              <w:rPr>
                <w:sz w:val="24"/>
                <w:szCs w:val="24"/>
              </w:rPr>
              <w:t>-2.28</w:t>
            </w:r>
          </w:p>
        </w:tc>
        <w:tc>
          <w:tcPr>
            <w:tcW w:w="523" w:type="dxa"/>
            <w:tcBorders>
              <w:right w:val="single" w:sz="4" w:space="0" w:color="auto"/>
            </w:tcBorders>
            <w:textDirection w:val="btLr"/>
          </w:tcPr>
          <w:p w14:paraId="1EAECDDD" w14:textId="77777777" w:rsidR="004C3823" w:rsidRDefault="004C3823" w:rsidP="00D638AE">
            <w:pPr>
              <w:ind w:left="113" w:right="113"/>
              <w:rPr>
                <w:sz w:val="24"/>
                <w:szCs w:val="24"/>
              </w:rPr>
            </w:pPr>
            <w:r>
              <w:rPr>
                <w:sz w:val="24"/>
                <w:szCs w:val="24"/>
              </w:rPr>
              <w:t>-1.69</w:t>
            </w:r>
          </w:p>
        </w:tc>
        <w:tc>
          <w:tcPr>
            <w:tcW w:w="1046" w:type="dxa"/>
            <w:vMerge/>
            <w:tcBorders>
              <w:top w:val="nil"/>
              <w:left w:val="single" w:sz="4" w:space="0" w:color="auto"/>
              <w:bottom w:val="nil"/>
              <w:right w:val="nil"/>
            </w:tcBorders>
            <w:textDirection w:val="btLr"/>
          </w:tcPr>
          <w:p w14:paraId="331C62AA" w14:textId="77777777" w:rsidR="004C3823" w:rsidRDefault="004C3823" w:rsidP="00D638AE">
            <w:pPr>
              <w:ind w:left="113" w:right="113"/>
              <w:rPr>
                <w:sz w:val="24"/>
                <w:szCs w:val="24"/>
              </w:rPr>
            </w:pPr>
          </w:p>
        </w:tc>
        <w:tc>
          <w:tcPr>
            <w:tcW w:w="1139" w:type="dxa"/>
            <w:vMerge/>
            <w:tcBorders>
              <w:left w:val="nil"/>
              <w:right w:val="nil"/>
            </w:tcBorders>
            <w:textDirection w:val="btLr"/>
          </w:tcPr>
          <w:p w14:paraId="6301E341" w14:textId="77777777" w:rsidR="004C3823" w:rsidRDefault="004C3823" w:rsidP="00D638AE">
            <w:pPr>
              <w:ind w:left="113" w:right="113"/>
              <w:rPr>
                <w:sz w:val="24"/>
                <w:szCs w:val="24"/>
              </w:rPr>
            </w:pPr>
          </w:p>
        </w:tc>
      </w:tr>
      <w:tr w:rsidR="004C3823" w14:paraId="02F0264A" w14:textId="77777777" w:rsidTr="00FF4FB5">
        <w:trPr>
          <w:cantSplit/>
          <w:trHeight w:val="1340"/>
        </w:trPr>
        <w:tc>
          <w:tcPr>
            <w:tcW w:w="1118" w:type="dxa"/>
            <w:textDirection w:val="btLr"/>
          </w:tcPr>
          <w:p w14:paraId="4EF3FA17" w14:textId="77777777" w:rsidR="004C3823" w:rsidRDefault="004C3823" w:rsidP="00D638AE">
            <w:pPr>
              <w:ind w:left="113" w:right="113"/>
              <w:rPr>
                <w:sz w:val="24"/>
                <w:szCs w:val="24"/>
              </w:rPr>
            </w:pPr>
            <w:r>
              <w:rPr>
                <w:sz w:val="24"/>
                <w:szCs w:val="24"/>
              </w:rPr>
              <w:t>Percentage of events above Mc</w:t>
            </w:r>
          </w:p>
        </w:tc>
        <w:tc>
          <w:tcPr>
            <w:tcW w:w="523" w:type="dxa"/>
            <w:textDirection w:val="btLr"/>
          </w:tcPr>
          <w:p w14:paraId="00CE2B9C" w14:textId="77777777" w:rsidR="004C3823" w:rsidRDefault="004C3823" w:rsidP="00D638AE">
            <w:pPr>
              <w:ind w:left="113" w:right="113"/>
              <w:rPr>
                <w:sz w:val="24"/>
                <w:szCs w:val="24"/>
              </w:rPr>
            </w:pPr>
            <w:r>
              <w:rPr>
                <w:sz w:val="24"/>
                <w:szCs w:val="24"/>
              </w:rPr>
              <w:t>61.25%</w:t>
            </w:r>
          </w:p>
        </w:tc>
        <w:tc>
          <w:tcPr>
            <w:tcW w:w="523" w:type="dxa"/>
            <w:textDirection w:val="btLr"/>
          </w:tcPr>
          <w:p w14:paraId="006BBEB1" w14:textId="77777777" w:rsidR="004C3823" w:rsidRDefault="004C3823" w:rsidP="00D638AE">
            <w:pPr>
              <w:ind w:left="113" w:right="113"/>
              <w:rPr>
                <w:sz w:val="24"/>
                <w:szCs w:val="24"/>
              </w:rPr>
            </w:pPr>
            <w:r>
              <w:rPr>
                <w:sz w:val="24"/>
                <w:szCs w:val="24"/>
              </w:rPr>
              <w:t>61.10%</w:t>
            </w:r>
          </w:p>
        </w:tc>
        <w:tc>
          <w:tcPr>
            <w:tcW w:w="523" w:type="dxa"/>
            <w:textDirection w:val="btLr"/>
          </w:tcPr>
          <w:p w14:paraId="407F3690" w14:textId="77777777" w:rsidR="004C3823" w:rsidRDefault="004C3823" w:rsidP="00D638AE">
            <w:pPr>
              <w:ind w:left="113" w:right="113"/>
              <w:rPr>
                <w:sz w:val="24"/>
                <w:szCs w:val="24"/>
              </w:rPr>
            </w:pPr>
            <w:r>
              <w:rPr>
                <w:sz w:val="24"/>
                <w:szCs w:val="24"/>
              </w:rPr>
              <w:t>74.72%</w:t>
            </w:r>
          </w:p>
        </w:tc>
        <w:tc>
          <w:tcPr>
            <w:tcW w:w="523" w:type="dxa"/>
            <w:tcBorders>
              <w:right w:val="single" w:sz="4" w:space="0" w:color="auto"/>
            </w:tcBorders>
            <w:textDirection w:val="btLr"/>
          </w:tcPr>
          <w:p w14:paraId="6B5D025E" w14:textId="77777777" w:rsidR="004C3823" w:rsidRDefault="004C3823" w:rsidP="00D638AE">
            <w:pPr>
              <w:ind w:left="113" w:right="113"/>
              <w:rPr>
                <w:sz w:val="24"/>
                <w:szCs w:val="24"/>
              </w:rPr>
            </w:pPr>
            <w:r>
              <w:rPr>
                <w:sz w:val="24"/>
                <w:szCs w:val="24"/>
              </w:rPr>
              <w:t>72.82%</w:t>
            </w:r>
          </w:p>
        </w:tc>
        <w:tc>
          <w:tcPr>
            <w:tcW w:w="1046" w:type="dxa"/>
            <w:vMerge/>
            <w:tcBorders>
              <w:top w:val="nil"/>
              <w:left w:val="single" w:sz="4" w:space="0" w:color="auto"/>
              <w:bottom w:val="nil"/>
              <w:right w:val="nil"/>
            </w:tcBorders>
            <w:textDirection w:val="btLr"/>
          </w:tcPr>
          <w:p w14:paraId="6A30CFC0" w14:textId="77777777" w:rsidR="004C3823" w:rsidRDefault="004C3823" w:rsidP="00D638AE">
            <w:pPr>
              <w:ind w:left="113" w:right="113"/>
              <w:rPr>
                <w:sz w:val="24"/>
                <w:szCs w:val="24"/>
              </w:rPr>
            </w:pPr>
          </w:p>
        </w:tc>
        <w:tc>
          <w:tcPr>
            <w:tcW w:w="1139" w:type="dxa"/>
            <w:vMerge/>
            <w:tcBorders>
              <w:left w:val="nil"/>
              <w:right w:val="nil"/>
            </w:tcBorders>
            <w:textDirection w:val="btLr"/>
          </w:tcPr>
          <w:p w14:paraId="6D9EDF79" w14:textId="77777777" w:rsidR="004C3823" w:rsidRDefault="004C3823" w:rsidP="00D638AE">
            <w:pPr>
              <w:ind w:left="113" w:right="113"/>
              <w:rPr>
                <w:sz w:val="24"/>
                <w:szCs w:val="24"/>
              </w:rPr>
            </w:pPr>
          </w:p>
        </w:tc>
      </w:tr>
      <w:tr w:rsidR="004C3823" w14:paraId="1EE0C84D" w14:textId="77777777" w:rsidTr="00FF4FB5">
        <w:trPr>
          <w:cantSplit/>
          <w:trHeight w:val="1340"/>
        </w:trPr>
        <w:tc>
          <w:tcPr>
            <w:tcW w:w="1118" w:type="dxa"/>
            <w:textDirection w:val="btLr"/>
          </w:tcPr>
          <w:p w14:paraId="51F985C7" w14:textId="77777777" w:rsidR="004C3823" w:rsidRDefault="004C3823" w:rsidP="00D638AE">
            <w:pPr>
              <w:ind w:left="113" w:right="113"/>
              <w:rPr>
                <w:sz w:val="24"/>
                <w:szCs w:val="24"/>
              </w:rPr>
            </w:pPr>
            <w:r>
              <w:rPr>
                <w:sz w:val="24"/>
                <w:szCs w:val="24"/>
              </w:rPr>
              <w:t>New b-value</w:t>
            </w:r>
          </w:p>
        </w:tc>
        <w:tc>
          <w:tcPr>
            <w:tcW w:w="523" w:type="dxa"/>
            <w:textDirection w:val="btLr"/>
          </w:tcPr>
          <w:p w14:paraId="6C8DF32B" w14:textId="77777777" w:rsidR="004C3823" w:rsidRDefault="004C3823" w:rsidP="00D638AE">
            <w:pPr>
              <w:ind w:left="113" w:right="113"/>
              <w:rPr>
                <w:sz w:val="24"/>
                <w:szCs w:val="24"/>
              </w:rPr>
            </w:pPr>
            <w:r>
              <w:rPr>
                <w:sz w:val="24"/>
                <w:szCs w:val="24"/>
              </w:rPr>
              <w:t xml:space="preserve">1.92 </w:t>
            </w:r>
            <w:r>
              <w:rPr>
                <w:rFonts w:cstheme="minorHAnsi"/>
                <w:sz w:val="24"/>
                <w:szCs w:val="24"/>
              </w:rPr>
              <w:t>±</w:t>
            </w:r>
            <w:r>
              <w:rPr>
                <w:sz w:val="24"/>
                <w:szCs w:val="24"/>
              </w:rPr>
              <w:t xml:space="preserve"> 0.07</w:t>
            </w:r>
          </w:p>
        </w:tc>
        <w:tc>
          <w:tcPr>
            <w:tcW w:w="523" w:type="dxa"/>
            <w:textDirection w:val="btLr"/>
          </w:tcPr>
          <w:p w14:paraId="1CB69B3B" w14:textId="77777777" w:rsidR="004C3823" w:rsidRDefault="004C3823" w:rsidP="00D638AE">
            <w:pPr>
              <w:ind w:left="113" w:right="113"/>
              <w:rPr>
                <w:sz w:val="24"/>
                <w:szCs w:val="24"/>
              </w:rPr>
            </w:pPr>
            <w:r>
              <w:rPr>
                <w:sz w:val="24"/>
                <w:szCs w:val="24"/>
              </w:rPr>
              <w:t xml:space="preserve">1.83 </w:t>
            </w:r>
            <w:r>
              <w:rPr>
                <w:rFonts w:cstheme="minorHAnsi"/>
                <w:sz w:val="24"/>
                <w:szCs w:val="24"/>
              </w:rPr>
              <w:t>±</w:t>
            </w:r>
            <w:r>
              <w:rPr>
                <w:sz w:val="24"/>
                <w:szCs w:val="24"/>
              </w:rPr>
              <w:t xml:space="preserve"> 0.08</w:t>
            </w:r>
          </w:p>
        </w:tc>
        <w:tc>
          <w:tcPr>
            <w:tcW w:w="523" w:type="dxa"/>
            <w:textDirection w:val="btLr"/>
          </w:tcPr>
          <w:p w14:paraId="246DDB69" w14:textId="77777777" w:rsidR="004C3823" w:rsidRDefault="004C3823" w:rsidP="00D638AE">
            <w:pPr>
              <w:ind w:left="113" w:right="113"/>
              <w:rPr>
                <w:sz w:val="24"/>
                <w:szCs w:val="24"/>
              </w:rPr>
            </w:pPr>
            <w:r>
              <w:rPr>
                <w:sz w:val="24"/>
                <w:szCs w:val="24"/>
              </w:rPr>
              <w:t xml:space="preserve">2.09 </w:t>
            </w:r>
            <w:r>
              <w:rPr>
                <w:rFonts w:cstheme="minorHAnsi"/>
                <w:sz w:val="24"/>
                <w:szCs w:val="24"/>
              </w:rPr>
              <w:t>±</w:t>
            </w:r>
            <w:r>
              <w:rPr>
                <w:sz w:val="24"/>
                <w:szCs w:val="24"/>
              </w:rPr>
              <w:t xml:space="preserve"> 0.08</w:t>
            </w:r>
          </w:p>
        </w:tc>
        <w:tc>
          <w:tcPr>
            <w:tcW w:w="523" w:type="dxa"/>
            <w:tcBorders>
              <w:right w:val="single" w:sz="4" w:space="0" w:color="auto"/>
            </w:tcBorders>
            <w:textDirection w:val="btLr"/>
          </w:tcPr>
          <w:p w14:paraId="25870EBB" w14:textId="77777777" w:rsidR="004C3823" w:rsidRDefault="004C3823" w:rsidP="00D638AE">
            <w:pPr>
              <w:ind w:left="113" w:right="113"/>
              <w:rPr>
                <w:sz w:val="24"/>
                <w:szCs w:val="24"/>
              </w:rPr>
            </w:pPr>
            <w:r>
              <w:rPr>
                <w:sz w:val="24"/>
                <w:szCs w:val="24"/>
              </w:rPr>
              <w:t xml:space="preserve">1.63 </w:t>
            </w:r>
            <w:r>
              <w:rPr>
                <w:rFonts w:cstheme="minorHAnsi"/>
                <w:sz w:val="24"/>
                <w:szCs w:val="24"/>
              </w:rPr>
              <w:t>±</w:t>
            </w:r>
            <w:r>
              <w:rPr>
                <w:sz w:val="24"/>
                <w:szCs w:val="24"/>
              </w:rPr>
              <w:t xml:space="preserve"> 0.06</w:t>
            </w:r>
          </w:p>
        </w:tc>
        <w:tc>
          <w:tcPr>
            <w:tcW w:w="1046" w:type="dxa"/>
            <w:vMerge/>
            <w:tcBorders>
              <w:top w:val="nil"/>
              <w:left w:val="single" w:sz="4" w:space="0" w:color="auto"/>
              <w:bottom w:val="nil"/>
              <w:right w:val="nil"/>
            </w:tcBorders>
            <w:textDirection w:val="btLr"/>
          </w:tcPr>
          <w:p w14:paraId="494CEFA1" w14:textId="77777777" w:rsidR="004C3823" w:rsidRDefault="004C3823" w:rsidP="00D638AE">
            <w:pPr>
              <w:ind w:left="113" w:right="113"/>
              <w:rPr>
                <w:sz w:val="24"/>
                <w:szCs w:val="24"/>
              </w:rPr>
            </w:pPr>
          </w:p>
        </w:tc>
        <w:tc>
          <w:tcPr>
            <w:tcW w:w="1139" w:type="dxa"/>
            <w:vMerge/>
            <w:tcBorders>
              <w:left w:val="nil"/>
              <w:right w:val="nil"/>
            </w:tcBorders>
            <w:textDirection w:val="btLr"/>
          </w:tcPr>
          <w:p w14:paraId="2791C935" w14:textId="77777777" w:rsidR="004C3823" w:rsidRDefault="004C3823" w:rsidP="00D638AE">
            <w:pPr>
              <w:ind w:left="113" w:right="113"/>
              <w:rPr>
                <w:sz w:val="24"/>
                <w:szCs w:val="24"/>
              </w:rPr>
            </w:pPr>
          </w:p>
        </w:tc>
      </w:tr>
      <w:tr w:rsidR="004C3823" w14:paraId="639C888B" w14:textId="77777777" w:rsidTr="00FF4FB5">
        <w:trPr>
          <w:cantSplit/>
          <w:trHeight w:val="1457"/>
        </w:trPr>
        <w:tc>
          <w:tcPr>
            <w:tcW w:w="1118" w:type="dxa"/>
            <w:textDirection w:val="btLr"/>
          </w:tcPr>
          <w:p w14:paraId="307107D7" w14:textId="77777777" w:rsidR="004C3823" w:rsidRDefault="004C3823" w:rsidP="00D638AE">
            <w:pPr>
              <w:ind w:left="113" w:right="113"/>
              <w:rPr>
                <w:sz w:val="24"/>
                <w:szCs w:val="24"/>
              </w:rPr>
            </w:pPr>
            <w:r>
              <w:rPr>
                <w:sz w:val="24"/>
                <w:szCs w:val="24"/>
              </w:rPr>
              <w:t xml:space="preserve">Catalog </w:t>
            </w:r>
            <w:proofErr w:type="spellStart"/>
            <w:r>
              <w:rPr>
                <w:sz w:val="24"/>
                <w:szCs w:val="24"/>
              </w:rPr>
              <w:t>seismogenic</w:t>
            </w:r>
            <w:proofErr w:type="spellEnd"/>
            <w:r>
              <w:rPr>
                <w:sz w:val="24"/>
                <w:szCs w:val="24"/>
              </w:rPr>
              <w:t xml:space="preserve"> index</w:t>
            </w:r>
          </w:p>
        </w:tc>
        <w:tc>
          <w:tcPr>
            <w:tcW w:w="523" w:type="dxa"/>
            <w:textDirection w:val="btLr"/>
          </w:tcPr>
          <w:p w14:paraId="7B46A316" w14:textId="77777777" w:rsidR="004C3823" w:rsidRDefault="004C3823" w:rsidP="00D638AE">
            <w:pPr>
              <w:ind w:left="113" w:right="113"/>
              <w:rPr>
                <w:sz w:val="24"/>
                <w:szCs w:val="24"/>
              </w:rPr>
            </w:pPr>
            <w:r>
              <w:rPr>
                <w:sz w:val="24"/>
                <w:szCs w:val="24"/>
              </w:rPr>
              <w:t xml:space="preserve">-4.5 </w:t>
            </w:r>
            <w:r>
              <w:rPr>
                <w:rFonts w:cstheme="minorHAnsi"/>
                <w:sz w:val="24"/>
                <w:szCs w:val="24"/>
              </w:rPr>
              <w:t>±</w:t>
            </w:r>
            <w:r>
              <w:rPr>
                <w:sz w:val="24"/>
                <w:szCs w:val="24"/>
              </w:rPr>
              <w:t xml:space="preserve"> 0.23</w:t>
            </w:r>
          </w:p>
        </w:tc>
        <w:tc>
          <w:tcPr>
            <w:tcW w:w="523" w:type="dxa"/>
            <w:textDirection w:val="btLr"/>
          </w:tcPr>
          <w:p w14:paraId="5FEB76FB" w14:textId="77777777" w:rsidR="004C3823" w:rsidRDefault="004C3823" w:rsidP="00D638AE">
            <w:pPr>
              <w:ind w:left="113" w:right="113"/>
              <w:rPr>
                <w:sz w:val="24"/>
                <w:szCs w:val="24"/>
              </w:rPr>
            </w:pPr>
            <w:r>
              <w:rPr>
                <w:sz w:val="24"/>
                <w:szCs w:val="24"/>
              </w:rPr>
              <w:t xml:space="preserve">-3.6 </w:t>
            </w:r>
            <w:r>
              <w:rPr>
                <w:rFonts w:cstheme="minorHAnsi"/>
                <w:sz w:val="24"/>
                <w:szCs w:val="24"/>
              </w:rPr>
              <w:t>±</w:t>
            </w:r>
            <w:r>
              <w:rPr>
                <w:sz w:val="24"/>
                <w:szCs w:val="24"/>
              </w:rPr>
              <w:t xml:space="preserve"> 0.11</w:t>
            </w:r>
          </w:p>
        </w:tc>
        <w:tc>
          <w:tcPr>
            <w:tcW w:w="523" w:type="dxa"/>
            <w:textDirection w:val="btLr"/>
          </w:tcPr>
          <w:p w14:paraId="67405BEA" w14:textId="77777777" w:rsidR="004C3823" w:rsidRDefault="004C3823" w:rsidP="00D638AE">
            <w:pPr>
              <w:ind w:left="113" w:right="113"/>
              <w:rPr>
                <w:sz w:val="24"/>
                <w:szCs w:val="24"/>
              </w:rPr>
            </w:pPr>
            <w:r>
              <w:rPr>
                <w:sz w:val="24"/>
                <w:szCs w:val="24"/>
              </w:rPr>
              <w:t xml:space="preserve">-6.4 </w:t>
            </w:r>
            <w:r>
              <w:rPr>
                <w:rFonts w:cstheme="minorHAnsi"/>
                <w:sz w:val="24"/>
                <w:szCs w:val="24"/>
              </w:rPr>
              <w:t>±</w:t>
            </w:r>
            <w:r>
              <w:rPr>
                <w:sz w:val="24"/>
                <w:szCs w:val="24"/>
              </w:rPr>
              <w:t xml:space="preserve"> 0.56</w:t>
            </w:r>
          </w:p>
        </w:tc>
        <w:tc>
          <w:tcPr>
            <w:tcW w:w="523" w:type="dxa"/>
            <w:tcBorders>
              <w:right w:val="single" w:sz="4" w:space="0" w:color="auto"/>
            </w:tcBorders>
            <w:textDirection w:val="btLr"/>
          </w:tcPr>
          <w:p w14:paraId="2B130CF5" w14:textId="77777777" w:rsidR="004C3823" w:rsidRDefault="004C3823" w:rsidP="00D638AE">
            <w:pPr>
              <w:ind w:left="113" w:right="113"/>
              <w:rPr>
                <w:sz w:val="24"/>
                <w:szCs w:val="24"/>
              </w:rPr>
            </w:pPr>
            <w:r>
              <w:rPr>
                <w:sz w:val="24"/>
                <w:szCs w:val="24"/>
              </w:rPr>
              <w:t xml:space="preserve">-3.1 </w:t>
            </w:r>
            <w:r>
              <w:rPr>
                <w:rFonts w:cstheme="minorHAnsi"/>
                <w:sz w:val="24"/>
                <w:szCs w:val="24"/>
              </w:rPr>
              <w:t>±</w:t>
            </w:r>
            <w:r>
              <w:rPr>
                <w:sz w:val="24"/>
                <w:szCs w:val="24"/>
              </w:rPr>
              <w:t xml:space="preserve"> 0.12</w:t>
            </w:r>
          </w:p>
        </w:tc>
        <w:tc>
          <w:tcPr>
            <w:tcW w:w="1046" w:type="dxa"/>
            <w:vMerge/>
            <w:tcBorders>
              <w:top w:val="nil"/>
              <w:left w:val="single" w:sz="4" w:space="0" w:color="auto"/>
              <w:bottom w:val="nil"/>
              <w:right w:val="nil"/>
            </w:tcBorders>
            <w:textDirection w:val="btLr"/>
          </w:tcPr>
          <w:p w14:paraId="14E4CA87" w14:textId="77777777" w:rsidR="004C3823" w:rsidRDefault="004C3823" w:rsidP="00D638AE">
            <w:pPr>
              <w:ind w:left="113" w:right="113"/>
              <w:rPr>
                <w:sz w:val="24"/>
                <w:szCs w:val="24"/>
              </w:rPr>
            </w:pPr>
          </w:p>
        </w:tc>
        <w:tc>
          <w:tcPr>
            <w:tcW w:w="1139" w:type="dxa"/>
            <w:vMerge/>
            <w:tcBorders>
              <w:left w:val="nil"/>
              <w:right w:val="nil"/>
            </w:tcBorders>
            <w:textDirection w:val="btLr"/>
          </w:tcPr>
          <w:p w14:paraId="283A6760" w14:textId="77777777" w:rsidR="004C3823" w:rsidRDefault="004C3823" w:rsidP="00D638AE">
            <w:pPr>
              <w:ind w:left="113" w:right="113"/>
              <w:rPr>
                <w:sz w:val="24"/>
                <w:szCs w:val="24"/>
              </w:rPr>
            </w:pPr>
          </w:p>
        </w:tc>
      </w:tr>
      <w:tr w:rsidR="004C3823" w14:paraId="21BF1A7E" w14:textId="77777777" w:rsidTr="00FF4FB5">
        <w:trPr>
          <w:cantSplit/>
          <w:trHeight w:val="773"/>
        </w:trPr>
        <w:tc>
          <w:tcPr>
            <w:tcW w:w="1118" w:type="dxa"/>
            <w:textDirection w:val="btLr"/>
          </w:tcPr>
          <w:p w14:paraId="072F1EF5" w14:textId="77777777" w:rsidR="004C3823" w:rsidRDefault="004C3823" w:rsidP="00D638AE">
            <w:pPr>
              <w:ind w:left="113" w:right="113"/>
              <w:rPr>
                <w:sz w:val="24"/>
                <w:szCs w:val="24"/>
              </w:rPr>
            </w:pPr>
            <w:r>
              <w:rPr>
                <w:sz w:val="24"/>
                <w:szCs w:val="24"/>
              </w:rPr>
              <w:t>Mc</w:t>
            </w:r>
          </w:p>
        </w:tc>
        <w:tc>
          <w:tcPr>
            <w:tcW w:w="523" w:type="dxa"/>
            <w:textDirection w:val="btLr"/>
          </w:tcPr>
          <w:p w14:paraId="35C3440B" w14:textId="77777777" w:rsidR="004C3823" w:rsidRDefault="004C3823" w:rsidP="00D638AE">
            <w:pPr>
              <w:ind w:left="113" w:right="113"/>
              <w:rPr>
                <w:sz w:val="24"/>
                <w:szCs w:val="24"/>
              </w:rPr>
            </w:pPr>
            <w:r>
              <w:rPr>
                <w:sz w:val="24"/>
                <w:szCs w:val="24"/>
              </w:rPr>
              <w:t>-2.15</w:t>
            </w:r>
          </w:p>
        </w:tc>
        <w:tc>
          <w:tcPr>
            <w:tcW w:w="523" w:type="dxa"/>
            <w:textDirection w:val="btLr"/>
          </w:tcPr>
          <w:p w14:paraId="1F1625D3" w14:textId="77777777" w:rsidR="004C3823" w:rsidRDefault="004C3823" w:rsidP="00D638AE">
            <w:pPr>
              <w:ind w:left="113" w:right="113"/>
              <w:rPr>
                <w:sz w:val="24"/>
                <w:szCs w:val="24"/>
              </w:rPr>
            </w:pPr>
            <w:r>
              <w:rPr>
                <w:sz w:val="24"/>
                <w:szCs w:val="24"/>
              </w:rPr>
              <w:t>-1.88</w:t>
            </w:r>
          </w:p>
        </w:tc>
        <w:tc>
          <w:tcPr>
            <w:tcW w:w="523" w:type="dxa"/>
            <w:textDirection w:val="btLr"/>
          </w:tcPr>
          <w:p w14:paraId="2FB5E299" w14:textId="77777777" w:rsidR="004C3823" w:rsidRDefault="004C3823" w:rsidP="00D638AE">
            <w:pPr>
              <w:ind w:left="113" w:right="113"/>
              <w:rPr>
                <w:sz w:val="24"/>
                <w:szCs w:val="24"/>
              </w:rPr>
            </w:pPr>
            <w:r>
              <w:rPr>
                <w:sz w:val="24"/>
                <w:szCs w:val="24"/>
              </w:rPr>
              <w:t>-2.23</w:t>
            </w:r>
          </w:p>
        </w:tc>
        <w:tc>
          <w:tcPr>
            <w:tcW w:w="523" w:type="dxa"/>
            <w:tcBorders>
              <w:right w:val="single" w:sz="4" w:space="0" w:color="auto"/>
            </w:tcBorders>
            <w:textDirection w:val="btLr"/>
          </w:tcPr>
          <w:p w14:paraId="6FC2E457" w14:textId="77777777" w:rsidR="004C3823" w:rsidRDefault="004C3823" w:rsidP="00D638AE">
            <w:pPr>
              <w:ind w:left="113" w:right="113"/>
              <w:rPr>
                <w:sz w:val="24"/>
                <w:szCs w:val="24"/>
              </w:rPr>
            </w:pPr>
            <w:r>
              <w:rPr>
                <w:sz w:val="24"/>
                <w:szCs w:val="24"/>
              </w:rPr>
              <w:t>-1.64</w:t>
            </w:r>
          </w:p>
        </w:tc>
        <w:tc>
          <w:tcPr>
            <w:tcW w:w="1046" w:type="dxa"/>
            <w:vMerge/>
            <w:tcBorders>
              <w:top w:val="nil"/>
              <w:left w:val="single" w:sz="4" w:space="0" w:color="auto"/>
              <w:bottom w:val="nil"/>
              <w:right w:val="nil"/>
            </w:tcBorders>
            <w:textDirection w:val="btLr"/>
          </w:tcPr>
          <w:p w14:paraId="22BED8DD" w14:textId="77777777" w:rsidR="004C3823" w:rsidRDefault="004C3823" w:rsidP="00D638AE">
            <w:pPr>
              <w:ind w:left="113" w:right="113"/>
              <w:rPr>
                <w:sz w:val="24"/>
                <w:szCs w:val="24"/>
              </w:rPr>
            </w:pPr>
          </w:p>
        </w:tc>
        <w:tc>
          <w:tcPr>
            <w:tcW w:w="1139" w:type="dxa"/>
            <w:vMerge/>
            <w:tcBorders>
              <w:left w:val="nil"/>
              <w:right w:val="nil"/>
            </w:tcBorders>
            <w:textDirection w:val="btLr"/>
          </w:tcPr>
          <w:p w14:paraId="0E92687C" w14:textId="77777777" w:rsidR="004C3823" w:rsidRDefault="004C3823" w:rsidP="00D638AE">
            <w:pPr>
              <w:ind w:left="113" w:right="113"/>
              <w:rPr>
                <w:sz w:val="24"/>
                <w:szCs w:val="24"/>
              </w:rPr>
            </w:pPr>
          </w:p>
        </w:tc>
      </w:tr>
      <w:tr w:rsidR="004C3823" w14:paraId="7DFE9BCE" w14:textId="77777777" w:rsidTr="00FF4FB5">
        <w:trPr>
          <w:cantSplit/>
          <w:trHeight w:val="1340"/>
        </w:trPr>
        <w:tc>
          <w:tcPr>
            <w:tcW w:w="1118" w:type="dxa"/>
            <w:textDirection w:val="btLr"/>
          </w:tcPr>
          <w:p w14:paraId="3B680527" w14:textId="77777777" w:rsidR="004C3823" w:rsidRDefault="004C3823" w:rsidP="00D638AE">
            <w:pPr>
              <w:ind w:left="113" w:right="113"/>
              <w:rPr>
                <w:sz w:val="24"/>
                <w:szCs w:val="24"/>
              </w:rPr>
            </w:pPr>
            <w:r>
              <w:rPr>
                <w:sz w:val="24"/>
                <w:szCs w:val="24"/>
              </w:rPr>
              <w:t>Percentage of events above Mc</w:t>
            </w:r>
          </w:p>
        </w:tc>
        <w:tc>
          <w:tcPr>
            <w:tcW w:w="523" w:type="dxa"/>
            <w:textDirection w:val="btLr"/>
          </w:tcPr>
          <w:p w14:paraId="209A778C" w14:textId="77777777" w:rsidR="004C3823" w:rsidRDefault="004C3823" w:rsidP="00D638AE">
            <w:pPr>
              <w:ind w:left="113" w:right="113"/>
              <w:rPr>
                <w:sz w:val="24"/>
                <w:szCs w:val="24"/>
              </w:rPr>
            </w:pPr>
            <w:r>
              <w:rPr>
                <w:sz w:val="24"/>
                <w:szCs w:val="24"/>
              </w:rPr>
              <w:t>60.67%</w:t>
            </w:r>
          </w:p>
        </w:tc>
        <w:tc>
          <w:tcPr>
            <w:tcW w:w="523" w:type="dxa"/>
            <w:textDirection w:val="btLr"/>
          </w:tcPr>
          <w:p w14:paraId="60E8E92F" w14:textId="77777777" w:rsidR="004C3823" w:rsidRDefault="004C3823" w:rsidP="00D638AE">
            <w:pPr>
              <w:ind w:left="113" w:right="113"/>
              <w:rPr>
                <w:sz w:val="24"/>
                <w:szCs w:val="24"/>
              </w:rPr>
            </w:pPr>
            <w:r>
              <w:rPr>
                <w:sz w:val="24"/>
                <w:szCs w:val="24"/>
              </w:rPr>
              <w:t>53.42%</w:t>
            </w:r>
          </w:p>
        </w:tc>
        <w:tc>
          <w:tcPr>
            <w:tcW w:w="523" w:type="dxa"/>
            <w:textDirection w:val="btLr"/>
          </w:tcPr>
          <w:p w14:paraId="62469A2C" w14:textId="77777777" w:rsidR="004C3823" w:rsidRDefault="004C3823" w:rsidP="00D638AE">
            <w:pPr>
              <w:ind w:left="113" w:right="113"/>
              <w:rPr>
                <w:sz w:val="24"/>
                <w:szCs w:val="24"/>
              </w:rPr>
            </w:pPr>
            <w:r>
              <w:rPr>
                <w:sz w:val="24"/>
                <w:szCs w:val="24"/>
              </w:rPr>
              <w:t>63.69%</w:t>
            </w:r>
          </w:p>
        </w:tc>
        <w:tc>
          <w:tcPr>
            <w:tcW w:w="523" w:type="dxa"/>
            <w:tcBorders>
              <w:right w:val="single" w:sz="4" w:space="0" w:color="auto"/>
            </w:tcBorders>
            <w:textDirection w:val="btLr"/>
          </w:tcPr>
          <w:p w14:paraId="49956B9E" w14:textId="77777777" w:rsidR="004C3823" w:rsidRDefault="004C3823" w:rsidP="00D638AE">
            <w:pPr>
              <w:ind w:left="113" w:right="113"/>
              <w:rPr>
                <w:sz w:val="24"/>
                <w:szCs w:val="24"/>
              </w:rPr>
            </w:pPr>
            <w:r>
              <w:rPr>
                <w:sz w:val="24"/>
                <w:szCs w:val="24"/>
              </w:rPr>
              <w:t>66.97%</w:t>
            </w:r>
          </w:p>
        </w:tc>
        <w:tc>
          <w:tcPr>
            <w:tcW w:w="1046" w:type="dxa"/>
            <w:vMerge/>
            <w:tcBorders>
              <w:top w:val="nil"/>
              <w:left w:val="single" w:sz="4" w:space="0" w:color="auto"/>
              <w:bottom w:val="nil"/>
              <w:right w:val="nil"/>
            </w:tcBorders>
            <w:textDirection w:val="btLr"/>
          </w:tcPr>
          <w:p w14:paraId="044E59E1" w14:textId="77777777" w:rsidR="004C3823" w:rsidRDefault="004C3823" w:rsidP="00D638AE">
            <w:pPr>
              <w:ind w:left="113" w:right="113"/>
              <w:rPr>
                <w:sz w:val="24"/>
                <w:szCs w:val="24"/>
              </w:rPr>
            </w:pPr>
          </w:p>
        </w:tc>
        <w:tc>
          <w:tcPr>
            <w:tcW w:w="1139" w:type="dxa"/>
            <w:vMerge/>
            <w:tcBorders>
              <w:left w:val="nil"/>
              <w:right w:val="nil"/>
            </w:tcBorders>
            <w:textDirection w:val="btLr"/>
          </w:tcPr>
          <w:p w14:paraId="4CDAB92C" w14:textId="77777777" w:rsidR="004C3823" w:rsidRDefault="004C3823" w:rsidP="00D638AE">
            <w:pPr>
              <w:ind w:left="113" w:right="113"/>
              <w:rPr>
                <w:sz w:val="24"/>
                <w:szCs w:val="24"/>
              </w:rPr>
            </w:pPr>
          </w:p>
        </w:tc>
      </w:tr>
      <w:tr w:rsidR="004C3823" w14:paraId="120E62DF" w14:textId="77777777" w:rsidTr="00FF4FB5">
        <w:trPr>
          <w:cantSplit/>
          <w:trHeight w:val="1313"/>
        </w:trPr>
        <w:tc>
          <w:tcPr>
            <w:tcW w:w="1118" w:type="dxa"/>
            <w:textDirection w:val="btLr"/>
          </w:tcPr>
          <w:p w14:paraId="2BAC3156" w14:textId="77777777" w:rsidR="004C3823" w:rsidRDefault="004C3823" w:rsidP="00D638AE">
            <w:pPr>
              <w:ind w:left="113" w:right="113"/>
              <w:rPr>
                <w:sz w:val="24"/>
                <w:szCs w:val="24"/>
              </w:rPr>
            </w:pPr>
            <w:r>
              <w:rPr>
                <w:sz w:val="24"/>
                <w:szCs w:val="24"/>
              </w:rPr>
              <w:t>Catalog b-value</w:t>
            </w:r>
          </w:p>
        </w:tc>
        <w:tc>
          <w:tcPr>
            <w:tcW w:w="523" w:type="dxa"/>
            <w:textDirection w:val="btLr"/>
          </w:tcPr>
          <w:p w14:paraId="07ED81B1" w14:textId="77777777" w:rsidR="004C3823" w:rsidRDefault="004C3823" w:rsidP="00D638AE">
            <w:pPr>
              <w:ind w:left="113" w:right="113"/>
              <w:rPr>
                <w:sz w:val="24"/>
                <w:szCs w:val="24"/>
              </w:rPr>
            </w:pPr>
            <w:r>
              <w:rPr>
                <w:sz w:val="24"/>
                <w:szCs w:val="24"/>
              </w:rPr>
              <w:t xml:space="preserve">1.98 </w:t>
            </w:r>
            <w:r>
              <w:rPr>
                <w:rFonts w:cstheme="minorHAnsi"/>
                <w:sz w:val="24"/>
                <w:szCs w:val="24"/>
              </w:rPr>
              <w:t>±</w:t>
            </w:r>
            <w:r>
              <w:rPr>
                <w:sz w:val="24"/>
                <w:szCs w:val="24"/>
              </w:rPr>
              <w:t xml:space="preserve"> 0.07</w:t>
            </w:r>
          </w:p>
        </w:tc>
        <w:tc>
          <w:tcPr>
            <w:tcW w:w="523" w:type="dxa"/>
            <w:textDirection w:val="btLr"/>
          </w:tcPr>
          <w:p w14:paraId="3D9527C9" w14:textId="77777777" w:rsidR="004C3823" w:rsidRDefault="004C3823" w:rsidP="00D638AE">
            <w:pPr>
              <w:ind w:left="113" w:right="113"/>
              <w:rPr>
                <w:sz w:val="24"/>
                <w:szCs w:val="24"/>
              </w:rPr>
            </w:pPr>
            <w:r>
              <w:rPr>
                <w:sz w:val="24"/>
                <w:szCs w:val="24"/>
              </w:rPr>
              <w:t xml:space="preserve">1.79 </w:t>
            </w:r>
            <w:r>
              <w:rPr>
                <w:rFonts w:cstheme="minorHAnsi"/>
                <w:sz w:val="24"/>
                <w:szCs w:val="24"/>
              </w:rPr>
              <w:t>±</w:t>
            </w:r>
            <w:r>
              <w:rPr>
                <w:sz w:val="24"/>
                <w:szCs w:val="24"/>
              </w:rPr>
              <w:t xml:space="preserve"> 0.06</w:t>
            </w:r>
          </w:p>
        </w:tc>
        <w:tc>
          <w:tcPr>
            <w:tcW w:w="523" w:type="dxa"/>
            <w:textDirection w:val="btLr"/>
          </w:tcPr>
          <w:p w14:paraId="1E24249C" w14:textId="77777777" w:rsidR="004C3823" w:rsidRDefault="004C3823" w:rsidP="00D638AE">
            <w:pPr>
              <w:ind w:left="113" w:right="113"/>
              <w:rPr>
                <w:sz w:val="24"/>
                <w:szCs w:val="24"/>
              </w:rPr>
            </w:pPr>
            <w:r>
              <w:rPr>
                <w:sz w:val="24"/>
                <w:szCs w:val="24"/>
              </w:rPr>
              <w:t xml:space="preserve">2.62 </w:t>
            </w:r>
            <w:r>
              <w:rPr>
                <w:rFonts w:cstheme="minorHAnsi"/>
                <w:sz w:val="24"/>
                <w:szCs w:val="24"/>
              </w:rPr>
              <w:t>±</w:t>
            </w:r>
            <w:r>
              <w:rPr>
                <w:sz w:val="24"/>
                <w:szCs w:val="24"/>
              </w:rPr>
              <w:t xml:space="preserve"> 0.10</w:t>
            </w:r>
          </w:p>
        </w:tc>
        <w:tc>
          <w:tcPr>
            <w:tcW w:w="523" w:type="dxa"/>
            <w:tcBorders>
              <w:right w:val="single" w:sz="4" w:space="0" w:color="auto"/>
            </w:tcBorders>
            <w:textDirection w:val="btLr"/>
          </w:tcPr>
          <w:p w14:paraId="6B9D3F4C" w14:textId="77777777" w:rsidR="004C3823" w:rsidRDefault="004C3823" w:rsidP="00D638AE">
            <w:pPr>
              <w:ind w:left="113" w:right="113"/>
              <w:rPr>
                <w:sz w:val="24"/>
                <w:szCs w:val="24"/>
              </w:rPr>
            </w:pPr>
            <w:r>
              <w:rPr>
                <w:sz w:val="24"/>
                <w:szCs w:val="24"/>
              </w:rPr>
              <w:t xml:space="preserve">1.88 </w:t>
            </w:r>
            <w:r>
              <w:rPr>
                <w:rFonts w:cstheme="minorHAnsi"/>
                <w:sz w:val="24"/>
                <w:szCs w:val="24"/>
              </w:rPr>
              <w:t>±</w:t>
            </w:r>
            <w:r>
              <w:rPr>
                <w:sz w:val="24"/>
                <w:szCs w:val="24"/>
              </w:rPr>
              <w:t xml:space="preserve"> 0.07</w:t>
            </w:r>
          </w:p>
        </w:tc>
        <w:tc>
          <w:tcPr>
            <w:tcW w:w="1046" w:type="dxa"/>
            <w:vMerge/>
            <w:tcBorders>
              <w:top w:val="nil"/>
              <w:left w:val="single" w:sz="4" w:space="0" w:color="auto"/>
              <w:bottom w:val="nil"/>
              <w:right w:val="nil"/>
            </w:tcBorders>
            <w:textDirection w:val="btLr"/>
          </w:tcPr>
          <w:p w14:paraId="0A924385" w14:textId="77777777" w:rsidR="004C3823" w:rsidRDefault="004C3823" w:rsidP="00D638AE">
            <w:pPr>
              <w:ind w:left="113" w:right="113"/>
              <w:rPr>
                <w:sz w:val="24"/>
                <w:szCs w:val="24"/>
              </w:rPr>
            </w:pPr>
          </w:p>
        </w:tc>
        <w:tc>
          <w:tcPr>
            <w:tcW w:w="1139" w:type="dxa"/>
            <w:vMerge/>
            <w:tcBorders>
              <w:left w:val="nil"/>
              <w:right w:val="nil"/>
            </w:tcBorders>
            <w:textDirection w:val="btLr"/>
          </w:tcPr>
          <w:p w14:paraId="2834F100" w14:textId="77777777" w:rsidR="004C3823" w:rsidRDefault="004C3823" w:rsidP="00D638AE">
            <w:pPr>
              <w:ind w:left="113" w:right="113"/>
              <w:rPr>
                <w:sz w:val="24"/>
                <w:szCs w:val="24"/>
              </w:rPr>
            </w:pPr>
          </w:p>
        </w:tc>
      </w:tr>
      <w:tr w:rsidR="004C3823" w14:paraId="2E62465B" w14:textId="77777777" w:rsidTr="00FF4FB5">
        <w:trPr>
          <w:cantSplit/>
          <w:trHeight w:val="1457"/>
        </w:trPr>
        <w:tc>
          <w:tcPr>
            <w:tcW w:w="1118" w:type="dxa"/>
            <w:textDirection w:val="btLr"/>
          </w:tcPr>
          <w:p w14:paraId="4CF3BEA2" w14:textId="77777777" w:rsidR="004C3823" w:rsidRDefault="004C3823" w:rsidP="00D638AE">
            <w:pPr>
              <w:ind w:left="113" w:right="113"/>
              <w:rPr>
                <w:sz w:val="24"/>
                <w:szCs w:val="24"/>
              </w:rPr>
            </w:pPr>
            <w:r>
              <w:rPr>
                <w:sz w:val="24"/>
                <w:szCs w:val="24"/>
              </w:rPr>
              <w:t>Depth range (m)</w:t>
            </w:r>
          </w:p>
        </w:tc>
        <w:tc>
          <w:tcPr>
            <w:tcW w:w="523" w:type="dxa"/>
            <w:textDirection w:val="btLr"/>
          </w:tcPr>
          <w:p w14:paraId="3DE51A7A" w14:textId="77777777" w:rsidR="004C3823" w:rsidRDefault="004C3823" w:rsidP="00D638AE">
            <w:pPr>
              <w:ind w:left="113" w:right="113"/>
              <w:rPr>
                <w:sz w:val="24"/>
                <w:szCs w:val="24"/>
              </w:rPr>
            </w:pPr>
            <w:r>
              <w:rPr>
                <w:sz w:val="24"/>
                <w:szCs w:val="24"/>
              </w:rPr>
              <w:t>2615 - 2696</w:t>
            </w:r>
          </w:p>
        </w:tc>
        <w:tc>
          <w:tcPr>
            <w:tcW w:w="523" w:type="dxa"/>
            <w:textDirection w:val="btLr"/>
          </w:tcPr>
          <w:p w14:paraId="19359B0E" w14:textId="77777777" w:rsidR="004C3823" w:rsidRDefault="004C3823" w:rsidP="00D638AE">
            <w:pPr>
              <w:ind w:left="113" w:right="113"/>
              <w:rPr>
                <w:sz w:val="24"/>
                <w:szCs w:val="24"/>
              </w:rPr>
            </w:pPr>
            <w:r>
              <w:rPr>
                <w:sz w:val="24"/>
                <w:szCs w:val="24"/>
              </w:rPr>
              <w:t>2757 - 2838</w:t>
            </w:r>
          </w:p>
        </w:tc>
        <w:tc>
          <w:tcPr>
            <w:tcW w:w="523" w:type="dxa"/>
            <w:textDirection w:val="btLr"/>
          </w:tcPr>
          <w:p w14:paraId="388A2EAB" w14:textId="77777777" w:rsidR="004C3823" w:rsidRDefault="004C3823" w:rsidP="00D638AE">
            <w:pPr>
              <w:ind w:left="113" w:right="113"/>
              <w:rPr>
                <w:sz w:val="24"/>
                <w:szCs w:val="24"/>
              </w:rPr>
            </w:pPr>
            <w:r>
              <w:rPr>
                <w:sz w:val="24"/>
                <w:szCs w:val="24"/>
              </w:rPr>
              <w:t>2607 - 2643</w:t>
            </w:r>
          </w:p>
        </w:tc>
        <w:tc>
          <w:tcPr>
            <w:tcW w:w="523" w:type="dxa"/>
            <w:tcBorders>
              <w:right w:val="single" w:sz="4" w:space="0" w:color="auto"/>
            </w:tcBorders>
            <w:textDirection w:val="btLr"/>
          </w:tcPr>
          <w:p w14:paraId="282D3402" w14:textId="77777777" w:rsidR="004C3823" w:rsidRDefault="004C3823" w:rsidP="00D638AE">
            <w:pPr>
              <w:ind w:left="113" w:right="113"/>
              <w:rPr>
                <w:sz w:val="24"/>
                <w:szCs w:val="24"/>
              </w:rPr>
            </w:pPr>
            <w:r>
              <w:rPr>
                <w:sz w:val="24"/>
                <w:szCs w:val="24"/>
              </w:rPr>
              <w:t>2746 - 2763</w:t>
            </w:r>
          </w:p>
        </w:tc>
        <w:tc>
          <w:tcPr>
            <w:tcW w:w="1046" w:type="dxa"/>
            <w:vMerge/>
            <w:tcBorders>
              <w:top w:val="nil"/>
              <w:left w:val="single" w:sz="4" w:space="0" w:color="auto"/>
              <w:bottom w:val="nil"/>
              <w:right w:val="nil"/>
            </w:tcBorders>
            <w:textDirection w:val="btLr"/>
          </w:tcPr>
          <w:p w14:paraId="6930FB0E" w14:textId="77777777" w:rsidR="004C3823" w:rsidRDefault="004C3823" w:rsidP="00D638AE">
            <w:pPr>
              <w:ind w:left="113" w:right="113"/>
              <w:rPr>
                <w:sz w:val="24"/>
                <w:szCs w:val="24"/>
              </w:rPr>
            </w:pPr>
          </w:p>
        </w:tc>
        <w:tc>
          <w:tcPr>
            <w:tcW w:w="1139" w:type="dxa"/>
            <w:vMerge/>
            <w:tcBorders>
              <w:left w:val="nil"/>
              <w:right w:val="nil"/>
            </w:tcBorders>
            <w:textDirection w:val="btLr"/>
          </w:tcPr>
          <w:p w14:paraId="171C291F" w14:textId="77777777" w:rsidR="004C3823" w:rsidRDefault="004C3823" w:rsidP="00D638AE">
            <w:pPr>
              <w:ind w:left="113" w:right="113"/>
              <w:rPr>
                <w:sz w:val="24"/>
                <w:szCs w:val="24"/>
              </w:rPr>
            </w:pPr>
          </w:p>
        </w:tc>
      </w:tr>
      <w:tr w:rsidR="004C3823" w14:paraId="495B4B1D" w14:textId="77777777" w:rsidTr="00FF4FB5">
        <w:trPr>
          <w:cantSplit/>
          <w:trHeight w:val="1250"/>
        </w:trPr>
        <w:tc>
          <w:tcPr>
            <w:tcW w:w="1118" w:type="dxa"/>
            <w:textDirection w:val="btLr"/>
          </w:tcPr>
          <w:p w14:paraId="0B31DE77" w14:textId="77777777" w:rsidR="004C3823" w:rsidRDefault="004C3823" w:rsidP="00D638AE">
            <w:pPr>
              <w:ind w:left="113" w:right="113"/>
              <w:rPr>
                <w:sz w:val="24"/>
                <w:szCs w:val="24"/>
              </w:rPr>
            </w:pPr>
            <w:r>
              <w:rPr>
                <w:sz w:val="24"/>
                <w:szCs w:val="24"/>
              </w:rPr>
              <w:t>Treatment</w:t>
            </w:r>
          </w:p>
        </w:tc>
        <w:tc>
          <w:tcPr>
            <w:tcW w:w="523" w:type="dxa"/>
            <w:textDirection w:val="btLr"/>
          </w:tcPr>
          <w:p w14:paraId="133020B3" w14:textId="77777777" w:rsidR="004C3823" w:rsidRDefault="004C3823" w:rsidP="00D638AE">
            <w:pPr>
              <w:ind w:left="113" w:right="113"/>
              <w:rPr>
                <w:sz w:val="24"/>
                <w:szCs w:val="24"/>
              </w:rPr>
            </w:pPr>
            <w:r>
              <w:rPr>
                <w:sz w:val="24"/>
                <w:szCs w:val="24"/>
              </w:rPr>
              <w:t>A</w:t>
            </w:r>
          </w:p>
        </w:tc>
        <w:tc>
          <w:tcPr>
            <w:tcW w:w="523" w:type="dxa"/>
            <w:textDirection w:val="btLr"/>
          </w:tcPr>
          <w:p w14:paraId="38631F9C" w14:textId="77777777" w:rsidR="004C3823" w:rsidRDefault="004C3823" w:rsidP="00D638AE">
            <w:pPr>
              <w:ind w:left="113" w:right="113"/>
              <w:rPr>
                <w:sz w:val="24"/>
                <w:szCs w:val="24"/>
              </w:rPr>
            </w:pPr>
            <w:r>
              <w:rPr>
                <w:sz w:val="24"/>
                <w:szCs w:val="24"/>
              </w:rPr>
              <w:t>B</w:t>
            </w:r>
          </w:p>
        </w:tc>
        <w:tc>
          <w:tcPr>
            <w:tcW w:w="523" w:type="dxa"/>
            <w:textDirection w:val="btLr"/>
          </w:tcPr>
          <w:p w14:paraId="4DC0806F" w14:textId="77777777" w:rsidR="004C3823" w:rsidRDefault="004C3823" w:rsidP="00D638AE">
            <w:pPr>
              <w:ind w:left="113" w:right="113"/>
              <w:rPr>
                <w:sz w:val="24"/>
                <w:szCs w:val="24"/>
              </w:rPr>
            </w:pPr>
            <w:r>
              <w:rPr>
                <w:sz w:val="24"/>
                <w:szCs w:val="24"/>
              </w:rPr>
              <w:t>C</w:t>
            </w:r>
          </w:p>
        </w:tc>
        <w:tc>
          <w:tcPr>
            <w:tcW w:w="523" w:type="dxa"/>
            <w:tcBorders>
              <w:right w:val="single" w:sz="4" w:space="0" w:color="auto"/>
            </w:tcBorders>
            <w:textDirection w:val="btLr"/>
          </w:tcPr>
          <w:p w14:paraId="6D0BF737" w14:textId="77777777" w:rsidR="004C3823" w:rsidRDefault="004C3823" w:rsidP="00D638AE">
            <w:pPr>
              <w:ind w:left="113" w:right="113"/>
              <w:rPr>
                <w:sz w:val="24"/>
                <w:szCs w:val="24"/>
              </w:rPr>
            </w:pPr>
            <w:r>
              <w:rPr>
                <w:sz w:val="24"/>
                <w:szCs w:val="24"/>
              </w:rPr>
              <w:t>E</w:t>
            </w:r>
          </w:p>
        </w:tc>
        <w:tc>
          <w:tcPr>
            <w:tcW w:w="1046" w:type="dxa"/>
            <w:vMerge/>
            <w:tcBorders>
              <w:top w:val="nil"/>
              <w:left w:val="single" w:sz="4" w:space="0" w:color="auto"/>
              <w:bottom w:val="nil"/>
              <w:right w:val="nil"/>
            </w:tcBorders>
            <w:textDirection w:val="btLr"/>
          </w:tcPr>
          <w:p w14:paraId="7F17F176" w14:textId="77777777" w:rsidR="004C3823" w:rsidRDefault="004C3823" w:rsidP="00D638AE">
            <w:pPr>
              <w:ind w:left="113" w:right="113"/>
              <w:rPr>
                <w:sz w:val="24"/>
                <w:szCs w:val="24"/>
              </w:rPr>
            </w:pPr>
          </w:p>
        </w:tc>
        <w:tc>
          <w:tcPr>
            <w:tcW w:w="1139" w:type="dxa"/>
            <w:vMerge/>
            <w:tcBorders>
              <w:left w:val="nil"/>
              <w:bottom w:val="nil"/>
              <w:right w:val="nil"/>
            </w:tcBorders>
            <w:textDirection w:val="btLr"/>
          </w:tcPr>
          <w:p w14:paraId="54973F11" w14:textId="77777777" w:rsidR="004C3823" w:rsidRDefault="004C3823" w:rsidP="00D638AE">
            <w:pPr>
              <w:ind w:left="113" w:right="113"/>
              <w:rPr>
                <w:sz w:val="24"/>
                <w:szCs w:val="24"/>
              </w:rPr>
            </w:pPr>
          </w:p>
        </w:tc>
      </w:tr>
    </w:tbl>
    <w:p w14:paraId="4E5D6C81" w14:textId="77777777" w:rsidR="004C3823" w:rsidRPr="00DF3746" w:rsidRDefault="004C3823" w:rsidP="00DF3746">
      <w:pPr>
        <w:rPr>
          <w:sz w:val="24"/>
          <w:szCs w:val="24"/>
        </w:rPr>
      </w:pPr>
    </w:p>
    <w:p w14:paraId="711869F3" w14:textId="77777777" w:rsidR="004C3823" w:rsidRDefault="004C3823" w:rsidP="007B255D">
      <w:pPr>
        <w:ind w:left="360"/>
        <w:rPr>
          <w:sz w:val="24"/>
          <w:szCs w:val="24"/>
        </w:rPr>
      </w:pPr>
      <w:r>
        <w:rPr>
          <w:noProof/>
        </w:rPr>
        <w:lastRenderedPageBreak/>
        <w:drawing>
          <wp:inline distT="0" distB="0" distL="0" distR="0" wp14:anchorId="36491333" wp14:editId="2C725BC7">
            <wp:extent cx="5347335" cy="3580447"/>
            <wp:effectExtent l="0" t="0" r="0" b="0"/>
            <wp:docPr id="1" name="image1.jpeg"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 screenshot, diagram, font&#10;&#10;Description automatically generated"/>
                    <pic:cNvPicPr/>
                  </pic:nvPicPr>
                  <pic:blipFill>
                    <a:blip r:embed="rId9" cstate="print"/>
                    <a:stretch>
                      <a:fillRect/>
                    </a:stretch>
                  </pic:blipFill>
                  <pic:spPr>
                    <a:xfrm>
                      <a:off x="0" y="0"/>
                      <a:ext cx="5347335" cy="3580447"/>
                    </a:xfrm>
                    <a:prstGeom prst="rect">
                      <a:avLst/>
                    </a:prstGeom>
                  </pic:spPr>
                </pic:pic>
              </a:graphicData>
            </a:graphic>
          </wp:inline>
        </w:drawing>
      </w:r>
    </w:p>
    <w:p w14:paraId="50A58E5B" w14:textId="77777777" w:rsidR="004C3823" w:rsidRPr="00CC1AC0" w:rsidRDefault="004C3823" w:rsidP="001B157E">
      <w:pPr>
        <w:rPr>
          <w:sz w:val="24"/>
          <w:szCs w:val="24"/>
        </w:rPr>
      </w:pPr>
      <w:r w:rsidRPr="00C20BAD">
        <w:rPr>
          <w:sz w:val="24"/>
          <w:szCs w:val="24"/>
        </w:rPr>
        <w:t xml:space="preserve">Figure </w:t>
      </w:r>
      <w:r>
        <w:rPr>
          <w:sz w:val="24"/>
          <w:szCs w:val="24"/>
        </w:rPr>
        <w:t>2.</w:t>
      </w:r>
      <w:r w:rsidRPr="00C20BAD">
        <w:rPr>
          <w:sz w:val="24"/>
          <w:szCs w:val="24"/>
        </w:rPr>
        <w:t xml:space="preserve">1: </w:t>
      </w:r>
      <w:r w:rsidRPr="00CC1AC0">
        <w:rPr>
          <w:sz w:val="24"/>
          <w:szCs w:val="24"/>
        </w:rPr>
        <w:t xml:space="preserve">Array Geometry Caption: Overview of the experiment setting. </w:t>
      </w:r>
      <w:r>
        <w:rPr>
          <w:sz w:val="24"/>
          <w:szCs w:val="24"/>
        </w:rPr>
        <w:t>The l</w:t>
      </w:r>
      <w:r w:rsidRPr="00CC1AC0">
        <w:rPr>
          <w:sz w:val="24"/>
          <w:szCs w:val="24"/>
        </w:rPr>
        <w:t xml:space="preserve">ocation of treatment wells 21-10 and 21-09 (stars) are shown by symbols and the thin black line. 21-09 (recorded treatments A and B) and 22-09 (recorded all four treatments) are monitoring wells. Note </w:t>
      </w:r>
      <w:proofErr w:type="gramStart"/>
      <w:r w:rsidRPr="00CC1AC0">
        <w:rPr>
          <w:sz w:val="24"/>
          <w:szCs w:val="24"/>
        </w:rPr>
        <w:t>that well</w:t>
      </w:r>
      <w:proofErr w:type="gramEnd"/>
      <w:r w:rsidRPr="00CC1AC0">
        <w:rPr>
          <w:sz w:val="24"/>
          <w:szCs w:val="24"/>
        </w:rPr>
        <w:t xml:space="preserve"> 21-09 is </w:t>
      </w:r>
      <w:r>
        <w:rPr>
          <w:sz w:val="24"/>
          <w:szCs w:val="24"/>
        </w:rPr>
        <w:t xml:space="preserve">used for </w:t>
      </w:r>
      <w:r w:rsidRPr="00CC1AC0">
        <w:rPr>
          <w:sz w:val="24"/>
          <w:szCs w:val="24"/>
        </w:rPr>
        <w:t>both monitoring and treatment. Microseismic events are shown by colored dots where cyan represents treatment B, blue represents treatment A, purple represents treatment E. and magenta represents treatment C. Maximum horizontal stress direction is illustrated by the black arrow. Injection interval depth is shown as black rectangles and labeled with</w:t>
      </w:r>
      <w:r>
        <w:rPr>
          <w:sz w:val="24"/>
          <w:szCs w:val="24"/>
        </w:rPr>
        <w:t xml:space="preserve"> the</w:t>
      </w:r>
      <w:r w:rsidRPr="00CC1AC0">
        <w:rPr>
          <w:sz w:val="24"/>
          <w:szCs w:val="24"/>
        </w:rPr>
        <w:t xml:space="preserve"> treatment interval name. Top left figure: North-East view. Top right figure: North-Depth view. Bottom left: Depth-East view. Vertical exaggeration is 2:1.</w:t>
      </w:r>
    </w:p>
    <w:p w14:paraId="7A53154B" w14:textId="77777777" w:rsidR="004C3823" w:rsidRPr="00C20BAD" w:rsidRDefault="004C3823" w:rsidP="00C20BAD">
      <w:pPr>
        <w:rPr>
          <w:sz w:val="24"/>
          <w:szCs w:val="24"/>
        </w:rPr>
      </w:pPr>
    </w:p>
    <w:p w14:paraId="6064CF16" w14:textId="77777777" w:rsidR="004C3823" w:rsidRDefault="004C3823" w:rsidP="007B255D">
      <w:pPr>
        <w:ind w:left="360"/>
        <w:rPr>
          <w:sz w:val="24"/>
          <w:szCs w:val="24"/>
        </w:rPr>
      </w:pPr>
    </w:p>
    <w:p w14:paraId="16696E1D" w14:textId="77777777" w:rsidR="004C3823" w:rsidRDefault="004C3823" w:rsidP="007B255D">
      <w:pPr>
        <w:ind w:left="360"/>
        <w:rPr>
          <w:sz w:val="24"/>
          <w:szCs w:val="24"/>
        </w:rPr>
      </w:pPr>
      <w:r>
        <w:rPr>
          <w:noProof/>
          <w:sz w:val="24"/>
          <w:szCs w:val="24"/>
        </w:rPr>
        <w:lastRenderedPageBreak/>
        <w:drawing>
          <wp:inline distT="0" distB="0" distL="0" distR="0" wp14:anchorId="3A37A960" wp14:editId="046997AD">
            <wp:extent cx="5931076" cy="2562225"/>
            <wp:effectExtent l="0" t="0" r="0" b="0"/>
            <wp:docPr id="130012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12839"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31076" cy="2562225"/>
                    </a:xfrm>
                    <a:prstGeom prst="rect">
                      <a:avLst/>
                    </a:prstGeom>
                    <a:noFill/>
                    <a:ln>
                      <a:noFill/>
                    </a:ln>
                  </pic:spPr>
                </pic:pic>
              </a:graphicData>
            </a:graphic>
          </wp:inline>
        </w:drawing>
      </w:r>
    </w:p>
    <w:p w14:paraId="65B21052" w14:textId="77777777" w:rsidR="004C3823" w:rsidRDefault="004C3823" w:rsidP="00C20BAD">
      <w:pPr>
        <w:rPr>
          <w:sz w:val="24"/>
          <w:szCs w:val="24"/>
        </w:rPr>
      </w:pPr>
      <w:r w:rsidRPr="00C20BAD">
        <w:rPr>
          <w:sz w:val="24"/>
          <w:szCs w:val="24"/>
        </w:rPr>
        <w:t xml:space="preserve">Figure </w:t>
      </w:r>
      <w:r>
        <w:rPr>
          <w:sz w:val="24"/>
          <w:szCs w:val="24"/>
        </w:rPr>
        <w:t>2.</w:t>
      </w:r>
      <w:r w:rsidRPr="00C20BAD">
        <w:rPr>
          <w:sz w:val="24"/>
          <w:szCs w:val="24"/>
        </w:rPr>
        <w:t xml:space="preserve">2: </w:t>
      </w:r>
      <w:r w:rsidRPr="00CC1AC0">
        <w:rPr>
          <w:sz w:val="24"/>
          <w:szCs w:val="24"/>
        </w:rPr>
        <w:t xml:space="preserve">Distribution of available common events between catalog and available waveform data. Each quarter shows </w:t>
      </w:r>
      <w:r>
        <w:rPr>
          <w:sz w:val="24"/>
          <w:szCs w:val="24"/>
        </w:rPr>
        <w:t xml:space="preserve">the </w:t>
      </w:r>
      <w:r w:rsidRPr="00CC1AC0">
        <w:rPr>
          <w:sz w:val="24"/>
          <w:szCs w:val="24"/>
        </w:rPr>
        <w:t>map view of the spatial variability between catalog events in black and available waveform events in green.</w:t>
      </w:r>
    </w:p>
    <w:p w14:paraId="7B29060F" w14:textId="77777777" w:rsidR="004C3823" w:rsidRDefault="004C3823" w:rsidP="00C20BAD">
      <w:pPr>
        <w:rPr>
          <w:sz w:val="24"/>
          <w:szCs w:val="24"/>
        </w:rPr>
      </w:pPr>
    </w:p>
    <w:p w14:paraId="6FDA5958" w14:textId="77777777" w:rsidR="004C3823" w:rsidRDefault="004C3823" w:rsidP="00C20BAD">
      <w:pPr>
        <w:rPr>
          <w:sz w:val="24"/>
          <w:szCs w:val="24"/>
        </w:rPr>
      </w:pPr>
    </w:p>
    <w:p w14:paraId="26A27464" w14:textId="77777777" w:rsidR="004C3823" w:rsidRPr="00C20BAD" w:rsidRDefault="004C3823" w:rsidP="00C20BAD">
      <w:pPr>
        <w:rPr>
          <w:sz w:val="24"/>
          <w:szCs w:val="24"/>
        </w:rPr>
      </w:pPr>
    </w:p>
    <w:p w14:paraId="4157D7B3" w14:textId="77777777" w:rsidR="004C3823" w:rsidRDefault="004C3823" w:rsidP="007B255D">
      <w:pPr>
        <w:ind w:left="360"/>
        <w:rPr>
          <w:sz w:val="24"/>
          <w:szCs w:val="24"/>
        </w:rPr>
      </w:pPr>
    </w:p>
    <w:p w14:paraId="61FAD0C8" w14:textId="77777777" w:rsidR="004C3823" w:rsidRDefault="004C3823" w:rsidP="007B255D">
      <w:pPr>
        <w:ind w:left="360"/>
        <w:rPr>
          <w:sz w:val="24"/>
          <w:szCs w:val="24"/>
        </w:rPr>
      </w:pPr>
      <w:r>
        <w:rPr>
          <w:noProof/>
          <w:sz w:val="24"/>
          <w:szCs w:val="24"/>
        </w:rPr>
        <w:lastRenderedPageBreak/>
        <w:drawing>
          <wp:inline distT="0" distB="0" distL="0" distR="0" wp14:anchorId="61EC8C7B" wp14:editId="4AD63335">
            <wp:extent cx="5943600" cy="4067175"/>
            <wp:effectExtent l="0" t="0" r="0" b="9525"/>
            <wp:docPr id="1114790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067175"/>
                    </a:xfrm>
                    <a:prstGeom prst="rect">
                      <a:avLst/>
                    </a:prstGeom>
                    <a:noFill/>
                    <a:ln>
                      <a:noFill/>
                    </a:ln>
                  </pic:spPr>
                </pic:pic>
              </a:graphicData>
            </a:graphic>
          </wp:inline>
        </w:drawing>
      </w:r>
    </w:p>
    <w:p w14:paraId="6E2871EE" w14:textId="77777777" w:rsidR="004C3823" w:rsidRPr="00C20BAD" w:rsidRDefault="004C3823" w:rsidP="00C20BAD">
      <w:pPr>
        <w:rPr>
          <w:sz w:val="24"/>
          <w:szCs w:val="24"/>
        </w:rPr>
      </w:pPr>
      <w:r w:rsidRPr="00C20BAD">
        <w:rPr>
          <w:sz w:val="24"/>
          <w:szCs w:val="24"/>
        </w:rPr>
        <w:t xml:space="preserve">Figure </w:t>
      </w:r>
      <w:r>
        <w:rPr>
          <w:sz w:val="24"/>
          <w:szCs w:val="24"/>
        </w:rPr>
        <w:t>2.</w:t>
      </w:r>
      <w:r w:rsidRPr="00C20BAD">
        <w:rPr>
          <w:sz w:val="24"/>
          <w:szCs w:val="24"/>
        </w:rPr>
        <w:t xml:space="preserve">3: </w:t>
      </w:r>
      <w:r w:rsidRPr="00CC1AC0">
        <w:rPr>
          <w:sz w:val="24"/>
          <w:szCs w:val="24"/>
        </w:rPr>
        <w:t>Injection volumes with common event</w:t>
      </w:r>
      <w:r>
        <w:rPr>
          <w:sz w:val="24"/>
          <w:szCs w:val="24"/>
        </w:rPr>
        <w:t>-</w:t>
      </w:r>
      <w:r w:rsidRPr="00CC1AC0">
        <w:rPr>
          <w:sz w:val="24"/>
          <w:szCs w:val="24"/>
        </w:rPr>
        <w:t xml:space="preserve">calibrated magnitudes </w:t>
      </w:r>
      <w:r>
        <w:rPr>
          <w:sz w:val="24"/>
          <w:szCs w:val="24"/>
        </w:rPr>
        <w:t xml:space="preserve">are </w:t>
      </w:r>
      <w:r w:rsidRPr="00CC1AC0">
        <w:rPr>
          <w:sz w:val="24"/>
          <w:szCs w:val="24"/>
        </w:rPr>
        <w:t>shown.</w:t>
      </w:r>
      <w:r>
        <w:rPr>
          <w:sz w:val="24"/>
          <w:szCs w:val="24"/>
        </w:rPr>
        <w:t xml:space="preserve"> </w:t>
      </w:r>
      <w:r w:rsidRPr="00CC1AC0">
        <w:rPr>
          <w:sz w:val="24"/>
          <w:szCs w:val="24"/>
        </w:rPr>
        <w:t xml:space="preserve">Clockwise from </w:t>
      </w:r>
      <w:r>
        <w:rPr>
          <w:sz w:val="24"/>
          <w:szCs w:val="24"/>
        </w:rPr>
        <w:t xml:space="preserve">the </w:t>
      </w:r>
      <w:r w:rsidRPr="00CC1AC0">
        <w:rPr>
          <w:sz w:val="24"/>
          <w:szCs w:val="24"/>
        </w:rPr>
        <w:t xml:space="preserve">upper left is treatment A, B, C, and E. Injection rate is plotted in orange. Blue dots are the distribution of microseismic events where vertical placement is </w:t>
      </w:r>
      <w:r>
        <w:rPr>
          <w:sz w:val="24"/>
          <w:szCs w:val="24"/>
        </w:rPr>
        <w:t xml:space="preserve">the </w:t>
      </w:r>
      <w:r w:rsidRPr="00CC1AC0">
        <w:rPr>
          <w:sz w:val="24"/>
          <w:szCs w:val="24"/>
        </w:rPr>
        <w:t xml:space="preserve">magnitude and horizontal position is timing relative to the start of the hydraulic fracturing. </w:t>
      </w:r>
      <w:r>
        <w:rPr>
          <w:sz w:val="24"/>
          <w:szCs w:val="24"/>
        </w:rPr>
        <w:t>The s</w:t>
      </w:r>
      <w:r w:rsidRPr="00CC1AC0">
        <w:rPr>
          <w:sz w:val="24"/>
          <w:szCs w:val="24"/>
        </w:rPr>
        <w:t xml:space="preserve">eismicity rate is shown in black by </w:t>
      </w:r>
      <w:r>
        <w:rPr>
          <w:sz w:val="24"/>
          <w:szCs w:val="24"/>
        </w:rPr>
        <w:t xml:space="preserve">the </w:t>
      </w:r>
      <w:r w:rsidRPr="00CC1AC0">
        <w:rPr>
          <w:sz w:val="24"/>
          <w:szCs w:val="24"/>
        </w:rPr>
        <w:t xml:space="preserve">number of events over time. </w:t>
      </w:r>
      <w:r>
        <w:rPr>
          <w:sz w:val="24"/>
          <w:szCs w:val="24"/>
        </w:rPr>
        <w:t>The m</w:t>
      </w:r>
      <w:r w:rsidRPr="00CC1AC0">
        <w:rPr>
          <w:sz w:val="24"/>
          <w:szCs w:val="24"/>
        </w:rPr>
        <w:t xml:space="preserve">agnitude of completeness for each treatment is shown as the blue </w:t>
      </w:r>
      <w:proofErr w:type="gramStart"/>
      <w:r w:rsidRPr="00CC1AC0">
        <w:rPr>
          <w:sz w:val="24"/>
          <w:szCs w:val="24"/>
        </w:rPr>
        <w:t>triangle</w:t>
      </w:r>
      <w:proofErr w:type="gramEnd"/>
    </w:p>
    <w:p w14:paraId="20A7992B" w14:textId="77777777" w:rsidR="004C3823" w:rsidRDefault="004C3823" w:rsidP="007B255D">
      <w:pPr>
        <w:ind w:left="360"/>
        <w:rPr>
          <w:sz w:val="24"/>
          <w:szCs w:val="24"/>
        </w:rPr>
      </w:pPr>
    </w:p>
    <w:p w14:paraId="58ABDB10" w14:textId="77777777" w:rsidR="004C3823" w:rsidRDefault="004C3823" w:rsidP="007B255D">
      <w:pPr>
        <w:ind w:left="360"/>
        <w:rPr>
          <w:sz w:val="24"/>
          <w:szCs w:val="24"/>
        </w:rPr>
      </w:pPr>
      <w:r>
        <w:rPr>
          <w:noProof/>
          <w:sz w:val="24"/>
          <w:szCs w:val="24"/>
        </w:rPr>
        <w:lastRenderedPageBreak/>
        <w:drawing>
          <wp:inline distT="0" distB="0" distL="0" distR="0" wp14:anchorId="16776102" wp14:editId="7CD13AA7">
            <wp:extent cx="5943600" cy="4457700"/>
            <wp:effectExtent l="0" t="0" r="0" b="0"/>
            <wp:docPr id="386667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3FFE9D9" w14:textId="77777777" w:rsidR="004C3823" w:rsidRDefault="004C3823" w:rsidP="00A109CF">
      <w:pPr>
        <w:rPr>
          <w:sz w:val="24"/>
          <w:szCs w:val="24"/>
        </w:rPr>
      </w:pPr>
      <w:r w:rsidRPr="00835211">
        <w:rPr>
          <w:sz w:val="24"/>
          <w:szCs w:val="24"/>
        </w:rPr>
        <w:t xml:space="preserve">Figure </w:t>
      </w:r>
      <w:r>
        <w:rPr>
          <w:sz w:val="24"/>
          <w:szCs w:val="24"/>
        </w:rPr>
        <w:t>2.</w:t>
      </w:r>
      <w:r w:rsidRPr="00835211">
        <w:rPr>
          <w:sz w:val="24"/>
          <w:szCs w:val="24"/>
        </w:rPr>
        <w:t xml:space="preserve">4: </w:t>
      </w:r>
      <w:r>
        <w:rPr>
          <w:sz w:val="24"/>
          <w:szCs w:val="24"/>
        </w:rPr>
        <w:t>A: C</w:t>
      </w:r>
      <w:r w:rsidRPr="00835211">
        <w:rPr>
          <w:sz w:val="24"/>
          <w:szCs w:val="24"/>
        </w:rPr>
        <w:t>omparison of two waveform</w:t>
      </w:r>
      <w:r>
        <w:rPr>
          <w:sz w:val="24"/>
          <w:szCs w:val="24"/>
        </w:rPr>
        <w:t>s</w:t>
      </w:r>
      <w:r w:rsidRPr="00835211">
        <w:rPr>
          <w:sz w:val="24"/>
          <w:szCs w:val="24"/>
        </w:rPr>
        <w:t xml:space="preserve"> contrasted by color with a similarity coefficient of 0.87. </w:t>
      </w:r>
      <w:r>
        <w:rPr>
          <w:sz w:val="24"/>
          <w:szCs w:val="24"/>
        </w:rPr>
        <w:t>B:</w:t>
      </w:r>
      <w:r w:rsidRPr="00835211">
        <w:rPr>
          <w:sz w:val="24"/>
          <w:szCs w:val="24"/>
        </w:rPr>
        <w:t xml:space="preserve"> the waveform amplitude value comparison between the two distinct events. Calculated amplitude ratios are denoted by the black dots where the principal component amplitude ratio is 0.74.</w:t>
      </w:r>
    </w:p>
    <w:p w14:paraId="1BBB1F66" w14:textId="77777777" w:rsidR="004C3823" w:rsidRDefault="004C3823" w:rsidP="00C20BAD">
      <w:pPr>
        <w:rPr>
          <w:sz w:val="24"/>
          <w:szCs w:val="24"/>
        </w:rPr>
      </w:pPr>
    </w:p>
    <w:p w14:paraId="74B03F4E" w14:textId="77777777" w:rsidR="004C3823" w:rsidRDefault="004C3823" w:rsidP="007B255D">
      <w:pPr>
        <w:ind w:left="360"/>
        <w:rPr>
          <w:sz w:val="24"/>
          <w:szCs w:val="24"/>
        </w:rPr>
      </w:pPr>
      <w:r>
        <w:rPr>
          <w:noProof/>
          <w:sz w:val="24"/>
          <w:szCs w:val="24"/>
        </w:rPr>
        <w:lastRenderedPageBreak/>
        <w:drawing>
          <wp:inline distT="0" distB="0" distL="0" distR="0" wp14:anchorId="01C409F7" wp14:editId="58BEEE6B">
            <wp:extent cx="5943178" cy="3248025"/>
            <wp:effectExtent l="0" t="0" r="635" b="0"/>
            <wp:docPr id="663658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58691"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43178" cy="3248025"/>
                    </a:xfrm>
                    <a:prstGeom prst="rect">
                      <a:avLst/>
                    </a:prstGeom>
                    <a:noFill/>
                    <a:ln>
                      <a:noFill/>
                    </a:ln>
                  </pic:spPr>
                </pic:pic>
              </a:graphicData>
            </a:graphic>
          </wp:inline>
        </w:drawing>
      </w:r>
    </w:p>
    <w:p w14:paraId="28797678" w14:textId="77777777" w:rsidR="004C3823" w:rsidRDefault="004C3823" w:rsidP="007E2B31">
      <w:pPr>
        <w:rPr>
          <w:sz w:val="24"/>
          <w:szCs w:val="24"/>
        </w:rPr>
      </w:pPr>
      <w:r w:rsidRPr="00835211">
        <w:rPr>
          <w:sz w:val="24"/>
          <w:szCs w:val="24"/>
        </w:rPr>
        <w:t xml:space="preserve">Figure </w:t>
      </w:r>
      <w:r>
        <w:rPr>
          <w:sz w:val="24"/>
          <w:szCs w:val="24"/>
        </w:rPr>
        <w:t>2.</w:t>
      </w:r>
      <w:r w:rsidRPr="00835211">
        <w:rPr>
          <w:sz w:val="24"/>
          <w:szCs w:val="24"/>
        </w:rPr>
        <w:t xml:space="preserve">5: Principal component analysis for magnitude calibration of the four fracking stages clockwise starting from the top left panel: treatment </w:t>
      </w:r>
      <w:r>
        <w:rPr>
          <w:sz w:val="24"/>
          <w:szCs w:val="24"/>
        </w:rPr>
        <w:t>A, B, C</w:t>
      </w:r>
      <w:r w:rsidRPr="00835211">
        <w:rPr>
          <w:sz w:val="24"/>
          <w:szCs w:val="24"/>
        </w:rPr>
        <w:t>, and E. Each quadrant is sub-divided into</w:t>
      </w:r>
      <w:r>
        <w:rPr>
          <w:sz w:val="24"/>
          <w:szCs w:val="24"/>
        </w:rPr>
        <w:t xml:space="preserve">: the </w:t>
      </w:r>
      <w:r w:rsidRPr="00835211">
        <w:rPr>
          <w:sz w:val="24"/>
          <w:szCs w:val="24"/>
        </w:rPr>
        <w:t>main section which shows the relative magnitude and amplitude ratio before (gray) and after magnitude calibration (red) distribution</w:t>
      </w:r>
      <w:r>
        <w:rPr>
          <w:sz w:val="24"/>
          <w:szCs w:val="24"/>
        </w:rPr>
        <w:t>; the upper right subsection that displays the density of the distribution in the main section after magnitude calibration as a heat map with color bar corresponding to density in log10 scale; lower right subsection displays the density of the distribution before magnitude calibration with the same color bar to the upper right subsection</w:t>
      </w:r>
      <w:r w:rsidRPr="00835211">
        <w:rPr>
          <w:sz w:val="24"/>
          <w:szCs w:val="24"/>
        </w:rPr>
        <w:t>. Convergence in the principal component analysis is displayed by the calibrated points collapsing on the blue line that follows a slope of 1.5.</w:t>
      </w:r>
    </w:p>
    <w:p w14:paraId="56C2990F" w14:textId="77777777" w:rsidR="004C3823" w:rsidRDefault="004C3823" w:rsidP="000C3479">
      <w:pPr>
        <w:rPr>
          <w:sz w:val="24"/>
          <w:szCs w:val="24"/>
        </w:rPr>
      </w:pPr>
    </w:p>
    <w:p w14:paraId="0276A886" w14:textId="77777777" w:rsidR="004C3823" w:rsidRDefault="004C3823" w:rsidP="007B255D">
      <w:pPr>
        <w:ind w:left="360"/>
        <w:rPr>
          <w:sz w:val="24"/>
          <w:szCs w:val="24"/>
        </w:rPr>
      </w:pPr>
      <w:r>
        <w:rPr>
          <w:noProof/>
        </w:rPr>
        <w:lastRenderedPageBreak/>
        <w:drawing>
          <wp:inline distT="0" distB="0" distL="0" distR="0" wp14:anchorId="2FCD66BA" wp14:editId="75EAAE9B">
            <wp:extent cx="5347313" cy="3927538"/>
            <wp:effectExtent l="0" t="0" r="635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47313" cy="3927538"/>
                    </a:xfrm>
                    <a:prstGeom prst="rect">
                      <a:avLst/>
                    </a:prstGeom>
                  </pic:spPr>
                </pic:pic>
              </a:graphicData>
            </a:graphic>
          </wp:inline>
        </w:drawing>
      </w:r>
    </w:p>
    <w:p w14:paraId="1D2BC884" w14:textId="77777777" w:rsidR="004C3823" w:rsidRPr="000C3479" w:rsidRDefault="004C3823" w:rsidP="000C3479">
      <w:pPr>
        <w:rPr>
          <w:sz w:val="24"/>
          <w:szCs w:val="24"/>
        </w:rPr>
      </w:pPr>
      <w:r w:rsidRPr="000C3479">
        <w:rPr>
          <w:sz w:val="24"/>
          <w:szCs w:val="24"/>
        </w:rPr>
        <w:t xml:space="preserve">Figure </w:t>
      </w:r>
      <w:r>
        <w:rPr>
          <w:sz w:val="24"/>
          <w:szCs w:val="24"/>
        </w:rPr>
        <w:t>2.</w:t>
      </w:r>
      <w:r w:rsidRPr="000C3479">
        <w:rPr>
          <w:sz w:val="24"/>
          <w:szCs w:val="24"/>
        </w:rPr>
        <w:t xml:space="preserve">6: Comparison of </w:t>
      </w:r>
      <w:r>
        <w:rPr>
          <w:sz w:val="24"/>
          <w:szCs w:val="24"/>
        </w:rPr>
        <w:t xml:space="preserve">the </w:t>
      </w:r>
      <w:r w:rsidRPr="000C3479">
        <w:rPr>
          <w:sz w:val="24"/>
          <w:szCs w:val="24"/>
        </w:rPr>
        <w:t xml:space="preserve">magnitude distribution for treatment B before and after magnitude calibration for different similar event clusters. </w:t>
      </w:r>
      <w:r>
        <w:rPr>
          <w:sz w:val="24"/>
          <w:szCs w:val="24"/>
        </w:rPr>
        <w:t xml:space="preserve">A: map view of the seismicity location, </w:t>
      </w:r>
      <w:proofErr w:type="spellStart"/>
      <w:r>
        <w:rPr>
          <w:sz w:val="24"/>
          <w:szCs w:val="24"/>
        </w:rPr>
        <w:t>SHmax</w:t>
      </w:r>
      <w:proofErr w:type="spellEnd"/>
      <w:r>
        <w:rPr>
          <w:sz w:val="24"/>
          <w:szCs w:val="24"/>
        </w:rPr>
        <w:t xml:space="preserve"> is shown as a reference. C: cross-section view along EW direction. B and D show the Frequency Magnitude Distribution for the full sub-catalog of treatment B (grey solid line) and sub-clusters before (B) and after (D) calibration (solid lines with colors corresponding to legend in A). </w:t>
      </w:r>
      <w:r w:rsidRPr="000C3479">
        <w:rPr>
          <w:sz w:val="24"/>
          <w:szCs w:val="24"/>
        </w:rPr>
        <w:t>For comparison, the dashed lines show the b-values estimated for the full sub</w:t>
      </w:r>
      <w:r>
        <w:rPr>
          <w:sz w:val="24"/>
          <w:szCs w:val="24"/>
        </w:rPr>
        <w:t>-</w:t>
      </w:r>
      <w:r w:rsidRPr="000C3479">
        <w:rPr>
          <w:sz w:val="24"/>
          <w:szCs w:val="24"/>
        </w:rPr>
        <w:t>catalog of treatment B. Vertical exaggeration is 2:1.</w:t>
      </w:r>
    </w:p>
    <w:p w14:paraId="33B82D66" w14:textId="77777777" w:rsidR="004C3823" w:rsidRDefault="004C3823" w:rsidP="007B255D">
      <w:pPr>
        <w:ind w:left="360"/>
        <w:rPr>
          <w:sz w:val="24"/>
          <w:szCs w:val="24"/>
        </w:rPr>
      </w:pPr>
    </w:p>
    <w:p w14:paraId="3BB26A70" w14:textId="77777777" w:rsidR="004C3823" w:rsidRDefault="004C3823" w:rsidP="007B255D">
      <w:pPr>
        <w:ind w:left="360"/>
        <w:rPr>
          <w:sz w:val="24"/>
          <w:szCs w:val="24"/>
        </w:rPr>
      </w:pPr>
      <w:r>
        <w:rPr>
          <w:noProof/>
        </w:rPr>
        <w:lastRenderedPageBreak/>
        <w:drawing>
          <wp:inline distT="0" distB="0" distL="0" distR="0" wp14:anchorId="473963A0" wp14:editId="7FAFB994">
            <wp:extent cx="5413591" cy="3919347"/>
            <wp:effectExtent l="0" t="0" r="0" b="5080"/>
            <wp:docPr id="13" name="image7.png" descr="A picture containing text, diagram,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descr="A picture containing text, diagram, font, 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13591" cy="3919347"/>
                    </a:xfrm>
                    <a:prstGeom prst="rect">
                      <a:avLst/>
                    </a:prstGeom>
                  </pic:spPr>
                </pic:pic>
              </a:graphicData>
            </a:graphic>
          </wp:inline>
        </w:drawing>
      </w:r>
    </w:p>
    <w:p w14:paraId="46AA0FFF" w14:textId="77777777" w:rsidR="004C3823" w:rsidRPr="000C3479" w:rsidRDefault="004C3823" w:rsidP="000C3479">
      <w:pPr>
        <w:rPr>
          <w:sz w:val="24"/>
          <w:szCs w:val="24"/>
        </w:rPr>
      </w:pPr>
      <w:r w:rsidRPr="000C3479">
        <w:rPr>
          <w:sz w:val="24"/>
          <w:szCs w:val="24"/>
        </w:rPr>
        <w:t xml:space="preserve">Figure </w:t>
      </w:r>
      <w:r>
        <w:rPr>
          <w:sz w:val="24"/>
          <w:szCs w:val="24"/>
        </w:rPr>
        <w:t>2.</w:t>
      </w:r>
      <w:r w:rsidRPr="000C3479">
        <w:rPr>
          <w:sz w:val="24"/>
          <w:szCs w:val="24"/>
        </w:rPr>
        <w:t xml:space="preserve">7: Comparison of </w:t>
      </w:r>
      <w:r>
        <w:rPr>
          <w:sz w:val="24"/>
          <w:szCs w:val="24"/>
        </w:rPr>
        <w:t>Frequency-Magnitude-Distribution and corresponding b-values</w:t>
      </w:r>
      <w:r w:rsidRPr="000C3479">
        <w:rPr>
          <w:sz w:val="24"/>
          <w:szCs w:val="24"/>
        </w:rPr>
        <w:t xml:space="preserve"> for treatments before(left) and after(right) magnitude calibration, where b-values are estimated by maximum likelihood (MLE). The vertical axis is </w:t>
      </w:r>
      <w:r>
        <w:rPr>
          <w:sz w:val="24"/>
          <w:szCs w:val="24"/>
        </w:rPr>
        <w:t xml:space="preserve">the </w:t>
      </w:r>
      <w:r w:rsidRPr="000C3479">
        <w:rPr>
          <w:sz w:val="24"/>
          <w:szCs w:val="24"/>
        </w:rPr>
        <w:t xml:space="preserve">cumulative number of </w:t>
      </w:r>
      <w:proofErr w:type="gramStart"/>
      <w:r w:rsidRPr="000C3479">
        <w:rPr>
          <w:sz w:val="24"/>
          <w:szCs w:val="24"/>
        </w:rPr>
        <w:t>events</w:t>
      </w:r>
      <w:proofErr w:type="gramEnd"/>
      <w:r w:rsidRPr="000C3479">
        <w:rPr>
          <w:sz w:val="24"/>
          <w:szCs w:val="24"/>
        </w:rPr>
        <w:t xml:space="preserve"> and </w:t>
      </w:r>
      <w:r>
        <w:rPr>
          <w:sz w:val="24"/>
          <w:szCs w:val="24"/>
        </w:rPr>
        <w:t xml:space="preserve">the </w:t>
      </w:r>
      <w:r w:rsidRPr="000C3479">
        <w:rPr>
          <w:sz w:val="24"/>
          <w:szCs w:val="24"/>
        </w:rPr>
        <w:t xml:space="preserve">horizontal axes is the event magnitude. Each treatment is color coded the same as </w:t>
      </w:r>
      <w:r>
        <w:rPr>
          <w:sz w:val="24"/>
          <w:szCs w:val="24"/>
        </w:rPr>
        <w:t xml:space="preserve">in </w:t>
      </w:r>
      <w:r w:rsidRPr="000C3479">
        <w:rPr>
          <w:sz w:val="24"/>
          <w:szCs w:val="24"/>
        </w:rPr>
        <w:t xml:space="preserve">Figure </w:t>
      </w:r>
      <w:r>
        <w:rPr>
          <w:sz w:val="24"/>
          <w:szCs w:val="24"/>
        </w:rPr>
        <w:t>2.</w:t>
      </w:r>
      <w:r w:rsidRPr="000C3479">
        <w:rPr>
          <w:sz w:val="24"/>
          <w:szCs w:val="24"/>
        </w:rPr>
        <w:t>1.</w:t>
      </w:r>
    </w:p>
    <w:p w14:paraId="05348427" w14:textId="77777777" w:rsidR="004C3823" w:rsidRDefault="004C3823" w:rsidP="007B255D">
      <w:pPr>
        <w:ind w:left="360"/>
        <w:rPr>
          <w:sz w:val="24"/>
          <w:szCs w:val="24"/>
        </w:rPr>
      </w:pPr>
    </w:p>
    <w:p w14:paraId="4ABE8FD4" w14:textId="77777777" w:rsidR="004C3823" w:rsidRDefault="004C3823" w:rsidP="007B255D">
      <w:pPr>
        <w:ind w:left="360"/>
        <w:rPr>
          <w:sz w:val="24"/>
          <w:szCs w:val="24"/>
        </w:rPr>
      </w:pPr>
      <w:r>
        <w:rPr>
          <w:noProof/>
        </w:rPr>
        <w:lastRenderedPageBreak/>
        <w:drawing>
          <wp:inline distT="0" distB="0" distL="0" distR="0" wp14:anchorId="136F5569" wp14:editId="312C4D53">
            <wp:extent cx="4445222" cy="354915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45222" cy="3549150"/>
                    </a:xfrm>
                    <a:prstGeom prst="rect">
                      <a:avLst/>
                    </a:prstGeom>
                  </pic:spPr>
                </pic:pic>
              </a:graphicData>
            </a:graphic>
          </wp:inline>
        </w:drawing>
      </w:r>
    </w:p>
    <w:p w14:paraId="0BA092AF" w14:textId="77777777" w:rsidR="004C3823" w:rsidRDefault="004C3823" w:rsidP="000C3479">
      <w:pPr>
        <w:rPr>
          <w:sz w:val="24"/>
          <w:szCs w:val="24"/>
        </w:rPr>
      </w:pPr>
      <w:r w:rsidRPr="000C3479">
        <w:rPr>
          <w:sz w:val="24"/>
          <w:szCs w:val="24"/>
        </w:rPr>
        <w:t xml:space="preserve">Figure </w:t>
      </w:r>
      <w:r>
        <w:rPr>
          <w:sz w:val="24"/>
          <w:szCs w:val="24"/>
        </w:rPr>
        <w:t>2.</w:t>
      </w:r>
      <w:r w:rsidRPr="000C3479">
        <w:rPr>
          <w:sz w:val="24"/>
          <w:szCs w:val="24"/>
        </w:rPr>
        <w:t xml:space="preserve">8:  Comparison of </w:t>
      </w:r>
      <w:r>
        <w:rPr>
          <w:sz w:val="24"/>
          <w:szCs w:val="24"/>
        </w:rPr>
        <w:t xml:space="preserve">the probability density function of b-value estimations from MLE (A and B), and the </w:t>
      </w:r>
      <w:proofErr w:type="spellStart"/>
      <w:r>
        <w:rPr>
          <w:sz w:val="24"/>
          <w:szCs w:val="24"/>
        </w:rPr>
        <w:t>seismogenic</w:t>
      </w:r>
      <w:proofErr w:type="spellEnd"/>
      <w:r>
        <w:rPr>
          <w:sz w:val="24"/>
          <w:szCs w:val="24"/>
        </w:rPr>
        <w:t xml:space="preserve"> index (C and D)</w:t>
      </w:r>
      <w:r w:rsidRPr="000C3479">
        <w:rPr>
          <w:sz w:val="24"/>
          <w:szCs w:val="24"/>
        </w:rPr>
        <w:t xml:space="preserve"> before (left</w:t>
      </w:r>
      <w:r>
        <w:rPr>
          <w:sz w:val="24"/>
          <w:szCs w:val="24"/>
        </w:rPr>
        <w:t xml:space="preserve"> panel: A and C</w:t>
      </w:r>
      <w:r w:rsidRPr="000C3479">
        <w:rPr>
          <w:sz w:val="24"/>
          <w:szCs w:val="24"/>
        </w:rPr>
        <w:t>) and after (right</w:t>
      </w:r>
      <w:r>
        <w:rPr>
          <w:sz w:val="24"/>
          <w:szCs w:val="24"/>
        </w:rPr>
        <w:t xml:space="preserve"> panel: B and D</w:t>
      </w:r>
      <w:r w:rsidRPr="000C3479">
        <w:rPr>
          <w:sz w:val="24"/>
          <w:szCs w:val="24"/>
        </w:rPr>
        <w:t xml:space="preserve">) magnitude calibration. For all estimates, 100 bootstrap trials are calculated with MLE estimates for </w:t>
      </w:r>
      <w:r>
        <w:rPr>
          <w:sz w:val="24"/>
          <w:szCs w:val="24"/>
        </w:rPr>
        <w:t xml:space="preserve">the </w:t>
      </w:r>
      <w:r w:rsidRPr="000C3479">
        <w:rPr>
          <w:sz w:val="24"/>
          <w:szCs w:val="24"/>
        </w:rPr>
        <w:t xml:space="preserve">b-value and </w:t>
      </w:r>
      <w:proofErr w:type="spellStart"/>
      <w:r w:rsidRPr="000C3479">
        <w:rPr>
          <w:sz w:val="24"/>
          <w:szCs w:val="24"/>
        </w:rPr>
        <w:t>seismogenic</w:t>
      </w:r>
      <w:proofErr w:type="spellEnd"/>
      <w:r w:rsidRPr="000C3479">
        <w:rPr>
          <w:sz w:val="24"/>
          <w:szCs w:val="24"/>
        </w:rPr>
        <w:t xml:space="preserve"> index.</w:t>
      </w:r>
    </w:p>
    <w:p w14:paraId="2A27EECF" w14:textId="77777777" w:rsidR="004C3823" w:rsidRDefault="004C3823" w:rsidP="007B255D">
      <w:pPr>
        <w:ind w:left="360"/>
        <w:rPr>
          <w:sz w:val="24"/>
          <w:szCs w:val="24"/>
        </w:rPr>
      </w:pPr>
      <w:r>
        <w:rPr>
          <w:noProof/>
        </w:rPr>
        <w:lastRenderedPageBreak/>
        <w:drawing>
          <wp:inline distT="0" distB="0" distL="0" distR="0" wp14:anchorId="0B9F3B21" wp14:editId="76AC0985">
            <wp:extent cx="4219228" cy="3697518"/>
            <wp:effectExtent l="0" t="0" r="0" b="0"/>
            <wp:docPr id="1923778292" name="Picture 1923778292"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78292" name="Picture 1923778292" descr="A picture containing text, diagram, line, plo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19228" cy="3697518"/>
                    </a:xfrm>
                    <a:prstGeom prst="rect">
                      <a:avLst/>
                    </a:prstGeom>
                  </pic:spPr>
                </pic:pic>
              </a:graphicData>
            </a:graphic>
          </wp:inline>
        </w:drawing>
      </w:r>
    </w:p>
    <w:p w14:paraId="59014D9E" w14:textId="77777777" w:rsidR="004C3823" w:rsidRPr="00101CB7" w:rsidRDefault="004C3823" w:rsidP="00101CB7">
      <w:pPr>
        <w:rPr>
          <w:sz w:val="24"/>
          <w:szCs w:val="24"/>
        </w:rPr>
      </w:pPr>
      <w:r w:rsidRPr="00101CB7">
        <w:rPr>
          <w:sz w:val="24"/>
          <w:szCs w:val="24"/>
        </w:rPr>
        <w:t xml:space="preserve">Figure </w:t>
      </w:r>
      <w:r>
        <w:rPr>
          <w:sz w:val="24"/>
          <w:szCs w:val="24"/>
        </w:rPr>
        <w:t>2.</w:t>
      </w:r>
      <w:r w:rsidRPr="00101CB7">
        <w:rPr>
          <w:sz w:val="24"/>
          <w:szCs w:val="24"/>
        </w:rPr>
        <w:t xml:space="preserve">9: Comparison of different treatments and subclusters of treatment B as represented by a </w:t>
      </w:r>
      <w:r>
        <w:rPr>
          <w:sz w:val="24"/>
          <w:szCs w:val="24"/>
        </w:rPr>
        <w:t>schematic</w:t>
      </w:r>
      <w:r w:rsidRPr="00101CB7">
        <w:rPr>
          <w:sz w:val="24"/>
          <w:szCs w:val="24"/>
        </w:rPr>
        <w:t xml:space="preserve"> Mohr circle. The dashed line shows the Coulomb Failure Envelope based on </w:t>
      </w:r>
      <w:r>
        <w:rPr>
          <w:sz w:val="24"/>
          <w:szCs w:val="24"/>
        </w:rPr>
        <w:t xml:space="preserve">a </w:t>
      </w:r>
      <w:r w:rsidRPr="00101CB7">
        <w:rPr>
          <w:sz w:val="24"/>
          <w:szCs w:val="24"/>
        </w:rPr>
        <w:t>friction coefficient of 0.</w:t>
      </w:r>
      <w:r>
        <w:rPr>
          <w:sz w:val="24"/>
          <w:szCs w:val="24"/>
        </w:rPr>
        <w:t>7</w:t>
      </w:r>
      <w:r w:rsidRPr="00101CB7">
        <w:rPr>
          <w:sz w:val="24"/>
          <w:szCs w:val="24"/>
        </w:rPr>
        <w:t>5. Different symbols represent different clusters.</w:t>
      </w:r>
      <w:r>
        <w:rPr>
          <w:sz w:val="24"/>
          <w:szCs w:val="24"/>
        </w:rPr>
        <w:t xml:space="preserve"> Solid-filled symbols represent clusters and treatments with off-SH-max axis orientation. Non-filled symbols represent seismicity groups that are parallel to SH-max.</w:t>
      </w:r>
    </w:p>
    <w:p w14:paraId="220B9F1C" w14:textId="77777777" w:rsidR="004C3823" w:rsidRDefault="004C3823" w:rsidP="007B255D">
      <w:pPr>
        <w:ind w:left="360"/>
        <w:rPr>
          <w:sz w:val="24"/>
          <w:szCs w:val="24"/>
        </w:rPr>
      </w:pPr>
    </w:p>
    <w:p w14:paraId="32E3C08D" w14:textId="77777777" w:rsidR="004C3823" w:rsidRDefault="004C3823" w:rsidP="007B255D">
      <w:pPr>
        <w:ind w:left="360"/>
        <w:rPr>
          <w:sz w:val="24"/>
          <w:szCs w:val="24"/>
        </w:rPr>
      </w:pPr>
      <w:r>
        <w:rPr>
          <w:noProof/>
          <w:sz w:val="18"/>
        </w:rPr>
        <w:lastRenderedPageBreak/>
        <w:drawing>
          <wp:inline distT="0" distB="0" distL="0" distR="0" wp14:anchorId="40F63DC9" wp14:editId="149FB894">
            <wp:extent cx="5934804" cy="4983074"/>
            <wp:effectExtent l="0" t="0" r="8890" b="8255"/>
            <wp:docPr id="238056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56318"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934804" cy="4983074"/>
                    </a:xfrm>
                    <a:prstGeom prst="rect">
                      <a:avLst/>
                    </a:prstGeom>
                    <a:noFill/>
                    <a:ln>
                      <a:noFill/>
                    </a:ln>
                  </pic:spPr>
                </pic:pic>
              </a:graphicData>
            </a:graphic>
          </wp:inline>
        </w:drawing>
      </w:r>
    </w:p>
    <w:p w14:paraId="665EB0B8" w14:textId="77777777" w:rsidR="004C3823" w:rsidRPr="00101CB7" w:rsidRDefault="004C3823" w:rsidP="00101CB7">
      <w:pPr>
        <w:rPr>
          <w:sz w:val="24"/>
          <w:szCs w:val="24"/>
        </w:rPr>
      </w:pPr>
      <w:r w:rsidRPr="00101CB7">
        <w:rPr>
          <w:sz w:val="24"/>
          <w:szCs w:val="24"/>
        </w:rPr>
        <w:t xml:space="preserve">Figure </w:t>
      </w:r>
      <w:r>
        <w:rPr>
          <w:sz w:val="24"/>
          <w:szCs w:val="24"/>
        </w:rPr>
        <w:t>2.</w:t>
      </w:r>
      <w:r w:rsidRPr="00101CB7">
        <w:rPr>
          <w:sz w:val="24"/>
          <w:szCs w:val="24"/>
        </w:rPr>
        <w:t xml:space="preserve">10: Cumulative moment growth with </w:t>
      </w:r>
      <w:r>
        <w:rPr>
          <w:sz w:val="24"/>
          <w:szCs w:val="24"/>
        </w:rPr>
        <w:t xml:space="preserve">the </w:t>
      </w:r>
      <w:r w:rsidRPr="00101CB7">
        <w:rPr>
          <w:sz w:val="24"/>
          <w:szCs w:val="24"/>
        </w:rPr>
        <w:t>increasing number of earthquakes (A and B) and time since the start of injection (C and D) for each treatment before (</w:t>
      </w:r>
      <w:r>
        <w:rPr>
          <w:sz w:val="24"/>
          <w:szCs w:val="24"/>
        </w:rPr>
        <w:t>left panel: A and C</w:t>
      </w:r>
      <w:r w:rsidRPr="00101CB7">
        <w:rPr>
          <w:sz w:val="24"/>
          <w:szCs w:val="24"/>
        </w:rPr>
        <w:t>) and after (</w:t>
      </w:r>
      <w:r>
        <w:rPr>
          <w:sz w:val="24"/>
          <w:szCs w:val="24"/>
        </w:rPr>
        <w:t xml:space="preserve">right panel: </w:t>
      </w:r>
      <w:r w:rsidRPr="00101CB7">
        <w:rPr>
          <w:sz w:val="24"/>
          <w:szCs w:val="24"/>
        </w:rPr>
        <w:t>B and D) magnitude calibration.</w:t>
      </w:r>
    </w:p>
    <w:p w14:paraId="59AE7854" w14:textId="77777777" w:rsidR="004C3823" w:rsidRDefault="004C3823" w:rsidP="000D2B5A">
      <w:pPr>
        <w:rPr>
          <w:b/>
          <w:bCs/>
          <w:sz w:val="24"/>
          <w:szCs w:val="24"/>
        </w:rPr>
      </w:pPr>
    </w:p>
    <w:p w14:paraId="154B2787" w14:textId="77777777" w:rsidR="004C3823" w:rsidRDefault="004C3823" w:rsidP="000D2B5A">
      <w:pPr>
        <w:rPr>
          <w:b/>
          <w:bCs/>
          <w:sz w:val="24"/>
          <w:szCs w:val="24"/>
        </w:rPr>
      </w:pPr>
    </w:p>
    <w:p w14:paraId="7F3826ED" w14:textId="77777777" w:rsidR="004C3823" w:rsidRDefault="004C3823" w:rsidP="000D2B5A">
      <w:pPr>
        <w:rPr>
          <w:b/>
          <w:bCs/>
          <w:sz w:val="24"/>
          <w:szCs w:val="24"/>
        </w:rPr>
      </w:pPr>
    </w:p>
    <w:p w14:paraId="283A5DD7" w14:textId="77777777" w:rsidR="004C3823" w:rsidRDefault="004C3823" w:rsidP="000D2B5A">
      <w:pPr>
        <w:rPr>
          <w:b/>
          <w:bCs/>
          <w:sz w:val="24"/>
          <w:szCs w:val="24"/>
        </w:rPr>
      </w:pPr>
    </w:p>
    <w:p w14:paraId="622ED1CD" w14:textId="77777777" w:rsidR="004C3823" w:rsidRDefault="004C3823" w:rsidP="000D2B5A">
      <w:pPr>
        <w:rPr>
          <w:b/>
          <w:bCs/>
          <w:sz w:val="24"/>
          <w:szCs w:val="24"/>
        </w:rPr>
      </w:pPr>
    </w:p>
    <w:p w14:paraId="3933975D" w14:textId="77777777" w:rsidR="004C3823" w:rsidRDefault="004C3823" w:rsidP="000D2B5A">
      <w:pPr>
        <w:rPr>
          <w:b/>
          <w:bCs/>
          <w:sz w:val="24"/>
          <w:szCs w:val="24"/>
        </w:rPr>
      </w:pPr>
    </w:p>
    <w:p w14:paraId="0B42A839" w14:textId="77777777" w:rsidR="004C3823" w:rsidRDefault="004C3823" w:rsidP="000D2B5A">
      <w:pPr>
        <w:rPr>
          <w:b/>
          <w:bCs/>
          <w:sz w:val="24"/>
          <w:szCs w:val="24"/>
        </w:rPr>
      </w:pPr>
    </w:p>
    <w:p w14:paraId="173C5998" w14:textId="77777777" w:rsidR="004C3823" w:rsidRDefault="004C3823" w:rsidP="000D2B5A">
      <w:pPr>
        <w:rPr>
          <w:b/>
          <w:bCs/>
          <w:sz w:val="24"/>
          <w:szCs w:val="24"/>
        </w:rPr>
      </w:pPr>
    </w:p>
    <w:p w14:paraId="0145C941" w14:textId="77777777" w:rsidR="004C3823" w:rsidRPr="00492A10" w:rsidRDefault="004C3823" w:rsidP="000D2B5A">
      <w:pPr>
        <w:rPr>
          <w:b/>
          <w:bCs/>
          <w:sz w:val="24"/>
          <w:szCs w:val="24"/>
        </w:rPr>
      </w:pPr>
      <w:r w:rsidRPr="00492A10">
        <w:rPr>
          <w:b/>
          <w:bCs/>
          <w:sz w:val="24"/>
          <w:szCs w:val="24"/>
        </w:rPr>
        <w:lastRenderedPageBreak/>
        <w:t>References</w:t>
      </w:r>
    </w:p>
    <w:p w14:paraId="6D467C75" w14:textId="77777777" w:rsidR="004C3823" w:rsidRPr="00492A10" w:rsidRDefault="004C3823" w:rsidP="00C55ACE">
      <w:pPr>
        <w:ind w:left="720" w:hanging="720"/>
        <w:rPr>
          <w:sz w:val="24"/>
          <w:szCs w:val="24"/>
        </w:rPr>
      </w:pPr>
      <w:r w:rsidRPr="00492A10">
        <w:rPr>
          <w:sz w:val="24"/>
          <w:szCs w:val="24"/>
        </w:rPr>
        <w:t xml:space="preserve">Abercrombie, R. E., </w:t>
      </w:r>
      <w:proofErr w:type="spellStart"/>
      <w:r w:rsidRPr="00492A10">
        <w:rPr>
          <w:sz w:val="24"/>
          <w:szCs w:val="24"/>
        </w:rPr>
        <w:t>Trugman</w:t>
      </w:r>
      <w:proofErr w:type="spellEnd"/>
      <w:r w:rsidRPr="00492A10">
        <w:rPr>
          <w:sz w:val="24"/>
          <w:szCs w:val="24"/>
        </w:rPr>
        <w:t xml:space="preserve">, D. T., Shearer, P. M., Chen, X., Zhang, J., Pennington, C. N., Ruhl, C. J. (2021). Does Earthquake Stress Drop Increase </w:t>
      </w:r>
      <w:proofErr w:type="gramStart"/>
      <w:r w:rsidRPr="00492A10">
        <w:rPr>
          <w:sz w:val="24"/>
          <w:szCs w:val="24"/>
        </w:rPr>
        <w:t>With</w:t>
      </w:r>
      <w:proofErr w:type="gramEnd"/>
      <w:r w:rsidRPr="00492A10">
        <w:rPr>
          <w:sz w:val="24"/>
          <w:szCs w:val="24"/>
        </w:rPr>
        <w:t xml:space="preserve"> Depth in the Crust? Journal of Geophysical Research: Solid Earth, 126 (10). doi:10.1029/2021JB022314</w:t>
      </w:r>
    </w:p>
    <w:p w14:paraId="44217709" w14:textId="77777777" w:rsidR="004C3823" w:rsidRPr="00492A10" w:rsidRDefault="004C3823" w:rsidP="00C55ACE">
      <w:pPr>
        <w:ind w:left="720" w:hanging="720"/>
        <w:rPr>
          <w:sz w:val="24"/>
          <w:szCs w:val="24"/>
        </w:rPr>
      </w:pPr>
      <w:r w:rsidRPr="00492A10">
        <w:rPr>
          <w:sz w:val="24"/>
          <w:szCs w:val="24"/>
        </w:rPr>
        <w:t xml:space="preserve">Albright, J. N., Alamos, L., Laboratory, N., &amp; Pearson, C. F. (1982). Acoustic Emissions as a Tool for Hydraulic Fracture Location: Experience at the Fenton Hill Hot Dry Rock Site. Society of Petroleum Engineers </w:t>
      </w:r>
      <w:proofErr w:type="gramStart"/>
      <w:r w:rsidRPr="00492A10">
        <w:rPr>
          <w:sz w:val="24"/>
          <w:szCs w:val="24"/>
        </w:rPr>
        <w:t>Journal ,</w:t>
      </w:r>
      <w:proofErr w:type="gramEnd"/>
      <w:r w:rsidRPr="00492A10">
        <w:rPr>
          <w:sz w:val="24"/>
          <w:szCs w:val="24"/>
        </w:rPr>
        <w:t xml:space="preserve"> 22 (04),523–530.</w:t>
      </w:r>
    </w:p>
    <w:p w14:paraId="52E07440" w14:textId="77777777" w:rsidR="004C3823" w:rsidRPr="00492A10" w:rsidRDefault="004C3823" w:rsidP="00C55ACE">
      <w:pPr>
        <w:ind w:left="720" w:hanging="720"/>
        <w:rPr>
          <w:sz w:val="24"/>
          <w:szCs w:val="24"/>
        </w:rPr>
      </w:pPr>
      <w:r w:rsidRPr="00492A10">
        <w:rPr>
          <w:sz w:val="24"/>
          <w:szCs w:val="24"/>
        </w:rPr>
        <w:t xml:space="preserve">Andrews, D. J. (1986). Objective Determination of Source Parameters and Similarity of Earthquakes of Different Size. Earthquake Course Mechanics, </w:t>
      </w:r>
      <w:proofErr w:type="gramStart"/>
      <w:r w:rsidRPr="00492A10">
        <w:rPr>
          <w:sz w:val="24"/>
          <w:szCs w:val="24"/>
        </w:rPr>
        <w:t>37 ,</w:t>
      </w:r>
      <w:proofErr w:type="gramEnd"/>
      <w:r w:rsidRPr="00492A10">
        <w:rPr>
          <w:sz w:val="24"/>
          <w:szCs w:val="24"/>
        </w:rPr>
        <w:t xml:space="preserve"> 259–267. doi:10.1029/GM037P0259</w:t>
      </w:r>
    </w:p>
    <w:p w14:paraId="07D8AF3E" w14:textId="77777777" w:rsidR="004C3823" w:rsidRPr="00492A10" w:rsidRDefault="004C3823" w:rsidP="00C55ACE">
      <w:pPr>
        <w:ind w:left="720" w:hanging="720"/>
        <w:rPr>
          <w:sz w:val="24"/>
          <w:szCs w:val="24"/>
        </w:rPr>
      </w:pPr>
      <w:r w:rsidRPr="00492A10">
        <w:rPr>
          <w:sz w:val="24"/>
          <w:szCs w:val="24"/>
        </w:rPr>
        <w:t xml:space="preserve">Bachmann, C. E., Foxall, W., &amp; Daley, T. (2014). Comparing Induced Seismicity </w:t>
      </w:r>
      <w:proofErr w:type="gramStart"/>
      <w:r w:rsidRPr="00492A10">
        <w:rPr>
          <w:sz w:val="24"/>
          <w:szCs w:val="24"/>
        </w:rPr>
        <w:t>On</w:t>
      </w:r>
      <w:proofErr w:type="gramEnd"/>
      <w:r w:rsidRPr="00492A10">
        <w:rPr>
          <w:sz w:val="24"/>
          <w:szCs w:val="24"/>
        </w:rPr>
        <w:t xml:space="preserve"> Different Scales. PROCEEDINGS, Thirty-Ninth Workshop on Geothermal Reservoir Engineering.</w:t>
      </w:r>
    </w:p>
    <w:p w14:paraId="1EC797E5" w14:textId="77777777" w:rsidR="004C3823" w:rsidRPr="00492A10" w:rsidRDefault="004C3823" w:rsidP="00C55ACE">
      <w:pPr>
        <w:ind w:left="720" w:hanging="720"/>
        <w:rPr>
          <w:sz w:val="24"/>
          <w:szCs w:val="24"/>
        </w:rPr>
      </w:pPr>
      <w:r w:rsidRPr="00492A10">
        <w:rPr>
          <w:sz w:val="24"/>
          <w:szCs w:val="24"/>
        </w:rPr>
        <w:t>Bachmann, C. E., Wiemer, S., Goertz-Allmann, B. P., &amp; Woessner, J. (2012, May).</w:t>
      </w:r>
      <w:r w:rsidRPr="00492A10">
        <w:rPr>
          <w:sz w:val="24"/>
          <w:szCs w:val="24"/>
        </w:rPr>
        <w:tab/>
        <w:t>Influence of pore-pressure on the event-size distribution of induced earthquakes. Geophysical Research Letters, 39 (9), 9302. doi:10.1029/2012GL051480</w:t>
      </w:r>
    </w:p>
    <w:p w14:paraId="6A1AF2C6" w14:textId="77777777" w:rsidR="004C3823" w:rsidRPr="00492A10" w:rsidRDefault="004C3823" w:rsidP="00C55ACE">
      <w:pPr>
        <w:ind w:left="720" w:hanging="720"/>
        <w:rPr>
          <w:sz w:val="24"/>
          <w:szCs w:val="24"/>
        </w:rPr>
      </w:pPr>
      <w:r w:rsidRPr="00492A10">
        <w:rPr>
          <w:sz w:val="24"/>
          <w:szCs w:val="24"/>
        </w:rPr>
        <w:t xml:space="preserve">Bachmann, C. E., Wiemer, S., Woessner, J., &amp; </w:t>
      </w:r>
      <w:proofErr w:type="spellStart"/>
      <w:r w:rsidRPr="00492A10">
        <w:rPr>
          <w:sz w:val="24"/>
          <w:szCs w:val="24"/>
        </w:rPr>
        <w:t>Hainzl</w:t>
      </w:r>
      <w:proofErr w:type="spellEnd"/>
      <w:r w:rsidRPr="00492A10">
        <w:rPr>
          <w:sz w:val="24"/>
          <w:szCs w:val="24"/>
        </w:rPr>
        <w:t>, S.</w:t>
      </w:r>
      <w:r w:rsidRPr="00492A10">
        <w:rPr>
          <w:sz w:val="24"/>
          <w:szCs w:val="24"/>
        </w:rPr>
        <w:tab/>
        <w:t>(2011).</w:t>
      </w:r>
      <w:r w:rsidRPr="00492A10">
        <w:rPr>
          <w:sz w:val="24"/>
          <w:szCs w:val="24"/>
        </w:rPr>
        <w:tab/>
        <w:t xml:space="preserve">Statistical analysis of the induced Basel 2006 earthquake sequence: introducing a probability-based monitoring approach for Enhanced Geothermal Systems. Geophysical Journal </w:t>
      </w:r>
      <w:proofErr w:type="gramStart"/>
      <w:r w:rsidRPr="00492A10">
        <w:rPr>
          <w:sz w:val="24"/>
          <w:szCs w:val="24"/>
        </w:rPr>
        <w:t>International ,</w:t>
      </w:r>
      <w:proofErr w:type="gramEnd"/>
      <w:r w:rsidRPr="00492A10">
        <w:rPr>
          <w:sz w:val="24"/>
          <w:szCs w:val="24"/>
        </w:rPr>
        <w:t xml:space="preserve"> 186 (2), 793–807. doi:10.1111/j.1365-246X.</w:t>
      </w:r>
      <w:proofErr w:type="gramStart"/>
      <w:r w:rsidRPr="00492A10">
        <w:rPr>
          <w:sz w:val="24"/>
          <w:szCs w:val="24"/>
        </w:rPr>
        <w:t>2011.05068.x</w:t>
      </w:r>
      <w:proofErr w:type="gramEnd"/>
    </w:p>
    <w:p w14:paraId="26E073D1" w14:textId="77777777" w:rsidR="004C3823" w:rsidRPr="00492A10" w:rsidRDefault="004C3823" w:rsidP="00C55ACE">
      <w:pPr>
        <w:ind w:left="720" w:hanging="720"/>
        <w:rPr>
          <w:sz w:val="24"/>
          <w:szCs w:val="24"/>
        </w:rPr>
      </w:pPr>
      <w:r w:rsidRPr="00492A10">
        <w:rPr>
          <w:sz w:val="24"/>
          <w:szCs w:val="24"/>
        </w:rPr>
        <w:t>Boroumand, N., &amp; Eaton, D. W. (2012). Comparing energy calculations - Hydraulic fracturing and microseismic monitoring.</w:t>
      </w:r>
      <w:r w:rsidRPr="00492A10">
        <w:rPr>
          <w:sz w:val="24"/>
          <w:szCs w:val="24"/>
        </w:rPr>
        <w:tab/>
        <w:t xml:space="preserve">74th European Association of Geoscientists and Engineers Conference and Exhibition 2012 Incorporating SPE EUROPEC 2012: Responsibly Securing Natural </w:t>
      </w:r>
      <w:proofErr w:type="gramStart"/>
      <w:r w:rsidRPr="00492A10">
        <w:rPr>
          <w:sz w:val="24"/>
          <w:szCs w:val="24"/>
        </w:rPr>
        <w:t>Resources ,</w:t>
      </w:r>
      <w:proofErr w:type="gramEnd"/>
      <w:r w:rsidRPr="00492A10">
        <w:rPr>
          <w:sz w:val="24"/>
          <w:szCs w:val="24"/>
        </w:rPr>
        <w:t xml:space="preserve"> 4827–4831. doi:10.3997/2214-4609.20148187</w:t>
      </w:r>
    </w:p>
    <w:p w14:paraId="0BC7E342" w14:textId="77777777" w:rsidR="004C3823" w:rsidRPr="00492A10" w:rsidRDefault="004C3823" w:rsidP="00C55ACE">
      <w:pPr>
        <w:ind w:left="720" w:hanging="720"/>
        <w:rPr>
          <w:sz w:val="24"/>
          <w:szCs w:val="24"/>
        </w:rPr>
      </w:pPr>
      <w:r w:rsidRPr="00492A10">
        <w:rPr>
          <w:sz w:val="24"/>
          <w:szCs w:val="24"/>
        </w:rPr>
        <w:t xml:space="preserve">Chen, X., </w:t>
      </w:r>
      <w:proofErr w:type="spellStart"/>
      <w:r w:rsidRPr="00492A10">
        <w:rPr>
          <w:sz w:val="24"/>
          <w:szCs w:val="24"/>
        </w:rPr>
        <w:t>Haffener</w:t>
      </w:r>
      <w:proofErr w:type="spellEnd"/>
      <w:r w:rsidRPr="00492A10">
        <w:rPr>
          <w:sz w:val="24"/>
          <w:szCs w:val="24"/>
        </w:rPr>
        <w:t>, J., Goebel, T. H. W., Chang, J. C., &amp; Al, C. E. T.</w:t>
      </w:r>
      <w:r w:rsidRPr="00492A10">
        <w:rPr>
          <w:sz w:val="24"/>
          <w:szCs w:val="24"/>
        </w:rPr>
        <w:tab/>
        <w:t>(2018). Temporal Correlation Between Seismic Moment and Injection Volume for an Induced Earthquake Sequence in Central Oklahoma. Journal of Geophysical Research: Solid Earth, 123 (4), 1–18.</w:t>
      </w:r>
    </w:p>
    <w:p w14:paraId="0E6615A6" w14:textId="77777777" w:rsidR="004C3823" w:rsidRPr="00492A10" w:rsidRDefault="004C3823" w:rsidP="00C55ACE">
      <w:pPr>
        <w:ind w:left="720" w:hanging="720"/>
        <w:rPr>
          <w:sz w:val="24"/>
          <w:szCs w:val="24"/>
        </w:rPr>
      </w:pPr>
      <w:r w:rsidRPr="00492A10">
        <w:rPr>
          <w:sz w:val="24"/>
          <w:szCs w:val="24"/>
        </w:rPr>
        <w:t>Chung, D., &amp; Bernreuter, D. (1981). Regional Relationships Among Earthquake Magnitude Scales. Reviews of Geophysics, 19 (4), 649–663.</w:t>
      </w:r>
    </w:p>
    <w:p w14:paraId="7D593D65" w14:textId="77777777" w:rsidR="004C3823" w:rsidRPr="00492A10" w:rsidRDefault="004C3823" w:rsidP="00C55ACE">
      <w:pPr>
        <w:ind w:left="720" w:hanging="720"/>
        <w:rPr>
          <w:sz w:val="24"/>
          <w:szCs w:val="24"/>
        </w:rPr>
      </w:pPr>
      <w:proofErr w:type="spellStart"/>
      <w:r w:rsidRPr="00492A10">
        <w:rPr>
          <w:sz w:val="24"/>
          <w:szCs w:val="24"/>
        </w:rPr>
        <w:t>Dinske</w:t>
      </w:r>
      <w:proofErr w:type="spellEnd"/>
      <w:r w:rsidRPr="00492A10">
        <w:rPr>
          <w:sz w:val="24"/>
          <w:szCs w:val="24"/>
        </w:rPr>
        <w:t xml:space="preserve">, C., &amp; Shapiro, S. A. (2016). Performance test of the </w:t>
      </w:r>
      <w:proofErr w:type="spellStart"/>
      <w:r w:rsidRPr="00492A10">
        <w:rPr>
          <w:sz w:val="24"/>
          <w:szCs w:val="24"/>
        </w:rPr>
        <w:t>Seismogenic</w:t>
      </w:r>
      <w:proofErr w:type="spellEnd"/>
      <w:r w:rsidRPr="00492A10">
        <w:rPr>
          <w:sz w:val="24"/>
          <w:szCs w:val="24"/>
        </w:rPr>
        <w:t xml:space="preserve"> Index model for forecasting magnitude distributions of fluid injection induced seismicity. SEG Technical Program Expanded Abstracts 2016, 5022–5027.</w:t>
      </w:r>
    </w:p>
    <w:p w14:paraId="63953F74" w14:textId="77777777" w:rsidR="004C3823" w:rsidRPr="00492A10" w:rsidRDefault="004C3823" w:rsidP="00C55ACE">
      <w:pPr>
        <w:ind w:left="720" w:hanging="720"/>
        <w:rPr>
          <w:sz w:val="24"/>
          <w:szCs w:val="24"/>
        </w:rPr>
      </w:pPr>
      <w:proofErr w:type="spellStart"/>
      <w:r w:rsidRPr="00492A10">
        <w:rPr>
          <w:sz w:val="24"/>
          <w:szCs w:val="24"/>
        </w:rPr>
        <w:t>Dinske</w:t>
      </w:r>
      <w:proofErr w:type="spellEnd"/>
      <w:r w:rsidRPr="00492A10">
        <w:rPr>
          <w:sz w:val="24"/>
          <w:szCs w:val="24"/>
        </w:rPr>
        <w:t xml:space="preserve">, C., Shapiro, S. A., </w:t>
      </w:r>
      <w:proofErr w:type="spellStart"/>
      <w:r w:rsidRPr="00492A10">
        <w:rPr>
          <w:sz w:val="24"/>
          <w:szCs w:val="24"/>
        </w:rPr>
        <w:t>Dinske</w:t>
      </w:r>
      <w:proofErr w:type="spellEnd"/>
      <w:r w:rsidRPr="00492A10">
        <w:rPr>
          <w:sz w:val="24"/>
          <w:szCs w:val="24"/>
        </w:rPr>
        <w:t>, C., &amp; Shapiro, S. A. (2013). Seismotectonic state of reservoirs inferred from magnitude distributions of fluid-induced seismicity. Journal of Seismology, 17 (1), 13–25. doi:10.1007/s10950-012-9292-9</w:t>
      </w:r>
    </w:p>
    <w:p w14:paraId="6FB03767" w14:textId="77777777" w:rsidR="004C3823" w:rsidRPr="00492A10" w:rsidRDefault="004C3823" w:rsidP="00C55ACE">
      <w:pPr>
        <w:ind w:left="720" w:hanging="720"/>
        <w:rPr>
          <w:sz w:val="24"/>
          <w:szCs w:val="24"/>
        </w:rPr>
      </w:pPr>
      <w:r w:rsidRPr="00492A10">
        <w:rPr>
          <w:sz w:val="24"/>
          <w:szCs w:val="24"/>
        </w:rPr>
        <w:lastRenderedPageBreak/>
        <w:t>Eaton, D. W., &amp; Boroumand, N. (2013). Estimating energy balance for hydraulic fracture stimulations: Lessons Learned from Basel. GeoConvention2013: Integration.</w:t>
      </w:r>
    </w:p>
    <w:p w14:paraId="564A6AB2" w14:textId="77777777" w:rsidR="004C3823" w:rsidRPr="00492A10" w:rsidRDefault="004C3823" w:rsidP="00C55ACE">
      <w:pPr>
        <w:ind w:left="720" w:hanging="720"/>
        <w:rPr>
          <w:sz w:val="24"/>
          <w:szCs w:val="24"/>
        </w:rPr>
      </w:pPr>
      <w:r w:rsidRPr="00492A10">
        <w:rPr>
          <w:sz w:val="24"/>
          <w:szCs w:val="24"/>
        </w:rPr>
        <w:t xml:space="preserve">Eaton, D. W., Davidsen, J., Pedersen, P. K., &amp; Boroumand, N. (2014). Breakdown of the Gutenberg-Richter relation for microearthquakes induced by hydraulic fracturing: influence of </w:t>
      </w:r>
      <w:proofErr w:type="spellStart"/>
      <w:r w:rsidRPr="00492A10">
        <w:rPr>
          <w:sz w:val="24"/>
          <w:szCs w:val="24"/>
        </w:rPr>
        <w:t>stratabound</w:t>
      </w:r>
      <w:proofErr w:type="spellEnd"/>
      <w:r w:rsidRPr="00492A10">
        <w:rPr>
          <w:sz w:val="24"/>
          <w:szCs w:val="24"/>
        </w:rPr>
        <w:t xml:space="preserve"> fractures. Geophysical Prospecting, 62 (4), 806–818. doi:10.1111/1365-2478.12128</w:t>
      </w:r>
    </w:p>
    <w:p w14:paraId="7FEC074D" w14:textId="77777777" w:rsidR="004C3823" w:rsidRPr="00492A10" w:rsidRDefault="004C3823" w:rsidP="00C55ACE">
      <w:pPr>
        <w:ind w:left="720" w:hanging="720"/>
        <w:rPr>
          <w:sz w:val="24"/>
          <w:szCs w:val="24"/>
        </w:rPr>
      </w:pPr>
      <w:r w:rsidRPr="00492A10">
        <w:rPr>
          <w:sz w:val="24"/>
          <w:szCs w:val="24"/>
        </w:rPr>
        <w:t xml:space="preserve">Frohlich, C., &amp; Davis, S. D. (1993). </w:t>
      </w:r>
      <w:proofErr w:type="spellStart"/>
      <w:r w:rsidRPr="00492A10">
        <w:rPr>
          <w:sz w:val="24"/>
          <w:szCs w:val="24"/>
        </w:rPr>
        <w:t>Teleseismic</w:t>
      </w:r>
      <w:proofErr w:type="spellEnd"/>
      <w:r w:rsidRPr="00492A10">
        <w:rPr>
          <w:sz w:val="24"/>
          <w:szCs w:val="24"/>
        </w:rPr>
        <w:t xml:space="preserve"> b values; </w:t>
      </w:r>
      <w:proofErr w:type="gramStart"/>
      <w:r w:rsidRPr="00492A10">
        <w:rPr>
          <w:sz w:val="24"/>
          <w:szCs w:val="24"/>
        </w:rPr>
        <w:t>or,</w:t>
      </w:r>
      <w:proofErr w:type="gramEnd"/>
      <w:r w:rsidRPr="00492A10">
        <w:rPr>
          <w:sz w:val="24"/>
          <w:szCs w:val="24"/>
        </w:rPr>
        <w:t xml:space="preserve"> much ado about 1.0. Journal of Geophysical Research, 98 (b1), 631–644. doi:10.1029/92JB01891</w:t>
      </w:r>
    </w:p>
    <w:p w14:paraId="1CE1109B" w14:textId="77777777" w:rsidR="004C3823" w:rsidRPr="00492A10" w:rsidRDefault="004C3823" w:rsidP="00C55ACE">
      <w:pPr>
        <w:ind w:left="720" w:hanging="720"/>
        <w:rPr>
          <w:sz w:val="24"/>
          <w:szCs w:val="24"/>
        </w:rPr>
      </w:pPr>
      <w:r w:rsidRPr="00492A10">
        <w:rPr>
          <w:sz w:val="24"/>
          <w:szCs w:val="24"/>
        </w:rPr>
        <w:t xml:space="preserve">Gerstenberger, M., Wiemer, S., &amp; Giardini, D. (2001). A systematic test of the hypothesis that the b value varies with depth in California. Geophysical Research Letters, 28 (1), 57–60. </w:t>
      </w:r>
      <w:proofErr w:type="spellStart"/>
      <w:r w:rsidRPr="00492A10">
        <w:rPr>
          <w:sz w:val="24"/>
          <w:szCs w:val="24"/>
        </w:rPr>
        <w:t>doi</w:t>
      </w:r>
      <w:proofErr w:type="spellEnd"/>
      <w:r w:rsidRPr="00492A10">
        <w:rPr>
          <w:sz w:val="24"/>
          <w:szCs w:val="24"/>
        </w:rPr>
        <w:t>: 10.1029/2000GL012026</w:t>
      </w:r>
    </w:p>
    <w:p w14:paraId="0146D910" w14:textId="77777777" w:rsidR="004C3823" w:rsidRPr="00492A10" w:rsidRDefault="004C3823" w:rsidP="00C55ACE">
      <w:pPr>
        <w:ind w:left="720" w:hanging="720"/>
        <w:rPr>
          <w:sz w:val="24"/>
          <w:szCs w:val="24"/>
        </w:rPr>
      </w:pPr>
      <w:r w:rsidRPr="00492A10">
        <w:rPr>
          <w:sz w:val="24"/>
          <w:szCs w:val="24"/>
        </w:rPr>
        <w:t xml:space="preserve">Gibbons, S. J., &amp; Ringdal, F. (2006). The detection of low magnitude seismic events using array-based waveform correlation. Geophysical Journal International, 165 (1), 149–166. </w:t>
      </w:r>
      <w:proofErr w:type="spellStart"/>
      <w:r w:rsidRPr="00492A10">
        <w:rPr>
          <w:sz w:val="24"/>
          <w:szCs w:val="24"/>
        </w:rPr>
        <w:t>doi</w:t>
      </w:r>
      <w:proofErr w:type="spellEnd"/>
      <w:r w:rsidRPr="00492A10">
        <w:rPr>
          <w:sz w:val="24"/>
          <w:szCs w:val="24"/>
        </w:rPr>
        <w:t>: 10.1111/J.1365-246X.</w:t>
      </w:r>
      <w:proofErr w:type="gramStart"/>
      <w:r w:rsidRPr="00492A10">
        <w:rPr>
          <w:sz w:val="24"/>
          <w:szCs w:val="24"/>
        </w:rPr>
        <w:t>2006.02865.X</w:t>
      </w:r>
      <w:proofErr w:type="gramEnd"/>
    </w:p>
    <w:p w14:paraId="1601EA9F" w14:textId="77777777" w:rsidR="004C3823" w:rsidRPr="00492A10" w:rsidRDefault="004C3823" w:rsidP="00C55ACE">
      <w:pPr>
        <w:ind w:left="720" w:hanging="720"/>
        <w:rPr>
          <w:sz w:val="24"/>
          <w:szCs w:val="24"/>
        </w:rPr>
      </w:pPr>
      <w:r w:rsidRPr="00492A10">
        <w:rPr>
          <w:sz w:val="24"/>
          <w:szCs w:val="24"/>
        </w:rPr>
        <w:t>Gutenberg, B., &amp; Richter, C. F. (1942). Earthquake Magnitude, Intensity, Energy, and Acceleration. Bulletin of the Seismological Society of America, 32 (3).</w:t>
      </w:r>
    </w:p>
    <w:p w14:paraId="629284E4" w14:textId="77777777" w:rsidR="004C3823" w:rsidRPr="00492A10" w:rsidRDefault="004C3823" w:rsidP="00C55ACE">
      <w:pPr>
        <w:ind w:left="720" w:hanging="720"/>
        <w:rPr>
          <w:sz w:val="24"/>
          <w:szCs w:val="24"/>
        </w:rPr>
      </w:pPr>
      <w:proofErr w:type="spellStart"/>
      <w:r w:rsidRPr="00492A10">
        <w:rPr>
          <w:sz w:val="24"/>
          <w:szCs w:val="24"/>
        </w:rPr>
        <w:t>Hajati</w:t>
      </w:r>
      <w:proofErr w:type="spellEnd"/>
      <w:r w:rsidRPr="00492A10">
        <w:rPr>
          <w:sz w:val="24"/>
          <w:szCs w:val="24"/>
        </w:rPr>
        <w:t xml:space="preserve">, T., </w:t>
      </w:r>
      <w:proofErr w:type="spellStart"/>
      <w:r w:rsidRPr="00492A10">
        <w:rPr>
          <w:sz w:val="24"/>
          <w:szCs w:val="24"/>
        </w:rPr>
        <w:t>Langenbruch</w:t>
      </w:r>
      <w:proofErr w:type="spellEnd"/>
      <w:r w:rsidRPr="00492A10">
        <w:rPr>
          <w:sz w:val="24"/>
          <w:szCs w:val="24"/>
        </w:rPr>
        <w:t>, C., &amp; Shapiro, S. A. (2015). A statistical model for seismic hazard assessment of hydraulic-fracturing-induced seismicity. Geophysical Research Letters, 42 (24), 10,601–10,606. doi:10.1002/2015GL066652</w:t>
      </w:r>
    </w:p>
    <w:p w14:paraId="2A010DD6" w14:textId="77777777" w:rsidR="004C3823" w:rsidRPr="00492A10" w:rsidRDefault="004C3823" w:rsidP="00C55ACE">
      <w:pPr>
        <w:ind w:left="720" w:hanging="720"/>
        <w:rPr>
          <w:sz w:val="24"/>
          <w:szCs w:val="24"/>
        </w:rPr>
      </w:pPr>
      <w:r w:rsidRPr="00492A10">
        <w:rPr>
          <w:sz w:val="24"/>
          <w:szCs w:val="24"/>
        </w:rPr>
        <w:t xml:space="preserve">Heyman, J., de Coulomb, C. A., &amp; Coulomb, C. A. (1972). Coulomb's memoir on statics: an essay in the history of civil engineering. CUP Archive. </w:t>
      </w:r>
    </w:p>
    <w:p w14:paraId="057C953A" w14:textId="77777777" w:rsidR="004C3823" w:rsidRPr="00492A10" w:rsidRDefault="004C3823" w:rsidP="00C55ACE">
      <w:pPr>
        <w:ind w:left="720" w:hanging="720"/>
        <w:rPr>
          <w:sz w:val="24"/>
          <w:szCs w:val="24"/>
        </w:rPr>
      </w:pPr>
      <w:r w:rsidRPr="00492A10">
        <w:rPr>
          <w:sz w:val="24"/>
          <w:szCs w:val="24"/>
        </w:rPr>
        <w:t xml:space="preserve">Hubbert, M. K., &amp; Willis, D. G. (1957). Mechanics of Hydraulic Fracturing. Society of Petroleum Engineers, </w:t>
      </w:r>
      <w:proofErr w:type="gramStart"/>
      <w:r w:rsidRPr="00492A10">
        <w:rPr>
          <w:sz w:val="24"/>
          <w:szCs w:val="24"/>
        </w:rPr>
        <w:t>210 ,</w:t>
      </w:r>
      <w:proofErr w:type="gramEnd"/>
      <w:r w:rsidRPr="00492A10">
        <w:rPr>
          <w:sz w:val="24"/>
          <w:szCs w:val="24"/>
        </w:rPr>
        <w:t xml:space="preserve"> 153–168.</w:t>
      </w:r>
    </w:p>
    <w:p w14:paraId="17757451" w14:textId="77777777" w:rsidR="004C3823" w:rsidRPr="00492A10" w:rsidRDefault="004C3823" w:rsidP="00C55ACE">
      <w:pPr>
        <w:ind w:left="720" w:hanging="720"/>
        <w:rPr>
          <w:sz w:val="24"/>
          <w:szCs w:val="24"/>
        </w:rPr>
      </w:pPr>
      <w:r w:rsidRPr="00492A10">
        <w:rPr>
          <w:sz w:val="24"/>
          <w:szCs w:val="24"/>
        </w:rPr>
        <w:t xml:space="preserve">Ibanez, J. M., De Angelis, S., </w:t>
      </w:r>
      <w:proofErr w:type="spellStart"/>
      <w:r w:rsidRPr="00492A10">
        <w:rPr>
          <w:sz w:val="24"/>
          <w:szCs w:val="24"/>
        </w:rPr>
        <w:t>Dıaz</w:t>
      </w:r>
      <w:proofErr w:type="spellEnd"/>
      <w:r w:rsidRPr="00492A10">
        <w:rPr>
          <w:sz w:val="24"/>
          <w:szCs w:val="24"/>
        </w:rPr>
        <w:t xml:space="preserve">-Moreno, A., Hernandez, P., Alguacil, G., Posadas, A., &amp; Perez, N. (2012). Insights into the 2011-2012 submarine eruption off the coast of El Hierro (Canary Islands, Spain) from statistical analyses of earthquake activity. Geophysical Journal International </w:t>
      </w:r>
      <w:proofErr w:type="spellStart"/>
      <w:r w:rsidRPr="00492A10">
        <w:rPr>
          <w:sz w:val="24"/>
          <w:szCs w:val="24"/>
        </w:rPr>
        <w:t>Geophys</w:t>
      </w:r>
      <w:proofErr w:type="spellEnd"/>
      <w:r w:rsidRPr="00492A10">
        <w:rPr>
          <w:sz w:val="24"/>
          <w:szCs w:val="24"/>
        </w:rPr>
        <w:t xml:space="preserve">. J. Int, </w:t>
      </w:r>
      <w:proofErr w:type="gramStart"/>
      <w:r w:rsidRPr="00492A10">
        <w:rPr>
          <w:sz w:val="24"/>
          <w:szCs w:val="24"/>
        </w:rPr>
        <w:t>191 ,</w:t>
      </w:r>
      <w:proofErr w:type="gramEnd"/>
      <w:r w:rsidRPr="00492A10">
        <w:rPr>
          <w:sz w:val="24"/>
          <w:szCs w:val="24"/>
        </w:rPr>
        <w:t xml:space="preserve"> 659–670. doi:10.1111/j.1365-246X.</w:t>
      </w:r>
      <w:proofErr w:type="gramStart"/>
      <w:r w:rsidRPr="00492A10">
        <w:rPr>
          <w:sz w:val="24"/>
          <w:szCs w:val="24"/>
        </w:rPr>
        <w:t>2012.05629.x</w:t>
      </w:r>
      <w:proofErr w:type="gramEnd"/>
    </w:p>
    <w:p w14:paraId="0FFBFB48" w14:textId="77777777" w:rsidR="004C3823" w:rsidRPr="00492A10" w:rsidRDefault="004C3823" w:rsidP="00C55ACE">
      <w:pPr>
        <w:ind w:left="720" w:hanging="720"/>
        <w:rPr>
          <w:sz w:val="24"/>
          <w:szCs w:val="24"/>
        </w:rPr>
      </w:pPr>
      <w:r w:rsidRPr="00492A10">
        <w:rPr>
          <w:sz w:val="24"/>
          <w:szCs w:val="24"/>
        </w:rPr>
        <w:t xml:space="preserve">Kagan, Y. Y. (1999). Universality of the Seismic Moment-frequency Relation. Pure appl. </w:t>
      </w:r>
      <w:proofErr w:type="spellStart"/>
      <w:r w:rsidRPr="00492A10">
        <w:rPr>
          <w:sz w:val="24"/>
          <w:szCs w:val="24"/>
        </w:rPr>
        <w:t>geophys</w:t>
      </w:r>
      <w:proofErr w:type="spellEnd"/>
      <w:r w:rsidRPr="00492A10">
        <w:rPr>
          <w:sz w:val="24"/>
          <w:szCs w:val="24"/>
        </w:rPr>
        <w:t xml:space="preserve">, </w:t>
      </w:r>
      <w:proofErr w:type="gramStart"/>
      <w:r w:rsidRPr="00492A10">
        <w:rPr>
          <w:sz w:val="24"/>
          <w:szCs w:val="24"/>
        </w:rPr>
        <w:t>155 ,</w:t>
      </w:r>
      <w:proofErr w:type="gramEnd"/>
      <w:r w:rsidRPr="00492A10">
        <w:rPr>
          <w:sz w:val="24"/>
          <w:szCs w:val="24"/>
        </w:rPr>
        <w:t xml:space="preserve"> 537–573. doi:10.1007/s000240050277</w:t>
      </w:r>
    </w:p>
    <w:p w14:paraId="50E3A0F1" w14:textId="77777777" w:rsidR="004C3823" w:rsidRPr="00492A10" w:rsidRDefault="004C3823" w:rsidP="00C55ACE">
      <w:pPr>
        <w:ind w:left="720" w:hanging="720"/>
        <w:rPr>
          <w:sz w:val="24"/>
          <w:szCs w:val="24"/>
        </w:rPr>
      </w:pPr>
      <w:r w:rsidRPr="00492A10">
        <w:rPr>
          <w:sz w:val="24"/>
          <w:szCs w:val="24"/>
        </w:rPr>
        <w:t>Kanamori, H. (1977). The energy release in great earthquakes. Journal of geophysical research, 82(20), 2981-2987.</w:t>
      </w:r>
    </w:p>
    <w:p w14:paraId="47A228B3" w14:textId="77777777" w:rsidR="004C3823" w:rsidRPr="00492A10" w:rsidRDefault="004C3823" w:rsidP="00C55ACE">
      <w:pPr>
        <w:ind w:left="720" w:hanging="720"/>
        <w:rPr>
          <w:sz w:val="24"/>
          <w:szCs w:val="24"/>
        </w:rPr>
      </w:pPr>
      <w:r w:rsidRPr="00492A10">
        <w:rPr>
          <w:sz w:val="24"/>
          <w:szCs w:val="24"/>
        </w:rPr>
        <w:t xml:space="preserve">Kane, D. L., Kilb, D. L., &amp; Vernon, F. L. (2013). Selecting empirical Green’s functions in regions of fault complexity: A study of data from the San Jacinto Fault Zone, Southern California. </w:t>
      </w:r>
      <w:r w:rsidRPr="00492A10">
        <w:rPr>
          <w:sz w:val="24"/>
          <w:szCs w:val="24"/>
        </w:rPr>
        <w:lastRenderedPageBreak/>
        <w:t>Bulletin of the Seismological Society of America, 103 (2 A), 641–650. doi:10.1785/0120120189</w:t>
      </w:r>
    </w:p>
    <w:p w14:paraId="33002B20" w14:textId="77777777" w:rsidR="004C3823" w:rsidRPr="00492A10" w:rsidRDefault="004C3823" w:rsidP="00C55ACE">
      <w:pPr>
        <w:ind w:left="720" w:hanging="720"/>
        <w:rPr>
          <w:sz w:val="24"/>
          <w:szCs w:val="24"/>
        </w:rPr>
      </w:pPr>
      <w:proofErr w:type="spellStart"/>
      <w:r w:rsidRPr="00492A10">
        <w:rPr>
          <w:sz w:val="24"/>
          <w:szCs w:val="24"/>
        </w:rPr>
        <w:t>Langenbruch</w:t>
      </w:r>
      <w:proofErr w:type="spellEnd"/>
      <w:r w:rsidRPr="00492A10">
        <w:rPr>
          <w:sz w:val="24"/>
          <w:szCs w:val="24"/>
        </w:rPr>
        <w:t xml:space="preserve">, C., &amp; Zoback, M. D. (2016). How will induced seismicity in Oklahoma respond to decreased saltwater injection rates? Science Advances, 2 (11), </w:t>
      </w:r>
      <w:proofErr w:type="spellStart"/>
      <w:r w:rsidRPr="00492A10">
        <w:rPr>
          <w:sz w:val="24"/>
          <w:szCs w:val="24"/>
        </w:rPr>
        <w:t>doi</w:t>
      </w:r>
      <w:proofErr w:type="spellEnd"/>
      <w:r w:rsidRPr="00492A10">
        <w:rPr>
          <w:sz w:val="24"/>
          <w:szCs w:val="24"/>
        </w:rPr>
        <w:t>: 10.1126/SCIADV.1601542</w:t>
      </w:r>
    </w:p>
    <w:p w14:paraId="28834B22" w14:textId="77777777" w:rsidR="004C3823" w:rsidRPr="00492A10" w:rsidRDefault="004C3823" w:rsidP="00C55ACE">
      <w:pPr>
        <w:ind w:left="720" w:hanging="720"/>
        <w:rPr>
          <w:sz w:val="24"/>
          <w:szCs w:val="24"/>
        </w:rPr>
      </w:pPr>
      <w:r w:rsidRPr="00492A10">
        <w:rPr>
          <w:sz w:val="24"/>
          <w:szCs w:val="24"/>
        </w:rPr>
        <w:t xml:space="preserve">Lei, X., Yu, G., Ma, S., Wen, X., &amp; Wang, Q. (2008). Earthquakes induced by water injection at 3 km depth within the </w:t>
      </w:r>
      <w:proofErr w:type="spellStart"/>
      <w:r w:rsidRPr="00492A10">
        <w:rPr>
          <w:sz w:val="24"/>
          <w:szCs w:val="24"/>
        </w:rPr>
        <w:t>Rongchang</w:t>
      </w:r>
      <w:proofErr w:type="spellEnd"/>
      <w:r w:rsidRPr="00492A10">
        <w:rPr>
          <w:sz w:val="24"/>
          <w:szCs w:val="24"/>
        </w:rPr>
        <w:t xml:space="preserve"> gas field, Chongqing, China. Journal of Geophysical Research: Solid Earth, 113 (B10), 10310. doi:10.1029/2008JB005604</w:t>
      </w:r>
    </w:p>
    <w:p w14:paraId="4FE62F64" w14:textId="77777777" w:rsidR="004C3823" w:rsidRPr="00492A10" w:rsidRDefault="004C3823" w:rsidP="00C55ACE">
      <w:pPr>
        <w:ind w:left="720" w:hanging="720"/>
        <w:rPr>
          <w:sz w:val="24"/>
          <w:szCs w:val="24"/>
        </w:rPr>
      </w:pPr>
      <w:r w:rsidRPr="00492A10">
        <w:rPr>
          <w:sz w:val="24"/>
          <w:szCs w:val="24"/>
        </w:rPr>
        <w:t>Maxwell, S. C., &amp; Cipolla, C. (2011). What Does Microseismicity Tell Us About Hydraulic Fracturing? SEG Technical Program Expanded Abstracts 2011, 1565–1569. doi:10.2118/146932-MS</w:t>
      </w:r>
    </w:p>
    <w:p w14:paraId="4CB4F993" w14:textId="77777777" w:rsidR="004C3823" w:rsidRPr="00492A10" w:rsidRDefault="004C3823" w:rsidP="00C55ACE">
      <w:pPr>
        <w:ind w:left="720" w:hanging="720"/>
        <w:rPr>
          <w:sz w:val="24"/>
          <w:szCs w:val="24"/>
        </w:rPr>
      </w:pPr>
      <w:r w:rsidRPr="00492A10">
        <w:rPr>
          <w:sz w:val="24"/>
          <w:szCs w:val="24"/>
        </w:rPr>
        <w:t>Michael Cleveland, K., &amp; Ammon, C. J. (2015). Precise relative earthquake magnitudes from cross correlation. Bulletin of the Seismological Society of America, 105 (3), 1792–1796. doi:10.1785/0120140329</w:t>
      </w:r>
    </w:p>
    <w:p w14:paraId="55D76BF8" w14:textId="77777777" w:rsidR="004C3823" w:rsidRPr="00492A10" w:rsidRDefault="004C3823" w:rsidP="00C55ACE">
      <w:pPr>
        <w:ind w:left="720" w:hanging="720"/>
        <w:rPr>
          <w:sz w:val="24"/>
          <w:szCs w:val="24"/>
        </w:rPr>
      </w:pPr>
      <w:proofErr w:type="spellStart"/>
      <w:r w:rsidRPr="00492A10">
        <w:rPr>
          <w:sz w:val="24"/>
          <w:szCs w:val="24"/>
        </w:rPr>
        <w:t>Mignan</w:t>
      </w:r>
      <w:proofErr w:type="spellEnd"/>
      <w:r w:rsidRPr="00492A10">
        <w:rPr>
          <w:sz w:val="24"/>
          <w:szCs w:val="24"/>
        </w:rPr>
        <w:t xml:space="preserve">, A., &amp; Woessner, J. (2012). Estimating the magnitude of completeness for earthquake catalogs. Community Online Resource for Statistical Seismicity Analysis, </w:t>
      </w:r>
      <w:proofErr w:type="gramStart"/>
      <w:r w:rsidRPr="00492A10">
        <w:rPr>
          <w:sz w:val="24"/>
          <w:szCs w:val="24"/>
        </w:rPr>
        <w:t>1 .</w:t>
      </w:r>
      <w:proofErr w:type="gramEnd"/>
      <w:r w:rsidRPr="00492A10">
        <w:rPr>
          <w:sz w:val="24"/>
          <w:szCs w:val="24"/>
        </w:rPr>
        <w:t xml:space="preserve"> doi:10.5078/corssa-00180805</w:t>
      </w:r>
    </w:p>
    <w:p w14:paraId="4455F4B1" w14:textId="77777777" w:rsidR="004C3823" w:rsidRPr="00492A10" w:rsidRDefault="004C3823" w:rsidP="00C55ACE">
      <w:pPr>
        <w:ind w:left="720" w:hanging="720"/>
        <w:rPr>
          <w:sz w:val="24"/>
          <w:szCs w:val="24"/>
        </w:rPr>
      </w:pPr>
      <w:r w:rsidRPr="00492A10">
        <w:rPr>
          <w:sz w:val="24"/>
          <w:szCs w:val="24"/>
        </w:rPr>
        <w:t xml:space="preserve">Milojevic, S. (2010). Power law distributions in information science: Making the case for logarithmic </w:t>
      </w:r>
      <w:proofErr w:type="gramStart"/>
      <w:r w:rsidRPr="00492A10">
        <w:rPr>
          <w:sz w:val="24"/>
          <w:szCs w:val="24"/>
        </w:rPr>
        <w:t>binning</w:t>
      </w:r>
      <w:proofErr w:type="gramEnd"/>
      <w:r w:rsidRPr="00492A10">
        <w:rPr>
          <w:sz w:val="24"/>
          <w:szCs w:val="24"/>
        </w:rPr>
        <w:t xml:space="preserve">. Journal of the American Society for Information Science and </w:t>
      </w:r>
      <w:proofErr w:type="gramStart"/>
      <w:r w:rsidRPr="00492A10">
        <w:rPr>
          <w:sz w:val="24"/>
          <w:szCs w:val="24"/>
        </w:rPr>
        <w:t>Technology ,</w:t>
      </w:r>
      <w:proofErr w:type="gramEnd"/>
      <w:r w:rsidRPr="00492A10">
        <w:rPr>
          <w:sz w:val="24"/>
          <w:szCs w:val="24"/>
        </w:rPr>
        <w:t xml:space="preserve"> 61 (12), 2417–2425. doi:10.1002/asi.21426</w:t>
      </w:r>
    </w:p>
    <w:p w14:paraId="3098FDD9" w14:textId="77777777" w:rsidR="004C3823" w:rsidRPr="00492A10" w:rsidRDefault="004C3823" w:rsidP="00C55ACE">
      <w:pPr>
        <w:ind w:left="720" w:hanging="720"/>
        <w:rPr>
          <w:sz w:val="24"/>
          <w:szCs w:val="24"/>
        </w:rPr>
      </w:pPr>
      <w:r w:rsidRPr="00492A10">
        <w:rPr>
          <w:sz w:val="24"/>
          <w:szCs w:val="24"/>
        </w:rPr>
        <w:t xml:space="preserve">Mohr, O. (1900). </w:t>
      </w:r>
      <w:proofErr w:type="spellStart"/>
      <w:r w:rsidRPr="00492A10">
        <w:rPr>
          <w:sz w:val="24"/>
          <w:szCs w:val="24"/>
        </w:rPr>
        <w:t>Welche</w:t>
      </w:r>
      <w:proofErr w:type="spellEnd"/>
      <w:r w:rsidRPr="00492A10">
        <w:rPr>
          <w:sz w:val="24"/>
          <w:szCs w:val="24"/>
        </w:rPr>
        <w:t xml:space="preserve"> </w:t>
      </w:r>
      <w:proofErr w:type="spellStart"/>
      <w:r w:rsidRPr="00492A10">
        <w:rPr>
          <w:sz w:val="24"/>
          <w:szCs w:val="24"/>
        </w:rPr>
        <w:t>Umstände</w:t>
      </w:r>
      <w:proofErr w:type="spellEnd"/>
      <w:r w:rsidRPr="00492A10">
        <w:rPr>
          <w:sz w:val="24"/>
          <w:szCs w:val="24"/>
        </w:rPr>
        <w:t xml:space="preserve"> </w:t>
      </w:r>
      <w:proofErr w:type="spellStart"/>
      <w:r w:rsidRPr="00492A10">
        <w:rPr>
          <w:sz w:val="24"/>
          <w:szCs w:val="24"/>
        </w:rPr>
        <w:t>bedingen</w:t>
      </w:r>
      <w:proofErr w:type="spellEnd"/>
      <w:r w:rsidRPr="00492A10">
        <w:rPr>
          <w:sz w:val="24"/>
          <w:szCs w:val="24"/>
        </w:rPr>
        <w:t xml:space="preserve"> die </w:t>
      </w:r>
      <w:proofErr w:type="spellStart"/>
      <w:r w:rsidRPr="00492A10">
        <w:rPr>
          <w:sz w:val="24"/>
          <w:szCs w:val="24"/>
        </w:rPr>
        <w:t>Elastizitätsgrenze</w:t>
      </w:r>
      <w:proofErr w:type="spellEnd"/>
      <w:r w:rsidRPr="00492A10">
        <w:rPr>
          <w:sz w:val="24"/>
          <w:szCs w:val="24"/>
        </w:rPr>
        <w:t xml:space="preserve"> und den Bruch </w:t>
      </w:r>
      <w:proofErr w:type="spellStart"/>
      <w:r w:rsidRPr="00492A10">
        <w:rPr>
          <w:sz w:val="24"/>
          <w:szCs w:val="24"/>
        </w:rPr>
        <w:t>eines</w:t>
      </w:r>
      <w:proofErr w:type="spellEnd"/>
      <w:r w:rsidRPr="00492A10">
        <w:rPr>
          <w:sz w:val="24"/>
          <w:szCs w:val="24"/>
        </w:rPr>
        <w:t xml:space="preserve"> Materials. </w:t>
      </w:r>
      <w:proofErr w:type="spellStart"/>
      <w:r w:rsidRPr="00492A10">
        <w:rPr>
          <w:sz w:val="24"/>
          <w:szCs w:val="24"/>
        </w:rPr>
        <w:t>Zeitschrift</w:t>
      </w:r>
      <w:proofErr w:type="spellEnd"/>
      <w:r w:rsidRPr="00492A10">
        <w:rPr>
          <w:sz w:val="24"/>
          <w:szCs w:val="24"/>
        </w:rPr>
        <w:t xml:space="preserve"> des Vereins Deutscher </w:t>
      </w:r>
      <w:proofErr w:type="spellStart"/>
      <w:r w:rsidRPr="00492A10">
        <w:rPr>
          <w:sz w:val="24"/>
          <w:szCs w:val="24"/>
        </w:rPr>
        <w:t>Ingenieure</w:t>
      </w:r>
      <w:proofErr w:type="spellEnd"/>
      <w:r w:rsidRPr="00492A10">
        <w:rPr>
          <w:sz w:val="24"/>
          <w:szCs w:val="24"/>
        </w:rPr>
        <w:t>, 46(1524-1530), 1572-1577.</w:t>
      </w:r>
    </w:p>
    <w:p w14:paraId="784F359C" w14:textId="77777777" w:rsidR="004C3823" w:rsidRPr="00492A10" w:rsidRDefault="004C3823" w:rsidP="00C55ACE">
      <w:pPr>
        <w:ind w:left="720" w:hanging="720"/>
        <w:rPr>
          <w:sz w:val="24"/>
          <w:szCs w:val="24"/>
        </w:rPr>
      </w:pPr>
      <w:r w:rsidRPr="00492A10">
        <w:rPr>
          <w:sz w:val="24"/>
          <w:szCs w:val="24"/>
        </w:rPr>
        <w:t xml:space="preserve">Qin, Y., Chen, X., Walter, J. I., </w:t>
      </w:r>
      <w:proofErr w:type="spellStart"/>
      <w:r w:rsidRPr="00492A10">
        <w:rPr>
          <w:sz w:val="24"/>
          <w:szCs w:val="24"/>
        </w:rPr>
        <w:t>Haffener</w:t>
      </w:r>
      <w:proofErr w:type="spellEnd"/>
      <w:r w:rsidRPr="00492A10">
        <w:rPr>
          <w:sz w:val="24"/>
          <w:szCs w:val="24"/>
        </w:rPr>
        <w:t xml:space="preserve">, J., </w:t>
      </w:r>
      <w:proofErr w:type="spellStart"/>
      <w:r w:rsidRPr="00492A10">
        <w:rPr>
          <w:sz w:val="24"/>
          <w:szCs w:val="24"/>
        </w:rPr>
        <w:t>Trugman</w:t>
      </w:r>
      <w:proofErr w:type="spellEnd"/>
      <w:r w:rsidRPr="00492A10">
        <w:rPr>
          <w:sz w:val="24"/>
          <w:szCs w:val="24"/>
        </w:rPr>
        <w:t xml:space="preserve">, D. T., Carpenter, B. M., Kolawole, F. (2019). Deciphering the Stress State of </w:t>
      </w:r>
      <w:proofErr w:type="spellStart"/>
      <w:r w:rsidRPr="00492A10">
        <w:rPr>
          <w:sz w:val="24"/>
          <w:szCs w:val="24"/>
        </w:rPr>
        <w:t>Seismogenic</w:t>
      </w:r>
      <w:proofErr w:type="spellEnd"/>
      <w:r w:rsidRPr="00492A10">
        <w:rPr>
          <w:sz w:val="24"/>
          <w:szCs w:val="24"/>
        </w:rPr>
        <w:t xml:space="preserve"> Faults in Oklahoma and Southern Kansas Based on an Improved Stress Map. Journal of Geophysical Research: Solid Earth, 124 (12), 12920–12934. doi:10.1029/2019JB018377</w:t>
      </w:r>
    </w:p>
    <w:p w14:paraId="11C8A254" w14:textId="77777777" w:rsidR="004C3823" w:rsidRPr="00492A10" w:rsidRDefault="004C3823" w:rsidP="00C55ACE">
      <w:pPr>
        <w:ind w:left="720" w:hanging="720"/>
        <w:rPr>
          <w:sz w:val="24"/>
          <w:szCs w:val="24"/>
        </w:rPr>
      </w:pPr>
      <w:r w:rsidRPr="00492A10">
        <w:rPr>
          <w:sz w:val="24"/>
          <w:szCs w:val="24"/>
        </w:rPr>
        <w:t>Reyes, C. G., &amp; West, M. E. (2011). The Waveform Suite: A Robust Platform for Manipulating Waveforms in MATLAB.</w:t>
      </w:r>
      <w:r w:rsidRPr="00492A10">
        <w:rPr>
          <w:sz w:val="24"/>
          <w:szCs w:val="24"/>
        </w:rPr>
        <w:tab/>
        <w:t>Seismological Research Letters, 82 (1), doi:10.1785/</w:t>
      </w:r>
      <w:proofErr w:type="spellStart"/>
      <w:r w:rsidRPr="00492A10">
        <w:rPr>
          <w:sz w:val="24"/>
          <w:szCs w:val="24"/>
        </w:rPr>
        <w:t>gssrl</w:t>
      </w:r>
      <w:proofErr w:type="spellEnd"/>
    </w:p>
    <w:p w14:paraId="59081F58" w14:textId="77777777" w:rsidR="004C3823" w:rsidRPr="00492A10" w:rsidRDefault="004C3823" w:rsidP="00C55ACE">
      <w:pPr>
        <w:ind w:left="720" w:hanging="720"/>
        <w:rPr>
          <w:sz w:val="24"/>
          <w:szCs w:val="24"/>
        </w:rPr>
      </w:pPr>
      <w:r w:rsidRPr="00492A10">
        <w:rPr>
          <w:sz w:val="24"/>
          <w:szCs w:val="24"/>
        </w:rPr>
        <w:t xml:space="preserve">Rutledge, J. T., &amp; Phillips, W. S. (2003). Hydraulic stimulation of natural </w:t>
      </w:r>
      <w:proofErr w:type="gramStart"/>
      <w:r w:rsidRPr="00492A10">
        <w:rPr>
          <w:sz w:val="24"/>
          <w:szCs w:val="24"/>
        </w:rPr>
        <w:t>fractures  as</w:t>
      </w:r>
      <w:proofErr w:type="gramEnd"/>
      <w:r w:rsidRPr="00492A10">
        <w:rPr>
          <w:sz w:val="24"/>
          <w:szCs w:val="24"/>
        </w:rPr>
        <w:t xml:space="preserve"> revealed by induced microearthquakes, Carthage Cotton Valley gas field, east Texas. Geophysics, 68 (2), 441–452. doi:10.1190/1.1567214</w:t>
      </w:r>
    </w:p>
    <w:p w14:paraId="27A760F7" w14:textId="77777777" w:rsidR="004C3823" w:rsidRPr="00492A10" w:rsidRDefault="004C3823" w:rsidP="00C55ACE">
      <w:pPr>
        <w:ind w:left="720" w:hanging="720"/>
        <w:rPr>
          <w:sz w:val="24"/>
          <w:szCs w:val="24"/>
        </w:rPr>
      </w:pPr>
      <w:r w:rsidRPr="00492A10">
        <w:rPr>
          <w:sz w:val="24"/>
          <w:szCs w:val="24"/>
        </w:rPr>
        <w:t xml:space="preserve">Rutledge, J. T., Phillips, W. S., &amp; Mayerhofer, M. J. (2004). Faulting induced by forced fluid injection and fluid flow forced by faulting: An interpretation of </w:t>
      </w:r>
      <w:proofErr w:type="gramStart"/>
      <w:r w:rsidRPr="00492A10">
        <w:rPr>
          <w:sz w:val="24"/>
          <w:szCs w:val="24"/>
        </w:rPr>
        <w:t>hydraulic-fracture</w:t>
      </w:r>
      <w:proofErr w:type="gramEnd"/>
      <w:r w:rsidRPr="00492A10">
        <w:rPr>
          <w:sz w:val="24"/>
          <w:szCs w:val="24"/>
        </w:rPr>
        <w:t xml:space="preserve"> microseismicity, Carthage Cotton Valley gas field, Texas. Bulletin of the Seismological Society of America, 94 (5), 1817–1830. doi:10.1785/012003257</w:t>
      </w:r>
    </w:p>
    <w:p w14:paraId="5B3FB015" w14:textId="77777777" w:rsidR="004C3823" w:rsidRPr="00492A10" w:rsidRDefault="004C3823" w:rsidP="00C55ACE">
      <w:pPr>
        <w:ind w:left="720" w:hanging="720"/>
        <w:rPr>
          <w:sz w:val="24"/>
          <w:szCs w:val="24"/>
        </w:rPr>
      </w:pPr>
      <w:r w:rsidRPr="00492A10">
        <w:rPr>
          <w:sz w:val="24"/>
          <w:szCs w:val="24"/>
        </w:rPr>
        <w:lastRenderedPageBreak/>
        <w:t>Rutledge, J. T., &amp; Urbancic, T.</w:t>
      </w:r>
      <w:r w:rsidRPr="00492A10">
        <w:rPr>
          <w:sz w:val="24"/>
          <w:szCs w:val="24"/>
        </w:rPr>
        <w:tab/>
        <w:t>(1999).</w:t>
      </w:r>
      <w:r w:rsidRPr="00492A10">
        <w:rPr>
          <w:sz w:val="24"/>
          <w:szCs w:val="24"/>
        </w:rPr>
        <w:tab/>
        <w:t>Cotton Valley Imaging Project Phase IV Completion of Microseismic Mapping of the Phase I and II Hydraulic Fractures Wells CGU21-10 and CGU21-09.</w:t>
      </w:r>
    </w:p>
    <w:p w14:paraId="3552F2FE" w14:textId="77777777" w:rsidR="004C3823" w:rsidRPr="00492A10" w:rsidRDefault="004C3823" w:rsidP="00C55ACE">
      <w:pPr>
        <w:ind w:left="720" w:hanging="720"/>
        <w:rPr>
          <w:sz w:val="24"/>
          <w:szCs w:val="24"/>
        </w:rPr>
      </w:pPr>
      <w:r w:rsidRPr="00492A10">
        <w:rPr>
          <w:sz w:val="24"/>
          <w:szCs w:val="24"/>
        </w:rPr>
        <w:t>Saltiel, S., Boyle, K., Majer, E., Sciences, E., &amp; Berkeley, L.</w:t>
      </w:r>
      <w:r w:rsidRPr="00492A10">
        <w:rPr>
          <w:sz w:val="24"/>
          <w:szCs w:val="24"/>
        </w:rPr>
        <w:tab/>
        <w:t>(2011).</w:t>
      </w:r>
      <w:r w:rsidRPr="00492A10">
        <w:rPr>
          <w:sz w:val="24"/>
          <w:szCs w:val="24"/>
        </w:rPr>
        <w:tab/>
        <w:t xml:space="preserve">Challenges in Determining b Value in the Northwest Geysers. Earth Sciences Division, Lawrence Berkeley National Lab, </w:t>
      </w:r>
      <w:proofErr w:type="gramStart"/>
      <w:r w:rsidRPr="00492A10">
        <w:rPr>
          <w:sz w:val="24"/>
          <w:szCs w:val="24"/>
        </w:rPr>
        <w:t>LBNL(</w:t>
      </w:r>
      <w:proofErr w:type="gramEnd"/>
      <w:r w:rsidRPr="00492A10">
        <w:rPr>
          <w:sz w:val="24"/>
          <w:szCs w:val="24"/>
        </w:rPr>
        <w:t>4594E), 8.</w:t>
      </w:r>
    </w:p>
    <w:p w14:paraId="4A40BA30" w14:textId="77777777" w:rsidR="004C3823" w:rsidRPr="00492A10" w:rsidRDefault="004C3823" w:rsidP="00C55ACE">
      <w:pPr>
        <w:ind w:left="720" w:hanging="720"/>
        <w:rPr>
          <w:sz w:val="24"/>
          <w:szCs w:val="24"/>
        </w:rPr>
      </w:pPr>
      <w:r w:rsidRPr="00492A10">
        <w:rPr>
          <w:sz w:val="24"/>
          <w:szCs w:val="24"/>
        </w:rPr>
        <w:t>Schaff, D. P., &amp; Richards, P. G. (2014). Improvements in magnitude precision, using the statistics of relative amplitudes measured by cross correlation. Geophysical Journal International, 197 (1), 335–350. doi:10.1093/GJI/GGT433</w:t>
      </w:r>
    </w:p>
    <w:p w14:paraId="30339AF4" w14:textId="77777777" w:rsidR="004C3823" w:rsidRPr="00492A10" w:rsidRDefault="004C3823" w:rsidP="00C55ACE">
      <w:pPr>
        <w:ind w:left="720" w:hanging="720"/>
        <w:rPr>
          <w:sz w:val="24"/>
          <w:szCs w:val="24"/>
        </w:rPr>
      </w:pPr>
      <w:r w:rsidRPr="00492A10">
        <w:rPr>
          <w:sz w:val="24"/>
          <w:szCs w:val="24"/>
        </w:rPr>
        <w:t>Schorlemmer, D., Wiemer, S., &amp; Wyss, M. (2005). Variations in earthquake-size distribution across different stress regimes. Nature, 437 (7058), 539–542. doi:10.1038/nature04094</w:t>
      </w:r>
    </w:p>
    <w:p w14:paraId="46CC6279" w14:textId="77777777" w:rsidR="004C3823" w:rsidRPr="00492A10" w:rsidRDefault="004C3823" w:rsidP="00C55ACE">
      <w:pPr>
        <w:ind w:left="720" w:hanging="720"/>
        <w:rPr>
          <w:sz w:val="24"/>
          <w:szCs w:val="24"/>
        </w:rPr>
      </w:pPr>
      <w:r w:rsidRPr="00492A10">
        <w:rPr>
          <w:sz w:val="24"/>
          <w:szCs w:val="24"/>
        </w:rPr>
        <w:t>Seeburger, D. A., &amp; Zoback, M. D. (1982). The distribution of natural fractures and joints at depth in crystalline rock. Journal of Geophysical Research: Solid Earth, 87 (B7), 5517–5534. doi:10.1029/JB087IB07P05517</w:t>
      </w:r>
    </w:p>
    <w:p w14:paraId="29EAA203" w14:textId="77777777" w:rsidR="004C3823" w:rsidRPr="00492A10" w:rsidRDefault="004C3823" w:rsidP="00C55ACE">
      <w:pPr>
        <w:ind w:left="720" w:hanging="720"/>
        <w:rPr>
          <w:sz w:val="24"/>
          <w:szCs w:val="24"/>
        </w:rPr>
      </w:pPr>
      <w:r w:rsidRPr="00492A10">
        <w:rPr>
          <w:sz w:val="24"/>
          <w:szCs w:val="24"/>
        </w:rPr>
        <w:t xml:space="preserve">Shapiro, S. A., </w:t>
      </w:r>
      <w:proofErr w:type="spellStart"/>
      <w:r w:rsidRPr="00492A10">
        <w:rPr>
          <w:sz w:val="24"/>
          <w:szCs w:val="24"/>
        </w:rPr>
        <w:t>Dinske</w:t>
      </w:r>
      <w:proofErr w:type="spellEnd"/>
      <w:r w:rsidRPr="00492A10">
        <w:rPr>
          <w:sz w:val="24"/>
          <w:szCs w:val="24"/>
        </w:rPr>
        <w:t xml:space="preserve">, C., &amp; Kummerow, J. (2007). Probability of a given magnitude earthquake induced by a fluid injection. Geophysical Research Letters, 34 (22), 22314. </w:t>
      </w:r>
      <w:proofErr w:type="spellStart"/>
      <w:r w:rsidRPr="00492A10">
        <w:rPr>
          <w:sz w:val="24"/>
          <w:szCs w:val="24"/>
        </w:rPr>
        <w:t>doi</w:t>
      </w:r>
      <w:proofErr w:type="spellEnd"/>
      <w:r w:rsidRPr="00492A10">
        <w:rPr>
          <w:sz w:val="24"/>
          <w:szCs w:val="24"/>
        </w:rPr>
        <w:t>: 10.1029/2007GL031615</w:t>
      </w:r>
    </w:p>
    <w:p w14:paraId="29560FB4" w14:textId="77777777" w:rsidR="004C3823" w:rsidRPr="00492A10" w:rsidRDefault="004C3823" w:rsidP="00C55ACE">
      <w:pPr>
        <w:ind w:left="720" w:hanging="720"/>
        <w:rPr>
          <w:sz w:val="24"/>
          <w:szCs w:val="24"/>
        </w:rPr>
      </w:pPr>
      <w:r w:rsidRPr="00492A10">
        <w:rPr>
          <w:sz w:val="24"/>
          <w:szCs w:val="24"/>
        </w:rPr>
        <w:t xml:space="preserve">Shapiro, S. A., </w:t>
      </w:r>
      <w:proofErr w:type="spellStart"/>
      <w:r w:rsidRPr="00492A10">
        <w:rPr>
          <w:sz w:val="24"/>
          <w:szCs w:val="24"/>
        </w:rPr>
        <w:t>Dinske</w:t>
      </w:r>
      <w:proofErr w:type="spellEnd"/>
      <w:r w:rsidRPr="00492A10">
        <w:rPr>
          <w:sz w:val="24"/>
          <w:szCs w:val="24"/>
        </w:rPr>
        <w:t xml:space="preserve">, C., </w:t>
      </w:r>
      <w:proofErr w:type="spellStart"/>
      <w:r w:rsidRPr="00492A10">
        <w:rPr>
          <w:sz w:val="24"/>
          <w:szCs w:val="24"/>
        </w:rPr>
        <w:t>Langenbruch</w:t>
      </w:r>
      <w:proofErr w:type="spellEnd"/>
      <w:r w:rsidRPr="00492A10">
        <w:rPr>
          <w:sz w:val="24"/>
          <w:szCs w:val="24"/>
        </w:rPr>
        <w:t xml:space="preserve">, C., &amp; Wenzel, F. (2010). </w:t>
      </w:r>
      <w:proofErr w:type="spellStart"/>
      <w:r w:rsidRPr="00492A10">
        <w:rPr>
          <w:sz w:val="24"/>
          <w:szCs w:val="24"/>
        </w:rPr>
        <w:t>Seismogenic</w:t>
      </w:r>
      <w:proofErr w:type="spellEnd"/>
      <w:r w:rsidRPr="00492A10">
        <w:rPr>
          <w:sz w:val="24"/>
          <w:szCs w:val="24"/>
        </w:rPr>
        <w:t xml:space="preserve"> index and magnitude probability of earthquakes induced during reservoir fluid stimulations. Leading Edge (Tulsa, OK), 29 (3), 304–309. doi:10.1190/1.3353727</w:t>
      </w:r>
    </w:p>
    <w:p w14:paraId="65A53239" w14:textId="77777777" w:rsidR="004C3823" w:rsidRPr="00492A10" w:rsidRDefault="004C3823" w:rsidP="00C55ACE">
      <w:pPr>
        <w:ind w:left="720" w:hanging="720"/>
        <w:rPr>
          <w:sz w:val="24"/>
          <w:szCs w:val="24"/>
        </w:rPr>
      </w:pPr>
      <w:r w:rsidRPr="00492A10">
        <w:rPr>
          <w:sz w:val="24"/>
          <w:szCs w:val="24"/>
        </w:rPr>
        <w:t xml:space="preserve">Shapiro, S. A., </w:t>
      </w:r>
      <w:proofErr w:type="spellStart"/>
      <w:r w:rsidRPr="00492A10">
        <w:rPr>
          <w:sz w:val="24"/>
          <w:szCs w:val="24"/>
        </w:rPr>
        <w:t>Huenges</w:t>
      </w:r>
      <w:proofErr w:type="spellEnd"/>
      <w:r w:rsidRPr="00492A10">
        <w:rPr>
          <w:sz w:val="24"/>
          <w:szCs w:val="24"/>
        </w:rPr>
        <w:t>, E., &amp; Borm, G. (1997). Estimating the crust permeability from fluid-injection-induced seismic emission at the KTB site. Geophysical Journal International, 131 (2), F15–F18. doi:10.1111/J.1365246X.1997.TB01215.X</w:t>
      </w:r>
    </w:p>
    <w:p w14:paraId="0D8499A4" w14:textId="77777777" w:rsidR="004C3823" w:rsidRPr="00492A10" w:rsidRDefault="004C3823" w:rsidP="00C55ACE">
      <w:pPr>
        <w:ind w:left="720" w:hanging="720"/>
        <w:rPr>
          <w:sz w:val="24"/>
          <w:szCs w:val="24"/>
        </w:rPr>
      </w:pPr>
      <w:r w:rsidRPr="00492A10">
        <w:rPr>
          <w:sz w:val="24"/>
          <w:szCs w:val="24"/>
        </w:rPr>
        <w:t>Shelly, D. R., Ellsworth, W. L., &amp; Hill, D. P. (2016). Fluid-faulting evolution in high definition: Connecting fault structure and frequency-magnitude variations during the 2014 Long Valley Caldera, California, earthquake swarm. Journal of Geophysical Research, 121 (3), 1776–1795. doi:10.1002/2015JB012719</w:t>
      </w:r>
    </w:p>
    <w:p w14:paraId="3306CF64" w14:textId="77777777" w:rsidR="004C3823" w:rsidRPr="00492A10" w:rsidRDefault="004C3823" w:rsidP="00C55ACE">
      <w:pPr>
        <w:ind w:left="720" w:hanging="720"/>
        <w:rPr>
          <w:sz w:val="24"/>
          <w:szCs w:val="24"/>
        </w:rPr>
      </w:pPr>
      <w:r w:rsidRPr="00492A10">
        <w:rPr>
          <w:sz w:val="24"/>
          <w:szCs w:val="24"/>
        </w:rPr>
        <w:t>Shelly, D. R., Taira, T., Prejean, S. G., Hill, D. P., &amp; Dreger, D. S. (2015). Fluid-faulting interactions: Fracture-mesh and fault-valve behavior in the February 2014 Mammoth Mountain, California, earthquake swarm. Geophysical Research Letters, 42 (14), 5803–5812. doi:10.1002/2015GL064325</w:t>
      </w:r>
    </w:p>
    <w:p w14:paraId="274F0C9E" w14:textId="77777777" w:rsidR="004C3823" w:rsidRPr="00492A10" w:rsidRDefault="004C3823" w:rsidP="00C55ACE">
      <w:pPr>
        <w:ind w:left="720" w:hanging="720"/>
        <w:rPr>
          <w:sz w:val="24"/>
          <w:szCs w:val="24"/>
        </w:rPr>
      </w:pPr>
      <w:r w:rsidRPr="00492A10">
        <w:rPr>
          <w:sz w:val="24"/>
          <w:szCs w:val="24"/>
        </w:rPr>
        <w:t xml:space="preserve">Skoumal, R. J., Brudzinski, M. R., &amp; Currie, B. S. (2015). Earthquakes Induced by Hydraulic Fracturing in Poland Township, Ohio. Bulletin of the Seismological Society of </w:t>
      </w:r>
      <w:proofErr w:type="spellStart"/>
      <w:r w:rsidRPr="00492A10">
        <w:rPr>
          <w:sz w:val="24"/>
          <w:szCs w:val="24"/>
        </w:rPr>
        <w:t>AmericaSociety</w:t>
      </w:r>
      <w:proofErr w:type="spellEnd"/>
      <w:r w:rsidRPr="00492A10">
        <w:rPr>
          <w:sz w:val="24"/>
          <w:szCs w:val="24"/>
        </w:rPr>
        <w:t xml:space="preserve"> of America, 105 (1), 189–197. doi:10.1785/0120140168</w:t>
      </w:r>
    </w:p>
    <w:p w14:paraId="1EA3C259" w14:textId="77777777" w:rsidR="004C3823" w:rsidRPr="00492A10" w:rsidRDefault="004C3823" w:rsidP="00C55ACE">
      <w:pPr>
        <w:ind w:left="720" w:hanging="720"/>
        <w:rPr>
          <w:sz w:val="24"/>
          <w:szCs w:val="24"/>
        </w:rPr>
      </w:pPr>
      <w:r w:rsidRPr="00492A10">
        <w:rPr>
          <w:sz w:val="24"/>
          <w:szCs w:val="24"/>
        </w:rPr>
        <w:lastRenderedPageBreak/>
        <w:t>Thompson, G. (2017). GISMO: A MATLAB toolbox for seismic research, monitoring and education Volcano-seismic alarm systems View project Interactions between high intensity rainfall and volcanic activity View project.</w:t>
      </w:r>
      <w:r w:rsidRPr="00492A10">
        <w:rPr>
          <w:sz w:val="24"/>
          <w:szCs w:val="24"/>
        </w:rPr>
        <w:tab/>
        <w:t>2017 AGU Fall Meeting. doi:10.13140/RG.2.1.3085.7202</w:t>
      </w:r>
    </w:p>
    <w:p w14:paraId="0B63859C" w14:textId="77777777" w:rsidR="004C3823" w:rsidRPr="00492A10" w:rsidRDefault="004C3823" w:rsidP="00C55ACE">
      <w:pPr>
        <w:ind w:left="720" w:hanging="720"/>
        <w:rPr>
          <w:sz w:val="24"/>
          <w:szCs w:val="24"/>
        </w:rPr>
      </w:pPr>
      <w:r w:rsidRPr="00492A10">
        <w:rPr>
          <w:sz w:val="24"/>
          <w:szCs w:val="24"/>
        </w:rPr>
        <w:t>Urbancic, T. I., Trifu, C.-I., Mercer, R. A., Feustel, A. J., &amp; Alexander, J. A. G. (1996). Automatic Time-Domain Calculation of Source Parameters for the Analysis of Induced Seismicity. Bulletin of the Seismological Society of America, 86 (5), 1627–1633.</w:t>
      </w:r>
    </w:p>
    <w:p w14:paraId="04096AC5" w14:textId="77777777" w:rsidR="004C3823" w:rsidRPr="00492A10" w:rsidRDefault="004C3823" w:rsidP="00C55ACE">
      <w:pPr>
        <w:ind w:left="720" w:hanging="720"/>
        <w:rPr>
          <w:sz w:val="24"/>
          <w:szCs w:val="24"/>
        </w:rPr>
      </w:pPr>
      <w:r w:rsidRPr="00492A10">
        <w:rPr>
          <w:sz w:val="24"/>
          <w:szCs w:val="24"/>
        </w:rPr>
        <w:t>Walker, R. N. J. (1997). Cotton Valley Hydraulic Fracture Imaging Project. SPE Annual Technical Conference and Exhibition.</w:t>
      </w:r>
    </w:p>
    <w:p w14:paraId="7851CAC6" w14:textId="77777777" w:rsidR="004C3823" w:rsidRPr="00492A10" w:rsidRDefault="004C3823" w:rsidP="00C55ACE">
      <w:pPr>
        <w:ind w:left="720" w:hanging="720"/>
        <w:rPr>
          <w:sz w:val="24"/>
          <w:szCs w:val="24"/>
        </w:rPr>
      </w:pPr>
      <w:r w:rsidRPr="00492A10">
        <w:rPr>
          <w:sz w:val="24"/>
          <w:szCs w:val="24"/>
        </w:rPr>
        <w:t>Walker, R. N. J., Zinno, R. J., Gibson, J. B., Urbancic, T., &amp; Rutledge, J. (1998). Carthage Cotton Valley Fracture Imaging Project - mag ng Methodology and Implications. Society of Petroleum Engineers (49194), 599–612.</w:t>
      </w:r>
    </w:p>
    <w:p w14:paraId="74DD0B82" w14:textId="77777777" w:rsidR="004C3823" w:rsidRPr="00492A10" w:rsidRDefault="004C3823" w:rsidP="00C55ACE">
      <w:pPr>
        <w:ind w:left="720" w:hanging="720"/>
        <w:rPr>
          <w:sz w:val="24"/>
          <w:szCs w:val="24"/>
        </w:rPr>
      </w:pPr>
      <w:r w:rsidRPr="00492A10">
        <w:rPr>
          <w:sz w:val="24"/>
          <w:szCs w:val="24"/>
        </w:rPr>
        <w:t xml:space="preserve">Walter, J. I., Chang, J. C., &amp; </w:t>
      </w:r>
      <w:proofErr w:type="spellStart"/>
      <w:r w:rsidRPr="00492A10">
        <w:rPr>
          <w:sz w:val="24"/>
          <w:szCs w:val="24"/>
        </w:rPr>
        <w:t>Dotray</w:t>
      </w:r>
      <w:proofErr w:type="spellEnd"/>
      <w:r w:rsidRPr="00492A10">
        <w:rPr>
          <w:sz w:val="24"/>
          <w:szCs w:val="24"/>
        </w:rPr>
        <w:t>, P. J. (2017). Foreshock seismicity suggests gradual differential stress increase in the months prior to the 3 September 2016 M w 5.8 Pawnee earthquake. Seismological Research Letters, 88(4), 1032-1039.</w:t>
      </w:r>
    </w:p>
    <w:p w14:paraId="5F0F648C" w14:textId="77777777" w:rsidR="004C3823" w:rsidRPr="00492A10" w:rsidRDefault="004C3823" w:rsidP="00C55ACE">
      <w:pPr>
        <w:ind w:left="720" w:hanging="720"/>
        <w:rPr>
          <w:sz w:val="24"/>
          <w:szCs w:val="24"/>
        </w:rPr>
      </w:pPr>
      <w:r w:rsidRPr="00492A10">
        <w:rPr>
          <w:sz w:val="24"/>
          <w:szCs w:val="24"/>
        </w:rPr>
        <w:t>Wiemer, S., &amp; Malone, S. (2001). A SOFTWARE PACKAGE TO ANALYZE SEISMICITY: ZMAP. Seismological Research Letters, 72 (2).</w:t>
      </w:r>
    </w:p>
    <w:p w14:paraId="6C914578" w14:textId="77777777" w:rsidR="004C3823" w:rsidRPr="00492A10" w:rsidRDefault="004C3823" w:rsidP="00C55ACE">
      <w:pPr>
        <w:ind w:left="720" w:hanging="720"/>
        <w:rPr>
          <w:sz w:val="24"/>
          <w:szCs w:val="24"/>
        </w:rPr>
      </w:pPr>
      <w:r w:rsidRPr="00492A10">
        <w:rPr>
          <w:sz w:val="24"/>
          <w:szCs w:val="24"/>
        </w:rPr>
        <w:t>Wiemer, S., &amp; McNutt, S. R. (1997). Variations in the frequency-magnitude distribution with depth in two volcanic areas: Mount St. Helens, Washington, and Mt. Spurr, Alaska. Geophysical Research Letters, 24 (2), 189–192.</w:t>
      </w:r>
      <w:r w:rsidRPr="00492A10">
        <w:rPr>
          <w:sz w:val="24"/>
          <w:szCs w:val="24"/>
        </w:rPr>
        <w:tab/>
        <w:t>doi:10.1029/96GL03779</w:t>
      </w:r>
    </w:p>
    <w:p w14:paraId="1C22FB0A" w14:textId="77777777" w:rsidR="004C3823" w:rsidRPr="00492A10" w:rsidRDefault="004C3823" w:rsidP="00C55ACE">
      <w:pPr>
        <w:ind w:left="720" w:hanging="720"/>
        <w:rPr>
          <w:sz w:val="24"/>
          <w:szCs w:val="24"/>
        </w:rPr>
      </w:pPr>
      <w:proofErr w:type="spellStart"/>
      <w:r w:rsidRPr="00492A10">
        <w:rPr>
          <w:sz w:val="24"/>
          <w:szCs w:val="24"/>
        </w:rPr>
        <w:t>Wold</w:t>
      </w:r>
      <w:proofErr w:type="spellEnd"/>
      <w:r w:rsidRPr="00492A10">
        <w:rPr>
          <w:sz w:val="24"/>
          <w:szCs w:val="24"/>
        </w:rPr>
        <w:t xml:space="preserve">, S., Esbensen, K., &amp; </w:t>
      </w:r>
      <w:proofErr w:type="spellStart"/>
      <w:r w:rsidRPr="00492A10">
        <w:rPr>
          <w:sz w:val="24"/>
          <w:szCs w:val="24"/>
        </w:rPr>
        <w:t>Geladi</w:t>
      </w:r>
      <w:proofErr w:type="spellEnd"/>
      <w:r w:rsidRPr="00492A10">
        <w:rPr>
          <w:sz w:val="24"/>
          <w:szCs w:val="24"/>
        </w:rPr>
        <w:t>, P. (1987). Principal Component Analysis. Chemometrics and intelligent laboratory systems, 2 (1-3), 37–52.</w:t>
      </w:r>
    </w:p>
    <w:p w14:paraId="05057E96" w14:textId="77777777" w:rsidR="004C3823" w:rsidRPr="00492A10" w:rsidRDefault="004C3823" w:rsidP="00C55ACE">
      <w:pPr>
        <w:ind w:left="720" w:hanging="720"/>
        <w:rPr>
          <w:sz w:val="24"/>
          <w:szCs w:val="24"/>
        </w:rPr>
      </w:pPr>
      <w:r w:rsidRPr="00492A10">
        <w:rPr>
          <w:sz w:val="24"/>
          <w:szCs w:val="24"/>
        </w:rPr>
        <w:t>Wyss, M., Schorlemmer, D., &amp; Wiemer, S.</w:t>
      </w:r>
      <w:r w:rsidRPr="00492A10">
        <w:rPr>
          <w:sz w:val="24"/>
          <w:szCs w:val="24"/>
        </w:rPr>
        <w:tab/>
        <w:t>(2000). Mapping asperities by minima of local recurrence time: San Jacinto-Elsinore fault zones. Journal of Geophysical Research: Solid Earth, 105 (B4), 7829–7844. doi:10.1029/1999jb900347</w:t>
      </w:r>
    </w:p>
    <w:p w14:paraId="3ED5ECB3" w14:textId="77777777" w:rsidR="004C3823" w:rsidRPr="00492A10" w:rsidRDefault="004C3823" w:rsidP="00C55ACE">
      <w:pPr>
        <w:ind w:left="720" w:hanging="720"/>
        <w:rPr>
          <w:sz w:val="24"/>
          <w:szCs w:val="24"/>
        </w:rPr>
      </w:pPr>
      <w:r w:rsidRPr="00492A10">
        <w:rPr>
          <w:sz w:val="24"/>
          <w:szCs w:val="24"/>
        </w:rPr>
        <w:t xml:space="preserve">Zinno, R., Gibson, J., Walker, R. N. J., &amp; Withers, R. </w:t>
      </w:r>
      <w:proofErr w:type="gramStart"/>
      <w:r w:rsidRPr="00492A10">
        <w:rPr>
          <w:sz w:val="24"/>
          <w:szCs w:val="24"/>
        </w:rPr>
        <w:t>J. .</w:t>
      </w:r>
      <w:proofErr w:type="gramEnd"/>
      <w:r w:rsidRPr="00492A10">
        <w:rPr>
          <w:sz w:val="24"/>
          <w:szCs w:val="24"/>
        </w:rPr>
        <w:t xml:space="preserve"> (1998). </w:t>
      </w:r>
      <w:proofErr w:type="gramStart"/>
      <w:r w:rsidRPr="00492A10">
        <w:rPr>
          <w:sz w:val="24"/>
          <w:szCs w:val="24"/>
        </w:rPr>
        <w:t>Overview :</w:t>
      </w:r>
      <w:proofErr w:type="gramEnd"/>
      <w:r w:rsidRPr="00492A10">
        <w:rPr>
          <w:sz w:val="24"/>
          <w:szCs w:val="24"/>
        </w:rPr>
        <w:t xml:space="preserve"> Cotton Valley Hydraulic Fracture Imaging Project. SEG Expanded Abstracts, 1996–1999.</w:t>
      </w:r>
    </w:p>
    <w:p w14:paraId="2FE66F50" w14:textId="77777777" w:rsidR="004C3823" w:rsidRPr="007B255D" w:rsidRDefault="004C3823" w:rsidP="007B255D">
      <w:pPr>
        <w:ind w:left="360"/>
        <w:rPr>
          <w:sz w:val="24"/>
          <w:szCs w:val="24"/>
        </w:rPr>
      </w:pPr>
    </w:p>
    <w:p w14:paraId="6D7DC378" w14:textId="77777777" w:rsidR="004E04DF" w:rsidRDefault="004E04DF" w:rsidP="004E04DF">
      <w:pPr>
        <w:jc w:val="center"/>
        <w:rPr>
          <w:sz w:val="24"/>
          <w:szCs w:val="24"/>
        </w:rPr>
      </w:pPr>
    </w:p>
    <w:p w14:paraId="41A10623" w14:textId="77777777" w:rsidR="004C3823" w:rsidRDefault="004C3823" w:rsidP="004E04DF">
      <w:pPr>
        <w:jc w:val="center"/>
        <w:rPr>
          <w:sz w:val="24"/>
          <w:szCs w:val="24"/>
        </w:rPr>
      </w:pPr>
    </w:p>
    <w:p w14:paraId="01549BF4" w14:textId="77777777" w:rsidR="004C3823" w:rsidRDefault="004C3823" w:rsidP="004E04DF">
      <w:pPr>
        <w:jc w:val="center"/>
        <w:rPr>
          <w:sz w:val="24"/>
          <w:szCs w:val="24"/>
        </w:rPr>
      </w:pPr>
    </w:p>
    <w:p w14:paraId="73EE6BEE" w14:textId="77777777" w:rsidR="004C3823" w:rsidRDefault="004C3823" w:rsidP="004E04DF">
      <w:pPr>
        <w:jc w:val="center"/>
        <w:rPr>
          <w:sz w:val="24"/>
          <w:szCs w:val="24"/>
        </w:rPr>
      </w:pPr>
    </w:p>
    <w:p w14:paraId="1311F9B3" w14:textId="77777777" w:rsidR="004C3823" w:rsidRDefault="004C3823" w:rsidP="004E04DF">
      <w:pPr>
        <w:jc w:val="center"/>
        <w:rPr>
          <w:sz w:val="24"/>
          <w:szCs w:val="24"/>
        </w:rPr>
      </w:pPr>
    </w:p>
    <w:p w14:paraId="787182B9" w14:textId="29D8F271" w:rsidR="004C3823" w:rsidRDefault="004C3823" w:rsidP="00892FF6">
      <w:pPr>
        <w:spacing w:line="480" w:lineRule="auto"/>
        <w:jc w:val="center"/>
        <w:rPr>
          <w:b/>
          <w:bCs/>
          <w:sz w:val="72"/>
          <w:szCs w:val="72"/>
        </w:rPr>
      </w:pPr>
      <w:r w:rsidRPr="00892FF6">
        <w:rPr>
          <w:b/>
          <w:bCs/>
          <w:sz w:val="72"/>
          <w:szCs w:val="72"/>
        </w:rPr>
        <w:lastRenderedPageBreak/>
        <w:t>S2</w:t>
      </w:r>
    </w:p>
    <w:p w14:paraId="35B0DE0E" w14:textId="77777777" w:rsidR="004C3823" w:rsidRDefault="004C3823" w:rsidP="00892FF6">
      <w:pPr>
        <w:spacing w:line="480" w:lineRule="auto"/>
        <w:jc w:val="center"/>
        <w:rPr>
          <w:b/>
          <w:bCs/>
          <w:sz w:val="72"/>
          <w:szCs w:val="72"/>
        </w:rPr>
      </w:pPr>
      <w:r w:rsidRPr="00892FF6">
        <w:rPr>
          <w:b/>
          <w:bCs/>
          <w:sz w:val="72"/>
          <w:szCs w:val="72"/>
        </w:rPr>
        <w:t>Supplementary materials</w:t>
      </w:r>
    </w:p>
    <w:p w14:paraId="5D4399D3" w14:textId="77777777" w:rsidR="004C3823" w:rsidRDefault="004C3823" w:rsidP="00892FF6">
      <w:pPr>
        <w:spacing w:line="480" w:lineRule="auto"/>
        <w:jc w:val="center"/>
        <w:rPr>
          <w:b/>
          <w:bCs/>
          <w:sz w:val="72"/>
          <w:szCs w:val="72"/>
        </w:rPr>
      </w:pPr>
    </w:p>
    <w:p w14:paraId="05710C39" w14:textId="77777777" w:rsidR="004C3823" w:rsidRDefault="004C3823" w:rsidP="00892FF6">
      <w:pPr>
        <w:spacing w:line="480" w:lineRule="auto"/>
        <w:jc w:val="center"/>
        <w:rPr>
          <w:b/>
          <w:bCs/>
          <w:sz w:val="72"/>
          <w:szCs w:val="72"/>
        </w:rPr>
      </w:pPr>
    </w:p>
    <w:p w14:paraId="5CEE8EA4" w14:textId="77777777" w:rsidR="004C3823" w:rsidRDefault="004C3823" w:rsidP="00892FF6">
      <w:pPr>
        <w:spacing w:line="480" w:lineRule="auto"/>
        <w:jc w:val="center"/>
        <w:rPr>
          <w:b/>
          <w:bCs/>
          <w:sz w:val="72"/>
          <w:szCs w:val="72"/>
        </w:rPr>
      </w:pPr>
    </w:p>
    <w:p w14:paraId="46E322AA" w14:textId="77777777" w:rsidR="004C3823" w:rsidRDefault="004C3823" w:rsidP="00892FF6">
      <w:pPr>
        <w:spacing w:line="480" w:lineRule="auto"/>
        <w:jc w:val="center"/>
        <w:rPr>
          <w:b/>
          <w:bCs/>
          <w:sz w:val="72"/>
          <w:szCs w:val="72"/>
        </w:rPr>
      </w:pPr>
    </w:p>
    <w:p w14:paraId="12B59B9E" w14:textId="77777777" w:rsidR="004C3823" w:rsidRPr="00892FF6" w:rsidRDefault="004C3823" w:rsidP="00892FF6">
      <w:pPr>
        <w:spacing w:line="480" w:lineRule="auto"/>
        <w:jc w:val="center"/>
        <w:rPr>
          <w:b/>
          <w:bCs/>
          <w:sz w:val="72"/>
          <w:szCs w:val="72"/>
        </w:rPr>
      </w:pPr>
    </w:p>
    <w:p w14:paraId="5C1FB74A" w14:textId="77777777" w:rsidR="004C3823" w:rsidRPr="00BF1161" w:rsidRDefault="004C3823" w:rsidP="00A66A57">
      <w:pPr>
        <w:spacing w:line="480" w:lineRule="auto"/>
        <w:ind w:firstLine="720"/>
        <w:rPr>
          <w:sz w:val="24"/>
          <w:szCs w:val="24"/>
        </w:rPr>
      </w:pPr>
      <w:r w:rsidRPr="00BF1161">
        <w:rPr>
          <w:sz w:val="24"/>
          <w:szCs w:val="24"/>
        </w:rPr>
        <w:lastRenderedPageBreak/>
        <w:t xml:space="preserve">The supplemental materials provided in this section aim to enhance the understanding of the research presented on hydraulic fracturing magnitude calibration improvements from waveform correlation. We describe in greater depth the b-value estimation using maximum likelihood and robust least square approximation and magnitude completeness protocols used in </w:t>
      </w:r>
      <w:proofErr w:type="spellStart"/>
      <w:r w:rsidRPr="00BF1161">
        <w:rPr>
          <w:sz w:val="24"/>
          <w:szCs w:val="24"/>
        </w:rPr>
        <w:t>Matlab’s</w:t>
      </w:r>
      <w:proofErr w:type="spellEnd"/>
      <w:r w:rsidRPr="00BF1161">
        <w:rPr>
          <w:sz w:val="24"/>
          <w:szCs w:val="24"/>
        </w:rPr>
        <w:t xml:space="preserve"> </w:t>
      </w:r>
      <w:r>
        <w:rPr>
          <w:sz w:val="24"/>
          <w:szCs w:val="24"/>
        </w:rPr>
        <w:t>Z</w:t>
      </w:r>
      <w:r w:rsidRPr="00BF1161">
        <w:rPr>
          <w:sz w:val="24"/>
          <w:szCs w:val="24"/>
        </w:rPr>
        <w:t xml:space="preserve">-map for this study. </w:t>
      </w:r>
    </w:p>
    <w:p w14:paraId="47C7893E" w14:textId="77777777" w:rsidR="004C3823" w:rsidRPr="00BF1161" w:rsidRDefault="004C3823" w:rsidP="00A66A57">
      <w:pPr>
        <w:spacing w:line="480" w:lineRule="auto"/>
        <w:rPr>
          <w:b/>
          <w:bCs/>
          <w:sz w:val="24"/>
          <w:szCs w:val="24"/>
        </w:rPr>
      </w:pPr>
    </w:p>
    <w:p w14:paraId="4CE8F6ED" w14:textId="713E2E33" w:rsidR="004C3823" w:rsidRPr="00BF1161" w:rsidRDefault="004C3823" w:rsidP="00A66A57">
      <w:pPr>
        <w:spacing w:line="480" w:lineRule="auto"/>
        <w:rPr>
          <w:b/>
          <w:bCs/>
          <w:sz w:val="24"/>
          <w:szCs w:val="24"/>
        </w:rPr>
      </w:pPr>
      <w:r>
        <w:rPr>
          <w:b/>
          <w:bCs/>
          <w:sz w:val="24"/>
          <w:szCs w:val="24"/>
        </w:rPr>
        <w:t>S2</w:t>
      </w:r>
      <w:r w:rsidRPr="00BF1161">
        <w:rPr>
          <w:b/>
          <w:bCs/>
          <w:sz w:val="24"/>
          <w:szCs w:val="24"/>
        </w:rPr>
        <w:t>.</w:t>
      </w:r>
      <w:r w:rsidR="00635053">
        <w:rPr>
          <w:b/>
          <w:bCs/>
          <w:sz w:val="24"/>
          <w:szCs w:val="24"/>
        </w:rPr>
        <w:t>1</w:t>
      </w:r>
      <w:r w:rsidRPr="00BF1161">
        <w:rPr>
          <w:b/>
          <w:bCs/>
          <w:sz w:val="24"/>
          <w:szCs w:val="24"/>
        </w:rPr>
        <w:t xml:space="preserve"> Maximum likelihood B-value estimation</w:t>
      </w:r>
    </w:p>
    <w:p w14:paraId="2055AF0D" w14:textId="77777777" w:rsidR="004C3823" w:rsidRPr="00BF1161" w:rsidRDefault="004C3823" w:rsidP="00A66A57">
      <w:pPr>
        <w:spacing w:line="480" w:lineRule="auto"/>
        <w:ind w:firstLine="720"/>
        <w:rPr>
          <w:sz w:val="24"/>
          <w:szCs w:val="24"/>
        </w:rPr>
      </w:pPr>
      <w:r w:rsidRPr="00BF1161">
        <w:rPr>
          <w:sz w:val="24"/>
          <w:szCs w:val="24"/>
        </w:rPr>
        <w:t xml:space="preserve">To determine the b-value, which describes the frequency-magnitude distribution of earthquakes, seismic studies frequently employ the statistical method known as maximum likelihood estimation (MLE). The relationship between the frequency and size of earthquakes </w:t>
      </w:r>
      <w:proofErr w:type="gramStart"/>
      <w:r w:rsidRPr="00BF1161">
        <w:rPr>
          <w:sz w:val="24"/>
          <w:szCs w:val="24"/>
        </w:rPr>
        <w:t>in a given</w:t>
      </w:r>
      <w:proofErr w:type="gramEnd"/>
      <w:r w:rsidRPr="00BF1161">
        <w:rPr>
          <w:sz w:val="24"/>
          <w:szCs w:val="24"/>
        </w:rPr>
        <w:t xml:space="preserve"> area is represented by the b-value estimated in </w:t>
      </w:r>
      <w:r w:rsidRPr="00BF1161">
        <w:rPr>
          <w:b/>
          <w:bCs/>
          <w:sz w:val="24"/>
          <w:szCs w:val="24"/>
        </w:rPr>
        <w:t>equation S</w:t>
      </w:r>
      <w:r>
        <w:rPr>
          <w:b/>
          <w:bCs/>
          <w:sz w:val="24"/>
          <w:szCs w:val="24"/>
        </w:rPr>
        <w:t>2.</w:t>
      </w:r>
      <w:r w:rsidRPr="00BF1161">
        <w:rPr>
          <w:b/>
          <w:bCs/>
          <w:sz w:val="24"/>
          <w:szCs w:val="24"/>
        </w:rPr>
        <w:t>1</w:t>
      </w:r>
      <w:r w:rsidRPr="00BF1161">
        <w:rPr>
          <w:sz w:val="24"/>
          <w:szCs w:val="24"/>
        </w:rPr>
        <w:t xml:space="preserve"> based on </w:t>
      </w:r>
      <w:proofErr w:type="spellStart"/>
      <w:r w:rsidRPr="00BF1161">
        <w:rPr>
          <w:sz w:val="24"/>
          <w:szCs w:val="24"/>
        </w:rPr>
        <w:t>Utsu’s</w:t>
      </w:r>
      <w:proofErr w:type="spellEnd"/>
      <w:r w:rsidRPr="00BF1161">
        <w:rPr>
          <w:sz w:val="24"/>
          <w:szCs w:val="24"/>
        </w:rPr>
        <w:t xml:space="preserve"> (1965) formula with the ratio of logarithmic Euler’s constant, </w:t>
      </w:r>
      <m:oMath>
        <m:r>
          <w:rPr>
            <w:rFonts w:ascii="Cambria Math" w:hAnsi="Cambria Math"/>
            <w:sz w:val="24"/>
            <w:szCs w:val="24"/>
          </w:rPr>
          <m:t>e</m:t>
        </m:r>
      </m:oMath>
      <w:r w:rsidRPr="00BF1161">
        <w:rPr>
          <w:sz w:val="24"/>
          <w:szCs w:val="24"/>
        </w:rPr>
        <w:t xml:space="preserve">, to the difference of the mean magnitude, </w:t>
      </w:r>
      <m:oMath>
        <m:acc>
          <m:accPr>
            <m:chr m:val="̅"/>
            <m:ctrlPr>
              <w:rPr>
                <w:rFonts w:ascii="Cambria Math" w:hAnsi="Cambria Math"/>
                <w:i/>
                <w:sz w:val="24"/>
                <w:szCs w:val="24"/>
              </w:rPr>
            </m:ctrlPr>
          </m:accPr>
          <m:e>
            <m:r>
              <w:rPr>
                <w:rFonts w:ascii="Cambria Math" w:hAnsi="Cambria Math"/>
                <w:sz w:val="24"/>
                <w:szCs w:val="24"/>
              </w:rPr>
              <m:t>M</m:t>
            </m:r>
          </m:e>
        </m:acc>
      </m:oMath>
      <w:r w:rsidRPr="00BF1161">
        <w:rPr>
          <w:sz w:val="24"/>
          <w:szCs w:val="24"/>
        </w:rPr>
        <w:t xml:space="preserve">, and half the magnitude binning, </w:t>
      </w:r>
      <m:oMath>
        <m:r>
          <w:rPr>
            <w:rFonts w:ascii="Cambria Math" w:hAnsi="Cambria Math"/>
            <w:sz w:val="24"/>
            <w:szCs w:val="24"/>
          </w:rPr>
          <m:t>∆M</m:t>
        </m:r>
      </m:oMath>
      <w:r w:rsidRPr="00BF1161">
        <w:rPr>
          <w:sz w:val="24"/>
          <w:szCs w:val="24"/>
        </w:rPr>
        <w:t>, subtracted from minimum magnitude,</w:t>
      </w:r>
      <w:r w:rsidRPr="00BF1161">
        <w:rPr>
          <w:rFonts w:ascii="Cambria Math" w:hAnsi="Cambria Math"/>
          <w:i/>
          <w:sz w:val="24"/>
          <w:szCs w:val="24"/>
        </w:rPr>
        <w:t xml:space="preserve">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oMath>
      <w:r w:rsidRPr="00BF1161">
        <w:rPr>
          <w:sz w:val="24"/>
          <w:szCs w:val="24"/>
        </w:rPr>
        <w:t>. The fundamental idea behind MLE is to identify the p</w:t>
      </w:r>
      <w:proofErr w:type="spellStart"/>
      <w:r w:rsidRPr="00BF1161">
        <w:rPr>
          <w:sz w:val="24"/>
          <w:szCs w:val="24"/>
        </w:rPr>
        <w:t>arameter</w:t>
      </w:r>
      <w:proofErr w:type="spellEnd"/>
      <w:r w:rsidRPr="00BF1161">
        <w:rPr>
          <w:sz w:val="24"/>
          <w:szCs w:val="24"/>
        </w:rPr>
        <w:t xml:space="preserve"> values that maximize the probability of seeing the provided data. MLE seeks to identify the most likely b-value that best fits the observed earthquake data in the context of b-value estimation, offering important insights into the seismicity of a region.</w:t>
      </w:r>
    </w:p>
    <w:p w14:paraId="12294E1B" w14:textId="77777777" w:rsidR="004C3823" w:rsidRPr="00BF1161" w:rsidRDefault="004C3823" w:rsidP="00A66A57">
      <w:pPr>
        <w:spacing w:line="480" w:lineRule="auto"/>
        <w:ind w:firstLine="720"/>
        <w:rPr>
          <w:rFonts w:eastAsiaTheme="minorEastAsia"/>
          <w:sz w:val="24"/>
          <w:szCs w:val="24"/>
        </w:rPr>
      </w:pPr>
      <m:oMathPara>
        <m:oMath>
          <m:r>
            <w:rPr>
              <w:rFonts w:ascii="Cambria Math" w:hAnsi="Cambria Math"/>
              <w:sz w:val="24"/>
              <w:szCs w:val="24"/>
            </w:rPr>
            <m:t>b=</m:t>
          </m:r>
          <m:f>
            <m:fPr>
              <m:ctrlPr>
                <w:rPr>
                  <w:rFonts w:ascii="Cambria Math" w:hAnsi="Cambria Math"/>
                  <w:i/>
                  <w:sz w:val="24"/>
                  <w:szCs w:val="24"/>
                </w:rPr>
              </m:ctrlPr>
            </m:fPr>
            <m:num>
              <m:func>
                <m:funcPr>
                  <m:ctrlPr>
                    <w:rPr>
                      <w:rFonts w:ascii="Cambria Math" w:hAnsi="Cambria Math"/>
                      <w:i/>
                      <w:sz w:val="24"/>
                      <w:szCs w:val="24"/>
                    </w:rPr>
                  </m:ctrlPr>
                </m:funcPr>
                <m:fName>
                  <m:sSub>
                    <m:sSubPr>
                      <m:ctrlPr>
                        <w:rPr>
                          <w:rFonts w:ascii="Cambria Math" w:hAnsi="Cambria Math"/>
                          <w:i/>
                          <w:sz w:val="24"/>
                          <w:szCs w:val="24"/>
                        </w:rPr>
                      </m:ctrlPr>
                    </m:sSubPr>
                    <m:e>
                      <m:r>
                        <m:rPr>
                          <m:sty m:val="p"/>
                        </m:rPr>
                        <w:rPr>
                          <w:rFonts w:ascii="Cambria Math" w:hAnsi="Cambria Math"/>
                          <w:sz w:val="24"/>
                          <w:szCs w:val="24"/>
                        </w:rPr>
                        <m:t>log</m:t>
                      </m:r>
                    </m:e>
                    <m:sub>
                      <m:r>
                        <w:rPr>
                          <w:rFonts w:ascii="Cambria Math" w:hAnsi="Cambria Math"/>
                          <w:sz w:val="24"/>
                          <w:szCs w:val="24"/>
                        </w:rPr>
                        <m:t>10</m:t>
                      </m:r>
                    </m:sub>
                  </m:sSub>
                </m:fName>
                <m:e>
                  <m:r>
                    <w:rPr>
                      <w:rFonts w:ascii="Cambria Math" w:hAnsi="Cambria Math"/>
                      <w:sz w:val="24"/>
                      <w:szCs w:val="24"/>
                    </w:rPr>
                    <m:t>e</m:t>
                  </m:r>
                </m:e>
              </m:func>
            </m:num>
            <m:den>
              <m:acc>
                <m:accPr>
                  <m:chr m:val="̅"/>
                  <m:ctrlPr>
                    <w:rPr>
                      <w:rFonts w:ascii="Cambria Math" w:hAnsi="Cambria Math"/>
                      <w:i/>
                      <w:sz w:val="24"/>
                      <w:szCs w:val="24"/>
                    </w:rPr>
                  </m:ctrlPr>
                </m:accPr>
                <m:e>
                  <m:r>
                    <w:rPr>
                      <w:rFonts w:ascii="Cambria Math" w:hAnsi="Cambria Math"/>
                      <w:sz w:val="24"/>
                      <w:szCs w:val="24"/>
                    </w:rPr>
                    <m:t>M</m:t>
                  </m:r>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∆M</m:t>
                  </m:r>
                </m:num>
                <m:den>
                  <m:r>
                    <w:rPr>
                      <w:rFonts w:ascii="Cambria Math" w:hAnsi="Cambria Math"/>
                      <w:sz w:val="24"/>
                      <w:szCs w:val="24"/>
                    </w:rPr>
                    <m:t>2</m:t>
                  </m:r>
                </m:den>
              </m:f>
              <m:r>
                <w:rPr>
                  <w:rFonts w:ascii="Cambria Math" w:hAnsi="Cambria Math"/>
                  <w:sz w:val="24"/>
                  <w:szCs w:val="24"/>
                </w:rPr>
                <m:t>)</m:t>
              </m:r>
            </m:den>
          </m:f>
        </m:oMath>
      </m:oMathPara>
    </w:p>
    <w:p w14:paraId="55A6271E" w14:textId="77777777" w:rsidR="004C3823" w:rsidRPr="00BF1161" w:rsidRDefault="004C3823" w:rsidP="00E008AA">
      <w:pPr>
        <w:spacing w:line="480" w:lineRule="auto"/>
        <w:jc w:val="right"/>
        <w:rPr>
          <w:sz w:val="24"/>
          <w:szCs w:val="24"/>
        </w:rPr>
      </w:pPr>
      <w:r w:rsidRPr="00BF1161">
        <w:rPr>
          <w:rFonts w:eastAsiaTheme="minorEastAsia"/>
          <w:sz w:val="24"/>
          <w:szCs w:val="24"/>
        </w:rPr>
        <w:t>(S</w:t>
      </w:r>
      <w:r>
        <w:rPr>
          <w:rFonts w:eastAsiaTheme="minorEastAsia"/>
          <w:sz w:val="24"/>
          <w:szCs w:val="24"/>
        </w:rPr>
        <w:t>2.</w:t>
      </w:r>
      <w:r w:rsidRPr="00BF1161">
        <w:rPr>
          <w:rFonts w:eastAsiaTheme="minorEastAsia"/>
          <w:sz w:val="24"/>
          <w:szCs w:val="24"/>
        </w:rPr>
        <w:t>1)</w:t>
      </w:r>
    </w:p>
    <w:p w14:paraId="62378469" w14:textId="77777777" w:rsidR="004C3823" w:rsidRPr="00BF1161" w:rsidRDefault="004C3823" w:rsidP="00A66A57">
      <w:pPr>
        <w:spacing w:line="480" w:lineRule="auto"/>
        <w:ind w:firstLine="720"/>
        <w:rPr>
          <w:sz w:val="24"/>
          <w:szCs w:val="24"/>
        </w:rPr>
      </w:pPr>
      <w:r w:rsidRPr="00BF1161">
        <w:rPr>
          <w:sz w:val="24"/>
          <w:szCs w:val="24"/>
        </w:rPr>
        <w:lastRenderedPageBreak/>
        <w:t xml:space="preserve">An earthquake magnitude dataset is necessary to apply MLE for b-value estimation. The magnitude range must first be divided into predetermined magnitude bins, </w:t>
      </w:r>
      <m:oMath>
        <m:r>
          <w:rPr>
            <w:rFonts w:ascii="Cambria Math" w:hAnsi="Cambria Math"/>
            <w:sz w:val="24"/>
            <w:szCs w:val="24"/>
          </w:rPr>
          <m:t>∆M</m:t>
        </m:r>
      </m:oMath>
      <w:r w:rsidRPr="00BF1161">
        <w:rPr>
          <w:sz w:val="24"/>
          <w:szCs w:val="24"/>
        </w:rPr>
        <w:t>, as the first step. The number of earthquakes within each bin is counted, and each bin repres</w:t>
      </w:r>
      <w:proofErr w:type="spellStart"/>
      <w:r w:rsidRPr="00BF1161">
        <w:rPr>
          <w:sz w:val="24"/>
          <w:szCs w:val="24"/>
        </w:rPr>
        <w:t>ents</w:t>
      </w:r>
      <w:proofErr w:type="spellEnd"/>
      <w:r w:rsidRPr="00BF1161">
        <w:rPr>
          <w:sz w:val="24"/>
          <w:szCs w:val="24"/>
        </w:rPr>
        <w:t xml:space="preserve"> a particular magnitude range. The likelihood function, which measures the likelihood of observing the given dataset for a particular b-value, is then computed using the observed earthquake frequencies in each magnitude bin. The Gutenberg-Richter formula, which denotes the relationship between earthquake magnitudes and frequencies, serves as the foundation for the likelihood function.</w:t>
      </w:r>
    </w:p>
    <w:p w14:paraId="06DF9A2C" w14:textId="2597C2E2" w:rsidR="004C3823" w:rsidRPr="00BF1161" w:rsidRDefault="004C3823" w:rsidP="00A66A57">
      <w:pPr>
        <w:spacing w:line="480" w:lineRule="auto"/>
        <w:rPr>
          <w:b/>
          <w:bCs/>
          <w:sz w:val="24"/>
          <w:szCs w:val="24"/>
        </w:rPr>
      </w:pPr>
      <w:r>
        <w:rPr>
          <w:b/>
          <w:bCs/>
          <w:sz w:val="24"/>
          <w:szCs w:val="24"/>
        </w:rPr>
        <w:t>S2</w:t>
      </w:r>
      <w:r w:rsidRPr="00BF1161">
        <w:rPr>
          <w:b/>
          <w:bCs/>
          <w:sz w:val="24"/>
          <w:szCs w:val="24"/>
        </w:rPr>
        <w:t>.</w:t>
      </w:r>
      <w:r w:rsidR="00635053">
        <w:rPr>
          <w:b/>
          <w:bCs/>
          <w:sz w:val="24"/>
          <w:szCs w:val="24"/>
        </w:rPr>
        <w:t>2</w:t>
      </w:r>
      <w:r w:rsidRPr="00BF1161">
        <w:rPr>
          <w:b/>
          <w:bCs/>
          <w:sz w:val="24"/>
          <w:szCs w:val="24"/>
        </w:rPr>
        <w:t xml:space="preserve"> B-VALUE ESTIMATION USING ROBUST LEAST SQUARE</w:t>
      </w:r>
    </w:p>
    <w:p w14:paraId="4B2A3E49" w14:textId="77777777" w:rsidR="004C3823" w:rsidRPr="00BF1161" w:rsidRDefault="004C3823" w:rsidP="00B544A9">
      <w:pPr>
        <w:spacing w:line="480" w:lineRule="auto"/>
        <w:ind w:firstLine="720"/>
        <w:rPr>
          <w:sz w:val="24"/>
          <w:szCs w:val="24"/>
        </w:rPr>
      </w:pPr>
      <w:r>
        <w:rPr>
          <w:sz w:val="24"/>
          <w:szCs w:val="24"/>
        </w:rPr>
        <w:t>The s</w:t>
      </w:r>
      <w:r w:rsidRPr="00BF1161">
        <w:rPr>
          <w:sz w:val="24"/>
          <w:szCs w:val="24"/>
        </w:rPr>
        <w:t>eismic analysis code is limited by the number of common events between the listed catalog and actual waveform data available. We apply the robust least square (</w:t>
      </w:r>
      <w:r w:rsidRPr="00975A58">
        <w:rPr>
          <w:b/>
          <w:bCs/>
          <w:sz w:val="24"/>
          <w:szCs w:val="24"/>
        </w:rPr>
        <w:t>equation S2.2</w:t>
      </w:r>
      <w:r w:rsidRPr="00BF1161">
        <w:rPr>
          <w:sz w:val="24"/>
          <w:szCs w:val="24"/>
        </w:rPr>
        <w:t>) that reweights based on the residuals (</w:t>
      </w:r>
      <w:r w:rsidRPr="00975A58">
        <w:rPr>
          <w:b/>
          <w:bCs/>
          <w:sz w:val="24"/>
          <w:szCs w:val="24"/>
        </w:rPr>
        <w:t>equation S2.3</w:t>
      </w:r>
      <w:r w:rsidRPr="00BF1161">
        <w:rPr>
          <w:sz w:val="24"/>
          <w:szCs w:val="24"/>
        </w:rPr>
        <w:t>), where (Han et al., 2015) show improvement in the robust least square over traditional least square solutions. Robust linear regression uses weights (</w:t>
      </w:r>
      <w:r w:rsidRPr="00975A58">
        <w:rPr>
          <w:b/>
          <w:bCs/>
          <w:sz w:val="24"/>
          <w:szCs w:val="24"/>
        </w:rPr>
        <w:t>equation S2.4</w:t>
      </w:r>
      <w:r w:rsidRPr="00BF1161">
        <w:rPr>
          <w:sz w:val="24"/>
          <w:szCs w:val="24"/>
        </w:rPr>
        <w:t>) as part of the scaling factor which reduces the sensitivity to outliers and improves fit. Weights are automatically and iteratively determined where initially, weights are equal and then reweighted in each subsequent iteration, giving lower weights to points further from the previously iterated model predictions (</w:t>
      </w:r>
      <w:r w:rsidRPr="00975A58">
        <w:rPr>
          <w:b/>
          <w:bCs/>
          <w:sz w:val="24"/>
          <w:szCs w:val="24"/>
        </w:rPr>
        <w:t>equation S</w:t>
      </w:r>
      <w:r>
        <w:rPr>
          <w:b/>
          <w:bCs/>
          <w:sz w:val="24"/>
          <w:szCs w:val="24"/>
        </w:rPr>
        <w:t>2.</w:t>
      </w:r>
      <w:r w:rsidRPr="00975A58">
        <w:rPr>
          <w:b/>
          <w:bCs/>
          <w:sz w:val="24"/>
          <w:szCs w:val="24"/>
        </w:rPr>
        <w:t>5</w:t>
      </w:r>
      <w:r w:rsidRPr="00BF1161">
        <w:rPr>
          <w:sz w:val="24"/>
          <w:szCs w:val="24"/>
        </w:rPr>
        <w:t xml:space="preserve">). Iterations are terminated at the point of convergence between coefficients estimates within a given tolerance value. Dumouchel and O’Brien (1989) integrate the </w:t>
      </w:r>
      <w:proofErr w:type="spellStart"/>
      <w:r w:rsidRPr="00BF1161">
        <w:rPr>
          <w:sz w:val="24"/>
          <w:szCs w:val="24"/>
        </w:rPr>
        <w:t>bisquare</w:t>
      </w:r>
      <w:proofErr w:type="spellEnd"/>
      <w:r w:rsidRPr="00BF1161">
        <w:rPr>
          <w:sz w:val="24"/>
          <w:szCs w:val="24"/>
        </w:rPr>
        <w:t xml:space="preserve"> robust regression used in the ZMAP MATLAB package </w:t>
      </w:r>
      <w:proofErr w:type="gramStart"/>
      <w:r w:rsidRPr="00BF1161">
        <w:rPr>
          <w:sz w:val="24"/>
          <w:szCs w:val="24"/>
        </w:rPr>
        <w:t>( Wiemer</w:t>
      </w:r>
      <w:proofErr w:type="gramEnd"/>
      <w:r w:rsidRPr="00BF1161">
        <w:rPr>
          <w:sz w:val="24"/>
          <w:szCs w:val="24"/>
        </w:rPr>
        <w:t xml:space="preserve"> and Malone, 2001) as the function “robust</w:t>
      </w:r>
      <w:r>
        <w:rPr>
          <w:sz w:val="24"/>
          <w:szCs w:val="24"/>
        </w:rPr>
        <w:t>-</w:t>
      </w:r>
      <w:r w:rsidRPr="00BF1161">
        <w:rPr>
          <w:sz w:val="24"/>
          <w:szCs w:val="24"/>
        </w:rPr>
        <w:t xml:space="preserve">fit” ( Dumouchel </w:t>
      </w:r>
      <w:r>
        <w:rPr>
          <w:sz w:val="24"/>
          <w:szCs w:val="24"/>
        </w:rPr>
        <w:t>and</w:t>
      </w:r>
      <w:r w:rsidRPr="00BF1161">
        <w:rPr>
          <w:sz w:val="24"/>
          <w:szCs w:val="24"/>
        </w:rPr>
        <w:t xml:space="preserve"> O’</w:t>
      </w:r>
      <w:r>
        <w:rPr>
          <w:sz w:val="24"/>
          <w:szCs w:val="24"/>
        </w:rPr>
        <w:t>B</w:t>
      </w:r>
      <w:r w:rsidRPr="00BF1161">
        <w:rPr>
          <w:sz w:val="24"/>
          <w:szCs w:val="24"/>
        </w:rPr>
        <w:t xml:space="preserve">rien, 1989; Street et al., 1988; Holland </w:t>
      </w:r>
      <w:r>
        <w:rPr>
          <w:sz w:val="24"/>
          <w:szCs w:val="24"/>
        </w:rPr>
        <w:t>and</w:t>
      </w:r>
      <w:r w:rsidRPr="00BF1161">
        <w:rPr>
          <w:sz w:val="24"/>
          <w:szCs w:val="24"/>
        </w:rPr>
        <w:t xml:space="preserve"> Welsch, 1977; Huber, 1981). This function determines the best fit by iteratively using the robust least squares with the </w:t>
      </w:r>
      <w:proofErr w:type="spellStart"/>
      <w:r w:rsidRPr="00BF1161">
        <w:rPr>
          <w:sz w:val="24"/>
          <w:szCs w:val="24"/>
        </w:rPr>
        <w:t>bisquare</w:t>
      </w:r>
      <w:proofErr w:type="spellEnd"/>
      <w:r w:rsidRPr="00BF1161">
        <w:rPr>
          <w:sz w:val="24"/>
          <w:szCs w:val="24"/>
        </w:rPr>
        <w:t xml:space="preserve"> weighting function by the following procedure:</w:t>
      </w:r>
    </w:p>
    <w:p w14:paraId="2EA4481E" w14:textId="77777777" w:rsidR="004C3823" w:rsidRPr="00BF1161" w:rsidRDefault="004C3823" w:rsidP="004C3823">
      <w:pPr>
        <w:pStyle w:val="ListParagraph"/>
        <w:numPr>
          <w:ilvl w:val="0"/>
          <w:numId w:val="10"/>
        </w:numPr>
        <w:spacing w:line="480" w:lineRule="auto"/>
        <w:rPr>
          <w:sz w:val="24"/>
          <w:szCs w:val="24"/>
        </w:rPr>
      </w:pPr>
      <w:r w:rsidRPr="00BF1161">
        <w:rPr>
          <w:sz w:val="24"/>
          <w:szCs w:val="24"/>
        </w:rPr>
        <w:lastRenderedPageBreak/>
        <w:t>Equal weight least square regression as expressed in the least square line (</w:t>
      </w:r>
      <w:r w:rsidRPr="00BF1161">
        <w:rPr>
          <w:b/>
          <w:bCs/>
          <w:sz w:val="24"/>
          <w:szCs w:val="24"/>
        </w:rPr>
        <w:t>equation S</w:t>
      </w:r>
      <w:r>
        <w:rPr>
          <w:b/>
          <w:bCs/>
          <w:sz w:val="24"/>
          <w:szCs w:val="24"/>
        </w:rPr>
        <w:t>2.</w:t>
      </w:r>
      <w:r w:rsidRPr="00BF1161">
        <w:rPr>
          <w:b/>
          <w:bCs/>
          <w:sz w:val="24"/>
          <w:szCs w:val="24"/>
        </w:rPr>
        <w:t>2</w:t>
      </w:r>
      <w:r w:rsidRPr="00BF1161">
        <w:rPr>
          <w:sz w:val="24"/>
          <w:szCs w:val="24"/>
        </w:rPr>
        <w:t xml:space="preserve">), where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oMath>
      <w:r w:rsidRPr="00BF1161">
        <w:rPr>
          <w:sz w:val="24"/>
          <w:szCs w:val="24"/>
        </w:rPr>
        <w:t xml:space="preserve"> i</w:t>
      </w:r>
      <w:proofErr w:type="spellStart"/>
      <w:r w:rsidRPr="00BF1161">
        <w:rPr>
          <w:sz w:val="24"/>
          <w:szCs w:val="24"/>
        </w:rPr>
        <w:t>s</w:t>
      </w:r>
      <w:proofErr w:type="spellEnd"/>
      <w:r w:rsidRPr="00BF1161">
        <w:rPr>
          <w:sz w:val="24"/>
          <w:szCs w:val="24"/>
        </w:rPr>
        <w:t xml:space="preserve"> the magnitude,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oMath>
      <w:r w:rsidRPr="00BF1161">
        <w:rPr>
          <w:sz w:val="24"/>
          <w:szCs w:val="24"/>
        </w:rPr>
        <w:t xml:space="preserve"> , event count, </w:t>
      </w:r>
      <m:oMath>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oMath>
      <w:r w:rsidRPr="00BF1161">
        <w:rPr>
          <w:sz w:val="24"/>
          <w:szCs w:val="24"/>
        </w:rPr>
        <w:t xml:space="preserve">, unobserved errors, and β, </w:t>
      </w:r>
      <w:r>
        <w:rPr>
          <w:sz w:val="24"/>
          <w:szCs w:val="24"/>
        </w:rPr>
        <w:t xml:space="preserve">is </w:t>
      </w:r>
      <w:r w:rsidRPr="00BF1161">
        <w:rPr>
          <w:sz w:val="24"/>
          <w:szCs w:val="24"/>
        </w:rPr>
        <w:t xml:space="preserve">the least squares estimate. </w:t>
      </w:r>
    </w:p>
    <w:p w14:paraId="6F6F7951" w14:textId="77777777" w:rsidR="004C3823" w:rsidRPr="00BF1161" w:rsidRDefault="004C3823" w:rsidP="00A66A57">
      <w:pPr>
        <w:pStyle w:val="ListParagraph"/>
        <w:spacing w:line="480" w:lineRule="auto"/>
        <w:rPr>
          <w:sz w:val="24"/>
          <w:szCs w:val="24"/>
        </w:rPr>
      </w:pPr>
    </w:p>
    <w:p w14:paraId="228E1123" w14:textId="77777777" w:rsidR="004C3823" w:rsidRPr="00BF1161" w:rsidRDefault="00DF2C3F" w:rsidP="00A66A57">
      <w:pPr>
        <w:pStyle w:val="ListParagraph"/>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β+</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r>
            <w:rPr>
              <w:rFonts w:ascii="Cambria Math" w:hAnsi="Cambria Math"/>
              <w:sz w:val="24"/>
              <w:szCs w:val="24"/>
            </w:rPr>
            <m:t xml:space="preserve">   i=1,…,n</m:t>
          </m:r>
        </m:oMath>
      </m:oMathPara>
    </w:p>
    <w:p w14:paraId="3F34372B" w14:textId="77777777" w:rsidR="004C3823" w:rsidRPr="00BF1161" w:rsidRDefault="004C3823" w:rsidP="00E008AA">
      <w:pPr>
        <w:spacing w:line="480" w:lineRule="auto"/>
        <w:jc w:val="right"/>
        <w:rPr>
          <w:sz w:val="24"/>
          <w:szCs w:val="24"/>
        </w:rPr>
      </w:pPr>
      <w:r w:rsidRPr="00BF1161">
        <w:rPr>
          <w:sz w:val="24"/>
          <w:szCs w:val="24"/>
        </w:rPr>
        <w:t xml:space="preserve"> (S</w:t>
      </w:r>
      <w:r>
        <w:rPr>
          <w:sz w:val="24"/>
          <w:szCs w:val="24"/>
        </w:rPr>
        <w:t>2.</w:t>
      </w:r>
      <w:r w:rsidRPr="00BF1161">
        <w:rPr>
          <w:sz w:val="24"/>
          <w:szCs w:val="24"/>
        </w:rPr>
        <w:t>2)</w:t>
      </w:r>
    </w:p>
    <w:p w14:paraId="51354316" w14:textId="77777777" w:rsidR="004C3823" w:rsidRPr="00BF1161" w:rsidRDefault="004C3823" w:rsidP="004C3823">
      <w:pPr>
        <w:pStyle w:val="ListParagraph"/>
        <w:numPr>
          <w:ilvl w:val="0"/>
          <w:numId w:val="10"/>
        </w:numPr>
        <w:spacing w:line="480" w:lineRule="auto"/>
        <w:rPr>
          <w:sz w:val="24"/>
          <w:szCs w:val="24"/>
        </w:rPr>
      </w:pPr>
      <w:r w:rsidRPr="00BF1161">
        <w:rPr>
          <w:sz w:val="24"/>
          <w:szCs w:val="24"/>
        </w:rPr>
        <w:t xml:space="preserve">Compute and adjust residuals,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oMath>
      <w:r w:rsidRPr="00BF1161">
        <w:rPr>
          <w:sz w:val="24"/>
          <w:szCs w:val="24"/>
        </w:rPr>
        <w:t xml:space="preserve">, using Huber’s function where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i</m:t>
            </m:r>
          </m:sub>
        </m:sSub>
      </m:oMath>
      <w:r w:rsidRPr="00BF1161">
        <w:rPr>
          <w:sz w:val="24"/>
          <w:szCs w:val="24"/>
        </w:rPr>
        <w:t xml:space="preserve"> is the leverage that reduces weight for high leverage points,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oMath>
      <w:r w:rsidRPr="00BF1161">
        <w:rPr>
          <w:sz w:val="24"/>
          <w:szCs w:val="24"/>
        </w:rPr>
        <w:t>, robust regression, S, scale estimate, and c, tuning constant of 4.685 for bisquare weighting.</w:t>
      </w:r>
    </w:p>
    <w:p w14:paraId="035B945D" w14:textId="77777777" w:rsidR="004C3823" w:rsidRPr="00BF1161" w:rsidRDefault="004C3823" w:rsidP="00A66A57">
      <w:pPr>
        <w:spacing w:line="480" w:lineRule="auto"/>
        <w:rPr>
          <w:sz w:val="24"/>
          <w:szCs w:val="24"/>
        </w:rPr>
      </w:pPr>
    </w:p>
    <w:p w14:paraId="6B576071" w14:textId="77777777" w:rsidR="004C3823" w:rsidRPr="00BF1161" w:rsidRDefault="00DF2C3F" w:rsidP="00A66A57">
      <w:pPr>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acc>
            </m:num>
            <m:den>
              <m:r>
                <w:rPr>
                  <w:rFonts w:ascii="Cambria Math" w:hAnsi="Cambria Math"/>
                  <w:sz w:val="24"/>
                  <w:szCs w:val="24"/>
                </w:rPr>
                <m:t>cS</m:t>
              </m:r>
              <m:rad>
                <m:radPr>
                  <m:degHide m:val="1"/>
                  <m:ctrlPr>
                    <w:rPr>
                      <w:rFonts w:ascii="Cambria Math" w:hAnsi="Cambria Math"/>
                      <w:i/>
                      <w:sz w:val="24"/>
                      <w:szCs w:val="24"/>
                    </w:rPr>
                  </m:ctrlPr>
                </m:radPr>
                <m:deg/>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i</m:t>
                      </m:r>
                    </m:sub>
                  </m:sSub>
                </m:e>
              </m:rad>
            </m:den>
          </m:f>
        </m:oMath>
      </m:oMathPara>
    </w:p>
    <w:p w14:paraId="121BB2C9" w14:textId="77777777" w:rsidR="004C3823" w:rsidRPr="00BF1161" w:rsidRDefault="004C3823" w:rsidP="00E008AA">
      <w:pPr>
        <w:spacing w:line="480" w:lineRule="auto"/>
        <w:jc w:val="right"/>
        <w:rPr>
          <w:sz w:val="24"/>
          <w:szCs w:val="24"/>
        </w:rPr>
      </w:pPr>
      <w:r w:rsidRPr="00BF1161">
        <w:rPr>
          <w:sz w:val="24"/>
          <w:szCs w:val="24"/>
        </w:rPr>
        <w:t xml:space="preserve"> (S</w:t>
      </w:r>
      <w:r>
        <w:rPr>
          <w:sz w:val="24"/>
          <w:szCs w:val="24"/>
        </w:rPr>
        <w:t>2.</w:t>
      </w:r>
      <w:r w:rsidRPr="00BF1161">
        <w:rPr>
          <w:sz w:val="24"/>
          <w:szCs w:val="24"/>
        </w:rPr>
        <w:t>3)</w:t>
      </w:r>
    </w:p>
    <w:p w14:paraId="4BA67381" w14:textId="77777777" w:rsidR="004C3823" w:rsidRPr="00BF1161" w:rsidRDefault="004C3823" w:rsidP="004C3823">
      <w:pPr>
        <w:pStyle w:val="ListParagraph"/>
        <w:numPr>
          <w:ilvl w:val="0"/>
          <w:numId w:val="10"/>
        </w:numPr>
        <w:spacing w:line="480" w:lineRule="auto"/>
        <w:rPr>
          <w:sz w:val="24"/>
          <w:szCs w:val="24"/>
        </w:rPr>
      </w:pPr>
      <w:r w:rsidRPr="00BF1161">
        <w:rPr>
          <w:sz w:val="24"/>
          <w:szCs w:val="24"/>
        </w:rPr>
        <w:t xml:space="preserve">Compute </w:t>
      </w:r>
      <w:proofErr w:type="spellStart"/>
      <w:r w:rsidRPr="00BF1161">
        <w:rPr>
          <w:sz w:val="24"/>
          <w:szCs w:val="24"/>
        </w:rPr>
        <w:t>bisquare</w:t>
      </w:r>
      <w:proofErr w:type="spellEnd"/>
      <w:r w:rsidRPr="00BF1161">
        <w:rPr>
          <w:sz w:val="24"/>
          <w:szCs w:val="24"/>
        </w:rPr>
        <w:t xml:space="preserve"> weights,</w:t>
      </w:r>
      <w:r w:rsidRPr="00BF1161">
        <w:rPr>
          <w:rFonts w:ascii="Cambria Math" w:hAnsi="Cambria Math"/>
          <w:i/>
          <w:sz w:val="24"/>
          <w:szCs w:val="24"/>
        </w:rPr>
        <w:t xml:space="preserv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oMath>
      <w:r w:rsidRPr="00BF1161">
        <w:rPr>
          <w:sz w:val="24"/>
          <w:szCs w:val="24"/>
        </w:rPr>
        <w:t>, based on previous iteration residuals.</w:t>
      </w:r>
    </w:p>
    <w:p w14:paraId="4BA9F554" w14:textId="77777777" w:rsidR="004C3823" w:rsidRPr="00BF1161" w:rsidRDefault="004C3823" w:rsidP="00A66A57">
      <w:pPr>
        <w:spacing w:line="480" w:lineRule="auto"/>
        <w:rPr>
          <w:sz w:val="24"/>
          <w:szCs w:val="24"/>
        </w:rPr>
      </w:pPr>
      <m:oMathPara>
        <m:oMath>
          <m:r>
            <w:rPr>
              <w:rFonts w:ascii="Cambria Math" w:hAnsi="Cambria Math"/>
              <w:sz w:val="24"/>
              <w:szCs w:val="24"/>
            </w:rPr>
            <m:t>w=</m:t>
          </m:r>
          <m:d>
            <m:dPr>
              <m:begChr m:val="{"/>
              <m:endChr m:val=""/>
              <m:ctrlPr>
                <w:rPr>
                  <w:rFonts w:ascii="Cambria Math" w:hAnsi="Cambria Math"/>
                  <w:i/>
                  <w:sz w:val="24"/>
                  <w:szCs w:val="24"/>
                </w:rPr>
              </m:ctrlPr>
            </m:dPr>
            <m:e>
              <m:eqArr>
                <m:eqArrPr>
                  <m:ctrlPr>
                    <w:rPr>
                      <w:rFonts w:ascii="Cambria Math" w:hAnsi="Cambria Math"/>
                      <w:i/>
                      <w:sz w:val="24"/>
                      <w:szCs w:val="24"/>
                    </w:rPr>
                  </m:ctrlPr>
                </m:eqArrPr>
                <m:e>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u</m:t>
                              </m:r>
                            </m:e>
                            <m:sub>
                              <m:r>
                                <w:rPr>
                                  <w:rFonts w:ascii="Cambria Math" w:hAnsi="Cambria Math"/>
                                  <w:sz w:val="24"/>
                                  <w:szCs w:val="24"/>
                                </w:rPr>
                                <m:t>i</m:t>
                              </m:r>
                            </m:sub>
                            <m:sup>
                              <m:r>
                                <w:rPr>
                                  <w:rFonts w:ascii="Cambria Math" w:hAnsi="Cambria Math"/>
                                  <w:sz w:val="24"/>
                                  <w:szCs w:val="24"/>
                                </w:rPr>
                                <m:t>2</m:t>
                              </m:r>
                            </m:sup>
                          </m:sSubSup>
                        </m:e>
                      </m:d>
                    </m:e>
                    <m:sup>
                      <m:r>
                        <w:rPr>
                          <w:rFonts w:ascii="Cambria Math" w:hAnsi="Cambria Math"/>
                          <w:sz w:val="24"/>
                          <w:szCs w:val="24"/>
                        </w:rPr>
                        <m:t>2</m:t>
                      </m:r>
                    </m:sup>
                  </m:sSup>
                  <m:r>
                    <w:rPr>
                      <w:rFonts w:ascii="Cambria Math" w:hAnsi="Cambria Math"/>
                      <w:sz w:val="24"/>
                      <w:szCs w:val="24"/>
                    </w:rPr>
                    <m:t>,  &amp;if |</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r>
                    <w:rPr>
                      <w:rFonts w:ascii="Cambria Math" w:hAnsi="Cambria Math"/>
                      <w:sz w:val="24"/>
                      <w:szCs w:val="24"/>
                    </w:rPr>
                    <m:t>|&lt;1</m:t>
                  </m:r>
                </m:e>
                <m:e>
                  <m:r>
                    <w:rPr>
                      <w:rFonts w:ascii="Cambria Math" w:hAnsi="Cambria Math"/>
                      <w:sz w:val="24"/>
                      <w:szCs w:val="24"/>
                    </w:rPr>
                    <m:t>0,  &amp;if |</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r>
                    <w:rPr>
                      <w:rFonts w:ascii="Cambria Math" w:hAnsi="Cambria Math"/>
                      <w:sz w:val="24"/>
                      <w:szCs w:val="24"/>
                    </w:rPr>
                    <m:t>|≥1</m:t>
                  </m:r>
                </m:e>
              </m:eqArr>
            </m:e>
          </m:d>
        </m:oMath>
      </m:oMathPara>
    </w:p>
    <w:p w14:paraId="52356CB5" w14:textId="77777777" w:rsidR="004C3823" w:rsidRPr="00BF1161" w:rsidRDefault="004C3823" w:rsidP="00E008AA">
      <w:pPr>
        <w:spacing w:line="480" w:lineRule="auto"/>
        <w:jc w:val="right"/>
        <w:rPr>
          <w:sz w:val="24"/>
          <w:szCs w:val="24"/>
        </w:rPr>
      </w:pPr>
      <w:r w:rsidRPr="00BF1161">
        <w:rPr>
          <w:sz w:val="24"/>
          <w:szCs w:val="24"/>
        </w:rPr>
        <w:t xml:space="preserve"> (S</w:t>
      </w:r>
      <w:r>
        <w:rPr>
          <w:sz w:val="24"/>
          <w:szCs w:val="24"/>
        </w:rPr>
        <w:t>2.</w:t>
      </w:r>
      <w:r w:rsidRPr="00BF1161">
        <w:rPr>
          <w:sz w:val="24"/>
          <w:szCs w:val="24"/>
        </w:rPr>
        <w:t>4)</w:t>
      </w:r>
    </w:p>
    <w:p w14:paraId="669849BF" w14:textId="77777777" w:rsidR="004C3823" w:rsidRPr="00BF1161" w:rsidRDefault="004C3823" w:rsidP="004C3823">
      <w:pPr>
        <w:pStyle w:val="ListParagraph"/>
        <w:numPr>
          <w:ilvl w:val="0"/>
          <w:numId w:val="10"/>
        </w:numPr>
        <w:spacing w:line="480" w:lineRule="auto"/>
        <w:rPr>
          <w:sz w:val="24"/>
          <w:szCs w:val="24"/>
        </w:rPr>
      </w:pPr>
      <w:r w:rsidRPr="00BF1161">
        <w:rPr>
          <w:sz w:val="24"/>
          <w:szCs w:val="24"/>
        </w:rPr>
        <w:t xml:space="preserve">Update the least square line by performing a weighted least squares regression with the </w:t>
      </w:r>
      <w:proofErr w:type="gramStart"/>
      <w:r w:rsidRPr="00BF1161">
        <w:rPr>
          <w:sz w:val="24"/>
          <w:szCs w:val="24"/>
        </w:rPr>
        <w:t>weights</w:t>
      </w:r>
      <w:proofErr w:type="gramEnd"/>
      <w:r w:rsidRPr="00BF1161">
        <w:rPr>
          <w:sz w:val="24"/>
          <w:szCs w:val="24"/>
        </w:rPr>
        <w:t xml:space="preserve"> </w:t>
      </w:r>
    </w:p>
    <w:p w14:paraId="7B521719" w14:textId="77777777" w:rsidR="004C3823" w:rsidRPr="00BF1161" w:rsidRDefault="004C3823" w:rsidP="00A66A57">
      <w:pPr>
        <w:pStyle w:val="ListParagraph"/>
        <w:spacing w:line="480" w:lineRule="auto"/>
        <w:rPr>
          <w:sz w:val="24"/>
          <w:szCs w:val="24"/>
        </w:rPr>
      </w:pPr>
    </w:p>
    <w:p w14:paraId="174D1DCF" w14:textId="77777777" w:rsidR="004C3823" w:rsidRPr="00BF1161" w:rsidRDefault="00DF2C3F" w:rsidP="00A66A57">
      <w:pPr>
        <w:pStyle w:val="ListParagraph"/>
        <w:spacing w:line="480" w:lineRule="auto"/>
        <w:rPr>
          <w:sz w:val="24"/>
          <w:szCs w:val="24"/>
        </w:rPr>
      </w:pPr>
      <m:oMathPara>
        <m:oMath>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β</m:t>
                      </m:r>
                    </m:e>
                  </m:acc>
                </m:e>
                <m:sub>
                  <m:r>
                    <w:rPr>
                      <w:rFonts w:ascii="Cambria Math" w:hAnsi="Cambria Math"/>
                      <w:sz w:val="24"/>
                      <w:szCs w:val="24"/>
                    </w:rPr>
                    <m:t>R</m:t>
                  </m:r>
                </m:sub>
              </m:sSub>
            </m:e>
          </m:nary>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ij</m:t>
              </m:r>
            </m:sub>
          </m:sSub>
          <m:r>
            <w:rPr>
              <w:rFonts w:ascii="Cambria Math" w:eastAsiaTheme="minorEastAsia" w:hAnsi="Cambria Math"/>
              <w:sz w:val="24"/>
              <w:szCs w:val="24"/>
            </w:rPr>
            <m:t xml:space="preserve">    j=1,…,p</m:t>
          </m:r>
        </m:oMath>
      </m:oMathPara>
    </w:p>
    <w:p w14:paraId="047D4E44" w14:textId="77777777" w:rsidR="004C3823" w:rsidRPr="00BF1161" w:rsidRDefault="004C3823" w:rsidP="00E008AA">
      <w:pPr>
        <w:spacing w:line="480" w:lineRule="auto"/>
        <w:jc w:val="right"/>
        <w:rPr>
          <w:sz w:val="24"/>
          <w:szCs w:val="24"/>
        </w:rPr>
      </w:pPr>
      <w:r w:rsidRPr="00BF1161">
        <w:rPr>
          <w:sz w:val="24"/>
          <w:szCs w:val="24"/>
        </w:rPr>
        <w:t xml:space="preserve"> (S</w:t>
      </w:r>
      <w:r>
        <w:rPr>
          <w:sz w:val="24"/>
          <w:szCs w:val="24"/>
        </w:rPr>
        <w:t>2.</w:t>
      </w:r>
      <w:r w:rsidRPr="00BF1161">
        <w:rPr>
          <w:sz w:val="24"/>
          <w:szCs w:val="24"/>
        </w:rPr>
        <w:t>5)</w:t>
      </w:r>
    </w:p>
    <w:p w14:paraId="563045CB" w14:textId="77777777" w:rsidR="004C3823" w:rsidRPr="00BF1161" w:rsidRDefault="004C3823" w:rsidP="004C3823">
      <w:pPr>
        <w:pStyle w:val="ListParagraph"/>
        <w:numPr>
          <w:ilvl w:val="0"/>
          <w:numId w:val="10"/>
        </w:numPr>
        <w:spacing w:line="480" w:lineRule="auto"/>
        <w:rPr>
          <w:sz w:val="24"/>
          <w:szCs w:val="24"/>
        </w:rPr>
      </w:pPr>
      <w:r w:rsidRPr="00BF1161">
        <w:rPr>
          <w:sz w:val="24"/>
          <w:szCs w:val="24"/>
        </w:rPr>
        <w:t>Iterate until convergence.</w:t>
      </w:r>
    </w:p>
    <w:p w14:paraId="14F25457" w14:textId="35560C00" w:rsidR="004C3823" w:rsidRPr="00BF1161" w:rsidRDefault="004C3823" w:rsidP="00A66A57">
      <w:pPr>
        <w:spacing w:line="480" w:lineRule="auto"/>
        <w:rPr>
          <w:b/>
          <w:bCs/>
          <w:sz w:val="24"/>
          <w:szCs w:val="24"/>
        </w:rPr>
      </w:pPr>
      <w:r>
        <w:rPr>
          <w:b/>
          <w:bCs/>
          <w:sz w:val="24"/>
          <w:szCs w:val="24"/>
        </w:rPr>
        <w:t>S2</w:t>
      </w:r>
      <w:r w:rsidRPr="00BF1161">
        <w:rPr>
          <w:b/>
          <w:bCs/>
          <w:sz w:val="24"/>
          <w:szCs w:val="24"/>
        </w:rPr>
        <w:t>.</w:t>
      </w:r>
      <w:r w:rsidR="00635053">
        <w:rPr>
          <w:b/>
          <w:bCs/>
          <w:sz w:val="24"/>
          <w:szCs w:val="24"/>
        </w:rPr>
        <w:t>3</w:t>
      </w:r>
      <w:r w:rsidRPr="00BF1161">
        <w:rPr>
          <w:b/>
          <w:bCs/>
          <w:sz w:val="24"/>
          <w:szCs w:val="24"/>
        </w:rPr>
        <w:t xml:space="preserve"> LST results</w:t>
      </w:r>
    </w:p>
    <w:p w14:paraId="2F9A4E0C" w14:textId="77777777" w:rsidR="004C3823" w:rsidRPr="00BF1161" w:rsidRDefault="004C3823" w:rsidP="00A66A57">
      <w:pPr>
        <w:spacing w:line="480" w:lineRule="auto"/>
        <w:rPr>
          <w:sz w:val="24"/>
          <w:szCs w:val="24"/>
        </w:rPr>
      </w:pPr>
      <w:r w:rsidRPr="00BF1161">
        <w:rPr>
          <w:noProof/>
          <w:sz w:val="24"/>
          <w:szCs w:val="24"/>
        </w:rPr>
        <w:t xml:space="preserve"> </w:t>
      </w:r>
      <w:r w:rsidRPr="00BF1161">
        <w:rPr>
          <w:noProof/>
          <w:sz w:val="24"/>
          <w:szCs w:val="24"/>
        </w:rPr>
        <w:tab/>
        <w:t xml:space="preserve">We also observe the results from using LST in replacement of MLE in </w:t>
      </w:r>
      <w:r w:rsidRPr="00BF1161">
        <w:rPr>
          <w:b/>
          <w:bCs/>
          <w:noProof/>
          <w:sz w:val="24"/>
          <w:szCs w:val="24"/>
        </w:rPr>
        <w:t>Figure S</w:t>
      </w:r>
      <w:r>
        <w:rPr>
          <w:b/>
          <w:bCs/>
          <w:noProof/>
          <w:sz w:val="24"/>
          <w:szCs w:val="24"/>
        </w:rPr>
        <w:t>2.</w:t>
      </w:r>
      <w:r w:rsidRPr="00BF1161">
        <w:rPr>
          <w:b/>
          <w:bCs/>
          <w:noProof/>
          <w:sz w:val="24"/>
          <w:szCs w:val="24"/>
        </w:rPr>
        <w:t>1</w:t>
      </w:r>
      <w:r w:rsidRPr="00BF1161">
        <w:rPr>
          <w:noProof/>
          <w:sz w:val="24"/>
          <w:szCs w:val="24"/>
        </w:rPr>
        <w:t xml:space="preserve">. All steps are identical to </w:t>
      </w:r>
      <w:r>
        <w:rPr>
          <w:noProof/>
          <w:sz w:val="24"/>
          <w:szCs w:val="24"/>
        </w:rPr>
        <w:t>t</w:t>
      </w:r>
      <w:r w:rsidRPr="00BF1161">
        <w:rPr>
          <w:noProof/>
          <w:sz w:val="24"/>
          <w:szCs w:val="24"/>
        </w:rPr>
        <w:t xml:space="preserve">he main text where MLE is used. </w:t>
      </w:r>
    </w:p>
    <w:p w14:paraId="4DB0DDED" w14:textId="77777777" w:rsidR="004C3823" w:rsidRPr="00BF1161" w:rsidRDefault="004C3823" w:rsidP="00A66A57">
      <w:pPr>
        <w:spacing w:line="480" w:lineRule="auto"/>
        <w:rPr>
          <w:b/>
          <w:bCs/>
          <w:sz w:val="24"/>
          <w:szCs w:val="24"/>
        </w:rPr>
      </w:pPr>
    </w:p>
    <w:p w14:paraId="153EB673" w14:textId="77777777" w:rsidR="004C3823" w:rsidRPr="00BF1161" w:rsidRDefault="004C3823" w:rsidP="00A66A57">
      <w:pPr>
        <w:spacing w:line="480" w:lineRule="auto"/>
        <w:rPr>
          <w:sz w:val="24"/>
          <w:szCs w:val="24"/>
        </w:rPr>
      </w:pPr>
      <w:r w:rsidRPr="00BF1161">
        <w:rPr>
          <w:noProof/>
          <w:sz w:val="24"/>
          <w:szCs w:val="24"/>
        </w:rPr>
        <w:lastRenderedPageBreak/>
        <w:drawing>
          <wp:inline distT="0" distB="0" distL="0" distR="0" wp14:anchorId="2D446EAE" wp14:editId="3556D843">
            <wp:extent cx="5943600" cy="4943475"/>
            <wp:effectExtent l="0" t="0" r="0" b="9525"/>
            <wp:docPr id="876116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943475"/>
                    </a:xfrm>
                    <a:prstGeom prst="rect">
                      <a:avLst/>
                    </a:prstGeom>
                    <a:noFill/>
                    <a:ln>
                      <a:noFill/>
                    </a:ln>
                  </pic:spPr>
                </pic:pic>
              </a:graphicData>
            </a:graphic>
          </wp:inline>
        </w:drawing>
      </w:r>
    </w:p>
    <w:p w14:paraId="21EA1C17" w14:textId="77777777" w:rsidR="004C3823" w:rsidRPr="00BF1161" w:rsidRDefault="004C3823" w:rsidP="00E256BC">
      <w:pPr>
        <w:spacing w:line="360" w:lineRule="auto"/>
        <w:rPr>
          <w:sz w:val="24"/>
          <w:szCs w:val="24"/>
        </w:rPr>
      </w:pPr>
      <w:r w:rsidRPr="00BF1161">
        <w:rPr>
          <w:sz w:val="24"/>
          <w:szCs w:val="24"/>
        </w:rPr>
        <w:t>Figure S</w:t>
      </w:r>
      <w:r>
        <w:rPr>
          <w:sz w:val="24"/>
          <w:szCs w:val="24"/>
        </w:rPr>
        <w:t>2.</w:t>
      </w:r>
      <w:r w:rsidRPr="00BF1161">
        <w:rPr>
          <w:sz w:val="24"/>
          <w:szCs w:val="24"/>
        </w:rPr>
        <w:t xml:space="preserve">1: </w:t>
      </w:r>
      <w:r w:rsidRPr="00D76E95">
        <w:rPr>
          <w:sz w:val="24"/>
          <w:szCs w:val="24"/>
        </w:rPr>
        <w:t xml:space="preserve">Comparison of probability density function of b-value estimations from LST (A and B), and the </w:t>
      </w:r>
      <w:proofErr w:type="spellStart"/>
      <w:r w:rsidRPr="00D76E95">
        <w:rPr>
          <w:sz w:val="24"/>
          <w:szCs w:val="24"/>
        </w:rPr>
        <w:t>seismogenic</w:t>
      </w:r>
      <w:proofErr w:type="spellEnd"/>
      <w:r w:rsidRPr="00D76E95">
        <w:rPr>
          <w:sz w:val="24"/>
          <w:szCs w:val="24"/>
        </w:rPr>
        <w:t xml:space="preserve"> index (C and D) before (left panel: A and C) and after (right panel: B and D) magnitude calibration. For all estimates, 100 bootstrap trials are calculated with LST estimates for </w:t>
      </w:r>
      <w:r>
        <w:rPr>
          <w:sz w:val="24"/>
          <w:szCs w:val="24"/>
        </w:rPr>
        <w:t xml:space="preserve">the </w:t>
      </w:r>
      <w:r w:rsidRPr="00D76E95">
        <w:rPr>
          <w:sz w:val="24"/>
          <w:szCs w:val="24"/>
        </w:rPr>
        <w:t xml:space="preserve">b-value and </w:t>
      </w:r>
      <w:proofErr w:type="spellStart"/>
      <w:r w:rsidRPr="00D76E95">
        <w:rPr>
          <w:sz w:val="24"/>
          <w:szCs w:val="24"/>
        </w:rPr>
        <w:t>seismogenic</w:t>
      </w:r>
      <w:proofErr w:type="spellEnd"/>
      <w:r w:rsidRPr="00D76E95">
        <w:rPr>
          <w:sz w:val="24"/>
          <w:szCs w:val="24"/>
        </w:rPr>
        <w:t xml:space="preserve"> index.</w:t>
      </w:r>
    </w:p>
    <w:p w14:paraId="5C346B51" w14:textId="77777777" w:rsidR="004C3823" w:rsidRDefault="004C3823" w:rsidP="004E04DF">
      <w:pPr>
        <w:jc w:val="center"/>
        <w:rPr>
          <w:sz w:val="24"/>
          <w:szCs w:val="24"/>
        </w:rPr>
      </w:pPr>
    </w:p>
    <w:p w14:paraId="7484CE0F" w14:textId="77777777" w:rsidR="004C3823" w:rsidRDefault="004C3823" w:rsidP="004E04DF">
      <w:pPr>
        <w:jc w:val="center"/>
        <w:rPr>
          <w:sz w:val="24"/>
          <w:szCs w:val="24"/>
        </w:rPr>
      </w:pPr>
    </w:p>
    <w:p w14:paraId="69B6A3D5" w14:textId="77777777" w:rsidR="004C3823" w:rsidRDefault="004C3823" w:rsidP="004E04DF">
      <w:pPr>
        <w:jc w:val="center"/>
        <w:rPr>
          <w:sz w:val="24"/>
          <w:szCs w:val="24"/>
        </w:rPr>
      </w:pPr>
    </w:p>
    <w:p w14:paraId="15A6C73F" w14:textId="77777777" w:rsidR="004C3823" w:rsidRDefault="004C3823" w:rsidP="004E04DF">
      <w:pPr>
        <w:jc w:val="center"/>
        <w:rPr>
          <w:sz w:val="24"/>
          <w:szCs w:val="24"/>
        </w:rPr>
      </w:pPr>
    </w:p>
    <w:p w14:paraId="59ADC2AA" w14:textId="77777777" w:rsidR="004C3823" w:rsidRDefault="004C3823" w:rsidP="004E04DF">
      <w:pPr>
        <w:jc w:val="center"/>
        <w:rPr>
          <w:sz w:val="24"/>
          <w:szCs w:val="24"/>
        </w:rPr>
      </w:pPr>
    </w:p>
    <w:p w14:paraId="662462B5" w14:textId="77777777" w:rsidR="004C3823" w:rsidRDefault="004C3823" w:rsidP="004E04DF">
      <w:pPr>
        <w:jc w:val="center"/>
        <w:rPr>
          <w:sz w:val="24"/>
          <w:szCs w:val="24"/>
        </w:rPr>
      </w:pPr>
    </w:p>
    <w:p w14:paraId="73344F5E" w14:textId="77777777" w:rsidR="004C3823" w:rsidRDefault="004C3823" w:rsidP="00CF503D">
      <w:pPr>
        <w:jc w:val="center"/>
        <w:rPr>
          <w:rFonts w:cstheme="minorHAnsi"/>
          <w:b/>
          <w:bCs/>
          <w:sz w:val="72"/>
          <w:szCs w:val="72"/>
        </w:rPr>
      </w:pPr>
      <w:r w:rsidRPr="00632531">
        <w:rPr>
          <w:rFonts w:cstheme="minorHAnsi"/>
          <w:b/>
          <w:bCs/>
          <w:sz w:val="72"/>
          <w:szCs w:val="72"/>
        </w:rPr>
        <w:lastRenderedPageBreak/>
        <w:t xml:space="preserve">     Chapter 3:  </w:t>
      </w:r>
    </w:p>
    <w:p w14:paraId="38D5ACE1" w14:textId="277925F0" w:rsidR="004C3823" w:rsidRPr="00632531" w:rsidRDefault="004C3823" w:rsidP="00CF503D">
      <w:pPr>
        <w:jc w:val="center"/>
        <w:rPr>
          <w:rFonts w:cstheme="minorHAnsi"/>
          <w:b/>
          <w:bCs/>
          <w:sz w:val="72"/>
          <w:szCs w:val="72"/>
        </w:rPr>
      </w:pPr>
      <w:r w:rsidRPr="00632531">
        <w:rPr>
          <w:rFonts w:cstheme="minorHAnsi"/>
          <w:b/>
          <w:bCs/>
          <w:sz w:val="72"/>
          <w:szCs w:val="72"/>
        </w:rPr>
        <w:t>Site response of ambient seismic noise of Northern Oklahoma from the perspective of Nodal and DAS arrays</w:t>
      </w:r>
    </w:p>
    <w:p w14:paraId="78560495" w14:textId="77777777" w:rsidR="004C3823" w:rsidRDefault="004C3823" w:rsidP="0031312E">
      <w:pPr>
        <w:spacing w:after="0" w:line="240" w:lineRule="auto"/>
        <w:rPr>
          <w:rFonts w:eastAsia="Times New Roman" w:cstheme="minorHAnsi"/>
          <w:color w:val="000000"/>
          <w:sz w:val="24"/>
          <w:szCs w:val="24"/>
          <w:lang w:eastAsia="ja-JP"/>
        </w:rPr>
      </w:pPr>
    </w:p>
    <w:p w14:paraId="16FAC7F6" w14:textId="77777777" w:rsidR="004C3823" w:rsidRDefault="004C3823" w:rsidP="0031312E">
      <w:pPr>
        <w:spacing w:after="0" w:line="240" w:lineRule="auto"/>
        <w:rPr>
          <w:rFonts w:eastAsia="Times New Roman" w:cstheme="minorHAnsi"/>
          <w:color w:val="000000"/>
          <w:sz w:val="24"/>
          <w:szCs w:val="24"/>
          <w:lang w:eastAsia="ja-JP"/>
        </w:rPr>
      </w:pPr>
    </w:p>
    <w:p w14:paraId="2DD5D759" w14:textId="77777777" w:rsidR="004C3823" w:rsidRDefault="004C3823" w:rsidP="0031312E">
      <w:pPr>
        <w:spacing w:after="0" w:line="240" w:lineRule="auto"/>
        <w:rPr>
          <w:rFonts w:eastAsia="Times New Roman" w:cstheme="minorHAnsi"/>
          <w:color w:val="000000"/>
          <w:sz w:val="24"/>
          <w:szCs w:val="24"/>
          <w:lang w:eastAsia="ja-JP"/>
        </w:rPr>
      </w:pPr>
    </w:p>
    <w:p w14:paraId="7FB346E6" w14:textId="77777777" w:rsidR="004C3823" w:rsidRDefault="004C3823" w:rsidP="0031312E">
      <w:pPr>
        <w:spacing w:after="0" w:line="240" w:lineRule="auto"/>
        <w:rPr>
          <w:rFonts w:eastAsia="Times New Roman" w:cstheme="minorHAnsi"/>
          <w:color w:val="000000"/>
          <w:sz w:val="24"/>
          <w:szCs w:val="24"/>
          <w:lang w:eastAsia="ja-JP"/>
        </w:rPr>
      </w:pPr>
    </w:p>
    <w:p w14:paraId="1BB3D008" w14:textId="77777777" w:rsidR="004C3823" w:rsidRDefault="004C3823" w:rsidP="0031312E">
      <w:pPr>
        <w:spacing w:after="0" w:line="240" w:lineRule="auto"/>
        <w:rPr>
          <w:rFonts w:eastAsia="Times New Roman" w:cstheme="minorHAnsi"/>
          <w:color w:val="000000"/>
          <w:sz w:val="24"/>
          <w:szCs w:val="24"/>
          <w:lang w:eastAsia="ja-JP"/>
        </w:rPr>
      </w:pPr>
    </w:p>
    <w:p w14:paraId="5C407ABA" w14:textId="77777777" w:rsidR="004C3823" w:rsidRDefault="004C3823" w:rsidP="0031312E">
      <w:pPr>
        <w:spacing w:after="0" w:line="240" w:lineRule="auto"/>
        <w:rPr>
          <w:rFonts w:eastAsia="Times New Roman" w:cstheme="minorHAnsi"/>
          <w:color w:val="000000"/>
          <w:sz w:val="24"/>
          <w:szCs w:val="24"/>
          <w:lang w:eastAsia="ja-JP"/>
        </w:rPr>
      </w:pPr>
    </w:p>
    <w:p w14:paraId="30B117C6" w14:textId="77777777" w:rsidR="004C3823" w:rsidRDefault="004C3823" w:rsidP="0031312E">
      <w:pPr>
        <w:spacing w:after="0" w:line="240" w:lineRule="auto"/>
        <w:rPr>
          <w:rFonts w:eastAsia="Times New Roman" w:cstheme="minorHAnsi"/>
          <w:color w:val="000000"/>
          <w:sz w:val="24"/>
          <w:szCs w:val="24"/>
          <w:lang w:eastAsia="ja-JP"/>
        </w:rPr>
      </w:pPr>
    </w:p>
    <w:p w14:paraId="14E9D77B" w14:textId="77777777" w:rsidR="004C3823" w:rsidRDefault="004C3823" w:rsidP="0031312E">
      <w:pPr>
        <w:spacing w:after="0" w:line="240" w:lineRule="auto"/>
        <w:rPr>
          <w:rFonts w:eastAsia="Times New Roman" w:cstheme="minorHAnsi"/>
          <w:color w:val="000000"/>
          <w:sz w:val="24"/>
          <w:szCs w:val="24"/>
          <w:lang w:eastAsia="ja-JP"/>
        </w:rPr>
      </w:pPr>
    </w:p>
    <w:p w14:paraId="69FC4746" w14:textId="77777777" w:rsidR="004C3823" w:rsidRDefault="004C3823" w:rsidP="0031312E">
      <w:pPr>
        <w:spacing w:after="0" w:line="240" w:lineRule="auto"/>
        <w:rPr>
          <w:rFonts w:eastAsia="Times New Roman" w:cstheme="minorHAnsi"/>
          <w:color w:val="000000"/>
          <w:sz w:val="24"/>
          <w:szCs w:val="24"/>
          <w:lang w:eastAsia="ja-JP"/>
        </w:rPr>
      </w:pPr>
    </w:p>
    <w:p w14:paraId="0E472E1C" w14:textId="77777777" w:rsidR="004C3823" w:rsidRDefault="004C3823" w:rsidP="0031312E">
      <w:pPr>
        <w:spacing w:after="0" w:line="240" w:lineRule="auto"/>
        <w:rPr>
          <w:rFonts w:eastAsia="Times New Roman" w:cstheme="minorHAnsi"/>
          <w:color w:val="000000"/>
          <w:sz w:val="24"/>
          <w:szCs w:val="24"/>
          <w:lang w:eastAsia="ja-JP"/>
        </w:rPr>
      </w:pPr>
    </w:p>
    <w:p w14:paraId="5BC0AE4E" w14:textId="77777777" w:rsidR="004C3823" w:rsidRDefault="004C3823" w:rsidP="0031312E">
      <w:pPr>
        <w:spacing w:after="0" w:line="240" w:lineRule="auto"/>
        <w:rPr>
          <w:rFonts w:eastAsia="Times New Roman" w:cstheme="minorHAnsi"/>
          <w:color w:val="000000"/>
          <w:sz w:val="24"/>
          <w:szCs w:val="24"/>
          <w:lang w:eastAsia="ja-JP"/>
        </w:rPr>
      </w:pPr>
    </w:p>
    <w:p w14:paraId="09EBC0C7" w14:textId="77777777" w:rsidR="004C3823" w:rsidRDefault="004C3823" w:rsidP="0031312E">
      <w:pPr>
        <w:spacing w:after="0" w:line="240" w:lineRule="auto"/>
        <w:rPr>
          <w:rFonts w:eastAsia="Times New Roman" w:cstheme="minorHAnsi"/>
          <w:color w:val="000000"/>
          <w:sz w:val="24"/>
          <w:szCs w:val="24"/>
          <w:lang w:eastAsia="ja-JP"/>
        </w:rPr>
      </w:pPr>
    </w:p>
    <w:p w14:paraId="344F4EFC" w14:textId="77777777" w:rsidR="004C3823" w:rsidRDefault="004C3823" w:rsidP="0031312E">
      <w:pPr>
        <w:spacing w:after="0" w:line="240" w:lineRule="auto"/>
        <w:rPr>
          <w:rFonts w:eastAsia="Times New Roman" w:cstheme="minorHAnsi"/>
          <w:color w:val="000000"/>
          <w:sz w:val="24"/>
          <w:szCs w:val="24"/>
          <w:lang w:eastAsia="ja-JP"/>
        </w:rPr>
      </w:pPr>
    </w:p>
    <w:p w14:paraId="6195F854" w14:textId="77777777" w:rsidR="004C3823" w:rsidRDefault="004C3823" w:rsidP="0031312E">
      <w:pPr>
        <w:spacing w:after="0" w:line="240" w:lineRule="auto"/>
        <w:rPr>
          <w:rFonts w:eastAsia="Times New Roman" w:cstheme="minorHAnsi"/>
          <w:color w:val="000000"/>
          <w:sz w:val="24"/>
          <w:szCs w:val="24"/>
          <w:lang w:eastAsia="ja-JP"/>
        </w:rPr>
      </w:pPr>
    </w:p>
    <w:p w14:paraId="5164A61A" w14:textId="77777777" w:rsidR="004C3823" w:rsidRDefault="004C3823" w:rsidP="0031312E">
      <w:pPr>
        <w:spacing w:after="0" w:line="240" w:lineRule="auto"/>
        <w:rPr>
          <w:rFonts w:eastAsia="Times New Roman" w:cstheme="minorHAnsi"/>
          <w:color w:val="000000"/>
          <w:sz w:val="24"/>
          <w:szCs w:val="24"/>
          <w:lang w:eastAsia="ja-JP"/>
        </w:rPr>
      </w:pPr>
    </w:p>
    <w:p w14:paraId="1D450964" w14:textId="77777777" w:rsidR="004C3823" w:rsidRDefault="004C3823" w:rsidP="0031312E">
      <w:pPr>
        <w:spacing w:after="0" w:line="240" w:lineRule="auto"/>
        <w:rPr>
          <w:rFonts w:eastAsia="Times New Roman" w:cstheme="minorHAnsi"/>
          <w:color w:val="000000"/>
          <w:sz w:val="24"/>
          <w:szCs w:val="24"/>
          <w:lang w:eastAsia="ja-JP"/>
        </w:rPr>
      </w:pPr>
    </w:p>
    <w:p w14:paraId="7C8601EA" w14:textId="77777777" w:rsidR="004C3823" w:rsidRDefault="004C3823" w:rsidP="0031312E">
      <w:pPr>
        <w:spacing w:after="0" w:line="240" w:lineRule="auto"/>
        <w:rPr>
          <w:rFonts w:eastAsia="Times New Roman" w:cstheme="minorHAnsi"/>
          <w:color w:val="000000"/>
          <w:sz w:val="24"/>
          <w:szCs w:val="24"/>
          <w:lang w:eastAsia="ja-JP"/>
        </w:rPr>
      </w:pPr>
    </w:p>
    <w:p w14:paraId="3C045DE0" w14:textId="77777777" w:rsidR="004C3823" w:rsidRDefault="004C3823" w:rsidP="0031312E">
      <w:pPr>
        <w:spacing w:after="0" w:line="240" w:lineRule="auto"/>
        <w:rPr>
          <w:rFonts w:eastAsia="Times New Roman" w:cstheme="minorHAnsi"/>
          <w:color w:val="000000"/>
          <w:sz w:val="24"/>
          <w:szCs w:val="24"/>
          <w:lang w:eastAsia="ja-JP"/>
        </w:rPr>
      </w:pPr>
    </w:p>
    <w:p w14:paraId="0E923B8F" w14:textId="77777777" w:rsidR="004C3823" w:rsidRDefault="004C3823" w:rsidP="0031312E">
      <w:pPr>
        <w:spacing w:after="0" w:line="240" w:lineRule="auto"/>
        <w:rPr>
          <w:rFonts w:eastAsia="Times New Roman" w:cstheme="minorHAnsi"/>
          <w:color w:val="000000"/>
          <w:sz w:val="24"/>
          <w:szCs w:val="24"/>
          <w:lang w:eastAsia="ja-JP"/>
        </w:rPr>
      </w:pPr>
    </w:p>
    <w:p w14:paraId="1B03A6FB" w14:textId="77777777" w:rsidR="004C3823" w:rsidRDefault="004C3823" w:rsidP="0031312E">
      <w:pPr>
        <w:spacing w:after="0" w:line="240" w:lineRule="auto"/>
        <w:rPr>
          <w:rFonts w:eastAsia="Times New Roman" w:cstheme="minorHAnsi"/>
          <w:color w:val="000000"/>
          <w:sz w:val="24"/>
          <w:szCs w:val="24"/>
          <w:lang w:eastAsia="ja-JP"/>
        </w:rPr>
      </w:pPr>
    </w:p>
    <w:p w14:paraId="7629B057" w14:textId="77777777" w:rsidR="004C3823" w:rsidRDefault="004C3823" w:rsidP="0031312E">
      <w:pPr>
        <w:spacing w:after="0" w:line="240" w:lineRule="auto"/>
        <w:rPr>
          <w:rFonts w:eastAsia="Times New Roman" w:cstheme="minorHAnsi"/>
          <w:color w:val="000000"/>
          <w:sz w:val="24"/>
          <w:szCs w:val="24"/>
          <w:lang w:eastAsia="ja-JP"/>
        </w:rPr>
      </w:pPr>
    </w:p>
    <w:p w14:paraId="385EEC8C" w14:textId="77777777" w:rsidR="004C3823" w:rsidRDefault="004C3823" w:rsidP="0031312E">
      <w:pPr>
        <w:spacing w:after="0" w:line="240" w:lineRule="auto"/>
        <w:rPr>
          <w:rFonts w:eastAsia="Times New Roman" w:cstheme="minorHAnsi"/>
          <w:color w:val="000000"/>
          <w:sz w:val="24"/>
          <w:szCs w:val="24"/>
          <w:lang w:eastAsia="ja-JP"/>
        </w:rPr>
      </w:pPr>
    </w:p>
    <w:p w14:paraId="2CA582EA" w14:textId="77777777" w:rsidR="004C3823" w:rsidRPr="005871FB" w:rsidRDefault="004C3823" w:rsidP="001E7F25">
      <w:pPr>
        <w:spacing w:after="0" w:line="240" w:lineRule="auto"/>
        <w:rPr>
          <w:rFonts w:eastAsia="Times New Roman" w:cstheme="minorHAnsi"/>
          <w:color w:val="000000"/>
          <w:sz w:val="24"/>
          <w:szCs w:val="24"/>
          <w:lang w:eastAsia="ja-JP"/>
        </w:rPr>
      </w:pPr>
    </w:p>
    <w:p w14:paraId="649C0C7E"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lastRenderedPageBreak/>
        <w:t>3.1 Abstract</w:t>
      </w:r>
    </w:p>
    <w:p w14:paraId="51983489" w14:textId="77777777" w:rsidR="004C3823" w:rsidRDefault="004C3823" w:rsidP="005871FB">
      <w:pPr>
        <w:spacing w:line="480" w:lineRule="auto"/>
        <w:ind w:firstLine="360"/>
        <w:rPr>
          <w:rFonts w:cstheme="minorHAnsi"/>
          <w:sz w:val="24"/>
          <w:szCs w:val="24"/>
        </w:rPr>
      </w:pPr>
      <w:r w:rsidRPr="005871FB">
        <w:rPr>
          <w:rFonts w:cstheme="minorHAnsi"/>
          <w:sz w:val="24"/>
          <w:szCs w:val="24"/>
        </w:rPr>
        <w:t>The increased earthquake risk in a growing society is always prevalent</w:t>
      </w:r>
      <w:r>
        <w:rPr>
          <w:rFonts w:cstheme="minorHAnsi"/>
          <w:sz w:val="24"/>
          <w:szCs w:val="24"/>
        </w:rPr>
        <w:t xml:space="preserve"> and a</w:t>
      </w:r>
      <w:r w:rsidRPr="005871FB">
        <w:rPr>
          <w:rFonts w:cstheme="minorHAnsi"/>
          <w:sz w:val="24"/>
          <w:szCs w:val="24"/>
        </w:rPr>
        <w:t>lthough Oklahoma is not known for large and damaging earthquakes</w:t>
      </w:r>
      <w:r>
        <w:rPr>
          <w:rFonts w:cstheme="minorHAnsi"/>
          <w:sz w:val="24"/>
          <w:szCs w:val="24"/>
        </w:rPr>
        <w:t>, in the last decade it has experienced a more than 100-fold increase in smaller seismicity and the occasional moderate</w:t>
      </w:r>
      <w:r w:rsidRPr="005871FB">
        <w:rPr>
          <w:rFonts w:cstheme="minorHAnsi"/>
          <w:sz w:val="24"/>
          <w:szCs w:val="24"/>
        </w:rPr>
        <w:t xml:space="preserve"> magnitude </w:t>
      </w:r>
      <w:r>
        <w:rPr>
          <w:rFonts w:cstheme="minorHAnsi"/>
          <w:sz w:val="24"/>
          <w:szCs w:val="24"/>
        </w:rPr>
        <w:t xml:space="preserve">damaging </w:t>
      </w:r>
      <w:r w:rsidRPr="005871FB">
        <w:rPr>
          <w:rFonts w:cstheme="minorHAnsi"/>
          <w:sz w:val="24"/>
          <w:szCs w:val="24"/>
        </w:rPr>
        <w:t>earthquake</w:t>
      </w:r>
      <w:r>
        <w:rPr>
          <w:rFonts w:cstheme="minorHAnsi"/>
          <w:sz w:val="24"/>
          <w:szCs w:val="24"/>
        </w:rPr>
        <w:t>.</w:t>
      </w:r>
      <w:r w:rsidRPr="005871FB">
        <w:rPr>
          <w:rFonts w:cstheme="minorHAnsi"/>
          <w:sz w:val="24"/>
          <w:szCs w:val="24"/>
        </w:rPr>
        <w:t xml:space="preserve">  </w:t>
      </w:r>
      <w:r>
        <w:rPr>
          <w:rFonts w:cstheme="minorHAnsi"/>
          <w:sz w:val="24"/>
          <w:szCs w:val="24"/>
        </w:rPr>
        <w:t>Though the frequent small</w:t>
      </w:r>
      <w:r w:rsidRPr="005871FB">
        <w:rPr>
          <w:rFonts w:cstheme="minorHAnsi"/>
          <w:sz w:val="24"/>
          <w:szCs w:val="24"/>
        </w:rPr>
        <w:t xml:space="preserve"> events present themselves as mostly nuisance earthquakes, </w:t>
      </w:r>
      <w:r>
        <w:rPr>
          <w:rFonts w:cstheme="minorHAnsi"/>
          <w:sz w:val="24"/>
          <w:szCs w:val="24"/>
        </w:rPr>
        <w:t>they are still</w:t>
      </w:r>
      <w:r w:rsidRPr="005871FB">
        <w:rPr>
          <w:rFonts w:cstheme="minorHAnsi"/>
          <w:sz w:val="24"/>
          <w:szCs w:val="24"/>
        </w:rPr>
        <w:t xml:space="preserve"> influenced by site response that influences seismic damage and loss in urban areas. It is crucial to identify site characteristics like resonance frequency in Oklahoma at a high spatial resolution to account for site response, enhance our understanding of the destructive ground motion produced in earthquakes, and develop better seismic hazard assessment and mitigation in developed areas. We monitor</w:t>
      </w:r>
      <w:r>
        <w:rPr>
          <w:rFonts w:cstheme="minorHAnsi"/>
          <w:sz w:val="24"/>
          <w:szCs w:val="24"/>
        </w:rPr>
        <w:t>ed</w:t>
      </w:r>
      <w:r w:rsidRPr="005871FB">
        <w:rPr>
          <w:rFonts w:cstheme="minorHAnsi"/>
          <w:sz w:val="24"/>
          <w:szCs w:val="24"/>
        </w:rPr>
        <w:t xml:space="preserve"> an East-West transect near Enid, Oklahoma using two emerging instrument types, nodal sensors and distributed acoustic sensing for a high</w:t>
      </w:r>
      <w:r>
        <w:rPr>
          <w:rFonts w:cstheme="minorHAnsi"/>
          <w:sz w:val="24"/>
          <w:szCs w:val="24"/>
        </w:rPr>
        <w:t>er</w:t>
      </w:r>
      <w:r w:rsidRPr="005871FB">
        <w:rPr>
          <w:rFonts w:cstheme="minorHAnsi"/>
          <w:sz w:val="24"/>
          <w:szCs w:val="24"/>
        </w:rPr>
        <w:t xml:space="preserve"> spatial resolution understanding of site response. We compare the two instrument types to identify their strengths and weaknesses while in use. Finally, we measure site</w:t>
      </w:r>
      <w:r>
        <w:rPr>
          <w:rFonts w:cstheme="minorHAnsi"/>
          <w:sz w:val="24"/>
          <w:szCs w:val="24"/>
        </w:rPr>
        <w:t>-</w:t>
      </w:r>
      <w:r w:rsidRPr="005871FB">
        <w:rPr>
          <w:rFonts w:cstheme="minorHAnsi"/>
          <w:sz w:val="24"/>
          <w:szCs w:val="24"/>
        </w:rPr>
        <w:t>specific fundamental frequencies where domina</w:t>
      </w:r>
      <w:r>
        <w:rPr>
          <w:rFonts w:cstheme="minorHAnsi"/>
          <w:sz w:val="24"/>
          <w:szCs w:val="24"/>
        </w:rPr>
        <w:t>nt</w:t>
      </w:r>
      <w:r w:rsidRPr="005871FB">
        <w:rPr>
          <w:rFonts w:cstheme="minorHAnsi"/>
          <w:sz w:val="24"/>
          <w:szCs w:val="24"/>
        </w:rPr>
        <w:t xml:space="preserve"> peak fundamental frequencies are approximately 1Hz along the transect and estimate resonating layers using an existing velocity model.</w:t>
      </w:r>
    </w:p>
    <w:p w14:paraId="572441C9" w14:textId="77777777" w:rsidR="004C3823" w:rsidRDefault="004C3823" w:rsidP="005871FB">
      <w:pPr>
        <w:spacing w:line="480" w:lineRule="auto"/>
        <w:ind w:firstLine="360"/>
        <w:rPr>
          <w:rFonts w:cstheme="minorHAnsi"/>
          <w:sz w:val="24"/>
          <w:szCs w:val="24"/>
        </w:rPr>
      </w:pPr>
    </w:p>
    <w:p w14:paraId="24FCA9F1" w14:textId="77777777" w:rsidR="004C3823" w:rsidRDefault="004C3823" w:rsidP="005871FB">
      <w:pPr>
        <w:spacing w:line="480" w:lineRule="auto"/>
        <w:ind w:firstLine="360"/>
        <w:rPr>
          <w:rFonts w:cstheme="minorHAnsi"/>
          <w:sz w:val="24"/>
          <w:szCs w:val="24"/>
        </w:rPr>
      </w:pPr>
    </w:p>
    <w:p w14:paraId="0C1047F0" w14:textId="77777777" w:rsidR="004C3823" w:rsidRDefault="004C3823" w:rsidP="005871FB">
      <w:pPr>
        <w:spacing w:line="480" w:lineRule="auto"/>
        <w:ind w:firstLine="360"/>
        <w:rPr>
          <w:rFonts w:cstheme="minorHAnsi"/>
          <w:sz w:val="24"/>
          <w:szCs w:val="24"/>
        </w:rPr>
      </w:pPr>
    </w:p>
    <w:p w14:paraId="67A47D4E" w14:textId="77777777" w:rsidR="004C3823" w:rsidRPr="005871FB" w:rsidRDefault="004C3823" w:rsidP="005871FB">
      <w:pPr>
        <w:spacing w:line="480" w:lineRule="auto"/>
        <w:ind w:firstLine="360"/>
        <w:rPr>
          <w:rFonts w:cstheme="minorHAnsi"/>
          <w:b/>
          <w:bCs/>
          <w:sz w:val="24"/>
          <w:szCs w:val="24"/>
        </w:rPr>
      </w:pPr>
    </w:p>
    <w:p w14:paraId="2C67FF3D" w14:textId="77777777" w:rsidR="004C3823" w:rsidRPr="005871FB" w:rsidRDefault="004C3823" w:rsidP="004C3823">
      <w:pPr>
        <w:pStyle w:val="ListParagraph"/>
        <w:numPr>
          <w:ilvl w:val="1"/>
          <w:numId w:val="15"/>
        </w:numPr>
        <w:spacing w:line="480" w:lineRule="auto"/>
        <w:ind w:left="360"/>
        <w:rPr>
          <w:rFonts w:cstheme="minorHAnsi"/>
          <w:b/>
          <w:bCs/>
          <w:sz w:val="24"/>
          <w:szCs w:val="24"/>
        </w:rPr>
      </w:pPr>
      <w:r w:rsidRPr="005871FB">
        <w:rPr>
          <w:rFonts w:cstheme="minorHAnsi"/>
          <w:b/>
          <w:bCs/>
          <w:sz w:val="24"/>
          <w:szCs w:val="24"/>
        </w:rPr>
        <w:lastRenderedPageBreak/>
        <w:t>Introduction: Environmental and earthquake monitoring</w:t>
      </w:r>
    </w:p>
    <w:p w14:paraId="2CB7A233" w14:textId="77777777" w:rsidR="004C3823" w:rsidRDefault="004C3823" w:rsidP="005871FB">
      <w:pPr>
        <w:spacing w:line="480" w:lineRule="auto"/>
        <w:ind w:firstLine="360"/>
        <w:rPr>
          <w:rFonts w:cstheme="minorHAnsi"/>
          <w:sz w:val="24"/>
          <w:szCs w:val="24"/>
        </w:rPr>
      </w:pPr>
      <w:r w:rsidRPr="005871FB">
        <w:rPr>
          <w:rFonts w:cstheme="minorHAnsi"/>
          <w:sz w:val="24"/>
          <w:szCs w:val="24"/>
        </w:rPr>
        <w:t xml:space="preserve">The high resource demand from a growing society has driven the development of infrastructure and residential buildings to accommodate the increased population density in many cities much like those in the state of Oklahoma. In Oklahoma, earthquake hazard is an increasing concern linked to the increase in wastewater injection (Ellsworth, 2013; Keranen et al., 2014) with </w:t>
      </w:r>
      <w:r>
        <w:rPr>
          <w:rFonts w:cstheme="minorHAnsi"/>
          <w:sz w:val="24"/>
          <w:szCs w:val="24"/>
        </w:rPr>
        <w:t xml:space="preserve">three </w:t>
      </w:r>
      <w:r w:rsidRPr="005871FB">
        <w:rPr>
          <w:rFonts w:cstheme="minorHAnsi"/>
          <w:sz w:val="24"/>
          <w:szCs w:val="24"/>
        </w:rPr>
        <w:t xml:space="preserve">events larger than M5 occurring within the last decade. Few of these occurred on known faults as shown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 xml:space="preserve">1. </w:t>
      </w:r>
      <w:r w:rsidRPr="005871FB">
        <w:rPr>
          <w:rFonts w:cstheme="minorHAnsi"/>
          <w:sz w:val="24"/>
          <w:szCs w:val="24"/>
        </w:rPr>
        <w:t>However, most events occur on unmapped faults (</w:t>
      </w:r>
      <w:proofErr w:type="spellStart"/>
      <w:r w:rsidRPr="005871FB">
        <w:rPr>
          <w:rFonts w:cstheme="minorHAnsi"/>
          <w:sz w:val="24"/>
          <w:szCs w:val="24"/>
        </w:rPr>
        <w:t>Schoenball</w:t>
      </w:r>
      <w:proofErr w:type="spellEnd"/>
      <w:r w:rsidRPr="005871FB">
        <w:rPr>
          <w:rFonts w:cstheme="minorHAnsi"/>
          <w:sz w:val="24"/>
          <w:szCs w:val="24"/>
        </w:rPr>
        <w:t xml:space="preserve"> and Ellsworth, 2017a; Qin et al., 2019) which led to deployments of dense seismic arrays to monitor and manage the growing earthquake hazard in the region. In some cases, dense seismic arrays were deployed to monitor the increasing activity. A dense seismic array consists of multiple closely spaced seismic sensors that are strategically placed to monitor ground motion and seismic waves. These typically consist of nodal sensors, a self-contained data</w:t>
      </w:r>
      <w:r>
        <w:rPr>
          <w:rFonts w:cstheme="minorHAnsi"/>
          <w:sz w:val="24"/>
          <w:szCs w:val="24"/>
        </w:rPr>
        <w:t xml:space="preserve"> </w:t>
      </w:r>
      <w:r w:rsidRPr="005871FB">
        <w:rPr>
          <w:rFonts w:cstheme="minorHAnsi"/>
          <w:sz w:val="24"/>
          <w:szCs w:val="24"/>
        </w:rPr>
        <w:t>logger</w:t>
      </w:r>
      <w:r>
        <w:rPr>
          <w:rFonts w:cstheme="minorHAnsi"/>
          <w:sz w:val="24"/>
          <w:szCs w:val="24"/>
        </w:rPr>
        <w:t xml:space="preserve">, a </w:t>
      </w:r>
      <w:r w:rsidRPr="005871FB">
        <w:rPr>
          <w:rFonts w:cstheme="minorHAnsi"/>
          <w:sz w:val="24"/>
          <w:szCs w:val="24"/>
        </w:rPr>
        <w:t>battery</w:t>
      </w:r>
      <w:r>
        <w:rPr>
          <w:rFonts w:cstheme="minorHAnsi"/>
          <w:sz w:val="24"/>
          <w:szCs w:val="24"/>
        </w:rPr>
        <w:t>, and</w:t>
      </w:r>
      <w:r w:rsidRPr="005871FB">
        <w:rPr>
          <w:rFonts w:cstheme="minorHAnsi"/>
          <w:sz w:val="24"/>
          <w:szCs w:val="24"/>
        </w:rPr>
        <w:t xml:space="preserve"> </w:t>
      </w:r>
      <w:r>
        <w:rPr>
          <w:rFonts w:cstheme="minorHAnsi"/>
          <w:sz w:val="24"/>
          <w:szCs w:val="24"/>
        </w:rPr>
        <w:t xml:space="preserve">a </w:t>
      </w:r>
      <w:r w:rsidRPr="005871FB">
        <w:rPr>
          <w:rFonts w:cstheme="minorHAnsi"/>
          <w:sz w:val="24"/>
          <w:szCs w:val="24"/>
        </w:rPr>
        <w:t>sensor, for wavefield experiments. Examples of high-density arrays using nodal sensors for wavefield monitoring</w:t>
      </w:r>
      <w:r>
        <w:rPr>
          <w:rFonts w:cstheme="minorHAnsi"/>
          <w:sz w:val="24"/>
          <w:szCs w:val="24"/>
        </w:rPr>
        <w:t xml:space="preserve"> include </w:t>
      </w:r>
      <w:r w:rsidRPr="005871FB">
        <w:rPr>
          <w:rFonts w:cstheme="minorHAnsi"/>
          <w:sz w:val="24"/>
          <w:szCs w:val="24"/>
        </w:rPr>
        <w:t xml:space="preserve">over 1800 nodal sensor </w:t>
      </w:r>
      <w:proofErr w:type="spellStart"/>
      <w:r w:rsidRPr="005871FB">
        <w:rPr>
          <w:rFonts w:cstheme="minorHAnsi"/>
          <w:sz w:val="24"/>
          <w:szCs w:val="24"/>
        </w:rPr>
        <w:t>LArge</w:t>
      </w:r>
      <w:proofErr w:type="spellEnd"/>
      <w:r w:rsidRPr="005871FB">
        <w:rPr>
          <w:rFonts w:cstheme="minorHAnsi"/>
          <w:sz w:val="24"/>
          <w:szCs w:val="24"/>
        </w:rPr>
        <w:t>-n Seismic Survey in Oklahoma (LASSO) array (Dougherty et al., 2019)</w:t>
      </w:r>
      <w:r>
        <w:rPr>
          <w:rFonts w:cstheme="minorHAnsi"/>
          <w:sz w:val="24"/>
          <w:szCs w:val="24"/>
        </w:rPr>
        <w:t xml:space="preserve">; the </w:t>
      </w:r>
      <w:r w:rsidRPr="005871FB">
        <w:rPr>
          <w:rFonts w:cstheme="minorHAnsi"/>
          <w:sz w:val="24"/>
          <w:szCs w:val="24"/>
        </w:rPr>
        <w:t>IRIS Community Wavefield Experiment in Oklahoma (Sweet et al., 2018) using 9 infrasound sensors, 18 broadband sensors, and 363 nodal sensors; and the Long Beach Dense array using 5200 nodal stations (Li et al., 2015). High</w:t>
      </w:r>
      <w:r>
        <w:rPr>
          <w:rFonts w:cstheme="minorHAnsi"/>
          <w:sz w:val="24"/>
          <w:szCs w:val="24"/>
        </w:rPr>
        <w:t>-</w:t>
      </w:r>
      <w:r w:rsidRPr="005871FB">
        <w:rPr>
          <w:rFonts w:cstheme="minorHAnsi"/>
          <w:sz w:val="24"/>
          <w:szCs w:val="24"/>
        </w:rPr>
        <w:t>density arrays such as the ones previously mentioned have been increasing in occurrence due to their improved imaging resolution</w:t>
      </w:r>
      <w:r>
        <w:rPr>
          <w:rFonts w:cstheme="minorHAnsi"/>
          <w:sz w:val="24"/>
          <w:szCs w:val="24"/>
        </w:rPr>
        <w:t xml:space="preserve"> and desire to capture the unaliased spatial wavefield from earthquake sources</w:t>
      </w:r>
      <w:r w:rsidRPr="005871FB">
        <w:rPr>
          <w:rFonts w:cstheme="minorHAnsi"/>
          <w:sz w:val="24"/>
          <w:szCs w:val="24"/>
        </w:rPr>
        <w:t xml:space="preserve">. </w:t>
      </w:r>
      <w:r>
        <w:rPr>
          <w:rFonts w:cstheme="minorHAnsi"/>
          <w:sz w:val="24"/>
          <w:szCs w:val="24"/>
        </w:rPr>
        <w:t>Amongst other insights, this</w:t>
      </w:r>
      <w:r w:rsidRPr="005871FB">
        <w:rPr>
          <w:rFonts w:cstheme="minorHAnsi"/>
          <w:sz w:val="24"/>
          <w:szCs w:val="24"/>
        </w:rPr>
        <w:t xml:space="preserve"> is useful for earthquake monitoring as it allows for precise and accurate detection, location, and characterization of seismic events that would not otherwise be possible with the existing regional network. By </w:t>
      </w:r>
      <w:r w:rsidRPr="005871FB">
        <w:rPr>
          <w:rFonts w:cstheme="minorHAnsi"/>
          <w:sz w:val="24"/>
          <w:szCs w:val="24"/>
        </w:rPr>
        <w:lastRenderedPageBreak/>
        <w:t xml:space="preserve">having a dense network of sensors, scientists can obtain high-resolution earthquake catalogs that, in part, provide </w:t>
      </w:r>
      <w:r>
        <w:rPr>
          <w:rFonts w:cstheme="minorHAnsi"/>
          <w:sz w:val="24"/>
          <w:szCs w:val="24"/>
        </w:rPr>
        <w:t xml:space="preserve">a </w:t>
      </w:r>
      <w:r w:rsidRPr="005871FB">
        <w:rPr>
          <w:rFonts w:cstheme="minorHAnsi"/>
          <w:sz w:val="24"/>
          <w:szCs w:val="24"/>
        </w:rPr>
        <w:t>better understanding of the underlying geological structures and processes that may trigger earthquakes.</w:t>
      </w:r>
    </w:p>
    <w:p w14:paraId="1BD64C9B" w14:textId="77777777" w:rsidR="004C3823" w:rsidRDefault="004C3823" w:rsidP="005871FB">
      <w:pPr>
        <w:spacing w:line="480" w:lineRule="auto"/>
        <w:ind w:firstLine="360"/>
        <w:rPr>
          <w:rFonts w:cstheme="minorHAnsi"/>
          <w:sz w:val="24"/>
          <w:szCs w:val="24"/>
        </w:rPr>
      </w:pPr>
      <w:r>
        <w:rPr>
          <w:rFonts w:cstheme="minorHAnsi"/>
          <w:sz w:val="24"/>
          <w:szCs w:val="24"/>
        </w:rPr>
        <w:t xml:space="preserve">It is important to understand the local geology in present-day Oklahoma in any seismological survey, to make connections and bridge the knowledge gap between the convoluted geologic and </w:t>
      </w:r>
      <w:proofErr w:type="spellStart"/>
      <w:r>
        <w:rPr>
          <w:rFonts w:cstheme="minorHAnsi"/>
          <w:sz w:val="24"/>
          <w:szCs w:val="24"/>
        </w:rPr>
        <w:t>seismo</w:t>
      </w:r>
      <w:proofErr w:type="spellEnd"/>
      <w:r>
        <w:rPr>
          <w:rFonts w:cstheme="minorHAnsi"/>
          <w:sz w:val="24"/>
          <w:szCs w:val="24"/>
        </w:rPr>
        <w:t xml:space="preserve">-tectonic history of the region. </w:t>
      </w:r>
      <w:r w:rsidRPr="00707053">
        <w:rPr>
          <w:rFonts w:cstheme="minorHAnsi"/>
          <w:sz w:val="24"/>
          <w:szCs w:val="24"/>
        </w:rPr>
        <w:t>The Oklahoma crust</w:t>
      </w:r>
      <w:r>
        <w:rPr>
          <w:rFonts w:cstheme="minorHAnsi"/>
          <w:sz w:val="24"/>
          <w:szCs w:val="24"/>
        </w:rPr>
        <w:t>, much like other areas of the North American craton,</w:t>
      </w:r>
      <w:r w:rsidRPr="00707053">
        <w:rPr>
          <w:rFonts w:cstheme="minorHAnsi"/>
          <w:sz w:val="24"/>
          <w:szCs w:val="24"/>
        </w:rPr>
        <w:t xml:space="preserve"> is the resul</w:t>
      </w:r>
      <w:r>
        <w:rPr>
          <w:rFonts w:cstheme="minorHAnsi"/>
          <w:sz w:val="24"/>
          <w:szCs w:val="24"/>
        </w:rPr>
        <w:t xml:space="preserve">t </w:t>
      </w:r>
      <w:r w:rsidRPr="00707053">
        <w:rPr>
          <w:rFonts w:cstheme="minorHAnsi"/>
          <w:sz w:val="24"/>
          <w:szCs w:val="24"/>
        </w:rPr>
        <w:t xml:space="preserve">of multiple tectonic activities </w:t>
      </w:r>
      <w:r>
        <w:rPr>
          <w:rFonts w:cstheme="minorHAnsi"/>
          <w:sz w:val="24"/>
          <w:szCs w:val="24"/>
        </w:rPr>
        <w:t xml:space="preserve">that were especially active </w:t>
      </w:r>
      <w:r w:rsidRPr="00707053">
        <w:rPr>
          <w:rFonts w:cstheme="minorHAnsi"/>
          <w:sz w:val="24"/>
          <w:szCs w:val="24"/>
        </w:rPr>
        <w:t xml:space="preserve">between the Proterozoic and Cambrian </w:t>
      </w:r>
      <w:r>
        <w:rPr>
          <w:rFonts w:cstheme="minorHAnsi"/>
          <w:sz w:val="24"/>
          <w:szCs w:val="24"/>
        </w:rPr>
        <w:t>(</w:t>
      </w:r>
      <w:proofErr w:type="spellStart"/>
      <w:r w:rsidRPr="00707053">
        <w:rPr>
          <w:rFonts w:cstheme="minorHAnsi"/>
          <w:sz w:val="24"/>
          <w:szCs w:val="24"/>
        </w:rPr>
        <w:t>Whitneyer</w:t>
      </w:r>
      <w:proofErr w:type="spellEnd"/>
      <w:r>
        <w:rPr>
          <w:rFonts w:cstheme="minorHAnsi"/>
          <w:sz w:val="24"/>
          <w:szCs w:val="24"/>
        </w:rPr>
        <w:t xml:space="preserve"> and Karlstrom, </w:t>
      </w:r>
      <w:r w:rsidRPr="00707053">
        <w:rPr>
          <w:rFonts w:cstheme="minorHAnsi"/>
          <w:sz w:val="24"/>
          <w:szCs w:val="24"/>
        </w:rPr>
        <w:t>2007</w:t>
      </w:r>
      <w:r>
        <w:rPr>
          <w:rFonts w:cstheme="minorHAnsi"/>
          <w:sz w:val="24"/>
          <w:szCs w:val="24"/>
        </w:rPr>
        <w:t>)</w:t>
      </w:r>
      <w:r w:rsidRPr="00707053">
        <w:rPr>
          <w:rFonts w:cstheme="minorHAnsi"/>
          <w:sz w:val="24"/>
          <w:szCs w:val="24"/>
        </w:rPr>
        <w:t xml:space="preserve">. </w:t>
      </w:r>
      <w:r>
        <w:rPr>
          <w:rFonts w:cstheme="minorHAnsi"/>
          <w:sz w:val="24"/>
          <w:szCs w:val="24"/>
        </w:rPr>
        <w:t xml:space="preserve">The location of our study is east of the southern extent of the Nemaha uplift. </w:t>
      </w:r>
      <w:r w:rsidRPr="00707053">
        <w:rPr>
          <w:rFonts w:cstheme="minorHAnsi"/>
          <w:sz w:val="24"/>
          <w:szCs w:val="24"/>
        </w:rPr>
        <w:t>The</w:t>
      </w:r>
      <w:r>
        <w:rPr>
          <w:rFonts w:cstheme="minorHAnsi"/>
          <w:sz w:val="24"/>
          <w:szCs w:val="24"/>
        </w:rPr>
        <w:t xml:space="preserve"> Nemaha uplift, a</w:t>
      </w:r>
      <w:r w:rsidRPr="00707053">
        <w:rPr>
          <w:rFonts w:cstheme="minorHAnsi"/>
          <w:sz w:val="24"/>
          <w:szCs w:val="24"/>
        </w:rPr>
        <w:t xml:space="preserve"> narrow paleo structural feature </w:t>
      </w:r>
      <w:r>
        <w:rPr>
          <w:rFonts w:cstheme="minorHAnsi"/>
          <w:sz w:val="24"/>
          <w:szCs w:val="24"/>
        </w:rPr>
        <w:t xml:space="preserve">that </w:t>
      </w:r>
      <w:r w:rsidRPr="00707053">
        <w:rPr>
          <w:rFonts w:cstheme="minorHAnsi"/>
          <w:sz w:val="24"/>
          <w:szCs w:val="24"/>
        </w:rPr>
        <w:t xml:space="preserve">stretches from southeastern Nebraska to </w:t>
      </w:r>
      <w:r>
        <w:rPr>
          <w:rFonts w:cstheme="minorHAnsi"/>
          <w:sz w:val="24"/>
          <w:szCs w:val="24"/>
        </w:rPr>
        <w:t>C</w:t>
      </w:r>
      <w:r w:rsidRPr="00707053">
        <w:rPr>
          <w:rFonts w:cstheme="minorHAnsi"/>
          <w:sz w:val="24"/>
          <w:szCs w:val="24"/>
        </w:rPr>
        <w:t xml:space="preserve">entral </w:t>
      </w:r>
      <w:r>
        <w:rPr>
          <w:rFonts w:cstheme="minorHAnsi"/>
          <w:sz w:val="24"/>
          <w:szCs w:val="24"/>
        </w:rPr>
        <w:t xml:space="preserve">Oklahoma, </w:t>
      </w:r>
      <w:r w:rsidRPr="00707053">
        <w:rPr>
          <w:rFonts w:cstheme="minorHAnsi"/>
          <w:sz w:val="24"/>
          <w:szCs w:val="24"/>
        </w:rPr>
        <w:t>is 500 miles in length at 80 miles at its widest point. The structural history of the Nemaha uplift has repeated periods of regional warping, uplift</w:t>
      </w:r>
      <w:r>
        <w:rPr>
          <w:rFonts w:cstheme="minorHAnsi"/>
          <w:sz w:val="24"/>
          <w:szCs w:val="24"/>
        </w:rPr>
        <w:t>,</w:t>
      </w:r>
      <w:r w:rsidRPr="00707053">
        <w:rPr>
          <w:rFonts w:cstheme="minorHAnsi"/>
          <w:sz w:val="24"/>
          <w:szCs w:val="24"/>
        </w:rPr>
        <w:t xml:space="preserve"> and erosion sep</w:t>
      </w:r>
      <w:r>
        <w:rPr>
          <w:rFonts w:cstheme="minorHAnsi"/>
          <w:sz w:val="24"/>
          <w:szCs w:val="24"/>
        </w:rPr>
        <w:t>a</w:t>
      </w:r>
      <w:r w:rsidRPr="00707053">
        <w:rPr>
          <w:rFonts w:cstheme="minorHAnsi"/>
          <w:sz w:val="24"/>
          <w:szCs w:val="24"/>
        </w:rPr>
        <w:t>rated by periods of marine shelf sedimentation. The Nemaha uplift is a composite of several complex elements and features of sep</w:t>
      </w:r>
      <w:r>
        <w:rPr>
          <w:rFonts w:cstheme="minorHAnsi"/>
          <w:sz w:val="24"/>
          <w:szCs w:val="24"/>
        </w:rPr>
        <w:t>a</w:t>
      </w:r>
      <w:r w:rsidRPr="00707053">
        <w:rPr>
          <w:rFonts w:cstheme="minorHAnsi"/>
          <w:sz w:val="24"/>
          <w:szCs w:val="24"/>
        </w:rPr>
        <w:t>rate fault blocks. At its surface</w:t>
      </w:r>
      <w:r>
        <w:rPr>
          <w:rFonts w:cstheme="minorHAnsi"/>
          <w:sz w:val="24"/>
          <w:szCs w:val="24"/>
        </w:rPr>
        <w:t>,</w:t>
      </w:r>
      <w:r w:rsidRPr="00707053">
        <w:rPr>
          <w:rFonts w:cstheme="minorHAnsi"/>
          <w:sz w:val="24"/>
          <w:szCs w:val="24"/>
        </w:rPr>
        <w:t xml:space="preserve"> it is a gentle anticline plunging towards the south.  The formation of the Nemaha uplift is attributed to</w:t>
      </w:r>
      <w:r>
        <w:rPr>
          <w:rFonts w:cstheme="minorHAnsi"/>
          <w:sz w:val="24"/>
          <w:szCs w:val="24"/>
        </w:rPr>
        <w:t xml:space="preserve"> </w:t>
      </w:r>
      <w:r w:rsidRPr="00707053">
        <w:rPr>
          <w:rFonts w:cstheme="minorHAnsi"/>
          <w:sz w:val="24"/>
          <w:szCs w:val="24"/>
        </w:rPr>
        <w:t>left-lateral wrench fault movement as a crustal res</w:t>
      </w:r>
      <w:r>
        <w:rPr>
          <w:rFonts w:cstheme="minorHAnsi"/>
          <w:sz w:val="24"/>
          <w:szCs w:val="24"/>
        </w:rPr>
        <w:t>p</w:t>
      </w:r>
      <w:r w:rsidRPr="00707053">
        <w:rPr>
          <w:rFonts w:cstheme="minorHAnsi"/>
          <w:sz w:val="24"/>
          <w:szCs w:val="24"/>
        </w:rPr>
        <w:t>onse to convergence at the continental margins</w:t>
      </w:r>
      <w:r>
        <w:rPr>
          <w:rFonts w:cstheme="minorHAnsi"/>
          <w:sz w:val="24"/>
          <w:szCs w:val="24"/>
        </w:rPr>
        <w:t xml:space="preserve"> (</w:t>
      </w:r>
      <w:r w:rsidRPr="00707053">
        <w:rPr>
          <w:rFonts w:cstheme="minorHAnsi"/>
          <w:sz w:val="24"/>
          <w:szCs w:val="24"/>
        </w:rPr>
        <w:t>Berendsen</w:t>
      </w:r>
      <w:r>
        <w:rPr>
          <w:rFonts w:cstheme="minorHAnsi"/>
          <w:sz w:val="24"/>
          <w:szCs w:val="24"/>
        </w:rPr>
        <w:t xml:space="preserve"> </w:t>
      </w:r>
      <w:r w:rsidRPr="00707053">
        <w:rPr>
          <w:rFonts w:cstheme="minorHAnsi"/>
          <w:sz w:val="24"/>
          <w:szCs w:val="24"/>
        </w:rPr>
        <w:t>1986</w:t>
      </w:r>
      <w:r>
        <w:rPr>
          <w:rFonts w:cstheme="minorHAnsi"/>
          <w:sz w:val="24"/>
          <w:szCs w:val="24"/>
        </w:rPr>
        <w:t>)</w:t>
      </w:r>
      <w:r w:rsidRPr="00707053">
        <w:rPr>
          <w:rFonts w:cstheme="minorHAnsi"/>
          <w:sz w:val="24"/>
          <w:szCs w:val="24"/>
        </w:rPr>
        <w:t>. Others have suggested similar strike-slip movements on</w:t>
      </w:r>
      <w:r>
        <w:rPr>
          <w:rFonts w:cstheme="minorHAnsi"/>
          <w:sz w:val="24"/>
          <w:szCs w:val="24"/>
        </w:rPr>
        <w:t xml:space="preserve"> the</w:t>
      </w:r>
      <w:r w:rsidRPr="00707053">
        <w:rPr>
          <w:rFonts w:cstheme="minorHAnsi"/>
          <w:sz w:val="24"/>
          <w:szCs w:val="24"/>
        </w:rPr>
        <w:t xml:space="preserve"> </w:t>
      </w:r>
      <w:r>
        <w:rPr>
          <w:rFonts w:cstheme="minorHAnsi"/>
          <w:sz w:val="24"/>
          <w:szCs w:val="24"/>
        </w:rPr>
        <w:t>C</w:t>
      </w:r>
      <w:r w:rsidRPr="00707053">
        <w:rPr>
          <w:rFonts w:cstheme="minorHAnsi"/>
          <w:sz w:val="24"/>
          <w:szCs w:val="24"/>
        </w:rPr>
        <w:t xml:space="preserve">entral </w:t>
      </w:r>
      <w:r>
        <w:rPr>
          <w:rFonts w:cstheme="minorHAnsi"/>
          <w:sz w:val="24"/>
          <w:szCs w:val="24"/>
        </w:rPr>
        <w:t>O</w:t>
      </w:r>
      <w:r w:rsidRPr="00707053">
        <w:rPr>
          <w:rFonts w:cstheme="minorHAnsi"/>
          <w:sz w:val="24"/>
          <w:szCs w:val="24"/>
        </w:rPr>
        <w:t>klahoma fault zone</w:t>
      </w:r>
      <w:r>
        <w:rPr>
          <w:rFonts w:cstheme="minorHAnsi"/>
          <w:sz w:val="24"/>
          <w:szCs w:val="24"/>
        </w:rPr>
        <w:t xml:space="preserve"> (</w:t>
      </w:r>
      <w:r w:rsidRPr="00707053">
        <w:rPr>
          <w:rFonts w:cstheme="minorHAnsi"/>
          <w:sz w:val="24"/>
          <w:szCs w:val="24"/>
        </w:rPr>
        <w:t>Amsden</w:t>
      </w:r>
      <w:r>
        <w:rPr>
          <w:rFonts w:cstheme="minorHAnsi"/>
          <w:sz w:val="24"/>
          <w:szCs w:val="24"/>
        </w:rPr>
        <w:t xml:space="preserve">, </w:t>
      </w:r>
      <w:r w:rsidRPr="00707053">
        <w:rPr>
          <w:rFonts w:cstheme="minorHAnsi"/>
          <w:sz w:val="24"/>
          <w:szCs w:val="24"/>
        </w:rPr>
        <w:t>1980</w:t>
      </w:r>
      <w:r>
        <w:rPr>
          <w:rFonts w:cstheme="minorHAnsi"/>
          <w:sz w:val="24"/>
          <w:szCs w:val="24"/>
        </w:rPr>
        <w:t>)</w:t>
      </w:r>
      <w:r w:rsidRPr="00707053">
        <w:rPr>
          <w:rFonts w:cstheme="minorHAnsi"/>
          <w:sz w:val="24"/>
          <w:szCs w:val="24"/>
        </w:rPr>
        <w:t xml:space="preserve"> and uplift to vertical movement on </w:t>
      </w:r>
      <w:r>
        <w:rPr>
          <w:rFonts w:cstheme="minorHAnsi"/>
          <w:sz w:val="24"/>
          <w:szCs w:val="24"/>
        </w:rPr>
        <w:t xml:space="preserve">a </w:t>
      </w:r>
      <w:r w:rsidRPr="00707053">
        <w:rPr>
          <w:rFonts w:cstheme="minorHAnsi"/>
          <w:sz w:val="24"/>
          <w:szCs w:val="24"/>
        </w:rPr>
        <w:t xml:space="preserve">pre-existing Precambrian zone of weakness </w:t>
      </w:r>
      <w:r>
        <w:rPr>
          <w:rFonts w:cstheme="minorHAnsi"/>
          <w:sz w:val="24"/>
          <w:szCs w:val="24"/>
        </w:rPr>
        <w:t>(</w:t>
      </w:r>
      <w:r w:rsidRPr="00707053">
        <w:rPr>
          <w:rFonts w:cstheme="minorHAnsi"/>
          <w:sz w:val="24"/>
          <w:szCs w:val="24"/>
        </w:rPr>
        <w:t>Fath</w:t>
      </w:r>
      <w:r>
        <w:rPr>
          <w:rFonts w:cstheme="minorHAnsi"/>
          <w:sz w:val="24"/>
          <w:szCs w:val="24"/>
        </w:rPr>
        <w:t xml:space="preserve">, </w:t>
      </w:r>
      <w:r w:rsidRPr="00707053">
        <w:rPr>
          <w:rFonts w:cstheme="minorHAnsi"/>
          <w:sz w:val="24"/>
          <w:szCs w:val="24"/>
        </w:rPr>
        <w:t>192</w:t>
      </w:r>
      <w:r>
        <w:rPr>
          <w:rFonts w:cstheme="minorHAnsi"/>
          <w:sz w:val="24"/>
          <w:szCs w:val="24"/>
        </w:rPr>
        <w:t>0)</w:t>
      </w:r>
      <w:r w:rsidRPr="00707053">
        <w:rPr>
          <w:rFonts w:cstheme="minorHAnsi"/>
          <w:sz w:val="24"/>
          <w:szCs w:val="24"/>
        </w:rPr>
        <w:t>.</w:t>
      </w:r>
      <w:r>
        <w:rPr>
          <w:rFonts w:cstheme="minorHAnsi"/>
          <w:sz w:val="24"/>
          <w:szCs w:val="24"/>
        </w:rPr>
        <w:t xml:space="preserve"> Present-day interest in understanding the structure of the region is driven by hydrocarbon exploration of the Cambrian to Permian age rocks. The s</w:t>
      </w:r>
      <w:r w:rsidRPr="00707053">
        <w:rPr>
          <w:rFonts w:cstheme="minorHAnsi"/>
          <w:sz w:val="24"/>
          <w:szCs w:val="24"/>
        </w:rPr>
        <w:t xml:space="preserve">uccession of </w:t>
      </w:r>
      <w:proofErr w:type="spellStart"/>
      <w:r w:rsidRPr="00707053">
        <w:rPr>
          <w:rFonts w:cstheme="minorHAnsi"/>
          <w:sz w:val="24"/>
          <w:szCs w:val="24"/>
        </w:rPr>
        <w:t>paleozoic</w:t>
      </w:r>
      <w:proofErr w:type="spellEnd"/>
      <w:r w:rsidRPr="00707053">
        <w:rPr>
          <w:rFonts w:cstheme="minorHAnsi"/>
          <w:sz w:val="24"/>
          <w:szCs w:val="24"/>
        </w:rPr>
        <w:t xml:space="preserve"> dolomites and limestones with subordinate </w:t>
      </w:r>
      <w:proofErr w:type="spellStart"/>
      <w:r w:rsidRPr="00707053">
        <w:rPr>
          <w:rFonts w:cstheme="minorHAnsi"/>
          <w:sz w:val="24"/>
          <w:szCs w:val="24"/>
        </w:rPr>
        <w:t>clastics</w:t>
      </w:r>
      <w:proofErr w:type="spellEnd"/>
      <w:r w:rsidRPr="00707053">
        <w:rPr>
          <w:rFonts w:cstheme="minorHAnsi"/>
          <w:sz w:val="24"/>
          <w:szCs w:val="24"/>
        </w:rPr>
        <w:t xml:space="preserve"> overlay the </w:t>
      </w:r>
      <w:r>
        <w:rPr>
          <w:rFonts w:cstheme="minorHAnsi"/>
          <w:sz w:val="24"/>
          <w:szCs w:val="24"/>
        </w:rPr>
        <w:t>P</w:t>
      </w:r>
      <w:r w:rsidRPr="00707053">
        <w:rPr>
          <w:rFonts w:cstheme="minorHAnsi"/>
          <w:sz w:val="24"/>
          <w:szCs w:val="24"/>
        </w:rPr>
        <w:t>recambrian crystalline basement. In the midcontinent</w:t>
      </w:r>
      <w:r>
        <w:rPr>
          <w:rFonts w:cstheme="minorHAnsi"/>
          <w:sz w:val="24"/>
          <w:szCs w:val="24"/>
        </w:rPr>
        <w:t>,</w:t>
      </w:r>
      <w:r w:rsidRPr="00707053">
        <w:rPr>
          <w:rFonts w:cstheme="minorHAnsi"/>
          <w:sz w:val="24"/>
          <w:szCs w:val="24"/>
        </w:rPr>
        <w:t xml:space="preserve"> the ascending order of the stratigraphic sedimentary units </w:t>
      </w:r>
      <w:r>
        <w:rPr>
          <w:rFonts w:cstheme="minorHAnsi"/>
          <w:sz w:val="24"/>
          <w:szCs w:val="24"/>
        </w:rPr>
        <w:t>is</w:t>
      </w:r>
      <w:r w:rsidRPr="00707053">
        <w:rPr>
          <w:rFonts w:cstheme="minorHAnsi"/>
          <w:sz w:val="24"/>
          <w:szCs w:val="24"/>
        </w:rPr>
        <w:t xml:space="preserve"> the Joins, Oil Creek, McLish, Tulip </w:t>
      </w:r>
      <w:r w:rsidRPr="00707053">
        <w:rPr>
          <w:rFonts w:cstheme="minorHAnsi"/>
          <w:sz w:val="24"/>
          <w:szCs w:val="24"/>
        </w:rPr>
        <w:lastRenderedPageBreak/>
        <w:t>Creek, and the Bromide which are a series of carbonates, shales, and sandstones. This uni</w:t>
      </w:r>
      <w:r>
        <w:rPr>
          <w:rFonts w:cstheme="minorHAnsi"/>
          <w:sz w:val="24"/>
          <w:szCs w:val="24"/>
        </w:rPr>
        <w:t>que depositional history and</w:t>
      </w:r>
      <w:r w:rsidRPr="00707053">
        <w:rPr>
          <w:rFonts w:cstheme="minorHAnsi"/>
          <w:sz w:val="24"/>
          <w:szCs w:val="24"/>
        </w:rPr>
        <w:t xml:space="preserve"> uplift create hydrocarbon plays which have been the economical target for oil and gas production due to the structural traps and reservoir rocks</w:t>
      </w:r>
      <w:r>
        <w:rPr>
          <w:rFonts w:cstheme="minorHAnsi"/>
          <w:sz w:val="24"/>
          <w:szCs w:val="24"/>
        </w:rPr>
        <w:t xml:space="preserve"> (</w:t>
      </w:r>
      <w:r w:rsidRPr="00707053">
        <w:rPr>
          <w:rFonts w:cstheme="minorHAnsi"/>
          <w:sz w:val="24"/>
          <w:szCs w:val="24"/>
        </w:rPr>
        <w:t>Dolton</w:t>
      </w:r>
      <w:r>
        <w:rPr>
          <w:rFonts w:cstheme="minorHAnsi"/>
          <w:sz w:val="24"/>
          <w:szCs w:val="24"/>
        </w:rPr>
        <w:t xml:space="preserve"> and Finn, </w:t>
      </w:r>
      <w:r w:rsidRPr="00707053">
        <w:rPr>
          <w:rFonts w:cstheme="minorHAnsi"/>
          <w:sz w:val="24"/>
          <w:szCs w:val="24"/>
        </w:rPr>
        <w:t>1989</w:t>
      </w:r>
      <w:r>
        <w:rPr>
          <w:rFonts w:cstheme="minorHAnsi"/>
          <w:sz w:val="24"/>
          <w:szCs w:val="24"/>
        </w:rPr>
        <w:t xml:space="preserve">). </w:t>
      </w:r>
    </w:p>
    <w:p w14:paraId="07459421" w14:textId="77777777" w:rsidR="004C3823" w:rsidRDefault="004C3823" w:rsidP="005871FB">
      <w:pPr>
        <w:spacing w:line="480" w:lineRule="auto"/>
        <w:ind w:firstLine="360"/>
        <w:rPr>
          <w:rFonts w:cstheme="minorHAnsi"/>
          <w:sz w:val="24"/>
          <w:szCs w:val="24"/>
        </w:rPr>
      </w:pPr>
      <w:r>
        <w:rPr>
          <w:rFonts w:cstheme="minorHAnsi"/>
          <w:sz w:val="24"/>
          <w:szCs w:val="24"/>
        </w:rPr>
        <w:t>While</w:t>
      </w:r>
      <w:r w:rsidRPr="005871FB">
        <w:rPr>
          <w:rFonts w:cstheme="minorHAnsi"/>
          <w:sz w:val="24"/>
          <w:szCs w:val="24"/>
        </w:rPr>
        <w:t xml:space="preserve"> a dense seismic array</w:t>
      </w:r>
      <w:r>
        <w:rPr>
          <w:rFonts w:cstheme="minorHAnsi"/>
          <w:sz w:val="24"/>
          <w:szCs w:val="24"/>
        </w:rPr>
        <w:t xml:space="preserve"> will typically be utilized for passive detection of earthquake sources or during the acquisition of active-seismic data, the data</w:t>
      </w:r>
      <w:r w:rsidRPr="005871FB">
        <w:rPr>
          <w:rFonts w:cstheme="minorHAnsi"/>
          <w:sz w:val="24"/>
          <w:szCs w:val="24"/>
        </w:rPr>
        <w:t xml:space="preserve"> can also be utilized for environmental monitoring through ambient seismic noise. </w:t>
      </w:r>
      <w:r>
        <w:rPr>
          <w:rFonts w:cstheme="minorHAnsi"/>
          <w:sz w:val="24"/>
          <w:szCs w:val="24"/>
        </w:rPr>
        <w:t>A</w:t>
      </w:r>
      <w:r w:rsidRPr="005871FB">
        <w:rPr>
          <w:rFonts w:cstheme="minorHAnsi"/>
          <w:sz w:val="24"/>
          <w:szCs w:val="24"/>
        </w:rPr>
        <w:t>mbient noise is caused by natural sources such as ocean waves, wind, and atmospheric pressure, as well as cultural sources such as traffic and industrial activities. Ambient seismic noise studies have been used for over a century</w:t>
      </w:r>
      <w:r>
        <w:rPr>
          <w:rFonts w:cstheme="minorHAnsi"/>
          <w:sz w:val="24"/>
          <w:szCs w:val="24"/>
        </w:rPr>
        <w:t xml:space="preserve"> and </w:t>
      </w:r>
      <w:r w:rsidRPr="005871FB">
        <w:rPr>
          <w:rFonts w:cstheme="minorHAnsi"/>
          <w:sz w:val="24"/>
          <w:szCs w:val="24"/>
        </w:rPr>
        <w:t xml:space="preserve">can be traced back to Ernst von </w:t>
      </w:r>
      <w:proofErr w:type="spellStart"/>
      <w:r w:rsidRPr="005871FB">
        <w:rPr>
          <w:rFonts w:cstheme="minorHAnsi"/>
          <w:sz w:val="24"/>
          <w:szCs w:val="24"/>
        </w:rPr>
        <w:t>Rebeur-Paschwitz</w:t>
      </w:r>
      <w:proofErr w:type="spellEnd"/>
      <w:r w:rsidRPr="005871FB">
        <w:rPr>
          <w:rFonts w:cstheme="minorHAnsi"/>
          <w:sz w:val="24"/>
          <w:szCs w:val="24"/>
        </w:rPr>
        <w:t xml:space="preserve"> observations of the first recorded </w:t>
      </w:r>
      <w:proofErr w:type="spellStart"/>
      <w:r w:rsidRPr="005871FB">
        <w:rPr>
          <w:rFonts w:cstheme="minorHAnsi"/>
          <w:sz w:val="24"/>
          <w:szCs w:val="24"/>
        </w:rPr>
        <w:t>teleseismic</w:t>
      </w:r>
      <w:proofErr w:type="spellEnd"/>
      <w:r w:rsidRPr="005871FB">
        <w:rPr>
          <w:rFonts w:cstheme="minorHAnsi"/>
          <w:sz w:val="24"/>
          <w:szCs w:val="24"/>
        </w:rPr>
        <w:t xml:space="preserve"> earthquakes using a horizontal pendulum left to oscillate freely (</w:t>
      </w:r>
      <w:r>
        <w:rPr>
          <w:rFonts w:cstheme="minorHAnsi"/>
          <w:color w:val="222222"/>
          <w:sz w:val="24"/>
          <w:szCs w:val="24"/>
          <w:shd w:val="clear" w:color="auto" w:fill="FFFFFF"/>
        </w:rPr>
        <w:t>V</w:t>
      </w:r>
      <w:r w:rsidRPr="005871FB">
        <w:rPr>
          <w:rFonts w:cstheme="minorHAnsi"/>
          <w:color w:val="222222"/>
          <w:sz w:val="24"/>
          <w:szCs w:val="24"/>
          <w:shd w:val="clear" w:color="auto" w:fill="FFFFFF"/>
        </w:rPr>
        <w:t xml:space="preserve">on </w:t>
      </w:r>
      <w:proofErr w:type="spellStart"/>
      <w:r w:rsidRPr="005871FB">
        <w:rPr>
          <w:rFonts w:cstheme="minorHAnsi"/>
          <w:color w:val="222222"/>
          <w:sz w:val="24"/>
          <w:szCs w:val="24"/>
          <w:shd w:val="clear" w:color="auto" w:fill="FFFFFF"/>
        </w:rPr>
        <w:t>Rebeur-Paschwitz</w:t>
      </w:r>
      <w:proofErr w:type="spellEnd"/>
      <w:r w:rsidRPr="005871FB">
        <w:rPr>
          <w:rFonts w:cstheme="minorHAnsi"/>
          <w:color w:val="222222"/>
          <w:sz w:val="24"/>
          <w:szCs w:val="24"/>
          <w:shd w:val="clear" w:color="auto" w:fill="FFFFFF"/>
        </w:rPr>
        <w:t>, E., 1889)</w:t>
      </w:r>
      <w:r w:rsidRPr="005871FB">
        <w:rPr>
          <w:rFonts w:cstheme="minorHAnsi"/>
          <w:sz w:val="24"/>
          <w:szCs w:val="24"/>
        </w:rPr>
        <w:t xml:space="preserve">. </w:t>
      </w:r>
    </w:p>
    <w:p w14:paraId="135063D9" w14:textId="77777777" w:rsidR="004C3823" w:rsidRPr="005871FB" w:rsidRDefault="004C3823" w:rsidP="005871FB">
      <w:pPr>
        <w:spacing w:line="480" w:lineRule="auto"/>
        <w:ind w:firstLine="360"/>
        <w:rPr>
          <w:rFonts w:cstheme="minorHAnsi"/>
          <w:sz w:val="24"/>
          <w:szCs w:val="24"/>
        </w:rPr>
      </w:pPr>
      <w:r w:rsidRPr="005871FB">
        <w:rPr>
          <w:rFonts w:cstheme="minorHAnsi"/>
          <w:sz w:val="24"/>
          <w:szCs w:val="24"/>
        </w:rPr>
        <w:t xml:space="preserve">In recent years, there </w:t>
      </w:r>
      <w:proofErr w:type="gramStart"/>
      <w:r w:rsidRPr="005871FB">
        <w:rPr>
          <w:rFonts w:cstheme="minorHAnsi"/>
          <w:sz w:val="24"/>
          <w:szCs w:val="24"/>
        </w:rPr>
        <w:t>is</w:t>
      </w:r>
      <w:proofErr w:type="gramEnd"/>
      <w:r w:rsidRPr="005871FB">
        <w:rPr>
          <w:rFonts w:cstheme="minorHAnsi"/>
          <w:sz w:val="24"/>
          <w:szCs w:val="24"/>
        </w:rPr>
        <w:t xml:space="preserve"> a resurgence in passive noise monitoring due to the greater availability of a wide variety of sensors such as the inexpensive Fairfield 3C </w:t>
      </w:r>
      <w:proofErr w:type="spellStart"/>
      <w:r w:rsidRPr="005871FB">
        <w:rPr>
          <w:rFonts w:cstheme="minorHAnsi"/>
          <w:sz w:val="24"/>
          <w:szCs w:val="24"/>
        </w:rPr>
        <w:t>Zland</w:t>
      </w:r>
      <w:proofErr w:type="spellEnd"/>
      <w:r w:rsidRPr="005871FB">
        <w:rPr>
          <w:rFonts w:cstheme="minorHAnsi"/>
          <w:sz w:val="24"/>
          <w:szCs w:val="24"/>
        </w:rPr>
        <w:t xml:space="preserve"> nodal sensor which leverages its compact self-contained size. Smaller inexpensive sensors and ease of deployment for passive noise experiments also reduce the requirement for local municipality permitting for active source experiments. By analyzing this ambient noise, valuable insights can be gained into various environmental factors such as soil properties, and groundwater levels (Larose et al., 2015). One property we are interested in our high-density observation of ambient seismic noise is the physical phenomenon of resonance. Resonance is a constructive interference event during wave propagation. In a ground motion, resonance can result in increased shaking intensity by having a larger wave amplitude. We compare different </w:t>
      </w:r>
      <w:r w:rsidRPr="005871FB">
        <w:rPr>
          <w:rFonts w:cstheme="minorHAnsi"/>
          <w:sz w:val="24"/>
          <w:szCs w:val="24"/>
        </w:rPr>
        <w:lastRenderedPageBreak/>
        <w:t>instruments in this study and perform an analysis of the noise signals recorded by each instrument type in the time and frequency domain. Furthermore, the dense arrays are leveraged in an east-west site response study.</w:t>
      </w:r>
    </w:p>
    <w:p w14:paraId="0E13359B" w14:textId="77777777" w:rsidR="004C3823" w:rsidRPr="005871FB" w:rsidRDefault="004C3823" w:rsidP="00632531">
      <w:pPr>
        <w:tabs>
          <w:tab w:val="left" w:pos="720"/>
        </w:tabs>
        <w:spacing w:line="480" w:lineRule="auto"/>
        <w:ind w:left="720" w:hanging="720"/>
        <w:rPr>
          <w:rFonts w:cstheme="minorHAnsi"/>
          <w:b/>
          <w:bCs/>
          <w:sz w:val="24"/>
          <w:szCs w:val="24"/>
        </w:rPr>
      </w:pPr>
      <w:r w:rsidRPr="005871FB">
        <w:rPr>
          <w:rFonts w:cstheme="minorHAnsi"/>
          <w:b/>
          <w:bCs/>
          <w:sz w:val="24"/>
          <w:szCs w:val="24"/>
        </w:rPr>
        <w:t>3.3 Array information</w:t>
      </w:r>
    </w:p>
    <w:p w14:paraId="11FC3083" w14:textId="77777777" w:rsidR="004C3823" w:rsidRPr="005871FB" w:rsidRDefault="004C3823" w:rsidP="00632531">
      <w:pPr>
        <w:spacing w:line="480" w:lineRule="auto"/>
        <w:ind w:firstLine="720"/>
        <w:rPr>
          <w:rFonts w:cstheme="minorHAnsi"/>
          <w:sz w:val="24"/>
          <w:szCs w:val="24"/>
        </w:rPr>
      </w:pPr>
      <w:r w:rsidRPr="005871FB">
        <w:rPr>
          <w:rFonts w:cstheme="minorHAnsi"/>
          <w:sz w:val="24"/>
          <w:szCs w:val="24"/>
        </w:rPr>
        <w:t>For this study</w:t>
      </w:r>
      <w:r>
        <w:rPr>
          <w:rFonts w:cstheme="minorHAnsi"/>
          <w:sz w:val="24"/>
          <w:szCs w:val="24"/>
        </w:rPr>
        <w:t>,</w:t>
      </w:r>
      <w:r w:rsidRPr="005871FB">
        <w:rPr>
          <w:rFonts w:cstheme="minorHAnsi"/>
          <w:sz w:val="24"/>
          <w:szCs w:val="24"/>
        </w:rPr>
        <w:t xml:space="preserve"> we deploy instruments along an East to West transect of the entire Garfield County in Oklahoma along highway US-412, a 4 lane two-way highway separated by a road verge, over three separate occasions in 2020 (EW1-40: June 09, 2020 - July 14, 2020) and 2021 (EW1-20A/B: April 21,</w:t>
      </w:r>
      <w:r>
        <w:rPr>
          <w:rFonts w:cstheme="minorHAnsi"/>
          <w:sz w:val="24"/>
          <w:szCs w:val="24"/>
        </w:rPr>
        <w:t xml:space="preserve"> </w:t>
      </w:r>
      <w:r w:rsidRPr="005871FB">
        <w:rPr>
          <w:rFonts w:cstheme="minorHAnsi"/>
          <w:sz w:val="24"/>
          <w:szCs w:val="24"/>
        </w:rPr>
        <w:t>2021 - May 13,</w:t>
      </w:r>
      <w:r>
        <w:rPr>
          <w:rFonts w:cstheme="minorHAnsi"/>
          <w:sz w:val="24"/>
          <w:szCs w:val="24"/>
        </w:rPr>
        <w:t xml:space="preserve"> </w:t>
      </w:r>
      <w:r w:rsidRPr="005871FB">
        <w:rPr>
          <w:rFonts w:cstheme="minorHAnsi"/>
          <w:sz w:val="24"/>
          <w:szCs w:val="24"/>
        </w:rPr>
        <w:t>2021</w:t>
      </w:r>
      <w:r>
        <w:rPr>
          <w:rFonts w:cstheme="minorHAnsi"/>
          <w:sz w:val="24"/>
          <w:szCs w:val="24"/>
        </w:rPr>
        <w:t>,</w:t>
      </w:r>
      <w:r w:rsidRPr="005871FB">
        <w:rPr>
          <w:rFonts w:cstheme="minorHAnsi"/>
          <w:sz w:val="24"/>
          <w:szCs w:val="24"/>
        </w:rPr>
        <w:t xml:space="preserve"> and EW2: August 1, 2021 – August 31, 2021) along the length of highway 412 and minor perpendicular arrays (NS1 and NS2: April 21,</w:t>
      </w:r>
      <w:r>
        <w:rPr>
          <w:rFonts w:cstheme="minorHAnsi"/>
          <w:sz w:val="24"/>
          <w:szCs w:val="24"/>
        </w:rPr>
        <w:t xml:space="preserve"> </w:t>
      </w:r>
      <w:r w:rsidRPr="005871FB">
        <w:rPr>
          <w:rFonts w:cstheme="minorHAnsi"/>
          <w:sz w:val="24"/>
          <w:szCs w:val="24"/>
        </w:rPr>
        <w:t>2021 - May 13,</w:t>
      </w:r>
      <w:r>
        <w:rPr>
          <w:rFonts w:cstheme="minorHAnsi"/>
          <w:sz w:val="24"/>
          <w:szCs w:val="24"/>
        </w:rPr>
        <w:t xml:space="preserve"> </w:t>
      </w:r>
      <w:r w:rsidRPr="005871FB">
        <w:rPr>
          <w:rFonts w:cstheme="minorHAnsi"/>
          <w:sz w:val="24"/>
          <w:szCs w:val="24"/>
        </w:rPr>
        <w:t xml:space="preserve">2021) in 2021 as shown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2</w:t>
      </w:r>
      <w:r w:rsidRPr="005871FB">
        <w:rPr>
          <w:rFonts w:cstheme="minorHAnsi"/>
          <w:sz w:val="24"/>
          <w:szCs w:val="24"/>
        </w:rPr>
        <w:t>. We perform a multi-deployment of temporary high</w:t>
      </w:r>
      <w:r>
        <w:rPr>
          <w:rFonts w:cstheme="minorHAnsi"/>
          <w:sz w:val="24"/>
          <w:szCs w:val="24"/>
        </w:rPr>
        <w:t>-</w:t>
      </w:r>
      <w:r w:rsidRPr="005871FB">
        <w:rPr>
          <w:rFonts w:cstheme="minorHAnsi"/>
          <w:sz w:val="24"/>
          <w:szCs w:val="24"/>
        </w:rPr>
        <w:t xml:space="preserve">density nodal sensors that recorded continuous waveform for a one-month duration during each deployment time. We use the 2nd generation Fairfield Nodal Z-land sensors </w:t>
      </w:r>
      <w:r>
        <w:rPr>
          <w:rFonts w:cstheme="minorHAnsi"/>
          <w:sz w:val="24"/>
          <w:szCs w:val="24"/>
        </w:rPr>
        <w:t>which</w:t>
      </w:r>
      <w:r w:rsidRPr="005871FB">
        <w:rPr>
          <w:rFonts w:cstheme="minorHAnsi"/>
          <w:sz w:val="24"/>
          <w:szCs w:val="24"/>
        </w:rPr>
        <w:t xml:space="preserve"> are small, self-contained devices that are deployed in seismic exploration to detect and continuously measure continuous ground vibrations from anthropogenic sources</w:t>
      </w:r>
      <w:r>
        <w:rPr>
          <w:rFonts w:cstheme="minorHAnsi"/>
          <w:sz w:val="24"/>
          <w:szCs w:val="24"/>
        </w:rPr>
        <w:t xml:space="preserve"> created by a </w:t>
      </w:r>
      <w:proofErr w:type="spellStart"/>
      <w:r>
        <w:rPr>
          <w:rFonts w:cstheme="minorHAnsi"/>
          <w:sz w:val="24"/>
          <w:szCs w:val="24"/>
        </w:rPr>
        <w:t>Vibroseis</w:t>
      </w:r>
      <w:proofErr w:type="spellEnd"/>
      <w:r>
        <w:rPr>
          <w:rFonts w:cstheme="minorHAnsi"/>
          <w:sz w:val="24"/>
          <w:szCs w:val="24"/>
        </w:rPr>
        <w:t xml:space="preserve"> truck</w:t>
      </w:r>
      <w:r w:rsidRPr="005871FB">
        <w:rPr>
          <w:rFonts w:cstheme="minorHAnsi"/>
          <w:sz w:val="24"/>
          <w:szCs w:val="24"/>
        </w:rPr>
        <w:t xml:space="preserve"> or natural sources such as local earthquake events for about a month or until the battery is depleted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2)</w:t>
      </w:r>
      <w:r w:rsidRPr="005871FB">
        <w:rPr>
          <w:rFonts w:cstheme="minorHAnsi"/>
          <w:sz w:val="24"/>
          <w:szCs w:val="24"/>
        </w:rPr>
        <w:t xml:space="preserve">. </w:t>
      </w:r>
      <w:r>
        <w:rPr>
          <w:rFonts w:cstheme="minorHAnsi"/>
          <w:sz w:val="24"/>
          <w:szCs w:val="24"/>
        </w:rPr>
        <w:t>Nodes</w:t>
      </w:r>
      <w:r w:rsidRPr="005871FB">
        <w:rPr>
          <w:rFonts w:cstheme="minorHAnsi"/>
          <w:sz w:val="24"/>
          <w:szCs w:val="24"/>
        </w:rPr>
        <w:t xml:space="preserve"> are easy to deploy and have a low environmental impact. However, </w:t>
      </w:r>
      <w:r>
        <w:rPr>
          <w:rFonts w:cstheme="minorHAnsi"/>
          <w:sz w:val="24"/>
          <w:szCs w:val="24"/>
        </w:rPr>
        <w:t>n</w:t>
      </w:r>
      <w:r w:rsidRPr="005871FB">
        <w:rPr>
          <w:rFonts w:cstheme="minorHAnsi"/>
          <w:sz w:val="24"/>
          <w:szCs w:val="24"/>
        </w:rPr>
        <w:t xml:space="preserve">odal </w:t>
      </w:r>
      <w:r>
        <w:rPr>
          <w:rFonts w:cstheme="minorHAnsi"/>
          <w:sz w:val="24"/>
          <w:szCs w:val="24"/>
        </w:rPr>
        <w:t>s</w:t>
      </w:r>
      <w:r w:rsidRPr="005871FB">
        <w:rPr>
          <w:rFonts w:cstheme="minorHAnsi"/>
          <w:sz w:val="24"/>
          <w:szCs w:val="24"/>
        </w:rPr>
        <w:t xml:space="preserve">ensors have limited recording capacity and are prone to signal </w:t>
      </w:r>
      <w:r>
        <w:rPr>
          <w:rFonts w:cstheme="minorHAnsi"/>
          <w:sz w:val="24"/>
          <w:szCs w:val="24"/>
        </w:rPr>
        <w:t>noise</w:t>
      </w:r>
      <w:r w:rsidRPr="005871FB">
        <w:rPr>
          <w:rFonts w:cstheme="minorHAnsi"/>
          <w:sz w:val="24"/>
          <w:szCs w:val="24"/>
        </w:rPr>
        <w:t xml:space="preserve"> </w:t>
      </w:r>
      <w:r>
        <w:rPr>
          <w:rFonts w:cstheme="minorHAnsi"/>
          <w:sz w:val="24"/>
          <w:szCs w:val="24"/>
        </w:rPr>
        <w:t>from improper isolation during deployment</w:t>
      </w:r>
      <w:r w:rsidRPr="005871FB">
        <w:rPr>
          <w:rFonts w:cstheme="minorHAnsi"/>
          <w:sz w:val="24"/>
          <w:szCs w:val="24"/>
        </w:rPr>
        <w:t xml:space="preserve">. </w:t>
      </w:r>
      <w:r>
        <w:rPr>
          <w:rFonts w:cstheme="minorHAnsi"/>
          <w:sz w:val="24"/>
          <w:szCs w:val="24"/>
        </w:rPr>
        <w:t>Nodes</w:t>
      </w:r>
      <w:r w:rsidRPr="005871FB">
        <w:rPr>
          <w:rFonts w:cstheme="minorHAnsi"/>
          <w:sz w:val="24"/>
          <w:szCs w:val="24"/>
        </w:rPr>
        <w:t xml:space="preserve"> are a 5Hz sensor and we set </w:t>
      </w:r>
      <w:r>
        <w:rPr>
          <w:rFonts w:cstheme="minorHAnsi"/>
          <w:sz w:val="24"/>
          <w:szCs w:val="24"/>
        </w:rPr>
        <w:t xml:space="preserve">the </w:t>
      </w:r>
      <w:r w:rsidRPr="005871FB">
        <w:rPr>
          <w:rFonts w:cstheme="minorHAnsi"/>
          <w:sz w:val="24"/>
          <w:szCs w:val="24"/>
        </w:rPr>
        <w:t xml:space="preserve">recording </w:t>
      </w:r>
      <w:r>
        <w:rPr>
          <w:rFonts w:cstheme="minorHAnsi"/>
          <w:sz w:val="24"/>
          <w:szCs w:val="24"/>
        </w:rPr>
        <w:t xml:space="preserve">sampling rate </w:t>
      </w:r>
      <w:r w:rsidRPr="005871FB">
        <w:rPr>
          <w:rFonts w:cstheme="minorHAnsi"/>
          <w:sz w:val="24"/>
          <w:szCs w:val="24"/>
        </w:rPr>
        <w:t xml:space="preserve">at 500Hz with a 12-decibel pre-amp gain. The </w:t>
      </w:r>
      <w:r>
        <w:rPr>
          <w:rFonts w:cstheme="minorHAnsi"/>
          <w:sz w:val="24"/>
          <w:szCs w:val="24"/>
        </w:rPr>
        <w:t xml:space="preserve">recorded </w:t>
      </w:r>
      <w:r w:rsidRPr="005871FB">
        <w:rPr>
          <w:rFonts w:cstheme="minorHAnsi"/>
          <w:sz w:val="24"/>
          <w:szCs w:val="24"/>
        </w:rPr>
        <w:t xml:space="preserve">data are </w:t>
      </w:r>
      <w:proofErr w:type="spellStart"/>
      <w:r w:rsidRPr="005871FB">
        <w:rPr>
          <w:rFonts w:cstheme="minorHAnsi"/>
          <w:sz w:val="24"/>
          <w:szCs w:val="24"/>
        </w:rPr>
        <w:t>downsampled</w:t>
      </w:r>
      <w:proofErr w:type="spellEnd"/>
      <w:r w:rsidRPr="005871FB">
        <w:rPr>
          <w:rFonts w:cstheme="minorHAnsi"/>
          <w:sz w:val="24"/>
          <w:szCs w:val="24"/>
        </w:rPr>
        <w:t xml:space="preserve"> to 100Hz</w:t>
      </w:r>
      <w:r>
        <w:rPr>
          <w:rFonts w:cstheme="minorHAnsi"/>
          <w:sz w:val="24"/>
          <w:szCs w:val="24"/>
        </w:rPr>
        <w:t xml:space="preserve"> to conserve storage and improve computational resource management</w:t>
      </w:r>
      <w:r w:rsidRPr="005871FB">
        <w:rPr>
          <w:rFonts w:cstheme="minorHAnsi"/>
          <w:sz w:val="24"/>
          <w:szCs w:val="24"/>
        </w:rPr>
        <w:t xml:space="preserve">.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3</w:t>
      </w:r>
      <w:r w:rsidRPr="005871FB">
        <w:rPr>
          <w:rFonts w:cstheme="minorHAnsi"/>
          <w:sz w:val="24"/>
          <w:szCs w:val="24"/>
        </w:rPr>
        <w:t xml:space="preserve">, we show the </w:t>
      </w:r>
      <w:r>
        <w:rPr>
          <w:rFonts w:cstheme="minorHAnsi"/>
          <w:sz w:val="24"/>
          <w:szCs w:val="24"/>
        </w:rPr>
        <w:t xml:space="preserve">day and night </w:t>
      </w:r>
      <w:r w:rsidRPr="005871FB">
        <w:rPr>
          <w:rFonts w:cstheme="minorHAnsi"/>
          <w:sz w:val="24"/>
          <w:szCs w:val="24"/>
        </w:rPr>
        <w:t>noise power distribution comparison between the two seismic instruments</w:t>
      </w:r>
      <w:r>
        <w:rPr>
          <w:rFonts w:cstheme="minorHAnsi"/>
          <w:sz w:val="24"/>
          <w:szCs w:val="24"/>
        </w:rPr>
        <w:t>,</w:t>
      </w:r>
      <w:r w:rsidRPr="005871FB">
        <w:rPr>
          <w:rFonts w:cstheme="minorHAnsi"/>
          <w:sz w:val="24"/>
          <w:szCs w:val="24"/>
        </w:rPr>
        <w:t xml:space="preserve"> nodal station 4013 and </w:t>
      </w:r>
      <w:r>
        <w:rPr>
          <w:rFonts w:cstheme="minorHAnsi"/>
          <w:sz w:val="24"/>
          <w:szCs w:val="24"/>
        </w:rPr>
        <w:t xml:space="preserve">the </w:t>
      </w:r>
      <w:r w:rsidRPr="005871FB">
        <w:rPr>
          <w:rFonts w:cstheme="minorHAnsi"/>
          <w:sz w:val="24"/>
          <w:szCs w:val="24"/>
        </w:rPr>
        <w:t>corresponding fiber optic strain rate sensor.</w:t>
      </w:r>
      <w:r>
        <w:rPr>
          <w:rFonts w:cstheme="minorHAnsi"/>
          <w:sz w:val="24"/>
          <w:szCs w:val="24"/>
        </w:rPr>
        <w:t xml:space="preserve"> Elevated </w:t>
      </w:r>
      <w:r>
        <w:rPr>
          <w:rFonts w:cstheme="minorHAnsi"/>
          <w:sz w:val="24"/>
          <w:szCs w:val="24"/>
        </w:rPr>
        <w:lastRenderedPageBreak/>
        <w:t>daytime noise is observed in both recording types and is likely due to nearby anthropogenic sources.</w:t>
      </w:r>
      <w:r w:rsidRPr="005871FB">
        <w:rPr>
          <w:rFonts w:cstheme="minorHAnsi"/>
          <w:sz w:val="24"/>
          <w:szCs w:val="24"/>
        </w:rPr>
        <w:t xml:space="preserve"> We deployed both in 2020 and twice in 2021 in a rolling deployment, details will be explained in subsequent subsections. For the 2021 deployments, we deploy the nodal sensors concurrently with a Distributed Acoustic Sensing (DAS) deployment using </w:t>
      </w:r>
      <w:r>
        <w:rPr>
          <w:rFonts w:cstheme="minorHAnsi"/>
          <w:sz w:val="24"/>
          <w:szCs w:val="24"/>
        </w:rPr>
        <w:t>existing</w:t>
      </w:r>
      <w:r w:rsidRPr="005871FB">
        <w:rPr>
          <w:rFonts w:cstheme="minorHAnsi"/>
          <w:sz w:val="24"/>
          <w:szCs w:val="24"/>
        </w:rPr>
        <w:t xml:space="preserve"> fiber</w:t>
      </w:r>
      <w:r>
        <w:rPr>
          <w:rFonts w:cstheme="minorHAnsi"/>
          <w:sz w:val="24"/>
          <w:szCs w:val="24"/>
        </w:rPr>
        <w:t xml:space="preserve"> </w:t>
      </w:r>
      <w:r w:rsidRPr="005871FB">
        <w:rPr>
          <w:rFonts w:cstheme="minorHAnsi"/>
          <w:sz w:val="24"/>
          <w:szCs w:val="24"/>
        </w:rPr>
        <w:t xml:space="preserve">optic cables from an Oklahoma telecommunication sub-terranean conduit-lain fiber optic bundle. The utilization of existing utility telecommunications cables for other purposes has been called dark fiber where Marra et al. (2018) used submarine telecommunication fiber lain on the seafloor for earthquake detection and location. </w:t>
      </w:r>
      <w:r>
        <w:rPr>
          <w:rFonts w:cstheme="minorHAnsi"/>
          <w:sz w:val="24"/>
          <w:szCs w:val="24"/>
        </w:rPr>
        <w:t>As shown in</w:t>
      </w:r>
      <w:r w:rsidRPr="005871FB">
        <w:rPr>
          <w:rFonts w:cstheme="minorHAnsi"/>
          <w:sz w:val="24"/>
          <w:szCs w:val="24"/>
        </w:rPr>
        <w:t xml:space="preserve">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2</w:t>
      </w:r>
      <w:r w:rsidRPr="005871FB">
        <w:rPr>
          <w:rFonts w:cstheme="minorHAnsi"/>
          <w:sz w:val="24"/>
          <w:szCs w:val="24"/>
        </w:rPr>
        <w:t xml:space="preserve">, we use the server room housing the fiber optic terminal ends at Northwestern Oklahoma State University as a midpoint for the arrays. The DAS unit we are using is the </w:t>
      </w:r>
      <w:proofErr w:type="spellStart"/>
      <w:r w:rsidRPr="005871FB">
        <w:rPr>
          <w:rFonts w:cstheme="minorHAnsi"/>
          <w:sz w:val="24"/>
          <w:szCs w:val="24"/>
        </w:rPr>
        <w:t>Silixa</w:t>
      </w:r>
      <w:proofErr w:type="spellEnd"/>
      <w:r w:rsidRPr="005871FB">
        <w:rPr>
          <w:rFonts w:cstheme="minorHAnsi"/>
          <w:sz w:val="24"/>
          <w:szCs w:val="24"/>
        </w:rPr>
        <w:t xml:space="preserve"> brand </w:t>
      </w:r>
      <w:proofErr w:type="spellStart"/>
      <w:r w:rsidRPr="005871FB">
        <w:rPr>
          <w:rFonts w:cstheme="minorHAnsi"/>
          <w:sz w:val="24"/>
          <w:szCs w:val="24"/>
        </w:rPr>
        <w:t>iDAS</w:t>
      </w:r>
      <w:proofErr w:type="spellEnd"/>
      <w:r w:rsidRPr="005871FB">
        <w:rPr>
          <w:rFonts w:cstheme="minorHAnsi"/>
          <w:sz w:val="24"/>
          <w:szCs w:val="24"/>
        </w:rPr>
        <w:t xml:space="preserve"> interrogator, a dynamic range sensing system that determines strain rate and distance from measuring phase change in the Rayleigh scattering signal. We record DAS measurements at the </w:t>
      </w:r>
      <w:proofErr w:type="spellStart"/>
      <w:r w:rsidRPr="005871FB">
        <w:rPr>
          <w:rFonts w:cstheme="minorHAnsi"/>
          <w:sz w:val="24"/>
          <w:szCs w:val="24"/>
        </w:rPr>
        <w:t>iDAS’s</w:t>
      </w:r>
      <w:proofErr w:type="spellEnd"/>
      <w:r w:rsidRPr="005871FB">
        <w:rPr>
          <w:rFonts w:cstheme="minorHAnsi"/>
          <w:sz w:val="24"/>
          <w:szCs w:val="24"/>
        </w:rPr>
        <w:t xml:space="preserve"> maximum range of 1 kHz with a channel spacing of 2m and we later down-sample our recordings to 50Hz for </w:t>
      </w:r>
      <w:r>
        <w:rPr>
          <w:rFonts w:cstheme="minorHAnsi"/>
          <w:sz w:val="24"/>
          <w:szCs w:val="24"/>
        </w:rPr>
        <w:t>noise analysis</w:t>
      </w:r>
      <w:r w:rsidRPr="005871FB">
        <w:rPr>
          <w:rFonts w:cstheme="minorHAnsi"/>
          <w:sz w:val="24"/>
          <w:szCs w:val="24"/>
        </w:rPr>
        <w:t>.</w:t>
      </w:r>
    </w:p>
    <w:p w14:paraId="12DDC3B8"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3.3.1 Deployment 1 - EW1-40 (nodal deployment)</w:t>
      </w:r>
    </w:p>
    <w:p w14:paraId="60AA312C" w14:textId="77777777" w:rsidR="004C3823" w:rsidRPr="005871FB" w:rsidRDefault="004C3823" w:rsidP="005871FB">
      <w:pPr>
        <w:spacing w:line="480" w:lineRule="auto"/>
        <w:ind w:firstLine="720"/>
        <w:rPr>
          <w:rFonts w:cstheme="minorHAnsi"/>
          <w:sz w:val="24"/>
          <w:szCs w:val="24"/>
        </w:rPr>
      </w:pPr>
      <w:r>
        <w:rPr>
          <w:rFonts w:cstheme="minorHAnsi"/>
          <w:sz w:val="24"/>
          <w:szCs w:val="24"/>
        </w:rPr>
        <w:t xml:space="preserve">We deploy </w:t>
      </w:r>
      <w:r w:rsidRPr="005871FB">
        <w:rPr>
          <w:rFonts w:cstheme="minorHAnsi"/>
          <w:sz w:val="24"/>
          <w:szCs w:val="24"/>
        </w:rPr>
        <w:t xml:space="preserve">124 nodal sensors </w:t>
      </w:r>
      <w:r>
        <w:rPr>
          <w:rFonts w:cstheme="minorHAnsi"/>
          <w:sz w:val="24"/>
          <w:szCs w:val="24"/>
        </w:rPr>
        <w:t xml:space="preserve">between </w:t>
      </w:r>
      <w:r w:rsidRPr="005871FB">
        <w:rPr>
          <w:rFonts w:cstheme="minorHAnsi"/>
          <w:sz w:val="24"/>
          <w:szCs w:val="24"/>
        </w:rPr>
        <w:t>June 09, 2020 - July 14, 2020</w:t>
      </w:r>
      <w:r>
        <w:rPr>
          <w:rFonts w:cstheme="minorHAnsi"/>
          <w:sz w:val="24"/>
          <w:szCs w:val="24"/>
        </w:rPr>
        <w:t xml:space="preserve">, </w:t>
      </w:r>
      <w:r w:rsidRPr="005871FB">
        <w:rPr>
          <w:rFonts w:cstheme="minorHAnsi"/>
          <w:sz w:val="24"/>
          <w:szCs w:val="24"/>
        </w:rPr>
        <w:t>east of Northwestern Oklahoma State University (</w:t>
      </w:r>
      <w:r>
        <w:rPr>
          <w:rFonts w:cstheme="minorHAnsi"/>
          <w:b/>
          <w:bCs/>
          <w:sz w:val="24"/>
          <w:szCs w:val="24"/>
        </w:rPr>
        <w:t>F</w:t>
      </w:r>
      <w:r w:rsidRPr="009C6635">
        <w:rPr>
          <w:rFonts w:cstheme="minorHAnsi"/>
          <w:b/>
          <w:bCs/>
          <w:sz w:val="24"/>
          <w:szCs w:val="24"/>
        </w:rPr>
        <w:t xml:space="preserve">igure </w:t>
      </w:r>
      <w:r>
        <w:rPr>
          <w:rFonts w:cstheme="minorHAnsi"/>
          <w:b/>
          <w:bCs/>
          <w:sz w:val="24"/>
          <w:szCs w:val="24"/>
        </w:rPr>
        <w:t>3.</w:t>
      </w:r>
      <w:r w:rsidRPr="009C6635">
        <w:rPr>
          <w:rFonts w:cstheme="minorHAnsi"/>
          <w:b/>
          <w:bCs/>
          <w:sz w:val="24"/>
          <w:szCs w:val="24"/>
        </w:rPr>
        <w:t>2</w:t>
      </w:r>
      <w:r w:rsidRPr="005871FB">
        <w:rPr>
          <w:rFonts w:cstheme="minorHAnsi"/>
          <w:sz w:val="24"/>
          <w:szCs w:val="24"/>
        </w:rPr>
        <w:t>). Initially, the plan for the deployment is about 400m spacing, but actual spacing varies from 300m to 400m spacing on account of GPS error and GPS update</w:t>
      </w:r>
      <w:r>
        <w:rPr>
          <w:rFonts w:cstheme="minorHAnsi"/>
          <w:sz w:val="24"/>
          <w:szCs w:val="24"/>
        </w:rPr>
        <w:t>s</w:t>
      </w:r>
      <w:r w:rsidRPr="005871FB">
        <w:rPr>
          <w:rFonts w:cstheme="minorHAnsi"/>
          <w:sz w:val="24"/>
          <w:szCs w:val="24"/>
        </w:rPr>
        <w:t xml:space="preserve"> when traversing the deployment line during deployment. </w:t>
      </w:r>
    </w:p>
    <w:p w14:paraId="7C2D6230" w14:textId="77777777" w:rsidR="004C3823" w:rsidRDefault="004C3823" w:rsidP="005871FB">
      <w:pPr>
        <w:spacing w:line="480" w:lineRule="auto"/>
        <w:rPr>
          <w:rFonts w:cstheme="minorHAnsi"/>
          <w:sz w:val="24"/>
          <w:szCs w:val="24"/>
        </w:rPr>
      </w:pPr>
    </w:p>
    <w:p w14:paraId="741CB948" w14:textId="77777777" w:rsidR="004C3823" w:rsidRDefault="004C3823" w:rsidP="005871FB">
      <w:pPr>
        <w:spacing w:line="480" w:lineRule="auto"/>
        <w:rPr>
          <w:rFonts w:cstheme="minorHAnsi"/>
          <w:sz w:val="24"/>
          <w:szCs w:val="24"/>
        </w:rPr>
      </w:pPr>
    </w:p>
    <w:p w14:paraId="2DDC92D6" w14:textId="77777777" w:rsidR="004C3823" w:rsidRPr="005871FB" w:rsidRDefault="004C3823" w:rsidP="005871FB">
      <w:pPr>
        <w:spacing w:line="480" w:lineRule="auto"/>
        <w:rPr>
          <w:rFonts w:cstheme="minorHAnsi"/>
          <w:sz w:val="24"/>
          <w:szCs w:val="24"/>
        </w:rPr>
      </w:pPr>
    </w:p>
    <w:p w14:paraId="0CFCE417"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lastRenderedPageBreak/>
        <w:t>3.3.2 Deployment 2 - EW1-20A</w:t>
      </w:r>
      <w:r>
        <w:rPr>
          <w:rFonts w:cstheme="minorHAnsi"/>
          <w:b/>
          <w:bCs/>
          <w:sz w:val="24"/>
          <w:szCs w:val="24"/>
        </w:rPr>
        <w:t xml:space="preserve"> </w:t>
      </w:r>
      <w:r w:rsidRPr="005871FB">
        <w:rPr>
          <w:rFonts w:cstheme="minorHAnsi"/>
          <w:b/>
          <w:bCs/>
          <w:sz w:val="24"/>
          <w:szCs w:val="24"/>
        </w:rPr>
        <w:t>&amp;</w:t>
      </w:r>
      <w:r>
        <w:rPr>
          <w:rFonts w:cstheme="minorHAnsi"/>
          <w:b/>
          <w:bCs/>
          <w:sz w:val="24"/>
          <w:szCs w:val="24"/>
        </w:rPr>
        <w:t xml:space="preserve"> </w:t>
      </w:r>
      <w:r w:rsidRPr="005871FB">
        <w:rPr>
          <w:rFonts w:cstheme="minorHAnsi"/>
          <w:b/>
          <w:bCs/>
          <w:sz w:val="24"/>
          <w:szCs w:val="24"/>
        </w:rPr>
        <w:t>B (Rolling nodal deployment and concurrent DAS)</w:t>
      </w:r>
    </w:p>
    <w:p w14:paraId="5CC6ED3E"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 xml:space="preserve">As shown in </w:t>
      </w:r>
      <w:r w:rsidRPr="00E84D0B">
        <w:rPr>
          <w:rFonts w:cstheme="minorHAnsi"/>
          <w:b/>
          <w:bCs/>
          <w:sz w:val="24"/>
          <w:szCs w:val="24"/>
        </w:rPr>
        <w:t xml:space="preserve">Figure </w:t>
      </w:r>
      <w:r>
        <w:rPr>
          <w:rFonts w:cstheme="minorHAnsi"/>
          <w:b/>
          <w:bCs/>
          <w:sz w:val="24"/>
          <w:szCs w:val="24"/>
        </w:rPr>
        <w:t>3.</w:t>
      </w:r>
      <w:r w:rsidRPr="00E84D0B">
        <w:rPr>
          <w:rFonts w:cstheme="minorHAnsi"/>
          <w:b/>
          <w:bCs/>
          <w:sz w:val="24"/>
          <w:szCs w:val="24"/>
        </w:rPr>
        <w:t>2</w:t>
      </w:r>
      <w:r w:rsidRPr="005871FB">
        <w:rPr>
          <w:rFonts w:cstheme="minorHAnsi"/>
          <w:sz w:val="24"/>
          <w:szCs w:val="24"/>
        </w:rPr>
        <w:t>, EW1-20A uses 103 sensors on the initial deployment where 43 sensors are on the EW line</w:t>
      </w:r>
      <w:r>
        <w:rPr>
          <w:rFonts w:cstheme="minorHAnsi"/>
          <w:sz w:val="24"/>
          <w:szCs w:val="24"/>
        </w:rPr>
        <w:t xml:space="preserve"> </w:t>
      </w:r>
      <w:r w:rsidRPr="005871FB">
        <w:rPr>
          <w:rFonts w:cstheme="minorHAnsi"/>
          <w:sz w:val="24"/>
          <w:szCs w:val="24"/>
        </w:rPr>
        <w:t xml:space="preserve">(43km), 38 sensors NS1(23km) on </w:t>
      </w:r>
      <w:r>
        <w:rPr>
          <w:rFonts w:cstheme="minorHAnsi"/>
          <w:sz w:val="24"/>
          <w:szCs w:val="24"/>
        </w:rPr>
        <w:t>H</w:t>
      </w:r>
      <w:r w:rsidRPr="005871FB">
        <w:rPr>
          <w:rFonts w:cstheme="minorHAnsi"/>
          <w:sz w:val="24"/>
          <w:szCs w:val="24"/>
        </w:rPr>
        <w:t>ighway 74, and 22 sensors in NS2</w:t>
      </w:r>
      <w:r>
        <w:rPr>
          <w:rFonts w:cstheme="minorHAnsi"/>
          <w:sz w:val="24"/>
          <w:szCs w:val="24"/>
        </w:rPr>
        <w:t xml:space="preserve"> </w:t>
      </w:r>
      <w:r w:rsidRPr="005871FB">
        <w:rPr>
          <w:rFonts w:cstheme="minorHAnsi"/>
          <w:sz w:val="24"/>
          <w:szCs w:val="24"/>
        </w:rPr>
        <w:t xml:space="preserve">(14km) on </w:t>
      </w:r>
      <w:r>
        <w:rPr>
          <w:rFonts w:cstheme="minorHAnsi"/>
          <w:sz w:val="24"/>
          <w:szCs w:val="24"/>
        </w:rPr>
        <w:t>H</w:t>
      </w:r>
      <w:r w:rsidRPr="005871FB">
        <w:rPr>
          <w:rFonts w:cstheme="minorHAnsi"/>
          <w:sz w:val="24"/>
          <w:szCs w:val="24"/>
        </w:rPr>
        <w:t>ighway 81. EW line spacing was 1-1.3km spacing</w:t>
      </w:r>
      <w:r>
        <w:rPr>
          <w:rFonts w:cstheme="minorHAnsi"/>
          <w:sz w:val="24"/>
          <w:szCs w:val="24"/>
        </w:rPr>
        <w:t>,</w:t>
      </w:r>
      <w:r w:rsidRPr="005871FB">
        <w:rPr>
          <w:rFonts w:cstheme="minorHAnsi"/>
          <w:sz w:val="24"/>
          <w:szCs w:val="24"/>
        </w:rPr>
        <w:t xml:space="preserve"> both NW lines were approximately 500-700m spacing. We use a rolling deployment</w:t>
      </w:r>
      <w:r>
        <w:rPr>
          <w:rFonts w:cstheme="minorHAnsi"/>
          <w:sz w:val="24"/>
          <w:szCs w:val="24"/>
        </w:rPr>
        <w:t>,</w:t>
      </w:r>
      <w:r w:rsidRPr="005871FB">
        <w:rPr>
          <w:rFonts w:cstheme="minorHAnsi"/>
          <w:sz w:val="24"/>
          <w:szCs w:val="24"/>
        </w:rPr>
        <w:t xml:space="preserve"> so half of </w:t>
      </w:r>
      <w:r>
        <w:rPr>
          <w:rFonts w:cstheme="minorHAnsi"/>
          <w:sz w:val="24"/>
          <w:szCs w:val="24"/>
        </w:rPr>
        <w:t xml:space="preserve">the </w:t>
      </w:r>
      <w:r w:rsidRPr="005871FB">
        <w:rPr>
          <w:rFonts w:cstheme="minorHAnsi"/>
          <w:sz w:val="24"/>
          <w:szCs w:val="24"/>
        </w:rPr>
        <w:t xml:space="preserve">deployed sensors were collected shortly after the initial deployment of EW1-20A. All sensors east of NS1 were collected and half of both NS lines were collected within 2 weeks of deployment of 103 sensors. Existing sensors were replaced within 2 weeks of collection for an extended deployment to be co-located with the </w:t>
      </w:r>
      <w:proofErr w:type="spellStart"/>
      <w:r w:rsidRPr="005871FB">
        <w:rPr>
          <w:rFonts w:cstheme="minorHAnsi"/>
          <w:sz w:val="24"/>
          <w:szCs w:val="24"/>
        </w:rPr>
        <w:t>iDAS</w:t>
      </w:r>
      <w:proofErr w:type="spellEnd"/>
      <w:r w:rsidRPr="005871FB">
        <w:rPr>
          <w:rFonts w:cstheme="minorHAnsi"/>
          <w:sz w:val="24"/>
          <w:szCs w:val="24"/>
        </w:rPr>
        <w:t xml:space="preserve"> array deployment. On the redeployment of the EW1-20B, all sensors in NS1 and within the EW line</w:t>
      </w:r>
      <w:r>
        <w:rPr>
          <w:rFonts w:cstheme="minorHAnsi"/>
          <w:sz w:val="24"/>
          <w:szCs w:val="24"/>
        </w:rPr>
        <w:t xml:space="preserve"> </w:t>
      </w:r>
      <w:r w:rsidRPr="005871FB">
        <w:rPr>
          <w:rFonts w:cstheme="minorHAnsi"/>
          <w:sz w:val="24"/>
          <w:szCs w:val="24"/>
        </w:rPr>
        <w:t>(21.3km) were replaced with recharged sensor</w:t>
      </w:r>
      <w:r>
        <w:rPr>
          <w:rFonts w:cstheme="minorHAnsi"/>
          <w:sz w:val="24"/>
          <w:szCs w:val="24"/>
        </w:rPr>
        <w:t>s</w:t>
      </w:r>
      <w:r w:rsidRPr="005871FB">
        <w:rPr>
          <w:rFonts w:cstheme="minorHAnsi"/>
          <w:sz w:val="24"/>
          <w:szCs w:val="24"/>
        </w:rPr>
        <w:t>. The density in NS2 remained the same</w:t>
      </w:r>
      <w:r>
        <w:rPr>
          <w:rFonts w:cstheme="minorHAnsi"/>
          <w:sz w:val="24"/>
          <w:szCs w:val="24"/>
        </w:rPr>
        <w:t xml:space="preserve"> </w:t>
      </w:r>
      <w:r w:rsidRPr="005871FB">
        <w:rPr>
          <w:rFonts w:cstheme="minorHAnsi"/>
          <w:sz w:val="24"/>
          <w:szCs w:val="24"/>
        </w:rPr>
        <w:t>(14km), but NS1 was shortened</w:t>
      </w:r>
      <w:r>
        <w:rPr>
          <w:rFonts w:cstheme="minorHAnsi"/>
          <w:sz w:val="24"/>
          <w:szCs w:val="24"/>
        </w:rPr>
        <w:t xml:space="preserve"> </w:t>
      </w:r>
      <w:r w:rsidRPr="005871FB">
        <w:rPr>
          <w:rFonts w:cstheme="minorHAnsi"/>
          <w:sz w:val="24"/>
          <w:szCs w:val="24"/>
        </w:rPr>
        <w:t xml:space="preserve">(10km) and </w:t>
      </w:r>
      <w:r>
        <w:rPr>
          <w:rFonts w:cstheme="minorHAnsi"/>
          <w:sz w:val="24"/>
          <w:szCs w:val="24"/>
        </w:rPr>
        <w:t xml:space="preserve">the </w:t>
      </w:r>
      <w:r w:rsidRPr="005871FB">
        <w:rPr>
          <w:rFonts w:cstheme="minorHAnsi"/>
          <w:sz w:val="24"/>
          <w:szCs w:val="24"/>
        </w:rPr>
        <w:t>density in the EW line was increased to have a spacing of 500-700m. The DAS system was installed shortly after the nodal deployment and was operational between April 21,</w:t>
      </w:r>
      <w:r>
        <w:rPr>
          <w:rFonts w:cstheme="minorHAnsi"/>
          <w:sz w:val="24"/>
          <w:szCs w:val="24"/>
        </w:rPr>
        <w:t xml:space="preserve"> </w:t>
      </w:r>
      <w:r w:rsidRPr="005871FB">
        <w:rPr>
          <w:rFonts w:cstheme="minorHAnsi"/>
          <w:sz w:val="24"/>
          <w:szCs w:val="24"/>
        </w:rPr>
        <w:t>2021 - May 13,</w:t>
      </w:r>
      <w:r>
        <w:rPr>
          <w:rFonts w:cstheme="minorHAnsi"/>
          <w:sz w:val="24"/>
          <w:szCs w:val="24"/>
        </w:rPr>
        <w:t xml:space="preserve"> </w:t>
      </w:r>
      <w:r w:rsidRPr="005871FB">
        <w:rPr>
          <w:rFonts w:cstheme="minorHAnsi"/>
          <w:sz w:val="24"/>
          <w:szCs w:val="24"/>
        </w:rPr>
        <w:t xml:space="preserve">2021. </w:t>
      </w:r>
    </w:p>
    <w:p w14:paraId="568847C7"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3.3.3 Deployment 3 - EW2 (nodal deployment and concurrent DAS))</w:t>
      </w:r>
    </w:p>
    <w:p w14:paraId="4536787B" w14:textId="77777777" w:rsidR="004C3823" w:rsidRDefault="004C3823" w:rsidP="005871FB">
      <w:pPr>
        <w:spacing w:line="480" w:lineRule="auto"/>
        <w:ind w:firstLine="720"/>
        <w:rPr>
          <w:rFonts w:cstheme="minorHAnsi"/>
          <w:sz w:val="24"/>
          <w:szCs w:val="24"/>
        </w:rPr>
      </w:pPr>
      <w:r w:rsidRPr="005871FB">
        <w:rPr>
          <w:rFonts w:cstheme="minorHAnsi"/>
          <w:sz w:val="24"/>
          <w:szCs w:val="24"/>
        </w:rPr>
        <w:t>A total of 61 sensor</w:t>
      </w:r>
      <w:r>
        <w:rPr>
          <w:rFonts w:cstheme="minorHAnsi"/>
          <w:sz w:val="24"/>
          <w:szCs w:val="24"/>
        </w:rPr>
        <w:t>s</w:t>
      </w:r>
      <w:r w:rsidRPr="005871FB">
        <w:rPr>
          <w:rFonts w:cstheme="minorHAnsi"/>
          <w:sz w:val="24"/>
          <w:szCs w:val="24"/>
        </w:rPr>
        <w:t xml:space="preserve"> are used for deployment 3, where 26 sensors are deployed west of station 4001 for 22.5km (</w:t>
      </w:r>
      <w:r w:rsidRPr="00E84D0B">
        <w:rPr>
          <w:rFonts w:cstheme="minorHAnsi"/>
          <w:b/>
          <w:bCs/>
          <w:sz w:val="24"/>
          <w:szCs w:val="24"/>
        </w:rPr>
        <w:t>Figure 3.2</w:t>
      </w:r>
      <w:r w:rsidRPr="005871FB">
        <w:rPr>
          <w:rFonts w:cstheme="minorHAnsi"/>
          <w:sz w:val="24"/>
          <w:szCs w:val="24"/>
        </w:rPr>
        <w:t>). Additionally,</w:t>
      </w:r>
      <w:r>
        <w:rPr>
          <w:rFonts w:cstheme="minorHAnsi"/>
          <w:sz w:val="24"/>
          <w:szCs w:val="24"/>
        </w:rPr>
        <w:t xml:space="preserve"> </w:t>
      </w:r>
      <w:r w:rsidRPr="005871FB">
        <w:rPr>
          <w:rFonts w:cstheme="minorHAnsi"/>
          <w:sz w:val="24"/>
          <w:szCs w:val="24"/>
        </w:rPr>
        <w:t>35 sensors are redeployed on NS2 replacing deployed sensors from EW1-20B and extending the North–South deployment line to 23.5km between August 1,</w:t>
      </w:r>
      <w:r>
        <w:rPr>
          <w:rFonts w:cstheme="minorHAnsi"/>
          <w:sz w:val="24"/>
          <w:szCs w:val="24"/>
        </w:rPr>
        <w:t xml:space="preserve"> </w:t>
      </w:r>
      <w:r w:rsidRPr="005871FB">
        <w:rPr>
          <w:rFonts w:cstheme="minorHAnsi"/>
          <w:sz w:val="24"/>
          <w:szCs w:val="24"/>
        </w:rPr>
        <w:t xml:space="preserve">2021 – August 31, 2021. The DAS system was installed </w:t>
      </w:r>
      <w:r>
        <w:rPr>
          <w:rFonts w:cstheme="minorHAnsi"/>
          <w:sz w:val="24"/>
          <w:szCs w:val="24"/>
        </w:rPr>
        <w:t>before</w:t>
      </w:r>
      <w:r w:rsidRPr="005871FB">
        <w:rPr>
          <w:rFonts w:cstheme="minorHAnsi"/>
          <w:sz w:val="24"/>
          <w:szCs w:val="24"/>
        </w:rPr>
        <w:t xml:space="preserve"> the nodal array this time on July 19, 2021</w:t>
      </w:r>
      <w:r>
        <w:rPr>
          <w:rFonts w:cstheme="minorHAnsi"/>
          <w:sz w:val="24"/>
          <w:szCs w:val="24"/>
        </w:rPr>
        <w:t>,</w:t>
      </w:r>
      <w:r w:rsidRPr="005871FB">
        <w:rPr>
          <w:rFonts w:cstheme="minorHAnsi"/>
          <w:sz w:val="24"/>
          <w:szCs w:val="24"/>
        </w:rPr>
        <w:t xml:space="preserve"> until August 11, 2021</w:t>
      </w:r>
      <w:r>
        <w:rPr>
          <w:rFonts w:cstheme="minorHAnsi"/>
          <w:sz w:val="24"/>
          <w:szCs w:val="24"/>
        </w:rPr>
        <w:t>.</w:t>
      </w:r>
    </w:p>
    <w:p w14:paraId="55B8E2B2" w14:textId="77777777" w:rsidR="004C3823" w:rsidRDefault="004C3823" w:rsidP="005871FB">
      <w:pPr>
        <w:spacing w:line="480" w:lineRule="auto"/>
        <w:ind w:firstLine="720"/>
        <w:rPr>
          <w:rFonts w:cstheme="minorHAnsi"/>
          <w:sz w:val="24"/>
          <w:szCs w:val="24"/>
        </w:rPr>
      </w:pPr>
    </w:p>
    <w:p w14:paraId="30DDA29A" w14:textId="77777777" w:rsidR="004C3823" w:rsidRPr="005871FB" w:rsidRDefault="004C3823" w:rsidP="005871FB">
      <w:pPr>
        <w:spacing w:line="480" w:lineRule="auto"/>
        <w:ind w:firstLine="720"/>
        <w:rPr>
          <w:rFonts w:cstheme="minorHAnsi"/>
          <w:sz w:val="24"/>
          <w:szCs w:val="24"/>
        </w:rPr>
      </w:pPr>
    </w:p>
    <w:p w14:paraId="41B3C2EA"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lastRenderedPageBreak/>
        <w:t>3.4.  Comparison of DAS and Nodal array performance</w:t>
      </w:r>
    </w:p>
    <w:p w14:paraId="28496419"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Distributed Acoustic Sensing (DAS) and Seismic Nodal Sensors are two different types of sensors used in seismic surveys to acquire data on subsurface structures. While both technologies are used to</w:t>
      </w:r>
      <w:r>
        <w:rPr>
          <w:rFonts w:cstheme="minorHAnsi"/>
          <w:sz w:val="24"/>
          <w:szCs w:val="24"/>
        </w:rPr>
        <w:t xml:space="preserve"> record </w:t>
      </w:r>
      <w:r w:rsidRPr="005871FB">
        <w:rPr>
          <w:rFonts w:cstheme="minorHAnsi"/>
          <w:sz w:val="24"/>
          <w:szCs w:val="24"/>
        </w:rPr>
        <w:t xml:space="preserve">seismic waves, there are some significant differences in their performance. </w:t>
      </w:r>
    </w:p>
    <w:p w14:paraId="2291EBCD"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 xml:space="preserve">DAS </w:t>
      </w:r>
      <w:r>
        <w:rPr>
          <w:rFonts w:cstheme="minorHAnsi"/>
          <w:sz w:val="24"/>
          <w:szCs w:val="24"/>
        </w:rPr>
        <w:t xml:space="preserve">is a type of distributed sensing that </w:t>
      </w:r>
      <w:r w:rsidRPr="005871FB">
        <w:rPr>
          <w:rFonts w:cstheme="minorHAnsi"/>
          <w:sz w:val="24"/>
          <w:szCs w:val="24"/>
        </w:rPr>
        <w:t xml:space="preserve">uses fiber optic cables to capture seismic waves by measuring the backscatter from laser pulses as it travels along the fiber optic cable. </w:t>
      </w:r>
      <w:r>
        <w:rPr>
          <w:rFonts w:cstheme="minorHAnsi"/>
          <w:sz w:val="24"/>
          <w:szCs w:val="24"/>
        </w:rPr>
        <w:t>Different types of backscatters can</w:t>
      </w:r>
      <w:r w:rsidRPr="005871FB">
        <w:rPr>
          <w:rFonts w:cstheme="minorHAnsi"/>
          <w:sz w:val="24"/>
          <w:szCs w:val="24"/>
        </w:rPr>
        <w:t xml:space="preserve"> be measured by </w:t>
      </w:r>
      <w:r>
        <w:rPr>
          <w:rFonts w:cstheme="minorHAnsi"/>
          <w:sz w:val="24"/>
          <w:szCs w:val="24"/>
        </w:rPr>
        <w:t>distributed sensing</w:t>
      </w:r>
      <w:r w:rsidRPr="005871FB">
        <w:rPr>
          <w:rFonts w:cstheme="minorHAnsi"/>
          <w:sz w:val="24"/>
          <w:szCs w:val="24"/>
        </w:rPr>
        <w:t xml:space="preserve"> which provides insight </w:t>
      </w:r>
      <w:r>
        <w:rPr>
          <w:rFonts w:cstheme="minorHAnsi"/>
          <w:sz w:val="24"/>
          <w:szCs w:val="24"/>
        </w:rPr>
        <w:t>into</w:t>
      </w:r>
      <w:r w:rsidRPr="005871FB">
        <w:rPr>
          <w:rFonts w:cstheme="minorHAnsi"/>
          <w:sz w:val="24"/>
          <w:szCs w:val="24"/>
        </w:rPr>
        <w:t xml:space="preserve"> different physical characteristics affecting the fiber optic cable. Rayleigh, Raman, and Brillouin scattering are all phenomena related to the scattering of light. These light backscatters differ in terms of the physical mechanism responsible for the scattering, the wavelengths of light involved, and the information that can be obtained from the scattered light. As a laser pulse</w:t>
      </w:r>
      <w:r>
        <w:rPr>
          <w:rFonts w:cstheme="minorHAnsi"/>
          <w:sz w:val="24"/>
          <w:szCs w:val="24"/>
        </w:rPr>
        <w:t>,</w:t>
      </w:r>
      <w:r w:rsidRPr="005871FB">
        <w:rPr>
          <w:rFonts w:cstheme="minorHAnsi"/>
          <w:sz w:val="24"/>
          <w:szCs w:val="24"/>
        </w:rPr>
        <w:t xml:space="preserve"> from the interrogator</w:t>
      </w:r>
      <w:r>
        <w:rPr>
          <w:rFonts w:cstheme="minorHAnsi"/>
          <w:sz w:val="24"/>
          <w:szCs w:val="24"/>
        </w:rPr>
        <w:t>,</w:t>
      </w:r>
      <w:r w:rsidRPr="005871FB">
        <w:rPr>
          <w:rFonts w:cstheme="minorHAnsi"/>
          <w:sz w:val="24"/>
          <w:szCs w:val="24"/>
        </w:rPr>
        <w:t xml:space="preserve"> propagat</w:t>
      </w:r>
      <w:r>
        <w:rPr>
          <w:rFonts w:cstheme="minorHAnsi"/>
          <w:sz w:val="24"/>
          <w:szCs w:val="24"/>
        </w:rPr>
        <w:t>es</w:t>
      </w:r>
      <w:r w:rsidRPr="005871FB">
        <w:rPr>
          <w:rFonts w:cstheme="minorHAnsi"/>
          <w:sz w:val="24"/>
          <w:szCs w:val="24"/>
        </w:rPr>
        <w:t xml:space="preserve"> through a length of fiber</w:t>
      </w:r>
      <w:r>
        <w:rPr>
          <w:rFonts w:cstheme="minorHAnsi"/>
          <w:sz w:val="24"/>
          <w:szCs w:val="24"/>
        </w:rPr>
        <w:t>,</w:t>
      </w:r>
      <w:r w:rsidRPr="005871FB">
        <w:rPr>
          <w:rFonts w:cstheme="minorHAnsi"/>
          <w:sz w:val="24"/>
          <w:szCs w:val="24"/>
        </w:rPr>
        <w:t xml:space="preserve"> the individual photons are affected by the fiber itself. Rayleigh scatter is when the backscatter frequency is the same as the initial frequency, Raman scatter is when the scatter has increased (anti-stokes) or decreased (stokes) its energy level from photon interaction with the fiber’s natural molecular vibration, and Brillouin scatter is caused by the physical expansion and contraction of the fiber from photon energy, generating an acoustic response from the fiber. Phase changes in Rayleigh scattered signal can measure strain rate, backscatter of Raman stokes and anti-stokes measures temperature (Farahani and </w:t>
      </w:r>
      <w:proofErr w:type="spellStart"/>
      <w:r w:rsidRPr="005871FB">
        <w:rPr>
          <w:rFonts w:cstheme="minorHAnsi"/>
          <w:sz w:val="24"/>
          <w:szCs w:val="24"/>
        </w:rPr>
        <w:t>Gogolla</w:t>
      </w:r>
      <w:proofErr w:type="spellEnd"/>
      <w:r>
        <w:rPr>
          <w:rFonts w:cstheme="minorHAnsi"/>
          <w:sz w:val="24"/>
          <w:szCs w:val="24"/>
        </w:rPr>
        <w:t>,</w:t>
      </w:r>
      <w:r w:rsidRPr="005871FB">
        <w:rPr>
          <w:rFonts w:cstheme="minorHAnsi"/>
          <w:sz w:val="24"/>
          <w:szCs w:val="24"/>
        </w:rPr>
        <w:t xml:space="preserve"> 1999), and Brillouin scattering measures both temperature and strain. Stokes and anti-stokes differ in terms of wavelength, where</w:t>
      </w:r>
      <w:r>
        <w:rPr>
          <w:rFonts w:cstheme="minorHAnsi"/>
          <w:sz w:val="24"/>
          <w:szCs w:val="24"/>
        </w:rPr>
        <w:t>as</w:t>
      </w:r>
      <w:r w:rsidRPr="005871FB">
        <w:rPr>
          <w:rFonts w:cstheme="minorHAnsi"/>
          <w:sz w:val="24"/>
          <w:szCs w:val="24"/>
        </w:rPr>
        <w:t xml:space="preserve"> stokes have a longer wavelength than anti-stokes (Conway and </w:t>
      </w:r>
      <w:proofErr w:type="spellStart"/>
      <w:r w:rsidRPr="005871FB">
        <w:rPr>
          <w:rFonts w:cstheme="minorHAnsi"/>
          <w:sz w:val="24"/>
          <w:szCs w:val="24"/>
        </w:rPr>
        <w:t>Mondanos</w:t>
      </w:r>
      <w:proofErr w:type="spellEnd"/>
      <w:r>
        <w:rPr>
          <w:rFonts w:cstheme="minorHAnsi"/>
          <w:sz w:val="24"/>
          <w:szCs w:val="24"/>
        </w:rPr>
        <w:t>,</w:t>
      </w:r>
      <w:r w:rsidRPr="005871FB">
        <w:rPr>
          <w:rFonts w:cstheme="minorHAnsi"/>
          <w:sz w:val="24"/>
          <w:szCs w:val="24"/>
        </w:rPr>
        <w:t xml:space="preserve"> 2015). Raman scattering occurs when </w:t>
      </w:r>
      <w:r w:rsidRPr="005871FB">
        <w:rPr>
          <w:rFonts w:cstheme="minorHAnsi"/>
          <w:sz w:val="24"/>
          <w:szCs w:val="24"/>
        </w:rPr>
        <w:lastRenderedPageBreak/>
        <w:t xml:space="preserve">light interacts with molecules or crystals throughout the core of the fiber over the entire fiber length (Conway and </w:t>
      </w:r>
      <w:proofErr w:type="spellStart"/>
      <w:r w:rsidRPr="005871FB">
        <w:rPr>
          <w:rFonts w:cstheme="minorHAnsi"/>
          <w:sz w:val="24"/>
          <w:szCs w:val="24"/>
        </w:rPr>
        <w:t>Mondanos</w:t>
      </w:r>
      <w:proofErr w:type="spellEnd"/>
      <w:r>
        <w:rPr>
          <w:rFonts w:cstheme="minorHAnsi"/>
          <w:sz w:val="24"/>
          <w:szCs w:val="24"/>
        </w:rPr>
        <w:t>,</w:t>
      </w:r>
      <w:r w:rsidRPr="005871FB">
        <w:rPr>
          <w:rFonts w:cstheme="minorHAnsi"/>
          <w:sz w:val="24"/>
          <w:szCs w:val="24"/>
        </w:rPr>
        <w:t xml:space="preserve"> 2015) (Raman</w:t>
      </w:r>
      <w:r>
        <w:rPr>
          <w:rFonts w:cstheme="minorHAnsi"/>
          <w:sz w:val="24"/>
          <w:szCs w:val="24"/>
        </w:rPr>
        <w:t>,</w:t>
      </w:r>
      <w:r w:rsidRPr="005871FB">
        <w:rPr>
          <w:rFonts w:cstheme="minorHAnsi"/>
          <w:sz w:val="24"/>
          <w:szCs w:val="24"/>
        </w:rPr>
        <w:t xml:space="preserve"> 1928). It is analyzed through Raman optical time-domain reflectometry where the backscatter from a short laser pulse contains information on loss and temperature along the length of the fiber (Farahani and </w:t>
      </w:r>
      <w:proofErr w:type="spellStart"/>
      <w:r w:rsidRPr="005871FB">
        <w:rPr>
          <w:rFonts w:cstheme="minorHAnsi"/>
          <w:sz w:val="24"/>
          <w:szCs w:val="24"/>
        </w:rPr>
        <w:t>Gogolla</w:t>
      </w:r>
      <w:proofErr w:type="spellEnd"/>
      <w:r>
        <w:rPr>
          <w:rFonts w:cstheme="minorHAnsi"/>
          <w:sz w:val="24"/>
          <w:szCs w:val="24"/>
        </w:rPr>
        <w:t>,</w:t>
      </w:r>
      <w:r w:rsidRPr="005871FB">
        <w:rPr>
          <w:rFonts w:cstheme="minorHAnsi"/>
          <w:sz w:val="24"/>
          <w:szCs w:val="24"/>
        </w:rPr>
        <w:t xml:space="preserve"> 1999). Brillouin scattering occurs when light interacts with the acoustic waves (i.e., sound waves) that propagate through a material. The scattered light undergoes a frequency shift that corresponds to the frequency of the acoustic wave, and this shift can be used to measure the speed of sound in the material (Boyd</w:t>
      </w:r>
      <w:r>
        <w:rPr>
          <w:rFonts w:cstheme="minorHAnsi"/>
          <w:sz w:val="24"/>
          <w:szCs w:val="24"/>
        </w:rPr>
        <w:t>,</w:t>
      </w:r>
      <w:r w:rsidRPr="005871FB">
        <w:rPr>
          <w:rFonts w:cstheme="minorHAnsi"/>
          <w:sz w:val="24"/>
          <w:szCs w:val="24"/>
        </w:rPr>
        <w:t xml:space="preserve"> 2008). The </w:t>
      </w:r>
      <w:proofErr w:type="spellStart"/>
      <w:r w:rsidRPr="005871FB">
        <w:rPr>
          <w:rFonts w:cstheme="minorHAnsi"/>
          <w:sz w:val="24"/>
          <w:szCs w:val="24"/>
        </w:rPr>
        <w:t>iDAS</w:t>
      </w:r>
      <w:proofErr w:type="spellEnd"/>
      <w:r w:rsidRPr="005871FB">
        <w:rPr>
          <w:rFonts w:cstheme="minorHAnsi"/>
          <w:sz w:val="24"/>
          <w:szCs w:val="24"/>
        </w:rPr>
        <w:t xml:space="preserve"> interrogator from </w:t>
      </w:r>
      <w:proofErr w:type="spellStart"/>
      <w:r w:rsidRPr="005871FB">
        <w:rPr>
          <w:rFonts w:cstheme="minorHAnsi"/>
          <w:sz w:val="24"/>
          <w:szCs w:val="24"/>
        </w:rPr>
        <w:t>Silixia</w:t>
      </w:r>
      <w:proofErr w:type="spellEnd"/>
      <w:r w:rsidRPr="005871FB">
        <w:rPr>
          <w:rFonts w:cstheme="minorHAnsi"/>
          <w:sz w:val="24"/>
          <w:szCs w:val="24"/>
        </w:rPr>
        <w:t xml:space="preserve"> in our study uses Rayleigh backscatter for </w:t>
      </w:r>
      <w:r>
        <w:rPr>
          <w:rFonts w:cstheme="minorHAnsi"/>
          <w:sz w:val="24"/>
          <w:szCs w:val="24"/>
        </w:rPr>
        <w:t>measuring</w:t>
      </w:r>
      <w:r w:rsidRPr="005871FB">
        <w:rPr>
          <w:rFonts w:cstheme="minorHAnsi"/>
          <w:sz w:val="24"/>
          <w:szCs w:val="24"/>
        </w:rPr>
        <w:t xml:space="preserve"> strain rate </w:t>
      </w:r>
      <w:r>
        <w:rPr>
          <w:rFonts w:cstheme="minorHAnsi"/>
          <w:sz w:val="24"/>
          <w:szCs w:val="24"/>
        </w:rPr>
        <w:t>along the fiber</w:t>
      </w:r>
      <w:r w:rsidRPr="005871FB">
        <w:rPr>
          <w:rFonts w:cstheme="minorHAnsi"/>
          <w:sz w:val="24"/>
          <w:szCs w:val="24"/>
        </w:rPr>
        <w:t xml:space="preserve">. </w:t>
      </w:r>
    </w:p>
    <w:p w14:paraId="530FCD58"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Traditional geophone sensors consist of three orthogonal (perpendicular) sensors that measure ground motion in three directions X, Y, and Z (Murphy, 1996) of displacement at their location. The more recent nodal sensors have been deployed in arrays or clusters across a seismic survey area (Li et al.</w:t>
      </w:r>
      <w:r>
        <w:rPr>
          <w:rFonts w:cstheme="minorHAnsi"/>
          <w:sz w:val="24"/>
          <w:szCs w:val="24"/>
        </w:rPr>
        <w:t>,</w:t>
      </w:r>
      <w:r w:rsidRPr="005871FB">
        <w:rPr>
          <w:rFonts w:cstheme="minorHAnsi"/>
          <w:sz w:val="24"/>
          <w:szCs w:val="24"/>
        </w:rPr>
        <w:t xml:space="preserve"> 2018) and are then connected to a central recording system that collects and analyzes the data. The sensors are designed to be low-power and low-maintenance, and they can be left in place for extended periods </w:t>
      </w:r>
      <w:r>
        <w:rPr>
          <w:rFonts w:cstheme="minorHAnsi"/>
          <w:sz w:val="24"/>
          <w:szCs w:val="24"/>
        </w:rPr>
        <w:t>t</w:t>
      </w:r>
      <w:r w:rsidRPr="005871FB">
        <w:rPr>
          <w:rFonts w:cstheme="minorHAnsi"/>
          <w:sz w:val="24"/>
          <w:szCs w:val="24"/>
        </w:rPr>
        <w:t>o collect data. The operation of the Fairfield-</w:t>
      </w:r>
      <w:proofErr w:type="spellStart"/>
      <w:r w:rsidRPr="005871FB">
        <w:rPr>
          <w:rFonts w:cstheme="minorHAnsi"/>
          <w:sz w:val="24"/>
          <w:szCs w:val="24"/>
        </w:rPr>
        <w:t>Zland</w:t>
      </w:r>
      <w:proofErr w:type="spellEnd"/>
      <w:r w:rsidRPr="005871FB">
        <w:rPr>
          <w:rFonts w:cstheme="minorHAnsi"/>
          <w:sz w:val="24"/>
          <w:szCs w:val="24"/>
        </w:rPr>
        <w:t xml:space="preserve"> 3C nodal sensor is based on the principles of piezoelectricity. Piezoelectric materials generate an electric charge in response to </w:t>
      </w:r>
      <w:r>
        <w:rPr>
          <w:rFonts w:cstheme="minorHAnsi"/>
          <w:sz w:val="24"/>
          <w:szCs w:val="24"/>
        </w:rPr>
        <w:t xml:space="preserve">the </w:t>
      </w:r>
      <w:r w:rsidRPr="005871FB">
        <w:rPr>
          <w:rFonts w:cstheme="minorHAnsi"/>
          <w:sz w:val="24"/>
          <w:szCs w:val="24"/>
        </w:rPr>
        <w:t>mechanical displacement of coils within the geophone (Fairfield Nodal</w:t>
      </w:r>
      <w:r>
        <w:rPr>
          <w:rFonts w:cstheme="minorHAnsi"/>
          <w:sz w:val="24"/>
          <w:szCs w:val="24"/>
        </w:rPr>
        <w:t>,</w:t>
      </w:r>
      <w:r w:rsidRPr="005871FB">
        <w:rPr>
          <w:rFonts w:cstheme="minorHAnsi"/>
          <w:sz w:val="24"/>
          <w:szCs w:val="24"/>
        </w:rPr>
        <w:t xml:space="preserve"> 2017). The generated voltage is proportional to the displacement of the moving coils within each geophone. T</w:t>
      </w:r>
      <w:r>
        <w:rPr>
          <w:rFonts w:cstheme="minorHAnsi"/>
          <w:sz w:val="24"/>
          <w:szCs w:val="24"/>
        </w:rPr>
        <w:t>he t</w:t>
      </w:r>
      <w:r w:rsidRPr="005871FB">
        <w:rPr>
          <w:rFonts w:cstheme="minorHAnsi"/>
          <w:sz w:val="24"/>
          <w:szCs w:val="24"/>
        </w:rPr>
        <w:t>hree</w:t>
      </w:r>
      <w:r>
        <w:rPr>
          <w:rFonts w:cstheme="minorHAnsi"/>
          <w:sz w:val="24"/>
          <w:szCs w:val="24"/>
        </w:rPr>
        <w:t xml:space="preserve"> </w:t>
      </w:r>
      <w:proofErr w:type="gramStart"/>
      <w:r>
        <w:rPr>
          <w:rFonts w:cstheme="minorHAnsi"/>
          <w:sz w:val="24"/>
          <w:szCs w:val="24"/>
        </w:rPr>
        <w:t>aforementioned</w:t>
      </w:r>
      <w:r w:rsidRPr="005871FB">
        <w:rPr>
          <w:rFonts w:cstheme="minorHAnsi"/>
          <w:sz w:val="24"/>
          <w:szCs w:val="24"/>
        </w:rPr>
        <w:t xml:space="preserve"> geophones</w:t>
      </w:r>
      <w:proofErr w:type="gramEnd"/>
      <w:r w:rsidRPr="005871FB">
        <w:rPr>
          <w:rFonts w:cstheme="minorHAnsi"/>
          <w:sz w:val="24"/>
          <w:szCs w:val="24"/>
        </w:rPr>
        <w:t xml:space="preserve"> are installed within each nodal sensor oriented orthogonal to each other, so they can measure ground motion in three directions. Voltages are then digitally converted to discrete velocities representing ground motion affecting the nodal sensor. The data from the geophones are </w:t>
      </w:r>
      <w:r w:rsidRPr="005871FB">
        <w:rPr>
          <w:rFonts w:cstheme="minorHAnsi"/>
          <w:sz w:val="24"/>
          <w:szCs w:val="24"/>
        </w:rPr>
        <w:lastRenderedPageBreak/>
        <w:t xml:space="preserve">typically processed using digital signal processing techniques to remove noise and interference and to extract useful information about the seismic signals. This information can be used to generate images of the subsurface geology, locate </w:t>
      </w:r>
      <w:proofErr w:type="gramStart"/>
      <w:r w:rsidRPr="005871FB">
        <w:rPr>
          <w:rFonts w:cstheme="minorHAnsi"/>
          <w:sz w:val="24"/>
          <w:szCs w:val="24"/>
        </w:rPr>
        <w:t>oil</w:t>
      </w:r>
      <w:proofErr w:type="gramEnd"/>
      <w:r w:rsidRPr="005871FB">
        <w:rPr>
          <w:rFonts w:cstheme="minorHAnsi"/>
          <w:sz w:val="24"/>
          <w:szCs w:val="24"/>
        </w:rPr>
        <w:t xml:space="preserve"> and gas deposits, and monitor seismic activity. </w:t>
      </w:r>
    </w:p>
    <w:p w14:paraId="204599D0" w14:textId="77777777" w:rsidR="004C3823" w:rsidRPr="005871FB" w:rsidRDefault="004C3823" w:rsidP="00632531">
      <w:pPr>
        <w:spacing w:line="480" w:lineRule="auto"/>
        <w:ind w:firstLine="720"/>
        <w:rPr>
          <w:rFonts w:cstheme="minorHAnsi"/>
          <w:sz w:val="24"/>
          <w:szCs w:val="24"/>
        </w:rPr>
      </w:pPr>
      <w:r w:rsidRPr="005871FB">
        <w:rPr>
          <w:rFonts w:cstheme="minorHAnsi"/>
          <w:sz w:val="24"/>
          <w:szCs w:val="24"/>
        </w:rPr>
        <w:t xml:space="preserve">Considering a typical regional network of sparsely spaced broadband seismometers; both DAS and nodal arrays are a major improvement on instrumentation density. A key difference between DAS and Seismic Nodal Sensors is their cost. DAS is generally more expensive than Seismic Nodal Sensors due to the cost of the fiber optic cables and the specialized equipment required to operate the system. Seismic Nodal Sensors, on the other hand, are relatively inexpensive and can be deployed in large numbers to cover a wide area. Both DAS and Seismic Nodal Sensors have advantages and disadvantages in seismic surveys. DAS offers high-resolution data over long distances but at a higher cost. Seismic Nodal Sensors </w:t>
      </w:r>
      <w:proofErr w:type="gramStart"/>
      <w:r>
        <w:rPr>
          <w:rFonts w:cstheme="minorHAnsi"/>
          <w:sz w:val="24"/>
          <w:szCs w:val="24"/>
        </w:rPr>
        <w:t>are</w:t>
      </w:r>
      <w:proofErr w:type="gramEnd"/>
      <w:r w:rsidRPr="005871FB">
        <w:rPr>
          <w:rFonts w:cstheme="minorHAnsi"/>
          <w:sz w:val="24"/>
          <w:szCs w:val="24"/>
        </w:rPr>
        <w:t xml:space="preserve"> inexpensive and easy to deploy, but have limited recording capacity and may suffer from signal distortion. The choice of sensor technology depends on the specific needs of the survey and the available budget.</w:t>
      </w:r>
    </w:p>
    <w:p w14:paraId="292A892B"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3.4.1 Noise level comparison of DAS and nodal</w:t>
      </w:r>
    </w:p>
    <w:p w14:paraId="5FDD10D5" w14:textId="77777777" w:rsidR="004C3823" w:rsidRPr="005871FB" w:rsidRDefault="004C3823" w:rsidP="005871FB">
      <w:pPr>
        <w:spacing w:line="480" w:lineRule="auto"/>
        <w:ind w:firstLine="720"/>
        <w:rPr>
          <w:rFonts w:cstheme="minorHAnsi"/>
          <w:b/>
          <w:bCs/>
          <w:sz w:val="24"/>
          <w:szCs w:val="24"/>
        </w:rPr>
      </w:pPr>
      <w:r w:rsidRPr="005871FB">
        <w:rPr>
          <w:rFonts w:cstheme="minorHAnsi"/>
          <w:sz w:val="24"/>
          <w:szCs w:val="24"/>
        </w:rPr>
        <w:t>We compare the two recorded measurements from both DAS and nodal. For computational resource management</w:t>
      </w:r>
      <w:r>
        <w:rPr>
          <w:rFonts w:cstheme="minorHAnsi"/>
          <w:sz w:val="24"/>
          <w:szCs w:val="24"/>
        </w:rPr>
        <w:t>,</w:t>
      </w:r>
      <w:r w:rsidRPr="005871FB">
        <w:rPr>
          <w:rFonts w:cstheme="minorHAnsi"/>
          <w:sz w:val="24"/>
          <w:szCs w:val="24"/>
        </w:rPr>
        <w:t xml:space="preserve"> we resample both datasets to a reasonable 50Hz sampling for DAS and 100Hz sampling for nodal. To determine</w:t>
      </w:r>
      <w:r>
        <w:rPr>
          <w:rFonts w:cstheme="minorHAnsi"/>
          <w:sz w:val="24"/>
          <w:szCs w:val="24"/>
        </w:rPr>
        <w:t xml:space="preserve"> the</w:t>
      </w:r>
      <w:r w:rsidRPr="005871FB">
        <w:rPr>
          <w:rFonts w:cstheme="minorHAnsi"/>
          <w:sz w:val="24"/>
          <w:szCs w:val="24"/>
        </w:rPr>
        <w:t xml:space="preserve"> initial data quality of the recordings, we investigate the influences on the acoustic seismic field from anthropogenic sources. Due to the proximity of a town and roadway parallel deployment, we assume </w:t>
      </w:r>
      <w:r>
        <w:rPr>
          <w:rFonts w:cstheme="minorHAnsi"/>
          <w:sz w:val="24"/>
          <w:szCs w:val="24"/>
        </w:rPr>
        <w:t xml:space="preserve">that </w:t>
      </w:r>
      <w:r w:rsidRPr="005871FB">
        <w:rPr>
          <w:rFonts w:cstheme="minorHAnsi"/>
          <w:sz w:val="24"/>
          <w:szCs w:val="24"/>
        </w:rPr>
        <w:lastRenderedPageBreak/>
        <w:t xml:space="preserve">human activity </w:t>
      </w:r>
      <w:r>
        <w:rPr>
          <w:rFonts w:cstheme="minorHAnsi"/>
          <w:sz w:val="24"/>
          <w:szCs w:val="24"/>
        </w:rPr>
        <w:t>will</w:t>
      </w:r>
      <w:r w:rsidRPr="005871FB">
        <w:rPr>
          <w:rFonts w:cstheme="minorHAnsi"/>
          <w:sz w:val="24"/>
          <w:szCs w:val="24"/>
        </w:rPr>
        <w:t xml:space="preserve"> influence the seismic measurements</w:t>
      </w:r>
      <w:r>
        <w:rPr>
          <w:rFonts w:cstheme="minorHAnsi"/>
          <w:sz w:val="24"/>
          <w:szCs w:val="24"/>
        </w:rPr>
        <w:t xml:space="preserve"> </w:t>
      </w:r>
      <w:r w:rsidRPr="005871FB">
        <w:rPr>
          <w:rFonts w:cstheme="minorHAnsi"/>
          <w:sz w:val="24"/>
          <w:szCs w:val="24"/>
        </w:rPr>
        <w:t xml:space="preserve">during traditional daytime business hours. We calculate power spectral density for both night and daytime hours, stack, and average the resultant spectral graphs.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4</w:t>
      </w:r>
      <w:r w:rsidRPr="005871FB">
        <w:rPr>
          <w:rFonts w:cstheme="minorHAnsi"/>
          <w:sz w:val="24"/>
          <w:szCs w:val="24"/>
        </w:rPr>
        <w:t xml:space="preserve"> shows a time</w:t>
      </w:r>
      <w:r>
        <w:rPr>
          <w:rFonts w:cstheme="minorHAnsi"/>
          <w:sz w:val="24"/>
          <w:szCs w:val="24"/>
        </w:rPr>
        <w:t>-</w:t>
      </w:r>
      <w:r w:rsidRPr="005871FB">
        <w:rPr>
          <w:rFonts w:cstheme="minorHAnsi"/>
          <w:sz w:val="24"/>
          <w:szCs w:val="24"/>
        </w:rPr>
        <w:t xml:space="preserve">averaged spectrum </w:t>
      </w:r>
      <w:r>
        <w:rPr>
          <w:rFonts w:cstheme="minorHAnsi"/>
          <w:sz w:val="24"/>
          <w:szCs w:val="24"/>
        </w:rPr>
        <w:t>for</w:t>
      </w:r>
      <w:r w:rsidRPr="005871FB">
        <w:rPr>
          <w:rFonts w:cstheme="minorHAnsi"/>
          <w:sz w:val="24"/>
          <w:szCs w:val="24"/>
        </w:rPr>
        <w:t xml:space="preserve"> DAS channel</w:t>
      </w:r>
      <w:r>
        <w:rPr>
          <w:rFonts w:cstheme="minorHAnsi"/>
          <w:sz w:val="24"/>
          <w:szCs w:val="24"/>
        </w:rPr>
        <w:t xml:space="preserve">s </w:t>
      </w:r>
      <w:r w:rsidRPr="005871FB">
        <w:rPr>
          <w:rFonts w:cstheme="minorHAnsi"/>
          <w:sz w:val="24"/>
          <w:szCs w:val="24"/>
        </w:rPr>
        <w:t>located near a highway overpass</w:t>
      </w:r>
      <w:r>
        <w:rPr>
          <w:rFonts w:cstheme="minorHAnsi"/>
          <w:sz w:val="24"/>
          <w:szCs w:val="24"/>
        </w:rPr>
        <w:t xml:space="preserve"> and rail crossing, </w:t>
      </w:r>
      <w:proofErr w:type="gramStart"/>
      <w:r>
        <w:rPr>
          <w:rFonts w:cstheme="minorHAnsi"/>
          <w:sz w:val="24"/>
          <w:szCs w:val="24"/>
        </w:rPr>
        <w:t>demonstrating showing</w:t>
      </w:r>
      <w:proofErr w:type="gramEnd"/>
      <w:r w:rsidRPr="005871FB">
        <w:rPr>
          <w:rFonts w:cstheme="minorHAnsi"/>
          <w:sz w:val="24"/>
          <w:szCs w:val="24"/>
        </w:rPr>
        <w:t xml:space="preserve"> how noise levels can vary depending on infrastructure</w:t>
      </w:r>
      <w:r>
        <w:rPr>
          <w:rFonts w:cstheme="minorHAnsi"/>
          <w:sz w:val="24"/>
          <w:szCs w:val="24"/>
        </w:rPr>
        <w:t>.</w:t>
      </w:r>
      <w:r w:rsidRPr="005871FB">
        <w:rPr>
          <w:rFonts w:cstheme="minorHAnsi"/>
          <w:sz w:val="24"/>
          <w:szCs w:val="24"/>
        </w:rPr>
        <w:t xml:space="preserve"> </w:t>
      </w:r>
      <w:r>
        <w:rPr>
          <w:rFonts w:cstheme="minorHAnsi"/>
          <w:sz w:val="24"/>
          <w:szCs w:val="24"/>
        </w:rPr>
        <w:t xml:space="preserve">As expected, high amplitude noise levels are observed near anthropogenic sights prone to high activity and better ground coupling such as highway overpasses and rail crossings. </w:t>
      </w:r>
      <w:r w:rsidRPr="005871FB">
        <w:rPr>
          <w:rFonts w:cstheme="minorHAnsi"/>
          <w:sz w:val="24"/>
          <w:szCs w:val="24"/>
        </w:rPr>
        <w:t xml:space="preserve">It is observed that daytime noise levels are higher than nighttime noise even in </w:t>
      </w:r>
      <w:r>
        <w:rPr>
          <w:rFonts w:cstheme="minorHAnsi"/>
          <w:sz w:val="24"/>
          <w:szCs w:val="24"/>
        </w:rPr>
        <w:t>areas with</w:t>
      </w:r>
      <w:r w:rsidRPr="005871FB">
        <w:rPr>
          <w:rFonts w:cstheme="minorHAnsi"/>
          <w:sz w:val="24"/>
          <w:szCs w:val="24"/>
        </w:rPr>
        <w:t xml:space="preserve"> mostly farmland as shown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 xml:space="preserve">2. </w:t>
      </w:r>
    </w:p>
    <w:p w14:paraId="3EDBAFE5"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3.4.2 Short</w:t>
      </w:r>
      <w:r>
        <w:rPr>
          <w:rFonts w:cstheme="minorHAnsi"/>
          <w:b/>
          <w:bCs/>
          <w:sz w:val="24"/>
          <w:szCs w:val="24"/>
        </w:rPr>
        <w:t>-</w:t>
      </w:r>
      <w:r w:rsidRPr="005871FB">
        <w:rPr>
          <w:rFonts w:cstheme="minorHAnsi"/>
          <w:b/>
          <w:bCs/>
          <w:sz w:val="24"/>
          <w:szCs w:val="24"/>
        </w:rPr>
        <w:t>duration events</w:t>
      </w:r>
    </w:p>
    <w:p w14:paraId="0CF7A8FB" w14:textId="77777777" w:rsidR="004C3823" w:rsidRPr="005871FB" w:rsidRDefault="004C3823" w:rsidP="005871FB">
      <w:pPr>
        <w:spacing w:line="480" w:lineRule="auto"/>
        <w:rPr>
          <w:rFonts w:cstheme="minorHAnsi"/>
          <w:sz w:val="24"/>
          <w:szCs w:val="24"/>
        </w:rPr>
      </w:pPr>
      <w:r w:rsidRPr="005871FB">
        <w:rPr>
          <w:rFonts w:cstheme="minorHAnsi"/>
          <w:sz w:val="24"/>
          <w:szCs w:val="24"/>
        </w:rPr>
        <w:t xml:space="preserve">Throughout the recording duration of </w:t>
      </w:r>
      <w:r>
        <w:rPr>
          <w:rFonts w:cstheme="minorHAnsi"/>
          <w:sz w:val="24"/>
          <w:szCs w:val="24"/>
        </w:rPr>
        <w:t xml:space="preserve">the </w:t>
      </w:r>
      <w:r w:rsidRPr="005871FB">
        <w:rPr>
          <w:rFonts w:cstheme="minorHAnsi"/>
          <w:sz w:val="24"/>
          <w:szCs w:val="24"/>
        </w:rPr>
        <w:t xml:space="preserve">experiment, both ambient noise and transient signals were detected. </w:t>
      </w:r>
      <w:r>
        <w:rPr>
          <w:rFonts w:cstheme="minorHAnsi"/>
          <w:sz w:val="24"/>
          <w:szCs w:val="24"/>
        </w:rPr>
        <w:t>Notably,</w:t>
      </w:r>
      <w:r w:rsidRPr="005871FB">
        <w:rPr>
          <w:rFonts w:cstheme="minorHAnsi"/>
          <w:sz w:val="24"/>
          <w:szCs w:val="24"/>
        </w:rPr>
        <w:t xml:space="preserve"> short-duration high-amplitude events </w:t>
      </w:r>
      <w:r>
        <w:rPr>
          <w:rFonts w:cstheme="minorHAnsi"/>
          <w:sz w:val="24"/>
          <w:szCs w:val="24"/>
        </w:rPr>
        <w:t>are</w:t>
      </w:r>
      <w:r w:rsidRPr="005871FB">
        <w:rPr>
          <w:rFonts w:cstheme="minorHAnsi"/>
          <w:sz w:val="24"/>
          <w:szCs w:val="24"/>
        </w:rPr>
        <w:t xml:space="preserve"> recorded, such as passing vehicles, and a few local earthquake events (Walter et al., 2020) which are </w:t>
      </w:r>
      <w:r>
        <w:rPr>
          <w:rFonts w:cstheme="minorHAnsi"/>
          <w:sz w:val="24"/>
          <w:szCs w:val="24"/>
        </w:rPr>
        <w:t>shown</w:t>
      </w:r>
      <w:r w:rsidRPr="005871FB">
        <w:rPr>
          <w:rFonts w:cstheme="minorHAnsi"/>
          <w:sz w:val="24"/>
          <w:szCs w:val="24"/>
        </w:rPr>
        <w:t xml:space="preserve">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2</w:t>
      </w:r>
      <w:r w:rsidRPr="005871FB">
        <w:rPr>
          <w:rFonts w:cstheme="minorHAnsi"/>
          <w:sz w:val="24"/>
          <w:szCs w:val="24"/>
        </w:rPr>
        <w:t xml:space="preserve">.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5</w:t>
      </w:r>
      <w:r>
        <w:rPr>
          <w:rFonts w:cstheme="minorHAnsi"/>
          <w:b/>
          <w:bCs/>
          <w:sz w:val="24"/>
          <w:szCs w:val="24"/>
        </w:rPr>
        <w:t>,</w:t>
      </w:r>
      <w:r w:rsidRPr="005871FB">
        <w:rPr>
          <w:rFonts w:cstheme="minorHAnsi"/>
          <w:sz w:val="24"/>
          <w:szCs w:val="24"/>
        </w:rPr>
        <w:t xml:space="preserve"> we observe</w:t>
      </w:r>
      <w:r>
        <w:rPr>
          <w:rFonts w:cstheme="minorHAnsi"/>
          <w:sz w:val="24"/>
          <w:szCs w:val="24"/>
        </w:rPr>
        <w:t xml:space="preserve"> graphically linear and</w:t>
      </w:r>
      <w:r w:rsidRPr="005871FB">
        <w:rPr>
          <w:rFonts w:cstheme="minorHAnsi"/>
          <w:sz w:val="24"/>
          <w:szCs w:val="24"/>
        </w:rPr>
        <w:t xml:space="preserve"> high</w:t>
      </w:r>
      <w:r>
        <w:rPr>
          <w:rFonts w:cstheme="minorHAnsi"/>
          <w:sz w:val="24"/>
          <w:szCs w:val="24"/>
        </w:rPr>
        <w:t>-</w:t>
      </w:r>
      <w:r w:rsidRPr="005871FB">
        <w:rPr>
          <w:rFonts w:cstheme="minorHAnsi"/>
          <w:sz w:val="24"/>
          <w:szCs w:val="24"/>
        </w:rPr>
        <w:t>amplitude signal</w:t>
      </w:r>
      <w:r>
        <w:rPr>
          <w:rFonts w:cstheme="minorHAnsi"/>
          <w:sz w:val="24"/>
          <w:szCs w:val="24"/>
        </w:rPr>
        <w:t>s</w:t>
      </w:r>
      <w:r w:rsidRPr="005871FB">
        <w:rPr>
          <w:rFonts w:cstheme="minorHAnsi"/>
          <w:sz w:val="24"/>
          <w:szCs w:val="24"/>
        </w:rPr>
        <w:t xml:space="preserve"> over different channels for </w:t>
      </w:r>
      <w:r>
        <w:rPr>
          <w:rFonts w:cstheme="minorHAnsi"/>
          <w:sz w:val="24"/>
          <w:szCs w:val="24"/>
        </w:rPr>
        <w:t>a period</w:t>
      </w:r>
      <w:r w:rsidRPr="005871FB">
        <w:rPr>
          <w:rFonts w:cstheme="minorHAnsi"/>
          <w:sz w:val="24"/>
          <w:szCs w:val="24"/>
        </w:rPr>
        <w:t xml:space="preserve">. </w:t>
      </w:r>
      <w:r>
        <w:rPr>
          <w:rFonts w:cstheme="minorHAnsi"/>
          <w:sz w:val="24"/>
          <w:szCs w:val="24"/>
        </w:rPr>
        <w:t>Observed</w:t>
      </w:r>
      <w:r w:rsidRPr="005871FB">
        <w:rPr>
          <w:rFonts w:cstheme="minorHAnsi"/>
          <w:sz w:val="24"/>
          <w:szCs w:val="24"/>
        </w:rPr>
        <w:t xml:space="preserve"> high</w:t>
      </w:r>
      <w:r>
        <w:rPr>
          <w:rFonts w:cstheme="minorHAnsi"/>
          <w:sz w:val="24"/>
          <w:szCs w:val="24"/>
        </w:rPr>
        <w:t>-</w:t>
      </w:r>
      <w:r w:rsidRPr="005871FB">
        <w:rPr>
          <w:rFonts w:cstheme="minorHAnsi"/>
          <w:sz w:val="24"/>
          <w:szCs w:val="24"/>
        </w:rPr>
        <w:t xml:space="preserve">amplitude signals </w:t>
      </w:r>
      <w:r>
        <w:rPr>
          <w:rFonts w:cstheme="minorHAnsi"/>
          <w:sz w:val="24"/>
          <w:szCs w:val="24"/>
        </w:rPr>
        <w:t>are</w:t>
      </w:r>
      <w:r w:rsidRPr="005871FB">
        <w:rPr>
          <w:rFonts w:cstheme="minorHAnsi"/>
          <w:sz w:val="24"/>
          <w:szCs w:val="24"/>
        </w:rPr>
        <w:t xml:space="preserve"> </w:t>
      </w:r>
      <w:r>
        <w:rPr>
          <w:rFonts w:cstheme="minorHAnsi"/>
          <w:sz w:val="24"/>
          <w:szCs w:val="24"/>
        </w:rPr>
        <w:t>linear across multiple channels</w:t>
      </w:r>
      <w:r w:rsidRPr="005871FB">
        <w:rPr>
          <w:rFonts w:cstheme="minorHAnsi"/>
          <w:sz w:val="24"/>
          <w:szCs w:val="24"/>
        </w:rPr>
        <w:t xml:space="preserve">, coherent, and </w:t>
      </w:r>
      <w:r>
        <w:rPr>
          <w:rFonts w:cstheme="minorHAnsi"/>
          <w:sz w:val="24"/>
          <w:szCs w:val="24"/>
        </w:rPr>
        <w:t>inversely graphically oriented</w:t>
      </w:r>
      <w:r w:rsidRPr="005871FB">
        <w:rPr>
          <w:rFonts w:cstheme="minorHAnsi"/>
          <w:sz w:val="24"/>
          <w:szCs w:val="24"/>
        </w:rPr>
        <w:t>. A</w:t>
      </w:r>
      <w:r>
        <w:rPr>
          <w:rFonts w:cstheme="minorHAnsi"/>
          <w:sz w:val="24"/>
          <w:szCs w:val="24"/>
        </w:rPr>
        <w:t>n a</w:t>
      </w:r>
      <w:r w:rsidRPr="005871FB">
        <w:rPr>
          <w:rFonts w:cstheme="minorHAnsi"/>
          <w:sz w:val="24"/>
          <w:szCs w:val="24"/>
        </w:rPr>
        <w:t>pproximate velocity of 58</w:t>
      </w:r>
      <w:r>
        <w:rPr>
          <w:rFonts w:cstheme="minorHAnsi"/>
          <w:sz w:val="24"/>
          <w:szCs w:val="24"/>
        </w:rPr>
        <w:t xml:space="preserve"> </w:t>
      </w:r>
      <w:r w:rsidRPr="005871FB">
        <w:rPr>
          <w:rFonts w:cstheme="minorHAnsi"/>
          <w:sz w:val="24"/>
          <w:szCs w:val="24"/>
        </w:rPr>
        <w:t>mph may be estimated for the high</w:t>
      </w:r>
      <w:r>
        <w:rPr>
          <w:rFonts w:cstheme="minorHAnsi"/>
          <w:sz w:val="24"/>
          <w:szCs w:val="24"/>
        </w:rPr>
        <w:t>-</w:t>
      </w:r>
      <w:r w:rsidRPr="005871FB">
        <w:rPr>
          <w:rFonts w:cstheme="minorHAnsi"/>
          <w:sz w:val="24"/>
          <w:szCs w:val="24"/>
        </w:rPr>
        <w:t>amplitude signal</w:t>
      </w:r>
      <w:r>
        <w:rPr>
          <w:rFonts w:cstheme="minorHAnsi"/>
          <w:sz w:val="24"/>
          <w:szCs w:val="24"/>
        </w:rPr>
        <w:t xml:space="preserve"> </w:t>
      </w:r>
      <w:r w:rsidRPr="005871FB">
        <w:rPr>
          <w:rFonts w:cstheme="minorHAnsi"/>
          <w:sz w:val="24"/>
          <w:szCs w:val="24"/>
        </w:rPr>
        <w:t>using the channel spacing of 2</w:t>
      </w:r>
      <w:r>
        <w:rPr>
          <w:rFonts w:cstheme="minorHAnsi"/>
          <w:sz w:val="24"/>
          <w:szCs w:val="24"/>
        </w:rPr>
        <w:t xml:space="preserve"> </w:t>
      </w:r>
      <w:r w:rsidRPr="005871FB">
        <w:rPr>
          <w:rFonts w:cstheme="minorHAnsi"/>
          <w:sz w:val="24"/>
          <w:szCs w:val="24"/>
        </w:rPr>
        <w:t>m</w:t>
      </w:r>
      <w:r>
        <w:rPr>
          <w:rFonts w:cstheme="minorHAnsi"/>
          <w:sz w:val="24"/>
          <w:szCs w:val="24"/>
        </w:rPr>
        <w:t xml:space="preserve"> and arrival time approximation at each channel</w:t>
      </w:r>
      <w:r w:rsidRPr="005871FB">
        <w:rPr>
          <w:rFonts w:cstheme="minorHAnsi"/>
          <w:sz w:val="24"/>
          <w:szCs w:val="24"/>
        </w:rPr>
        <w:t xml:space="preserve">. Considering the </w:t>
      </w:r>
      <w:proofErr w:type="gramStart"/>
      <w:r w:rsidRPr="005871FB">
        <w:rPr>
          <w:rFonts w:cstheme="minorHAnsi"/>
          <w:sz w:val="24"/>
          <w:szCs w:val="24"/>
        </w:rPr>
        <w:t>70</w:t>
      </w:r>
      <w:r>
        <w:rPr>
          <w:rFonts w:cstheme="minorHAnsi"/>
          <w:sz w:val="24"/>
          <w:szCs w:val="24"/>
        </w:rPr>
        <w:t xml:space="preserve"> </w:t>
      </w:r>
      <w:r w:rsidRPr="005871FB">
        <w:rPr>
          <w:rFonts w:cstheme="minorHAnsi"/>
          <w:sz w:val="24"/>
          <w:szCs w:val="24"/>
        </w:rPr>
        <w:t>mph</w:t>
      </w:r>
      <w:proofErr w:type="gramEnd"/>
      <w:r w:rsidRPr="005871FB">
        <w:rPr>
          <w:rFonts w:cstheme="minorHAnsi"/>
          <w:sz w:val="24"/>
          <w:szCs w:val="24"/>
        </w:rPr>
        <w:t xml:space="preserve"> speed limit of US-412</w:t>
      </w:r>
      <w:r>
        <w:rPr>
          <w:rFonts w:cstheme="minorHAnsi"/>
          <w:sz w:val="24"/>
          <w:szCs w:val="24"/>
        </w:rPr>
        <w:t>,</w:t>
      </w:r>
      <w:r w:rsidRPr="005871FB">
        <w:rPr>
          <w:rFonts w:cstheme="minorHAnsi"/>
          <w:sz w:val="24"/>
          <w:szCs w:val="24"/>
        </w:rPr>
        <w:t xml:space="preserve"> we can </w:t>
      </w:r>
      <w:r>
        <w:rPr>
          <w:rFonts w:cstheme="minorHAnsi"/>
          <w:sz w:val="24"/>
          <w:szCs w:val="24"/>
        </w:rPr>
        <w:t>interpret the traveling signal source to likely be a moving vehicle.</w:t>
      </w:r>
      <w:r w:rsidRPr="005871FB">
        <w:rPr>
          <w:rFonts w:cstheme="minorHAnsi"/>
          <w:sz w:val="24"/>
          <w:szCs w:val="24"/>
        </w:rPr>
        <w:t xml:space="preserve"> </w:t>
      </w:r>
      <w:r>
        <w:rPr>
          <w:rFonts w:cstheme="minorHAnsi"/>
          <w:sz w:val="24"/>
          <w:szCs w:val="24"/>
        </w:rPr>
        <w:t>In addition, we</w:t>
      </w:r>
      <w:r w:rsidRPr="005871FB">
        <w:rPr>
          <w:rFonts w:cstheme="minorHAnsi"/>
          <w:sz w:val="24"/>
          <w:szCs w:val="24"/>
        </w:rPr>
        <w:t xml:space="preserve"> identify an earthquake arrival at </w:t>
      </w:r>
      <w:r w:rsidRPr="00DB06B1">
        <w:rPr>
          <w:rFonts w:cstheme="minorHAnsi"/>
          <w:sz w:val="24"/>
          <w:szCs w:val="24"/>
        </w:rPr>
        <w:t>11:18:01 local time</w:t>
      </w:r>
      <w:r w:rsidRPr="00DB06B1" w:rsidDel="00DB06B1">
        <w:rPr>
          <w:rFonts w:cstheme="minorHAnsi"/>
          <w:sz w:val="24"/>
          <w:szCs w:val="24"/>
        </w:rPr>
        <w:t xml:space="preserve"> </w:t>
      </w:r>
      <w:r w:rsidRPr="005871FB">
        <w:rPr>
          <w:rFonts w:cstheme="minorHAnsi"/>
          <w:sz w:val="24"/>
          <w:szCs w:val="24"/>
        </w:rPr>
        <w:t>on May 2,</w:t>
      </w:r>
      <w:r>
        <w:rPr>
          <w:rFonts w:cstheme="minorHAnsi"/>
          <w:sz w:val="24"/>
          <w:szCs w:val="24"/>
        </w:rPr>
        <w:t xml:space="preserve"> </w:t>
      </w:r>
      <w:r w:rsidRPr="005871FB">
        <w:rPr>
          <w:rFonts w:cstheme="minorHAnsi"/>
          <w:sz w:val="24"/>
          <w:szCs w:val="24"/>
        </w:rPr>
        <w:t>2021</w:t>
      </w:r>
      <w:r>
        <w:rPr>
          <w:rFonts w:cstheme="minorHAnsi"/>
          <w:sz w:val="24"/>
          <w:szCs w:val="24"/>
        </w:rPr>
        <w:t>,</w:t>
      </w:r>
      <w:r w:rsidRPr="005871FB">
        <w:rPr>
          <w:rFonts w:cstheme="minorHAnsi"/>
          <w:sz w:val="24"/>
          <w:szCs w:val="24"/>
        </w:rPr>
        <w:t xml:space="preserve"> as seen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5</w:t>
      </w:r>
      <w:r w:rsidRPr="005871FB">
        <w:rPr>
          <w:rFonts w:cstheme="minorHAnsi"/>
          <w:sz w:val="24"/>
          <w:szCs w:val="24"/>
        </w:rPr>
        <w:t xml:space="preserve"> as a high</w:t>
      </w:r>
      <w:r>
        <w:rPr>
          <w:rFonts w:cstheme="minorHAnsi"/>
          <w:sz w:val="24"/>
          <w:szCs w:val="24"/>
        </w:rPr>
        <w:t>-</w:t>
      </w:r>
      <w:r w:rsidRPr="005871FB">
        <w:rPr>
          <w:rFonts w:cstheme="minorHAnsi"/>
          <w:sz w:val="24"/>
          <w:szCs w:val="24"/>
        </w:rPr>
        <w:t>amplitude signal</w:t>
      </w:r>
      <w:r>
        <w:rPr>
          <w:rFonts w:cstheme="minorHAnsi"/>
          <w:sz w:val="24"/>
          <w:szCs w:val="24"/>
        </w:rPr>
        <w:t xml:space="preserve"> with similar arrival time amongst all channels</w:t>
      </w:r>
      <w:r w:rsidRPr="005871FB">
        <w:rPr>
          <w:rFonts w:cstheme="minorHAnsi"/>
          <w:sz w:val="24"/>
          <w:szCs w:val="24"/>
        </w:rPr>
        <w:t xml:space="preserve">. </w:t>
      </w:r>
      <w:r>
        <w:rPr>
          <w:rFonts w:cstheme="minorHAnsi"/>
          <w:sz w:val="24"/>
          <w:szCs w:val="24"/>
        </w:rPr>
        <w:t xml:space="preserve">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6</w:t>
      </w:r>
      <w:r>
        <w:rPr>
          <w:rFonts w:cstheme="minorHAnsi"/>
          <w:sz w:val="24"/>
          <w:szCs w:val="24"/>
        </w:rPr>
        <w:t>, both time series and spectra of different sources, background noise, moving vehicles, and earthquakes within a 10-minute DAS recording are compared.</w:t>
      </w:r>
      <w:r w:rsidRPr="00A03B93">
        <w:rPr>
          <w:rFonts w:cstheme="minorHAnsi"/>
          <w:sz w:val="24"/>
          <w:szCs w:val="24"/>
        </w:rPr>
        <w:t xml:space="preserve"> Even</w:t>
      </w:r>
      <w:r w:rsidRPr="005871FB">
        <w:rPr>
          <w:rFonts w:cstheme="minorHAnsi"/>
          <w:sz w:val="24"/>
          <w:szCs w:val="24"/>
        </w:rPr>
        <w:t xml:space="preserve"> though the earthquake and vehicle time series</w:t>
      </w:r>
      <w:r>
        <w:rPr>
          <w:rFonts w:cstheme="minorHAnsi"/>
          <w:sz w:val="24"/>
          <w:szCs w:val="24"/>
        </w:rPr>
        <w:t xml:space="preserve"> have similar peak</w:t>
      </w:r>
      <w:r w:rsidRPr="005871FB">
        <w:rPr>
          <w:rFonts w:cstheme="minorHAnsi"/>
          <w:sz w:val="24"/>
          <w:szCs w:val="24"/>
        </w:rPr>
        <w:t xml:space="preserve"> amplitude</w:t>
      </w:r>
      <w:r>
        <w:rPr>
          <w:rFonts w:cstheme="minorHAnsi"/>
          <w:sz w:val="24"/>
          <w:szCs w:val="24"/>
        </w:rPr>
        <w:t xml:space="preserve"> </w:t>
      </w:r>
      <w:r>
        <w:rPr>
          <w:rFonts w:cstheme="minorHAnsi"/>
          <w:sz w:val="24"/>
          <w:szCs w:val="24"/>
        </w:rPr>
        <w:lastRenderedPageBreak/>
        <w:t>values</w:t>
      </w:r>
      <w:r w:rsidRPr="005871FB">
        <w:rPr>
          <w:rFonts w:cstheme="minorHAnsi"/>
          <w:sz w:val="24"/>
          <w:szCs w:val="24"/>
        </w:rPr>
        <w:t>, the</w:t>
      </w:r>
      <w:r>
        <w:rPr>
          <w:rFonts w:cstheme="minorHAnsi"/>
          <w:sz w:val="24"/>
          <w:szCs w:val="24"/>
        </w:rPr>
        <w:t>ir</w:t>
      </w:r>
      <w:r w:rsidRPr="005871FB">
        <w:rPr>
          <w:rFonts w:cstheme="minorHAnsi"/>
          <w:sz w:val="24"/>
          <w:szCs w:val="24"/>
        </w:rPr>
        <w:t xml:space="preserve"> spectra are different in both time </w:t>
      </w:r>
      <w:r>
        <w:rPr>
          <w:rFonts w:cstheme="minorHAnsi"/>
          <w:sz w:val="24"/>
          <w:szCs w:val="24"/>
        </w:rPr>
        <w:t xml:space="preserve">duration </w:t>
      </w:r>
      <w:r w:rsidRPr="005871FB">
        <w:rPr>
          <w:rFonts w:cstheme="minorHAnsi"/>
          <w:sz w:val="24"/>
          <w:szCs w:val="24"/>
        </w:rPr>
        <w:t>and frequency range</w:t>
      </w:r>
      <w:r>
        <w:rPr>
          <w:rFonts w:cstheme="minorHAnsi"/>
          <w:sz w:val="24"/>
          <w:szCs w:val="24"/>
        </w:rPr>
        <w:t>, w</w:t>
      </w:r>
      <w:r w:rsidRPr="005871FB">
        <w:rPr>
          <w:rFonts w:cstheme="minorHAnsi"/>
          <w:sz w:val="24"/>
          <w:szCs w:val="24"/>
        </w:rPr>
        <w:t xml:space="preserve">here the earthquake spectrum occupies lower frequencies, and the moving vehicle spectrum </w:t>
      </w:r>
      <w:r>
        <w:rPr>
          <w:rFonts w:cstheme="minorHAnsi"/>
          <w:sz w:val="24"/>
          <w:szCs w:val="24"/>
        </w:rPr>
        <w:t>has</w:t>
      </w:r>
      <w:r w:rsidRPr="005871FB">
        <w:rPr>
          <w:rFonts w:cstheme="minorHAnsi"/>
          <w:sz w:val="24"/>
          <w:szCs w:val="24"/>
        </w:rPr>
        <w:t xml:space="preserve"> higher frequenc</w:t>
      </w:r>
      <w:r>
        <w:rPr>
          <w:rFonts w:cstheme="minorHAnsi"/>
          <w:sz w:val="24"/>
          <w:szCs w:val="24"/>
        </w:rPr>
        <w:t>ies</w:t>
      </w:r>
      <w:r w:rsidRPr="005871FB">
        <w:rPr>
          <w:rFonts w:cstheme="minorHAnsi"/>
          <w:sz w:val="24"/>
          <w:szCs w:val="24"/>
        </w:rPr>
        <w:t xml:space="preserve">. </w:t>
      </w:r>
    </w:p>
    <w:p w14:paraId="141A4EEC"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3.4.3 Long</w:t>
      </w:r>
      <w:r>
        <w:rPr>
          <w:rFonts w:cstheme="minorHAnsi"/>
          <w:b/>
          <w:bCs/>
          <w:sz w:val="24"/>
          <w:szCs w:val="24"/>
        </w:rPr>
        <w:t>-</w:t>
      </w:r>
      <w:r w:rsidRPr="005871FB">
        <w:rPr>
          <w:rFonts w:cstheme="minorHAnsi"/>
          <w:b/>
          <w:bCs/>
          <w:sz w:val="24"/>
          <w:szCs w:val="24"/>
        </w:rPr>
        <w:t>duration signal</w:t>
      </w:r>
    </w:p>
    <w:p w14:paraId="6F6EB1F9" w14:textId="307224D3" w:rsidR="00323257" w:rsidRDefault="004C3823" w:rsidP="00536E3D">
      <w:pPr>
        <w:spacing w:line="480" w:lineRule="auto"/>
        <w:ind w:firstLine="720"/>
        <w:rPr>
          <w:rFonts w:cstheme="minorHAnsi"/>
          <w:sz w:val="24"/>
          <w:szCs w:val="24"/>
        </w:rPr>
      </w:pPr>
      <w:r w:rsidRPr="005871FB">
        <w:rPr>
          <w:rFonts w:cstheme="minorHAnsi"/>
          <w:sz w:val="24"/>
          <w:szCs w:val="24"/>
        </w:rPr>
        <w:t>In addition, long</w:t>
      </w:r>
      <w:r>
        <w:rPr>
          <w:rFonts w:cstheme="minorHAnsi"/>
          <w:sz w:val="24"/>
          <w:szCs w:val="24"/>
        </w:rPr>
        <w:t>-</w:t>
      </w:r>
      <w:r w:rsidRPr="005871FB">
        <w:rPr>
          <w:rFonts w:cstheme="minorHAnsi"/>
          <w:sz w:val="24"/>
          <w:szCs w:val="24"/>
        </w:rPr>
        <w:t>duration signals, such as trains</w:t>
      </w:r>
      <w:r>
        <w:rPr>
          <w:rFonts w:cstheme="minorHAnsi"/>
          <w:sz w:val="24"/>
          <w:szCs w:val="24"/>
        </w:rPr>
        <w:t>,</w:t>
      </w:r>
      <w:r w:rsidRPr="005871FB">
        <w:rPr>
          <w:rFonts w:cstheme="minorHAnsi"/>
          <w:sz w:val="24"/>
          <w:szCs w:val="24"/>
        </w:rPr>
        <w:t xml:space="preserve"> cross obliquely </w:t>
      </w:r>
      <w:r>
        <w:rPr>
          <w:rFonts w:cstheme="minorHAnsi"/>
          <w:sz w:val="24"/>
          <w:szCs w:val="24"/>
        </w:rPr>
        <w:t>near the</w:t>
      </w:r>
      <w:r w:rsidRPr="005871FB">
        <w:rPr>
          <w:rFonts w:cstheme="minorHAnsi"/>
          <w:sz w:val="24"/>
          <w:szCs w:val="24"/>
        </w:rPr>
        <w:t xml:space="preserve"> </w:t>
      </w:r>
      <w:r>
        <w:rPr>
          <w:rFonts w:cstheme="minorHAnsi"/>
          <w:sz w:val="24"/>
          <w:szCs w:val="24"/>
        </w:rPr>
        <w:t>e</w:t>
      </w:r>
      <w:r w:rsidRPr="005871FB">
        <w:rPr>
          <w:rFonts w:cstheme="minorHAnsi"/>
          <w:sz w:val="24"/>
          <w:szCs w:val="24"/>
        </w:rPr>
        <w:t>astern half of the deployment close to nodal station</w:t>
      </w:r>
      <w:r>
        <w:rPr>
          <w:rFonts w:cstheme="minorHAnsi"/>
          <w:sz w:val="24"/>
          <w:szCs w:val="24"/>
        </w:rPr>
        <w:t>s</w:t>
      </w:r>
      <w:r w:rsidRPr="005871FB">
        <w:rPr>
          <w:rFonts w:cstheme="minorHAnsi"/>
          <w:sz w:val="24"/>
          <w:szCs w:val="24"/>
        </w:rPr>
        <w:t xml:space="preserve"> 4005 and 4006. The passing train signal does not present itself across the entire DAS and is only concentrated near the railroad crossing when there is a train present. Locating and identifying the train signal is performed best in the frequency domain </w:t>
      </w:r>
      <w:r>
        <w:rPr>
          <w:rFonts w:cstheme="minorHAnsi"/>
          <w:sz w:val="24"/>
          <w:szCs w:val="24"/>
        </w:rPr>
        <w:t>since the identification of the train signal in the time series waveform is not obvious</w:t>
      </w:r>
      <w:r w:rsidRPr="005871FB">
        <w:rPr>
          <w:rFonts w:cstheme="minorHAnsi"/>
          <w:sz w:val="24"/>
          <w:szCs w:val="24"/>
        </w:rPr>
        <w:t xml:space="preserve"> as depicted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7</w:t>
      </w:r>
      <w:r>
        <w:rPr>
          <w:rFonts w:cstheme="minorHAnsi"/>
          <w:b/>
          <w:bCs/>
          <w:sz w:val="24"/>
          <w:szCs w:val="24"/>
        </w:rPr>
        <w:t>,</w:t>
      </w:r>
      <w:r>
        <w:rPr>
          <w:rFonts w:cstheme="minorHAnsi"/>
          <w:sz w:val="24"/>
          <w:szCs w:val="24"/>
        </w:rPr>
        <w:t xml:space="preserve"> where we isolate the train signal from other background signals by selecting an average spectral amplitude between 1-8hz</w:t>
      </w:r>
      <w:r w:rsidRPr="005871FB">
        <w:rPr>
          <w:rFonts w:cstheme="minorHAnsi"/>
          <w:sz w:val="24"/>
          <w:szCs w:val="24"/>
        </w:rPr>
        <w:t xml:space="preserve">. In the frequency domain, we average the </w:t>
      </w:r>
      <w:r>
        <w:rPr>
          <w:rFonts w:cstheme="minorHAnsi"/>
          <w:sz w:val="24"/>
          <w:szCs w:val="24"/>
        </w:rPr>
        <w:t>frequency range 1-8hz</w:t>
      </w:r>
      <w:r w:rsidRPr="005871FB">
        <w:rPr>
          <w:rFonts w:cstheme="minorHAnsi"/>
          <w:sz w:val="24"/>
          <w:szCs w:val="24"/>
        </w:rPr>
        <w:t xml:space="preserve"> together to </w:t>
      </w:r>
      <w:r>
        <w:rPr>
          <w:rFonts w:cstheme="minorHAnsi"/>
          <w:sz w:val="24"/>
          <w:szCs w:val="24"/>
        </w:rPr>
        <w:t>exploit</w:t>
      </w:r>
      <w:r w:rsidRPr="005871FB">
        <w:rPr>
          <w:rFonts w:cstheme="minorHAnsi"/>
          <w:sz w:val="24"/>
          <w:szCs w:val="24"/>
        </w:rPr>
        <w:t xml:space="preserve"> the broadband nature of the train signal against the average</w:t>
      </w:r>
      <w:r>
        <w:rPr>
          <w:rFonts w:cstheme="minorHAnsi"/>
          <w:sz w:val="24"/>
          <w:szCs w:val="24"/>
        </w:rPr>
        <w:t xml:space="preserve"> </w:t>
      </w:r>
      <w:r w:rsidRPr="005871FB">
        <w:rPr>
          <w:rFonts w:cstheme="minorHAnsi"/>
          <w:sz w:val="24"/>
          <w:szCs w:val="24"/>
        </w:rPr>
        <w:t xml:space="preserve">background noise. </w:t>
      </w:r>
      <w:r>
        <w:rPr>
          <w:rFonts w:cstheme="minorHAnsi"/>
          <w:sz w:val="24"/>
          <w:szCs w:val="24"/>
        </w:rPr>
        <w:t>We</w:t>
      </w:r>
      <w:r w:rsidRPr="005871FB">
        <w:rPr>
          <w:rFonts w:cstheme="minorHAnsi"/>
          <w:sz w:val="24"/>
          <w:szCs w:val="24"/>
        </w:rPr>
        <w:t xml:space="preserve"> identify high amplitudes in the average frequency stack</w:t>
      </w:r>
      <w:r>
        <w:rPr>
          <w:rFonts w:cstheme="minorHAnsi"/>
          <w:sz w:val="24"/>
          <w:szCs w:val="24"/>
        </w:rPr>
        <w:t xml:space="preserve"> between 1 Hz – 8 Hz by applying the kurtosis method</w:t>
      </w:r>
      <w:r w:rsidR="00D831B7">
        <w:rPr>
          <w:rFonts w:cstheme="minorHAnsi"/>
          <w:sz w:val="24"/>
          <w:szCs w:val="24"/>
        </w:rPr>
        <w:t xml:space="preserve">, which </w:t>
      </w:r>
      <w:r w:rsidR="00AB50FA">
        <w:rPr>
          <w:rFonts w:cstheme="minorHAnsi"/>
          <w:sz w:val="24"/>
          <w:szCs w:val="24"/>
        </w:rPr>
        <w:t xml:space="preserve">is </w:t>
      </w:r>
      <w:r w:rsidR="00D831B7">
        <w:rPr>
          <w:rFonts w:cstheme="minorHAnsi"/>
          <w:sz w:val="24"/>
          <w:szCs w:val="24"/>
        </w:rPr>
        <w:t>the ratio of a short-</w:t>
      </w:r>
      <w:r w:rsidR="008C603F">
        <w:rPr>
          <w:rFonts w:cstheme="minorHAnsi"/>
          <w:sz w:val="24"/>
          <w:szCs w:val="24"/>
        </w:rPr>
        <w:t>window</w:t>
      </w:r>
      <w:r w:rsidR="00D831B7">
        <w:rPr>
          <w:rFonts w:cstheme="minorHAnsi"/>
          <w:sz w:val="24"/>
          <w:szCs w:val="24"/>
        </w:rPr>
        <w:t xml:space="preserve"> average to </w:t>
      </w:r>
      <w:r w:rsidR="008C603F">
        <w:rPr>
          <w:rFonts w:cstheme="minorHAnsi"/>
          <w:sz w:val="24"/>
          <w:szCs w:val="24"/>
        </w:rPr>
        <w:t>a long-window average</w:t>
      </w:r>
      <w:r w:rsidRPr="005871FB">
        <w:rPr>
          <w:rFonts w:cstheme="minorHAnsi"/>
          <w:sz w:val="24"/>
          <w:szCs w:val="24"/>
        </w:rPr>
        <w:t xml:space="preserve">. However, to mitigate </w:t>
      </w:r>
      <w:r>
        <w:rPr>
          <w:rFonts w:cstheme="minorHAnsi"/>
          <w:sz w:val="24"/>
          <w:szCs w:val="24"/>
        </w:rPr>
        <w:t xml:space="preserve">the </w:t>
      </w:r>
      <w:r w:rsidRPr="005871FB">
        <w:rPr>
          <w:rFonts w:cstheme="minorHAnsi"/>
          <w:sz w:val="24"/>
          <w:szCs w:val="24"/>
        </w:rPr>
        <w:t xml:space="preserve">false detection of trains we identify </w:t>
      </w:r>
      <w:proofErr w:type="gramStart"/>
      <w:r w:rsidRPr="005871FB">
        <w:rPr>
          <w:rFonts w:cstheme="minorHAnsi"/>
          <w:sz w:val="24"/>
          <w:szCs w:val="24"/>
        </w:rPr>
        <w:t>trains</w:t>
      </w:r>
      <w:r>
        <w:rPr>
          <w:rFonts w:cstheme="minorHAnsi"/>
          <w:sz w:val="24"/>
          <w:szCs w:val="24"/>
        </w:rPr>
        <w:t>,</w:t>
      </w:r>
      <w:proofErr w:type="gramEnd"/>
      <w:r w:rsidRPr="005871FB">
        <w:rPr>
          <w:rFonts w:cstheme="minorHAnsi"/>
          <w:sz w:val="24"/>
          <w:szCs w:val="24"/>
        </w:rPr>
        <w:t xml:space="preserve"> with high spectral amplitude in consecutive periods over 120 seconds over 40 consecutive DAS channels. We transform the time series into the frequency domain for train detection to eliminate false detection created by consecutive noisy DAS channels or other noise sources that may generate signals within a long-time window. </w:t>
      </w:r>
    </w:p>
    <w:p w14:paraId="103BCAF3" w14:textId="77777777" w:rsidR="00877E4B" w:rsidRDefault="00877E4B" w:rsidP="00536E3D">
      <w:pPr>
        <w:spacing w:line="480" w:lineRule="auto"/>
        <w:ind w:firstLine="720"/>
        <w:rPr>
          <w:rFonts w:cstheme="minorHAnsi"/>
          <w:sz w:val="24"/>
          <w:szCs w:val="24"/>
        </w:rPr>
      </w:pPr>
    </w:p>
    <w:p w14:paraId="5DAB1492" w14:textId="77777777" w:rsidR="00877E4B" w:rsidRPr="005871FB" w:rsidRDefault="00877E4B" w:rsidP="00536E3D">
      <w:pPr>
        <w:spacing w:line="480" w:lineRule="auto"/>
        <w:ind w:firstLine="720"/>
        <w:rPr>
          <w:rFonts w:cstheme="minorHAnsi"/>
          <w:sz w:val="24"/>
          <w:szCs w:val="24"/>
        </w:rPr>
      </w:pPr>
    </w:p>
    <w:p w14:paraId="054E28C8"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lastRenderedPageBreak/>
        <w:t>3.4.4 Near–surface characteristics</w:t>
      </w:r>
    </w:p>
    <w:p w14:paraId="227F448B"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Site response at any given site can vary significantly even within Northern Oklahoma</w:t>
      </w:r>
      <w:r>
        <w:rPr>
          <w:rFonts w:cstheme="minorHAnsi"/>
          <w:sz w:val="24"/>
          <w:szCs w:val="24"/>
        </w:rPr>
        <w:t xml:space="preserve"> as shown by the varying noise amplitudes over short distances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3</w:t>
      </w:r>
      <w:r w:rsidRPr="005871FB">
        <w:rPr>
          <w:rFonts w:cstheme="minorHAnsi"/>
          <w:sz w:val="24"/>
          <w:szCs w:val="24"/>
        </w:rPr>
        <w:t>. Determination of site characteristics, such as fundamental frequency and site amplification, is important to characterize potential earthquake hazard</w:t>
      </w:r>
      <w:r>
        <w:rPr>
          <w:rFonts w:cstheme="minorHAnsi"/>
          <w:sz w:val="24"/>
          <w:szCs w:val="24"/>
        </w:rPr>
        <w:t>s</w:t>
      </w:r>
      <w:r w:rsidRPr="005871FB">
        <w:rPr>
          <w:rFonts w:cstheme="minorHAnsi"/>
          <w:sz w:val="24"/>
          <w:szCs w:val="24"/>
        </w:rPr>
        <w:t xml:space="preserve"> related to ground motion amplification in any </w:t>
      </w:r>
      <w:proofErr w:type="spellStart"/>
      <w:r w:rsidRPr="005871FB">
        <w:rPr>
          <w:rFonts w:cstheme="minorHAnsi"/>
          <w:sz w:val="24"/>
          <w:szCs w:val="24"/>
        </w:rPr>
        <w:t>microzonation</w:t>
      </w:r>
      <w:proofErr w:type="spellEnd"/>
      <w:r w:rsidRPr="005871FB">
        <w:rPr>
          <w:rFonts w:cstheme="minorHAnsi"/>
          <w:sz w:val="24"/>
          <w:szCs w:val="24"/>
        </w:rPr>
        <w:t xml:space="preserve"> study. </w:t>
      </w:r>
      <w:proofErr w:type="spellStart"/>
      <w:r w:rsidRPr="005871FB">
        <w:rPr>
          <w:rFonts w:cstheme="minorHAnsi"/>
          <w:sz w:val="24"/>
          <w:szCs w:val="24"/>
        </w:rPr>
        <w:t>Microzonation</w:t>
      </w:r>
      <w:proofErr w:type="spellEnd"/>
      <w:r w:rsidRPr="005871FB">
        <w:rPr>
          <w:rFonts w:cstheme="minorHAnsi"/>
          <w:sz w:val="24"/>
          <w:szCs w:val="24"/>
        </w:rPr>
        <w:t xml:space="preserve"> is the identification of potential for earthquake hazards in areas with an increased risk for ground motion amplification, liquefaction, and landslides. The purpose of </w:t>
      </w:r>
      <w:proofErr w:type="spellStart"/>
      <w:r w:rsidRPr="005871FB">
        <w:rPr>
          <w:rFonts w:cstheme="minorHAnsi"/>
          <w:sz w:val="24"/>
          <w:szCs w:val="24"/>
        </w:rPr>
        <w:t>microzonation</w:t>
      </w:r>
      <w:proofErr w:type="spellEnd"/>
      <w:r w:rsidRPr="005871FB">
        <w:rPr>
          <w:rFonts w:cstheme="minorHAnsi"/>
          <w:sz w:val="24"/>
          <w:szCs w:val="24"/>
        </w:rPr>
        <w:t xml:space="preserve"> studies is to assess these locations of potential risk and mitigate any potential economic loss such as damage to buildings or other structures (Ansal et al., 2009). The earliest </w:t>
      </w:r>
      <w:proofErr w:type="spellStart"/>
      <w:r w:rsidRPr="005871FB">
        <w:rPr>
          <w:rFonts w:cstheme="minorHAnsi"/>
          <w:sz w:val="24"/>
          <w:szCs w:val="24"/>
        </w:rPr>
        <w:t>microzonation</w:t>
      </w:r>
      <w:proofErr w:type="spellEnd"/>
      <w:r w:rsidRPr="005871FB">
        <w:rPr>
          <w:rFonts w:cstheme="minorHAnsi"/>
          <w:sz w:val="24"/>
          <w:szCs w:val="24"/>
        </w:rPr>
        <w:t xml:space="preserve"> site response study by Imamura (1913) utilized </w:t>
      </w:r>
      <w:proofErr w:type="gramStart"/>
      <w:r w:rsidRPr="005871FB">
        <w:rPr>
          <w:rFonts w:cstheme="minorHAnsi"/>
          <w:sz w:val="24"/>
          <w:szCs w:val="24"/>
        </w:rPr>
        <w:t>single</w:t>
      </w:r>
      <w:r>
        <w:rPr>
          <w:rFonts w:cstheme="minorHAnsi"/>
          <w:sz w:val="24"/>
          <w:szCs w:val="24"/>
        </w:rPr>
        <w:t>-</w:t>
      </w:r>
      <w:r w:rsidRPr="005871FB">
        <w:rPr>
          <w:rFonts w:cstheme="minorHAnsi"/>
          <w:sz w:val="24"/>
          <w:szCs w:val="24"/>
        </w:rPr>
        <w:t>station</w:t>
      </w:r>
      <w:proofErr w:type="gramEnd"/>
      <w:r w:rsidRPr="005871FB">
        <w:rPr>
          <w:rFonts w:cstheme="minorHAnsi"/>
          <w:sz w:val="24"/>
          <w:szCs w:val="24"/>
        </w:rPr>
        <w:t xml:space="preserve"> microtremors following the 1854 Tokyo earthquake</w:t>
      </w:r>
      <w:r>
        <w:rPr>
          <w:rFonts w:cstheme="minorHAnsi"/>
          <w:sz w:val="24"/>
          <w:szCs w:val="24"/>
        </w:rPr>
        <w:t>,</w:t>
      </w:r>
      <w:r w:rsidRPr="005871FB">
        <w:rPr>
          <w:rFonts w:cstheme="minorHAnsi"/>
          <w:sz w:val="24"/>
          <w:szCs w:val="24"/>
        </w:rPr>
        <w:t xml:space="preserve"> where localized damage patterns were observed from amplified ground motions. Subsequent observations of large earthquakes have also shown localized damage patterns correlating to subsurface geologic structures such as basins (Frankel et al., 2002; Hall </w:t>
      </w:r>
      <w:r>
        <w:rPr>
          <w:rFonts w:cstheme="minorHAnsi"/>
          <w:sz w:val="24"/>
          <w:szCs w:val="24"/>
        </w:rPr>
        <w:t>and</w:t>
      </w:r>
      <w:r w:rsidRPr="005871FB">
        <w:rPr>
          <w:rFonts w:cstheme="minorHAnsi"/>
          <w:sz w:val="24"/>
          <w:szCs w:val="24"/>
        </w:rPr>
        <w:t xml:space="preserve"> Beck, 1986; Abbott, 2005</w:t>
      </w:r>
      <w:r>
        <w:rPr>
          <w:rFonts w:cstheme="minorHAnsi"/>
          <w:sz w:val="24"/>
          <w:szCs w:val="24"/>
        </w:rPr>
        <w:t>;</w:t>
      </w:r>
      <w:r w:rsidRPr="005871FB">
        <w:rPr>
          <w:rFonts w:cstheme="minorHAnsi"/>
          <w:sz w:val="24"/>
          <w:szCs w:val="24"/>
        </w:rPr>
        <w:t xml:space="preserve"> </w:t>
      </w:r>
      <w:r>
        <w:rPr>
          <w:rFonts w:cstheme="minorHAnsi"/>
          <w:sz w:val="24"/>
          <w:szCs w:val="24"/>
        </w:rPr>
        <w:t>K</w:t>
      </w:r>
      <w:r w:rsidRPr="005871FB">
        <w:rPr>
          <w:rFonts w:cstheme="minorHAnsi"/>
          <w:sz w:val="24"/>
          <w:szCs w:val="24"/>
        </w:rPr>
        <w:t>agami et al</w:t>
      </w:r>
      <w:r>
        <w:rPr>
          <w:rFonts w:cstheme="minorHAnsi"/>
          <w:sz w:val="24"/>
          <w:szCs w:val="24"/>
        </w:rPr>
        <w:t>.,</w:t>
      </w:r>
      <w:r w:rsidRPr="005871FB">
        <w:rPr>
          <w:rFonts w:cstheme="minorHAnsi"/>
          <w:sz w:val="24"/>
          <w:szCs w:val="24"/>
        </w:rPr>
        <w:t xml:space="preserve"> 1986). Understanding this secondary hazard such as resonance has been an important feature in earthquake hazard risk reduction as shown in the well</w:t>
      </w:r>
      <w:r>
        <w:rPr>
          <w:rFonts w:cstheme="minorHAnsi"/>
          <w:sz w:val="24"/>
          <w:szCs w:val="24"/>
        </w:rPr>
        <w:t>-</w:t>
      </w:r>
      <w:r w:rsidRPr="005871FB">
        <w:rPr>
          <w:rFonts w:cstheme="minorHAnsi"/>
          <w:sz w:val="24"/>
          <w:szCs w:val="24"/>
        </w:rPr>
        <w:t xml:space="preserve">documented 1985 Michoacan earthquake (Hall </w:t>
      </w:r>
      <w:r>
        <w:rPr>
          <w:rFonts w:cstheme="minorHAnsi"/>
          <w:sz w:val="24"/>
          <w:szCs w:val="24"/>
        </w:rPr>
        <w:t>and</w:t>
      </w:r>
      <w:r w:rsidRPr="005871FB">
        <w:rPr>
          <w:rFonts w:cstheme="minorHAnsi"/>
          <w:sz w:val="24"/>
          <w:szCs w:val="24"/>
        </w:rPr>
        <w:t xml:space="preserve"> Beck, 1986; Flores Estrella et al., 2006) where building structural damage was linked to earthquake shaking resonance, the 1987 Whittier earthquake (Hruby </w:t>
      </w:r>
      <w:r>
        <w:rPr>
          <w:rFonts w:cstheme="minorHAnsi"/>
          <w:sz w:val="24"/>
          <w:szCs w:val="24"/>
        </w:rPr>
        <w:t>and</w:t>
      </w:r>
      <w:r w:rsidRPr="005871FB">
        <w:rPr>
          <w:rFonts w:cstheme="minorHAnsi"/>
          <w:sz w:val="24"/>
          <w:szCs w:val="24"/>
        </w:rPr>
        <w:t xml:space="preserve"> </w:t>
      </w:r>
      <w:proofErr w:type="spellStart"/>
      <w:r w:rsidRPr="005871FB">
        <w:rPr>
          <w:rFonts w:cstheme="minorHAnsi"/>
          <w:sz w:val="24"/>
          <w:szCs w:val="24"/>
        </w:rPr>
        <w:t>Beresnev</w:t>
      </w:r>
      <w:proofErr w:type="spellEnd"/>
      <w:r w:rsidRPr="005871FB">
        <w:rPr>
          <w:rFonts w:cstheme="minorHAnsi"/>
          <w:sz w:val="24"/>
          <w:szCs w:val="24"/>
        </w:rPr>
        <w:t>, 2003</w:t>
      </w:r>
      <w:r>
        <w:rPr>
          <w:rFonts w:cstheme="minorHAnsi"/>
          <w:sz w:val="24"/>
          <w:szCs w:val="24"/>
        </w:rPr>
        <w:t>;</w:t>
      </w:r>
      <w:r w:rsidRPr="005871FB">
        <w:rPr>
          <w:rFonts w:cstheme="minorHAnsi"/>
          <w:sz w:val="24"/>
          <w:szCs w:val="24"/>
        </w:rPr>
        <w:t xml:space="preserve"> Kawase </w:t>
      </w:r>
      <w:r>
        <w:rPr>
          <w:rFonts w:cstheme="minorHAnsi"/>
          <w:sz w:val="24"/>
          <w:szCs w:val="24"/>
        </w:rPr>
        <w:t>and</w:t>
      </w:r>
      <w:r w:rsidRPr="005871FB">
        <w:rPr>
          <w:rFonts w:cstheme="minorHAnsi"/>
          <w:sz w:val="24"/>
          <w:szCs w:val="24"/>
        </w:rPr>
        <w:t xml:space="preserve"> Aki</w:t>
      </w:r>
      <w:r>
        <w:rPr>
          <w:rFonts w:cstheme="minorHAnsi"/>
          <w:sz w:val="24"/>
          <w:szCs w:val="24"/>
        </w:rPr>
        <w:t>,</w:t>
      </w:r>
      <w:r w:rsidRPr="005871FB">
        <w:rPr>
          <w:rFonts w:cstheme="minorHAnsi"/>
          <w:sz w:val="24"/>
          <w:szCs w:val="24"/>
        </w:rPr>
        <w:t xml:space="preserve"> 1990) shown a basin edge effect in ground motion amplification, and the 1994 Northridge earthquake (Hruby </w:t>
      </w:r>
      <w:r>
        <w:rPr>
          <w:rFonts w:cstheme="minorHAnsi"/>
          <w:sz w:val="24"/>
          <w:szCs w:val="24"/>
        </w:rPr>
        <w:t>and</w:t>
      </w:r>
      <w:r w:rsidRPr="005871FB">
        <w:rPr>
          <w:rFonts w:cstheme="minorHAnsi"/>
          <w:sz w:val="24"/>
          <w:szCs w:val="24"/>
        </w:rPr>
        <w:t xml:space="preserve"> </w:t>
      </w:r>
      <w:proofErr w:type="spellStart"/>
      <w:r w:rsidRPr="005871FB">
        <w:rPr>
          <w:rFonts w:cstheme="minorHAnsi"/>
          <w:sz w:val="24"/>
          <w:szCs w:val="24"/>
        </w:rPr>
        <w:t>Beresnev</w:t>
      </w:r>
      <w:proofErr w:type="spellEnd"/>
      <w:r w:rsidRPr="005871FB">
        <w:rPr>
          <w:rFonts w:cstheme="minorHAnsi"/>
          <w:sz w:val="24"/>
          <w:szCs w:val="24"/>
        </w:rPr>
        <w:t xml:space="preserve">, 2003; </w:t>
      </w:r>
      <w:proofErr w:type="spellStart"/>
      <w:r w:rsidRPr="005871FB">
        <w:rPr>
          <w:rFonts w:cstheme="minorHAnsi"/>
          <w:sz w:val="24"/>
          <w:szCs w:val="24"/>
        </w:rPr>
        <w:t>Beresnev</w:t>
      </w:r>
      <w:proofErr w:type="spellEnd"/>
      <w:r w:rsidRPr="005871FB">
        <w:rPr>
          <w:rFonts w:cstheme="minorHAnsi"/>
          <w:sz w:val="24"/>
          <w:szCs w:val="24"/>
        </w:rPr>
        <w:t xml:space="preserve"> et al., 1998; Hartzell et al., 1996</w:t>
      </w:r>
      <w:r>
        <w:rPr>
          <w:rFonts w:cstheme="minorHAnsi"/>
          <w:sz w:val="24"/>
          <w:szCs w:val="24"/>
        </w:rPr>
        <w:t>)</w:t>
      </w:r>
      <w:r w:rsidRPr="005871FB">
        <w:rPr>
          <w:rFonts w:cstheme="minorHAnsi"/>
          <w:sz w:val="24"/>
          <w:szCs w:val="24"/>
        </w:rPr>
        <w:t xml:space="preserve"> exhibiting basin resonance from excited ground motions. The geologic medium can influence the relative seismic acoustic wave amplitude which translates to </w:t>
      </w:r>
      <w:r w:rsidRPr="005871FB">
        <w:rPr>
          <w:rFonts w:cstheme="minorHAnsi"/>
          <w:sz w:val="24"/>
          <w:szCs w:val="24"/>
        </w:rPr>
        <w:lastRenderedPageBreak/>
        <w:t>stronger or weaker shaking (Nakamura, 2000). Nakamura (1989) determined the cause of stronger localized shaking during a strong motion event is due to the harmonic wave constructively interfering through resonance.</w:t>
      </w:r>
    </w:p>
    <w:p w14:paraId="077551B4" w14:textId="77777777" w:rsidR="004C3823" w:rsidRPr="005871FB" w:rsidRDefault="004C3823" w:rsidP="005871FB">
      <w:pPr>
        <w:spacing w:line="480" w:lineRule="auto"/>
        <w:rPr>
          <w:rFonts w:cstheme="minorHAnsi"/>
          <w:sz w:val="24"/>
          <w:szCs w:val="24"/>
        </w:rPr>
      </w:pPr>
      <w:r w:rsidRPr="005871FB">
        <w:rPr>
          <w:rFonts w:cstheme="minorHAnsi"/>
          <w:sz w:val="24"/>
          <w:szCs w:val="24"/>
        </w:rPr>
        <w:tab/>
        <w:t>There are several methods used to characterize the site response. Geotechnical investigations such as Cone Penetration Test (CPT), Standard Cone Penetration TEST (SPT), and soil borings are used in engineering applications for site characterization (</w:t>
      </w:r>
      <w:proofErr w:type="spellStart"/>
      <w:r w:rsidRPr="005871FB">
        <w:rPr>
          <w:rFonts w:cstheme="minorHAnsi"/>
          <w:color w:val="222222"/>
          <w:sz w:val="24"/>
          <w:szCs w:val="24"/>
          <w:shd w:val="clear" w:color="auto" w:fill="FFFFFF"/>
        </w:rPr>
        <w:t>Schmertmann</w:t>
      </w:r>
      <w:proofErr w:type="spellEnd"/>
      <w:r w:rsidRPr="005871FB">
        <w:rPr>
          <w:rFonts w:cstheme="minorHAnsi"/>
          <w:color w:val="222222"/>
          <w:sz w:val="24"/>
          <w:szCs w:val="24"/>
          <w:shd w:val="clear" w:color="auto" w:fill="FFFFFF"/>
        </w:rPr>
        <w:t>, 1978)</w:t>
      </w:r>
      <w:r w:rsidRPr="005871FB">
        <w:rPr>
          <w:rFonts w:cstheme="minorHAnsi"/>
          <w:sz w:val="24"/>
          <w:szCs w:val="24"/>
        </w:rPr>
        <w:t xml:space="preserve">. Information about the local surface geology is also important to consider as </w:t>
      </w:r>
      <w:r>
        <w:rPr>
          <w:rFonts w:cstheme="minorHAnsi"/>
          <w:sz w:val="24"/>
          <w:szCs w:val="24"/>
        </w:rPr>
        <w:t>it</w:t>
      </w:r>
      <w:r w:rsidRPr="005871FB">
        <w:rPr>
          <w:rFonts w:cstheme="minorHAnsi"/>
          <w:sz w:val="24"/>
          <w:szCs w:val="24"/>
        </w:rPr>
        <w:t xml:space="preserve"> can highly correlate with the observed seismic intensities (Wills et al.</w:t>
      </w:r>
      <w:r>
        <w:rPr>
          <w:rFonts w:cstheme="minorHAnsi"/>
          <w:sz w:val="24"/>
          <w:szCs w:val="24"/>
        </w:rPr>
        <w:t>,</w:t>
      </w:r>
      <w:r w:rsidRPr="005871FB">
        <w:rPr>
          <w:rFonts w:cstheme="minorHAnsi"/>
          <w:sz w:val="24"/>
          <w:szCs w:val="24"/>
        </w:rPr>
        <w:t xml:space="preserve"> 2000). However, geotechnical investigati</w:t>
      </w:r>
      <w:r>
        <w:rPr>
          <w:rFonts w:cstheme="minorHAnsi"/>
          <w:sz w:val="24"/>
          <w:szCs w:val="24"/>
        </w:rPr>
        <w:t>ons</w:t>
      </w:r>
      <w:r w:rsidRPr="005871FB">
        <w:rPr>
          <w:rFonts w:cstheme="minorHAnsi"/>
          <w:sz w:val="24"/>
          <w:szCs w:val="24"/>
        </w:rPr>
        <w:t xml:space="preserve"> are often</w:t>
      </w:r>
      <w:r>
        <w:rPr>
          <w:rFonts w:cstheme="minorHAnsi"/>
          <w:sz w:val="24"/>
          <w:szCs w:val="24"/>
        </w:rPr>
        <w:t xml:space="preserve"> expensive,</w:t>
      </w:r>
      <w:r w:rsidRPr="005871FB">
        <w:rPr>
          <w:rFonts w:cstheme="minorHAnsi"/>
          <w:sz w:val="24"/>
          <w:szCs w:val="24"/>
        </w:rPr>
        <w:t xml:space="preserve"> invasive, negatively affect the environment</w:t>
      </w:r>
      <w:r>
        <w:rPr>
          <w:rFonts w:cstheme="minorHAnsi"/>
          <w:sz w:val="24"/>
          <w:szCs w:val="24"/>
        </w:rPr>
        <w:t>,</w:t>
      </w:r>
      <w:r w:rsidRPr="005871FB">
        <w:rPr>
          <w:rFonts w:cstheme="minorHAnsi"/>
          <w:sz w:val="24"/>
          <w:szCs w:val="24"/>
        </w:rPr>
        <w:t xml:space="preserve"> and are not available for all locations. These methods are also focused on </w:t>
      </w:r>
      <w:r>
        <w:rPr>
          <w:rFonts w:cstheme="minorHAnsi"/>
          <w:sz w:val="24"/>
          <w:szCs w:val="24"/>
        </w:rPr>
        <w:t xml:space="preserve">the </w:t>
      </w:r>
      <w:r w:rsidRPr="005871FB">
        <w:rPr>
          <w:rFonts w:cstheme="minorHAnsi"/>
          <w:sz w:val="24"/>
          <w:szCs w:val="24"/>
        </w:rPr>
        <w:t>determination of site amplification and do not consider the effects of resonance. In this study</w:t>
      </w:r>
      <w:r>
        <w:rPr>
          <w:rFonts w:cstheme="minorHAnsi"/>
          <w:sz w:val="24"/>
          <w:szCs w:val="24"/>
        </w:rPr>
        <w:t>,</w:t>
      </w:r>
      <w:r w:rsidRPr="005871FB">
        <w:rPr>
          <w:rFonts w:cstheme="minorHAnsi"/>
          <w:sz w:val="24"/>
          <w:szCs w:val="24"/>
        </w:rPr>
        <w:t xml:space="preserve"> we use </w:t>
      </w:r>
      <w:r>
        <w:rPr>
          <w:rFonts w:cstheme="minorHAnsi"/>
          <w:sz w:val="24"/>
          <w:szCs w:val="24"/>
        </w:rPr>
        <w:t>the H</w:t>
      </w:r>
      <w:r w:rsidRPr="005871FB">
        <w:rPr>
          <w:rFonts w:cstheme="minorHAnsi"/>
          <w:sz w:val="24"/>
          <w:szCs w:val="24"/>
        </w:rPr>
        <w:t>orizontal</w:t>
      </w:r>
      <w:r>
        <w:rPr>
          <w:rFonts w:cstheme="minorHAnsi"/>
          <w:sz w:val="24"/>
          <w:szCs w:val="24"/>
        </w:rPr>
        <w:t>-</w:t>
      </w:r>
      <w:r w:rsidRPr="005871FB">
        <w:rPr>
          <w:rFonts w:cstheme="minorHAnsi"/>
          <w:sz w:val="24"/>
          <w:szCs w:val="24"/>
        </w:rPr>
        <w:t>to</w:t>
      </w:r>
      <w:r>
        <w:rPr>
          <w:rFonts w:cstheme="minorHAnsi"/>
          <w:sz w:val="24"/>
          <w:szCs w:val="24"/>
        </w:rPr>
        <w:t>-V</w:t>
      </w:r>
      <w:r w:rsidRPr="005871FB">
        <w:rPr>
          <w:rFonts w:cstheme="minorHAnsi"/>
          <w:sz w:val="24"/>
          <w:szCs w:val="24"/>
        </w:rPr>
        <w:t>ertical</w:t>
      </w:r>
      <w:r>
        <w:rPr>
          <w:rFonts w:cstheme="minorHAnsi"/>
          <w:sz w:val="24"/>
          <w:szCs w:val="24"/>
        </w:rPr>
        <w:t>-S</w:t>
      </w:r>
      <w:r w:rsidRPr="005871FB">
        <w:rPr>
          <w:rFonts w:cstheme="minorHAnsi"/>
          <w:sz w:val="24"/>
          <w:szCs w:val="24"/>
        </w:rPr>
        <w:t>pectral</w:t>
      </w:r>
      <w:r>
        <w:rPr>
          <w:rFonts w:cstheme="minorHAnsi"/>
          <w:sz w:val="24"/>
          <w:szCs w:val="24"/>
        </w:rPr>
        <w:t>-R</w:t>
      </w:r>
      <w:r w:rsidRPr="005871FB">
        <w:rPr>
          <w:rFonts w:cstheme="minorHAnsi"/>
          <w:sz w:val="24"/>
          <w:szCs w:val="24"/>
        </w:rPr>
        <w:t xml:space="preserve">atio (HVSR) approach </w:t>
      </w:r>
      <w:r>
        <w:rPr>
          <w:rFonts w:cstheme="minorHAnsi"/>
          <w:sz w:val="24"/>
          <w:szCs w:val="24"/>
        </w:rPr>
        <w:t>to</w:t>
      </w:r>
      <w:r w:rsidRPr="005871FB">
        <w:rPr>
          <w:rFonts w:cstheme="minorHAnsi"/>
          <w:sz w:val="24"/>
          <w:szCs w:val="24"/>
        </w:rPr>
        <w:t xml:space="preserve"> ambient noise recorded on a high</w:t>
      </w:r>
      <w:r>
        <w:rPr>
          <w:rFonts w:cstheme="minorHAnsi"/>
          <w:sz w:val="24"/>
          <w:szCs w:val="24"/>
        </w:rPr>
        <w:t>-</w:t>
      </w:r>
      <w:r w:rsidRPr="005871FB">
        <w:rPr>
          <w:rFonts w:cstheme="minorHAnsi"/>
          <w:sz w:val="24"/>
          <w:szCs w:val="24"/>
        </w:rPr>
        <w:t xml:space="preserve">density linear nodal array deployed in Enid, Oklahoma to estimate fundamental frequencies. It is known that deep sedimentary soil columns in basins can amplify earthquake ground motion and cause significant damage to buildings built on their surface. The extent of the damage is related to the building’s specific height and soil site resonance frequency, fundamental frequency. We use the fundamental frequencies to estimate a geologic structure shape and determine subsurface sedimentary column resonance.  </w:t>
      </w:r>
    </w:p>
    <w:p w14:paraId="3ACC2BA0"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3.5</w:t>
      </w:r>
      <w:r>
        <w:rPr>
          <w:rFonts w:cstheme="minorHAnsi"/>
          <w:b/>
          <w:bCs/>
          <w:sz w:val="24"/>
          <w:szCs w:val="24"/>
        </w:rPr>
        <w:t xml:space="preserve"> </w:t>
      </w:r>
      <w:r w:rsidRPr="005871FB">
        <w:rPr>
          <w:rFonts w:cstheme="minorHAnsi"/>
          <w:b/>
          <w:bCs/>
          <w:sz w:val="24"/>
          <w:szCs w:val="24"/>
        </w:rPr>
        <w:t xml:space="preserve">Method and </w:t>
      </w:r>
      <w:r>
        <w:rPr>
          <w:rFonts w:cstheme="minorHAnsi"/>
          <w:b/>
          <w:bCs/>
          <w:sz w:val="24"/>
          <w:szCs w:val="24"/>
        </w:rPr>
        <w:t>B</w:t>
      </w:r>
      <w:r w:rsidRPr="005871FB">
        <w:rPr>
          <w:rFonts w:cstheme="minorHAnsi"/>
          <w:b/>
          <w:bCs/>
          <w:sz w:val="24"/>
          <w:szCs w:val="24"/>
        </w:rPr>
        <w:t>ackground for HVSR</w:t>
      </w:r>
    </w:p>
    <w:p w14:paraId="45B26CAC"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 xml:space="preserve">The HVSR approach is used for site response investigations due to its ease of use, low cost, and flexibility in the use of data that is not dependent on strong ground motion or an </w:t>
      </w:r>
      <w:r w:rsidRPr="005871FB">
        <w:rPr>
          <w:rFonts w:cstheme="minorHAnsi"/>
          <w:sz w:val="24"/>
          <w:szCs w:val="24"/>
        </w:rPr>
        <w:lastRenderedPageBreak/>
        <w:t>active source. Ambient noise HVSR studies have been conducted extensively and compared for reliability against other methods, as discussed by Bard</w:t>
      </w:r>
      <w:r>
        <w:rPr>
          <w:rFonts w:cstheme="minorHAnsi"/>
          <w:sz w:val="24"/>
          <w:szCs w:val="24"/>
        </w:rPr>
        <w:t xml:space="preserve"> et al. (</w:t>
      </w:r>
      <w:r w:rsidRPr="005871FB">
        <w:rPr>
          <w:rFonts w:cstheme="minorHAnsi"/>
          <w:sz w:val="24"/>
          <w:szCs w:val="24"/>
        </w:rPr>
        <w:t>2004</w:t>
      </w:r>
      <w:r>
        <w:rPr>
          <w:rFonts w:cstheme="minorHAnsi"/>
          <w:sz w:val="24"/>
          <w:szCs w:val="24"/>
        </w:rPr>
        <w:t>)</w:t>
      </w:r>
      <w:r w:rsidRPr="005871FB">
        <w:rPr>
          <w:rFonts w:cstheme="minorHAnsi"/>
          <w:sz w:val="24"/>
          <w:szCs w:val="24"/>
        </w:rPr>
        <w:t xml:space="preserve"> and Bard</w:t>
      </w:r>
      <w:r>
        <w:rPr>
          <w:rFonts w:cstheme="minorHAnsi"/>
          <w:sz w:val="24"/>
          <w:szCs w:val="24"/>
        </w:rPr>
        <w:t xml:space="preserve"> et al. (</w:t>
      </w:r>
      <w:r w:rsidRPr="005871FB">
        <w:rPr>
          <w:rFonts w:cstheme="minorHAnsi"/>
          <w:sz w:val="24"/>
          <w:szCs w:val="24"/>
        </w:rPr>
        <w:t>2005</w:t>
      </w:r>
      <w:r>
        <w:rPr>
          <w:rFonts w:cstheme="minorHAnsi"/>
          <w:sz w:val="24"/>
          <w:szCs w:val="24"/>
        </w:rPr>
        <w:t>)</w:t>
      </w:r>
      <w:r w:rsidRPr="005871FB">
        <w:rPr>
          <w:rFonts w:cstheme="minorHAnsi"/>
          <w:sz w:val="24"/>
          <w:szCs w:val="24"/>
        </w:rPr>
        <w:t>. Nakamura</w:t>
      </w:r>
      <w:r>
        <w:rPr>
          <w:rFonts w:cstheme="minorHAnsi"/>
          <w:sz w:val="24"/>
          <w:szCs w:val="24"/>
        </w:rPr>
        <w:t xml:space="preserve"> (</w:t>
      </w:r>
      <w:r w:rsidRPr="005871FB">
        <w:rPr>
          <w:rFonts w:cstheme="minorHAnsi"/>
          <w:sz w:val="24"/>
          <w:szCs w:val="24"/>
        </w:rPr>
        <w:t>1989</w:t>
      </w:r>
      <w:r>
        <w:rPr>
          <w:rFonts w:cstheme="minorHAnsi"/>
          <w:sz w:val="24"/>
          <w:szCs w:val="24"/>
        </w:rPr>
        <w:t xml:space="preserve">) </w:t>
      </w:r>
      <w:r w:rsidRPr="005871FB">
        <w:rPr>
          <w:rFonts w:cstheme="minorHAnsi"/>
          <w:sz w:val="24"/>
          <w:szCs w:val="24"/>
        </w:rPr>
        <w:t>show</w:t>
      </w:r>
      <w:r>
        <w:rPr>
          <w:rFonts w:cstheme="minorHAnsi"/>
          <w:sz w:val="24"/>
          <w:szCs w:val="24"/>
        </w:rPr>
        <w:t>ed</w:t>
      </w:r>
      <w:r w:rsidRPr="005871FB">
        <w:rPr>
          <w:rFonts w:cstheme="minorHAnsi"/>
          <w:sz w:val="24"/>
          <w:szCs w:val="24"/>
        </w:rPr>
        <w:t xml:space="preserve"> that the HVSR spectral peak frequency represents the fundamental frequency of the site soil column. This has been confirmed by later studies which tested the accuracy and reliability of the HVSR approach, as described in papers such as Cara</w:t>
      </w:r>
      <w:r>
        <w:rPr>
          <w:rFonts w:cstheme="minorHAnsi"/>
          <w:sz w:val="24"/>
          <w:szCs w:val="24"/>
        </w:rPr>
        <w:t xml:space="preserve"> et al. (</w:t>
      </w:r>
      <w:r w:rsidRPr="005871FB">
        <w:rPr>
          <w:rFonts w:cstheme="minorHAnsi"/>
          <w:sz w:val="24"/>
          <w:szCs w:val="24"/>
        </w:rPr>
        <w:t>2010</w:t>
      </w:r>
      <w:r>
        <w:rPr>
          <w:rFonts w:cstheme="minorHAnsi"/>
          <w:sz w:val="24"/>
          <w:szCs w:val="24"/>
        </w:rPr>
        <w:t>)</w:t>
      </w:r>
      <w:r w:rsidRPr="005871FB">
        <w:rPr>
          <w:rFonts w:cstheme="minorHAnsi"/>
          <w:sz w:val="24"/>
          <w:szCs w:val="24"/>
        </w:rPr>
        <w:t xml:space="preserve">, </w:t>
      </w:r>
      <w:proofErr w:type="spellStart"/>
      <w:r w:rsidRPr="005871FB">
        <w:rPr>
          <w:rFonts w:cstheme="minorHAnsi"/>
          <w:sz w:val="24"/>
          <w:szCs w:val="24"/>
        </w:rPr>
        <w:t>Guillier</w:t>
      </w:r>
      <w:proofErr w:type="spellEnd"/>
      <w:r>
        <w:rPr>
          <w:rFonts w:cstheme="minorHAnsi"/>
          <w:sz w:val="24"/>
          <w:szCs w:val="24"/>
        </w:rPr>
        <w:t xml:space="preserve"> et al. (2007),</w:t>
      </w:r>
      <w:r w:rsidRPr="005871FB">
        <w:rPr>
          <w:rFonts w:cstheme="minorHAnsi"/>
          <w:sz w:val="24"/>
          <w:szCs w:val="24"/>
        </w:rPr>
        <w:t xml:space="preserve"> and </w:t>
      </w:r>
      <w:proofErr w:type="spellStart"/>
      <w:r w:rsidRPr="005871FB">
        <w:rPr>
          <w:rFonts w:cstheme="minorHAnsi"/>
          <w:sz w:val="24"/>
          <w:szCs w:val="24"/>
        </w:rPr>
        <w:t>Parolai</w:t>
      </w:r>
      <w:proofErr w:type="spellEnd"/>
      <w:r>
        <w:rPr>
          <w:rFonts w:cstheme="minorHAnsi"/>
          <w:sz w:val="24"/>
          <w:szCs w:val="24"/>
        </w:rPr>
        <w:t xml:space="preserve"> et al. (</w:t>
      </w:r>
      <w:r w:rsidRPr="005871FB">
        <w:rPr>
          <w:rFonts w:cstheme="minorHAnsi"/>
          <w:sz w:val="24"/>
          <w:szCs w:val="24"/>
        </w:rPr>
        <w:t>2004</w:t>
      </w:r>
      <w:r>
        <w:rPr>
          <w:rFonts w:cstheme="minorHAnsi"/>
          <w:sz w:val="24"/>
          <w:szCs w:val="24"/>
        </w:rPr>
        <w:t>)</w:t>
      </w:r>
      <w:r w:rsidRPr="005871FB">
        <w:rPr>
          <w:rFonts w:cstheme="minorHAnsi"/>
          <w:sz w:val="24"/>
          <w:szCs w:val="24"/>
        </w:rPr>
        <w:t>. Further investigation by Bard</w:t>
      </w:r>
      <w:r>
        <w:rPr>
          <w:rFonts w:cstheme="minorHAnsi"/>
          <w:sz w:val="24"/>
          <w:szCs w:val="24"/>
        </w:rPr>
        <w:t xml:space="preserve"> et al. (</w:t>
      </w:r>
      <w:r w:rsidRPr="005871FB">
        <w:rPr>
          <w:rFonts w:cstheme="minorHAnsi"/>
          <w:sz w:val="24"/>
          <w:szCs w:val="24"/>
        </w:rPr>
        <w:t>2004</w:t>
      </w:r>
      <w:r>
        <w:rPr>
          <w:rFonts w:cstheme="minorHAnsi"/>
          <w:sz w:val="24"/>
          <w:szCs w:val="24"/>
        </w:rPr>
        <w:t>)</w:t>
      </w:r>
      <w:r w:rsidRPr="005871FB">
        <w:rPr>
          <w:rFonts w:cstheme="minorHAnsi"/>
          <w:sz w:val="24"/>
          <w:szCs w:val="24"/>
        </w:rPr>
        <w:t xml:space="preserve"> in the Site Effects Assessment Using Ambient Excitation project (SESAME) compared the ambient noise HVSR results with those from </w:t>
      </w:r>
      <w:proofErr w:type="gramStart"/>
      <w:r w:rsidRPr="005871FB">
        <w:rPr>
          <w:rFonts w:cstheme="minorHAnsi"/>
          <w:sz w:val="24"/>
          <w:szCs w:val="24"/>
        </w:rPr>
        <w:t>earthquake</w:t>
      </w:r>
      <w:r>
        <w:rPr>
          <w:rFonts w:cstheme="minorHAnsi"/>
          <w:sz w:val="24"/>
          <w:szCs w:val="24"/>
        </w:rPr>
        <w:t>-</w:t>
      </w:r>
      <w:r w:rsidRPr="005871FB">
        <w:rPr>
          <w:rFonts w:cstheme="minorHAnsi"/>
          <w:sz w:val="24"/>
          <w:szCs w:val="24"/>
        </w:rPr>
        <w:t>based</w:t>
      </w:r>
      <w:proofErr w:type="gramEnd"/>
      <w:r w:rsidRPr="005871FB">
        <w:rPr>
          <w:rFonts w:cstheme="minorHAnsi"/>
          <w:sz w:val="24"/>
          <w:szCs w:val="24"/>
        </w:rPr>
        <w:t xml:space="preserve"> HVSR analysis</w:t>
      </w:r>
      <w:r>
        <w:rPr>
          <w:rFonts w:cstheme="minorHAnsi"/>
          <w:sz w:val="24"/>
          <w:szCs w:val="24"/>
        </w:rPr>
        <w:t>,</w:t>
      </w:r>
      <w:r w:rsidRPr="005871FB">
        <w:rPr>
          <w:rFonts w:cstheme="minorHAnsi"/>
          <w:sz w:val="24"/>
          <w:szCs w:val="24"/>
        </w:rPr>
        <w:t xml:space="preserve"> and these results were further verified in Bard</w:t>
      </w:r>
      <w:r>
        <w:rPr>
          <w:rFonts w:cstheme="minorHAnsi"/>
          <w:sz w:val="24"/>
          <w:szCs w:val="24"/>
        </w:rPr>
        <w:t xml:space="preserve"> et al. (</w:t>
      </w:r>
      <w:r w:rsidRPr="005871FB">
        <w:rPr>
          <w:rFonts w:cstheme="minorHAnsi"/>
          <w:sz w:val="24"/>
          <w:szCs w:val="24"/>
        </w:rPr>
        <w:t>2004</w:t>
      </w:r>
      <w:r>
        <w:rPr>
          <w:rFonts w:cstheme="minorHAnsi"/>
          <w:sz w:val="24"/>
          <w:szCs w:val="24"/>
        </w:rPr>
        <w:t>)</w:t>
      </w:r>
      <w:r w:rsidRPr="005871FB">
        <w:rPr>
          <w:rFonts w:cstheme="minorHAnsi"/>
          <w:sz w:val="24"/>
          <w:szCs w:val="24"/>
        </w:rPr>
        <w:t xml:space="preserve"> and Bard</w:t>
      </w:r>
      <w:r>
        <w:rPr>
          <w:rFonts w:cstheme="minorHAnsi"/>
          <w:sz w:val="24"/>
          <w:szCs w:val="24"/>
        </w:rPr>
        <w:t xml:space="preserve"> et al. (</w:t>
      </w:r>
      <w:r w:rsidRPr="005871FB">
        <w:rPr>
          <w:rFonts w:cstheme="minorHAnsi"/>
          <w:sz w:val="24"/>
          <w:szCs w:val="24"/>
        </w:rPr>
        <w:t>2005</w:t>
      </w:r>
      <w:r>
        <w:rPr>
          <w:rFonts w:cstheme="minorHAnsi"/>
          <w:sz w:val="24"/>
          <w:szCs w:val="24"/>
        </w:rPr>
        <w:t>)</w:t>
      </w:r>
      <w:r w:rsidRPr="005871FB">
        <w:rPr>
          <w:rFonts w:cstheme="minorHAnsi"/>
          <w:sz w:val="24"/>
          <w:szCs w:val="24"/>
        </w:rPr>
        <w:t>. The primary objectives of the SESAME project were to better understand the physical basis of the HVSR approach, determine its purpose in site response, and propose guidelines for correct analysis. The SESAME project demonstrated a strong linear correlation between the spectral peak frequency determined through ambient noise HVSR and those determined at the same site through Standard Spectral Ratio (S</w:t>
      </w:r>
      <w:r>
        <w:rPr>
          <w:rFonts w:cstheme="minorHAnsi"/>
          <w:sz w:val="24"/>
          <w:szCs w:val="24"/>
        </w:rPr>
        <w:t>S</w:t>
      </w:r>
      <w:r w:rsidRPr="005871FB">
        <w:rPr>
          <w:rFonts w:cstheme="minorHAnsi"/>
          <w:sz w:val="24"/>
          <w:szCs w:val="24"/>
        </w:rPr>
        <w:t>R) measurements from earthquake data (Bard et al., 2004). This result demonstrates that</w:t>
      </w:r>
      <w:r>
        <w:rPr>
          <w:rFonts w:cstheme="minorHAnsi"/>
          <w:sz w:val="24"/>
          <w:szCs w:val="24"/>
        </w:rPr>
        <w:t xml:space="preserve"> the peak frequency from the</w:t>
      </w:r>
      <w:r w:rsidRPr="005871FB">
        <w:rPr>
          <w:rFonts w:cstheme="minorHAnsi"/>
          <w:sz w:val="24"/>
          <w:szCs w:val="24"/>
        </w:rPr>
        <w:t xml:space="preserve"> ambient noise HVSR may be interpreted as the expected peak frequency </w:t>
      </w:r>
      <w:r>
        <w:rPr>
          <w:rFonts w:cstheme="minorHAnsi"/>
          <w:sz w:val="24"/>
          <w:szCs w:val="24"/>
        </w:rPr>
        <w:t>of</w:t>
      </w:r>
      <w:r w:rsidRPr="005871FB">
        <w:rPr>
          <w:rFonts w:cstheme="minorHAnsi"/>
          <w:sz w:val="24"/>
          <w:szCs w:val="24"/>
        </w:rPr>
        <w:t xml:space="preserve"> earthquake</w:t>
      </w:r>
      <w:r>
        <w:rPr>
          <w:rFonts w:cstheme="minorHAnsi"/>
          <w:sz w:val="24"/>
          <w:szCs w:val="24"/>
        </w:rPr>
        <w:t>-related ground motion</w:t>
      </w:r>
      <w:r w:rsidRPr="005871FB">
        <w:rPr>
          <w:rFonts w:cstheme="minorHAnsi"/>
          <w:sz w:val="24"/>
          <w:szCs w:val="24"/>
        </w:rPr>
        <w:t>. Based on this SESAME frequency comparison and investigations mentioned earlier, we will refer to the peak frequency measured from the HVSR graph as the site</w:t>
      </w:r>
      <w:r>
        <w:rPr>
          <w:rFonts w:cstheme="minorHAnsi"/>
          <w:sz w:val="24"/>
          <w:szCs w:val="24"/>
        </w:rPr>
        <w:t>’s</w:t>
      </w:r>
      <w:r w:rsidRPr="005871FB">
        <w:rPr>
          <w:rFonts w:cstheme="minorHAnsi"/>
          <w:sz w:val="24"/>
          <w:szCs w:val="24"/>
        </w:rPr>
        <w:t xml:space="preserve"> fundamental frequency.</w:t>
      </w:r>
      <w:r>
        <w:rPr>
          <w:rFonts w:cstheme="minorHAnsi"/>
          <w:sz w:val="24"/>
          <w:szCs w:val="24"/>
        </w:rPr>
        <w:t xml:space="preserve"> </w:t>
      </w:r>
      <w:r w:rsidRPr="005871FB">
        <w:rPr>
          <w:rFonts w:cstheme="minorHAnsi"/>
          <w:sz w:val="24"/>
          <w:szCs w:val="24"/>
        </w:rPr>
        <w:t>The amplitude of the spectral ratio has been used by some authors as a representation of amplification relative to hard rock site</w:t>
      </w:r>
      <w:r>
        <w:rPr>
          <w:rFonts w:cstheme="minorHAnsi"/>
          <w:sz w:val="24"/>
          <w:szCs w:val="24"/>
        </w:rPr>
        <w:t>s</w:t>
      </w:r>
      <w:r w:rsidRPr="005871FB">
        <w:rPr>
          <w:rFonts w:cstheme="minorHAnsi"/>
          <w:sz w:val="24"/>
          <w:szCs w:val="24"/>
        </w:rPr>
        <w:t xml:space="preserve"> (</w:t>
      </w:r>
      <w:r>
        <w:rPr>
          <w:rFonts w:cstheme="minorHAnsi"/>
          <w:sz w:val="24"/>
          <w:szCs w:val="24"/>
        </w:rPr>
        <w:t xml:space="preserve">e.g., </w:t>
      </w:r>
      <w:r w:rsidRPr="005871FB">
        <w:rPr>
          <w:rFonts w:cstheme="minorHAnsi"/>
          <w:sz w:val="24"/>
          <w:szCs w:val="24"/>
        </w:rPr>
        <w:t>Nakamura</w:t>
      </w:r>
      <w:r>
        <w:rPr>
          <w:rFonts w:cstheme="minorHAnsi"/>
          <w:sz w:val="24"/>
          <w:szCs w:val="24"/>
        </w:rPr>
        <w:t xml:space="preserve">, </w:t>
      </w:r>
      <w:r w:rsidRPr="005871FB">
        <w:rPr>
          <w:rFonts w:cstheme="minorHAnsi"/>
          <w:sz w:val="24"/>
          <w:szCs w:val="24"/>
        </w:rPr>
        <w:t>1989</w:t>
      </w:r>
      <w:r>
        <w:rPr>
          <w:rFonts w:cstheme="minorHAnsi"/>
          <w:sz w:val="24"/>
          <w:szCs w:val="24"/>
        </w:rPr>
        <w:t>;</w:t>
      </w:r>
      <w:r w:rsidRPr="005871FB">
        <w:rPr>
          <w:rFonts w:cstheme="minorHAnsi"/>
          <w:sz w:val="24"/>
          <w:szCs w:val="24"/>
        </w:rPr>
        <w:t xml:space="preserve"> Bard</w:t>
      </w:r>
      <w:r>
        <w:rPr>
          <w:rFonts w:cstheme="minorHAnsi"/>
          <w:sz w:val="24"/>
          <w:szCs w:val="24"/>
        </w:rPr>
        <w:t xml:space="preserve"> et al., </w:t>
      </w:r>
      <w:r w:rsidRPr="005871FB">
        <w:rPr>
          <w:rFonts w:cstheme="minorHAnsi"/>
          <w:sz w:val="24"/>
          <w:szCs w:val="24"/>
        </w:rPr>
        <w:t>2004). The SESAME project also investigated the HVSR amplitude by comparison of peak amplitudes as determined by the HVSR and S</w:t>
      </w:r>
      <w:r>
        <w:rPr>
          <w:rFonts w:cstheme="minorHAnsi"/>
          <w:sz w:val="24"/>
          <w:szCs w:val="24"/>
        </w:rPr>
        <w:t>S</w:t>
      </w:r>
      <w:r w:rsidRPr="005871FB">
        <w:rPr>
          <w:rFonts w:cstheme="minorHAnsi"/>
          <w:sz w:val="24"/>
          <w:szCs w:val="24"/>
        </w:rPr>
        <w:t>R methods. Although the HVSR and S</w:t>
      </w:r>
      <w:r>
        <w:rPr>
          <w:rFonts w:cstheme="minorHAnsi"/>
          <w:sz w:val="24"/>
          <w:szCs w:val="24"/>
        </w:rPr>
        <w:t>S</w:t>
      </w:r>
      <w:r w:rsidRPr="005871FB">
        <w:rPr>
          <w:rFonts w:cstheme="minorHAnsi"/>
          <w:sz w:val="24"/>
          <w:szCs w:val="24"/>
        </w:rPr>
        <w:t xml:space="preserve">R peak amplitudes are not linearly related the HVSR peak amplitude can be </w:t>
      </w:r>
      <w:r w:rsidRPr="005871FB">
        <w:rPr>
          <w:rFonts w:cstheme="minorHAnsi"/>
          <w:sz w:val="24"/>
          <w:szCs w:val="24"/>
        </w:rPr>
        <w:lastRenderedPageBreak/>
        <w:t>considered as a lower bound for site amplification (Bard</w:t>
      </w:r>
      <w:r>
        <w:rPr>
          <w:rFonts w:cstheme="minorHAnsi"/>
          <w:sz w:val="24"/>
          <w:szCs w:val="24"/>
        </w:rPr>
        <w:t xml:space="preserve"> et al., </w:t>
      </w:r>
      <w:r w:rsidRPr="005871FB">
        <w:rPr>
          <w:rFonts w:cstheme="minorHAnsi"/>
          <w:sz w:val="24"/>
          <w:szCs w:val="24"/>
        </w:rPr>
        <w:t>2004). Thus, the HVSR method is a simple and effective technique for determining the first fundamental frequency of soil resonance. However, Bonnefoy-Claudet</w:t>
      </w:r>
      <w:r>
        <w:rPr>
          <w:rFonts w:cstheme="minorHAnsi"/>
          <w:sz w:val="24"/>
          <w:szCs w:val="24"/>
        </w:rPr>
        <w:t xml:space="preserve"> (</w:t>
      </w:r>
      <w:r w:rsidRPr="005871FB">
        <w:rPr>
          <w:rFonts w:cstheme="minorHAnsi"/>
          <w:sz w:val="24"/>
          <w:szCs w:val="24"/>
        </w:rPr>
        <w:t>2009) suggest</w:t>
      </w:r>
      <w:r>
        <w:rPr>
          <w:rFonts w:cstheme="minorHAnsi"/>
          <w:sz w:val="24"/>
          <w:szCs w:val="24"/>
        </w:rPr>
        <w:t>s</w:t>
      </w:r>
      <w:r w:rsidRPr="005871FB">
        <w:rPr>
          <w:rFonts w:cstheme="minorHAnsi"/>
          <w:sz w:val="24"/>
          <w:szCs w:val="24"/>
        </w:rPr>
        <w:t xml:space="preserve"> the HVSR approach is inadequate for determining higher resonance modes, contrary to other assertions (</w:t>
      </w:r>
      <w:proofErr w:type="spellStart"/>
      <w:r w:rsidRPr="005871FB">
        <w:rPr>
          <w:rFonts w:cstheme="minorHAnsi"/>
          <w:sz w:val="24"/>
          <w:szCs w:val="24"/>
        </w:rPr>
        <w:t>Lermo</w:t>
      </w:r>
      <w:proofErr w:type="spellEnd"/>
      <w:r>
        <w:rPr>
          <w:rFonts w:cstheme="minorHAnsi"/>
          <w:sz w:val="24"/>
          <w:szCs w:val="24"/>
        </w:rPr>
        <w:t xml:space="preserve"> et al., </w:t>
      </w:r>
      <w:r w:rsidRPr="005871FB">
        <w:rPr>
          <w:rFonts w:cstheme="minorHAnsi"/>
          <w:sz w:val="24"/>
          <w:szCs w:val="24"/>
        </w:rPr>
        <w:t>1994).</w:t>
      </w:r>
    </w:p>
    <w:p w14:paraId="68FFCA43" w14:textId="77777777" w:rsidR="004C3823" w:rsidRDefault="004C3823" w:rsidP="005871FB">
      <w:pPr>
        <w:spacing w:line="480" w:lineRule="auto"/>
        <w:ind w:firstLine="720"/>
        <w:jc w:val="both"/>
        <w:rPr>
          <w:rFonts w:cstheme="minorHAnsi"/>
          <w:sz w:val="24"/>
          <w:szCs w:val="24"/>
        </w:rPr>
      </w:pPr>
      <w:r w:rsidRPr="005871FB">
        <w:rPr>
          <w:rFonts w:cstheme="minorHAnsi"/>
          <w:sz w:val="24"/>
          <w:szCs w:val="24"/>
        </w:rPr>
        <w:t xml:space="preserve">In HVSR, the two horizontal components are combined using geometric mean in the numerator and the denominator is the vertical spectral component as exampled in </w:t>
      </w:r>
      <w:r w:rsidRPr="005871FB">
        <w:rPr>
          <w:rFonts w:cstheme="minorHAnsi"/>
          <w:b/>
          <w:bCs/>
          <w:sz w:val="24"/>
          <w:szCs w:val="24"/>
        </w:rPr>
        <w:t xml:space="preserve">equation </w:t>
      </w:r>
      <w:r>
        <w:rPr>
          <w:rFonts w:cstheme="minorHAnsi"/>
          <w:b/>
          <w:bCs/>
          <w:sz w:val="24"/>
          <w:szCs w:val="24"/>
        </w:rPr>
        <w:t>3.</w:t>
      </w:r>
      <w:r w:rsidRPr="005871FB">
        <w:rPr>
          <w:rFonts w:cstheme="minorHAnsi"/>
          <w:b/>
          <w:bCs/>
          <w:sz w:val="24"/>
          <w:szCs w:val="24"/>
        </w:rPr>
        <w:t>1</w:t>
      </w:r>
      <w:r w:rsidRPr="005871FB">
        <w:rPr>
          <w:rFonts w:cstheme="minorHAnsi"/>
          <w:sz w:val="24"/>
          <w:szCs w:val="24"/>
        </w:rPr>
        <w:t xml:space="preserve">. </w:t>
      </w:r>
    </w:p>
    <w:p w14:paraId="37FF6CFE" w14:textId="77777777" w:rsidR="004C3823" w:rsidRPr="000A3C0C" w:rsidRDefault="004C3823" w:rsidP="00D67E19">
      <w:pPr>
        <w:spacing w:line="480" w:lineRule="auto"/>
        <w:jc w:val="both"/>
        <w:rPr>
          <w:rFonts w:eastAsiaTheme="minorEastAsia" w:cstheme="minorHAnsi"/>
          <w:sz w:val="24"/>
          <w:szCs w:val="24"/>
        </w:rPr>
      </w:pPr>
      <m:oMathPara>
        <m:oMath>
          <m:r>
            <w:rPr>
              <w:rFonts w:ascii="Cambria Math" w:hAnsi="Cambria Math" w:cstheme="minorHAnsi"/>
              <w:sz w:val="24"/>
              <w:szCs w:val="24"/>
            </w:rPr>
            <m:t>H/V</m:t>
          </m:r>
          <m:d>
            <m:dPr>
              <m:ctrlPr>
                <w:rPr>
                  <w:rFonts w:ascii="Cambria Math" w:hAnsi="Cambria Math" w:cstheme="minorHAnsi"/>
                  <w:i/>
                  <w:sz w:val="24"/>
                  <w:szCs w:val="24"/>
                </w:rPr>
              </m:ctrlPr>
            </m:dPr>
            <m:e>
              <m:r>
                <w:rPr>
                  <w:rFonts w:ascii="Cambria Math" w:hAnsi="Cambria Math" w:cstheme="minorHAnsi"/>
                  <w:sz w:val="24"/>
                  <w:szCs w:val="24"/>
                </w:rPr>
                <m:t>f</m:t>
              </m:r>
            </m:e>
          </m:d>
          <m:r>
            <w:rPr>
              <w:rFonts w:ascii="Cambria Math" w:hAnsi="Cambria Math" w:cstheme="minorHAnsi"/>
              <w:sz w:val="24"/>
              <w:szCs w:val="24"/>
            </w:rPr>
            <m:t>=</m:t>
          </m:r>
          <m:rad>
            <m:radPr>
              <m:degHide m:val="1"/>
              <m:ctrlPr>
                <w:rPr>
                  <w:rFonts w:ascii="Cambria Math" w:hAnsi="Cambria Math" w:cstheme="minorHAnsi"/>
                  <w:i/>
                  <w:sz w:val="24"/>
                  <w:szCs w:val="24"/>
                </w:rPr>
              </m:ctrlPr>
            </m:radPr>
            <m:deg/>
            <m:e>
              <m:f>
                <m:fPr>
                  <m:ctrlPr>
                    <w:rPr>
                      <w:rFonts w:ascii="Cambria Math" w:hAnsi="Cambria Math" w:cstheme="minorHAnsi"/>
                      <w:i/>
                      <w:sz w:val="24"/>
                      <w:szCs w:val="24"/>
                    </w:rPr>
                  </m:ctrlPr>
                </m:fPr>
                <m:num>
                  <m:sSup>
                    <m:sSupPr>
                      <m:ctrlPr>
                        <w:rPr>
                          <w:rFonts w:ascii="Cambria Math" w:hAnsi="Cambria Math" w:cstheme="minorHAnsi"/>
                          <w:i/>
                          <w:sz w:val="24"/>
                          <w:szCs w:val="24"/>
                        </w:rPr>
                      </m:ctrlPr>
                    </m:sSupPr>
                    <m:e>
                      <m:sSub>
                        <m:sSubPr>
                          <m:ctrlPr>
                            <w:rPr>
                              <w:rFonts w:ascii="Cambria Math" w:hAnsi="Cambria Math" w:cstheme="minorHAnsi"/>
                              <w:i/>
                              <w:sz w:val="24"/>
                              <w:szCs w:val="24"/>
                            </w:rPr>
                          </m:ctrlPr>
                        </m:sSubPr>
                        <m:e>
                          <m:r>
                            <w:rPr>
                              <w:rFonts w:ascii="Cambria Math" w:hAnsi="Cambria Math" w:cstheme="minorHAnsi"/>
                              <w:sz w:val="24"/>
                              <w:szCs w:val="24"/>
                            </w:rPr>
                            <m:t>H</m:t>
                          </m:r>
                        </m:e>
                        <m:sub>
                          <m:r>
                            <w:rPr>
                              <w:rFonts w:ascii="Cambria Math" w:hAnsi="Cambria Math" w:cstheme="minorHAnsi"/>
                              <w:sz w:val="24"/>
                              <w:szCs w:val="24"/>
                            </w:rPr>
                            <m:t>T</m:t>
                          </m:r>
                        </m:sub>
                      </m:sSub>
                    </m:e>
                    <m:sup>
                      <m:r>
                        <w:rPr>
                          <w:rFonts w:ascii="Cambria Math" w:hAnsi="Cambria Math" w:cstheme="minorHAnsi"/>
                          <w:sz w:val="24"/>
                          <w:szCs w:val="24"/>
                        </w:rPr>
                        <m:t>2</m:t>
                      </m:r>
                    </m:sup>
                  </m:sSup>
                  <m:r>
                    <w:rPr>
                      <w:rFonts w:ascii="Cambria Math" w:hAnsi="Cambria Math" w:cstheme="minorHAnsi"/>
                      <w:sz w:val="24"/>
                      <w:szCs w:val="24"/>
                    </w:rPr>
                    <m:t>*</m:t>
                  </m:r>
                  <m:sSup>
                    <m:sSupPr>
                      <m:ctrlPr>
                        <w:rPr>
                          <w:rFonts w:ascii="Cambria Math" w:hAnsi="Cambria Math" w:cstheme="minorHAnsi"/>
                          <w:i/>
                          <w:sz w:val="24"/>
                          <w:szCs w:val="24"/>
                        </w:rPr>
                      </m:ctrlPr>
                    </m:sSupPr>
                    <m:e>
                      <m:sSub>
                        <m:sSubPr>
                          <m:ctrlPr>
                            <w:rPr>
                              <w:rFonts w:ascii="Cambria Math" w:hAnsi="Cambria Math" w:cstheme="minorHAnsi"/>
                              <w:i/>
                              <w:sz w:val="24"/>
                              <w:szCs w:val="24"/>
                            </w:rPr>
                          </m:ctrlPr>
                        </m:sSubPr>
                        <m:e>
                          <m:r>
                            <w:rPr>
                              <w:rFonts w:ascii="Cambria Math" w:hAnsi="Cambria Math" w:cstheme="minorHAnsi"/>
                              <w:sz w:val="24"/>
                              <w:szCs w:val="24"/>
                            </w:rPr>
                            <m:t>H</m:t>
                          </m:r>
                        </m:e>
                        <m:sub>
                          <m:r>
                            <w:rPr>
                              <w:rFonts w:ascii="Cambria Math" w:hAnsi="Cambria Math" w:cstheme="minorHAnsi"/>
                              <w:sz w:val="24"/>
                              <w:szCs w:val="24"/>
                            </w:rPr>
                            <m:t>R</m:t>
                          </m:r>
                        </m:sub>
                      </m:sSub>
                    </m:e>
                    <m:sup>
                      <m:r>
                        <w:rPr>
                          <w:rFonts w:ascii="Cambria Math" w:hAnsi="Cambria Math" w:cstheme="minorHAnsi"/>
                          <w:sz w:val="24"/>
                          <w:szCs w:val="24"/>
                        </w:rPr>
                        <m:t>2</m:t>
                      </m:r>
                    </m:sup>
                  </m:sSup>
                </m:num>
                <m:den>
                  <m:sSup>
                    <m:sSupPr>
                      <m:ctrlPr>
                        <w:rPr>
                          <w:rFonts w:ascii="Cambria Math" w:hAnsi="Cambria Math" w:cstheme="minorHAnsi"/>
                          <w:i/>
                          <w:sz w:val="24"/>
                          <w:szCs w:val="24"/>
                        </w:rPr>
                      </m:ctrlPr>
                    </m:sSupPr>
                    <m:e>
                      <m:r>
                        <w:rPr>
                          <w:rFonts w:ascii="Cambria Math" w:hAnsi="Cambria Math" w:cstheme="minorHAnsi"/>
                          <w:sz w:val="24"/>
                          <w:szCs w:val="24"/>
                        </w:rPr>
                        <m:t>2V</m:t>
                      </m:r>
                    </m:e>
                    <m:sup>
                      <m:r>
                        <w:rPr>
                          <w:rFonts w:ascii="Cambria Math" w:hAnsi="Cambria Math" w:cstheme="minorHAnsi"/>
                          <w:sz w:val="24"/>
                          <w:szCs w:val="24"/>
                        </w:rPr>
                        <m:t>2</m:t>
                      </m:r>
                    </m:sup>
                  </m:sSup>
                </m:den>
              </m:f>
            </m:e>
          </m:rad>
        </m:oMath>
      </m:oMathPara>
    </w:p>
    <w:p w14:paraId="5D052164" w14:textId="77777777" w:rsidR="004C3823" w:rsidRPr="005871FB" w:rsidRDefault="004C3823" w:rsidP="00D67E19">
      <w:pPr>
        <w:spacing w:line="480" w:lineRule="auto"/>
        <w:jc w:val="right"/>
        <w:rPr>
          <w:rFonts w:cstheme="minorHAnsi"/>
          <w:sz w:val="24"/>
          <w:szCs w:val="24"/>
        </w:rPr>
      </w:pPr>
      <w:r>
        <w:rPr>
          <w:rFonts w:eastAsiaTheme="minorEastAsia" w:cstheme="minorHAnsi"/>
          <w:sz w:val="24"/>
          <w:szCs w:val="24"/>
        </w:rPr>
        <w:t>(3.1)</w:t>
      </w:r>
    </w:p>
    <w:p w14:paraId="28DEE05B" w14:textId="77777777" w:rsidR="004C3823" w:rsidRPr="005871FB" w:rsidRDefault="004C3823" w:rsidP="00D67E19">
      <w:pPr>
        <w:spacing w:line="480" w:lineRule="auto"/>
        <w:jc w:val="both"/>
        <w:rPr>
          <w:rFonts w:cstheme="minorHAnsi"/>
          <w:sz w:val="24"/>
          <w:szCs w:val="24"/>
        </w:rPr>
      </w:pPr>
      <w:r>
        <w:rPr>
          <w:rFonts w:cstheme="minorHAnsi"/>
          <w:sz w:val="24"/>
          <w:szCs w:val="24"/>
        </w:rPr>
        <w:t>w</w:t>
      </w:r>
      <w:r w:rsidRPr="005871FB">
        <w:rPr>
          <w:rFonts w:cstheme="minorHAnsi"/>
          <w:sz w:val="24"/>
          <w:szCs w:val="24"/>
        </w:rPr>
        <w:t xml:space="preserve">here the root geometric mean square ratio of the two horizontal spectra, </w:t>
      </w:r>
      <m:oMath>
        <m:r>
          <w:rPr>
            <w:rFonts w:ascii="Cambria Math" w:hAnsi="Cambria Math" w:cstheme="minorHAnsi"/>
            <w:sz w:val="24"/>
            <w:szCs w:val="24"/>
          </w:rPr>
          <m:t>H</m:t>
        </m:r>
      </m:oMath>
      <w:r w:rsidRPr="005871FB">
        <w:rPr>
          <w:rFonts w:cstheme="minorHAnsi"/>
          <w:sz w:val="24"/>
          <w:szCs w:val="24"/>
        </w:rPr>
        <w:t xml:space="preserve">, is taken over twice the vertical spectra, </w:t>
      </w:r>
      <m:oMath>
        <m:r>
          <w:rPr>
            <w:rFonts w:ascii="Cambria Math" w:hAnsi="Cambria Math" w:cstheme="minorHAnsi"/>
            <w:sz w:val="24"/>
            <w:szCs w:val="24"/>
          </w:rPr>
          <m:t>V</m:t>
        </m:r>
      </m:oMath>
      <w:r w:rsidRPr="005871FB">
        <w:rPr>
          <w:rFonts w:cstheme="minorHAnsi"/>
          <w:sz w:val="24"/>
          <w:szCs w:val="24"/>
        </w:rPr>
        <w:t>.</w:t>
      </w:r>
    </w:p>
    <w:p w14:paraId="0951D389" w14:textId="77777777" w:rsidR="004C3823" w:rsidRDefault="004C3823" w:rsidP="005871FB">
      <w:pPr>
        <w:spacing w:line="480" w:lineRule="auto"/>
        <w:ind w:firstLine="720"/>
        <w:jc w:val="both"/>
        <w:rPr>
          <w:rFonts w:cstheme="minorHAnsi"/>
          <w:sz w:val="24"/>
          <w:szCs w:val="24"/>
        </w:rPr>
      </w:pPr>
      <w:r w:rsidRPr="005871FB">
        <w:rPr>
          <w:rFonts w:cstheme="minorHAnsi"/>
          <w:sz w:val="24"/>
          <w:szCs w:val="24"/>
        </w:rPr>
        <w:t xml:space="preserve">One popular tool for HVSR is the open-source software, </w:t>
      </w:r>
      <w:proofErr w:type="spellStart"/>
      <w:r>
        <w:rPr>
          <w:rFonts w:cstheme="minorHAnsi"/>
          <w:sz w:val="24"/>
          <w:szCs w:val="24"/>
        </w:rPr>
        <w:t>G</w:t>
      </w:r>
      <w:r w:rsidRPr="005871FB">
        <w:rPr>
          <w:rFonts w:cstheme="minorHAnsi"/>
          <w:sz w:val="24"/>
          <w:szCs w:val="24"/>
        </w:rPr>
        <w:t>eopsy</w:t>
      </w:r>
      <w:proofErr w:type="spellEnd"/>
      <w:r w:rsidRPr="005871FB">
        <w:rPr>
          <w:rFonts w:cstheme="minorHAnsi"/>
          <w:sz w:val="24"/>
          <w:szCs w:val="24"/>
        </w:rPr>
        <w:t xml:space="preserve"> (Wathelet et al., 2010). It is a user-friendly graphical user interface and has been well</w:t>
      </w:r>
      <w:r>
        <w:rPr>
          <w:rFonts w:cstheme="minorHAnsi"/>
          <w:sz w:val="24"/>
          <w:szCs w:val="24"/>
        </w:rPr>
        <w:t>-</w:t>
      </w:r>
      <w:r w:rsidRPr="005871FB">
        <w:rPr>
          <w:rFonts w:cstheme="minorHAnsi"/>
          <w:sz w:val="24"/>
          <w:szCs w:val="24"/>
        </w:rPr>
        <w:t xml:space="preserve">tested by many. However, to improve on computational cost and speed we use the open-source </w:t>
      </w:r>
      <w:r>
        <w:rPr>
          <w:rFonts w:cstheme="minorHAnsi"/>
          <w:sz w:val="24"/>
          <w:szCs w:val="24"/>
        </w:rPr>
        <w:t>P</w:t>
      </w:r>
      <w:r w:rsidRPr="005871FB">
        <w:rPr>
          <w:rFonts w:cstheme="minorHAnsi"/>
          <w:sz w:val="24"/>
          <w:szCs w:val="24"/>
        </w:rPr>
        <w:t xml:space="preserve">ython HVSR software </w:t>
      </w:r>
      <w:proofErr w:type="spellStart"/>
      <w:r w:rsidRPr="005871FB">
        <w:rPr>
          <w:rFonts w:cstheme="minorHAnsi"/>
          <w:sz w:val="24"/>
          <w:szCs w:val="24"/>
        </w:rPr>
        <w:t>HVSRpy</w:t>
      </w:r>
      <w:proofErr w:type="spellEnd"/>
      <w:r w:rsidRPr="005871FB">
        <w:rPr>
          <w:rFonts w:cstheme="minorHAnsi"/>
          <w:sz w:val="24"/>
          <w:szCs w:val="24"/>
        </w:rPr>
        <w:t xml:space="preserve"> (Vantassel</w:t>
      </w:r>
      <w:r>
        <w:rPr>
          <w:rFonts w:cstheme="minorHAnsi"/>
          <w:sz w:val="24"/>
          <w:szCs w:val="24"/>
        </w:rPr>
        <w:t>,</w:t>
      </w:r>
      <w:r w:rsidRPr="005871FB">
        <w:rPr>
          <w:rFonts w:cstheme="minorHAnsi"/>
          <w:sz w:val="24"/>
          <w:szCs w:val="24"/>
        </w:rPr>
        <w:t xml:space="preserve"> 2020) which is comparable to the open</w:t>
      </w:r>
      <w:r>
        <w:rPr>
          <w:rFonts w:cstheme="minorHAnsi"/>
          <w:sz w:val="24"/>
          <w:szCs w:val="24"/>
        </w:rPr>
        <w:t>-</w:t>
      </w:r>
      <w:r w:rsidRPr="005871FB">
        <w:rPr>
          <w:rFonts w:cstheme="minorHAnsi"/>
          <w:sz w:val="24"/>
          <w:szCs w:val="24"/>
        </w:rPr>
        <w:t xml:space="preserve">source </w:t>
      </w:r>
      <w:proofErr w:type="spellStart"/>
      <w:r>
        <w:rPr>
          <w:rFonts w:cstheme="minorHAnsi"/>
          <w:sz w:val="24"/>
          <w:szCs w:val="24"/>
        </w:rPr>
        <w:t>G</w:t>
      </w:r>
      <w:r w:rsidRPr="005871FB">
        <w:rPr>
          <w:rFonts w:cstheme="minorHAnsi"/>
          <w:sz w:val="24"/>
          <w:szCs w:val="24"/>
        </w:rPr>
        <w:t>eopsy</w:t>
      </w:r>
      <w:proofErr w:type="spellEnd"/>
      <w:r w:rsidRPr="005871FB">
        <w:rPr>
          <w:rFonts w:cstheme="minorHAnsi"/>
          <w:sz w:val="24"/>
          <w:szCs w:val="24"/>
        </w:rPr>
        <w:t xml:space="preserve"> software (Wathelet et al., 2010) but accounts for azimuthal variability by using a frequency domain window rejection algorithm (Vantassel</w:t>
      </w:r>
      <w:r>
        <w:rPr>
          <w:rFonts w:cstheme="minorHAnsi"/>
          <w:sz w:val="24"/>
          <w:szCs w:val="24"/>
        </w:rPr>
        <w:t>,</w:t>
      </w:r>
      <w:r w:rsidRPr="005871FB">
        <w:rPr>
          <w:rFonts w:cstheme="minorHAnsi"/>
          <w:sz w:val="24"/>
          <w:szCs w:val="24"/>
        </w:rPr>
        <w:t xml:space="preserve"> 2020 and Cox et al.</w:t>
      </w:r>
      <w:r>
        <w:rPr>
          <w:rFonts w:cstheme="minorHAnsi"/>
          <w:sz w:val="24"/>
          <w:szCs w:val="24"/>
        </w:rPr>
        <w:t>,</w:t>
      </w:r>
      <w:r w:rsidRPr="005871FB">
        <w:rPr>
          <w:rFonts w:cstheme="minorHAnsi"/>
          <w:sz w:val="24"/>
          <w:szCs w:val="24"/>
        </w:rPr>
        <w:t xml:space="preserve"> 2020). </w:t>
      </w:r>
      <w:proofErr w:type="spellStart"/>
      <w:r w:rsidRPr="005871FB">
        <w:rPr>
          <w:rFonts w:cstheme="minorHAnsi"/>
          <w:sz w:val="24"/>
          <w:szCs w:val="24"/>
        </w:rPr>
        <w:t>HVSRpy</w:t>
      </w:r>
      <w:proofErr w:type="spellEnd"/>
      <w:r w:rsidRPr="005871FB">
        <w:rPr>
          <w:rFonts w:cstheme="minorHAnsi"/>
          <w:sz w:val="24"/>
          <w:szCs w:val="24"/>
        </w:rPr>
        <w:t xml:space="preserve"> performs the rejection window by selecting unbiased spatial statistics, Voronoi tessellation, for fundamental site frequency. (Cheng et al.</w:t>
      </w:r>
      <w:r>
        <w:rPr>
          <w:rFonts w:cstheme="minorHAnsi"/>
          <w:sz w:val="24"/>
          <w:szCs w:val="24"/>
        </w:rPr>
        <w:t>,</w:t>
      </w:r>
      <w:r w:rsidRPr="005871FB">
        <w:rPr>
          <w:rFonts w:cstheme="minorHAnsi"/>
          <w:sz w:val="24"/>
          <w:szCs w:val="24"/>
        </w:rPr>
        <w:t xml:space="preserve"> 2021). We observed the rejection of outlier spectral curves exampled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8</w:t>
      </w:r>
      <w:r w:rsidRPr="005871FB">
        <w:rPr>
          <w:rFonts w:cstheme="minorHAnsi"/>
          <w:sz w:val="24"/>
          <w:szCs w:val="24"/>
        </w:rPr>
        <w:t xml:space="preserve"> and note the improved standard deviation of the estimated peak fundamental frequency.</w:t>
      </w:r>
    </w:p>
    <w:p w14:paraId="609CD3EF" w14:textId="77777777" w:rsidR="00D01D5A" w:rsidRPr="005871FB" w:rsidRDefault="00D01D5A" w:rsidP="005871FB">
      <w:pPr>
        <w:spacing w:line="480" w:lineRule="auto"/>
        <w:ind w:firstLine="720"/>
        <w:jc w:val="both"/>
        <w:rPr>
          <w:rFonts w:cstheme="minorHAnsi"/>
          <w:sz w:val="24"/>
          <w:szCs w:val="24"/>
        </w:rPr>
      </w:pPr>
    </w:p>
    <w:p w14:paraId="232CE565"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lastRenderedPageBreak/>
        <w:t>3.5.1 Example data analysis</w:t>
      </w:r>
    </w:p>
    <w:p w14:paraId="0C691721" w14:textId="77777777" w:rsidR="004C3823" w:rsidRPr="005871FB" w:rsidRDefault="004C3823" w:rsidP="005871FB">
      <w:pPr>
        <w:spacing w:line="480" w:lineRule="auto"/>
        <w:ind w:firstLine="720"/>
        <w:jc w:val="both"/>
        <w:rPr>
          <w:rFonts w:cstheme="minorHAnsi"/>
          <w:sz w:val="24"/>
          <w:szCs w:val="24"/>
        </w:rPr>
      </w:pPr>
      <w:r w:rsidRPr="005871FB">
        <w:rPr>
          <w:rFonts w:cstheme="minorHAnsi"/>
          <w:sz w:val="24"/>
          <w:szCs w:val="24"/>
        </w:rPr>
        <w:t xml:space="preserve">We determine the HVSR curve for each station and analyze the results </w:t>
      </w:r>
      <w:r>
        <w:rPr>
          <w:rFonts w:cstheme="minorHAnsi"/>
          <w:sz w:val="24"/>
          <w:szCs w:val="24"/>
        </w:rPr>
        <w:t xml:space="preserve">per </w:t>
      </w:r>
      <w:r w:rsidRPr="005871FB">
        <w:rPr>
          <w:rFonts w:cstheme="minorHAnsi"/>
          <w:sz w:val="24"/>
          <w:szCs w:val="24"/>
        </w:rPr>
        <w:t>the SESAME guidelines</w:t>
      </w:r>
      <w:r>
        <w:rPr>
          <w:rFonts w:cstheme="minorHAnsi"/>
          <w:sz w:val="24"/>
          <w:szCs w:val="24"/>
        </w:rPr>
        <w:t xml:space="preserve"> in</w:t>
      </w:r>
      <w:r w:rsidRPr="005871FB">
        <w:rPr>
          <w:rFonts w:cstheme="minorHAnsi"/>
          <w:sz w:val="24"/>
          <w:szCs w:val="24"/>
        </w:rPr>
        <w:t xml:space="preserve"> Chatelain et al. (2008) and Albarello et al. (2011) </w:t>
      </w:r>
      <w:r>
        <w:rPr>
          <w:rFonts w:cstheme="minorHAnsi"/>
          <w:sz w:val="24"/>
          <w:szCs w:val="24"/>
        </w:rPr>
        <w:t>to</w:t>
      </w:r>
      <w:r w:rsidRPr="005871FB">
        <w:rPr>
          <w:rFonts w:cstheme="minorHAnsi"/>
          <w:sz w:val="24"/>
          <w:szCs w:val="24"/>
        </w:rPr>
        <w:t xml:space="preserve"> implement the HVSR approach</w:t>
      </w:r>
      <w:r>
        <w:rPr>
          <w:rFonts w:cstheme="minorHAnsi"/>
          <w:sz w:val="24"/>
          <w:szCs w:val="24"/>
        </w:rPr>
        <w:t>,</w:t>
      </w:r>
      <w:r w:rsidRPr="005871FB">
        <w:rPr>
          <w:rFonts w:cstheme="minorHAnsi"/>
          <w:sz w:val="24"/>
          <w:szCs w:val="24"/>
        </w:rPr>
        <w:t xml:space="preserve"> which </w:t>
      </w:r>
      <w:r>
        <w:rPr>
          <w:rFonts w:cstheme="minorHAnsi"/>
          <w:sz w:val="24"/>
          <w:szCs w:val="24"/>
        </w:rPr>
        <w:t>has</w:t>
      </w:r>
      <w:r w:rsidRPr="005871FB">
        <w:rPr>
          <w:rFonts w:cstheme="minorHAnsi"/>
          <w:sz w:val="24"/>
          <w:szCs w:val="24"/>
        </w:rPr>
        <w:t xml:space="preserve"> three conditions for curve reliability, </w:t>
      </w:r>
      <m:oMath>
        <m:r>
          <w:rPr>
            <w:rFonts w:ascii="Cambria Math" w:hAnsi="Cambria Math" w:cstheme="minorHAnsi"/>
            <w:sz w:val="24"/>
            <w:szCs w:val="24"/>
          </w:rPr>
          <m:t>H/V</m:t>
        </m:r>
        <m:d>
          <m:dPr>
            <m:ctrlPr>
              <w:rPr>
                <w:rFonts w:ascii="Cambria Math" w:hAnsi="Cambria Math" w:cstheme="minorHAnsi"/>
                <w:i/>
                <w:sz w:val="24"/>
                <w:szCs w:val="24"/>
              </w:rPr>
            </m:ctrlPr>
          </m:dPr>
          <m:e>
            <m:r>
              <w:rPr>
                <w:rFonts w:ascii="Cambria Math" w:hAnsi="Cambria Math" w:cstheme="minorHAnsi"/>
                <w:sz w:val="24"/>
                <w:szCs w:val="24"/>
              </w:rPr>
              <m:t>f</m:t>
            </m:r>
          </m:e>
        </m:d>
      </m:oMath>
      <w:r w:rsidRPr="005871FB">
        <w:rPr>
          <w:rFonts w:cstheme="minorHAnsi"/>
          <w:sz w:val="24"/>
          <w:szCs w:val="24"/>
        </w:rPr>
        <w:t>, and five criter</w:t>
      </w:r>
      <w:proofErr w:type="spellStart"/>
      <w:r w:rsidRPr="005871FB">
        <w:rPr>
          <w:rFonts w:cstheme="minorHAnsi"/>
          <w:sz w:val="24"/>
          <w:szCs w:val="24"/>
        </w:rPr>
        <w:t>ia</w:t>
      </w:r>
      <w:proofErr w:type="spellEnd"/>
      <w:r w:rsidRPr="005871FB">
        <w:rPr>
          <w:rFonts w:cstheme="minorHAnsi"/>
          <w:sz w:val="24"/>
          <w:szCs w:val="24"/>
        </w:rPr>
        <w:t xml:space="preserve"> for identification of a peak frequency, f0, as a clear peak.</w:t>
      </w:r>
      <w:r>
        <w:rPr>
          <w:rFonts w:cstheme="minorHAnsi"/>
          <w:sz w:val="24"/>
          <w:szCs w:val="24"/>
        </w:rPr>
        <w:t xml:space="preserve"> </w:t>
      </w:r>
    </w:p>
    <w:p w14:paraId="36A912BF" w14:textId="77777777" w:rsidR="004C3823" w:rsidRPr="005871FB" w:rsidRDefault="004C3823" w:rsidP="00EA2A5B">
      <w:pPr>
        <w:spacing w:line="480" w:lineRule="auto"/>
        <w:ind w:firstLine="720"/>
        <w:rPr>
          <w:rFonts w:cstheme="minorHAnsi"/>
          <w:sz w:val="24"/>
          <w:szCs w:val="24"/>
        </w:rPr>
      </w:pPr>
      <w:r w:rsidRPr="005871FB">
        <w:rPr>
          <w:rFonts w:cstheme="minorHAnsi"/>
          <w:sz w:val="24"/>
          <w:szCs w:val="24"/>
        </w:rPr>
        <w:t>We use a 90</w:t>
      </w:r>
      <w:r>
        <w:rPr>
          <w:rFonts w:cstheme="minorHAnsi"/>
          <w:sz w:val="24"/>
          <w:szCs w:val="24"/>
        </w:rPr>
        <w:t>-</w:t>
      </w:r>
      <w:r w:rsidRPr="005871FB">
        <w:rPr>
          <w:rFonts w:cstheme="minorHAnsi"/>
          <w:sz w:val="24"/>
          <w:szCs w:val="24"/>
        </w:rPr>
        <w:t>second time window, 30</w:t>
      </w:r>
      <w:r>
        <w:rPr>
          <w:rFonts w:cstheme="minorHAnsi"/>
          <w:sz w:val="24"/>
          <w:szCs w:val="24"/>
        </w:rPr>
        <w:t xml:space="preserve"> </w:t>
      </w:r>
      <w:r w:rsidRPr="005871FB">
        <w:rPr>
          <w:rFonts w:cstheme="minorHAnsi"/>
          <w:sz w:val="24"/>
          <w:szCs w:val="24"/>
        </w:rPr>
        <w:t>Hz low</w:t>
      </w:r>
      <w:r>
        <w:rPr>
          <w:rFonts w:cstheme="minorHAnsi"/>
          <w:sz w:val="24"/>
          <w:szCs w:val="24"/>
        </w:rPr>
        <w:t>-</w:t>
      </w:r>
      <w:r w:rsidRPr="005871FB">
        <w:rPr>
          <w:rFonts w:cstheme="minorHAnsi"/>
          <w:sz w:val="24"/>
          <w:szCs w:val="24"/>
        </w:rPr>
        <w:t xml:space="preserve">frequency passband, Konno and </w:t>
      </w:r>
      <w:proofErr w:type="spellStart"/>
      <w:r w:rsidRPr="005871FB">
        <w:rPr>
          <w:rFonts w:cstheme="minorHAnsi"/>
          <w:sz w:val="24"/>
          <w:szCs w:val="24"/>
        </w:rPr>
        <w:t>Ohmachi</w:t>
      </w:r>
      <w:proofErr w:type="spellEnd"/>
      <w:r w:rsidRPr="005871FB">
        <w:rPr>
          <w:rFonts w:cstheme="minorHAnsi"/>
          <w:sz w:val="24"/>
          <w:szCs w:val="24"/>
        </w:rPr>
        <w:t xml:space="preserve"> smoothing constant of 40, and a maximum of 50 iterations for spectral rejection in our calculations. The HVSR spectral curve in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8</w:t>
      </w:r>
      <w:r w:rsidRPr="005871FB">
        <w:rPr>
          <w:rFonts w:cstheme="minorHAnsi"/>
          <w:sz w:val="24"/>
          <w:szCs w:val="24"/>
        </w:rPr>
        <w:t xml:space="preserve"> shows a recording of the 11</w:t>
      </w:r>
      <w:r w:rsidRPr="005871FB">
        <w:rPr>
          <w:rFonts w:cstheme="minorHAnsi"/>
          <w:sz w:val="24"/>
          <w:szCs w:val="24"/>
          <w:vertAlign w:val="superscript"/>
        </w:rPr>
        <w:t>th</w:t>
      </w:r>
      <w:r w:rsidRPr="005871FB">
        <w:rPr>
          <w:rFonts w:cstheme="minorHAnsi"/>
          <w:sz w:val="24"/>
          <w:szCs w:val="24"/>
        </w:rPr>
        <w:t xml:space="preserve"> hour on May 2</w:t>
      </w:r>
      <w:r w:rsidRPr="005871FB">
        <w:rPr>
          <w:rFonts w:cstheme="minorHAnsi"/>
          <w:sz w:val="24"/>
          <w:szCs w:val="24"/>
          <w:vertAlign w:val="superscript"/>
        </w:rPr>
        <w:t>nd</w:t>
      </w:r>
      <w:r w:rsidRPr="005871FB">
        <w:rPr>
          <w:rFonts w:cstheme="minorHAnsi"/>
          <w:sz w:val="24"/>
          <w:szCs w:val="24"/>
        </w:rPr>
        <w:t xml:space="preserve"> calculated for HVSR using the </w:t>
      </w:r>
      <w:proofErr w:type="gramStart"/>
      <w:r w:rsidRPr="005871FB">
        <w:rPr>
          <w:rFonts w:cstheme="minorHAnsi"/>
          <w:sz w:val="24"/>
          <w:szCs w:val="24"/>
        </w:rPr>
        <w:t>aforementioned parameters</w:t>
      </w:r>
      <w:proofErr w:type="gramEnd"/>
      <w:r w:rsidRPr="005871FB">
        <w:rPr>
          <w:rFonts w:cstheme="minorHAnsi"/>
          <w:sz w:val="24"/>
          <w:szCs w:val="24"/>
        </w:rPr>
        <w:t xml:space="preserve">. </w:t>
      </w:r>
    </w:p>
    <w:p w14:paraId="0F41075A" w14:textId="77777777" w:rsidR="004C3823" w:rsidRPr="005871FB" w:rsidRDefault="004C3823" w:rsidP="005871FB">
      <w:pPr>
        <w:spacing w:line="480" w:lineRule="auto"/>
        <w:rPr>
          <w:rFonts w:cstheme="minorHAnsi"/>
          <w:b/>
          <w:bCs/>
          <w:sz w:val="24"/>
          <w:szCs w:val="24"/>
        </w:rPr>
      </w:pPr>
      <w:r w:rsidRPr="005871FB">
        <w:rPr>
          <w:rFonts w:cstheme="minorHAnsi"/>
          <w:b/>
          <w:bCs/>
          <w:sz w:val="24"/>
          <w:szCs w:val="24"/>
        </w:rPr>
        <w:t>3.5.2 HVSR variation along the array and interpretation</w:t>
      </w:r>
    </w:p>
    <w:p w14:paraId="4CC3B2A1"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t xml:space="preserve">We use the HVSR spectral curve results in </w:t>
      </w:r>
      <w:r>
        <w:rPr>
          <w:rFonts w:cstheme="minorHAnsi"/>
          <w:b/>
          <w:bCs/>
          <w:sz w:val="24"/>
          <w:szCs w:val="24"/>
        </w:rPr>
        <w:t>F</w:t>
      </w:r>
      <w:r w:rsidRPr="005871FB">
        <w:rPr>
          <w:rFonts w:cstheme="minorHAnsi"/>
          <w:b/>
          <w:bCs/>
          <w:sz w:val="24"/>
          <w:szCs w:val="24"/>
        </w:rPr>
        <w:t xml:space="preserve">igure </w:t>
      </w:r>
      <w:r>
        <w:rPr>
          <w:rFonts w:cstheme="minorHAnsi"/>
          <w:b/>
          <w:bCs/>
          <w:sz w:val="24"/>
          <w:szCs w:val="24"/>
        </w:rPr>
        <w:t>3.</w:t>
      </w:r>
      <w:r w:rsidRPr="005871FB">
        <w:rPr>
          <w:rFonts w:cstheme="minorHAnsi"/>
          <w:b/>
          <w:bCs/>
          <w:sz w:val="24"/>
          <w:szCs w:val="24"/>
        </w:rPr>
        <w:t>9</w:t>
      </w:r>
      <w:r w:rsidRPr="005871FB">
        <w:rPr>
          <w:rFonts w:cstheme="minorHAnsi"/>
          <w:sz w:val="24"/>
          <w:szCs w:val="24"/>
        </w:rPr>
        <w:t xml:space="preserve"> and compare the coherent spectral peak frequencies with a 1D velocity profile to estimate depths of potential acoustic impedance. We use the 1D shallow velocity and forward model with spectral peak frequencies based on the quarter wavelength function of harmonics (</w:t>
      </w:r>
      <w:r>
        <w:rPr>
          <w:rFonts w:cstheme="minorHAnsi"/>
          <w:b/>
          <w:bCs/>
          <w:sz w:val="24"/>
          <w:szCs w:val="24"/>
        </w:rPr>
        <w:t>F</w:t>
      </w:r>
      <w:r w:rsidRPr="005871FB">
        <w:rPr>
          <w:rFonts w:cstheme="minorHAnsi"/>
          <w:b/>
          <w:bCs/>
          <w:sz w:val="24"/>
          <w:szCs w:val="24"/>
        </w:rPr>
        <w:t>igure</w:t>
      </w:r>
      <w:r>
        <w:rPr>
          <w:rFonts w:cstheme="minorHAnsi"/>
          <w:b/>
          <w:bCs/>
          <w:sz w:val="24"/>
          <w:szCs w:val="24"/>
        </w:rPr>
        <w:t xml:space="preserve"> 3.</w:t>
      </w:r>
      <w:r w:rsidRPr="005871FB">
        <w:rPr>
          <w:rFonts w:cstheme="minorHAnsi"/>
          <w:b/>
          <w:bCs/>
          <w:sz w:val="24"/>
          <w:szCs w:val="24"/>
        </w:rPr>
        <w:t>10</w:t>
      </w:r>
      <w:r w:rsidRPr="005871FB">
        <w:rPr>
          <w:rFonts w:cstheme="minorHAnsi"/>
          <w:sz w:val="24"/>
          <w:szCs w:val="24"/>
        </w:rPr>
        <w:t xml:space="preserve">). The primary software identified </w:t>
      </w:r>
      <w:r>
        <w:rPr>
          <w:rFonts w:cstheme="minorHAnsi"/>
          <w:sz w:val="24"/>
          <w:szCs w:val="24"/>
        </w:rPr>
        <w:t xml:space="preserve">a </w:t>
      </w:r>
      <w:r w:rsidRPr="005871FB">
        <w:rPr>
          <w:rFonts w:cstheme="minorHAnsi"/>
          <w:sz w:val="24"/>
          <w:szCs w:val="24"/>
        </w:rPr>
        <w:t xml:space="preserve">clear and reliable peak frequency </w:t>
      </w:r>
      <w:r>
        <w:rPr>
          <w:rFonts w:cstheme="minorHAnsi"/>
          <w:sz w:val="24"/>
          <w:szCs w:val="24"/>
        </w:rPr>
        <w:t>of about</w:t>
      </w:r>
      <w:r w:rsidRPr="005871FB">
        <w:rPr>
          <w:rFonts w:cstheme="minorHAnsi"/>
          <w:sz w:val="24"/>
          <w:szCs w:val="24"/>
        </w:rPr>
        <w:t xml:space="preserve"> 10 Hz</w:t>
      </w:r>
      <w:r>
        <w:rPr>
          <w:rFonts w:cstheme="minorHAnsi"/>
          <w:sz w:val="24"/>
          <w:szCs w:val="24"/>
        </w:rPr>
        <w:t>, which</w:t>
      </w:r>
      <w:r w:rsidRPr="005871FB">
        <w:rPr>
          <w:rFonts w:cstheme="minorHAnsi"/>
          <w:sz w:val="24"/>
          <w:szCs w:val="24"/>
        </w:rPr>
        <w:t xml:space="preserve"> is related to a depth layer at approximately 30 meters.</w:t>
      </w:r>
      <w:r>
        <w:rPr>
          <w:rFonts w:cstheme="minorHAnsi"/>
          <w:sz w:val="24"/>
          <w:szCs w:val="24"/>
        </w:rPr>
        <w:t xml:space="preserve"> Secondary HVSR peaks are interpreted to the geologic structure shown in </w:t>
      </w:r>
      <w:r w:rsidRPr="00E84D0B">
        <w:rPr>
          <w:rFonts w:cstheme="minorHAnsi"/>
          <w:b/>
          <w:bCs/>
          <w:sz w:val="24"/>
          <w:szCs w:val="24"/>
        </w:rPr>
        <w:t>Figure 3.10</w:t>
      </w:r>
      <w:r w:rsidRPr="00E84D0B">
        <w:rPr>
          <w:rFonts w:cstheme="minorHAnsi"/>
          <w:sz w:val="24"/>
          <w:szCs w:val="24"/>
        </w:rPr>
        <w:t>, which</w:t>
      </w:r>
      <w:r>
        <w:rPr>
          <w:rFonts w:cstheme="minorHAnsi"/>
          <w:sz w:val="24"/>
          <w:szCs w:val="24"/>
        </w:rPr>
        <w:t xml:space="preserve"> agrees with Caylor (1958) where nearby well correlations result in a basin structure that is shallower towards the East. On a local scale, Cary (1955) depicts a complex anticlinal structure along our deployment area which does support our interpreted structures at deeper depths. </w:t>
      </w:r>
    </w:p>
    <w:p w14:paraId="0AA8A767"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lastRenderedPageBreak/>
        <w:t xml:space="preserve">A velocity model is created through passive processing of nodal seismic data as outlined in Behm et al. </w:t>
      </w:r>
      <w:r>
        <w:rPr>
          <w:rFonts w:cstheme="minorHAnsi"/>
          <w:sz w:val="24"/>
          <w:szCs w:val="24"/>
        </w:rPr>
        <w:t>(</w:t>
      </w:r>
      <w:r w:rsidRPr="005871FB">
        <w:rPr>
          <w:rFonts w:cstheme="minorHAnsi"/>
          <w:sz w:val="24"/>
          <w:szCs w:val="24"/>
        </w:rPr>
        <w:t>2019</w:t>
      </w:r>
      <w:r>
        <w:rPr>
          <w:rFonts w:cstheme="minorHAnsi"/>
          <w:sz w:val="24"/>
          <w:szCs w:val="24"/>
        </w:rPr>
        <w:t>)</w:t>
      </w:r>
      <w:r w:rsidRPr="005871FB">
        <w:rPr>
          <w:rFonts w:cstheme="minorHAnsi"/>
          <w:sz w:val="24"/>
          <w:szCs w:val="24"/>
        </w:rPr>
        <w:t xml:space="preserve"> and Cheng et al. </w:t>
      </w:r>
      <w:r>
        <w:rPr>
          <w:rFonts w:cstheme="minorHAnsi"/>
          <w:sz w:val="24"/>
          <w:szCs w:val="24"/>
        </w:rPr>
        <w:t>(</w:t>
      </w:r>
      <w:r w:rsidRPr="005871FB">
        <w:rPr>
          <w:rFonts w:cstheme="minorHAnsi"/>
          <w:sz w:val="24"/>
          <w:szCs w:val="24"/>
        </w:rPr>
        <w:t>2022</w:t>
      </w:r>
      <w:r>
        <w:rPr>
          <w:rFonts w:cstheme="minorHAnsi"/>
          <w:sz w:val="24"/>
          <w:szCs w:val="24"/>
        </w:rPr>
        <w:t xml:space="preserve">), where </w:t>
      </w:r>
      <w:r w:rsidRPr="005871FB">
        <w:rPr>
          <w:rFonts w:cstheme="minorHAnsi"/>
          <w:sz w:val="24"/>
          <w:szCs w:val="24"/>
        </w:rPr>
        <w:t>noise cross</w:t>
      </w:r>
      <w:r>
        <w:rPr>
          <w:rFonts w:cstheme="minorHAnsi"/>
          <w:sz w:val="24"/>
          <w:szCs w:val="24"/>
        </w:rPr>
        <w:t>-</w:t>
      </w:r>
      <w:r w:rsidRPr="005871FB">
        <w:rPr>
          <w:rFonts w:cstheme="minorHAnsi"/>
          <w:sz w:val="24"/>
          <w:szCs w:val="24"/>
        </w:rPr>
        <w:t>correlation is computed for all possible station pairs. Cross correlations are then applied to</w:t>
      </w:r>
      <w:r>
        <w:rPr>
          <w:rFonts w:cstheme="minorHAnsi"/>
          <w:sz w:val="24"/>
          <w:szCs w:val="24"/>
        </w:rPr>
        <w:t xml:space="preserve"> the</w:t>
      </w:r>
      <w:r w:rsidRPr="005871FB">
        <w:rPr>
          <w:rFonts w:cstheme="minorHAnsi"/>
          <w:sz w:val="24"/>
          <w:szCs w:val="24"/>
        </w:rPr>
        <w:t xml:space="preserve"> multichannel analysis of surface waves (MASW) method (Park et al</w:t>
      </w:r>
      <w:r>
        <w:rPr>
          <w:rFonts w:cstheme="minorHAnsi"/>
          <w:sz w:val="24"/>
          <w:szCs w:val="24"/>
        </w:rPr>
        <w:t>.,</w:t>
      </w:r>
      <w:r w:rsidRPr="005871FB">
        <w:rPr>
          <w:rFonts w:cstheme="minorHAnsi"/>
          <w:sz w:val="24"/>
          <w:szCs w:val="24"/>
        </w:rPr>
        <w:t xml:space="preserve"> 1998</w:t>
      </w:r>
      <w:r>
        <w:rPr>
          <w:rFonts w:cstheme="minorHAnsi"/>
          <w:sz w:val="24"/>
          <w:szCs w:val="24"/>
        </w:rPr>
        <w:t>;</w:t>
      </w:r>
      <w:r w:rsidRPr="005871FB">
        <w:rPr>
          <w:rFonts w:cstheme="minorHAnsi"/>
          <w:sz w:val="24"/>
          <w:szCs w:val="24"/>
        </w:rPr>
        <w:t xml:space="preserve"> Xia et al</w:t>
      </w:r>
      <w:r>
        <w:rPr>
          <w:rFonts w:cstheme="minorHAnsi"/>
          <w:sz w:val="24"/>
          <w:szCs w:val="24"/>
        </w:rPr>
        <w:t>.,</w:t>
      </w:r>
      <w:r w:rsidRPr="005871FB">
        <w:rPr>
          <w:rFonts w:cstheme="minorHAnsi"/>
          <w:sz w:val="24"/>
          <w:szCs w:val="24"/>
        </w:rPr>
        <w:t xml:space="preserve"> 1999) for surface wave measurements from nodal data. Finally, frequency-time analysis (FTAN) (Bensen et al.</w:t>
      </w:r>
      <w:r>
        <w:rPr>
          <w:rFonts w:cstheme="minorHAnsi"/>
          <w:sz w:val="24"/>
          <w:szCs w:val="24"/>
        </w:rPr>
        <w:t>,</w:t>
      </w:r>
      <w:r w:rsidRPr="005871FB">
        <w:rPr>
          <w:rFonts w:cstheme="minorHAnsi"/>
          <w:sz w:val="24"/>
          <w:szCs w:val="24"/>
        </w:rPr>
        <w:t xml:space="preserve"> 2007</w:t>
      </w:r>
      <w:r>
        <w:rPr>
          <w:rFonts w:cstheme="minorHAnsi"/>
          <w:sz w:val="24"/>
          <w:szCs w:val="24"/>
        </w:rPr>
        <w:t>;</w:t>
      </w:r>
      <w:r w:rsidRPr="005871FB">
        <w:rPr>
          <w:rFonts w:cstheme="minorHAnsi"/>
          <w:sz w:val="24"/>
          <w:szCs w:val="24"/>
        </w:rPr>
        <w:t xml:space="preserve"> </w:t>
      </w:r>
      <w:proofErr w:type="spellStart"/>
      <w:r w:rsidRPr="005871FB">
        <w:rPr>
          <w:rFonts w:cstheme="minorHAnsi"/>
          <w:sz w:val="24"/>
          <w:szCs w:val="24"/>
        </w:rPr>
        <w:t>Levshin</w:t>
      </w:r>
      <w:proofErr w:type="spellEnd"/>
      <w:r w:rsidRPr="005871FB">
        <w:rPr>
          <w:rFonts w:cstheme="minorHAnsi"/>
          <w:sz w:val="24"/>
          <w:szCs w:val="24"/>
        </w:rPr>
        <w:t xml:space="preserve"> et al</w:t>
      </w:r>
      <w:r>
        <w:rPr>
          <w:rFonts w:cstheme="minorHAnsi"/>
          <w:sz w:val="24"/>
          <w:szCs w:val="24"/>
        </w:rPr>
        <w:t>.,</w:t>
      </w:r>
      <w:r w:rsidRPr="005871FB">
        <w:rPr>
          <w:rFonts w:cstheme="minorHAnsi"/>
          <w:sz w:val="24"/>
          <w:szCs w:val="24"/>
        </w:rPr>
        <w:t xml:space="preserve"> 1989</w:t>
      </w:r>
      <w:r>
        <w:rPr>
          <w:rFonts w:cstheme="minorHAnsi"/>
          <w:sz w:val="24"/>
          <w:szCs w:val="24"/>
        </w:rPr>
        <w:t>;</w:t>
      </w:r>
      <w:r w:rsidRPr="005871FB">
        <w:rPr>
          <w:rFonts w:cstheme="minorHAnsi"/>
          <w:sz w:val="24"/>
          <w:szCs w:val="24"/>
        </w:rPr>
        <w:t xml:space="preserve"> </w:t>
      </w:r>
      <w:proofErr w:type="spellStart"/>
      <w:r w:rsidRPr="005871FB">
        <w:rPr>
          <w:rFonts w:cstheme="minorHAnsi"/>
          <w:sz w:val="24"/>
          <w:szCs w:val="24"/>
        </w:rPr>
        <w:t>Hannermann</w:t>
      </w:r>
      <w:proofErr w:type="spellEnd"/>
      <w:r w:rsidRPr="005871FB">
        <w:rPr>
          <w:rFonts w:cstheme="minorHAnsi"/>
          <w:sz w:val="24"/>
          <w:szCs w:val="24"/>
        </w:rPr>
        <w:t xml:space="preserve"> e</w:t>
      </w:r>
      <w:r>
        <w:rPr>
          <w:rFonts w:cstheme="minorHAnsi"/>
          <w:sz w:val="24"/>
          <w:szCs w:val="24"/>
        </w:rPr>
        <w:t>t</w:t>
      </w:r>
      <w:r w:rsidRPr="005871FB">
        <w:rPr>
          <w:rFonts w:cstheme="minorHAnsi"/>
          <w:sz w:val="24"/>
          <w:szCs w:val="24"/>
        </w:rPr>
        <w:t xml:space="preserve"> al</w:t>
      </w:r>
      <w:r>
        <w:rPr>
          <w:rFonts w:cstheme="minorHAnsi"/>
          <w:sz w:val="24"/>
          <w:szCs w:val="24"/>
        </w:rPr>
        <w:t>.,</w:t>
      </w:r>
      <w:r w:rsidRPr="005871FB">
        <w:rPr>
          <w:rFonts w:cstheme="minorHAnsi"/>
          <w:sz w:val="24"/>
          <w:szCs w:val="24"/>
        </w:rPr>
        <w:t xml:space="preserve"> 2014) is applied to</w:t>
      </w:r>
      <w:r>
        <w:rPr>
          <w:rFonts w:cstheme="minorHAnsi"/>
          <w:sz w:val="24"/>
          <w:szCs w:val="24"/>
        </w:rPr>
        <w:t xml:space="preserve"> the</w:t>
      </w:r>
      <w:r w:rsidRPr="005871FB">
        <w:rPr>
          <w:rFonts w:cstheme="minorHAnsi"/>
          <w:sz w:val="24"/>
          <w:szCs w:val="24"/>
        </w:rPr>
        <w:t xml:space="preserve"> recorded data. To obtain a velocity profile, </w:t>
      </w:r>
      <w:r>
        <w:rPr>
          <w:rFonts w:cstheme="minorHAnsi"/>
          <w:sz w:val="24"/>
          <w:szCs w:val="24"/>
        </w:rPr>
        <w:t xml:space="preserve">we </w:t>
      </w:r>
      <w:r w:rsidRPr="005871FB">
        <w:rPr>
          <w:rFonts w:cstheme="minorHAnsi"/>
          <w:sz w:val="24"/>
          <w:szCs w:val="24"/>
        </w:rPr>
        <w:t>calculated dispersion curves from the interferometrically retrieved surface waves. Dispersion curves are then inverted to obtain a 1d velocity model</w:t>
      </w:r>
      <w:r>
        <w:rPr>
          <w:rFonts w:cstheme="minorHAnsi"/>
          <w:sz w:val="24"/>
          <w:szCs w:val="24"/>
        </w:rPr>
        <w:t xml:space="preserve">, </w:t>
      </w:r>
      <w:r w:rsidRPr="005871FB">
        <w:rPr>
          <w:rFonts w:cstheme="minorHAnsi"/>
          <w:sz w:val="24"/>
          <w:szCs w:val="24"/>
        </w:rPr>
        <w:t>using</w:t>
      </w:r>
      <w:r>
        <w:rPr>
          <w:rFonts w:cstheme="minorHAnsi"/>
          <w:sz w:val="24"/>
          <w:szCs w:val="24"/>
        </w:rPr>
        <w:t xml:space="preserve"> a</w:t>
      </w:r>
      <w:r w:rsidRPr="005871FB">
        <w:rPr>
          <w:rFonts w:cstheme="minorHAnsi"/>
          <w:sz w:val="24"/>
          <w:szCs w:val="24"/>
        </w:rPr>
        <w:t xml:space="preserve"> phase shift method (Xia et al.</w:t>
      </w:r>
      <w:r>
        <w:rPr>
          <w:rFonts w:cstheme="minorHAnsi"/>
          <w:sz w:val="24"/>
          <w:szCs w:val="24"/>
        </w:rPr>
        <w:t>,</w:t>
      </w:r>
      <w:r w:rsidRPr="005871FB">
        <w:rPr>
          <w:rFonts w:cstheme="minorHAnsi"/>
          <w:sz w:val="24"/>
          <w:szCs w:val="24"/>
        </w:rPr>
        <w:t xml:space="preserve"> 1999). Dispersion curves are selected from energy trends and subsequently inverted for </w:t>
      </w:r>
      <w:r>
        <w:rPr>
          <w:rFonts w:cstheme="minorHAnsi"/>
          <w:sz w:val="24"/>
          <w:szCs w:val="24"/>
        </w:rPr>
        <w:t xml:space="preserve">the </w:t>
      </w:r>
      <w:r w:rsidRPr="005871FB">
        <w:rPr>
          <w:rFonts w:cstheme="minorHAnsi"/>
          <w:sz w:val="24"/>
          <w:szCs w:val="24"/>
        </w:rPr>
        <w:t xml:space="preserve">1D Vs model with </w:t>
      </w:r>
      <w:proofErr w:type="spellStart"/>
      <w:r w:rsidRPr="005871FB">
        <w:rPr>
          <w:rFonts w:cstheme="minorHAnsi"/>
          <w:sz w:val="24"/>
          <w:szCs w:val="24"/>
        </w:rPr>
        <w:t>Geopsy</w:t>
      </w:r>
      <w:proofErr w:type="spellEnd"/>
      <w:r w:rsidRPr="005871FB">
        <w:rPr>
          <w:rFonts w:cstheme="minorHAnsi"/>
          <w:sz w:val="24"/>
          <w:szCs w:val="24"/>
        </w:rPr>
        <w:t xml:space="preserve"> which follows a hybrid neighborhood algorithm (Wathelet et a</w:t>
      </w:r>
      <w:r>
        <w:rPr>
          <w:rFonts w:cstheme="minorHAnsi"/>
          <w:sz w:val="24"/>
          <w:szCs w:val="24"/>
        </w:rPr>
        <w:t>l.,</w:t>
      </w:r>
      <w:r w:rsidRPr="005871FB">
        <w:rPr>
          <w:rFonts w:cstheme="minorHAnsi"/>
          <w:sz w:val="24"/>
          <w:szCs w:val="24"/>
        </w:rPr>
        <w:t xml:space="preserve"> 2004).</w:t>
      </w:r>
    </w:p>
    <w:p w14:paraId="032AD6E4" w14:textId="77777777" w:rsidR="004C3823" w:rsidRPr="005871FB" w:rsidRDefault="004C3823" w:rsidP="005871FB">
      <w:pPr>
        <w:spacing w:line="480" w:lineRule="auto"/>
        <w:ind w:firstLine="720"/>
        <w:rPr>
          <w:rFonts w:cstheme="minorHAnsi"/>
          <w:sz w:val="24"/>
          <w:szCs w:val="24"/>
        </w:rPr>
      </w:pPr>
      <w:r>
        <w:rPr>
          <w:rFonts w:cstheme="minorHAnsi"/>
          <w:sz w:val="24"/>
          <w:szCs w:val="24"/>
        </w:rPr>
        <w:t>Dense</w:t>
      </w:r>
      <w:r w:rsidRPr="005871FB">
        <w:rPr>
          <w:rFonts w:cstheme="minorHAnsi"/>
          <w:sz w:val="24"/>
          <w:szCs w:val="24"/>
        </w:rPr>
        <w:t xml:space="preserve"> deployments are typically a drastic improvement </w:t>
      </w:r>
      <w:proofErr w:type="gramStart"/>
      <w:r w:rsidRPr="005871FB">
        <w:rPr>
          <w:rFonts w:cstheme="minorHAnsi"/>
          <w:sz w:val="24"/>
          <w:szCs w:val="24"/>
        </w:rPr>
        <w:t>over single</w:t>
      </w:r>
      <w:r>
        <w:rPr>
          <w:rFonts w:cstheme="minorHAnsi"/>
          <w:sz w:val="24"/>
          <w:szCs w:val="24"/>
        </w:rPr>
        <w:t>-</w:t>
      </w:r>
      <w:r w:rsidRPr="005871FB">
        <w:rPr>
          <w:rFonts w:cstheme="minorHAnsi"/>
          <w:sz w:val="24"/>
          <w:szCs w:val="24"/>
        </w:rPr>
        <w:t>station observation</w:t>
      </w:r>
      <w:r>
        <w:rPr>
          <w:rFonts w:cstheme="minorHAnsi"/>
          <w:sz w:val="24"/>
          <w:szCs w:val="24"/>
        </w:rPr>
        <w:t>s</w:t>
      </w:r>
      <w:proofErr w:type="gramEnd"/>
      <w:r w:rsidRPr="005871FB">
        <w:rPr>
          <w:rFonts w:cstheme="minorHAnsi"/>
          <w:sz w:val="24"/>
          <w:szCs w:val="24"/>
        </w:rPr>
        <w:t xml:space="preserve">. We increase </w:t>
      </w:r>
      <w:r>
        <w:rPr>
          <w:rFonts w:cstheme="minorHAnsi"/>
          <w:sz w:val="24"/>
          <w:szCs w:val="24"/>
        </w:rPr>
        <w:t xml:space="preserve">the </w:t>
      </w:r>
      <w:r w:rsidRPr="005871FB">
        <w:rPr>
          <w:rFonts w:cstheme="minorHAnsi"/>
          <w:sz w:val="24"/>
          <w:szCs w:val="24"/>
        </w:rPr>
        <w:t>observation resolution significantly using nodal stations. However, even with nodal station density, details in recorded waveform</w:t>
      </w:r>
      <w:r>
        <w:rPr>
          <w:rFonts w:cstheme="minorHAnsi"/>
          <w:sz w:val="24"/>
          <w:szCs w:val="24"/>
        </w:rPr>
        <w:t>s</w:t>
      </w:r>
      <w:r w:rsidRPr="005871FB">
        <w:rPr>
          <w:rFonts w:cstheme="minorHAnsi"/>
          <w:sz w:val="24"/>
          <w:szCs w:val="24"/>
        </w:rPr>
        <w:t xml:space="preserve"> such as passing vehicle</w:t>
      </w:r>
      <w:r>
        <w:rPr>
          <w:rFonts w:cstheme="minorHAnsi"/>
          <w:sz w:val="24"/>
          <w:szCs w:val="24"/>
        </w:rPr>
        <w:t>s</w:t>
      </w:r>
      <w:r w:rsidRPr="005871FB">
        <w:rPr>
          <w:rFonts w:cstheme="minorHAnsi"/>
          <w:sz w:val="24"/>
          <w:szCs w:val="24"/>
        </w:rPr>
        <w:t xml:space="preserve"> or train</w:t>
      </w:r>
      <w:r>
        <w:rPr>
          <w:rFonts w:cstheme="minorHAnsi"/>
          <w:sz w:val="24"/>
          <w:szCs w:val="24"/>
        </w:rPr>
        <w:t>s</w:t>
      </w:r>
      <w:r w:rsidRPr="005871FB">
        <w:rPr>
          <w:rFonts w:cstheme="minorHAnsi"/>
          <w:sz w:val="24"/>
          <w:szCs w:val="24"/>
        </w:rPr>
        <w:t xml:space="preserve"> would be easily overlooked when analyzing the recordings. Using very simple methods such as transforming data from time series into the frequency domain we can improve our observations and identification of anthropogenic noise sources such as moving vehicles and trains since they appear differently on the power spectrum (</w:t>
      </w:r>
      <w:r w:rsidRPr="005871FB">
        <w:rPr>
          <w:rFonts w:cstheme="minorHAnsi"/>
          <w:b/>
          <w:bCs/>
          <w:sz w:val="24"/>
          <w:szCs w:val="24"/>
        </w:rPr>
        <w:t xml:space="preserve">Figure </w:t>
      </w:r>
      <w:r>
        <w:rPr>
          <w:rFonts w:cstheme="minorHAnsi"/>
          <w:b/>
          <w:bCs/>
          <w:sz w:val="24"/>
          <w:szCs w:val="24"/>
        </w:rPr>
        <w:t>3.</w:t>
      </w:r>
      <w:r w:rsidRPr="005871FB">
        <w:rPr>
          <w:rFonts w:cstheme="minorHAnsi"/>
          <w:b/>
          <w:bCs/>
          <w:sz w:val="24"/>
          <w:szCs w:val="24"/>
        </w:rPr>
        <w:t>6</w:t>
      </w:r>
      <w:r w:rsidRPr="005871FB">
        <w:rPr>
          <w:rFonts w:cstheme="minorHAnsi"/>
          <w:sz w:val="24"/>
          <w:szCs w:val="24"/>
        </w:rPr>
        <w:t>). We can also compare our nodal results with those of DAS. Although DAS is recorded in strain rate, much of the processing and interpretation is identical to that of traditional acoustic seismic waveform measurements. With DAS</w:t>
      </w:r>
      <w:r>
        <w:rPr>
          <w:rFonts w:cstheme="minorHAnsi"/>
          <w:sz w:val="24"/>
          <w:szCs w:val="24"/>
        </w:rPr>
        <w:t>,</w:t>
      </w:r>
      <w:r w:rsidRPr="005871FB">
        <w:rPr>
          <w:rFonts w:cstheme="minorHAnsi"/>
          <w:sz w:val="24"/>
          <w:szCs w:val="24"/>
        </w:rPr>
        <w:t xml:space="preserve"> we can observe spatial temporal changes in the waveform stacks indicating features such as vehicles traveling in opposite directions as well as using kurtosis to identify a train passage.</w:t>
      </w:r>
    </w:p>
    <w:p w14:paraId="1D828C59" w14:textId="77777777" w:rsidR="004C3823" w:rsidRPr="005871FB" w:rsidRDefault="004C3823" w:rsidP="005871FB">
      <w:pPr>
        <w:spacing w:line="480" w:lineRule="auto"/>
        <w:ind w:firstLine="720"/>
        <w:rPr>
          <w:rFonts w:cstheme="minorHAnsi"/>
          <w:sz w:val="24"/>
          <w:szCs w:val="24"/>
        </w:rPr>
      </w:pPr>
      <w:r w:rsidRPr="005871FB">
        <w:rPr>
          <w:rFonts w:cstheme="minorHAnsi"/>
          <w:sz w:val="24"/>
          <w:szCs w:val="24"/>
        </w:rPr>
        <w:lastRenderedPageBreak/>
        <w:t>However, with improvements in seismological sensing equipment</w:t>
      </w:r>
      <w:r>
        <w:rPr>
          <w:rFonts w:cstheme="minorHAnsi"/>
          <w:sz w:val="24"/>
          <w:szCs w:val="24"/>
        </w:rPr>
        <w:t>,</w:t>
      </w:r>
      <w:r w:rsidRPr="005871FB">
        <w:rPr>
          <w:rFonts w:cstheme="minorHAnsi"/>
          <w:sz w:val="24"/>
          <w:szCs w:val="24"/>
        </w:rPr>
        <w:t xml:space="preserve"> new logistical issues do appear that were not present prior in traditional single</w:t>
      </w:r>
      <w:r>
        <w:rPr>
          <w:rFonts w:cstheme="minorHAnsi"/>
          <w:sz w:val="24"/>
          <w:szCs w:val="24"/>
        </w:rPr>
        <w:t>-</w:t>
      </w:r>
      <w:r w:rsidRPr="005871FB">
        <w:rPr>
          <w:rFonts w:cstheme="minorHAnsi"/>
          <w:sz w:val="24"/>
          <w:szCs w:val="24"/>
        </w:rPr>
        <w:t xml:space="preserve">station deployments. </w:t>
      </w:r>
      <w:r>
        <w:rPr>
          <w:rFonts w:cstheme="minorHAnsi"/>
          <w:sz w:val="24"/>
          <w:szCs w:val="24"/>
        </w:rPr>
        <w:t>When</w:t>
      </w:r>
      <w:r w:rsidRPr="005871FB">
        <w:rPr>
          <w:rFonts w:cstheme="minorHAnsi"/>
          <w:sz w:val="24"/>
          <w:szCs w:val="24"/>
        </w:rPr>
        <w:t xml:space="preserve"> using nodal stations, a crew of individuals is now required to effectively deploy each sensor. Adequate training for </w:t>
      </w:r>
      <w:proofErr w:type="gramStart"/>
      <w:r w:rsidRPr="005871FB">
        <w:rPr>
          <w:rFonts w:cstheme="minorHAnsi"/>
          <w:sz w:val="24"/>
          <w:szCs w:val="24"/>
        </w:rPr>
        <w:t>each individual</w:t>
      </w:r>
      <w:proofErr w:type="gramEnd"/>
      <w:r>
        <w:rPr>
          <w:rFonts w:cstheme="minorHAnsi"/>
          <w:sz w:val="24"/>
          <w:szCs w:val="24"/>
        </w:rPr>
        <w:t>, as well as systematic errors in each individual’s deployment technique,</w:t>
      </w:r>
      <w:r w:rsidRPr="005871FB">
        <w:rPr>
          <w:rFonts w:cstheme="minorHAnsi"/>
          <w:sz w:val="24"/>
          <w:szCs w:val="24"/>
        </w:rPr>
        <w:t xml:space="preserve"> may introduce unwanted deviation in recorded waveform. This issue and process </w:t>
      </w:r>
      <w:r>
        <w:rPr>
          <w:rFonts w:cstheme="minorHAnsi"/>
          <w:sz w:val="24"/>
          <w:szCs w:val="24"/>
        </w:rPr>
        <w:t>are</w:t>
      </w:r>
      <w:r w:rsidRPr="005871FB">
        <w:rPr>
          <w:rFonts w:cstheme="minorHAnsi"/>
          <w:sz w:val="24"/>
          <w:szCs w:val="24"/>
        </w:rPr>
        <w:t xml:space="preserve"> eliminated with DAS deployment where the primary setup is in the interrogator</w:t>
      </w:r>
      <w:r>
        <w:rPr>
          <w:rFonts w:cstheme="minorHAnsi"/>
          <w:sz w:val="24"/>
          <w:szCs w:val="24"/>
        </w:rPr>
        <w:t>, but fiber cable installation and ground coupling may influence data quality</w:t>
      </w:r>
      <w:r w:rsidRPr="005871FB">
        <w:rPr>
          <w:rFonts w:cstheme="minorHAnsi"/>
          <w:sz w:val="24"/>
          <w:szCs w:val="24"/>
        </w:rPr>
        <w:t>.</w:t>
      </w:r>
    </w:p>
    <w:p w14:paraId="344EE98F" w14:textId="77777777" w:rsidR="004C3823" w:rsidRPr="005871FB" w:rsidRDefault="004C3823" w:rsidP="00E84D0B">
      <w:pPr>
        <w:spacing w:line="480" w:lineRule="auto"/>
        <w:ind w:firstLine="450"/>
        <w:rPr>
          <w:rFonts w:cstheme="minorHAnsi"/>
          <w:sz w:val="24"/>
          <w:szCs w:val="24"/>
        </w:rPr>
      </w:pPr>
      <w:r w:rsidRPr="005871FB">
        <w:rPr>
          <w:rFonts w:cstheme="minorHAnsi"/>
          <w:sz w:val="24"/>
          <w:szCs w:val="24"/>
        </w:rPr>
        <w:t>In our DAS deployment</w:t>
      </w:r>
      <w:r>
        <w:rPr>
          <w:rFonts w:cstheme="minorHAnsi"/>
          <w:sz w:val="24"/>
          <w:szCs w:val="24"/>
        </w:rPr>
        <w:t>,</w:t>
      </w:r>
      <w:r w:rsidRPr="005871FB">
        <w:rPr>
          <w:rFonts w:cstheme="minorHAnsi"/>
          <w:sz w:val="24"/>
          <w:szCs w:val="24"/>
        </w:rPr>
        <w:t xml:space="preserve"> we are using dark fiber</w:t>
      </w:r>
      <w:r>
        <w:rPr>
          <w:rFonts w:cstheme="minorHAnsi"/>
          <w:sz w:val="24"/>
          <w:szCs w:val="24"/>
        </w:rPr>
        <w:t>,</w:t>
      </w:r>
      <w:r w:rsidRPr="005871FB">
        <w:rPr>
          <w:rFonts w:cstheme="minorHAnsi"/>
          <w:sz w:val="24"/>
          <w:szCs w:val="24"/>
        </w:rPr>
        <w:t xml:space="preserve"> which has </w:t>
      </w:r>
      <w:r>
        <w:rPr>
          <w:rFonts w:cstheme="minorHAnsi"/>
          <w:sz w:val="24"/>
          <w:szCs w:val="24"/>
        </w:rPr>
        <w:t>potentially</w:t>
      </w:r>
      <w:r w:rsidRPr="005871FB">
        <w:rPr>
          <w:rFonts w:cstheme="minorHAnsi"/>
          <w:sz w:val="24"/>
          <w:szCs w:val="24"/>
        </w:rPr>
        <w:t xml:space="preserve"> inconsistent coupling with the subsurface </w:t>
      </w:r>
      <w:r>
        <w:rPr>
          <w:rFonts w:cstheme="minorHAnsi"/>
          <w:sz w:val="24"/>
          <w:szCs w:val="24"/>
        </w:rPr>
        <w:t xml:space="preserve">and </w:t>
      </w:r>
      <w:r w:rsidRPr="005871FB">
        <w:rPr>
          <w:rFonts w:cstheme="minorHAnsi"/>
          <w:sz w:val="24"/>
          <w:szCs w:val="24"/>
        </w:rPr>
        <w:t xml:space="preserve">inadequate fiber termination </w:t>
      </w:r>
      <w:r>
        <w:rPr>
          <w:rFonts w:cstheme="minorHAnsi"/>
          <w:sz w:val="24"/>
          <w:szCs w:val="24"/>
        </w:rPr>
        <w:t>that</w:t>
      </w:r>
      <w:r w:rsidRPr="005871FB">
        <w:rPr>
          <w:rFonts w:cstheme="minorHAnsi"/>
          <w:sz w:val="24"/>
          <w:szCs w:val="24"/>
        </w:rPr>
        <w:t xml:space="preserve"> introduced a significant amount of noise.</w:t>
      </w:r>
      <w:r>
        <w:rPr>
          <w:rFonts w:cstheme="minorHAnsi"/>
          <w:sz w:val="24"/>
          <w:szCs w:val="24"/>
        </w:rPr>
        <w:t xml:space="preserve"> Installing new fiber optic cables with good ground coupling may increase signal quality.</w:t>
      </w:r>
    </w:p>
    <w:p w14:paraId="5262D868" w14:textId="77777777" w:rsidR="004C3823" w:rsidRPr="005871FB" w:rsidRDefault="004C3823" w:rsidP="006F159A">
      <w:pPr>
        <w:spacing w:line="480" w:lineRule="auto"/>
        <w:ind w:left="450" w:hanging="450"/>
        <w:rPr>
          <w:rFonts w:cstheme="minorHAnsi"/>
          <w:b/>
          <w:bCs/>
          <w:sz w:val="24"/>
          <w:szCs w:val="24"/>
        </w:rPr>
      </w:pPr>
      <w:r w:rsidRPr="005871FB">
        <w:rPr>
          <w:rFonts w:cstheme="minorHAnsi"/>
          <w:b/>
          <w:bCs/>
          <w:sz w:val="24"/>
          <w:szCs w:val="24"/>
        </w:rPr>
        <w:t>3.6 Conclusion</w:t>
      </w:r>
    </w:p>
    <w:p w14:paraId="3514F63B" w14:textId="77777777" w:rsidR="004C3823" w:rsidRDefault="004C3823" w:rsidP="005871FB">
      <w:pPr>
        <w:spacing w:line="480" w:lineRule="auto"/>
        <w:ind w:firstLine="450"/>
        <w:rPr>
          <w:rFonts w:cstheme="minorHAnsi"/>
          <w:sz w:val="24"/>
          <w:szCs w:val="24"/>
        </w:rPr>
      </w:pPr>
      <w:r>
        <w:rPr>
          <w:rFonts w:cstheme="minorHAnsi"/>
          <w:sz w:val="24"/>
          <w:szCs w:val="24"/>
        </w:rPr>
        <w:t xml:space="preserve">DAS application using dark fiber is an emerging technique in observational seismology. Observations of different sources such as trains, cars, and noise are recorded and compared between nodal stations and DAS channels. It is important to characterize the response and improve our understanding of dark fiber DAS and compare the measurements to traditional recording instrument types. In our observations, nodal stations do have stronger signal-to-noise ratios than DAS, likely due to ground coupling differences caused by the deployment of fiber optic cables and nodes. There is an inherent risk of data noise contamination from these surface effects due to the deployment methods. The high spatial density of stations allows for improved interstation resolution, which aids in providing information on slight variations in the wavefield between local sites. </w:t>
      </w:r>
    </w:p>
    <w:p w14:paraId="00371738" w14:textId="77777777" w:rsidR="004C3823" w:rsidRPr="00B06159" w:rsidRDefault="004C3823" w:rsidP="005871FB">
      <w:pPr>
        <w:spacing w:line="480" w:lineRule="auto"/>
        <w:ind w:firstLine="450"/>
        <w:rPr>
          <w:rFonts w:cstheme="minorHAnsi"/>
          <w:sz w:val="24"/>
          <w:szCs w:val="24"/>
        </w:rPr>
      </w:pPr>
      <w:r w:rsidRPr="005871FB">
        <w:rPr>
          <w:rFonts w:cstheme="minorHAnsi"/>
          <w:sz w:val="24"/>
          <w:szCs w:val="24"/>
        </w:rPr>
        <w:lastRenderedPageBreak/>
        <w:t>We can see from the various HVSR spectral curves estimated from different recording times that the HVSR technique is rather stable and provides a good indication of the fundamental frequency of the subsurface. Comparing both the ambient noise HVSR and earthquake HVSR</w:t>
      </w:r>
      <w:r>
        <w:rPr>
          <w:rFonts w:cstheme="minorHAnsi"/>
          <w:sz w:val="24"/>
          <w:szCs w:val="24"/>
        </w:rPr>
        <w:t>,</w:t>
      </w:r>
      <w:r w:rsidRPr="005871FB">
        <w:rPr>
          <w:rFonts w:cstheme="minorHAnsi"/>
          <w:sz w:val="24"/>
          <w:szCs w:val="24"/>
        </w:rPr>
        <w:t xml:space="preserve"> we can see both are similar except for amplitude differences. This may be due to a lack of waveform recording length with earthquakes compared with the hundreds of hours of ambient noise. However, differences in HVSR </w:t>
      </w:r>
      <w:r w:rsidRPr="00B06159">
        <w:rPr>
          <w:rFonts w:cstheme="minorHAnsi"/>
          <w:sz w:val="24"/>
          <w:szCs w:val="24"/>
        </w:rPr>
        <w:t xml:space="preserve">amplitude between ambient noise and earthquake recordings </w:t>
      </w:r>
      <w:r>
        <w:rPr>
          <w:rFonts w:cstheme="minorHAnsi"/>
          <w:sz w:val="24"/>
          <w:szCs w:val="24"/>
        </w:rPr>
        <w:t>are</w:t>
      </w:r>
      <w:r w:rsidRPr="00B06159">
        <w:rPr>
          <w:rFonts w:cstheme="minorHAnsi"/>
          <w:sz w:val="24"/>
          <w:szCs w:val="24"/>
        </w:rPr>
        <w:t xml:space="preserve"> justified</w:t>
      </w:r>
      <w:r>
        <w:rPr>
          <w:rFonts w:cstheme="minorHAnsi"/>
          <w:sz w:val="24"/>
          <w:szCs w:val="24"/>
        </w:rPr>
        <w:t>,</w:t>
      </w:r>
      <w:r w:rsidRPr="00B06159">
        <w:rPr>
          <w:rFonts w:cstheme="minorHAnsi"/>
          <w:sz w:val="24"/>
          <w:szCs w:val="24"/>
        </w:rPr>
        <w:t xml:space="preserve"> also seen in Bard et al. (2004) where both earthquake HVSR and ambient noise HVSR are compared.</w:t>
      </w:r>
    </w:p>
    <w:p w14:paraId="5C827464" w14:textId="77777777" w:rsidR="004C3823" w:rsidRPr="00B06159" w:rsidRDefault="004C3823" w:rsidP="005871FB">
      <w:pPr>
        <w:spacing w:line="480" w:lineRule="auto"/>
        <w:ind w:firstLine="450"/>
        <w:rPr>
          <w:rFonts w:cstheme="minorHAnsi"/>
          <w:sz w:val="24"/>
          <w:szCs w:val="24"/>
        </w:rPr>
      </w:pPr>
      <w:r w:rsidRPr="00B06159">
        <w:rPr>
          <w:rFonts w:cstheme="minorHAnsi"/>
          <w:sz w:val="24"/>
          <w:szCs w:val="24"/>
        </w:rPr>
        <w:t>Using a velocity model, it is possible to determine a depth to acoustic impedance layer for the HVSR fundamental frequency measurements. Although primary HVSR studies focus on the prominent peak, it should be noted that coherent secondary peaks should not be ignored. In the forward model, we can interpret the assumed sedimentary layers on the western side of the Nemaha Ridge. We should not expect significant variations in the sedimentary structure of the adjacent Nemaha Ridge, but some variation in slope may be present.</w:t>
      </w:r>
    </w:p>
    <w:p w14:paraId="13B81140" w14:textId="77777777" w:rsidR="004C3823" w:rsidRDefault="004C3823" w:rsidP="005871FB">
      <w:pPr>
        <w:spacing w:line="480" w:lineRule="auto"/>
        <w:ind w:firstLine="450"/>
        <w:rPr>
          <w:rFonts w:cstheme="minorHAnsi"/>
          <w:sz w:val="24"/>
          <w:szCs w:val="24"/>
        </w:rPr>
      </w:pPr>
      <w:r w:rsidRPr="00B06159">
        <w:rPr>
          <w:rFonts w:cstheme="minorHAnsi"/>
          <w:sz w:val="24"/>
          <w:szCs w:val="24"/>
        </w:rPr>
        <w:t xml:space="preserve">Application of HVSR to telecommunication dark fiber DAS data is typically plagued with sensitivity issues due to poor ground coupling as well as a lack of instrument response that would allow for </w:t>
      </w:r>
      <w:r>
        <w:rPr>
          <w:rFonts w:cstheme="minorHAnsi"/>
          <w:sz w:val="24"/>
          <w:szCs w:val="24"/>
        </w:rPr>
        <w:t xml:space="preserve">the </w:t>
      </w:r>
      <w:r w:rsidRPr="00B06159">
        <w:rPr>
          <w:rFonts w:cstheme="minorHAnsi"/>
          <w:sz w:val="24"/>
          <w:szCs w:val="24"/>
        </w:rPr>
        <w:t xml:space="preserve">conversion of the signal to scientific units of ground motion. This would allow for a more direct comparison with nodal measurements. However, the ability to successfully use an existing telecommunications fiber optic cable as a remote sensing network is significant to both research and commercial applications. To improve on and advance the method of dark fiber DAS, the instrument response of DAS must be resolved to easily compare </w:t>
      </w:r>
      <w:r w:rsidRPr="00B06159">
        <w:rPr>
          <w:rFonts w:cstheme="minorHAnsi"/>
          <w:sz w:val="24"/>
          <w:szCs w:val="24"/>
        </w:rPr>
        <w:lastRenderedPageBreak/>
        <w:t>measurements to other instrument types. The popularity of using dark fiber for DAS is increasing and will become significant in the future as more studies include its deployment.</w:t>
      </w:r>
    </w:p>
    <w:p w14:paraId="47010106" w14:textId="77777777" w:rsidR="00D01D5A" w:rsidRDefault="00D01D5A" w:rsidP="005871FB">
      <w:pPr>
        <w:spacing w:line="480" w:lineRule="auto"/>
        <w:ind w:firstLine="450"/>
        <w:rPr>
          <w:rFonts w:cstheme="minorHAnsi"/>
          <w:sz w:val="24"/>
          <w:szCs w:val="24"/>
        </w:rPr>
      </w:pPr>
    </w:p>
    <w:p w14:paraId="3378387E" w14:textId="77777777" w:rsidR="00D01D5A" w:rsidRDefault="00D01D5A" w:rsidP="005871FB">
      <w:pPr>
        <w:spacing w:line="480" w:lineRule="auto"/>
        <w:ind w:firstLine="450"/>
        <w:rPr>
          <w:rFonts w:cstheme="minorHAnsi"/>
          <w:sz w:val="24"/>
          <w:szCs w:val="24"/>
        </w:rPr>
      </w:pPr>
    </w:p>
    <w:p w14:paraId="1DA505A9" w14:textId="77777777" w:rsidR="00D01D5A" w:rsidRDefault="00D01D5A" w:rsidP="005871FB">
      <w:pPr>
        <w:spacing w:line="480" w:lineRule="auto"/>
        <w:ind w:firstLine="450"/>
        <w:rPr>
          <w:rFonts w:cstheme="minorHAnsi"/>
          <w:sz w:val="24"/>
          <w:szCs w:val="24"/>
        </w:rPr>
      </w:pPr>
    </w:p>
    <w:p w14:paraId="72BCDC56" w14:textId="77777777" w:rsidR="00D01D5A" w:rsidRDefault="00D01D5A" w:rsidP="005871FB">
      <w:pPr>
        <w:spacing w:line="480" w:lineRule="auto"/>
        <w:ind w:firstLine="450"/>
        <w:rPr>
          <w:rFonts w:cstheme="minorHAnsi"/>
          <w:sz w:val="24"/>
          <w:szCs w:val="24"/>
        </w:rPr>
      </w:pPr>
    </w:p>
    <w:p w14:paraId="731763BA" w14:textId="77777777" w:rsidR="00D01D5A" w:rsidRDefault="00D01D5A" w:rsidP="005871FB">
      <w:pPr>
        <w:spacing w:line="480" w:lineRule="auto"/>
        <w:ind w:firstLine="450"/>
        <w:rPr>
          <w:rFonts w:cstheme="minorHAnsi"/>
          <w:sz w:val="24"/>
          <w:szCs w:val="24"/>
        </w:rPr>
      </w:pPr>
    </w:p>
    <w:p w14:paraId="094093B7" w14:textId="77777777" w:rsidR="00D01D5A" w:rsidRDefault="00D01D5A" w:rsidP="005871FB">
      <w:pPr>
        <w:spacing w:line="480" w:lineRule="auto"/>
        <w:ind w:firstLine="450"/>
        <w:rPr>
          <w:rFonts w:cstheme="minorHAnsi"/>
          <w:sz w:val="24"/>
          <w:szCs w:val="24"/>
        </w:rPr>
      </w:pPr>
    </w:p>
    <w:p w14:paraId="0D1A39D7" w14:textId="77777777" w:rsidR="00D01D5A" w:rsidRDefault="00D01D5A" w:rsidP="005871FB">
      <w:pPr>
        <w:spacing w:line="480" w:lineRule="auto"/>
        <w:ind w:firstLine="450"/>
        <w:rPr>
          <w:rFonts w:cstheme="minorHAnsi"/>
          <w:sz w:val="24"/>
          <w:szCs w:val="24"/>
        </w:rPr>
      </w:pPr>
    </w:p>
    <w:p w14:paraId="5233239A" w14:textId="77777777" w:rsidR="00D01D5A" w:rsidRDefault="00D01D5A" w:rsidP="005871FB">
      <w:pPr>
        <w:spacing w:line="480" w:lineRule="auto"/>
        <w:ind w:firstLine="450"/>
        <w:rPr>
          <w:rFonts w:cstheme="minorHAnsi"/>
          <w:sz w:val="24"/>
          <w:szCs w:val="24"/>
        </w:rPr>
      </w:pPr>
    </w:p>
    <w:p w14:paraId="355219F5" w14:textId="77777777" w:rsidR="00D01D5A" w:rsidRPr="00B06159" w:rsidRDefault="00D01D5A" w:rsidP="005871FB">
      <w:pPr>
        <w:spacing w:line="480" w:lineRule="auto"/>
        <w:ind w:firstLine="450"/>
        <w:rPr>
          <w:sz w:val="24"/>
          <w:szCs w:val="24"/>
        </w:rPr>
      </w:pPr>
    </w:p>
    <w:p w14:paraId="177A7BD9" w14:textId="77777777" w:rsidR="004C3823" w:rsidRPr="00FD5E49" w:rsidRDefault="004C3823" w:rsidP="005871FB">
      <w:pPr>
        <w:keepNext/>
        <w:spacing w:line="480" w:lineRule="auto"/>
        <w:rPr>
          <w:sz w:val="24"/>
          <w:szCs w:val="24"/>
        </w:rPr>
      </w:pPr>
      <w:r w:rsidRPr="00FD5E49">
        <w:rPr>
          <w:noProof/>
          <w:sz w:val="24"/>
          <w:szCs w:val="24"/>
        </w:rPr>
        <w:lastRenderedPageBreak/>
        <w:drawing>
          <wp:inline distT="0" distB="0" distL="0" distR="0" wp14:anchorId="2EFE6836" wp14:editId="70F0AC7E">
            <wp:extent cx="5543550" cy="2519795"/>
            <wp:effectExtent l="0" t="0" r="0" b="0"/>
            <wp:docPr id="1192401589" name="Picture 119240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553283" cy="2524219"/>
                    </a:xfrm>
                    <a:prstGeom prst="rect">
                      <a:avLst/>
                    </a:prstGeom>
                    <a:noFill/>
                    <a:ln>
                      <a:noFill/>
                    </a:ln>
                  </pic:spPr>
                </pic:pic>
              </a:graphicData>
            </a:graphic>
          </wp:inline>
        </w:drawing>
      </w:r>
    </w:p>
    <w:p w14:paraId="50EE0521" w14:textId="49216D24" w:rsidR="004C3823" w:rsidRPr="00B66019" w:rsidRDefault="004C3823" w:rsidP="006F159A">
      <w:pPr>
        <w:pStyle w:val="Caption"/>
        <w:spacing w:line="360" w:lineRule="auto"/>
        <w:rPr>
          <w:i w:val="0"/>
          <w:iCs w:val="0"/>
          <w:color w:val="auto"/>
          <w:sz w:val="24"/>
          <w:szCs w:val="24"/>
        </w:rPr>
      </w:pPr>
      <w:r w:rsidRPr="00B66019">
        <w:rPr>
          <w:i w:val="0"/>
          <w:iCs w:val="0"/>
          <w:color w:val="auto"/>
          <w:sz w:val="24"/>
          <w:szCs w:val="24"/>
        </w:rPr>
        <w:t>Figure 3.</w:t>
      </w:r>
      <w:r w:rsidRPr="00B66019">
        <w:rPr>
          <w:i w:val="0"/>
          <w:iCs w:val="0"/>
          <w:color w:val="auto"/>
          <w:sz w:val="24"/>
          <w:szCs w:val="24"/>
        </w:rPr>
        <w:fldChar w:fldCharType="begin"/>
      </w:r>
      <w:r w:rsidRPr="00B66019">
        <w:rPr>
          <w:i w:val="0"/>
          <w:iCs w:val="0"/>
          <w:color w:val="auto"/>
          <w:sz w:val="24"/>
          <w:szCs w:val="24"/>
        </w:rPr>
        <w:instrText xml:space="preserve"> SEQ Figure \* ARABIC </w:instrText>
      </w:r>
      <w:r w:rsidRPr="00B66019">
        <w:rPr>
          <w:i w:val="0"/>
          <w:iCs w:val="0"/>
          <w:color w:val="auto"/>
          <w:sz w:val="24"/>
          <w:szCs w:val="24"/>
        </w:rPr>
        <w:fldChar w:fldCharType="separate"/>
      </w:r>
      <w:r w:rsidR="00DF2C3F">
        <w:rPr>
          <w:i w:val="0"/>
          <w:iCs w:val="0"/>
          <w:noProof/>
          <w:color w:val="auto"/>
          <w:sz w:val="24"/>
          <w:szCs w:val="24"/>
        </w:rPr>
        <w:t>1</w:t>
      </w:r>
      <w:r w:rsidRPr="00B66019">
        <w:rPr>
          <w:i w:val="0"/>
          <w:iCs w:val="0"/>
          <w:noProof/>
          <w:color w:val="auto"/>
          <w:sz w:val="24"/>
          <w:szCs w:val="24"/>
        </w:rPr>
        <w:fldChar w:fldCharType="end"/>
      </w:r>
      <w:r>
        <w:rPr>
          <w:i w:val="0"/>
          <w:iCs w:val="0"/>
          <w:noProof/>
          <w:color w:val="auto"/>
          <w:sz w:val="24"/>
          <w:szCs w:val="24"/>
        </w:rPr>
        <w:t>:</w:t>
      </w:r>
      <w:r w:rsidRPr="00B66019">
        <w:rPr>
          <w:i w:val="0"/>
          <w:iCs w:val="0"/>
          <w:color w:val="auto"/>
          <w:sz w:val="24"/>
          <w:szCs w:val="24"/>
        </w:rPr>
        <w:t xml:space="preserve"> </w:t>
      </w:r>
      <w:r w:rsidRPr="006F159A">
        <w:rPr>
          <w:i w:val="0"/>
          <w:iCs w:val="0"/>
          <w:color w:val="auto"/>
          <w:sz w:val="24"/>
          <w:szCs w:val="24"/>
        </w:rPr>
        <w:t>A map of Oklahoma with fault lines. The red box is the array location. Roads are shown as blue lines and railway tracks are green lines.</w:t>
      </w:r>
    </w:p>
    <w:p w14:paraId="56479FE6" w14:textId="77777777" w:rsidR="004C3823" w:rsidRPr="00392DD1" w:rsidRDefault="004C3823" w:rsidP="005871FB">
      <w:pPr>
        <w:keepNext/>
        <w:spacing w:line="480" w:lineRule="auto"/>
        <w:rPr>
          <w:sz w:val="24"/>
          <w:szCs w:val="24"/>
        </w:rPr>
      </w:pPr>
      <w:r w:rsidRPr="00392DD1">
        <w:rPr>
          <w:noProof/>
          <w:sz w:val="24"/>
          <w:szCs w:val="24"/>
        </w:rPr>
        <w:drawing>
          <wp:inline distT="0" distB="0" distL="0" distR="0" wp14:anchorId="5C16458C" wp14:editId="5D76FBBA">
            <wp:extent cx="5612315" cy="2971799"/>
            <wp:effectExtent l="0" t="0" r="762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612315" cy="2971799"/>
                    </a:xfrm>
                    <a:prstGeom prst="rect">
                      <a:avLst/>
                    </a:prstGeom>
                    <a:noFill/>
                    <a:ln>
                      <a:noFill/>
                    </a:ln>
                  </pic:spPr>
                </pic:pic>
              </a:graphicData>
            </a:graphic>
          </wp:inline>
        </w:drawing>
      </w:r>
    </w:p>
    <w:p w14:paraId="14CE1D63" w14:textId="1BBB2FB6"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2</w:t>
      </w:r>
      <w:r w:rsidRPr="006F159A">
        <w:rPr>
          <w:i w:val="0"/>
          <w:iCs w:val="0"/>
          <w:noProof/>
          <w:color w:val="auto"/>
          <w:sz w:val="24"/>
          <w:szCs w:val="24"/>
        </w:rPr>
        <w:fldChar w:fldCharType="end"/>
      </w:r>
      <w:r w:rsidRPr="006F159A">
        <w:rPr>
          <w:i w:val="0"/>
          <w:iCs w:val="0"/>
          <w:color w:val="auto"/>
          <w:sz w:val="24"/>
          <w:szCs w:val="24"/>
        </w:rPr>
        <w:t xml:space="preserve"> Experiment location from the red box in </w:t>
      </w:r>
      <w:r w:rsidRPr="006F159A">
        <w:rPr>
          <w:b/>
          <w:bCs/>
          <w:i w:val="0"/>
          <w:iCs w:val="0"/>
          <w:color w:val="auto"/>
          <w:sz w:val="24"/>
          <w:szCs w:val="24"/>
        </w:rPr>
        <w:t>Figure 1</w:t>
      </w:r>
      <w:r w:rsidRPr="006F159A">
        <w:rPr>
          <w:i w:val="0"/>
          <w:iCs w:val="0"/>
          <w:color w:val="auto"/>
          <w:sz w:val="24"/>
          <w:szCs w:val="24"/>
        </w:rPr>
        <w:t>. Local events are in dots where they are color coded for each array and magnitude would depict circle size. Nodal stations for each segment of the deployment are shown by the colored triangles where blue is EW1-40, green is EW1-20, and red is EW2.</w:t>
      </w:r>
    </w:p>
    <w:p w14:paraId="424A28D8"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38A3EFAE" wp14:editId="042EA947">
            <wp:extent cx="5929481"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929481" cy="4457700"/>
                    </a:xfrm>
                    <a:prstGeom prst="rect">
                      <a:avLst/>
                    </a:prstGeom>
                    <a:noFill/>
                    <a:ln>
                      <a:noFill/>
                    </a:ln>
                  </pic:spPr>
                </pic:pic>
              </a:graphicData>
            </a:graphic>
          </wp:inline>
        </w:drawing>
      </w:r>
    </w:p>
    <w:p w14:paraId="320DC40E" w14:textId="54363BB6"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3</w:t>
      </w:r>
      <w:r w:rsidRPr="006F159A">
        <w:rPr>
          <w:i w:val="0"/>
          <w:iCs w:val="0"/>
          <w:noProof/>
          <w:color w:val="auto"/>
          <w:sz w:val="24"/>
          <w:szCs w:val="24"/>
        </w:rPr>
        <w:fldChar w:fldCharType="end"/>
      </w:r>
      <w:r w:rsidRPr="006F159A">
        <w:rPr>
          <w:i w:val="0"/>
          <w:iCs w:val="0"/>
          <w:color w:val="auto"/>
          <w:sz w:val="24"/>
          <w:szCs w:val="24"/>
        </w:rPr>
        <w:t xml:space="preserve"> Day and nighttime noise for node station 4013 and corresponding DAS channel up to the Nyquist frequency of the down-sampled DAS and node time series.</w:t>
      </w:r>
    </w:p>
    <w:p w14:paraId="552721E7"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0D20ABB7" wp14:editId="39683152">
            <wp:extent cx="5934075" cy="35098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934075" cy="3509879"/>
                    </a:xfrm>
                    <a:prstGeom prst="rect">
                      <a:avLst/>
                    </a:prstGeom>
                    <a:noFill/>
                    <a:ln>
                      <a:noFill/>
                    </a:ln>
                  </pic:spPr>
                </pic:pic>
              </a:graphicData>
            </a:graphic>
          </wp:inline>
        </w:drawing>
      </w:r>
    </w:p>
    <w:p w14:paraId="594C8C6F" w14:textId="307938F8"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4</w:t>
      </w:r>
      <w:r w:rsidRPr="006F159A">
        <w:rPr>
          <w:i w:val="0"/>
          <w:iCs w:val="0"/>
          <w:noProof/>
          <w:color w:val="auto"/>
          <w:sz w:val="24"/>
          <w:szCs w:val="24"/>
        </w:rPr>
        <w:fldChar w:fldCharType="end"/>
      </w:r>
      <w:r w:rsidRPr="006F159A">
        <w:rPr>
          <w:i w:val="0"/>
          <w:iCs w:val="0"/>
          <w:color w:val="auto"/>
          <w:sz w:val="24"/>
          <w:szCs w:val="24"/>
        </w:rPr>
        <w:t xml:space="preserve"> Deployment duration average noise spectrum of the DAS array for the first 3000 channels and an example 10-minute RMS time series capturing the 2.3 local magnitude earthquake on May 2, 2021.</w:t>
      </w:r>
    </w:p>
    <w:p w14:paraId="68B45F47"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6D38E636" wp14:editId="3AE49423">
            <wp:extent cx="5906171" cy="445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906171" cy="4457700"/>
                    </a:xfrm>
                    <a:prstGeom prst="rect">
                      <a:avLst/>
                    </a:prstGeom>
                    <a:noFill/>
                    <a:ln>
                      <a:noFill/>
                    </a:ln>
                  </pic:spPr>
                </pic:pic>
              </a:graphicData>
            </a:graphic>
          </wp:inline>
        </w:drawing>
      </w:r>
    </w:p>
    <w:p w14:paraId="6AB828A4" w14:textId="39C758CA" w:rsidR="004C3823" w:rsidRPr="006F159A" w:rsidRDefault="004C3823" w:rsidP="005871FB">
      <w:pPr>
        <w:pStyle w:val="Caption"/>
        <w:spacing w:line="48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5</w:t>
      </w:r>
      <w:r w:rsidRPr="006F159A">
        <w:rPr>
          <w:i w:val="0"/>
          <w:iCs w:val="0"/>
          <w:noProof/>
          <w:color w:val="auto"/>
          <w:sz w:val="24"/>
          <w:szCs w:val="24"/>
        </w:rPr>
        <w:fldChar w:fldCharType="end"/>
      </w:r>
      <w:r w:rsidRPr="006F159A">
        <w:rPr>
          <w:i w:val="0"/>
          <w:iCs w:val="0"/>
          <w:color w:val="auto"/>
          <w:sz w:val="24"/>
          <w:szCs w:val="24"/>
        </w:rPr>
        <w:t xml:space="preserve"> RMS of DAS data. Passing vehicles, ambient noise, and a local event are highlighted.</w:t>
      </w:r>
    </w:p>
    <w:p w14:paraId="35FC1377" w14:textId="77777777" w:rsidR="004C3823" w:rsidRPr="00392DD1" w:rsidRDefault="004C3823" w:rsidP="005871FB">
      <w:pPr>
        <w:spacing w:line="480" w:lineRule="auto"/>
        <w:rPr>
          <w:sz w:val="24"/>
          <w:szCs w:val="24"/>
        </w:rPr>
      </w:pPr>
    </w:p>
    <w:p w14:paraId="228387AF"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6E13D98E" wp14:editId="0A8E0A6F">
            <wp:extent cx="5642305" cy="2895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642305" cy="2895600"/>
                    </a:xfrm>
                    <a:prstGeom prst="rect">
                      <a:avLst/>
                    </a:prstGeom>
                    <a:noFill/>
                    <a:ln>
                      <a:noFill/>
                    </a:ln>
                  </pic:spPr>
                </pic:pic>
              </a:graphicData>
            </a:graphic>
          </wp:inline>
        </w:drawing>
      </w:r>
    </w:p>
    <w:p w14:paraId="2AF91B0B" w14:textId="55EAFFCE"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6</w:t>
      </w:r>
      <w:r w:rsidRPr="006F159A">
        <w:rPr>
          <w:i w:val="0"/>
          <w:iCs w:val="0"/>
          <w:noProof/>
          <w:color w:val="auto"/>
          <w:sz w:val="24"/>
          <w:szCs w:val="24"/>
        </w:rPr>
        <w:fldChar w:fldCharType="end"/>
      </w:r>
      <w:r w:rsidRPr="006F159A">
        <w:rPr>
          <w:i w:val="0"/>
          <w:iCs w:val="0"/>
          <w:color w:val="auto"/>
          <w:sz w:val="24"/>
          <w:szCs w:val="24"/>
        </w:rPr>
        <w:t xml:space="preserve"> A waveform comparison of DAS and nodal station 4006. The top is stack DAS, single DAS, and Node. The bottom left is a car signal, the bottom middle is an earthquake, and the bottom right is averaged and smoothed signal spectrum. </w:t>
      </w:r>
    </w:p>
    <w:p w14:paraId="318F4000" w14:textId="77777777" w:rsidR="004C3823" w:rsidRPr="00392DD1" w:rsidRDefault="004C3823" w:rsidP="005871FB">
      <w:pPr>
        <w:spacing w:line="480" w:lineRule="auto"/>
        <w:rPr>
          <w:sz w:val="24"/>
          <w:szCs w:val="24"/>
        </w:rPr>
      </w:pPr>
    </w:p>
    <w:p w14:paraId="5F971305" w14:textId="77777777" w:rsidR="004C3823" w:rsidRPr="00392DD1" w:rsidRDefault="004C3823" w:rsidP="005871FB">
      <w:pPr>
        <w:spacing w:line="480" w:lineRule="auto"/>
        <w:rPr>
          <w:sz w:val="24"/>
          <w:szCs w:val="24"/>
        </w:rPr>
      </w:pPr>
    </w:p>
    <w:p w14:paraId="41C18A8C"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063302E5" wp14:editId="6E02B200">
            <wp:extent cx="5943600" cy="437142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43600" cy="4371421"/>
                    </a:xfrm>
                    <a:prstGeom prst="rect">
                      <a:avLst/>
                    </a:prstGeom>
                    <a:noFill/>
                    <a:ln>
                      <a:noFill/>
                    </a:ln>
                  </pic:spPr>
                </pic:pic>
              </a:graphicData>
            </a:graphic>
          </wp:inline>
        </w:drawing>
      </w:r>
    </w:p>
    <w:p w14:paraId="38ECEDA2" w14:textId="10485084"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7</w:t>
      </w:r>
      <w:r w:rsidRPr="006F159A">
        <w:rPr>
          <w:i w:val="0"/>
          <w:iCs w:val="0"/>
          <w:noProof/>
          <w:color w:val="auto"/>
          <w:sz w:val="24"/>
          <w:szCs w:val="24"/>
        </w:rPr>
        <w:fldChar w:fldCharType="end"/>
      </w:r>
      <w:r w:rsidRPr="006F159A">
        <w:rPr>
          <w:i w:val="0"/>
          <w:iCs w:val="0"/>
          <w:noProof/>
          <w:color w:val="auto"/>
          <w:sz w:val="24"/>
          <w:szCs w:val="24"/>
        </w:rPr>
        <w:t xml:space="preserve"> </w:t>
      </w:r>
      <w:r w:rsidRPr="006F159A">
        <w:rPr>
          <w:i w:val="0"/>
          <w:iCs w:val="0"/>
          <w:color w:val="auto"/>
          <w:sz w:val="24"/>
          <w:szCs w:val="24"/>
        </w:rPr>
        <w:t>A train detection sparse array highlighting sections of both consecutive triggered DAS channels and consecutive time windows with large amplitude signals. An example time series is shown to illustrate a single-channel train signal.</w:t>
      </w:r>
    </w:p>
    <w:p w14:paraId="74653258"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7873ADA5" wp14:editId="08D998B1">
            <wp:extent cx="5387528" cy="55245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387528" cy="5524500"/>
                    </a:xfrm>
                    <a:prstGeom prst="rect">
                      <a:avLst/>
                    </a:prstGeom>
                    <a:noFill/>
                    <a:ln>
                      <a:noFill/>
                    </a:ln>
                  </pic:spPr>
                </pic:pic>
              </a:graphicData>
            </a:graphic>
          </wp:inline>
        </w:drawing>
      </w:r>
    </w:p>
    <w:p w14:paraId="694959A5" w14:textId="248525A3" w:rsidR="004C3823" w:rsidRPr="008B6686" w:rsidRDefault="004C3823" w:rsidP="006F159A">
      <w:pPr>
        <w:pStyle w:val="Caption"/>
        <w:spacing w:line="360" w:lineRule="auto"/>
        <w:rPr>
          <w:i w:val="0"/>
          <w:iCs w:val="0"/>
          <w:color w:val="auto"/>
          <w:sz w:val="24"/>
          <w:szCs w:val="24"/>
        </w:rPr>
      </w:pPr>
      <w:r w:rsidRPr="008B6686">
        <w:rPr>
          <w:i w:val="0"/>
          <w:iCs w:val="0"/>
          <w:color w:val="auto"/>
          <w:sz w:val="24"/>
          <w:szCs w:val="24"/>
        </w:rPr>
        <w:t>Figure 3.</w:t>
      </w:r>
      <w:r w:rsidRPr="008B6686">
        <w:rPr>
          <w:i w:val="0"/>
          <w:iCs w:val="0"/>
          <w:color w:val="auto"/>
          <w:sz w:val="24"/>
          <w:szCs w:val="24"/>
        </w:rPr>
        <w:fldChar w:fldCharType="begin"/>
      </w:r>
      <w:r w:rsidRPr="008B6686">
        <w:rPr>
          <w:i w:val="0"/>
          <w:iCs w:val="0"/>
          <w:color w:val="auto"/>
          <w:sz w:val="24"/>
          <w:szCs w:val="24"/>
        </w:rPr>
        <w:instrText xml:space="preserve"> SEQ Figure \* ARABIC </w:instrText>
      </w:r>
      <w:r w:rsidRPr="008B6686">
        <w:rPr>
          <w:i w:val="0"/>
          <w:iCs w:val="0"/>
          <w:color w:val="auto"/>
          <w:sz w:val="24"/>
          <w:szCs w:val="24"/>
        </w:rPr>
        <w:fldChar w:fldCharType="separate"/>
      </w:r>
      <w:r w:rsidR="00DF2C3F">
        <w:rPr>
          <w:i w:val="0"/>
          <w:iCs w:val="0"/>
          <w:noProof/>
          <w:color w:val="auto"/>
          <w:sz w:val="24"/>
          <w:szCs w:val="24"/>
        </w:rPr>
        <w:t>8</w:t>
      </w:r>
      <w:r w:rsidRPr="008B6686">
        <w:rPr>
          <w:i w:val="0"/>
          <w:iCs w:val="0"/>
          <w:noProof/>
          <w:color w:val="auto"/>
          <w:sz w:val="24"/>
          <w:szCs w:val="24"/>
        </w:rPr>
        <w:fldChar w:fldCharType="end"/>
      </w:r>
      <w:r w:rsidRPr="008B6686">
        <w:rPr>
          <w:i w:val="0"/>
          <w:iCs w:val="0"/>
          <w:noProof/>
          <w:color w:val="auto"/>
          <w:sz w:val="24"/>
          <w:szCs w:val="24"/>
        </w:rPr>
        <w:t xml:space="preserve"> </w:t>
      </w:r>
      <w:r w:rsidRPr="00D76E95">
        <w:rPr>
          <w:i w:val="0"/>
          <w:iCs w:val="0"/>
          <w:color w:val="auto"/>
          <w:sz w:val="24"/>
          <w:szCs w:val="24"/>
        </w:rPr>
        <w:t xml:space="preserve">Example </w:t>
      </w:r>
      <w:proofErr w:type="spellStart"/>
      <w:r w:rsidRPr="00D76E95">
        <w:rPr>
          <w:i w:val="0"/>
          <w:iCs w:val="0"/>
          <w:color w:val="auto"/>
          <w:sz w:val="24"/>
          <w:szCs w:val="24"/>
        </w:rPr>
        <w:t>HVSRpy</w:t>
      </w:r>
      <w:proofErr w:type="spellEnd"/>
      <w:r w:rsidRPr="00D76E95">
        <w:rPr>
          <w:i w:val="0"/>
          <w:iCs w:val="0"/>
          <w:color w:val="auto"/>
          <w:sz w:val="24"/>
          <w:szCs w:val="24"/>
        </w:rPr>
        <w:t xml:space="preserve"> output for station 4006 where time series components and resultant HVSR curve are displayed. Spectral rejection (blue line) is shown here with improvement to standard deviation.</w:t>
      </w:r>
    </w:p>
    <w:p w14:paraId="3E00FC90" w14:textId="77777777" w:rsidR="004C3823" w:rsidRPr="00392DD1" w:rsidRDefault="004C3823" w:rsidP="005871FB">
      <w:pPr>
        <w:spacing w:line="480" w:lineRule="auto"/>
        <w:rPr>
          <w:sz w:val="24"/>
          <w:szCs w:val="24"/>
        </w:rPr>
      </w:pPr>
    </w:p>
    <w:p w14:paraId="46E5F030"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1EC37A9F" wp14:editId="4C43E1B4">
            <wp:extent cx="5943600" cy="3274917"/>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943600" cy="3274917"/>
                    </a:xfrm>
                    <a:prstGeom prst="rect">
                      <a:avLst/>
                    </a:prstGeom>
                    <a:noFill/>
                    <a:ln>
                      <a:noFill/>
                    </a:ln>
                  </pic:spPr>
                </pic:pic>
              </a:graphicData>
            </a:graphic>
          </wp:inline>
        </w:drawing>
      </w:r>
    </w:p>
    <w:p w14:paraId="7E3C2D09" w14:textId="5343B6D2"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9</w:t>
      </w:r>
      <w:r w:rsidRPr="006F159A">
        <w:rPr>
          <w:i w:val="0"/>
          <w:iCs w:val="0"/>
          <w:noProof/>
          <w:color w:val="auto"/>
          <w:sz w:val="24"/>
          <w:szCs w:val="24"/>
        </w:rPr>
        <w:fldChar w:fldCharType="end"/>
      </w:r>
      <w:r w:rsidRPr="006F159A">
        <w:rPr>
          <w:i w:val="0"/>
          <w:iCs w:val="0"/>
          <w:color w:val="auto"/>
          <w:sz w:val="24"/>
          <w:szCs w:val="24"/>
        </w:rPr>
        <w:t xml:space="preserve"> Compilation of HVSR curves for all deployments between 2020 and 2021 as defined by color.</w:t>
      </w:r>
    </w:p>
    <w:p w14:paraId="6598BD09" w14:textId="77777777" w:rsidR="004C3823" w:rsidRPr="00392DD1" w:rsidRDefault="004C3823" w:rsidP="005871FB">
      <w:pPr>
        <w:keepNext/>
        <w:spacing w:line="480" w:lineRule="auto"/>
        <w:rPr>
          <w:sz w:val="24"/>
          <w:szCs w:val="24"/>
        </w:rPr>
      </w:pPr>
      <w:r w:rsidRPr="00392DD1">
        <w:rPr>
          <w:noProof/>
          <w:sz w:val="24"/>
          <w:szCs w:val="24"/>
        </w:rPr>
        <w:lastRenderedPageBreak/>
        <w:drawing>
          <wp:inline distT="0" distB="0" distL="0" distR="0" wp14:anchorId="63369C37" wp14:editId="4113E46A">
            <wp:extent cx="5631185" cy="3295650"/>
            <wp:effectExtent l="0" t="0" r="7620" b="0"/>
            <wp:docPr id="906247000" name="Picture 90624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631185" cy="3295650"/>
                    </a:xfrm>
                    <a:prstGeom prst="rect">
                      <a:avLst/>
                    </a:prstGeom>
                    <a:noFill/>
                    <a:ln>
                      <a:noFill/>
                    </a:ln>
                  </pic:spPr>
                </pic:pic>
              </a:graphicData>
            </a:graphic>
          </wp:inline>
        </w:drawing>
      </w:r>
    </w:p>
    <w:p w14:paraId="2F98EB65" w14:textId="1A9BE9C7" w:rsidR="004C3823" w:rsidRPr="006F159A" w:rsidRDefault="004C3823" w:rsidP="006F159A">
      <w:pPr>
        <w:pStyle w:val="Caption"/>
        <w:spacing w:line="360" w:lineRule="auto"/>
        <w:rPr>
          <w:i w:val="0"/>
          <w:iCs w:val="0"/>
          <w:color w:val="auto"/>
          <w:sz w:val="24"/>
          <w:szCs w:val="24"/>
        </w:rPr>
      </w:pPr>
      <w:r w:rsidRPr="006F159A">
        <w:rPr>
          <w:i w:val="0"/>
          <w:iCs w:val="0"/>
          <w:color w:val="auto"/>
          <w:sz w:val="24"/>
          <w:szCs w:val="24"/>
        </w:rPr>
        <w:t>Figure 3.</w:t>
      </w:r>
      <w:r w:rsidRPr="006F159A">
        <w:rPr>
          <w:i w:val="0"/>
          <w:iCs w:val="0"/>
          <w:color w:val="auto"/>
          <w:sz w:val="24"/>
          <w:szCs w:val="24"/>
        </w:rPr>
        <w:fldChar w:fldCharType="begin"/>
      </w:r>
      <w:r w:rsidRPr="006F159A">
        <w:rPr>
          <w:i w:val="0"/>
          <w:iCs w:val="0"/>
          <w:color w:val="auto"/>
          <w:sz w:val="24"/>
          <w:szCs w:val="24"/>
        </w:rPr>
        <w:instrText xml:space="preserve"> SEQ Figure \* ARABIC </w:instrText>
      </w:r>
      <w:r w:rsidRPr="006F159A">
        <w:rPr>
          <w:i w:val="0"/>
          <w:iCs w:val="0"/>
          <w:color w:val="auto"/>
          <w:sz w:val="24"/>
          <w:szCs w:val="24"/>
        </w:rPr>
        <w:fldChar w:fldCharType="separate"/>
      </w:r>
      <w:r w:rsidR="00DF2C3F">
        <w:rPr>
          <w:i w:val="0"/>
          <w:iCs w:val="0"/>
          <w:noProof/>
          <w:color w:val="auto"/>
          <w:sz w:val="24"/>
          <w:szCs w:val="24"/>
        </w:rPr>
        <w:t>10</w:t>
      </w:r>
      <w:r w:rsidRPr="006F159A">
        <w:rPr>
          <w:i w:val="0"/>
          <w:iCs w:val="0"/>
          <w:noProof/>
          <w:color w:val="auto"/>
          <w:sz w:val="24"/>
          <w:szCs w:val="24"/>
        </w:rPr>
        <w:fldChar w:fldCharType="end"/>
      </w:r>
      <w:r w:rsidRPr="006F159A">
        <w:rPr>
          <w:i w:val="0"/>
          <w:iCs w:val="0"/>
          <w:color w:val="auto"/>
          <w:sz w:val="24"/>
          <w:szCs w:val="24"/>
        </w:rPr>
        <w:t xml:space="preserve"> Interpreted geologic structure layers from forward modeling of the HVSR curves using an estimated velocity model to determine depth. The estimated fundamental frequency interpreted depth is shown as a green line and secondary frequency peaks are used to generate deeper interpreted structures (black lines).  </w:t>
      </w:r>
    </w:p>
    <w:p w14:paraId="188B5577" w14:textId="77777777" w:rsidR="004C3823" w:rsidRDefault="004C3823" w:rsidP="005871FB">
      <w:pPr>
        <w:spacing w:line="480" w:lineRule="auto"/>
      </w:pPr>
    </w:p>
    <w:p w14:paraId="345A6C8E" w14:textId="77777777" w:rsidR="004C3823" w:rsidRDefault="004C3823" w:rsidP="005871FB">
      <w:pPr>
        <w:spacing w:line="480" w:lineRule="auto"/>
      </w:pPr>
    </w:p>
    <w:p w14:paraId="0C035184" w14:textId="77777777" w:rsidR="004C3823" w:rsidRDefault="004C3823" w:rsidP="005871FB">
      <w:pPr>
        <w:spacing w:line="480" w:lineRule="auto"/>
      </w:pPr>
    </w:p>
    <w:p w14:paraId="765AE4D4" w14:textId="77777777" w:rsidR="004C3823" w:rsidRDefault="004C3823" w:rsidP="005871FB">
      <w:pPr>
        <w:spacing w:line="480" w:lineRule="auto"/>
      </w:pPr>
    </w:p>
    <w:p w14:paraId="18099BD8" w14:textId="77777777" w:rsidR="004C3823" w:rsidRDefault="004C3823" w:rsidP="005871FB">
      <w:pPr>
        <w:spacing w:line="480" w:lineRule="auto"/>
      </w:pPr>
    </w:p>
    <w:p w14:paraId="43AC66A4" w14:textId="77777777" w:rsidR="004C3823" w:rsidRDefault="004C3823" w:rsidP="005871FB">
      <w:pPr>
        <w:spacing w:line="480" w:lineRule="auto"/>
      </w:pPr>
    </w:p>
    <w:p w14:paraId="47EA6BC2" w14:textId="77777777" w:rsidR="004C3823" w:rsidRDefault="004C3823" w:rsidP="005871FB">
      <w:pPr>
        <w:spacing w:line="480" w:lineRule="auto"/>
      </w:pPr>
    </w:p>
    <w:p w14:paraId="0734C493" w14:textId="77777777" w:rsidR="004C3823" w:rsidRDefault="004C3823" w:rsidP="005871FB">
      <w:pPr>
        <w:spacing w:line="480" w:lineRule="auto"/>
      </w:pPr>
    </w:p>
    <w:p w14:paraId="0E65FFBE" w14:textId="77777777" w:rsidR="004C3823" w:rsidRPr="005871FB" w:rsidRDefault="004C3823" w:rsidP="005871FB">
      <w:pPr>
        <w:spacing w:line="480" w:lineRule="auto"/>
        <w:rPr>
          <w:rFonts w:cstheme="minorHAnsi"/>
          <w:sz w:val="24"/>
          <w:szCs w:val="24"/>
        </w:rPr>
      </w:pPr>
      <w:r w:rsidRPr="008B6686">
        <w:rPr>
          <w:rFonts w:cstheme="minorHAnsi"/>
          <w:b/>
          <w:bCs/>
          <w:sz w:val="24"/>
          <w:szCs w:val="24"/>
        </w:rPr>
        <w:lastRenderedPageBreak/>
        <w:t xml:space="preserve">References: </w:t>
      </w:r>
    </w:p>
    <w:p w14:paraId="7A10C24F"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Abbott, J. (2005). Understanding and managing the unknown: The nature of uncertainty in planning. Journal of Planning Education and Research, 24(3), 237-251.</w:t>
      </w:r>
    </w:p>
    <w:p w14:paraId="6FFB49EE"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Albarello, D., </w:t>
      </w:r>
      <w:proofErr w:type="spellStart"/>
      <w:r w:rsidRPr="00B6785D">
        <w:rPr>
          <w:rFonts w:cstheme="minorHAnsi"/>
          <w:sz w:val="24"/>
          <w:szCs w:val="24"/>
        </w:rPr>
        <w:t>Cesi</w:t>
      </w:r>
      <w:proofErr w:type="spellEnd"/>
      <w:r w:rsidRPr="00B6785D">
        <w:rPr>
          <w:rFonts w:cstheme="minorHAnsi"/>
          <w:sz w:val="24"/>
          <w:szCs w:val="24"/>
        </w:rPr>
        <w:t xml:space="preserve">, C., </w:t>
      </w:r>
      <w:proofErr w:type="spellStart"/>
      <w:r w:rsidRPr="00B6785D">
        <w:rPr>
          <w:rFonts w:cstheme="minorHAnsi"/>
          <w:sz w:val="24"/>
          <w:szCs w:val="24"/>
        </w:rPr>
        <w:t>Eulilli</w:t>
      </w:r>
      <w:proofErr w:type="spellEnd"/>
      <w:r w:rsidRPr="00B6785D">
        <w:rPr>
          <w:rFonts w:cstheme="minorHAnsi"/>
          <w:sz w:val="24"/>
          <w:szCs w:val="24"/>
        </w:rPr>
        <w:t xml:space="preserve">, V., Guerrini, F., </w:t>
      </w:r>
      <w:proofErr w:type="spellStart"/>
      <w:r w:rsidRPr="00B6785D">
        <w:rPr>
          <w:rFonts w:cstheme="minorHAnsi"/>
          <w:sz w:val="24"/>
          <w:szCs w:val="24"/>
        </w:rPr>
        <w:t>Lunedei</w:t>
      </w:r>
      <w:proofErr w:type="spellEnd"/>
      <w:r w:rsidRPr="00B6785D">
        <w:rPr>
          <w:rFonts w:cstheme="minorHAnsi"/>
          <w:sz w:val="24"/>
          <w:szCs w:val="24"/>
        </w:rPr>
        <w:t xml:space="preserve">, E., Paolucci, E., ... &amp; </w:t>
      </w:r>
      <w:proofErr w:type="spellStart"/>
      <w:r w:rsidRPr="00B6785D">
        <w:rPr>
          <w:rFonts w:cstheme="minorHAnsi"/>
          <w:sz w:val="24"/>
          <w:szCs w:val="24"/>
        </w:rPr>
        <w:t>Puzzilli</w:t>
      </w:r>
      <w:proofErr w:type="spellEnd"/>
      <w:r w:rsidRPr="00B6785D">
        <w:rPr>
          <w:rFonts w:cstheme="minorHAnsi"/>
          <w:sz w:val="24"/>
          <w:szCs w:val="24"/>
        </w:rPr>
        <w:t xml:space="preserve">, L. M. (2011). The contribution of the ambient vibration prospecting in seismic microzoning: an example from the area damaged by the April 6, </w:t>
      </w:r>
      <w:proofErr w:type="gramStart"/>
      <w:r w:rsidRPr="00B6785D">
        <w:rPr>
          <w:rFonts w:cstheme="minorHAnsi"/>
          <w:sz w:val="24"/>
          <w:szCs w:val="24"/>
        </w:rPr>
        <w:t>2009</w:t>
      </w:r>
      <w:proofErr w:type="gramEnd"/>
      <w:r w:rsidRPr="00B6785D">
        <w:rPr>
          <w:rFonts w:cstheme="minorHAnsi"/>
          <w:sz w:val="24"/>
          <w:szCs w:val="24"/>
        </w:rPr>
        <w:t xml:space="preserve"> L’Aquila (Italy) earthquake. Boll. Geof. </w:t>
      </w:r>
      <w:proofErr w:type="spellStart"/>
      <w:r w:rsidRPr="00B6785D">
        <w:rPr>
          <w:rFonts w:cstheme="minorHAnsi"/>
          <w:sz w:val="24"/>
          <w:szCs w:val="24"/>
        </w:rPr>
        <w:t>Teor</w:t>
      </w:r>
      <w:proofErr w:type="spellEnd"/>
      <w:r w:rsidRPr="00B6785D">
        <w:rPr>
          <w:rFonts w:cstheme="minorHAnsi"/>
          <w:sz w:val="24"/>
          <w:szCs w:val="24"/>
        </w:rPr>
        <w:t>. Appl, 52, 513-538.</w:t>
      </w:r>
    </w:p>
    <w:p w14:paraId="16502BC5"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Amsden, T. W. (1980). Hunton Group (Late Ordovician, Silurian and Early Devonian) in the Arkoma Basin of Oklahoma.</w:t>
      </w:r>
    </w:p>
    <w:p w14:paraId="1CABE53B"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Ansal, A., </w:t>
      </w:r>
      <w:proofErr w:type="spellStart"/>
      <w:r w:rsidRPr="00B6785D">
        <w:rPr>
          <w:rFonts w:cstheme="minorHAnsi"/>
          <w:sz w:val="24"/>
          <w:szCs w:val="24"/>
        </w:rPr>
        <w:t>Tönük</w:t>
      </w:r>
      <w:proofErr w:type="spellEnd"/>
      <w:r w:rsidRPr="00B6785D">
        <w:rPr>
          <w:rFonts w:cstheme="minorHAnsi"/>
          <w:sz w:val="24"/>
          <w:szCs w:val="24"/>
        </w:rPr>
        <w:t xml:space="preserve">, G., &amp; </w:t>
      </w:r>
      <w:proofErr w:type="spellStart"/>
      <w:r w:rsidRPr="00B6785D">
        <w:rPr>
          <w:rFonts w:cstheme="minorHAnsi"/>
          <w:sz w:val="24"/>
          <w:szCs w:val="24"/>
        </w:rPr>
        <w:t>Kurtulucs</w:t>
      </w:r>
      <w:proofErr w:type="spellEnd"/>
      <w:r w:rsidRPr="00B6785D">
        <w:rPr>
          <w:rFonts w:cstheme="minorHAnsi"/>
          <w:sz w:val="24"/>
          <w:szCs w:val="24"/>
        </w:rPr>
        <w:t xml:space="preserve">, A. (2009). </w:t>
      </w:r>
      <w:proofErr w:type="spellStart"/>
      <w:r w:rsidRPr="00B6785D">
        <w:rPr>
          <w:rFonts w:cstheme="minorHAnsi"/>
          <w:sz w:val="24"/>
          <w:szCs w:val="24"/>
        </w:rPr>
        <w:t>Microzonation</w:t>
      </w:r>
      <w:proofErr w:type="spellEnd"/>
      <w:r w:rsidRPr="00B6785D">
        <w:rPr>
          <w:rFonts w:cstheme="minorHAnsi"/>
          <w:sz w:val="24"/>
          <w:szCs w:val="24"/>
        </w:rPr>
        <w:t xml:space="preserve"> for urban planning. Earthquakes and Tsunamis: Civil Engineering Disaster Mitigation Activities Implementing Millennium Development Goals, 133-152.</w:t>
      </w:r>
    </w:p>
    <w:p w14:paraId="0985D8E9"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Bard, P.-Y., &amp; SESAME Participants. (2004). The SESAME project: an overview and main results. proceedings of the 13th world conference on earthquake engineering, Vancouver. earthquake of September 19, 1985. Geophysical Research Letters, 13(6), 593-596.</w:t>
      </w:r>
    </w:p>
    <w:p w14:paraId="6EDF1944"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Bard, P.-Y., </w:t>
      </w:r>
      <w:proofErr w:type="spellStart"/>
      <w:r w:rsidRPr="00B6785D">
        <w:rPr>
          <w:rFonts w:cstheme="minorHAnsi"/>
          <w:sz w:val="24"/>
          <w:szCs w:val="24"/>
        </w:rPr>
        <w:t>Jongmans</w:t>
      </w:r>
      <w:proofErr w:type="spellEnd"/>
      <w:r w:rsidRPr="00B6785D">
        <w:rPr>
          <w:rFonts w:cstheme="minorHAnsi"/>
          <w:sz w:val="24"/>
          <w:szCs w:val="24"/>
        </w:rPr>
        <w:t xml:space="preserve">, D., </w:t>
      </w:r>
      <w:proofErr w:type="spellStart"/>
      <w:r w:rsidRPr="00B6785D">
        <w:rPr>
          <w:rFonts w:cstheme="minorHAnsi"/>
          <w:sz w:val="24"/>
          <w:szCs w:val="24"/>
        </w:rPr>
        <w:t>Ohrnberger</w:t>
      </w:r>
      <w:proofErr w:type="spellEnd"/>
      <w:r w:rsidRPr="00B6785D">
        <w:rPr>
          <w:rFonts w:cstheme="minorHAnsi"/>
          <w:sz w:val="24"/>
          <w:szCs w:val="24"/>
        </w:rPr>
        <w:t xml:space="preserve">, M., &amp; Wathelet, M. (2005). Site effects assessment using ambient excitations (SESAME). </w:t>
      </w:r>
      <w:proofErr w:type="spellStart"/>
      <w:r w:rsidRPr="00B6785D">
        <w:rPr>
          <w:rFonts w:cstheme="minorHAnsi"/>
          <w:sz w:val="24"/>
          <w:szCs w:val="24"/>
        </w:rPr>
        <w:t>Europeam</w:t>
      </w:r>
      <w:proofErr w:type="spellEnd"/>
      <w:r w:rsidRPr="00B6785D">
        <w:rPr>
          <w:rFonts w:cstheme="minorHAnsi"/>
          <w:sz w:val="24"/>
          <w:szCs w:val="24"/>
        </w:rPr>
        <w:t xml:space="preserve"> Commission - Research General Directorate, Final </w:t>
      </w:r>
      <w:proofErr w:type="gramStart"/>
      <w:r w:rsidRPr="00B6785D">
        <w:rPr>
          <w:rFonts w:cstheme="minorHAnsi"/>
          <w:sz w:val="24"/>
          <w:szCs w:val="24"/>
        </w:rPr>
        <w:t>Repo(</w:t>
      </w:r>
      <w:proofErr w:type="gramEnd"/>
      <w:r w:rsidRPr="00B6785D">
        <w:rPr>
          <w:rFonts w:cstheme="minorHAnsi"/>
          <w:sz w:val="24"/>
          <w:szCs w:val="24"/>
        </w:rPr>
        <w:t>Project No. EVG1-CT-2000-00026 SESAME).</w:t>
      </w:r>
    </w:p>
    <w:p w14:paraId="7FD92F80"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Beck, J. L., &amp; Hall, J. F. (1986). Factors contributing to the catastrophe in Mexico City during the </w:t>
      </w:r>
    </w:p>
    <w:p w14:paraId="4A002D9F"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Behm, M., Cheng, F., Patterson, A., &amp; </w:t>
      </w:r>
      <w:proofErr w:type="spellStart"/>
      <w:r w:rsidRPr="00B6785D">
        <w:rPr>
          <w:rFonts w:cstheme="minorHAnsi"/>
          <w:sz w:val="24"/>
          <w:szCs w:val="24"/>
        </w:rPr>
        <w:t>Soreghan</w:t>
      </w:r>
      <w:proofErr w:type="spellEnd"/>
      <w:r w:rsidRPr="00B6785D">
        <w:rPr>
          <w:rFonts w:cstheme="minorHAnsi"/>
          <w:sz w:val="24"/>
          <w:szCs w:val="24"/>
        </w:rPr>
        <w:t xml:space="preserve">, G. S. (2019). Passive processing of active nodal seismic data: estimation of VP/VS ratios to characterize structure and hydrology of an&lt;? </w:t>
      </w:r>
      <w:proofErr w:type="spellStart"/>
      <w:r w:rsidRPr="00B6785D">
        <w:rPr>
          <w:rFonts w:cstheme="minorHAnsi"/>
          <w:sz w:val="24"/>
          <w:szCs w:val="24"/>
        </w:rPr>
        <w:t>xmltex</w:t>
      </w:r>
      <w:proofErr w:type="spellEnd"/>
      <w:r w:rsidRPr="00B6785D">
        <w:rPr>
          <w:rFonts w:cstheme="minorHAnsi"/>
          <w:sz w:val="24"/>
          <w:szCs w:val="24"/>
        </w:rPr>
        <w:t>\break?&gt; alpine valley infill. Solid Earth, 10(4), 1337-1354.</w:t>
      </w:r>
    </w:p>
    <w:p w14:paraId="03E30ACD"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Benioff, H. (1949). Seismic evidence for the fault origin of oceanic deeps. Geological Society of America Bulletin, 60(12), 1837-1856.</w:t>
      </w:r>
    </w:p>
    <w:p w14:paraId="38220C60"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lastRenderedPageBreak/>
        <w:t xml:space="preserve">Bensen, G. D., </w:t>
      </w:r>
      <w:proofErr w:type="spellStart"/>
      <w:r w:rsidRPr="00B6785D">
        <w:rPr>
          <w:rFonts w:cstheme="minorHAnsi"/>
          <w:sz w:val="24"/>
          <w:szCs w:val="24"/>
        </w:rPr>
        <w:t>Ritzwoller</w:t>
      </w:r>
      <w:proofErr w:type="spellEnd"/>
      <w:r w:rsidRPr="00B6785D">
        <w:rPr>
          <w:rFonts w:cstheme="minorHAnsi"/>
          <w:sz w:val="24"/>
          <w:szCs w:val="24"/>
        </w:rPr>
        <w:t xml:space="preserve">, M. H., </w:t>
      </w:r>
      <w:proofErr w:type="spellStart"/>
      <w:r w:rsidRPr="00B6785D">
        <w:rPr>
          <w:rFonts w:cstheme="minorHAnsi"/>
          <w:sz w:val="24"/>
          <w:szCs w:val="24"/>
        </w:rPr>
        <w:t>Barmin</w:t>
      </w:r>
      <w:proofErr w:type="spellEnd"/>
      <w:r w:rsidRPr="00B6785D">
        <w:rPr>
          <w:rFonts w:cstheme="minorHAnsi"/>
          <w:sz w:val="24"/>
          <w:szCs w:val="24"/>
        </w:rPr>
        <w:t xml:space="preserve">, M. P., </w:t>
      </w:r>
      <w:proofErr w:type="spellStart"/>
      <w:r w:rsidRPr="00B6785D">
        <w:rPr>
          <w:rFonts w:cstheme="minorHAnsi"/>
          <w:sz w:val="24"/>
          <w:szCs w:val="24"/>
        </w:rPr>
        <w:t>Levshin</w:t>
      </w:r>
      <w:proofErr w:type="spellEnd"/>
      <w:r w:rsidRPr="00B6785D">
        <w:rPr>
          <w:rFonts w:cstheme="minorHAnsi"/>
          <w:sz w:val="24"/>
          <w:szCs w:val="24"/>
        </w:rPr>
        <w:t xml:space="preserve">, A. L., Lin, F., Moschetti, M. P., ... &amp; Yang, Y. (2007). Processing seismic ambient noise data to obtain reliable broad-band surface wave dispersion measurements. Geophysical journal international, 169(3), 1239-1260. </w:t>
      </w:r>
    </w:p>
    <w:p w14:paraId="0D4197AB"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Berendsen, P., &amp; Blair, K. P. (1986). Subsurface structural maps over the Central North American rift system (CNARS), central Kansas, with discussion (Vol. 8). Kansas Geological Survey.</w:t>
      </w:r>
    </w:p>
    <w:p w14:paraId="286437F7"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Beresnev</w:t>
      </w:r>
      <w:proofErr w:type="spellEnd"/>
      <w:r w:rsidRPr="00B6785D">
        <w:rPr>
          <w:rFonts w:cstheme="minorHAnsi"/>
          <w:sz w:val="24"/>
          <w:szCs w:val="24"/>
        </w:rPr>
        <w:t>, I. A., Atkinson, G. M., Johnson, P. A., &amp; Field, E. H. (1998). Stochastic finite-fault modeling of ground motions from the 1994 Northridge, California, earthquake. II. Widespread nonlinear response at soil sites. Bulletin of the Seismological Society of America, 88(6), 1402-1410.</w:t>
      </w:r>
    </w:p>
    <w:p w14:paraId="27C3C517"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Boyd, R. W. (2020). Nonlinear optics. Academic press.</w:t>
      </w:r>
    </w:p>
    <w:p w14:paraId="1C6CCC57"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Busanus</w:t>
      </w:r>
      <w:proofErr w:type="spellEnd"/>
      <w:r w:rsidRPr="00B6785D">
        <w:rPr>
          <w:rFonts w:cstheme="minorHAnsi"/>
          <w:sz w:val="24"/>
          <w:szCs w:val="24"/>
        </w:rPr>
        <w:t>, J. W. (1987). The Misener Strike-Valley Sandstone Reservoir, Grant and Garfield Counties, Oklahoma.</w:t>
      </w:r>
    </w:p>
    <w:p w14:paraId="14E7D5F0"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Cara, F., Di Giulio, G., Milana, G., Bordoni, P., Haines, J., &amp; Rovelli, A. (2010). On the stability and reproducibility of the horizontal-to-vertical spectral ratios on ambient noise: the case study of </w:t>
      </w:r>
      <w:proofErr w:type="spellStart"/>
      <w:r w:rsidRPr="00B6785D">
        <w:rPr>
          <w:rFonts w:cstheme="minorHAnsi"/>
          <w:sz w:val="24"/>
          <w:szCs w:val="24"/>
        </w:rPr>
        <w:t>Cavola</w:t>
      </w:r>
      <w:proofErr w:type="spellEnd"/>
      <w:r w:rsidRPr="00B6785D">
        <w:rPr>
          <w:rFonts w:cstheme="minorHAnsi"/>
          <w:sz w:val="24"/>
          <w:szCs w:val="24"/>
        </w:rPr>
        <w:t>, northern Italy. Bulletin of the Seismological Society of America, 100(3), 1263—-1275.</w:t>
      </w:r>
    </w:p>
    <w:p w14:paraId="1D0711BC"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Cary, L. W. (1955). The Subsurface Geology of the Garber Area, Garfield County, Oklahoma.</w:t>
      </w:r>
    </w:p>
    <w:p w14:paraId="33401FF5"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Caylor, J. W. (1958). Subsurface geology of western Garfield County, Oklahoma.</w:t>
      </w:r>
    </w:p>
    <w:p w14:paraId="3E16B87F"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Chatelain, J. L., </w:t>
      </w:r>
      <w:proofErr w:type="spellStart"/>
      <w:r w:rsidRPr="00B6785D">
        <w:rPr>
          <w:rFonts w:cstheme="minorHAnsi"/>
          <w:sz w:val="24"/>
          <w:szCs w:val="24"/>
        </w:rPr>
        <w:t>Guillier</w:t>
      </w:r>
      <w:proofErr w:type="spellEnd"/>
      <w:r w:rsidRPr="00B6785D">
        <w:rPr>
          <w:rFonts w:cstheme="minorHAnsi"/>
          <w:sz w:val="24"/>
          <w:szCs w:val="24"/>
        </w:rPr>
        <w:t>, B., Cara, F., Duval, A. M., Atakan, K., Bard, P. Y., &amp; Wp02 Sesame Team. (2008). Evaluation of the influence of experimental conditions on H/V results from ambient noise recordings. Bulletin of Earthquake Engineering, 6, 33-74.</w:t>
      </w:r>
    </w:p>
    <w:p w14:paraId="08B0A659"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Cheng, F., Xia, J., Behm, M., Hu, Y., &amp; Pang, J. (2019). Automated data selection in the Tau–p domain: Application to passive surface wave imaging. Surveys in Geophysics, 40, 1211-1228.</w:t>
      </w:r>
    </w:p>
    <w:p w14:paraId="7BEA5F5F"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Cheng, T., Hallal, M. M., Vantassel, J. P., &amp; Cox, B. R. (2021). Estimating unbiased statistics for fundamental site frequency using spatially distributed HVSR measurements and Voronoi </w:t>
      </w:r>
      <w:r w:rsidRPr="00B6785D">
        <w:rPr>
          <w:rFonts w:cstheme="minorHAnsi"/>
          <w:sz w:val="24"/>
          <w:szCs w:val="24"/>
        </w:rPr>
        <w:lastRenderedPageBreak/>
        <w:t xml:space="preserve">tessellation. Journal of Geotechnical and </w:t>
      </w:r>
      <w:proofErr w:type="spellStart"/>
      <w:r w:rsidRPr="00B6785D">
        <w:rPr>
          <w:rFonts w:cstheme="minorHAnsi"/>
          <w:sz w:val="24"/>
          <w:szCs w:val="24"/>
        </w:rPr>
        <w:t>Geoenvironmental</w:t>
      </w:r>
      <w:proofErr w:type="spellEnd"/>
      <w:r w:rsidRPr="00B6785D">
        <w:rPr>
          <w:rFonts w:cstheme="minorHAnsi"/>
          <w:sz w:val="24"/>
          <w:szCs w:val="24"/>
        </w:rPr>
        <w:t xml:space="preserve"> Engineering, 147(8), 04021068.</w:t>
      </w:r>
    </w:p>
    <w:p w14:paraId="6959C4CF"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Conway, C., &amp; </w:t>
      </w:r>
      <w:proofErr w:type="spellStart"/>
      <w:r w:rsidRPr="00B6785D">
        <w:rPr>
          <w:rFonts w:cstheme="minorHAnsi"/>
          <w:sz w:val="24"/>
          <w:szCs w:val="24"/>
        </w:rPr>
        <w:t>Mondanos</w:t>
      </w:r>
      <w:proofErr w:type="spellEnd"/>
      <w:r w:rsidRPr="00B6785D">
        <w:rPr>
          <w:rFonts w:cstheme="minorHAnsi"/>
          <w:sz w:val="24"/>
          <w:szCs w:val="24"/>
        </w:rPr>
        <w:t xml:space="preserve">, M. (2015, June). An introduction to </w:t>
      </w:r>
      <w:proofErr w:type="spellStart"/>
      <w:r w:rsidRPr="00B6785D">
        <w:rPr>
          <w:rFonts w:cstheme="minorHAnsi"/>
          <w:sz w:val="24"/>
          <w:szCs w:val="24"/>
        </w:rPr>
        <w:t>fibre</w:t>
      </w:r>
      <w:proofErr w:type="spellEnd"/>
      <w:r w:rsidRPr="00B6785D">
        <w:rPr>
          <w:rFonts w:cstheme="minorHAnsi"/>
          <w:sz w:val="24"/>
          <w:szCs w:val="24"/>
        </w:rPr>
        <w:t xml:space="preserve"> optic Intelligent Distributed Acoustic Sensing (</w:t>
      </w:r>
      <w:proofErr w:type="spellStart"/>
      <w:r w:rsidRPr="00B6785D">
        <w:rPr>
          <w:rFonts w:cstheme="minorHAnsi"/>
          <w:sz w:val="24"/>
          <w:szCs w:val="24"/>
        </w:rPr>
        <w:t>iDAS</w:t>
      </w:r>
      <w:proofErr w:type="spellEnd"/>
      <w:r w:rsidRPr="00B6785D">
        <w:rPr>
          <w:rFonts w:cstheme="minorHAnsi"/>
          <w:sz w:val="24"/>
          <w:szCs w:val="24"/>
        </w:rPr>
        <w:t>) technology for power industry applications. In 9th International Conference on Insulated Power Cables, Jicable15—Versailles Jun (pp. 21-25).</w:t>
      </w:r>
    </w:p>
    <w:p w14:paraId="33E0186F"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Dolton, G. L., &amp; Finn, T. M. (1989). </w:t>
      </w:r>
      <w:proofErr w:type="gramStart"/>
      <w:r w:rsidRPr="00B6785D">
        <w:rPr>
          <w:rFonts w:cstheme="minorHAnsi"/>
          <w:sz w:val="24"/>
          <w:szCs w:val="24"/>
        </w:rPr>
        <w:t>Petroleum</w:t>
      </w:r>
      <w:proofErr w:type="gramEnd"/>
      <w:r w:rsidRPr="00B6785D">
        <w:rPr>
          <w:rFonts w:cstheme="minorHAnsi"/>
          <w:sz w:val="24"/>
          <w:szCs w:val="24"/>
        </w:rPr>
        <w:t xml:space="preserve"> geology of the Nemaha uplift, central midcontinent. US Geological Survey Open-File Report, 88, 1-18.</w:t>
      </w:r>
    </w:p>
    <w:p w14:paraId="37162EFE"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Dougherty, S. L., Cochran, E. S., &amp; Harrington, R. M. (2019). The Large‐N seismic survey in Oklahoma (LASSO) experiment. Seismological Research Letters, 90(5), 2051-2057.</w:t>
      </w:r>
    </w:p>
    <w:p w14:paraId="6915A9DA"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Dziewonski</w:t>
      </w:r>
      <w:proofErr w:type="spellEnd"/>
      <w:r w:rsidRPr="00B6785D">
        <w:rPr>
          <w:rFonts w:cstheme="minorHAnsi"/>
          <w:sz w:val="24"/>
          <w:szCs w:val="24"/>
        </w:rPr>
        <w:t>, A. M., &amp; Anderson, D. L. (1981). Preliminary reference Earth model. Physics of the earth and planetary interiors, 25(4), 297-356.</w:t>
      </w:r>
    </w:p>
    <w:p w14:paraId="7F21F964"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Ellsworth, W. L. (2013). Injection-induced earthquakes. Science, 341(6142), 1225942.</w:t>
      </w:r>
    </w:p>
    <w:p w14:paraId="5569726E"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Fairfield Nodal (2017). </w:t>
      </w:r>
      <w:proofErr w:type="spellStart"/>
      <w:r w:rsidRPr="00B6785D">
        <w:rPr>
          <w:rFonts w:cstheme="minorHAnsi"/>
          <w:sz w:val="24"/>
          <w:szCs w:val="24"/>
        </w:rPr>
        <w:t>ZLand</w:t>
      </w:r>
      <w:proofErr w:type="spellEnd"/>
      <w:r w:rsidRPr="00B6785D">
        <w:rPr>
          <w:rFonts w:cstheme="minorHAnsi"/>
          <w:sz w:val="24"/>
          <w:szCs w:val="24"/>
        </w:rPr>
        <w:t xml:space="preserve"> 3C Node Specifications, available at http:// fairfieldnodal.com/equipment/</w:t>
      </w:r>
      <w:proofErr w:type="spellStart"/>
      <w:r w:rsidRPr="00B6785D">
        <w:rPr>
          <w:rFonts w:cstheme="minorHAnsi"/>
          <w:sz w:val="24"/>
          <w:szCs w:val="24"/>
        </w:rPr>
        <w:t>zland</w:t>
      </w:r>
      <w:proofErr w:type="spellEnd"/>
      <w:r w:rsidRPr="00B6785D">
        <w:rPr>
          <w:rFonts w:cstheme="minorHAnsi"/>
          <w:sz w:val="24"/>
          <w:szCs w:val="24"/>
        </w:rPr>
        <w:t>/</w:t>
      </w:r>
      <w:proofErr w:type="spellStart"/>
      <w:r w:rsidRPr="00B6785D">
        <w:rPr>
          <w:rFonts w:cstheme="minorHAnsi"/>
          <w:sz w:val="24"/>
          <w:szCs w:val="24"/>
        </w:rPr>
        <w:t>zland</w:t>
      </w:r>
      <w:proofErr w:type="spellEnd"/>
      <w:r w:rsidRPr="00B6785D">
        <w:rPr>
          <w:rFonts w:cstheme="minorHAnsi"/>
          <w:sz w:val="24"/>
          <w:szCs w:val="24"/>
        </w:rPr>
        <w:t xml:space="preserve"> specs (last accessed November 2017).</w:t>
      </w:r>
    </w:p>
    <w:p w14:paraId="4957BE9A"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Farahani, M. A., &amp; </w:t>
      </w:r>
      <w:proofErr w:type="spellStart"/>
      <w:r w:rsidRPr="00B6785D">
        <w:rPr>
          <w:rFonts w:cstheme="minorHAnsi"/>
          <w:sz w:val="24"/>
          <w:szCs w:val="24"/>
        </w:rPr>
        <w:t>Gogolla</w:t>
      </w:r>
      <w:proofErr w:type="spellEnd"/>
      <w:r w:rsidRPr="00B6785D">
        <w:rPr>
          <w:rFonts w:cstheme="minorHAnsi"/>
          <w:sz w:val="24"/>
          <w:szCs w:val="24"/>
        </w:rPr>
        <w:t>, T. (1999). Spontaneous Raman scattering in optical fibers with modulated probe light for distributed temperature Raman remote sensing. Journal of Lightwave Technology, 17(8), 1379.</w:t>
      </w:r>
    </w:p>
    <w:p w14:paraId="4637EF37"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Fath, A. E. (1920). The Origin of the Faults, Anticlines, and Buried" granite Ridge" of the Northern Part of the Mid-continent Oil and Gas </w:t>
      </w:r>
      <w:proofErr w:type="gramStart"/>
      <w:r w:rsidRPr="00B6785D">
        <w:rPr>
          <w:rFonts w:cstheme="minorHAnsi"/>
          <w:sz w:val="24"/>
          <w:szCs w:val="24"/>
        </w:rPr>
        <w:t>Field..</w:t>
      </w:r>
      <w:proofErr w:type="gramEnd"/>
      <w:r w:rsidRPr="00B6785D">
        <w:rPr>
          <w:rFonts w:cstheme="minorHAnsi"/>
          <w:sz w:val="24"/>
          <w:szCs w:val="24"/>
        </w:rPr>
        <w:t xml:space="preserve"> (Vol. 128). University of Chicago.</w:t>
      </w:r>
    </w:p>
    <w:p w14:paraId="6AE0DF94"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Flores-Estrella, H., </w:t>
      </w:r>
      <w:proofErr w:type="spellStart"/>
      <w:r w:rsidRPr="00B6785D">
        <w:rPr>
          <w:rFonts w:cstheme="minorHAnsi"/>
          <w:sz w:val="24"/>
          <w:szCs w:val="24"/>
        </w:rPr>
        <w:t>Yussim</w:t>
      </w:r>
      <w:proofErr w:type="spellEnd"/>
      <w:r w:rsidRPr="00B6785D">
        <w:rPr>
          <w:rFonts w:cstheme="minorHAnsi"/>
          <w:sz w:val="24"/>
          <w:szCs w:val="24"/>
        </w:rPr>
        <w:t xml:space="preserve">, S., &amp; </w:t>
      </w:r>
      <w:proofErr w:type="spellStart"/>
      <w:r w:rsidRPr="00B6785D">
        <w:rPr>
          <w:rFonts w:cstheme="minorHAnsi"/>
          <w:sz w:val="24"/>
          <w:szCs w:val="24"/>
        </w:rPr>
        <w:t>Lomnitz</w:t>
      </w:r>
      <w:proofErr w:type="spellEnd"/>
      <w:r w:rsidRPr="00B6785D">
        <w:rPr>
          <w:rFonts w:cstheme="minorHAnsi"/>
          <w:sz w:val="24"/>
          <w:szCs w:val="24"/>
        </w:rPr>
        <w:t>, C. (2007). Seismic response of the Mexico City Basin: A review of twenty years of research. Natural Hazards, 40(2), 357.</w:t>
      </w:r>
    </w:p>
    <w:p w14:paraId="4FEE1F5C"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Frankel, A. D., Carver, D. L., &amp; Williams, R. A. (2002). Nonlinear and linear site response and basin effects in Seattle for the M 6.8 Nisqually, Washington, earthquake. Bulletin of the Seismological Society of America, 92(6), 2090-2109.</w:t>
      </w:r>
    </w:p>
    <w:p w14:paraId="7D35EA27"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lastRenderedPageBreak/>
        <w:t>Guillier</w:t>
      </w:r>
      <w:proofErr w:type="spellEnd"/>
      <w:r w:rsidRPr="00B6785D">
        <w:rPr>
          <w:rFonts w:cstheme="minorHAnsi"/>
          <w:sz w:val="24"/>
          <w:szCs w:val="24"/>
        </w:rPr>
        <w:t xml:space="preserve">, B., Chatelain, J.-L., Bonnefoy-Claudet, S., &amp; </w:t>
      </w:r>
      <w:proofErr w:type="spellStart"/>
      <w:r w:rsidRPr="00B6785D">
        <w:rPr>
          <w:rFonts w:cstheme="minorHAnsi"/>
          <w:sz w:val="24"/>
          <w:szCs w:val="24"/>
        </w:rPr>
        <w:t>Haghshenas</w:t>
      </w:r>
      <w:proofErr w:type="spellEnd"/>
      <w:r w:rsidRPr="00B6785D">
        <w:rPr>
          <w:rFonts w:cstheme="minorHAnsi"/>
          <w:sz w:val="24"/>
          <w:szCs w:val="24"/>
        </w:rPr>
        <w:t xml:space="preserve">, E. (2007). Use of Ambient </w:t>
      </w:r>
      <w:proofErr w:type="gramStart"/>
      <w:r w:rsidRPr="00B6785D">
        <w:rPr>
          <w:rFonts w:cstheme="minorHAnsi"/>
          <w:sz w:val="24"/>
          <w:szCs w:val="24"/>
        </w:rPr>
        <w:t>Noise :</w:t>
      </w:r>
      <w:proofErr w:type="gramEnd"/>
      <w:r w:rsidRPr="00B6785D">
        <w:rPr>
          <w:rFonts w:cstheme="minorHAnsi"/>
          <w:sz w:val="24"/>
          <w:szCs w:val="24"/>
        </w:rPr>
        <w:t xml:space="preserve"> From Spectral Amplitude Variability to H / V Stability. Journal of Earthquake Engineering, 11(6), 925–942. </w:t>
      </w:r>
      <w:proofErr w:type="spellStart"/>
      <w:r w:rsidRPr="00B6785D">
        <w:rPr>
          <w:rFonts w:cstheme="minorHAnsi"/>
          <w:sz w:val="24"/>
          <w:szCs w:val="24"/>
        </w:rPr>
        <w:t>doi</w:t>
      </w:r>
      <w:proofErr w:type="spellEnd"/>
      <w:r w:rsidRPr="00B6785D">
        <w:rPr>
          <w:rFonts w:cstheme="minorHAnsi"/>
          <w:sz w:val="24"/>
          <w:szCs w:val="24"/>
        </w:rPr>
        <w:t>: 10.1080/13632460701457249</w:t>
      </w:r>
    </w:p>
    <w:p w14:paraId="1864E34A"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Hannemann, K., </w:t>
      </w:r>
      <w:proofErr w:type="spellStart"/>
      <w:r w:rsidRPr="00B6785D">
        <w:rPr>
          <w:rFonts w:cstheme="minorHAnsi"/>
          <w:sz w:val="24"/>
          <w:szCs w:val="24"/>
        </w:rPr>
        <w:t>Papazachos</w:t>
      </w:r>
      <w:proofErr w:type="spellEnd"/>
      <w:r w:rsidRPr="00B6785D">
        <w:rPr>
          <w:rFonts w:cstheme="minorHAnsi"/>
          <w:sz w:val="24"/>
          <w:szCs w:val="24"/>
        </w:rPr>
        <w:t xml:space="preserve">, C., </w:t>
      </w:r>
      <w:proofErr w:type="spellStart"/>
      <w:r w:rsidRPr="00B6785D">
        <w:rPr>
          <w:rFonts w:cstheme="minorHAnsi"/>
          <w:sz w:val="24"/>
          <w:szCs w:val="24"/>
        </w:rPr>
        <w:t>Ohrnberger</w:t>
      </w:r>
      <w:proofErr w:type="spellEnd"/>
      <w:r w:rsidRPr="00B6785D">
        <w:rPr>
          <w:rFonts w:cstheme="minorHAnsi"/>
          <w:sz w:val="24"/>
          <w:szCs w:val="24"/>
        </w:rPr>
        <w:t xml:space="preserve">, M., </w:t>
      </w:r>
      <w:proofErr w:type="spellStart"/>
      <w:r w:rsidRPr="00B6785D">
        <w:rPr>
          <w:rFonts w:cstheme="minorHAnsi"/>
          <w:sz w:val="24"/>
          <w:szCs w:val="24"/>
        </w:rPr>
        <w:t>Savvaidis</w:t>
      </w:r>
      <w:proofErr w:type="spellEnd"/>
      <w:r w:rsidRPr="00B6785D">
        <w:rPr>
          <w:rFonts w:cstheme="minorHAnsi"/>
          <w:sz w:val="24"/>
          <w:szCs w:val="24"/>
        </w:rPr>
        <w:t xml:space="preserve">, A., </w:t>
      </w:r>
      <w:proofErr w:type="spellStart"/>
      <w:r w:rsidRPr="00B6785D">
        <w:rPr>
          <w:rFonts w:cstheme="minorHAnsi"/>
          <w:sz w:val="24"/>
          <w:szCs w:val="24"/>
        </w:rPr>
        <w:t>Anthymidis</w:t>
      </w:r>
      <w:proofErr w:type="spellEnd"/>
      <w:r w:rsidRPr="00B6785D">
        <w:rPr>
          <w:rFonts w:cstheme="minorHAnsi"/>
          <w:sz w:val="24"/>
          <w:szCs w:val="24"/>
        </w:rPr>
        <w:t xml:space="preserve">, M., and Lontsi, A. M.: Three-dimensional shallow structure from high-frequency ambient noise tomography: </w:t>
      </w:r>
      <w:proofErr w:type="gramStart"/>
      <w:r w:rsidRPr="00B6785D">
        <w:rPr>
          <w:rFonts w:cstheme="minorHAnsi"/>
          <w:sz w:val="24"/>
          <w:szCs w:val="24"/>
        </w:rPr>
        <w:t>New</w:t>
      </w:r>
      <w:proofErr w:type="gramEnd"/>
      <w:r w:rsidRPr="00B6785D">
        <w:rPr>
          <w:rFonts w:cstheme="minorHAnsi"/>
          <w:sz w:val="24"/>
          <w:szCs w:val="24"/>
        </w:rPr>
        <w:t xml:space="preserve"> results for the </w:t>
      </w:r>
      <w:proofErr w:type="spellStart"/>
      <w:r w:rsidRPr="00B6785D">
        <w:rPr>
          <w:rFonts w:cstheme="minorHAnsi"/>
          <w:sz w:val="24"/>
          <w:szCs w:val="24"/>
        </w:rPr>
        <w:t>Mygdonia</w:t>
      </w:r>
      <w:proofErr w:type="spellEnd"/>
      <w:r w:rsidRPr="00B6785D">
        <w:rPr>
          <w:rFonts w:cstheme="minorHAnsi"/>
          <w:sz w:val="24"/>
          <w:szCs w:val="24"/>
        </w:rPr>
        <w:t xml:space="preserve"> basin-</w:t>
      </w:r>
      <w:proofErr w:type="spellStart"/>
      <w:r w:rsidRPr="00B6785D">
        <w:rPr>
          <w:rFonts w:cstheme="minorHAnsi"/>
          <w:sz w:val="24"/>
          <w:szCs w:val="24"/>
        </w:rPr>
        <w:t>Euroseistest</w:t>
      </w:r>
      <w:proofErr w:type="spellEnd"/>
      <w:r w:rsidRPr="00B6785D">
        <w:rPr>
          <w:rFonts w:cstheme="minorHAnsi"/>
          <w:sz w:val="24"/>
          <w:szCs w:val="24"/>
        </w:rPr>
        <w:t xml:space="preserve"> area, northern Greece, J. </w:t>
      </w:r>
      <w:proofErr w:type="spellStart"/>
      <w:r w:rsidRPr="00B6785D">
        <w:rPr>
          <w:rFonts w:cstheme="minorHAnsi"/>
          <w:sz w:val="24"/>
          <w:szCs w:val="24"/>
        </w:rPr>
        <w:t>Geophys</w:t>
      </w:r>
      <w:proofErr w:type="spellEnd"/>
      <w:r w:rsidRPr="00B6785D">
        <w:rPr>
          <w:rFonts w:cstheme="minorHAnsi"/>
          <w:sz w:val="24"/>
          <w:szCs w:val="24"/>
        </w:rPr>
        <w:t>. Res, 119, 4979–4999, 2014.</w:t>
      </w:r>
    </w:p>
    <w:p w14:paraId="717050F1"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Hartzell, S., Liu, P., &amp; Mendoza, C. (1996). The 1994 Northridge, California, earthquake: Investigation of rupture velocity, risetime, and high‐frequency radiation. Journal of Geophysical Research: Solid Earth, 101(B9), 20091-20108.</w:t>
      </w:r>
    </w:p>
    <w:p w14:paraId="7CDE1D31"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Hruby, C. E., &amp; </w:t>
      </w:r>
      <w:proofErr w:type="spellStart"/>
      <w:r w:rsidRPr="00B6785D">
        <w:rPr>
          <w:rFonts w:cstheme="minorHAnsi"/>
          <w:sz w:val="24"/>
          <w:szCs w:val="24"/>
        </w:rPr>
        <w:t>Beresnev</w:t>
      </w:r>
      <w:proofErr w:type="spellEnd"/>
      <w:r w:rsidRPr="00B6785D">
        <w:rPr>
          <w:rFonts w:cstheme="minorHAnsi"/>
          <w:sz w:val="24"/>
          <w:szCs w:val="24"/>
        </w:rPr>
        <w:t>, I. A. (2003). Empirical corrections for basin effects in stochastic ground-motion prediction, based on the Los Angeles basin analysis. Bulletin of the Seismological Society of America, 93(4), 1679-1690.</w:t>
      </w:r>
    </w:p>
    <w:p w14:paraId="7012D383"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Imamura, A. (1913). Seismic intensity distribution in Tokyo and Osaka. Report of the Imperial Earthquake Investigation Committee, (77), 17-42.</w:t>
      </w:r>
    </w:p>
    <w:p w14:paraId="1D494C64"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Kagami, H., Okada, S., Shiono, K., Oner, M., </w:t>
      </w:r>
      <w:proofErr w:type="spellStart"/>
      <w:r w:rsidRPr="00B6785D">
        <w:rPr>
          <w:rFonts w:cstheme="minorHAnsi"/>
          <w:sz w:val="24"/>
          <w:szCs w:val="24"/>
        </w:rPr>
        <w:t>Dravinski</w:t>
      </w:r>
      <w:proofErr w:type="spellEnd"/>
      <w:r w:rsidRPr="00B6785D">
        <w:rPr>
          <w:rFonts w:cstheme="minorHAnsi"/>
          <w:sz w:val="24"/>
          <w:szCs w:val="24"/>
        </w:rPr>
        <w:t xml:space="preserve">, M., &amp; Mal, A. K. (1986). Observation of 1-to 5-second microtremors and their application to earthquake engineering. Part III. A two-dimensional study of </w:t>
      </w:r>
      <w:proofErr w:type="spellStart"/>
      <w:r w:rsidRPr="00B6785D">
        <w:rPr>
          <w:rFonts w:cstheme="minorHAnsi"/>
          <w:sz w:val="24"/>
          <w:szCs w:val="24"/>
        </w:rPr>
        <w:t>site</w:t>
      </w:r>
      <w:proofErr w:type="spellEnd"/>
      <w:r w:rsidRPr="00B6785D">
        <w:rPr>
          <w:rFonts w:cstheme="minorHAnsi"/>
          <w:sz w:val="24"/>
          <w:szCs w:val="24"/>
        </w:rPr>
        <w:t xml:space="preserve"> effects in the San Fernando Valley. Bulletin of the Seismological Society of America, 76(6), 1801-1812.</w:t>
      </w:r>
    </w:p>
    <w:p w14:paraId="20045F4A"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Kawase, H., &amp; Aki, K. (1990). Topography effect at the critical SV-wave incidence: possible explanation of damage pattern by the Whittier Narrows, California, earthquake of 1 October 1987. Bulletin of the Seismological Society of America, 80(1), 1-22.</w:t>
      </w:r>
    </w:p>
    <w:p w14:paraId="62C84DE2"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Keranen, K. M., Weingarten, M., Abers, G. A., Bekins, B. A., &amp; Ge, S. (2014). Sharp increase in central Oklahoma seismicity since 2008 induced by massive wastewater injection. Science, 345(6195), 448-451.</w:t>
      </w:r>
    </w:p>
    <w:p w14:paraId="3960B330"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lastRenderedPageBreak/>
        <w:t xml:space="preserve">Larose, E., </w:t>
      </w:r>
      <w:proofErr w:type="spellStart"/>
      <w:r w:rsidRPr="00B6785D">
        <w:rPr>
          <w:rFonts w:cstheme="minorHAnsi"/>
          <w:sz w:val="24"/>
          <w:szCs w:val="24"/>
        </w:rPr>
        <w:t>Carrière</w:t>
      </w:r>
      <w:proofErr w:type="spellEnd"/>
      <w:r w:rsidRPr="00B6785D">
        <w:rPr>
          <w:rFonts w:cstheme="minorHAnsi"/>
          <w:sz w:val="24"/>
          <w:szCs w:val="24"/>
        </w:rPr>
        <w:t xml:space="preserve">, S., Voisin, C., </w:t>
      </w:r>
      <w:proofErr w:type="spellStart"/>
      <w:r w:rsidRPr="00B6785D">
        <w:rPr>
          <w:rFonts w:cstheme="minorHAnsi"/>
          <w:sz w:val="24"/>
          <w:szCs w:val="24"/>
        </w:rPr>
        <w:t>Bottelin</w:t>
      </w:r>
      <w:proofErr w:type="spellEnd"/>
      <w:r w:rsidRPr="00B6785D">
        <w:rPr>
          <w:rFonts w:cstheme="minorHAnsi"/>
          <w:sz w:val="24"/>
          <w:szCs w:val="24"/>
        </w:rPr>
        <w:t xml:space="preserve">, P., Baillet, L., </w:t>
      </w:r>
      <w:proofErr w:type="spellStart"/>
      <w:r w:rsidRPr="00B6785D">
        <w:rPr>
          <w:rFonts w:cstheme="minorHAnsi"/>
          <w:sz w:val="24"/>
          <w:szCs w:val="24"/>
        </w:rPr>
        <w:t>Guéguen</w:t>
      </w:r>
      <w:proofErr w:type="spellEnd"/>
      <w:r w:rsidRPr="00B6785D">
        <w:rPr>
          <w:rFonts w:cstheme="minorHAnsi"/>
          <w:sz w:val="24"/>
          <w:szCs w:val="24"/>
        </w:rPr>
        <w:t xml:space="preserve">, P., ... &amp; Massey, C. (2015). Environmental seismology: What can we learn on earth surface processes with ambient </w:t>
      </w:r>
      <w:proofErr w:type="gramStart"/>
      <w:r w:rsidRPr="00B6785D">
        <w:rPr>
          <w:rFonts w:cstheme="minorHAnsi"/>
          <w:sz w:val="24"/>
          <w:szCs w:val="24"/>
        </w:rPr>
        <w:t>noise?.</w:t>
      </w:r>
      <w:proofErr w:type="gramEnd"/>
      <w:r w:rsidRPr="00B6785D">
        <w:rPr>
          <w:rFonts w:cstheme="minorHAnsi"/>
          <w:sz w:val="24"/>
          <w:szCs w:val="24"/>
        </w:rPr>
        <w:t xml:space="preserve"> Journal of Applied Geophysics, 116, 62-74.</w:t>
      </w:r>
    </w:p>
    <w:p w14:paraId="4DC71B58"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Levshin</w:t>
      </w:r>
      <w:proofErr w:type="spellEnd"/>
      <w:r w:rsidRPr="00B6785D">
        <w:rPr>
          <w:rFonts w:cstheme="minorHAnsi"/>
          <w:sz w:val="24"/>
          <w:szCs w:val="24"/>
        </w:rPr>
        <w:t xml:space="preserve">, A.L., Yanovskaya, T.B., Lander, A.V., </w:t>
      </w:r>
      <w:proofErr w:type="spellStart"/>
      <w:r w:rsidRPr="00B6785D">
        <w:rPr>
          <w:rFonts w:cstheme="minorHAnsi"/>
          <w:sz w:val="24"/>
          <w:szCs w:val="24"/>
        </w:rPr>
        <w:t>Bukchin</w:t>
      </w:r>
      <w:proofErr w:type="spellEnd"/>
      <w:r w:rsidRPr="00B6785D">
        <w:rPr>
          <w:rFonts w:cstheme="minorHAnsi"/>
          <w:sz w:val="24"/>
          <w:szCs w:val="24"/>
        </w:rPr>
        <w:t xml:space="preserve">, B.G., </w:t>
      </w:r>
      <w:proofErr w:type="spellStart"/>
      <w:r w:rsidRPr="00B6785D">
        <w:rPr>
          <w:rFonts w:cstheme="minorHAnsi"/>
          <w:sz w:val="24"/>
          <w:szCs w:val="24"/>
        </w:rPr>
        <w:t>Barmin</w:t>
      </w:r>
      <w:proofErr w:type="spellEnd"/>
      <w:r w:rsidRPr="00B6785D">
        <w:rPr>
          <w:rFonts w:cstheme="minorHAnsi"/>
          <w:sz w:val="24"/>
          <w:szCs w:val="24"/>
        </w:rPr>
        <w:t xml:space="preserve">, M.P., </w:t>
      </w:r>
      <w:proofErr w:type="spellStart"/>
      <w:r w:rsidRPr="00B6785D">
        <w:rPr>
          <w:rFonts w:cstheme="minorHAnsi"/>
          <w:sz w:val="24"/>
          <w:szCs w:val="24"/>
        </w:rPr>
        <w:t>Ratnikova</w:t>
      </w:r>
      <w:proofErr w:type="spellEnd"/>
      <w:r w:rsidRPr="00B6785D">
        <w:rPr>
          <w:rFonts w:cstheme="minorHAnsi"/>
          <w:sz w:val="24"/>
          <w:szCs w:val="24"/>
        </w:rPr>
        <w:t xml:space="preserve">, L.I. &amp; Its, E.N., 1989. Seismic Surface Waves in a Laterally Inhomogeneous Earth, ed. </w:t>
      </w:r>
      <w:proofErr w:type="spellStart"/>
      <w:r w:rsidRPr="00B6785D">
        <w:rPr>
          <w:rFonts w:cstheme="minorHAnsi"/>
          <w:sz w:val="24"/>
          <w:szCs w:val="24"/>
        </w:rPr>
        <w:t>Keilis</w:t>
      </w:r>
      <w:proofErr w:type="spellEnd"/>
      <w:r w:rsidRPr="00B6785D">
        <w:rPr>
          <w:rFonts w:cstheme="minorHAnsi"/>
          <w:sz w:val="24"/>
          <w:szCs w:val="24"/>
        </w:rPr>
        <w:t>-Borok, V.I., Kluwer, Norwell, Mass.</w:t>
      </w:r>
    </w:p>
    <w:p w14:paraId="6A70CFD0"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Li, Z., Peng, Z., Hollis, D., Zhu, L., &amp; McClellan, J. (2018). High-resolution seismic event detection using local similarity for Large-N arrays. Scientific reports, 8(1), 1646.</w:t>
      </w:r>
    </w:p>
    <w:p w14:paraId="04E15E65" w14:textId="77777777" w:rsidR="004C3823" w:rsidRDefault="004C3823" w:rsidP="0015683F">
      <w:pPr>
        <w:spacing w:line="360" w:lineRule="auto"/>
        <w:ind w:left="720" w:hanging="720"/>
        <w:rPr>
          <w:rFonts w:cstheme="minorHAnsi"/>
          <w:sz w:val="24"/>
          <w:szCs w:val="24"/>
        </w:rPr>
      </w:pPr>
      <w:r w:rsidRPr="00B6785D">
        <w:rPr>
          <w:rFonts w:cstheme="minorHAnsi"/>
          <w:sz w:val="24"/>
          <w:szCs w:val="24"/>
        </w:rPr>
        <w:t xml:space="preserve">Marra, G., </w:t>
      </w:r>
      <w:proofErr w:type="spellStart"/>
      <w:r w:rsidRPr="00B6785D">
        <w:rPr>
          <w:rFonts w:cstheme="minorHAnsi"/>
          <w:sz w:val="24"/>
          <w:szCs w:val="24"/>
        </w:rPr>
        <w:t>Clivati</w:t>
      </w:r>
      <w:proofErr w:type="spellEnd"/>
      <w:r w:rsidRPr="00B6785D">
        <w:rPr>
          <w:rFonts w:cstheme="minorHAnsi"/>
          <w:sz w:val="24"/>
          <w:szCs w:val="24"/>
        </w:rPr>
        <w:t xml:space="preserve">, C., Luckett, R., </w:t>
      </w:r>
      <w:proofErr w:type="spellStart"/>
      <w:r w:rsidRPr="00B6785D">
        <w:rPr>
          <w:rFonts w:cstheme="minorHAnsi"/>
          <w:sz w:val="24"/>
          <w:szCs w:val="24"/>
        </w:rPr>
        <w:t>Tampellini</w:t>
      </w:r>
      <w:proofErr w:type="spellEnd"/>
      <w:r w:rsidRPr="00B6785D">
        <w:rPr>
          <w:rFonts w:cstheme="minorHAnsi"/>
          <w:sz w:val="24"/>
          <w:szCs w:val="24"/>
        </w:rPr>
        <w:t xml:space="preserve">, A., </w:t>
      </w:r>
      <w:proofErr w:type="spellStart"/>
      <w:r w:rsidRPr="00B6785D">
        <w:rPr>
          <w:rFonts w:cstheme="minorHAnsi"/>
          <w:sz w:val="24"/>
          <w:szCs w:val="24"/>
        </w:rPr>
        <w:t>Kronjäger</w:t>
      </w:r>
      <w:proofErr w:type="spellEnd"/>
      <w:r w:rsidRPr="00B6785D">
        <w:rPr>
          <w:rFonts w:cstheme="minorHAnsi"/>
          <w:sz w:val="24"/>
          <w:szCs w:val="24"/>
        </w:rPr>
        <w:t xml:space="preserve">, J., Wright, L., ... &amp; </w:t>
      </w:r>
      <w:proofErr w:type="spellStart"/>
      <w:r w:rsidRPr="00B6785D">
        <w:rPr>
          <w:rFonts w:cstheme="minorHAnsi"/>
          <w:sz w:val="24"/>
          <w:szCs w:val="24"/>
        </w:rPr>
        <w:t>Calonico</w:t>
      </w:r>
      <w:proofErr w:type="spellEnd"/>
      <w:r w:rsidRPr="00B6785D">
        <w:rPr>
          <w:rFonts w:cstheme="minorHAnsi"/>
          <w:sz w:val="24"/>
          <w:szCs w:val="24"/>
        </w:rPr>
        <w:t xml:space="preserve">, D. (2018). </w:t>
      </w:r>
      <w:proofErr w:type="spellStart"/>
      <w:r w:rsidRPr="00B6785D">
        <w:rPr>
          <w:rFonts w:cstheme="minorHAnsi"/>
          <w:sz w:val="24"/>
          <w:szCs w:val="24"/>
        </w:rPr>
        <w:t>Ultrastable</w:t>
      </w:r>
      <w:proofErr w:type="spellEnd"/>
      <w:r w:rsidRPr="00B6785D">
        <w:rPr>
          <w:rFonts w:cstheme="minorHAnsi"/>
          <w:sz w:val="24"/>
          <w:szCs w:val="24"/>
        </w:rPr>
        <w:t xml:space="preserve"> laser interferometry for earthquake detection with terrestrial and submarine cables. Science, 361(6401), 486-490.</w:t>
      </w:r>
    </w:p>
    <w:p w14:paraId="54EEF785" w14:textId="77777777" w:rsidR="004C3823" w:rsidRPr="00B6785D" w:rsidRDefault="004C3823" w:rsidP="0015683F">
      <w:pPr>
        <w:spacing w:line="360" w:lineRule="auto"/>
        <w:ind w:left="720" w:hanging="720"/>
        <w:rPr>
          <w:rFonts w:cstheme="minorHAnsi"/>
          <w:sz w:val="24"/>
          <w:szCs w:val="24"/>
        </w:rPr>
      </w:pPr>
      <w:r>
        <w:rPr>
          <w:rFonts w:cstheme="minorHAnsi"/>
          <w:sz w:val="24"/>
          <w:szCs w:val="24"/>
        </w:rPr>
        <w:t>Marsh, S., and A. Holland (2016), Comprehensive Fault Database and Interpretive Fault Map of Oklahoma, OGS Open File Report 2-2016, 16 pages, 2 plates.</w:t>
      </w:r>
    </w:p>
    <w:p w14:paraId="6E9A974F"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Muanenda</w:t>
      </w:r>
      <w:proofErr w:type="spellEnd"/>
      <w:r w:rsidRPr="00B6785D">
        <w:rPr>
          <w:rFonts w:cstheme="minorHAnsi"/>
          <w:sz w:val="24"/>
          <w:szCs w:val="24"/>
        </w:rPr>
        <w:t>, Y., Oton, C. J., &amp; Di Pasquale, F. (2019). Application of Raman and Brillouin scattering phenomena in distributed optical fiber sensing. Frontiers in Physics, 7, 155.</w:t>
      </w:r>
    </w:p>
    <w:p w14:paraId="3BABA46A"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Murphy, P. (1996, April). Geophone design evolution related to non‐geophysical applications. In AIP Conference Proceedings (Vol. 368, No. 1, pp. 49-56). American Institute of Physics.</w:t>
      </w:r>
    </w:p>
    <w:p w14:paraId="42CF53F2"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Nakamura, Y. (1989). A method for dynamic characteristics estimation of subsurface using microtremor on the ground surface. Railway Technical Research Institute, Quarterly Reports, 30(1).</w:t>
      </w:r>
    </w:p>
    <w:p w14:paraId="26D431CC"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Park, C. B., Miller, R. D., Xia, J., Hunter, J. A., &amp; Harris, J. B. (1999). Higher mode observation by the MASW method. In SEG Technical Program Expanded Abstracts 1999 (pp. 524-527). Society of Exploration Geophysicists. </w:t>
      </w:r>
    </w:p>
    <w:p w14:paraId="35873281"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Parolai</w:t>
      </w:r>
      <w:proofErr w:type="spellEnd"/>
      <w:r w:rsidRPr="00B6785D">
        <w:rPr>
          <w:rFonts w:cstheme="minorHAnsi"/>
          <w:sz w:val="24"/>
          <w:szCs w:val="24"/>
        </w:rPr>
        <w:t xml:space="preserve">, S., Richwalski, S. M., </w:t>
      </w:r>
      <w:proofErr w:type="spellStart"/>
      <w:r w:rsidRPr="00B6785D">
        <w:rPr>
          <w:rFonts w:cstheme="minorHAnsi"/>
          <w:sz w:val="24"/>
          <w:szCs w:val="24"/>
        </w:rPr>
        <w:t>Milkereit</w:t>
      </w:r>
      <w:proofErr w:type="spellEnd"/>
      <w:r w:rsidRPr="00B6785D">
        <w:rPr>
          <w:rFonts w:cstheme="minorHAnsi"/>
          <w:sz w:val="24"/>
          <w:szCs w:val="24"/>
        </w:rPr>
        <w:t xml:space="preserve">, C., &amp; Bormann, P. (2004). Assessment of the stability of H/V spectral ratios from ambient noise and comparison with earthquake data in the </w:t>
      </w:r>
      <w:r w:rsidRPr="00B6785D">
        <w:rPr>
          <w:rFonts w:cstheme="minorHAnsi"/>
          <w:sz w:val="24"/>
          <w:szCs w:val="24"/>
        </w:rPr>
        <w:lastRenderedPageBreak/>
        <w:t xml:space="preserve">Cologne area (Germany). Tectonophysics, 390(1), 57–73. </w:t>
      </w:r>
      <w:proofErr w:type="spellStart"/>
      <w:r w:rsidRPr="00B6785D">
        <w:rPr>
          <w:rFonts w:cstheme="minorHAnsi"/>
          <w:sz w:val="24"/>
          <w:szCs w:val="24"/>
        </w:rPr>
        <w:t>doi</w:t>
      </w:r>
      <w:proofErr w:type="spellEnd"/>
      <w:r w:rsidRPr="00B6785D">
        <w:rPr>
          <w:rFonts w:cstheme="minorHAnsi"/>
          <w:sz w:val="24"/>
          <w:szCs w:val="24"/>
        </w:rPr>
        <w:t>: 10.1016/j.tecto.2004.03.024</w:t>
      </w:r>
    </w:p>
    <w:p w14:paraId="1EA95F13"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Qin, Y., Chen, X., Walter, J. I., </w:t>
      </w:r>
      <w:proofErr w:type="spellStart"/>
      <w:r w:rsidRPr="00B6785D">
        <w:rPr>
          <w:rFonts w:cstheme="minorHAnsi"/>
          <w:sz w:val="24"/>
          <w:szCs w:val="24"/>
        </w:rPr>
        <w:t>Haffener</w:t>
      </w:r>
      <w:proofErr w:type="spellEnd"/>
      <w:r w:rsidRPr="00B6785D">
        <w:rPr>
          <w:rFonts w:cstheme="minorHAnsi"/>
          <w:sz w:val="24"/>
          <w:szCs w:val="24"/>
        </w:rPr>
        <w:t xml:space="preserve">, J., </w:t>
      </w:r>
      <w:proofErr w:type="spellStart"/>
      <w:r w:rsidRPr="00B6785D">
        <w:rPr>
          <w:rFonts w:cstheme="minorHAnsi"/>
          <w:sz w:val="24"/>
          <w:szCs w:val="24"/>
        </w:rPr>
        <w:t>Trugman</w:t>
      </w:r>
      <w:proofErr w:type="spellEnd"/>
      <w:r w:rsidRPr="00B6785D">
        <w:rPr>
          <w:rFonts w:cstheme="minorHAnsi"/>
          <w:sz w:val="24"/>
          <w:szCs w:val="24"/>
        </w:rPr>
        <w:t xml:space="preserve">, D. T., Carpenter, B. M., ... &amp; Kolawole, F. (2019). Deciphering the stress state of </w:t>
      </w:r>
      <w:proofErr w:type="spellStart"/>
      <w:r w:rsidRPr="00B6785D">
        <w:rPr>
          <w:rFonts w:cstheme="minorHAnsi"/>
          <w:sz w:val="24"/>
          <w:szCs w:val="24"/>
        </w:rPr>
        <w:t>seismogenic</w:t>
      </w:r>
      <w:proofErr w:type="spellEnd"/>
      <w:r w:rsidRPr="00B6785D">
        <w:rPr>
          <w:rFonts w:cstheme="minorHAnsi"/>
          <w:sz w:val="24"/>
          <w:szCs w:val="24"/>
        </w:rPr>
        <w:t xml:space="preserve"> faults in Oklahoma and southern Kansas based on an improved stress map. Journal of Geophysical Research: Solid Earth, 124(12), 12920-12934.</w:t>
      </w:r>
    </w:p>
    <w:p w14:paraId="62B11811"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Raman, C. V. (1928). A new radiation. Indian Journal of physics, 2, 387-398.</w:t>
      </w:r>
    </w:p>
    <w:p w14:paraId="3EF53EE9"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Schoenball</w:t>
      </w:r>
      <w:proofErr w:type="spellEnd"/>
      <w:r w:rsidRPr="00B6785D">
        <w:rPr>
          <w:rFonts w:cstheme="minorHAnsi"/>
          <w:sz w:val="24"/>
          <w:szCs w:val="24"/>
        </w:rPr>
        <w:t>, M., &amp; Ellsworth, W. L. (2017). Waveform‐relocated earthquake catalog for Oklahoma and southern Kansas illuminates the regional fault network. Seismological Research Letters, 88(5), 1252-1258.</w:t>
      </w:r>
    </w:p>
    <w:p w14:paraId="617B3859" w14:textId="77777777" w:rsidR="004C3823" w:rsidRPr="00B6785D" w:rsidRDefault="004C3823" w:rsidP="0015683F">
      <w:pPr>
        <w:spacing w:line="360" w:lineRule="auto"/>
        <w:ind w:left="720" w:hanging="720"/>
        <w:rPr>
          <w:rFonts w:cstheme="minorHAnsi"/>
          <w:sz w:val="24"/>
          <w:szCs w:val="24"/>
        </w:rPr>
      </w:pPr>
      <w:proofErr w:type="spellStart"/>
      <w:r w:rsidRPr="00B6785D">
        <w:rPr>
          <w:rFonts w:cstheme="minorHAnsi"/>
          <w:sz w:val="24"/>
          <w:szCs w:val="24"/>
        </w:rPr>
        <w:t>Schmertmann</w:t>
      </w:r>
      <w:proofErr w:type="spellEnd"/>
      <w:r w:rsidRPr="00B6785D">
        <w:rPr>
          <w:rFonts w:cstheme="minorHAnsi"/>
          <w:sz w:val="24"/>
          <w:szCs w:val="24"/>
        </w:rPr>
        <w:t>, J. H. (1978). Guidelines for cone penetration test: performance and design (No. FHWA-TS-78-209). United States. Federal Highway Administration.</w:t>
      </w:r>
    </w:p>
    <w:p w14:paraId="4F2DA804"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Sweet, J. R., Anderson, K. R., Frassetto, A., Beaudoin, B. C., Bilek, S. L., &amp; Woodward, R. S. (2018, December). Evolution of the IRIS Portable Facility: New tools for Wavefield Imaging, Rapid Response, and </w:t>
      </w:r>
      <w:proofErr w:type="spellStart"/>
      <w:r w:rsidRPr="00B6785D">
        <w:rPr>
          <w:rFonts w:cstheme="minorHAnsi"/>
          <w:sz w:val="24"/>
          <w:szCs w:val="24"/>
        </w:rPr>
        <w:t>Magnetotellurics</w:t>
      </w:r>
      <w:proofErr w:type="spellEnd"/>
      <w:r w:rsidRPr="00B6785D">
        <w:rPr>
          <w:rFonts w:cstheme="minorHAnsi"/>
          <w:sz w:val="24"/>
          <w:szCs w:val="24"/>
        </w:rPr>
        <w:t>. In AGU Fall Meeting Abstracts (Vol. 2018, pp. S43E-0677).</w:t>
      </w:r>
    </w:p>
    <w:p w14:paraId="25937AB2"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Vantassel, J. P., Cox, B. R., &amp; Brannon, D. M. (2021). </w:t>
      </w:r>
      <w:proofErr w:type="spellStart"/>
      <w:r w:rsidRPr="00B6785D">
        <w:rPr>
          <w:rFonts w:cstheme="minorHAnsi"/>
          <w:sz w:val="24"/>
          <w:szCs w:val="24"/>
        </w:rPr>
        <w:t>HVSRweb</w:t>
      </w:r>
      <w:proofErr w:type="spellEnd"/>
      <w:r w:rsidRPr="00B6785D">
        <w:rPr>
          <w:rFonts w:cstheme="minorHAnsi"/>
          <w:sz w:val="24"/>
          <w:szCs w:val="24"/>
        </w:rPr>
        <w:t>: An Open-Source, Web-Based Application for Horizontal-to-Vertical Spectral Ratio Processing. In IFCEE 2021 (pp. 42-52).</w:t>
      </w:r>
    </w:p>
    <w:p w14:paraId="25D6BEF4"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von </w:t>
      </w:r>
      <w:proofErr w:type="spellStart"/>
      <w:r w:rsidRPr="00B6785D">
        <w:rPr>
          <w:rFonts w:cstheme="minorHAnsi"/>
          <w:sz w:val="24"/>
          <w:szCs w:val="24"/>
        </w:rPr>
        <w:t>Rebeur-Paschwitz</w:t>
      </w:r>
      <w:proofErr w:type="spellEnd"/>
      <w:r w:rsidRPr="00B6785D">
        <w:rPr>
          <w:rFonts w:cstheme="minorHAnsi"/>
          <w:sz w:val="24"/>
          <w:szCs w:val="24"/>
        </w:rPr>
        <w:t>, E. (1889). The earthquake of Tokio, April 18, 1889. Nature, 40(1030), 294-295.\</w:t>
      </w:r>
    </w:p>
    <w:p w14:paraId="3A686AA3"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Wadati, K. (1928). Shallow and deep earthquakes. </w:t>
      </w:r>
      <w:proofErr w:type="spellStart"/>
      <w:r w:rsidRPr="00B6785D">
        <w:rPr>
          <w:rFonts w:cstheme="minorHAnsi"/>
          <w:sz w:val="24"/>
          <w:szCs w:val="24"/>
        </w:rPr>
        <w:t>Geophys</w:t>
      </w:r>
      <w:proofErr w:type="spellEnd"/>
      <w:r w:rsidRPr="00B6785D">
        <w:rPr>
          <w:rFonts w:cstheme="minorHAnsi"/>
          <w:sz w:val="24"/>
          <w:szCs w:val="24"/>
        </w:rPr>
        <w:t>. Mag., 1, 162-202.</w:t>
      </w:r>
    </w:p>
    <w:p w14:paraId="52CFBA71"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Walter, J. I., P. </w:t>
      </w:r>
      <w:proofErr w:type="spellStart"/>
      <w:r w:rsidRPr="00B6785D">
        <w:rPr>
          <w:rFonts w:cstheme="minorHAnsi"/>
          <w:sz w:val="24"/>
          <w:szCs w:val="24"/>
        </w:rPr>
        <w:t>Ogwari</w:t>
      </w:r>
      <w:proofErr w:type="spellEnd"/>
      <w:r w:rsidRPr="00B6785D">
        <w:rPr>
          <w:rFonts w:cstheme="minorHAnsi"/>
          <w:sz w:val="24"/>
          <w:szCs w:val="24"/>
        </w:rPr>
        <w:t xml:space="preserve">, A. Thiel, F. Ferrer, I. Woelfel, J. C. Chang, A. P. Darold, and A. A. Holland (2020), The Oklahoma Geological Survey Statewide Seismic Network, </w:t>
      </w:r>
      <w:proofErr w:type="spellStart"/>
      <w:r w:rsidRPr="00B6785D">
        <w:rPr>
          <w:rFonts w:cstheme="minorHAnsi"/>
          <w:sz w:val="24"/>
          <w:szCs w:val="24"/>
        </w:rPr>
        <w:t>Seismol</w:t>
      </w:r>
      <w:proofErr w:type="spellEnd"/>
      <w:r w:rsidRPr="00B6785D">
        <w:rPr>
          <w:rFonts w:cstheme="minorHAnsi"/>
          <w:sz w:val="24"/>
          <w:szCs w:val="24"/>
        </w:rPr>
        <w:t>. Res. Lett., 91 (2A): 611–621, doi:10.1785/0220190211.</w:t>
      </w:r>
    </w:p>
    <w:p w14:paraId="063068FB"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lastRenderedPageBreak/>
        <w:t xml:space="preserve">Wathelet, M., Chatelain, J. L., </w:t>
      </w:r>
      <w:proofErr w:type="spellStart"/>
      <w:r w:rsidRPr="00B6785D">
        <w:rPr>
          <w:rFonts w:cstheme="minorHAnsi"/>
          <w:sz w:val="24"/>
          <w:szCs w:val="24"/>
        </w:rPr>
        <w:t>Cornou</w:t>
      </w:r>
      <w:proofErr w:type="spellEnd"/>
      <w:r w:rsidRPr="00B6785D">
        <w:rPr>
          <w:rFonts w:cstheme="minorHAnsi"/>
          <w:sz w:val="24"/>
          <w:szCs w:val="24"/>
        </w:rPr>
        <w:t xml:space="preserve">, C., Giulio, G. D., </w:t>
      </w:r>
      <w:proofErr w:type="spellStart"/>
      <w:r w:rsidRPr="00B6785D">
        <w:rPr>
          <w:rFonts w:cstheme="minorHAnsi"/>
          <w:sz w:val="24"/>
          <w:szCs w:val="24"/>
        </w:rPr>
        <w:t>Guillier</w:t>
      </w:r>
      <w:proofErr w:type="spellEnd"/>
      <w:r w:rsidRPr="00B6785D">
        <w:rPr>
          <w:rFonts w:cstheme="minorHAnsi"/>
          <w:sz w:val="24"/>
          <w:szCs w:val="24"/>
        </w:rPr>
        <w:t xml:space="preserve">, B., </w:t>
      </w:r>
      <w:proofErr w:type="spellStart"/>
      <w:r w:rsidRPr="00B6785D">
        <w:rPr>
          <w:rFonts w:cstheme="minorHAnsi"/>
          <w:sz w:val="24"/>
          <w:szCs w:val="24"/>
        </w:rPr>
        <w:t>Ohrnberger</w:t>
      </w:r>
      <w:proofErr w:type="spellEnd"/>
      <w:r w:rsidRPr="00B6785D">
        <w:rPr>
          <w:rFonts w:cstheme="minorHAnsi"/>
          <w:sz w:val="24"/>
          <w:szCs w:val="24"/>
        </w:rPr>
        <w:t xml:space="preserve">, M., &amp; </w:t>
      </w:r>
      <w:proofErr w:type="spellStart"/>
      <w:r w:rsidRPr="00B6785D">
        <w:rPr>
          <w:rFonts w:cstheme="minorHAnsi"/>
          <w:sz w:val="24"/>
          <w:szCs w:val="24"/>
        </w:rPr>
        <w:t>Savvaidis</w:t>
      </w:r>
      <w:proofErr w:type="spellEnd"/>
      <w:r w:rsidRPr="00B6785D">
        <w:rPr>
          <w:rFonts w:cstheme="minorHAnsi"/>
          <w:sz w:val="24"/>
          <w:szCs w:val="24"/>
        </w:rPr>
        <w:t xml:space="preserve">, A. (2020). </w:t>
      </w:r>
      <w:proofErr w:type="spellStart"/>
      <w:r w:rsidRPr="00B6785D">
        <w:rPr>
          <w:rFonts w:cstheme="minorHAnsi"/>
          <w:sz w:val="24"/>
          <w:szCs w:val="24"/>
        </w:rPr>
        <w:t>Geopsy</w:t>
      </w:r>
      <w:proofErr w:type="spellEnd"/>
      <w:r w:rsidRPr="00B6785D">
        <w:rPr>
          <w:rFonts w:cstheme="minorHAnsi"/>
          <w:sz w:val="24"/>
          <w:szCs w:val="24"/>
        </w:rPr>
        <w:t>: A user‐friendly open‐source tool set for ambient vibration processing. Seismological Research Letters, 91(3), 1878-1889.</w:t>
      </w:r>
    </w:p>
    <w:p w14:paraId="0A381631"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Whitmeyer, S. J., &amp; Karlstrom, K. E. (2007). Tectonic model for the Proterozoic growth of North America. Geosphere, 3(4), 220-259.</w:t>
      </w:r>
    </w:p>
    <w:p w14:paraId="24B80156" w14:textId="77777777" w:rsidR="004C3823" w:rsidRPr="00B6785D" w:rsidRDefault="004C3823" w:rsidP="0015683F">
      <w:pPr>
        <w:spacing w:line="360" w:lineRule="auto"/>
        <w:ind w:left="720" w:hanging="720"/>
        <w:rPr>
          <w:rFonts w:cstheme="minorHAnsi"/>
          <w:sz w:val="24"/>
          <w:szCs w:val="24"/>
        </w:rPr>
      </w:pPr>
      <w:r w:rsidRPr="00B6785D">
        <w:rPr>
          <w:rFonts w:cstheme="minorHAnsi"/>
          <w:sz w:val="24"/>
          <w:szCs w:val="24"/>
        </w:rPr>
        <w:t xml:space="preserve">Wills, C., Petersen, M., Bryant, W., Reichle, M., Saucedo, G., Tan, S., . . . </w:t>
      </w:r>
      <w:proofErr w:type="spellStart"/>
      <w:r w:rsidRPr="00B6785D">
        <w:rPr>
          <w:rFonts w:cstheme="minorHAnsi"/>
          <w:sz w:val="24"/>
          <w:szCs w:val="24"/>
        </w:rPr>
        <w:t>Treiman</w:t>
      </w:r>
      <w:proofErr w:type="spellEnd"/>
      <w:r w:rsidRPr="00B6785D">
        <w:rPr>
          <w:rFonts w:cstheme="minorHAnsi"/>
          <w:sz w:val="24"/>
          <w:szCs w:val="24"/>
        </w:rPr>
        <w:t>, J. (2000). A site-conditions map for California based on geology and shear-wave velocity. Bulletin of the Seismological Society of America, 90(6B), S187–S208.</w:t>
      </w:r>
    </w:p>
    <w:p w14:paraId="4218082C" w14:textId="77777777" w:rsidR="004C3823" w:rsidRPr="00727077" w:rsidRDefault="004C3823" w:rsidP="0015683F">
      <w:pPr>
        <w:spacing w:line="360" w:lineRule="auto"/>
        <w:ind w:left="720" w:hanging="720"/>
      </w:pPr>
      <w:r w:rsidRPr="00B6785D">
        <w:rPr>
          <w:rFonts w:cstheme="minorHAnsi"/>
          <w:sz w:val="24"/>
          <w:szCs w:val="24"/>
        </w:rPr>
        <w:t>Xia, J., Miller, R.D., Park, C.B., and Hunter, J., 1998, Comparison of shear wave velocities from MASW technique and borehole measurements in unconsolidated sediments of the Fraser River Delta: Kansas Geological Survey, Open-file Report No. 98-58.</w:t>
      </w:r>
    </w:p>
    <w:p w14:paraId="0E5A1B72" w14:textId="77777777" w:rsidR="004C3823" w:rsidRDefault="004C3823" w:rsidP="004E04DF">
      <w:pPr>
        <w:jc w:val="center"/>
        <w:rPr>
          <w:sz w:val="24"/>
          <w:szCs w:val="24"/>
        </w:rPr>
      </w:pPr>
    </w:p>
    <w:p w14:paraId="51D4CF24" w14:textId="77777777" w:rsidR="004C3823" w:rsidRDefault="004C3823" w:rsidP="004E04DF">
      <w:pPr>
        <w:jc w:val="center"/>
        <w:rPr>
          <w:sz w:val="24"/>
          <w:szCs w:val="24"/>
        </w:rPr>
      </w:pPr>
    </w:p>
    <w:p w14:paraId="732D7EB4" w14:textId="77777777" w:rsidR="004C3823" w:rsidRDefault="004C3823" w:rsidP="004E04DF">
      <w:pPr>
        <w:jc w:val="center"/>
        <w:rPr>
          <w:sz w:val="24"/>
          <w:szCs w:val="24"/>
        </w:rPr>
      </w:pPr>
    </w:p>
    <w:p w14:paraId="6F70EF8C" w14:textId="77777777" w:rsidR="004C3823" w:rsidRDefault="004C3823" w:rsidP="004E04DF">
      <w:pPr>
        <w:jc w:val="center"/>
        <w:rPr>
          <w:sz w:val="24"/>
          <w:szCs w:val="24"/>
        </w:rPr>
      </w:pPr>
    </w:p>
    <w:p w14:paraId="31F63713" w14:textId="77777777" w:rsidR="004C3823" w:rsidRDefault="004C3823" w:rsidP="004E04DF">
      <w:pPr>
        <w:jc w:val="center"/>
        <w:rPr>
          <w:sz w:val="24"/>
          <w:szCs w:val="24"/>
        </w:rPr>
      </w:pPr>
    </w:p>
    <w:p w14:paraId="4F51B6E4" w14:textId="77777777" w:rsidR="004C3823" w:rsidRDefault="004C3823" w:rsidP="004E04DF">
      <w:pPr>
        <w:jc w:val="center"/>
        <w:rPr>
          <w:sz w:val="24"/>
          <w:szCs w:val="24"/>
        </w:rPr>
      </w:pPr>
    </w:p>
    <w:p w14:paraId="5C611462" w14:textId="77777777" w:rsidR="004C3823" w:rsidRDefault="004C3823" w:rsidP="004E04DF">
      <w:pPr>
        <w:jc w:val="center"/>
        <w:rPr>
          <w:sz w:val="24"/>
          <w:szCs w:val="24"/>
        </w:rPr>
      </w:pPr>
    </w:p>
    <w:p w14:paraId="2D9335A4" w14:textId="77777777" w:rsidR="004C3823" w:rsidRDefault="004C3823" w:rsidP="004E04DF">
      <w:pPr>
        <w:jc w:val="center"/>
        <w:rPr>
          <w:sz w:val="24"/>
          <w:szCs w:val="24"/>
        </w:rPr>
      </w:pPr>
    </w:p>
    <w:p w14:paraId="07B2EF62" w14:textId="77777777" w:rsidR="004C3823" w:rsidRDefault="004C3823" w:rsidP="004E04DF">
      <w:pPr>
        <w:jc w:val="center"/>
        <w:rPr>
          <w:sz w:val="24"/>
          <w:szCs w:val="24"/>
        </w:rPr>
      </w:pPr>
    </w:p>
    <w:p w14:paraId="7BC50D83" w14:textId="77777777" w:rsidR="004C3823" w:rsidRDefault="004C3823" w:rsidP="004E04DF">
      <w:pPr>
        <w:jc w:val="center"/>
        <w:rPr>
          <w:sz w:val="24"/>
          <w:szCs w:val="24"/>
        </w:rPr>
      </w:pPr>
    </w:p>
    <w:p w14:paraId="28223C2B" w14:textId="77777777" w:rsidR="004C3823" w:rsidRDefault="004C3823" w:rsidP="004E04DF">
      <w:pPr>
        <w:jc w:val="center"/>
        <w:rPr>
          <w:sz w:val="24"/>
          <w:szCs w:val="24"/>
        </w:rPr>
      </w:pPr>
    </w:p>
    <w:p w14:paraId="59B24F95" w14:textId="77777777" w:rsidR="004C3823" w:rsidRDefault="004C3823" w:rsidP="004E04DF">
      <w:pPr>
        <w:jc w:val="center"/>
        <w:rPr>
          <w:sz w:val="24"/>
          <w:szCs w:val="24"/>
        </w:rPr>
      </w:pPr>
    </w:p>
    <w:p w14:paraId="35A6517A" w14:textId="77777777" w:rsidR="004C3823" w:rsidRDefault="004C3823" w:rsidP="004E04DF">
      <w:pPr>
        <w:jc w:val="center"/>
        <w:rPr>
          <w:sz w:val="24"/>
          <w:szCs w:val="24"/>
        </w:rPr>
      </w:pPr>
    </w:p>
    <w:p w14:paraId="6C04D2BF" w14:textId="77777777" w:rsidR="004C3823" w:rsidRDefault="004C3823" w:rsidP="004E04DF">
      <w:pPr>
        <w:jc w:val="center"/>
        <w:rPr>
          <w:sz w:val="24"/>
          <w:szCs w:val="24"/>
        </w:rPr>
      </w:pPr>
    </w:p>
    <w:p w14:paraId="3178D128" w14:textId="77777777" w:rsidR="004C3823" w:rsidRDefault="004C3823" w:rsidP="004E04DF">
      <w:pPr>
        <w:jc w:val="center"/>
        <w:rPr>
          <w:sz w:val="24"/>
          <w:szCs w:val="24"/>
        </w:rPr>
      </w:pPr>
    </w:p>
    <w:p w14:paraId="3360DF63" w14:textId="77777777" w:rsidR="004C3823" w:rsidRDefault="004C3823" w:rsidP="004E04DF">
      <w:pPr>
        <w:jc w:val="center"/>
        <w:rPr>
          <w:sz w:val="24"/>
          <w:szCs w:val="24"/>
        </w:rPr>
      </w:pPr>
    </w:p>
    <w:p w14:paraId="5357EF4B" w14:textId="77777777" w:rsidR="004C3823" w:rsidRDefault="004C3823" w:rsidP="004D3CBF">
      <w:pPr>
        <w:jc w:val="center"/>
        <w:rPr>
          <w:rFonts w:cstheme="minorHAnsi"/>
          <w:b/>
          <w:sz w:val="72"/>
          <w:szCs w:val="72"/>
        </w:rPr>
      </w:pPr>
      <w:r w:rsidRPr="003A6D99">
        <w:rPr>
          <w:rFonts w:cstheme="minorHAnsi"/>
          <w:b/>
          <w:sz w:val="72"/>
          <w:szCs w:val="72"/>
        </w:rPr>
        <w:lastRenderedPageBreak/>
        <w:t xml:space="preserve">Chapter 4: </w:t>
      </w:r>
    </w:p>
    <w:p w14:paraId="6F83FE03" w14:textId="77777777" w:rsidR="004C3823" w:rsidRPr="003A6D99" w:rsidRDefault="004C3823" w:rsidP="004D3CBF">
      <w:pPr>
        <w:jc w:val="center"/>
        <w:rPr>
          <w:rFonts w:cstheme="minorHAnsi"/>
          <w:b/>
          <w:sz w:val="72"/>
          <w:szCs w:val="72"/>
        </w:rPr>
      </w:pPr>
      <w:r w:rsidRPr="003A6D99">
        <w:rPr>
          <w:rFonts w:cstheme="minorHAnsi"/>
          <w:b/>
          <w:sz w:val="72"/>
          <w:szCs w:val="72"/>
        </w:rPr>
        <w:t>Wind and wind turbine influence on measurements of seismic noise</w:t>
      </w:r>
    </w:p>
    <w:p w14:paraId="35B4BD44" w14:textId="77777777" w:rsidR="004C3823" w:rsidRDefault="004C3823" w:rsidP="004D3CBF">
      <w:pPr>
        <w:jc w:val="center"/>
      </w:pPr>
    </w:p>
    <w:p w14:paraId="71CD9D10" w14:textId="77777777" w:rsidR="004C3823" w:rsidRDefault="004C3823" w:rsidP="004D3CBF">
      <w:pPr>
        <w:jc w:val="center"/>
      </w:pPr>
    </w:p>
    <w:p w14:paraId="780F53F6" w14:textId="77777777" w:rsidR="004C3823" w:rsidRDefault="004C3823" w:rsidP="004D3CBF">
      <w:pPr>
        <w:jc w:val="center"/>
      </w:pPr>
    </w:p>
    <w:p w14:paraId="7F150CF5" w14:textId="77777777" w:rsidR="004C3823" w:rsidRDefault="004C3823" w:rsidP="004D3CBF">
      <w:pPr>
        <w:jc w:val="center"/>
      </w:pPr>
    </w:p>
    <w:p w14:paraId="659F184D" w14:textId="77777777" w:rsidR="004C3823" w:rsidRDefault="004C3823" w:rsidP="004D3CBF">
      <w:pPr>
        <w:jc w:val="center"/>
      </w:pPr>
    </w:p>
    <w:p w14:paraId="23742135" w14:textId="77777777" w:rsidR="004C3823" w:rsidRDefault="004C3823" w:rsidP="004D3CBF">
      <w:pPr>
        <w:jc w:val="center"/>
      </w:pPr>
    </w:p>
    <w:p w14:paraId="392AC2EC" w14:textId="77777777" w:rsidR="004C3823" w:rsidRDefault="004C3823" w:rsidP="004D3CBF">
      <w:pPr>
        <w:jc w:val="center"/>
      </w:pPr>
    </w:p>
    <w:p w14:paraId="3884BB51" w14:textId="77777777" w:rsidR="004C3823" w:rsidRDefault="004C3823" w:rsidP="004D3CBF">
      <w:pPr>
        <w:jc w:val="center"/>
      </w:pPr>
    </w:p>
    <w:p w14:paraId="5712D543" w14:textId="77777777" w:rsidR="004C3823" w:rsidRDefault="004C3823" w:rsidP="004D3CBF">
      <w:pPr>
        <w:jc w:val="center"/>
      </w:pPr>
    </w:p>
    <w:p w14:paraId="088C4615" w14:textId="77777777" w:rsidR="004C3823" w:rsidRDefault="004C3823" w:rsidP="004D3CBF">
      <w:pPr>
        <w:jc w:val="center"/>
      </w:pPr>
    </w:p>
    <w:p w14:paraId="086945D6" w14:textId="77777777" w:rsidR="004C3823" w:rsidRDefault="004C3823" w:rsidP="004D3CBF">
      <w:pPr>
        <w:jc w:val="center"/>
      </w:pPr>
    </w:p>
    <w:p w14:paraId="7FB64A9C" w14:textId="77777777" w:rsidR="004C3823" w:rsidRDefault="004C3823" w:rsidP="004D3CBF">
      <w:pPr>
        <w:jc w:val="center"/>
      </w:pPr>
    </w:p>
    <w:p w14:paraId="6C5F149A" w14:textId="77777777" w:rsidR="004C3823" w:rsidRDefault="004C3823" w:rsidP="004D3CBF">
      <w:pPr>
        <w:jc w:val="center"/>
      </w:pPr>
    </w:p>
    <w:p w14:paraId="0562A936" w14:textId="77777777" w:rsidR="004C3823" w:rsidRDefault="004C3823" w:rsidP="004D3CBF">
      <w:pPr>
        <w:jc w:val="center"/>
      </w:pPr>
    </w:p>
    <w:p w14:paraId="49A8CAAE" w14:textId="77777777" w:rsidR="004C3823" w:rsidRDefault="004C3823" w:rsidP="004D3CBF">
      <w:pPr>
        <w:jc w:val="center"/>
      </w:pPr>
    </w:p>
    <w:p w14:paraId="6B7447EE" w14:textId="77777777" w:rsidR="004C3823" w:rsidRDefault="004C3823" w:rsidP="004D3CBF">
      <w:pPr>
        <w:jc w:val="center"/>
      </w:pPr>
    </w:p>
    <w:p w14:paraId="66F863AE" w14:textId="77777777" w:rsidR="004C3823" w:rsidRDefault="004C3823" w:rsidP="004D3CBF">
      <w:pPr>
        <w:jc w:val="center"/>
      </w:pPr>
    </w:p>
    <w:p w14:paraId="6214EB8B" w14:textId="77777777" w:rsidR="004C3823" w:rsidRDefault="004C3823" w:rsidP="004D3CBF">
      <w:pPr>
        <w:jc w:val="center"/>
      </w:pPr>
    </w:p>
    <w:p w14:paraId="579D0B76" w14:textId="77777777" w:rsidR="004C3823" w:rsidRDefault="004C3823" w:rsidP="004D3CBF">
      <w:pPr>
        <w:jc w:val="center"/>
      </w:pPr>
    </w:p>
    <w:p w14:paraId="3ECD9126" w14:textId="77777777" w:rsidR="004C3823" w:rsidRDefault="004C3823" w:rsidP="004D3CBF">
      <w:pPr>
        <w:jc w:val="center"/>
      </w:pPr>
    </w:p>
    <w:p w14:paraId="6F462C21" w14:textId="77777777" w:rsidR="004C3823" w:rsidRPr="00B25CDC" w:rsidRDefault="004C3823" w:rsidP="0076431A">
      <w:pPr>
        <w:spacing w:line="480" w:lineRule="auto"/>
        <w:rPr>
          <w:b/>
          <w:sz w:val="24"/>
          <w:szCs w:val="24"/>
        </w:rPr>
      </w:pPr>
      <w:r w:rsidRPr="00B25CDC">
        <w:rPr>
          <w:b/>
          <w:sz w:val="24"/>
          <w:szCs w:val="24"/>
        </w:rPr>
        <w:lastRenderedPageBreak/>
        <w:t>4.1 Abstract</w:t>
      </w:r>
    </w:p>
    <w:p w14:paraId="7217D935" w14:textId="77777777" w:rsidR="004C3823" w:rsidRPr="00B25CDC" w:rsidRDefault="004C3823" w:rsidP="001C6C03">
      <w:pPr>
        <w:spacing w:line="480" w:lineRule="auto"/>
        <w:ind w:firstLine="720"/>
        <w:rPr>
          <w:sz w:val="24"/>
          <w:szCs w:val="24"/>
        </w:rPr>
      </w:pPr>
      <w:r w:rsidRPr="00B25CDC">
        <w:rPr>
          <w:sz w:val="24"/>
          <w:szCs w:val="24"/>
        </w:rPr>
        <w:t>Renewable wind energy is a growing global industry that has led to the construction of wind farms across the United States</w:t>
      </w:r>
      <w:r>
        <w:rPr>
          <w:sz w:val="24"/>
          <w:szCs w:val="24"/>
        </w:rPr>
        <w:t>, especially in midcontinent</w:t>
      </w:r>
      <w:r w:rsidRPr="00B25CDC">
        <w:rPr>
          <w:sz w:val="24"/>
          <w:szCs w:val="24"/>
        </w:rPr>
        <w:t xml:space="preserve"> regions such as Oklahoma. Seismic noise generated</w:t>
      </w:r>
      <w:r>
        <w:rPr>
          <w:sz w:val="24"/>
          <w:szCs w:val="24"/>
        </w:rPr>
        <w:t xml:space="preserve"> adjacent to</w:t>
      </w:r>
      <w:r w:rsidRPr="00B25CDC">
        <w:rPr>
          <w:sz w:val="24"/>
          <w:szCs w:val="24"/>
        </w:rPr>
        <w:t xml:space="preserve"> wind turbines includes both natural wind source coupling and resonance of the turbine blades and towers that are transmitted through the subsurface. We conducted a pilot study to characterize and classify such noise that could lead to the development of better techniques in ambient-noise seismology, noise suppression, identification of near-surface resonance, and improvement to signal-to-noise ratio. We investigate the wind and wind turbine</w:t>
      </w:r>
      <w:r>
        <w:rPr>
          <w:sz w:val="24"/>
          <w:szCs w:val="24"/>
        </w:rPr>
        <w:t>-</w:t>
      </w:r>
      <w:r w:rsidRPr="00B25CDC">
        <w:rPr>
          <w:sz w:val="24"/>
          <w:szCs w:val="24"/>
        </w:rPr>
        <w:t>generated noise within the seismic field through the application of the power density function on 3-component waveforms collected from two temporary arrays of 5 Hz geophone sensors. The temporary array consists of 8 Fairfield nodes that were active for one</w:t>
      </w:r>
      <w:r>
        <w:rPr>
          <w:sz w:val="24"/>
          <w:szCs w:val="24"/>
        </w:rPr>
        <w:t xml:space="preserve"> </w:t>
      </w:r>
      <w:r w:rsidRPr="00B25CDC">
        <w:rPr>
          <w:sz w:val="24"/>
          <w:szCs w:val="24"/>
        </w:rPr>
        <w:t>month with varying distances (10 meters – 2000 meters) from wind turbine towers located in Grant County, Oklahoma. The second array is located approximately 50km northwest of those wind turbines. The spectral amplitudes and peak frequencies of the power spectrum show unique spatial</w:t>
      </w:r>
      <w:r>
        <w:rPr>
          <w:sz w:val="24"/>
          <w:szCs w:val="24"/>
        </w:rPr>
        <w:t>-</w:t>
      </w:r>
      <w:r w:rsidRPr="00B25CDC">
        <w:rPr>
          <w:sz w:val="24"/>
          <w:szCs w:val="24"/>
        </w:rPr>
        <w:t>temporal variations in noise levels</w:t>
      </w:r>
      <w:r>
        <w:rPr>
          <w:sz w:val="24"/>
          <w:szCs w:val="24"/>
        </w:rPr>
        <w:t xml:space="preserve"> for</w:t>
      </w:r>
      <w:r w:rsidRPr="00B25CDC">
        <w:rPr>
          <w:sz w:val="24"/>
          <w:szCs w:val="24"/>
        </w:rPr>
        <w:t xml:space="preserve"> the location of the wind turbine towers. Noise amplitude decreases </w:t>
      </w:r>
      <w:r>
        <w:rPr>
          <w:sz w:val="24"/>
          <w:szCs w:val="24"/>
        </w:rPr>
        <w:t xml:space="preserve">exponentially </w:t>
      </w:r>
      <w:r w:rsidRPr="00B25CDC">
        <w:rPr>
          <w:sz w:val="24"/>
          <w:szCs w:val="24"/>
        </w:rPr>
        <w:t>with distance from the wind turbine, and wind speed correlates with power spectrum peak frequencies. We identify mechanical signal sources at 0.17 Hz, 0.29 Hz, 0.51 Hz, 0.87 Hz, 14.5 Hz, 24.83 Hz, and 27.82 Hz</w:t>
      </w:r>
      <w:r>
        <w:rPr>
          <w:sz w:val="24"/>
          <w:szCs w:val="24"/>
        </w:rPr>
        <w:t>,</w:t>
      </w:r>
      <w:r w:rsidRPr="00B25CDC">
        <w:rPr>
          <w:sz w:val="24"/>
          <w:szCs w:val="24"/>
        </w:rPr>
        <w:t xml:space="preserve"> and the resonant frequency of the wind turbine tower at 0.37 Hz. We compare </w:t>
      </w:r>
      <w:r>
        <w:rPr>
          <w:sz w:val="24"/>
          <w:szCs w:val="24"/>
        </w:rPr>
        <w:t xml:space="preserve">the </w:t>
      </w:r>
      <w:r w:rsidRPr="00B25CDC">
        <w:rPr>
          <w:sz w:val="24"/>
          <w:szCs w:val="24"/>
        </w:rPr>
        <w:t xml:space="preserve">estimated fundamental frequencies of both arrays. </w:t>
      </w:r>
      <w:r>
        <w:rPr>
          <w:sz w:val="24"/>
          <w:szCs w:val="24"/>
        </w:rPr>
        <w:t>The d</w:t>
      </w:r>
      <w:r w:rsidRPr="00B25CDC">
        <w:rPr>
          <w:sz w:val="24"/>
          <w:szCs w:val="24"/>
        </w:rPr>
        <w:t xml:space="preserve">irectivity of the seismic noise is characterized using a cross-correlation function. We observe </w:t>
      </w:r>
      <w:proofErr w:type="gramStart"/>
      <w:r w:rsidRPr="00B25CDC">
        <w:rPr>
          <w:sz w:val="24"/>
          <w:szCs w:val="24"/>
        </w:rPr>
        <w:t>the wind</w:t>
      </w:r>
      <w:proofErr w:type="gramEnd"/>
      <w:r w:rsidRPr="00B25CDC">
        <w:rPr>
          <w:sz w:val="24"/>
          <w:szCs w:val="24"/>
        </w:rPr>
        <w:t xml:space="preserve"> turbines to be a very clear source of </w:t>
      </w:r>
      <w:r w:rsidRPr="00B25CDC">
        <w:rPr>
          <w:sz w:val="24"/>
          <w:szCs w:val="24"/>
        </w:rPr>
        <w:lastRenderedPageBreak/>
        <w:t xml:space="preserve">seismic noise with exponential power degrading at increasing distances. Closer examination shows wind, ground, and wind turbine coupling to be a complex field. </w:t>
      </w:r>
    </w:p>
    <w:p w14:paraId="17F4C3C3" w14:textId="77777777" w:rsidR="004C3823" w:rsidRDefault="004C3823" w:rsidP="001C6C03">
      <w:pPr>
        <w:spacing w:line="480" w:lineRule="auto"/>
        <w:rPr>
          <w:sz w:val="24"/>
          <w:szCs w:val="24"/>
        </w:rPr>
      </w:pPr>
    </w:p>
    <w:p w14:paraId="2406CCE9" w14:textId="77777777" w:rsidR="004C3823" w:rsidRDefault="004C3823" w:rsidP="001C6C03">
      <w:pPr>
        <w:spacing w:line="480" w:lineRule="auto"/>
        <w:rPr>
          <w:sz w:val="24"/>
          <w:szCs w:val="24"/>
        </w:rPr>
      </w:pPr>
    </w:p>
    <w:p w14:paraId="33EFBB8C" w14:textId="77777777" w:rsidR="004C3823" w:rsidRDefault="004C3823" w:rsidP="001C6C03">
      <w:pPr>
        <w:spacing w:line="480" w:lineRule="auto"/>
        <w:rPr>
          <w:sz w:val="24"/>
          <w:szCs w:val="24"/>
        </w:rPr>
      </w:pPr>
    </w:p>
    <w:p w14:paraId="0EFAA67B" w14:textId="77777777" w:rsidR="004C3823" w:rsidRDefault="004C3823" w:rsidP="001C6C03">
      <w:pPr>
        <w:spacing w:line="480" w:lineRule="auto"/>
        <w:rPr>
          <w:sz w:val="24"/>
          <w:szCs w:val="24"/>
        </w:rPr>
      </w:pPr>
    </w:p>
    <w:p w14:paraId="40D16E23" w14:textId="77777777" w:rsidR="004C3823" w:rsidRDefault="004C3823" w:rsidP="001C6C03">
      <w:pPr>
        <w:spacing w:line="480" w:lineRule="auto"/>
        <w:rPr>
          <w:sz w:val="24"/>
          <w:szCs w:val="24"/>
        </w:rPr>
      </w:pPr>
    </w:p>
    <w:p w14:paraId="3D7B0A0F" w14:textId="77777777" w:rsidR="004C3823" w:rsidRDefault="004C3823" w:rsidP="001C6C03">
      <w:pPr>
        <w:spacing w:line="480" w:lineRule="auto"/>
        <w:rPr>
          <w:sz w:val="24"/>
          <w:szCs w:val="24"/>
        </w:rPr>
      </w:pPr>
    </w:p>
    <w:p w14:paraId="343DB705" w14:textId="77777777" w:rsidR="004C3823" w:rsidRDefault="004C3823" w:rsidP="001C6C03">
      <w:pPr>
        <w:spacing w:line="480" w:lineRule="auto"/>
        <w:rPr>
          <w:sz w:val="24"/>
          <w:szCs w:val="24"/>
        </w:rPr>
      </w:pPr>
    </w:p>
    <w:p w14:paraId="3EA2FEED" w14:textId="77777777" w:rsidR="004C3823" w:rsidRDefault="004C3823" w:rsidP="001C6C03">
      <w:pPr>
        <w:spacing w:line="480" w:lineRule="auto"/>
        <w:rPr>
          <w:sz w:val="24"/>
          <w:szCs w:val="24"/>
        </w:rPr>
      </w:pPr>
    </w:p>
    <w:p w14:paraId="0E1AA836" w14:textId="77777777" w:rsidR="004C3823" w:rsidRDefault="004C3823" w:rsidP="001C6C03">
      <w:pPr>
        <w:spacing w:line="480" w:lineRule="auto"/>
        <w:rPr>
          <w:sz w:val="24"/>
          <w:szCs w:val="24"/>
        </w:rPr>
      </w:pPr>
    </w:p>
    <w:p w14:paraId="2FB3D87D" w14:textId="77777777" w:rsidR="004C3823" w:rsidRDefault="004C3823" w:rsidP="001C6C03">
      <w:pPr>
        <w:spacing w:line="480" w:lineRule="auto"/>
        <w:rPr>
          <w:sz w:val="24"/>
          <w:szCs w:val="24"/>
        </w:rPr>
      </w:pPr>
    </w:p>
    <w:p w14:paraId="21850815" w14:textId="77777777" w:rsidR="004C3823" w:rsidRDefault="004C3823" w:rsidP="001C6C03">
      <w:pPr>
        <w:spacing w:line="480" w:lineRule="auto"/>
        <w:rPr>
          <w:sz w:val="24"/>
          <w:szCs w:val="24"/>
        </w:rPr>
      </w:pPr>
    </w:p>
    <w:p w14:paraId="0793CAD9" w14:textId="77777777" w:rsidR="004C3823" w:rsidRDefault="004C3823" w:rsidP="001C6C03">
      <w:pPr>
        <w:spacing w:line="480" w:lineRule="auto"/>
        <w:rPr>
          <w:sz w:val="24"/>
          <w:szCs w:val="24"/>
        </w:rPr>
      </w:pPr>
    </w:p>
    <w:p w14:paraId="4BD9A9AB" w14:textId="77777777" w:rsidR="004C3823" w:rsidRDefault="004C3823" w:rsidP="001C6C03">
      <w:pPr>
        <w:spacing w:line="480" w:lineRule="auto"/>
        <w:rPr>
          <w:sz w:val="24"/>
          <w:szCs w:val="24"/>
        </w:rPr>
      </w:pPr>
    </w:p>
    <w:p w14:paraId="784EDFDB" w14:textId="77777777" w:rsidR="004C3823" w:rsidRDefault="004C3823" w:rsidP="001C6C03">
      <w:pPr>
        <w:spacing w:line="480" w:lineRule="auto"/>
        <w:rPr>
          <w:sz w:val="24"/>
          <w:szCs w:val="24"/>
        </w:rPr>
      </w:pPr>
    </w:p>
    <w:p w14:paraId="693BB5BE" w14:textId="77777777" w:rsidR="004C3823" w:rsidRDefault="004C3823" w:rsidP="001C6C03">
      <w:pPr>
        <w:spacing w:line="480" w:lineRule="auto"/>
        <w:rPr>
          <w:sz w:val="24"/>
          <w:szCs w:val="24"/>
        </w:rPr>
      </w:pPr>
    </w:p>
    <w:p w14:paraId="04EED37E" w14:textId="77777777" w:rsidR="004C3823" w:rsidRPr="00B25CDC" w:rsidRDefault="004C3823" w:rsidP="001C6C03">
      <w:pPr>
        <w:spacing w:line="480" w:lineRule="auto"/>
        <w:rPr>
          <w:sz w:val="24"/>
          <w:szCs w:val="24"/>
        </w:rPr>
      </w:pPr>
    </w:p>
    <w:p w14:paraId="593430DC" w14:textId="77777777" w:rsidR="004C3823" w:rsidRPr="00B25CDC" w:rsidRDefault="004C3823" w:rsidP="0076431A">
      <w:pPr>
        <w:spacing w:line="480" w:lineRule="auto"/>
        <w:rPr>
          <w:b/>
          <w:sz w:val="24"/>
          <w:szCs w:val="24"/>
        </w:rPr>
      </w:pPr>
      <w:r w:rsidRPr="00B25CDC">
        <w:rPr>
          <w:b/>
          <w:sz w:val="24"/>
          <w:szCs w:val="24"/>
        </w:rPr>
        <w:lastRenderedPageBreak/>
        <w:t>4.2 Introduction</w:t>
      </w:r>
    </w:p>
    <w:p w14:paraId="42434894" w14:textId="77777777" w:rsidR="004C3823" w:rsidRPr="00B25CDC" w:rsidRDefault="004C3823" w:rsidP="001C6C03">
      <w:pPr>
        <w:spacing w:line="480" w:lineRule="auto"/>
        <w:ind w:firstLine="720"/>
        <w:rPr>
          <w:sz w:val="24"/>
          <w:szCs w:val="24"/>
        </w:rPr>
      </w:pPr>
      <w:r w:rsidRPr="00B25CDC">
        <w:rPr>
          <w:sz w:val="24"/>
          <w:szCs w:val="24"/>
        </w:rPr>
        <w:t>The seismic wavefield has long been recorded and analyzed by researchers and professionals.  Signals from both natural and anthropogenic sources such as earthquakes or hydrocarbon exploration propagate through the subsurface and are recorded by receivers. However, it is quite often that these signals are contaminated and distorted by acoustic seismic noise which can obscure important signal</w:t>
      </w:r>
      <w:r>
        <w:rPr>
          <w:sz w:val="24"/>
          <w:szCs w:val="24"/>
        </w:rPr>
        <w:t>s</w:t>
      </w:r>
      <w:r w:rsidRPr="00B25CDC">
        <w:rPr>
          <w:sz w:val="24"/>
          <w:szCs w:val="24"/>
        </w:rPr>
        <w:t xml:space="preserve">. Several noise types may exist, </w:t>
      </w:r>
      <w:proofErr w:type="gramStart"/>
      <w:r w:rsidRPr="00B25CDC">
        <w:rPr>
          <w:sz w:val="24"/>
          <w:szCs w:val="24"/>
        </w:rPr>
        <w:t>including,</w:t>
      </w:r>
      <w:proofErr w:type="gramEnd"/>
      <w:r w:rsidRPr="00B25CDC">
        <w:rPr>
          <w:sz w:val="24"/>
          <w:szCs w:val="24"/>
        </w:rPr>
        <w:t xml:space="preserve"> wind, ocean waves, and anthropogenic noise. To improve on the advancement of signal analysis it is important to delineate noise sources such as wind and wind turbines and </w:t>
      </w:r>
      <w:r>
        <w:rPr>
          <w:sz w:val="24"/>
          <w:szCs w:val="24"/>
        </w:rPr>
        <w:t>characterize</w:t>
      </w:r>
      <w:r w:rsidRPr="00B25CDC">
        <w:rPr>
          <w:sz w:val="24"/>
          <w:szCs w:val="24"/>
        </w:rPr>
        <w:t xml:space="preserve"> their influence on the acoustic seismic field. </w:t>
      </w:r>
    </w:p>
    <w:p w14:paraId="2A443BBF" w14:textId="77777777" w:rsidR="004C3823" w:rsidRPr="00B25CDC" w:rsidRDefault="004C3823" w:rsidP="001C6C03">
      <w:pPr>
        <w:spacing w:line="480" w:lineRule="auto"/>
        <w:ind w:firstLine="720"/>
        <w:rPr>
          <w:sz w:val="24"/>
          <w:szCs w:val="24"/>
        </w:rPr>
      </w:pPr>
      <w:r w:rsidRPr="00B25CDC">
        <w:rPr>
          <w:sz w:val="24"/>
          <w:szCs w:val="24"/>
        </w:rPr>
        <w:t xml:space="preserve">Wind energy has been a global growing industry in recent years increasing its global power capacity exponentially from 2000-present. Growth in each wind turbine generation has also led to greater power outputs with an increase in rotor size (EWEA, 2012). </w:t>
      </w:r>
      <w:proofErr w:type="spellStart"/>
      <w:r w:rsidRPr="00B25CDC">
        <w:rPr>
          <w:sz w:val="24"/>
          <w:szCs w:val="24"/>
        </w:rPr>
        <w:t>Meo</w:t>
      </w:r>
      <w:proofErr w:type="spellEnd"/>
      <w:r w:rsidRPr="00B25CDC">
        <w:rPr>
          <w:sz w:val="24"/>
          <w:szCs w:val="24"/>
        </w:rPr>
        <w:t xml:space="preserve"> (2006) summarizes</w:t>
      </w:r>
      <w:r>
        <w:rPr>
          <w:sz w:val="24"/>
          <w:szCs w:val="24"/>
        </w:rPr>
        <w:t>,</w:t>
      </w:r>
      <w:r w:rsidRPr="00B25CDC">
        <w:rPr>
          <w:sz w:val="24"/>
          <w:szCs w:val="24"/>
        </w:rPr>
        <w:t xml:space="preserve"> in</w:t>
      </w:r>
      <w:r>
        <w:rPr>
          <w:sz w:val="24"/>
          <w:szCs w:val="24"/>
        </w:rPr>
        <w:t>-</w:t>
      </w:r>
      <w:r w:rsidRPr="00B25CDC">
        <w:rPr>
          <w:sz w:val="24"/>
          <w:szCs w:val="24"/>
        </w:rPr>
        <w:t>depth, Oklahoma’s expansion into wind energy due to partnerships, policies, infrastructure, economics, environmental, and community impact. These factors contribute to the overall growth of the wind energy industry in the state (Righter, 1996). Man-made structures, machinery, human activity, and natural surface forces such as wind and temperature may generate noise that is coupled and transmitted to the earth and subsequently recorded by seismographs, that detect ground motion small enough to be imperceptible to humans (Wilson</w:t>
      </w:r>
      <w:r>
        <w:rPr>
          <w:sz w:val="24"/>
          <w:szCs w:val="24"/>
        </w:rPr>
        <w:t>,</w:t>
      </w:r>
      <w:r w:rsidRPr="00B25CDC">
        <w:rPr>
          <w:sz w:val="24"/>
          <w:szCs w:val="24"/>
        </w:rPr>
        <w:t xml:space="preserve"> 1953 and Withers et al.</w:t>
      </w:r>
      <w:r>
        <w:rPr>
          <w:sz w:val="24"/>
          <w:szCs w:val="24"/>
        </w:rPr>
        <w:t>,</w:t>
      </w:r>
      <w:r w:rsidRPr="00B25CDC">
        <w:rPr>
          <w:sz w:val="24"/>
          <w:szCs w:val="24"/>
        </w:rPr>
        <w:t xml:space="preserve"> 1996). A</w:t>
      </w:r>
      <w:r>
        <w:rPr>
          <w:sz w:val="24"/>
          <w:szCs w:val="24"/>
        </w:rPr>
        <w:t>s an</w:t>
      </w:r>
      <w:r w:rsidRPr="00B25CDC">
        <w:rPr>
          <w:sz w:val="24"/>
          <w:szCs w:val="24"/>
        </w:rPr>
        <w:t xml:space="preserve"> example</w:t>
      </w:r>
      <w:r>
        <w:rPr>
          <w:sz w:val="24"/>
          <w:szCs w:val="24"/>
        </w:rPr>
        <w:t>,</w:t>
      </w:r>
      <w:r w:rsidRPr="00B25CDC">
        <w:rPr>
          <w:sz w:val="24"/>
          <w:szCs w:val="24"/>
        </w:rPr>
        <w:t xml:space="preserve"> structures such as wind turbines house complex vibration</w:t>
      </w:r>
      <w:r>
        <w:rPr>
          <w:sz w:val="24"/>
          <w:szCs w:val="24"/>
        </w:rPr>
        <w:t>-</w:t>
      </w:r>
      <w:r w:rsidRPr="00B25CDC">
        <w:rPr>
          <w:sz w:val="24"/>
          <w:szCs w:val="24"/>
        </w:rPr>
        <w:t>inducing drive shafts and gears within the nacelle (</w:t>
      </w:r>
      <w:proofErr w:type="spellStart"/>
      <w:r w:rsidRPr="00B25CDC">
        <w:rPr>
          <w:sz w:val="24"/>
          <w:szCs w:val="24"/>
        </w:rPr>
        <w:t>Hemami</w:t>
      </w:r>
      <w:proofErr w:type="spellEnd"/>
      <w:r w:rsidRPr="00B25CDC">
        <w:rPr>
          <w:sz w:val="24"/>
          <w:szCs w:val="24"/>
        </w:rPr>
        <w:t xml:space="preserve">, 2012) which may transmit vibrations into the subsurface. Less well known is the extent of the magnitude of source and </w:t>
      </w:r>
      <w:r w:rsidRPr="00B25CDC">
        <w:rPr>
          <w:sz w:val="24"/>
          <w:szCs w:val="24"/>
        </w:rPr>
        <w:lastRenderedPageBreak/>
        <w:t xml:space="preserve">coupling and how it varies with distance as the energy propagates through the surface since source signals are unique to each source and are modified by the path and site effects. </w:t>
      </w:r>
    </w:p>
    <w:p w14:paraId="16B4CA08" w14:textId="77777777" w:rsidR="004C3823" w:rsidRPr="00B25CDC" w:rsidRDefault="004C3823" w:rsidP="001C6C03">
      <w:pPr>
        <w:spacing w:line="480" w:lineRule="auto"/>
        <w:ind w:firstLine="720"/>
        <w:rPr>
          <w:sz w:val="24"/>
          <w:szCs w:val="24"/>
        </w:rPr>
      </w:pPr>
      <w:r w:rsidRPr="00B25CDC">
        <w:rPr>
          <w:sz w:val="24"/>
          <w:szCs w:val="24"/>
        </w:rPr>
        <w:t>Seismic noise generated by wind turbines poses a scenario where both natural wind source coupling and resonance frequencies of the turbine blades and towers are transmitted through the subsurface. Resonance from harmonic waves</w:t>
      </w:r>
      <w:r>
        <w:rPr>
          <w:sz w:val="24"/>
          <w:szCs w:val="24"/>
        </w:rPr>
        <w:t xml:space="preserve"> for much larger sources</w:t>
      </w:r>
      <w:r w:rsidRPr="00B25CDC">
        <w:rPr>
          <w:sz w:val="24"/>
          <w:szCs w:val="24"/>
        </w:rPr>
        <w:t xml:space="preserve"> </w:t>
      </w:r>
      <w:r>
        <w:rPr>
          <w:sz w:val="24"/>
          <w:szCs w:val="24"/>
        </w:rPr>
        <w:t xml:space="preserve">can amplify earthquake waves and </w:t>
      </w:r>
      <w:r w:rsidRPr="00B25CDC">
        <w:rPr>
          <w:sz w:val="24"/>
          <w:szCs w:val="24"/>
        </w:rPr>
        <w:t xml:space="preserve">cause structural damage, such as </w:t>
      </w:r>
      <w:r>
        <w:rPr>
          <w:sz w:val="24"/>
          <w:szCs w:val="24"/>
        </w:rPr>
        <w:t>was observed during the</w:t>
      </w:r>
      <w:r w:rsidRPr="00B25CDC">
        <w:rPr>
          <w:sz w:val="24"/>
          <w:szCs w:val="24"/>
        </w:rPr>
        <w:t xml:space="preserve"> 1987 Whittier earthquake (Vidale et al., 1991), where basin resonance caused significant localized damage to buildings. Resonance is primarily from earthquake shaking in the fundamental frequency but can occur from overtones (Rial et al., 1992). Previous studies in wind variations have shown a general increase in seismic noise with </w:t>
      </w:r>
      <w:r>
        <w:rPr>
          <w:sz w:val="24"/>
          <w:szCs w:val="24"/>
        </w:rPr>
        <w:t xml:space="preserve">the </w:t>
      </w:r>
      <w:r w:rsidRPr="00B25CDC">
        <w:rPr>
          <w:sz w:val="24"/>
          <w:szCs w:val="24"/>
        </w:rPr>
        <w:t>wind with no apparent fundamental frequency at which the wind was observed (</w:t>
      </w:r>
      <w:proofErr w:type="spellStart"/>
      <w:r w:rsidRPr="00B25CDC">
        <w:rPr>
          <w:sz w:val="24"/>
          <w:szCs w:val="24"/>
        </w:rPr>
        <w:t>Muccaiarelli</w:t>
      </w:r>
      <w:proofErr w:type="spellEnd"/>
      <w:r w:rsidRPr="00B25CDC">
        <w:rPr>
          <w:sz w:val="24"/>
          <w:szCs w:val="24"/>
        </w:rPr>
        <w:t xml:space="preserve"> et al., 2005). However, other studies have suggested wind energy to be observed at higher frequency bands (Wilson</w:t>
      </w:r>
      <w:r>
        <w:rPr>
          <w:sz w:val="24"/>
          <w:szCs w:val="24"/>
        </w:rPr>
        <w:t>,</w:t>
      </w:r>
      <w:r w:rsidRPr="00B25CDC">
        <w:rPr>
          <w:sz w:val="24"/>
          <w:szCs w:val="24"/>
        </w:rPr>
        <w:t xml:space="preserve"> 1953; Withers et al.</w:t>
      </w:r>
      <w:r>
        <w:rPr>
          <w:sz w:val="24"/>
          <w:szCs w:val="24"/>
        </w:rPr>
        <w:t>,</w:t>
      </w:r>
      <w:r w:rsidRPr="00B25CDC">
        <w:rPr>
          <w:sz w:val="24"/>
          <w:szCs w:val="24"/>
        </w:rPr>
        <w:t xml:space="preserve"> 1996; Young et al.</w:t>
      </w:r>
      <w:r>
        <w:rPr>
          <w:sz w:val="24"/>
          <w:szCs w:val="24"/>
        </w:rPr>
        <w:t>,</w:t>
      </w:r>
      <w:r w:rsidRPr="00B25CDC">
        <w:rPr>
          <w:sz w:val="24"/>
          <w:szCs w:val="24"/>
        </w:rPr>
        <w:t xml:space="preserve"> 1996; and </w:t>
      </w:r>
      <w:proofErr w:type="spellStart"/>
      <w:r w:rsidRPr="00B25CDC">
        <w:rPr>
          <w:sz w:val="24"/>
          <w:szCs w:val="24"/>
        </w:rPr>
        <w:t>Teanby</w:t>
      </w:r>
      <w:proofErr w:type="spellEnd"/>
      <w:r w:rsidRPr="00B25CDC">
        <w:rPr>
          <w:sz w:val="24"/>
          <w:szCs w:val="24"/>
        </w:rPr>
        <w:t xml:space="preserve"> et al.</w:t>
      </w:r>
      <w:r>
        <w:rPr>
          <w:sz w:val="24"/>
          <w:szCs w:val="24"/>
        </w:rPr>
        <w:t>,</w:t>
      </w:r>
      <w:r w:rsidRPr="00B25CDC">
        <w:rPr>
          <w:sz w:val="24"/>
          <w:szCs w:val="24"/>
        </w:rPr>
        <w:t xml:space="preserve"> 2016)</w:t>
      </w:r>
      <w:r>
        <w:rPr>
          <w:sz w:val="24"/>
          <w:szCs w:val="24"/>
        </w:rPr>
        <w:t xml:space="preserve">, though the measured </w:t>
      </w:r>
      <w:r w:rsidRPr="00B25CDC">
        <w:rPr>
          <w:sz w:val="24"/>
          <w:szCs w:val="24"/>
        </w:rPr>
        <w:t xml:space="preserve">source frequency bands </w:t>
      </w:r>
      <w:r>
        <w:rPr>
          <w:sz w:val="24"/>
          <w:szCs w:val="24"/>
        </w:rPr>
        <w:t>vary</w:t>
      </w:r>
      <w:r w:rsidRPr="00B25CDC">
        <w:rPr>
          <w:sz w:val="24"/>
          <w:szCs w:val="24"/>
        </w:rPr>
        <w:t xml:space="preserve"> between</w:t>
      </w:r>
      <w:r>
        <w:rPr>
          <w:sz w:val="24"/>
          <w:szCs w:val="24"/>
        </w:rPr>
        <w:t xml:space="preserve"> these</w:t>
      </w:r>
      <w:r w:rsidRPr="00B25CDC">
        <w:rPr>
          <w:sz w:val="24"/>
          <w:szCs w:val="24"/>
        </w:rPr>
        <w:t xml:space="preserve"> studies. To improve</w:t>
      </w:r>
      <w:r>
        <w:rPr>
          <w:sz w:val="24"/>
          <w:szCs w:val="24"/>
        </w:rPr>
        <w:t xml:space="preserve"> our</w:t>
      </w:r>
      <w:r w:rsidRPr="00B25CDC">
        <w:rPr>
          <w:sz w:val="24"/>
          <w:szCs w:val="24"/>
        </w:rPr>
        <w:t xml:space="preserve"> understanding of seismic signal sources such as earthquake or wind turbine fundamental frequencies, we must understand the characteristics of the noise as an essential first step before a desired signal can be isolated.  </w:t>
      </w:r>
    </w:p>
    <w:p w14:paraId="30B75EDD" w14:textId="77777777" w:rsidR="004C3823" w:rsidRPr="00B25CDC" w:rsidRDefault="004C3823" w:rsidP="0076431A">
      <w:pPr>
        <w:spacing w:line="480" w:lineRule="auto"/>
        <w:rPr>
          <w:sz w:val="24"/>
          <w:szCs w:val="24"/>
        </w:rPr>
      </w:pPr>
      <w:r w:rsidRPr="00B25CDC">
        <w:rPr>
          <w:b/>
          <w:sz w:val="24"/>
          <w:szCs w:val="24"/>
        </w:rPr>
        <w:t>4.3 Data acquisition and processing</w:t>
      </w:r>
    </w:p>
    <w:p w14:paraId="05BF027B" w14:textId="77777777" w:rsidR="004C3823" w:rsidRPr="00B25CDC" w:rsidRDefault="004C3823" w:rsidP="001C6C03">
      <w:pPr>
        <w:spacing w:line="480" w:lineRule="auto"/>
        <w:ind w:firstLine="720"/>
        <w:rPr>
          <w:sz w:val="24"/>
          <w:szCs w:val="24"/>
        </w:rPr>
      </w:pPr>
      <w:r w:rsidRPr="00B25CDC">
        <w:rPr>
          <w:sz w:val="24"/>
          <w:szCs w:val="24"/>
        </w:rPr>
        <w:t>For this study, we select a high</w:t>
      </w:r>
      <w:r>
        <w:rPr>
          <w:sz w:val="24"/>
          <w:szCs w:val="24"/>
        </w:rPr>
        <w:t>-</w:t>
      </w:r>
      <w:r w:rsidRPr="00B25CDC">
        <w:rPr>
          <w:sz w:val="24"/>
          <w:szCs w:val="24"/>
        </w:rPr>
        <w:t>noise environment of wind turbines to observe wind turbine</w:t>
      </w:r>
      <w:r>
        <w:rPr>
          <w:sz w:val="24"/>
          <w:szCs w:val="24"/>
        </w:rPr>
        <w:t>-</w:t>
      </w:r>
      <w:r w:rsidRPr="00B25CDC">
        <w:rPr>
          <w:sz w:val="24"/>
          <w:szCs w:val="24"/>
        </w:rPr>
        <w:t xml:space="preserve">influenced signals. We compare our findings with measurements from a location of lesser noise and without wind turbines to determine the effects wind turbines have on the local acoustic seismic wavefield. Seismic data is acquired from a small temporary geophone (Fairfield </w:t>
      </w:r>
      <w:proofErr w:type="spellStart"/>
      <w:r w:rsidRPr="00B25CDC">
        <w:rPr>
          <w:sz w:val="24"/>
          <w:szCs w:val="24"/>
        </w:rPr>
        <w:lastRenderedPageBreak/>
        <w:t>Zland</w:t>
      </w:r>
      <w:proofErr w:type="spellEnd"/>
      <w:r w:rsidRPr="00B25CDC">
        <w:rPr>
          <w:sz w:val="24"/>
          <w:szCs w:val="24"/>
        </w:rPr>
        <w:t xml:space="preserve"> 3T) array of 8 three-component sensors for a duration of 1 month from December 2017 – January 2018 (</w:t>
      </w:r>
      <w:r w:rsidRPr="00B25CDC">
        <w:rPr>
          <w:b/>
          <w:bCs/>
          <w:sz w:val="24"/>
          <w:szCs w:val="24"/>
        </w:rPr>
        <w:t>Figure 4.1</w:t>
      </w:r>
      <w:r w:rsidRPr="00B25CDC">
        <w:rPr>
          <w:sz w:val="24"/>
          <w:szCs w:val="24"/>
        </w:rPr>
        <w:t xml:space="preserve">) in Grant County, Oklahoma. A second temporary array of 65 additional Fairfield </w:t>
      </w:r>
      <w:proofErr w:type="spellStart"/>
      <w:r w:rsidRPr="00B25CDC">
        <w:rPr>
          <w:sz w:val="24"/>
          <w:szCs w:val="24"/>
        </w:rPr>
        <w:t>Zland</w:t>
      </w:r>
      <w:proofErr w:type="spellEnd"/>
      <w:r w:rsidRPr="00B25CDC">
        <w:rPr>
          <w:sz w:val="24"/>
          <w:szCs w:val="24"/>
        </w:rPr>
        <w:t xml:space="preserve"> 3T sensors were also deployed between November 2017 – December 2017 with 30 overlapping days in Alfalfa County, approximately 50 km northwest of the Grant County array. The nodes </w:t>
      </w:r>
      <w:r>
        <w:rPr>
          <w:sz w:val="24"/>
          <w:szCs w:val="24"/>
        </w:rPr>
        <w:t xml:space="preserve">were </w:t>
      </w:r>
      <w:r w:rsidRPr="00B25CDC">
        <w:rPr>
          <w:sz w:val="24"/>
          <w:szCs w:val="24"/>
        </w:rPr>
        <w:t xml:space="preserve">recorded at the frequency of 500Hz and later </w:t>
      </w:r>
      <w:proofErr w:type="gramStart"/>
      <w:r w:rsidRPr="00B25CDC">
        <w:rPr>
          <w:sz w:val="24"/>
          <w:szCs w:val="24"/>
        </w:rPr>
        <w:t>down</w:t>
      </w:r>
      <w:r>
        <w:rPr>
          <w:sz w:val="24"/>
          <w:szCs w:val="24"/>
        </w:rPr>
        <w:t>-</w:t>
      </w:r>
      <w:r w:rsidRPr="00B25CDC">
        <w:rPr>
          <w:sz w:val="24"/>
          <w:szCs w:val="24"/>
        </w:rPr>
        <w:t>sampled</w:t>
      </w:r>
      <w:proofErr w:type="gramEnd"/>
      <w:r w:rsidRPr="00B25CDC">
        <w:rPr>
          <w:sz w:val="24"/>
          <w:szCs w:val="24"/>
        </w:rPr>
        <w:t xml:space="preserve"> to 100Hz. An example of the continuous waveform recordings from both arrays </w:t>
      </w:r>
      <w:r>
        <w:rPr>
          <w:sz w:val="24"/>
          <w:szCs w:val="24"/>
        </w:rPr>
        <w:t>is</w:t>
      </w:r>
      <w:r w:rsidRPr="00B25CDC">
        <w:rPr>
          <w:sz w:val="24"/>
          <w:szCs w:val="24"/>
        </w:rPr>
        <w:t xml:space="preserve"> shown in </w:t>
      </w:r>
      <w:r w:rsidRPr="00B25CDC">
        <w:rPr>
          <w:b/>
          <w:bCs/>
          <w:sz w:val="24"/>
          <w:szCs w:val="24"/>
        </w:rPr>
        <w:t>Figure 4.2</w:t>
      </w:r>
      <w:r w:rsidRPr="00B25CDC">
        <w:rPr>
          <w:sz w:val="24"/>
          <w:szCs w:val="24"/>
        </w:rPr>
        <w:t xml:space="preserve"> showing a transient low</w:t>
      </w:r>
      <w:r>
        <w:rPr>
          <w:sz w:val="24"/>
          <w:szCs w:val="24"/>
        </w:rPr>
        <w:t>-</w:t>
      </w:r>
      <w:r w:rsidRPr="00B25CDC">
        <w:rPr>
          <w:sz w:val="24"/>
          <w:szCs w:val="24"/>
        </w:rPr>
        <w:t>magnitude earthquake and background noise. It shows variations in waveform amplitude between the two locations. At both array locations</w:t>
      </w:r>
      <w:r>
        <w:rPr>
          <w:sz w:val="24"/>
          <w:szCs w:val="24"/>
        </w:rPr>
        <w:t>,</w:t>
      </w:r>
      <w:r w:rsidRPr="00B25CDC">
        <w:rPr>
          <w:sz w:val="24"/>
          <w:szCs w:val="24"/>
        </w:rPr>
        <w:t xml:space="preserve"> the nodes are buried one inch below the ground surface in a relatively homogenous surface soil. Surface soil conditions at Grant County are varying degrees of silt loam whereas Alfalfa County’s array is predominately on fine sandy loam north of Great Salt Plains Lake (Soil Survey Staff</w:t>
      </w:r>
      <w:r>
        <w:rPr>
          <w:sz w:val="24"/>
          <w:szCs w:val="24"/>
        </w:rPr>
        <w:t>,</w:t>
      </w:r>
      <w:r w:rsidRPr="00B25CDC">
        <w:rPr>
          <w:sz w:val="24"/>
          <w:szCs w:val="24"/>
        </w:rPr>
        <w:t xml:space="preserve"> 2018), with a shallow ground water table of approximately 3 m (USGS, 2016) for both locations. Ground</w:t>
      </w:r>
      <w:r>
        <w:rPr>
          <w:sz w:val="24"/>
          <w:szCs w:val="24"/>
        </w:rPr>
        <w:t>-</w:t>
      </w:r>
      <w:r w:rsidRPr="00B25CDC">
        <w:rPr>
          <w:sz w:val="24"/>
          <w:szCs w:val="24"/>
        </w:rPr>
        <w:t xml:space="preserve">level weather conditions such as wind speed, direction, and temperature are measured by </w:t>
      </w:r>
      <w:r>
        <w:rPr>
          <w:sz w:val="24"/>
          <w:szCs w:val="24"/>
        </w:rPr>
        <w:t xml:space="preserve">the </w:t>
      </w:r>
      <w:r w:rsidRPr="00B25CDC">
        <w:rPr>
          <w:sz w:val="24"/>
          <w:szCs w:val="24"/>
        </w:rPr>
        <w:t xml:space="preserve">Oklahoma </w:t>
      </w:r>
      <w:proofErr w:type="spellStart"/>
      <w:r w:rsidRPr="00B25CDC">
        <w:rPr>
          <w:sz w:val="24"/>
          <w:szCs w:val="24"/>
        </w:rPr>
        <w:t>Mesonet</w:t>
      </w:r>
      <w:proofErr w:type="spellEnd"/>
      <w:r w:rsidRPr="00B25CDC">
        <w:rPr>
          <w:sz w:val="24"/>
          <w:szCs w:val="24"/>
        </w:rPr>
        <w:t xml:space="preserve"> </w:t>
      </w:r>
      <w:r>
        <w:rPr>
          <w:sz w:val="24"/>
          <w:szCs w:val="24"/>
        </w:rPr>
        <w:t xml:space="preserve">weather </w:t>
      </w:r>
      <w:r w:rsidRPr="00B25CDC">
        <w:rPr>
          <w:sz w:val="24"/>
          <w:szCs w:val="24"/>
        </w:rPr>
        <w:t xml:space="preserve">network and </w:t>
      </w:r>
      <w:r>
        <w:rPr>
          <w:sz w:val="24"/>
          <w:szCs w:val="24"/>
        </w:rPr>
        <w:t xml:space="preserve">are </w:t>
      </w:r>
      <w:r w:rsidRPr="00B25CDC">
        <w:rPr>
          <w:sz w:val="24"/>
          <w:szCs w:val="24"/>
        </w:rPr>
        <w:t>publicly available (Brock et al., 1995</w:t>
      </w:r>
      <w:r>
        <w:rPr>
          <w:sz w:val="24"/>
          <w:szCs w:val="24"/>
        </w:rPr>
        <w:t>;</w:t>
      </w:r>
      <w:r w:rsidRPr="00B25CDC">
        <w:rPr>
          <w:sz w:val="24"/>
          <w:szCs w:val="24"/>
        </w:rPr>
        <w:t xml:space="preserve"> McPherson et al., 2007), with a sampling rate of 300 seconds. The nearest </w:t>
      </w:r>
      <w:proofErr w:type="spellStart"/>
      <w:r w:rsidRPr="00B25CDC">
        <w:rPr>
          <w:sz w:val="24"/>
          <w:szCs w:val="24"/>
        </w:rPr>
        <w:t>Mesonet</w:t>
      </w:r>
      <w:proofErr w:type="spellEnd"/>
      <w:r w:rsidRPr="00B25CDC">
        <w:rPr>
          <w:sz w:val="24"/>
          <w:szCs w:val="24"/>
        </w:rPr>
        <w:t xml:space="preserve"> station, Medford (MEDF), is 25 km to the northwest of Grant County. We compare the recordings to a concurrent array located 50 km to the northwest in Alfalfa County where wind turbines are absent. The wind turbines in Grant County are classified as monopole-horizontal-axis wind turbines used in electricity production by transforming slow turbine blade rotation to a high-speed rotation for a generator axle through gear ratios, </w:t>
      </w:r>
      <w:proofErr w:type="gramStart"/>
      <w:r w:rsidRPr="00B25CDC">
        <w:rPr>
          <w:sz w:val="24"/>
          <w:szCs w:val="24"/>
        </w:rPr>
        <w:t>similar to</w:t>
      </w:r>
      <w:proofErr w:type="gramEnd"/>
      <w:r>
        <w:rPr>
          <w:sz w:val="24"/>
          <w:szCs w:val="24"/>
        </w:rPr>
        <w:t xml:space="preserve"> the</w:t>
      </w:r>
      <w:r w:rsidRPr="00B25CDC">
        <w:rPr>
          <w:sz w:val="24"/>
          <w:szCs w:val="24"/>
        </w:rPr>
        <w:t xml:space="preserve"> transmission in an automobile.  The monopole wind turbines in Grant County have a blade length of 41.25 m, </w:t>
      </w:r>
      <w:r>
        <w:rPr>
          <w:sz w:val="24"/>
          <w:szCs w:val="24"/>
        </w:rPr>
        <w:t xml:space="preserve">a </w:t>
      </w:r>
      <w:r w:rsidRPr="00B25CDC">
        <w:rPr>
          <w:sz w:val="24"/>
          <w:szCs w:val="24"/>
        </w:rPr>
        <w:t xml:space="preserve">total height of 121.25 m, and </w:t>
      </w:r>
      <w:r>
        <w:rPr>
          <w:sz w:val="24"/>
          <w:szCs w:val="24"/>
        </w:rPr>
        <w:t xml:space="preserve">an </w:t>
      </w:r>
      <w:r w:rsidRPr="00B25CDC">
        <w:rPr>
          <w:sz w:val="24"/>
          <w:szCs w:val="24"/>
        </w:rPr>
        <w:t xml:space="preserve">average rotation of 12 to 14 revolutions per minute. The time series measurements as </w:t>
      </w:r>
      <w:r w:rsidRPr="00B25CDC">
        <w:rPr>
          <w:sz w:val="24"/>
          <w:szCs w:val="24"/>
        </w:rPr>
        <w:lastRenderedPageBreak/>
        <w:t xml:space="preserve">exampled in </w:t>
      </w:r>
      <w:r w:rsidRPr="00B25CDC">
        <w:rPr>
          <w:b/>
          <w:bCs/>
          <w:sz w:val="24"/>
          <w:szCs w:val="24"/>
        </w:rPr>
        <w:t>Figure 4.2</w:t>
      </w:r>
      <w:r w:rsidRPr="00B25CDC">
        <w:rPr>
          <w:sz w:val="24"/>
          <w:szCs w:val="24"/>
        </w:rPr>
        <w:t xml:space="preserve"> from the nodal arrays, </w:t>
      </w:r>
      <m:oMath>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t</m:t>
            </m:r>
          </m:e>
        </m:d>
      </m:oMath>
      <w:r w:rsidRPr="00B25CDC">
        <w:rPr>
          <w:sz w:val="24"/>
          <w:szCs w:val="24"/>
        </w:rPr>
        <w:t xml:space="preserve">, are transformed using the fast Fourier transform, </w:t>
      </w:r>
      <m:oMath>
        <m:r>
          <w:rPr>
            <w:rFonts w:ascii="Cambria Math" w:hAnsi="Cambria Math"/>
            <w:sz w:val="24"/>
            <w:szCs w:val="24"/>
          </w:rPr>
          <m:t>F</m:t>
        </m:r>
        <m:d>
          <m:dPr>
            <m:ctrlPr>
              <w:rPr>
                <w:rFonts w:ascii="Cambria Math" w:hAnsi="Cambria Math"/>
                <w:i/>
                <w:sz w:val="24"/>
                <w:szCs w:val="24"/>
              </w:rPr>
            </m:ctrlPr>
          </m:dPr>
          <m:e>
            <m:r>
              <w:rPr>
                <w:rFonts w:ascii="Cambria Math" w:hAnsi="Cambria Math" w:cs="Cambria Math"/>
                <w:sz w:val="24"/>
                <w:szCs w:val="24"/>
                <w:lang w:bidi="en-US"/>
              </w:rPr>
              <m:t>ω</m:t>
            </m:r>
          </m:e>
        </m:d>
      </m:oMath>
      <w:r w:rsidRPr="00B25CDC">
        <w:rPr>
          <w:sz w:val="24"/>
          <w:szCs w:val="24"/>
        </w:rPr>
        <w:t xml:space="preserve">, in </w:t>
      </w:r>
      <w:r w:rsidRPr="00B25CDC">
        <w:rPr>
          <w:b/>
          <w:bCs/>
          <w:sz w:val="24"/>
          <w:szCs w:val="24"/>
        </w:rPr>
        <w:t xml:space="preserve">equation </w:t>
      </w:r>
      <w:r>
        <w:rPr>
          <w:b/>
          <w:bCs/>
          <w:sz w:val="24"/>
          <w:szCs w:val="24"/>
        </w:rPr>
        <w:t>4.</w:t>
      </w:r>
      <w:r w:rsidRPr="00B25CDC">
        <w:rPr>
          <w:b/>
          <w:bCs/>
          <w:sz w:val="24"/>
          <w:szCs w:val="24"/>
        </w:rPr>
        <w:t>1</w:t>
      </w:r>
      <w:r w:rsidRPr="00B25CDC">
        <w:rPr>
          <w:sz w:val="24"/>
          <w:szCs w:val="24"/>
        </w:rPr>
        <w:t xml:space="preserve"> such as in </w:t>
      </w:r>
      <w:r w:rsidRPr="00B25CDC">
        <w:rPr>
          <w:b/>
          <w:bCs/>
          <w:sz w:val="24"/>
          <w:szCs w:val="24"/>
        </w:rPr>
        <w:t>Figure 4.3</w:t>
      </w:r>
      <w:r>
        <w:rPr>
          <w:b/>
          <w:bCs/>
          <w:sz w:val="24"/>
          <w:szCs w:val="24"/>
        </w:rPr>
        <w:t>,</w:t>
      </w:r>
      <w:r w:rsidRPr="00B25CDC">
        <w:rPr>
          <w:sz w:val="24"/>
          <w:szCs w:val="24"/>
        </w:rPr>
        <w:t xml:space="preserve"> and later compared with local weather conditions in </w:t>
      </w:r>
      <w:r w:rsidRPr="00B25CDC">
        <w:rPr>
          <w:b/>
          <w:bCs/>
          <w:sz w:val="24"/>
          <w:szCs w:val="24"/>
        </w:rPr>
        <w:t>Figure 4.4</w:t>
      </w:r>
      <w:r w:rsidRPr="00B25CDC">
        <w:rPr>
          <w:sz w:val="24"/>
          <w:szCs w:val="24"/>
        </w:rPr>
        <w:t>.</w:t>
      </w:r>
    </w:p>
    <w:p w14:paraId="0BCED306" w14:textId="77777777" w:rsidR="004C3823" w:rsidRPr="00B25CDC" w:rsidRDefault="004C3823" w:rsidP="00C72344">
      <w:pPr>
        <w:spacing w:line="480" w:lineRule="auto"/>
        <w:jc w:val="both"/>
        <w:rPr>
          <w:rFonts w:eastAsiaTheme="minorEastAsia"/>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cs="Cambria Math"/>
                  <w:sz w:val="24"/>
                  <w:szCs w:val="24"/>
                  <w:lang w:bidi="en-US"/>
                </w:rPr>
                <m:t>ω</m:t>
              </m:r>
            </m:e>
          </m:d>
          <m:r>
            <w:rPr>
              <w:rFonts w:ascii="Cambria Math" w:hAnsi="Cambria Math"/>
              <w:sz w:val="24"/>
              <w:szCs w:val="24"/>
            </w:rPr>
            <m:t>=</m:t>
          </m:r>
          <m:sSup>
            <m:sSupPr>
              <m:ctrlPr>
                <w:rPr>
                  <w:rFonts w:ascii="Cambria Math" w:hAnsi="Cambria Math"/>
                  <w:i/>
                  <w:sz w:val="24"/>
                  <w:szCs w:val="24"/>
                </w:rPr>
              </m:ctrlPr>
            </m:sSup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2π</m:t>
                  </m:r>
                </m:den>
              </m:f>
              <m:nary>
                <m:naryPr>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T</m:t>
                  </m:r>
                </m:sup>
                <m:e>
                  <m:sSup>
                    <m:sSupPr>
                      <m:ctrlPr>
                        <w:rPr>
                          <w:rFonts w:ascii="Cambria Math" w:hAnsi="Cambria Math"/>
                          <w:i/>
                          <w:sz w:val="24"/>
                          <w:szCs w:val="24"/>
                        </w:rPr>
                      </m:ctrlPr>
                    </m:sSupPr>
                    <m:e>
                      <m:r>
                        <w:rPr>
                          <w:rFonts w:ascii="Cambria Math" w:hAnsi="Cambria Math"/>
                          <w:sz w:val="24"/>
                          <w:szCs w:val="24"/>
                        </w:rPr>
                        <m:t>f</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e</m:t>
                      </m:r>
                    </m:e>
                    <m:sup>
                      <m:r>
                        <w:rPr>
                          <w:rFonts w:ascii="Cambria Math" w:hAnsi="Cambria Math"/>
                          <w:sz w:val="24"/>
                          <w:szCs w:val="24"/>
                        </w:rPr>
                        <m:t>iωt</m:t>
                      </m:r>
                    </m:sup>
                  </m:sSup>
                  <m:r>
                    <w:rPr>
                      <w:rFonts w:ascii="Cambria Math" w:hAnsi="Cambria Math"/>
                      <w:sz w:val="24"/>
                      <w:szCs w:val="24"/>
                    </w:rPr>
                    <m:t>d</m:t>
                  </m:r>
                  <m:r>
                    <w:rPr>
                      <w:rFonts w:ascii="Cambria Math" w:hAnsi="Cambria Math" w:cs="Cambria Math"/>
                      <w:sz w:val="24"/>
                      <w:szCs w:val="24"/>
                      <w:lang w:bidi="en-US"/>
                    </w:rPr>
                    <m:t>t</m:t>
                  </m:r>
                </m:e>
              </m:nary>
            </m:e>
            <m:sup/>
          </m:sSup>
        </m:oMath>
      </m:oMathPara>
    </w:p>
    <w:p w14:paraId="18823259" w14:textId="77777777" w:rsidR="004C3823" w:rsidRPr="00B25CDC" w:rsidRDefault="004C3823" w:rsidP="001C6C03">
      <w:pPr>
        <w:spacing w:line="480" w:lineRule="auto"/>
        <w:jc w:val="right"/>
        <w:rPr>
          <w:rFonts w:eastAsiaTheme="minorEastAsia"/>
          <w:sz w:val="24"/>
          <w:szCs w:val="24"/>
        </w:rPr>
      </w:pPr>
      <w:r>
        <w:rPr>
          <w:rFonts w:eastAsiaTheme="minorEastAsia"/>
          <w:sz w:val="24"/>
          <w:szCs w:val="24"/>
        </w:rPr>
        <w:t>(4.</w:t>
      </w:r>
      <w:r w:rsidRPr="00B25CDC">
        <w:rPr>
          <w:rFonts w:eastAsiaTheme="minorEastAsia"/>
          <w:sz w:val="24"/>
          <w:szCs w:val="24"/>
        </w:rPr>
        <w:t>1</w:t>
      </w:r>
      <w:r>
        <w:rPr>
          <w:rFonts w:eastAsiaTheme="minorEastAsia"/>
          <w:sz w:val="24"/>
          <w:szCs w:val="24"/>
        </w:rPr>
        <w:t>)</w:t>
      </w:r>
    </w:p>
    <w:p w14:paraId="55D23767" w14:textId="77777777" w:rsidR="004C3823" w:rsidRPr="00B25CDC" w:rsidRDefault="004C3823" w:rsidP="00C72344">
      <w:pPr>
        <w:spacing w:line="480" w:lineRule="auto"/>
        <w:jc w:val="both"/>
        <w:rPr>
          <w:rFonts w:eastAsiaTheme="minorEastAsia"/>
          <w:sz w:val="24"/>
          <w:szCs w:val="24"/>
          <w:lang w:bidi="en-US"/>
        </w:rPr>
      </w:pPr>
      <w:r w:rsidRPr="00B25CDC">
        <w:rPr>
          <w:sz w:val="24"/>
          <w:szCs w:val="24"/>
        </w:rPr>
        <w:t xml:space="preserve">Where T is the length of the time series, we use 300 seconds for each component, and </w:t>
      </w:r>
      <m:oMath>
        <m:r>
          <w:rPr>
            <w:rFonts w:ascii="Cambria Math" w:hAnsi="Cambria Math" w:cs="Cambria Math"/>
            <w:sz w:val="24"/>
            <w:szCs w:val="24"/>
            <w:lang w:bidi="en-US"/>
          </w:rPr>
          <m:t>ω</m:t>
        </m:r>
      </m:oMath>
      <w:r w:rsidRPr="00B25CDC">
        <w:rPr>
          <w:rFonts w:eastAsiaTheme="minorEastAsia"/>
          <w:sz w:val="24"/>
          <w:szCs w:val="24"/>
          <w:lang w:bidi="en-US"/>
        </w:rPr>
        <w:t xml:space="preserve"> is frequency. A noise</w:t>
      </w:r>
      <w:r>
        <w:rPr>
          <w:rFonts w:eastAsiaTheme="minorEastAsia"/>
          <w:sz w:val="24"/>
          <w:szCs w:val="24"/>
          <w:lang w:bidi="en-US"/>
        </w:rPr>
        <w:t>-</w:t>
      </w:r>
      <w:r w:rsidRPr="00B25CDC">
        <w:rPr>
          <w:rFonts w:eastAsiaTheme="minorEastAsia"/>
          <w:sz w:val="24"/>
          <w:szCs w:val="24"/>
          <w:lang w:bidi="en-US"/>
        </w:rPr>
        <w:t xml:space="preserve">corrected power spectrum </w:t>
      </w:r>
      <w:r w:rsidRPr="00B25CDC">
        <w:rPr>
          <w:sz w:val="24"/>
          <w:szCs w:val="24"/>
        </w:rPr>
        <w:t>(Cooley and Turkey, 1965)</w:t>
      </w:r>
      <w:r w:rsidRPr="00B25CDC">
        <w:rPr>
          <w:rFonts w:eastAsiaTheme="minorEastAsia"/>
          <w:sz w:val="24"/>
          <w:szCs w:val="24"/>
          <w:lang w:bidi="en-US"/>
        </w:rPr>
        <w:t xml:space="preserve">, </w:t>
      </w:r>
      <m:oMath>
        <m:r>
          <w:rPr>
            <w:rFonts w:ascii="Cambria Math" w:hAnsi="Cambria Math"/>
            <w:sz w:val="24"/>
            <w:szCs w:val="24"/>
          </w:rPr>
          <m:t>P</m:t>
        </m:r>
        <m:d>
          <m:dPr>
            <m:ctrlPr>
              <w:rPr>
                <w:rFonts w:ascii="Cambria Math" w:hAnsi="Cambria Math"/>
                <w:i/>
                <w:sz w:val="24"/>
                <w:szCs w:val="24"/>
              </w:rPr>
            </m:ctrlPr>
          </m:dPr>
          <m:e>
            <m:r>
              <w:rPr>
                <w:rFonts w:ascii="Cambria Math" w:hAnsi="Cambria Math" w:cs="Cambria Math"/>
                <w:sz w:val="24"/>
                <w:szCs w:val="24"/>
                <w:lang w:bidi="en-US"/>
              </w:rPr>
              <m:t>ω</m:t>
            </m:r>
          </m:e>
        </m:d>
      </m:oMath>
      <w:r w:rsidRPr="00B25CDC">
        <w:rPr>
          <w:rFonts w:eastAsiaTheme="minorEastAsia"/>
          <w:sz w:val="24"/>
          <w:szCs w:val="24"/>
          <w:lang w:bidi="en-US"/>
        </w:rPr>
        <w:t>, is computed by calculating the base-10 logarithm of the moving mean and mean spectrum ra</w:t>
      </w:r>
      <w:proofErr w:type="spellStart"/>
      <w:r w:rsidRPr="00B25CDC">
        <w:rPr>
          <w:rFonts w:eastAsiaTheme="minorEastAsia"/>
          <w:sz w:val="24"/>
          <w:szCs w:val="24"/>
          <w:lang w:bidi="en-US"/>
        </w:rPr>
        <w:t>tio</w:t>
      </w:r>
      <w:proofErr w:type="spellEnd"/>
      <w:r w:rsidRPr="00B25CDC">
        <w:rPr>
          <w:rFonts w:eastAsiaTheme="minorEastAsia"/>
          <w:sz w:val="24"/>
          <w:szCs w:val="24"/>
          <w:lang w:bidi="en-US"/>
        </w:rPr>
        <w:t xml:space="preserve"> in </w:t>
      </w:r>
      <w:r w:rsidRPr="00B25CDC">
        <w:rPr>
          <w:rFonts w:eastAsiaTheme="minorEastAsia"/>
          <w:b/>
          <w:bCs/>
          <w:sz w:val="24"/>
          <w:szCs w:val="24"/>
          <w:lang w:bidi="en-US"/>
        </w:rPr>
        <w:t xml:space="preserve">equation </w:t>
      </w:r>
      <w:r>
        <w:rPr>
          <w:rFonts w:eastAsiaTheme="minorEastAsia"/>
          <w:b/>
          <w:bCs/>
          <w:sz w:val="24"/>
          <w:szCs w:val="24"/>
          <w:lang w:bidi="en-US"/>
        </w:rPr>
        <w:t>4.</w:t>
      </w:r>
      <w:r w:rsidRPr="00B25CDC">
        <w:rPr>
          <w:rFonts w:eastAsiaTheme="minorEastAsia"/>
          <w:b/>
          <w:bCs/>
          <w:sz w:val="24"/>
          <w:szCs w:val="24"/>
          <w:lang w:bidi="en-US"/>
        </w:rPr>
        <w:t>2.</w:t>
      </w:r>
    </w:p>
    <w:p w14:paraId="7CA457A9" w14:textId="77777777" w:rsidR="004C3823" w:rsidRPr="00B25CDC" w:rsidRDefault="004C3823" w:rsidP="00C72344">
      <w:pPr>
        <w:spacing w:line="480" w:lineRule="auto"/>
        <w:jc w:val="both"/>
        <w:rPr>
          <w:sz w:val="24"/>
          <w:szCs w:val="24"/>
        </w:rPr>
      </w:pPr>
    </w:p>
    <w:p w14:paraId="47C3E827" w14:textId="77777777" w:rsidR="004C3823" w:rsidRPr="00B25CDC" w:rsidRDefault="004C3823" w:rsidP="00C72344">
      <w:pPr>
        <w:spacing w:line="480" w:lineRule="auto"/>
        <w:jc w:val="both"/>
        <w:rPr>
          <w:sz w:val="24"/>
          <w:szCs w:val="24"/>
          <w:lang w:bidi="en-US"/>
        </w:rPr>
      </w:pPr>
    </w:p>
    <w:p w14:paraId="41AE0073" w14:textId="77777777" w:rsidR="004C3823" w:rsidRPr="00B25CDC" w:rsidRDefault="004C3823" w:rsidP="00C72344">
      <w:pPr>
        <w:spacing w:line="480" w:lineRule="auto"/>
        <w:jc w:val="both"/>
        <w:rPr>
          <w:sz w:val="24"/>
          <w:szCs w:val="24"/>
          <w:lang w:bidi="en-US"/>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cs="Cambria Math"/>
                  <w:sz w:val="24"/>
                  <w:szCs w:val="24"/>
                  <w:lang w:bidi="en-US"/>
                </w:rPr>
                <m:t>ω</m:t>
              </m:r>
              <m:ctrlPr>
                <w:rPr>
                  <w:rFonts w:ascii="Cambria Math" w:hAnsi="Cambria Math" w:cs="Cambria Math"/>
                  <w:i/>
                  <w:sz w:val="24"/>
                  <w:szCs w:val="24"/>
                  <w:lang w:bidi="en-US"/>
                </w:rPr>
              </m:ctrlPr>
            </m:e>
          </m:d>
          <m:r>
            <w:rPr>
              <w:rFonts w:ascii="Cambria Math" w:hAnsi="Cambria Math" w:cs="Cambria Math"/>
              <w:sz w:val="24"/>
              <w:szCs w:val="24"/>
              <w:lang w:bidi="en-US"/>
            </w:rPr>
            <m:t>=10</m:t>
          </m:r>
          <m:func>
            <m:funcPr>
              <m:ctrlPr>
                <w:rPr>
                  <w:rFonts w:ascii="Cambria Math" w:hAnsi="Cambria Math" w:cs="Cambria Math"/>
                  <w:i/>
                  <w:sz w:val="24"/>
                  <w:szCs w:val="24"/>
                  <w:lang w:bidi="en-US"/>
                </w:rPr>
              </m:ctrlPr>
            </m:funcPr>
            <m:fName>
              <m:r>
                <m:rPr>
                  <m:sty m:val="p"/>
                </m:rPr>
                <w:rPr>
                  <w:rFonts w:ascii="Cambria Math" w:hAnsi="Cambria Math" w:cs="Cambria Math"/>
                  <w:sz w:val="24"/>
                  <w:szCs w:val="24"/>
                  <w:lang w:bidi="en-US"/>
                </w:rPr>
                <m:t>log</m:t>
              </m:r>
            </m:fName>
            <m:e>
              <m:r>
                <w:rPr>
                  <w:rFonts w:ascii="Cambria Math" w:hAnsi="Cambria Math" w:cs="Cambria Math"/>
                  <w:sz w:val="24"/>
                  <w:szCs w:val="24"/>
                  <w:lang w:bidi="en-US"/>
                </w:rPr>
                <m:t>(</m:t>
              </m:r>
              <m:f>
                <m:fPr>
                  <m:ctrlPr>
                    <w:rPr>
                      <w:rFonts w:ascii="Cambria Math" w:hAnsi="Cambria Math" w:cs="Cambria Math"/>
                      <w:i/>
                      <w:sz w:val="24"/>
                      <w:szCs w:val="24"/>
                      <w:lang w:bidi="en-US"/>
                    </w:rPr>
                  </m:ctrlPr>
                </m:fPr>
                <m:num>
                  <m:r>
                    <w:rPr>
                      <w:rFonts w:ascii="Cambria Math" w:hAnsi="Cambria Math" w:cs="Cambria Math"/>
                      <w:sz w:val="24"/>
                      <w:szCs w:val="24"/>
                      <w:lang w:bidi="en-US"/>
                    </w:rPr>
                    <m:t>(</m:t>
                  </m:r>
                  <m:f>
                    <m:fPr>
                      <m:ctrlPr>
                        <w:rPr>
                          <w:rFonts w:ascii="Cambria Math" w:hAnsi="Cambria Math" w:cs="Cambria Math"/>
                          <w:i/>
                          <w:sz w:val="24"/>
                          <w:szCs w:val="24"/>
                          <w:lang w:bidi="en-US"/>
                        </w:rPr>
                      </m:ctrlPr>
                    </m:fPr>
                    <m:num>
                      <m:r>
                        <w:rPr>
                          <w:rFonts w:ascii="Cambria Math" w:hAnsi="Cambria Math" w:cs="Cambria Math"/>
                          <w:sz w:val="24"/>
                          <w:szCs w:val="24"/>
                          <w:lang w:bidi="en-US"/>
                        </w:rPr>
                        <m:t>1</m:t>
                      </m:r>
                    </m:num>
                    <m:den>
                      <m:r>
                        <w:rPr>
                          <w:rFonts w:ascii="Cambria Math" w:hAnsi="Cambria Math" w:cs="Cambria Math"/>
                          <w:sz w:val="24"/>
                          <w:szCs w:val="24"/>
                          <w:lang w:bidi="en-US"/>
                        </w:rPr>
                        <m:t>k</m:t>
                      </m:r>
                    </m:den>
                  </m:f>
                  <m:nary>
                    <m:naryPr>
                      <m:chr m:val="∑"/>
                      <m:limLoc m:val="undOvr"/>
                      <m:ctrlPr>
                        <w:rPr>
                          <w:rFonts w:ascii="Cambria Math" w:hAnsi="Cambria Math" w:cs="Cambria Math"/>
                          <w:i/>
                          <w:sz w:val="24"/>
                          <w:szCs w:val="24"/>
                          <w:lang w:bidi="en-US"/>
                        </w:rPr>
                      </m:ctrlPr>
                    </m:naryPr>
                    <m:sub>
                      <m:r>
                        <w:rPr>
                          <w:rFonts w:ascii="Cambria Math" w:hAnsi="Cambria Math" w:cs="Cambria Math"/>
                          <w:sz w:val="24"/>
                          <w:szCs w:val="24"/>
                          <w:lang w:bidi="en-US"/>
                        </w:rPr>
                        <m:t>i=n-k+1</m:t>
                      </m:r>
                    </m:sub>
                    <m:sup>
                      <m:r>
                        <w:rPr>
                          <w:rFonts w:ascii="Cambria Math" w:hAnsi="Cambria Math" w:cs="Cambria Math"/>
                          <w:sz w:val="24"/>
                          <w:szCs w:val="24"/>
                          <w:lang w:bidi="en-US"/>
                        </w:rPr>
                        <m:t>n</m:t>
                      </m:r>
                    </m:sup>
                    <m:e>
                      <m:sSub>
                        <m:sSubPr>
                          <m:ctrlPr>
                            <w:rPr>
                              <w:rFonts w:ascii="Cambria Math" w:hAnsi="Cambria Math"/>
                              <w:i/>
                              <w:sz w:val="24"/>
                              <w:szCs w:val="24"/>
                            </w:rPr>
                          </m:ctrlPr>
                        </m:sSubPr>
                        <m:e>
                          <m:r>
                            <w:rPr>
                              <w:rFonts w:ascii="Cambria Math" w:hAnsi="Cambria Math"/>
                              <w:sz w:val="24"/>
                              <w:szCs w:val="24"/>
                            </w:rPr>
                            <m:t>F</m:t>
                          </m:r>
                          <m:d>
                            <m:dPr>
                              <m:ctrlPr>
                                <w:rPr>
                                  <w:rFonts w:ascii="Cambria Math" w:hAnsi="Cambria Math"/>
                                  <w:i/>
                                  <w:sz w:val="24"/>
                                  <w:szCs w:val="24"/>
                                </w:rPr>
                              </m:ctrlPr>
                            </m:dPr>
                            <m:e>
                              <m:r>
                                <w:rPr>
                                  <w:rFonts w:ascii="Cambria Math" w:hAnsi="Cambria Math" w:cs="Cambria Math"/>
                                  <w:sz w:val="24"/>
                                  <w:szCs w:val="24"/>
                                  <w:lang w:bidi="en-US"/>
                                </w:rPr>
                                <m:t>ω</m:t>
                              </m:r>
                            </m:e>
                          </m:d>
                        </m:e>
                        <m:sub>
                          <m:r>
                            <w:rPr>
                              <w:rFonts w:ascii="Cambria Math" w:hAnsi="Cambria Math"/>
                              <w:sz w:val="24"/>
                              <w:szCs w:val="24"/>
                            </w:rPr>
                            <m:t>i</m:t>
                          </m:r>
                        </m:sub>
                      </m:sSub>
                      <m:r>
                        <w:rPr>
                          <w:rFonts w:ascii="Cambria Math" w:hAnsi="Cambria Math"/>
                          <w:sz w:val="24"/>
                          <w:szCs w:val="24"/>
                        </w:rPr>
                        <m:t xml:space="preserve">)+ϵ </m:t>
                      </m:r>
                    </m:e>
                  </m:nary>
                </m:num>
                <m:den>
                  <m:f>
                    <m:fPr>
                      <m:ctrlPr>
                        <w:rPr>
                          <w:rFonts w:ascii="Cambria Math" w:hAnsi="Cambria Math"/>
                          <w:i/>
                          <w:sz w:val="24"/>
                          <w:szCs w:val="24"/>
                        </w:rPr>
                      </m:ctrlPr>
                    </m:fPr>
                    <m:num>
                      <m:r>
                        <w:rPr>
                          <w:rFonts w:ascii="Cambria Math" w:hAnsi="Cambria Math"/>
                          <w:sz w:val="24"/>
                          <w:szCs w:val="24"/>
                        </w:rPr>
                        <m:t xml:space="preserve"> F</m:t>
                      </m:r>
                      <m:d>
                        <m:dPr>
                          <m:ctrlPr>
                            <w:rPr>
                              <w:rFonts w:ascii="Cambria Math" w:hAnsi="Cambria Math"/>
                              <w:i/>
                              <w:sz w:val="24"/>
                              <w:szCs w:val="24"/>
                            </w:rPr>
                          </m:ctrlPr>
                        </m:dPr>
                        <m:e>
                          <m:r>
                            <w:rPr>
                              <w:rFonts w:ascii="Cambria Math" w:hAnsi="Cambria Math" w:cs="Cambria Math"/>
                              <w:sz w:val="24"/>
                              <w:szCs w:val="24"/>
                              <w:lang w:bidi="en-US"/>
                            </w:rPr>
                            <m:t>ω</m:t>
                          </m:r>
                        </m:e>
                      </m:d>
                    </m:num>
                    <m:den>
                      <m:r>
                        <w:rPr>
                          <w:rFonts w:ascii="Cambria Math" w:hAnsi="Cambria Math"/>
                          <w:sz w:val="24"/>
                          <w:szCs w:val="24"/>
                        </w:rPr>
                        <m:t>n</m:t>
                      </m:r>
                    </m:den>
                  </m:f>
                </m:den>
              </m:f>
              <m:r>
                <w:rPr>
                  <w:rFonts w:ascii="Cambria Math" w:hAnsi="Cambria Math" w:cs="Cambria Math"/>
                  <w:sz w:val="24"/>
                  <w:szCs w:val="24"/>
                  <w:lang w:bidi="en-US"/>
                </w:rPr>
                <m:t>)</m:t>
              </m:r>
            </m:e>
          </m:func>
        </m:oMath>
      </m:oMathPara>
    </w:p>
    <w:p w14:paraId="4B542547" w14:textId="77777777" w:rsidR="004C3823" w:rsidRPr="00B25CDC" w:rsidRDefault="004C3823" w:rsidP="00C72344">
      <w:pPr>
        <w:spacing w:line="480" w:lineRule="auto"/>
        <w:jc w:val="both"/>
        <w:rPr>
          <w:sz w:val="24"/>
          <w:szCs w:val="24"/>
        </w:rPr>
      </w:pPr>
    </w:p>
    <w:p w14:paraId="7626E50A" w14:textId="77777777" w:rsidR="004C3823" w:rsidRPr="00B25CDC" w:rsidRDefault="004C3823" w:rsidP="001C6C03">
      <w:pPr>
        <w:spacing w:line="480" w:lineRule="auto"/>
        <w:jc w:val="right"/>
        <w:rPr>
          <w:sz w:val="24"/>
          <w:szCs w:val="24"/>
        </w:rPr>
      </w:pPr>
      <w:r>
        <w:rPr>
          <w:sz w:val="24"/>
          <w:szCs w:val="24"/>
        </w:rPr>
        <w:t>(4.</w:t>
      </w:r>
      <w:r w:rsidRPr="00B25CDC">
        <w:rPr>
          <w:sz w:val="24"/>
          <w:szCs w:val="24"/>
        </w:rPr>
        <w:t>2</w:t>
      </w:r>
      <w:r>
        <w:rPr>
          <w:sz w:val="24"/>
          <w:szCs w:val="24"/>
        </w:rPr>
        <w:t>)</w:t>
      </w:r>
    </w:p>
    <w:p w14:paraId="4D2D9F14" w14:textId="77777777" w:rsidR="004C3823" w:rsidRPr="00B25CDC" w:rsidRDefault="004C3823" w:rsidP="00C72344">
      <w:pPr>
        <w:spacing w:line="480" w:lineRule="auto"/>
        <w:jc w:val="both"/>
        <w:rPr>
          <w:sz w:val="24"/>
          <w:szCs w:val="24"/>
        </w:rPr>
      </w:pPr>
    </w:p>
    <w:p w14:paraId="6A3C9236" w14:textId="77777777" w:rsidR="004C3823" w:rsidRPr="00B25CDC" w:rsidRDefault="004C3823" w:rsidP="001C6C03">
      <w:pPr>
        <w:spacing w:line="480" w:lineRule="auto"/>
        <w:ind w:firstLine="720"/>
        <w:rPr>
          <w:sz w:val="24"/>
          <w:szCs w:val="24"/>
        </w:rPr>
      </w:pPr>
      <w:r w:rsidRPr="00B25CDC">
        <w:rPr>
          <w:sz w:val="24"/>
          <w:szCs w:val="24"/>
        </w:rPr>
        <w:t>The power spectrum is used to evaluate a broad range of noise at a given station and enhances the relative variations in seismic power, allowing the signal to be better</w:t>
      </w:r>
      <w:r>
        <w:rPr>
          <w:sz w:val="24"/>
          <w:szCs w:val="24"/>
        </w:rPr>
        <w:t>-</w:t>
      </w:r>
      <w:r w:rsidRPr="00B25CDC">
        <w:rPr>
          <w:sz w:val="24"/>
          <w:szCs w:val="24"/>
        </w:rPr>
        <w:t xml:space="preserve">distinguished relative to background noise levels. We apply a moving average window, k=5, to a frequency spectrum array </w:t>
      </w:r>
      <w:r>
        <w:rPr>
          <w:sz w:val="24"/>
          <w:szCs w:val="24"/>
        </w:rPr>
        <w:t xml:space="preserve">with </w:t>
      </w:r>
      <w:r w:rsidRPr="00B25CDC">
        <w:rPr>
          <w:sz w:val="24"/>
          <w:szCs w:val="24"/>
        </w:rPr>
        <w:t xml:space="preserve">respect to time, n, and divide by the average frequency spectrum for each </w:t>
      </w:r>
      <w:r w:rsidRPr="00B25CDC">
        <w:rPr>
          <w:sz w:val="24"/>
          <w:szCs w:val="24"/>
        </w:rPr>
        <w:lastRenderedPageBreak/>
        <w:t xml:space="preserve">time series window, T. Adding epsilon, </w:t>
      </w:r>
      <m:oMath>
        <m:r>
          <w:rPr>
            <w:rFonts w:ascii="Cambria Math" w:hAnsi="Cambria Math"/>
            <w:sz w:val="24"/>
            <w:szCs w:val="24"/>
          </w:rPr>
          <m:t>ϵ</m:t>
        </m:r>
      </m:oMath>
      <w:r w:rsidRPr="00B25CDC">
        <w:rPr>
          <w:sz w:val="24"/>
          <w:szCs w:val="24"/>
        </w:rPr>
        <w:t>, to the numerator ensures that the division does not result in an undefined or infinite value, providing a small positive value that avoids numerical errors. We use spectra to observe differences between different conditions throughout the deployment duration such as day and nighttime hours and low and high wind conditions (</w:t>
      </w:r>
      <w:r w:rsidRPr="00B25CDC">
        <w:rPr>
          <w:b/>
          <w:bCs/>
          <w:sz w:val="24"/>
          <w:szCs w:val="24"/>
        </w:rPr>
        <w:t>Figure 4.5</w:t>
      </w:r>
      <w:r w:rsidRPr="00B25CDC">
        <w:rPr>
          <w:sz w:val="24"/>
          <w:szCs w:val="24"/>
        </w:rPr>
        <w:t>). Day hours, loosely defined as 8</w:t>
      </w:r>
      <w:r>
        <w:rPr>
          <w:sz w:val="24"/>
          <w:szCs w:val="24"/>
        </w:rPr>
        <w:t xml:space="preserve"> </w:t>
      </w:r>
      <w:r w:rsidRPr="00B25CDC">
        <w:rPr>
          <w:sz w:val="24"/>
          <w:szCs w:val="24"/>
        </w:rPr>
        <w:t>am – 5</w:t>
      </w:r>
      <w:r>
        <w:rPr>
          <w:sz w:val="24"/>
          <w:szCs w:val="24"/>
        </w:rPr>
        <w:t xml:space="preserve"> </w:t>
      </w:r>
      <w:r w:rsidRPr="00B25CDC">
        <w:rPr>
          <w:sz w:val="24"/>
          <w:szCs w:val="24"/>
        </w:rPr>
        <w:t>pm, are considered for their propensity for elevated noise levels when compared with night hours, 10</w:t>
      </w:r>
      <w:r>
        <w:rPr>
          <w:sz w:val="24"/>
          <w:szCs w:val="24"/>
        </w:rPr>
        <w:t xml:space="preserve"> </w:t>
      </w:r>
      <w:r w:rsidRPr="00B25CDC">
        <w:rPr>
          <w:sz w:val="24"/>
          <w:szCs w:val="24"/>
        </w:rPr>
        <w:t>pm – 4</w:t>
      </w:r>
      <w:r>
        <w:rPr>
          <w:sz w:val="24"/>
          <w:szCs w:val="24"/>
        </w:rPr>
        <w:t xml:space="preserve"> </w:t>
      </w:r>
      <w:r w:rsidRPr="00B25CDC">
        <w:rPr>
          <w:sz w:val="24"/>
          <w:szCs w:val="24"/>
        </w:rPr>
        <w:t>am. We define wind speeds up to 3 m/s as low-speed wind and above 5</w:t>
      </w:r>
      <w:r>
        <w:rPr>
          <w:sz w:val="24"/>
          <w:szCs w:val="24"/>
        </w:rPr>
        <w:t xml:space="preserve"> </w:t>
      </w:r>
      <w:r w:rsidRPr="00B25CDC">
        <w:rPr>
          <w:sz w:val="24"/>
          <w:szCs w:val="24"/>
        </w:rPr>
        <w:t>m/s as high-speed wind since wind turbines are designed to turn on close to the low wind speed cut</w:t>
      </w:r>
      <w:r>
        <w:rPr>
          <w:sz w:val="24"/>
          <w:szCs w:val="24"/>
        </w:rPr>
        <w:t>-</w:t>
      </w:r>
      <w:r w:rsidRPr="00B25CDC">
        <w:rPr>
          <w:sz w:val="24"/>
          <w:szCs w:val="24"/>
        </w:rPr>
        <w:t xml:space="preserve">off speed. Signal spectra </w:t>
      </w:r>
      <w:r>
        <w:rPr>
          <w:sz w:val="24"/>
          <w:szCs w:val="24"/>
        </w:rPr>
        <w:t>are</w:t>
      </w:r>
      <w:r w:rsidRPr="00B25CDC">
        <w:rPr>
          <w:sz w:val="24"/>
          <w:szCs w:val="24"/>
        </w:rPr>
        <w:t xml:space="preserve"> subsequently used to estimate site conditions and noise source location through methods such as HVSR for single</w:t>
      </w:r>
      <w:r>
        <w:rPr>
          <w:sz w:val="24"/>
          <w:szCs w:val="24"/>
        </w:rPr>
        <w:t>-</w:t>
      </w:r>
      <w:r w:rsidRPr="00B25CDC">
        <w:rPr>
          <w:sz w:val="24"/>
          <w:szCs w:val="24"/>
        </w:rPr>
        <w:t>station site response and cross</w:t>
      </w:r>
      <w:r>
        <w:rPr>
          <w:sz w:val="24"/>
          <w:szCs w:val="24"/>
        </w:rPr>
        <w:t>-</w:t>
      </w:r>
      <w:r w:rsidRPr="00B25CDC">
        <w:rPr>
          <w:sz w:val="24"/>
          <w:szCs w:val="24"/>
        </w:rPr>
        <w:t xml:space="preserve">coherence for tracking signal propagation. </w:t>
      </w:r>
    </w:p>
    <w:p w14:paraId="30C21A8D" w14:textId="77777777" w:rsidR="004C3823" w:rsidRPr="00B25CDC" w:rsidRDefault="004C3823" w:rsidP="0076431A">
      <w:pPr>
        <w:spacing w:line="480" w:lineRule="auto"/>
        <w:rPr>
          <w:b/>
          <w:sz w:val="24"/>
          <w:szCs w:val="24"/>
        </w:rPr>
      </w:pPr>
      <w:r w:rsidRPr="00B25CDC">
        <w:rPr>
          <w:b/>
          <w:sz w:val="24"/>
          <w:szCs w:val="24"/>
        </w:rPr>
        <w:t>4.</w:t>
      </w:r>
      <w:r>
        <w:rPr>
          <w:b/>
          <w:sz w:val="24"/>
          <w:szCs w:val="24"/>
        </w:rPr>
        <w:t>3.1</w:t>
      </w:r>
      <w:r w:rsidRPr="00B25CDC">
        <w:rPr>
          <w:b/>
          <w:sz w:val="24"/>
          <w:szCs w:val="24"/>
        </w:rPr>
        <w:t xml:space="preserve"> Horizontal to </w:t>
      </w:r>
      <w:r>
        <w:rPr>
          <w:b/>
          <w:sz w:val="24"/>
          <w:szCs w:val="24"/>
        </w:rPr>
        <w:t>V</w:t>
      </w:r>
      <w:r w:rsidRPr="00B25CDC">
        <w:rPr>
          <w:b/>
          <w:sz w:val="24"/>
          <w:szCs w:val="24"/>
        </w:rPr>
        <w:t xml:space="preserve">ertical </w:t>
      </w:r>
      <w:r>
        <w:rPr>
          <w:b/>
          <w:sz w:val="24"/>
          <w:szCs w:val="24"/>
        </w:rPr>
        <w:t>S</w:t>
      </w:r>
      <w:r w:rsidRPr="00B25CDC">
        <w:rPr>
          <w:b/>
          <w:sz w:val="24"/>
          <w:szCs w:val="24"/>
        </w:rPr>
        <w:t xml:space="preserve">pectral </w:t>
      </w:r>
      <w:r>
        <w:rPr>
          <w:b/>
          <w:sz w:val="24"/>
          <w:szCs w:val="24"/>
        </w:rPr>
        <w:t>R</w:t>
      </w:r>
      <w:r w:rsidRPr="00B25CDC">
        <w:rPr>
          <w:b/>
          <w:sz w:val="24"/>
          <w:szCs w:val="24"/>
        </w:rPr>
        <w:t>atio</w:t>
      </w:r>
    </w:p>
    <w:p w14:paraId="21817382" w14:textId="77777777" w:rsidR="004C3823" w:rsidRPr="00B25CDC" w:rsidRDefault="004C3823" w:rsidP="0076431A">
      <w:pPr>
        <w:spacing w:line="480" w:lineRule="auto"/>
        <w:ind w:firstLine="720"/>
        <w:rPr>
          <w:bCs/>
          <w:sz w:val="24"/>
          <w:szCs w:val="24"/>
        </w:rPr>
      </w:pPr>
      <w:r w:rsidRPr="00B25CDC">
        <w:rPr>
          <w:sz w:val="24"/>
          <w:szCs w:val="24"/>
        </w:rPr>
        <w:t xml:space="preserve">Horizontal to Vertical Spectral Ratio (HVSR) (Nakamura 1989) is often used in </w:t>
      </w:r>
      <w:proofErr w:type="spellStart"/>
      <w:r w:rsidRPr="00B25CDC">
        <w:rPr>
          <w:sz w:val="24"/>
          <w:szCs w:val="24"/>
        </w:rPr>
        <w:t>microzonation</w:t>
      </w:r>
      <w:proofErr w:type="spellEnd"/>
      <w:r w:rsidRPr="00B25CDC">
        <w:rPr>
          <w:sz w:val="24"/>
          <w:szCs w:val="24"/>
        </w:rPr>
        <w:t xml:space="preserve"> studies to quantify site effects in terms of resonance frequency, geologic surface conditions, and site amplification factor. Generally, it is recommended to use transient signal</w:t>
      </w:r>
      <w:r>
        <w:rPr>
          <w:sz w:val="24"/>
          <w:szCs w:val="24"/>
        </w:rPr>
        <w:t>-</w:t>
      </w:r>
      <w:r w:rsidRPr="00B25CDC">
        <w:rPr>
          <w:sz w:val="24"/>
          <w:szCs w:val="24"/>
        </w:rPr>
        <w:t xml:space="preserve">free and calm environment recordings for ambient noise HVSR to analyze the background noise wavefield for interpretation of the subsurface structure through fundamental resonant frequencies. </w:t>
      </w:r>
      <w:r w:rsidRPr="00B25CDC">
        <w:rPr>
          <w:bCs/>
          <w:sz w:val="24"/>
          <w:szCs w:val="24"/>
        </w:rPr>
        <w:t>The HVSR technique is a commonly used method in geophysics and earthquake engineering to estimate the resonant frequency from the ratio of the spectral ratios of horizontal and vertical components,</w:t>
      </w:r>
      <w:r w:rsidRPr="00B25CDC">
        <w:rPr>
          <w:rFonts w:ascii="Cambria Math" w:hAnsi="Cambria Math"/>
          <w:i/>
          <w:sz w:val="24"/>
          <w:szCs w:val="24"/>
        </w:rPr>
        <w:t xml:space="preserve"> </w:t>
      </w:r>
      <m:oMath>
        <m:r>
          <w:rPr>
            <w:rFonts w:ascii="Cambria Math" w:hAnsi="Cambria Math"/>
            <w:sz w:val="24"/>
            <w:szCs w:val="24"/>
          </w:rPr>
          <m:t>H/V</m:t>
        </m:r>
        <m:d>
          <m:dPr>
            <m:ctrlPr>
              <w:rPr>
                <w:rFonts w:ascii="Cambria Math" w:hAnsi="Cambria Math"/>
                <w:i/>
                <w:sz w:val="24"/>
                <w:szCs w:val="24"/>
              </w:rPr>
            </m:ctrlPr>
          </m:dPr>
          <m:e>
            <m:r>
              <w:rPr>
                <w:rFonts w:ascii="Cambria Math" w:hAnsi="Cambria Math"/>
                <w:sz w:val="24"/>
                <w:szCs w:val="24"/>
              </w:rPr>
              <m:t>f</m:t>
            </m:r>
          </m:e>
        </m:d>
      </m:oMath>
      <w:r w:rsidRPr="00B25CDC">
        <w:rPr>
          <w:bCs/>
          <w:sz w:val="24"/>
          <w:szCs w:val="24"/>
        </w:rPr>
        <w:t xml:space="preserve">, of ground motion recorded at a site as expressed in </w:t>
      </w:r>
      <w:r w:rsidRPr="00B25CDC">
        <w:rPr>
          <w:b/>
          <w:sz w:val="24"/>
          <w:szCs w:val="24"/>
        </w:rPr>
        <w:t xml:space="preserve">equation </w:t>
      </w:r>
      <w:r>
        <w:rPr>
          <w:b/>
          <w:sz w:val="24"/>
          <w:szCs w:val="24"/>
        </w:rPr>
        <w:t>4.</w:t>
      </w:r>
      <w:r w:rsidRPr="00B25CDC">
        <w:rPr>
          <w:b/>
          <w:sz w:val="24"/>
          <w:szCs w:val="24"/>
        </w:rPr>
        <w:t>3</w:t>
      </w:r>
      <w:r w:rsidRPr="00B25CDC">
        <w:rPr>
          <w:bCs/>
          <w:sz w:val="24"/>
          <w:szCs w:val="24"/>
        </w:rPr>
        <w:t xml:space="preserve">. </w:t>
      </w:r>
      <w:r w:rsidRPr="00B25CDC">
        <w:rPr>
          <w:sz w:val="24"/>
          <w:szCs w:val="24"/>
        </w:rPr>
        <w:t xml:space="preserve">Where the root geometric mean square ratio of the two horizontal spectra, </w:t>
      </w:r>
      <m:oMath>
        <m:r>
          <w:rPr>
            <w:rFonts w:ascii="Cambria Math" w:hAnsi="Cambria Math"/>
            <w:sz w:val="24"/>
            <w:szCs w:val="24"/>
          </w:rPr>
          <m:t>H</m:t>
        </m:r>
      </m:oMath>
      <w:r w:rsidRPr="00B25CDC">
        <w:rPr>
          <w:sz w:val="24"/>
          <w:szCs w:val="24"/>
        </w:rPr>
        <w:t xml:space="preserve">, is taken over twice the vertical spectra. </w:t>
      </w:r>
      <w:r w:rsidRPr="00B25CDC">
        <w:rPr>
          <w:bCs/>
          <w:sz w:val="24"/>
          <w:szCs w:val="24"/>
        </w:rPr>
        <w:t xml:space="preserve">The resonant frequency is an important parameter for </w:t>
      </w:r>
      <w:r w:rsidRPr="00B25CDC">
        <w:rPr>
          <w:bCs/>
          <w:sz w:val="24"/>
          <w:szCs w:val="24"/>
        </w:rPr>
        <w:lastRenderedPageBreak/>
        <w:t xml:space="preserve">seismic hazard assessment, as it determines the level of amplification of ground motion that occurs at a site during an earthquake. </w:t>
      </w:r>
    </w:p>
    <w:p w14:paraId="7E39055C" w14:textId="77777777" w:rsidR="004C3823" w:rsidRPr="00B25CDC" w:rsidRDefault="004C3823" w:rsidP="0076431A">
      <w:pPr>
        <w:spacing w:line="480" w:lineRule="auto"/>
        <w:ind w:firstLine="720"/>
        <w:rPr>
          <w:bCs/>
          <w:sz w:val="24"/>
          <w:szCs w:val="24"/>
        </w:rPr>
      </w:pPr>
      <w:r w:rsidRPr="00B25CDC">
        <w:rPr>
          <w:bCs/>
          <w:sz w:val="24"/>
          <w:szCs w:val="24"/>
        </w:rPr>
        <w:t>The method can be applied to different types of data, such as seismic, acoustic, or ambient vibration data, and can be used to study a wide range of phenomena, including the effects of geologic and structural features on ground motion, the characterization of soil and rock properties, and the evaluation of the vulnerability of structures to earthquake damage.</w:t>
      </w:r>
    </w:p>
    <w:p w14:paraId="6C8F9108" w14:textId="77777777" w:rsidR="004C3823" w:rsidRPr="00B25CDC" w:rsidRDefault="004C3823" w:rsidP="001C6C03">
      <w:pPr>
        <w:spacing w:line="480" w:lineRule="auto"/>
        <w:ind w:firstLine="720"/>
        <w:rPr>
          <w:sz w:val="24"/>
          <w:szCs w:val="24"/>
        </w:rPr>
      </w:pPr>
      <w:r w:rsidRPr="00B25CDC">
        <w:rPr>
          <w:sz w:val="24"/>
          <w:szCs w:val="24"/>
        </w:rPr>
        <w:t>We determine the HVSR curve for each station and analyze the results in accordance with the Site Effects Assessment Using Ambient Excitations (SESAME) guidelines Chatelain et al. (2008). These guidelines</w:t>
      </w:r>
      <w:r>
        <w:rPr>
          <w:sz w:val="24"/>
          <w:szCs w:val="24"/>
        </w:rPr>
        <w:t>, which</w:t>
      </w:r>
      <w:r w:rsidRPr="00B25CDC">
        <w:rPr>
          <w:sz w:val="24"/>
          <w:szCs w:val="24"/>
        </w:rPr>
        <w:t xml:space="preserve"> are empirically derived</w:t>
      </w:r>
      <w:r>
        <w:rPr>
          <w:sz w:val="24"/>
          <w:szCs w:val="24"/>
        </w:rPr>
        <w:t>,</w:t>
      </w:r>
      <w:r w:rsidRPr="00B25CDC">
        <w:rPr>
          <w:sz w:val="24"/>
          <w:szCs w:val="24"/>
        </w:rPr>
        <w:t xml:space="preserve"> provide an estimate </w:t>
      </w:r>
      <w:r>
        <w:rPr>
          <w:sz w:val="24"/>
          <w:szCs w:val="24"/>
        </w:rPr>
        <w:t>of</w:t>
      </w:r>
      <w:r w:rsidRPr="00B25CDC">
        <w:rPr>
          <w:sz w:val="24"/>
          <w:szCs w:val="24"/>
        </w:rPr>
        <w:t xml:space="preserve"> site amplification and meaning to the HVSR. Albarello et al. (2011) implemented the HVSR approach to have three conditions for curve reliability</w:t>
      </w:r>
      <w:r>
        <w:rPr>
          <w:sz w:val="24"/>
          <w:szCs w:val="24"/>
        </w:rPr>
        <w:t xml:space="preserve"> </w:t>
      </w:r>
      <w:r w:rsidRPr="00B25CDC">
        <w:rPr>
          <w:sz w:val="24"/>
          <w:szCs w:val="24"/>
        </w:rPr>
        <w:t xml:space="preserve">and five criteria for </w:t>
      </w:r>
      <w:r>
        <w:rPr>
          <w:sz w:val="24"/>
          <w:szCs w:val="24"/>
        </w:rPr>
        <w:t xml:space="preserve">the </w:t>
      </w:r>
      <w:r w:rsidRPr="00B25CDC">
        <w:rPr>
          <w:sz w:val="24"/>
          <w:szCs w:val="24"/>
        </w:rPr>
        <w:t xml:space="preserve">identification of a peak fundamental frequency,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0</m:t>
            </m:r>
          </m:sub>
        </m:sSub>
      </m:oMath>
      <w:r w:rsidRPr="00B25CDC">
        <w:rPr>
          <w:sz w:val="24"/>
          <w:szCs w:val="24"/>
        </w:rPr>
        <w:t xml:space="preserve">, as a clear peak. We use 30-second-long windows for our HVSR calculations with the open-source software </w:t>
      </w:r>
      <w:proofErr w:type="spellStart"/>
      <w:r w:rsidRPr="00B25CDC">
        <w:rPr>
          <w:sz w:val="24"/>
          <w:szCs w:val="24"/>
        </w:rPr>
        <w:t>HVSRpy</w:t>
      </w:r>
      <w:proofErr w:type="spellEnd"/>
      <w:r w:rsidRPr="00B25CDC">
        <w:rPr>
          <w:sz w:val="24"/>
          <w:szCs w:val="24"/>
        </w:rPr>
        <w:t xml:space="preserve"> (Vantassel</w:t>
      </w:r>
      <w:r>
        <w:rPr>
          <w:sz w:val="24"/>
          <w:szCs w:val="24"/>
        </w:rPr>
        <w:t>,</w:t>
      </w:r>
      <w:r w:rsidRPr="00B25CDC">
        <w:rPr>
          <w:sz w:val="24"/>
          <w:szCs w:val="24"/>
        </w:rPr>
        <w:t xml:space="preserve"> 2020).</w:t>
      </w:r>
    </w:p>
    <w:p w14:paraId="5ABBCE6D" w14:textId="77777777" w:rsidR="004C3823" w:rsidRPr="00B25CDC" w:rsidRDefault="004C3823" w:rsidP="00C72344">
      <w:pPr>
        <w:spacing w:line="480" w:lineRule="auto"/>
        <w:jc w:val="both"/>
        <w:rPr>
          <w:sz w:val="24"/>
          <w:szCs w:val="24"/>
        </w:rPr>
      </w:pPr>
      <m:oMathPara>
        <m:oMath>
          <m:r>
            <w:rPr>
              <w:rFonts w:ascii="Cambria Math" w:hAnsi="Cambria Math"/>
              <w:sz w:val="24"/>
              <w:szCs w:val="24"/>
            </w:rPr>
            <m:t>H/V</m:t>
          </m:r>
          <m:d>
            <m:dPr>
              <m:ctrlPr>
                <w:rPr>
                  <w:rFonts w:ascii="Cambria Math" w:hAnsi="Cambria Math"/>
                  <w:i/>
                  <w:sz w:val="24"/>
                  <w:szCs w:val="24"/>
                </w:rPr>
              </m:ctrlPr>
            </m:dPr>
            <m:e>
              <m:r>
                <w:rPr>
                  <w:rFonts w:ascii="Cambria Math" w:hAnsi="Cambria Math"/>
                  <w:sz w:val="24"/>
                  <w:szCs w:val="24"/>
                </w:rPr>
                <m:t>f</m:t>
              </m:r>
            </m:e>
          </m:d>
          <m:r>
            <w:rPr>
              <w:rFonts w:ascii="Cambria Math" w:hAnsi="Cambria Math"/>
              <w:sz w:val="24"/>
              <w:szCs w:val="24"/>
            </w:rPr>
            <m:t>=</m:t>
          </m:r>
          <m:rad>
            <m:radPr>
              <m:degHide m:val="1"/>
              <m:ctrlPr>
                <w:rPr>
                  <w:rFonts w:ascii="Cambria Math" w:hAnsi="Cambria Math"/>
                  <w:i/>
                  <w:sz w:val="24"/>
                  <w:szCs w:val="24"/>
                </w:rPr>
              </m:ctrlPr>
            </m:radPr>
            <m:deg/>
            <m:e>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R</m:t>
                          </m:r>
                        </m:sub>
                      </m:sSub>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2V</m:t>
                      </m:r>
                    </m:e>
                    <m:sup>
                      <m:r>
                        <w:rPr>
                          <w:rFonts w:ascii="Cambria Math" w:hAnsi="Cambria Math"/>
                          <w:sz w:val="24"/>
                          <w:szCs w:val="24"/>
                        </w:rPr>
                        <m:t>2</m:t>
                      </m:r>
                    </m:sup>
                  </m:sSup>
                </m:den>
              </m:f>
            </m:e>
          </m:rad>
        </m:oMath>
      </m:oMathPara>
    </w:p>
    <w:p w14:paraId="71EB0270" w14:textId="77777777" w:rsidR="004C3823" w:rsidRPr="00B25CDC" w:rsidRDefault="004C3823" w:rsidP="001C6C03">
      <w:pPr>
        <w:spacing w:line="480" w:lineRule="auto"/>
        <w:jc w:val="right"/>
        <w:rPr>
          <w:sz w:val="24"/>
          <w:szCs w:val="24"/>
        </w:rPr>
      </w:pPr>
      <w:r>
        <w:rPr>
          <w:sz w:val="24"/>
          <w:szCs w:val="24"/>
        </w:rPr>
        <w:t>(4.</w:t>
      </w:r>
      <w:r w:rsidRPr="00B25CDC">
        <w:rPr>
          <w:sz w:val="24"/>
          <w:szCs w:val="24"/>
        </w:rPr>
        <w:t>3</w:t>
      </w:r>
      <w:r>
        <w:rPr>
          <w:sz w:val="24"/>
          <w:szCs w:val="24"/>
        </w:rPr>
        <w:t>)</w:t>
      </w:r>
    </w:p>
    <w:p w14:paraId="636D0E6B" w14:textId="77777777" w:rsidR="004C3823" w:rsidRPr="00B25CDC" w:rsidRDefault="004C3823" w:rsidP="0076431A">
      <w:pPr>
        <w:spacing w:line="480" w:lineRule="auto"/>
        <w:rPr>
          <w:b/>
          <w:sz w:val="24"/>
          <w:szCs w:val="24"/>
        </w:rPr>
      </w:pPr>
      <w:r w:rsidRPr="00B25CDC">
        <w:rPr>
          <w:b/>
          <w:sz w:val="24"/>
          <w:szCs w:val="24"/>
        </w:rPr>
        <w:t>4.</w:t>
      </w:r>
      <w:r>
        <w:rPr>
          <w:b/>
          <w:sz w:val="24"/>
          <w:szCs w:val="24"/>
        </w:rPr>
        <w:t>3.2</w:t>
      </w:r>
      <w:r w:rsidRPr="00B25CDC">
        <w:rPr>
          <w:b/>
          <w:sz w:val="24"/>
          <w:szCs w:val="24"/>
        </w:rPr>
        <w:t xml:space="preserve"> Cross Coherence</w:t>
      </w:r>
    </w:p>
    <w:p w14:paraId="69CEFC28" w14:textId="77777777" w:rsidR="004C3823" w:rsidRPr="00B25CDC" w:rsidRDefault="004C3823" w:rsidP="001C6C03">
      <w:pPr>
        <w:spacing w:line="480" w:lineRule="auto"/>
        <w:ind w:firstLine="720"/>
        <w:rPr>
          <w:sz w:val="24"/>
          <w:szCs w:val="24"/>
        </w:rPr>
      </w:pPr>
      <w:r w:rsidRPr="00B25CDC">
        <w:rPr>
          <w:sz w:val="24"/>
          <w:szCs w:val="24"/>
        </w:rPr>
        <w:t>Cross coherence is a method in signal processing and vibration analysis to quantify the relationship between two signals. The method is based on computing the coherence function between two signals, which measures the degree of similarity between them in the frequency domain. It is calculated by taking the cross</w:t>
      </w:r>
      <w:r>
        <w:rPr>
          <w:sz w:val="24"/>
          <w:szCs w:val="24"/>
        </w:rPr>
        <w:t>-</w:t>
      </w:r>
      <w:r w:rsidRPr="00B25CDC">
        <w:rPr>
          <w:sz w:val="24"/>
          <w:szCs w:val="24"/>
        </w:rPr>
        <w:t xml:space="preserve">power spectral density of the two signals and </w:t>
      </w:r>
      <w:r w:rsidRPr="00B25CDC">
        <w:rPr>
          <w:sz w:val="24"/>
          <w:szCs w:val="24"/>
        </w:rPr>
        <w:lastRenderedPageBreak/>
        <w:t>dividing it by the product of their individual power spectral densities. The cross-coherence function can provide valuable information on the frequency-dependent relationship between two signals, including the presence of common frequency components and the phase difference between them.</w:t>
      </w:r>
      <w:r>
        <w:rPr>
          <w:sz w:val="24"/>
          <w:szCs w:val="24"/>
        </w:rPr>
        <w:t xml:space="preserve"> </w:t>
      </w:r>
      <w:r w:rsidRPr="00B25CDC">
        <w:rPr>
          <w:sz w:val="24"/>
          <w:szCs w:val="24"/>
        </w:rPr>
        <w:t>One of the key advantages of the cross-coherence method is its ability to identify and quantify the coupling between two signals. The cross-coherence method can help to identify the frequency ranges and the degree of coupling between two systems, which is useful for understanding the underlying physical processes and designing appropriate control strategies.</w:t>
      </w:r>
    </w:p>
    <w:p w14:paraId="44AC69D7" w14:textId="77777777" w:rsidR="004C3823" w:rsidRPr="00B25CDC" w:rsidRDefault="004C3823" w:rsidP="001C6C03">
      <w:pPr>
        <w:spacing w:line="480" w:lineRule="auto"/>
        <w:ind w:firstLine="720"/>
        <w:rPr>
          <w:sz w:val="24"/>
          <w:szCs w:val="24"/>
        </w:rPr>
      </w:pPr>
      <w:r w:rsidRPr="00B25CDC">
        <w:rPr>
          <w:sz w:val="24"/>
          <w:szCs w:val="24"/>
        </w:rPr>
        <w:t>We use cross coherence between station pairs A and B to determine the direction of travel for our noise source in the frequency domain</w:t>
      </w:r>
      <w:r>
        <w:rPr>
          <w:sz w:val="24"/>
          <w:szCs w:val="24"/>
        </w:rPr>
        <w:t xml:space="preserve"> </w:t>
      </w:r>
      <w:r w:rsidRPr="00B25CDC">
        <w:rPr>
          <w:sz w:val="24"/>
          <w:szCs w:val="24"/>
        </w:rPr>
        <w:t>(</w:t>
      </w:r>
      <w:r w:rsidRPr="001142F3">
        <w:rPr>
          <w:i/>
          <w:iCs/>
          <w:sz w:val="24"/>
          <w:szCs w:val="24"/>
        </w:rPr>
        <w:t>w</w:t>
      </w:r>
      <w:r w:rsidRPr="00B25CDC">
        <w:rPr>
          <w:sz w:val="24"/>
          <w:szCs w:val="24"/>
        </w:rPr>
        <w:t>) as described in (Nakata</w:t>
      </w:r>
      <w:r>
        <w:rPr>
          <w:sz w:val="24"/>
          <w:szCs w:val="24"/>
        </w:rPr>
        <w:t>,</w:t>
      </w:r>
      <w:r w:rsidRPr="00B25CDC">
        <w:rPr>
          <w:sz w:val="24"/>
          <w:szCs w:val="24"/>
        </w:rPr>
        <w:t xml:space="preserve"> 2013) and shown in </w:t>
      </w:r>
      <w:r>
        <w:rPr>
          <w:b/>
          <w:bCs/>
          <w:sz w:val="24"/>
          <w:szCs w:val="24"/>
        </w:rPr>
        <w:t>e</w:t>
      </w:r>
      <w:r w:rsidRPr="001142F3">
        <w:rPr>
          <w:b/>
          <w:bCs/>
          <w:sz w:val="24"/>
          <w:szCs w:val="24"/>
        </w:rPr>
        <w:t xml:space="preserve">quation </w:t>
      </w:r>
      <w:r>
        <w:rPr>
          <w:b/>
          <w:bCs/>
          <w:sz w:val="24"/>
          <w:szCs w:val="24"/>
        </w:rPr>
        <w:t>4.</w:t>
      </w:r>
      <w:r w:rsidRPr="001142F3">
        <w:rPr>
          <w:b/>
          <w:bCs/>
          <w:sz w:val="24"/>
          <w:szCs w:val="24"/>
        </w:rPr>
        <w:t>4</w:t>
      </w:r>
      <w:r w:rsidRPr="00B25CDC">
        <w:rPr>
          <w:sz w:val="24"/>
          <w:szCs w:val="24"/>
        </w:rPr>
        <w:t xml:space="preserve"> below. We reject any transient signals and use rotated component 40</w:t>
      </w:r>
      <w:r>
        <w:rPr>
          <w:sz w:val="24"/>
          <w:szCs w:val="24"/>
        </w:rPr>
        <w:t>-</w:t>
      </w:r>
      <w:r w:rsidRPr="00B25CDC">
        <w:rPr>
          <w:sz w:val="24"/>
          <w:szCs w:val="24"/>
        </w:rPr>
        <w:t>second overlapping time series windows from each station for the cross-coherence calculation.</w:t>
      </w:r>
    </w:p>
    <w:p w14:paraId="256538BF" w14:textId="77777777" w:rsidR="004C3823" w:rsidRPr="00B25CDC" w:rsidRDefault="004C3823" w:rsidP="00C72344">
      <w:pPr>
        <w:spacing w:line="480" w:lineRule="auto"/>
        <w:jc w:val="both"/>
        <w:rPr>
          <w:sz w:val="24"/>
          <w:szCs w:val="24"/>
        </w:rPr>
      </w:pPr>
      <m:oMathPara>
        <m:oMath>
          <m:r>
            <w:rPr>
              <w:rFonts w:ascii="Cambria Math" w:hAnsi="Cambria Math"/>
              <w:sz w:val="24"/>
              <w:szCs w:val="24"/>
            </w:rPr>
            <m:t>C</m:t>
          </m:r>
          <m:d>
            <m:dPr>
              <m:ctrlPr>
                <w:rPr>
                  <w:rFonts w:ascii="Cambria Math" w:hAnsi="Cambria Math"/>
                  <w:sz w:val="24"/>
                  <w:szCs w:val="24"/>
                </w:rPr>
              </m:ctrlPr>
            </m:dPr>
            <m:e>
              <m:r>
                <w:rPr>
                  <w:rFonts w:ascii="Cambria Math" w:hAnsi="Cambria Math"/>
                  <w:sz w:val="24"/>
                  <w:szCs w:val="24"/>
                </w:rPr>
                <m:t>B,A,w</m:t>
              </m:r>
            </m:e>
          </m:d>
          <m: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t</m:t>
              </m:r>
            </m:sub>
            <m:sup/>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r>
                    <w:rPr>
                      <w:rFonts w:ascii="Cambria Math" w:hAnsi="Cambria Math"/>
                      <w:sz w:val="24"/>
                      <w:szCs w:val="24"/>
                    </w:rPr>
                    <m:t>(B,w)</m:t>
                  </m:r>
                  <m:sSubSup>
                    <m:sSubSupPr>
                      <m:ctrlPr>
                        <w:rPr>
                          <w:rFonts w:ascii="Cambria Math" w:hAnsi="Cambria Math"/>
                          <w:i/>
                          <w:sz w:val="24"/>
                          <w:szCs w:val="24"/>
                        </w:rPr>
                      </m:ctrlPr>
                    </m:sSubSupPr>
                    <m:e>
                      <m:r>
                        <w:rPr>
                          <w:rFonts w:ascii="Cambria Math" w:hAnsi="Cambria Math"/>
                          <w:sz w:val="24"/>
                          <w:szCs w:val="24"/>
                        </w:rPr>
                        <m:t>u</m:t>
                      </m:r>
                    </m:e>
                    <m:sub>
                      <m:r>
                        <w:rPr>
                          <w:rFonts w:ascii="Cambria Math" w:hAnsi="Cambria Math"/>
                          <w:sz w:val="24"/>
                          <w:szCs w:val="24"/>
                        </w:rPr>
                        <m:t>t</m:t>
                      </m:r>
                    </m:sub>
                    <m:sup>
                      <m:r>
                        <w:rPr>
                          <w:rFonts w:ascii="Cambria Math" w:hAnsi="Cambria Math"/>
                          <w:sz w:val="24"/>
                          <w:szCs w:val="24"/>
                        </w:rPr>
                        <m:t>*</m:t>
                      </m:r>
                    </m:sup>
                  </m:sSubSup>
                  <m:r>
                    <w:rPr>
                      <w:rFonts w:ascii="Cambria Math" w:hAnsi="Cambria Math"/>
                      <w:sz w:val="24"/>
                      <w:szCs w:val="24"/>
                    </w:rPr>
                    <m:t>(A,w)</m:t>
                  </m:r>
                </m:num>
                <m:den>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B,w</m:t>
                          </m:r>
                        </m:e>
                      </m:d>
                    </m:e>
                  </m:d>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A,w</m:t>
                          </m:r>
                        </m:e>
                      </m:d>
                    </m:e>
                  </m:d>
                  <m:r>
                    <w:rPr>
                      <w:rFonts w:ascii="Cambria Math" w:hAnsi="Cambria Math"/>
                      <w:sz w:val="24"/>
                      <w:szCs w:val="24"/>
                    </w:rPr>
                    <m:t>+e&lt;</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A,w</m:t>
                          </m:r>
                        </m:e>
                      </m:d>
                    </m:e>
                  </m:d>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t</m:t>
                          </m:r>
                        </m:sub>
                      </m:sSub>
                      <m:d>
                        <m:dPr>
                          <m:ctrlPr>
                            <w:rPr>
                              <w:rFonts w:ascii="Cambria Math" w:hAnsi="Cambria Math"/>
                              <w:i/>
                              <w:sz w:val="24"/>
                              <w:szCs w:val="24"/>
                            </w:rPr>
                          </m:ctrlPr>
                        </m:dPr>
                        <m:e>
                          <m:r>
                            <w:rPr>
                              <w:rFonts w:ascii="Cambria Math" w:hAnsi="Cambria Math"/>
                              <w:sz w:val="24"/>
                              <w:szCs w:val="24"/>
                            </w:rPr>
                            <m:t>B,w</m:t>
                          </m:r>
                        </m:e>
                      </m:d>
                    </m:e>
                  </m:d>
                  <m:r>
                    <w:rPr>
                      <w:rFonts w:ascii="Cambria Math" w:hAnsi="Cambria Math"/>
                      <w:sz w:val="24"/>
                      <w:szCs w:val="24"/>
                    </w:rPr>
                    <m:t>&gt;</m:t>
                  </m:r>
                </m:den>
              </m:f>
            </m:e>
          </m:nary>
        </m:oMath>
      </m:oMathPara>
    </w:p>
    <w:p w14:paraId="373EB07C" w14:textId="77777777" w:rsidR="004C3823" w:rsidRPr="00B25CDC" w:rsidRDefault="004C3823" w:rsidP="001C6C03">
      <w:pPr>
        <w:spacing w:line="480" w:lineRule="auto"/>
        <w:jc w:val="right"/>
        <w:rPr>
          <w:sz w:val="24"/>
          <w:szCs w:val="24"/>
        </w:rPr>
      </w:pPr>
      <w:r>
        <w:rPr>
          <w:sz w:val="24"/>
          <w:szCs w:val="24"/>
        </w:rPr>
        <w:t>(</w:t>
      </w:r>
      <w:r w:rsidRPr="00B25CDC">
        <w:rPr>
          <w:sz w:val="24"/>
          <w:szCs w:val="24"/>
        </w:rPr>
        <w:t>4</w:t>
      </w:r>
      <w:r>
        <w:rPr>
          <w:sz w:val="24"/>
          <w:szCs w:val="24"/>
        </w:rPr>
        <w:t>.4)</w:t>
      </w:r>
    </w:p>
    <w:p w14:paraId="14B1E332" w14:textId="3F1640AD" w:rsidR="004C3823" w:rsidRPr="00B25CDC" w:rsidRDefault="004C3823" w:rsidP="001C6C03">
      <w:pPr>
        <w:spacing w:line="480" w:lineRule="auto"/>
        <w:rPr>
          <w:sz w:val="24"/>
          <w:szCs w:val="24"/>
        </w:rPr>
      </w:pPr>
      <w:r w:rsidRPr="00B25CDC">
        <w:rPr>
          <w:sz w:val="24"/>
          <w:szCs w:val="24"/>
        </w:rPr>
        <w:t xml:space="preserve">With ambient noise recording at station A at time t, with complex conjugate denoted with *, e regularization, &lt;…&gt; representing the ensemble. Nakata </w:t>
      </w:r>
      <w:r>
        <w:rPr>
          <w:sz w:val="24"/>
          <w:szCs w:val="24"/>
        </w:rPr>
        <w:t>(</w:t>
      </w:r>
      <w:r w:rsidRPr="00B25CDC">
        <w:rPr>
          <w:sz w:val="24"/>
          <w:szCs w:val="24"/>
        </w:rPr>
        <w:t>2011</w:t>
      </w:r>
      <w:r>
        <w:rPr>
          <w:sz w:val="24"/>
          <w:szCs w:val="24"/>
        </w:rPr>
        <w:t>)</w:t>
      </w:r>
      <w:r w:rsidRPr="00B25CDC">
        <w:rPr>
          <w:sz w:val="24"/>
          <w:szCs w:val="24"/>
        </w:rPr>
        <w:t xml:space="preserve"> shows the importance of power normalization for obtaining propagating waves between two stations where amplitude variations may be t</w:t>
      </w:r>
      <w:r>
        <w:rPr>
          <w:sz w:val="24"/>
          <w:szCs w:val="24"/>
        </w:rPr>
        <w:t>o</w:t>
      </w:r>
      <w:r w:rsidRPr="00B25CDC">
        <w:rPr>
          <w:sz w:val="24"/>
          <w:szCs w:val="24"/>
        </w:rPr>
        <w:t>o great using other cross</w:t>
      </w:r>
      <w:r>
        <w:rPr>
          <w:sz w:val="24"/>
          <w:szCs w:val="24"/>
        </w:rPr>
        <w:t>-</w:t>
      </w:r>
      <w:r w:rsidRPr="00B25CDC">
        <w:rPr>
          <w:sz w:val="24"/>
          <w:szCs w:val="24"/>
        </w:rPr>
        <w:t>correlation or deconvolution methods. In cross coherence with power normalization, the amplitude information is preserved and thus suitable for noisy data with varying amplitudes among traces.</w:t>
      </w:r>
    </w:p>
    <w:p w14:paraId="0765B921" w14:textId="77777777" w:rsidR="004C3823" w:rsidRPr="00B25CDC" w:rsidRDefault="004C3823" w:rsidP="0076431A">
      <w:pPr>
        <w:spacing w:line="480" w:lineRule="auto"/>
        <w:rPr>
          <w:b/>
          <w:sz w:val="24"/>
          <w:szCs w:val="24"/>
        </w:rPr>
      </w:pPr>
      <w:r w:rsidRPr="00B25CDC">
        <w:rPr>
          <w:b/>
          <w:sz w:val="24"/>
          <w:szCs w:val="24"/>
        </w:rPr>
        <w:lastRenderedPageBreak/>
        <w:t>4.</w:t>
      </w:r>
      <w:r>
        <w:rPr>
          <w:b/>
          <w:sz w:val="24"/>
          <w:szCs w:val="24"/>
        </w:rPr>
        <w:t>4</w:t>
      </w:r>
      <w:r w:rsidRPr="00B25CDC">
        <w:rPr>
          <w:b/>
          <w:sz w:val="24"/>
          <w:szCs w:val="24"/>
        </w:rPr>
        <w:t xml:space="preserve"> Results</w:t>
      </w:r>
    </w:p>
    <w:p w14:paraId="647BD0CC" w14:textId="77777777" w:rsidR="004C3823" w:rsidRPr="00B25CDC" w:rsidRDefault="004C3823" w:rsidP="001C6C03">
      <w:pPr>
        <w:spacing w:line="480" w:lineRule="auto"/>
        <w:ind w:firstLine="720"/>
        <w:rPr>
          <w:sz w:val="24"/>
          <w:szCs w:val="24"/>
        </w:rPr>
      </w:pPr>
      <w:r w:rsidRPr="00B25CDC">
        <w:rPr>
          <w:sz w:val="24"/>
          <w:szCs w:val="24"/>
        </w:rPr>
        <w:t xml:space="preserve">The time series in </w:t>
      </w:r>
      <w:r w:rsidRPr="00B25CDC">
        <w:rPr>
          <w:b/>
          <w:bCs/>
          <w:sz w:val="24"/>
          <w:szCs w:val="24"/>
        </w:rPr>
        <w:t>Figure 4.2</w:t>
      </w:r>
      <w:r w:rsidRPr="00B25CDC">
        <w:rPr>
          <w:sz w:val="24"/>
          <w:szCs w:val="24"/>
        </w:rPr>
        <w:t xml:space="preserve"> exhibits an </w:t>
      </w:r>
      <w:r>
        <w:rPr>
          <w:sz w:val="24"/>
          <w:szCs w:val="24"/>
        </w:rPr>
        <w:t>example</w:t>
      </w:r>
      <w:r w:rsidRPr="00B25CDC">
        <w:rPr>
          <w:sz w:val="24"/>
          <w:szCs w:val="24"/>
        </w:rPr>
        <w:t xml:space="preserve"> of the Grant County and Alfalfa County array’s recorded passive ground motion amplitudes under different conditions. Recordings from Grant County display greater amplitudes than Alfalfa County during and off business hours (11 pm</w:t>
      </w:r>
      <w:r>
        <w:rPr>
          <w:sz w:val="24"/>
          <w:szCs w:val="24"/>
        </w:rPr>
        <w:t xml:space="preserve"> </w:t>
      </w:r>
      <w:r w:rsidRPr="00B25CDC">
        <w:rPr>
          <w:sz w:val="24"/>
          <w:szCs w:val="24"/>
        </w:rPr>
        <w:t>-</w:t>
      </w:r>
      <w:r>
        <w:rPr>
          <w:sz w:val="24"/>
          <w:szCs w:val="24"/>
        </w:rPr>
        <w:t xml:space="preserve"> </w:t>
      </w:r>
      <w:r w:rsidRPr="00B25CDC">
        <w:rPr>
          <w:sz w:val="24"/>
          <w:szCs w:val="24"/>
        </w:rPr>
        <w:t>4 am local time) with high and low wind conditions. This is also true in the frequency domain where we observe relative</w:t>
      </w:r>
      <w:r>
        <w:rPr>
          <w:sz w:val="24"/>
          <w:szCs w:val="24"/>
        </w:rPr>
        <w:t>ly</w:t>
      </w:r>
      <w:r w:rsidRPr="00B25CDC">
        <w:rPr>
          <w:sz w:val="24"/>
          <w:szCs w:val="24"/>
        </w:rPr>
        <w:t xml:space="preserve"> greater noise in the averaged stations in both arrays in </w:t>
      </w:r>
      <w:r w:rsidRPr="00B25CDC">
        <w:rPr>
          <w:b/>
          <w:bCs/>
          <w:sz w:val="24"/>
          <w:szCs w:val="24"/>
        </w:rPr>
        <w:t>Figure 4.5</w:t>
      </w:r>
      <w:r w:rsidRPr="00B25CDC">
        <w:rPr>
          <w:sz w:val="24"/>
          <w:szCs w:val="24"/>
        </w:rPr>
        <w:t xml:space="preserve">. We show station 1001 for Grant County and 3003 for Alfalfa County where noise levels are separated by windy/nonwind conditions, day/night hours, and overall averaged power spectrums. Daytime noise is greater than nighttime noise, with higher noise amplitudes during high wind periods when compared with low wind periods. We observe little separation of day and nighttime intervals as shown in </w:t>
      </w:r>
      <w:r w:rsidRPr="00B25CDC">
        <w:rPr>
          <w:b/>
          <w:bCs/>
          <w:sz w:val="24"/>
          <w:szCs w:val="24"/>
        </w:rPr>
        <w:t>Figure 4.5</w:t>
      </w:r>
      <w:r w:rsidRPr="00B25CDC">
        <w:rPr>
          <w:sz w:val="24"/>
          <w:szCs w:val="24"/>
        </w:rPr>
        <w:t xml:space="preserve"> which would suggest no significant anthropogenic noise caused by humans during working hours. Power spectrum observations show an increase in wind speed correlates to an increase </w:t>
      </w:r>
      <w:r>
        <w:rPr>
          <w:sz w:val="24"/>
          <w:szCs w:val="24"/>
        </w:rPr>
        <w:t>in</w:t>
      </w:r>
      <w:r w:rsidRPr="00B25CDC">
        <w:rPr>
          <w:sz w:val="24"/>
          <w:szCs w:val="24"/>
        </w:rPr>
        <w:t xml:space="preserve"> the overall ambient noise amplitude. As a result, we apply our analysis </w:t>
      </w:r>
      <w:r>
        <w:rPr>
          <w:sz w:val="24"/>
          <w:szCs w:val="24"/>
        </w:rPr>
        <w:t xml:space="preserve">to </w:t>
      </w:r>
      <w:r w:rsidRPr="00B25CDC">
        <w:rPr>
          <w:sz w:val="24"/>
          <w:szCs w:val="24"/>
        </w:rPr>
        <w:t>our complete data set. We exclude the la</w:t>
      </w:r>
      <w:r>
        <w:rPr>
          <w:sz w:val="24"/>
          <w:szCs w:val="24"/>
        </w:rPr>
        <w:t>t</w:t>
      </w:r>
      <w:r w:rsidRPr="00B25CDC">
        <w:rPr>
          <w:sz w:val="24"/>
          <w:szCs w:val="24"/>
        </w:rPr>
        <w:t>ter half of data from station 1008 due to an unexplained amplitude variation that is not observed on other stations. We suspect an undetermined software logic malfunction associated with the node itself</w:t>
      </w:r>
      <w:r>
        <w:rPr>
          <w:sz w:val="24"/>
          <w:szCs w:val="24"/>
        </w:rPr>
        <w:t>, perhaps during signal digitization,</w:t>
      </w:r>
      <w:r w:rsidRPr="00B25CDC">
        <w:rPr>
          <w:sz w:val="24"/>
          <w:szCs w:val="24"/>
        </w:rPr>
        <w:t xml:space="preserve"> to be the cause of the data anomaly. </w:t>
      </w:r>
    </w:p>
    <w:p w14:paraId="7D060995" w14:textId="4600ADBF" w:rsidR="004C3823" w:rsidRPr="00B25CDC" w:rsidRDefault="004C3823" w:rsidP="001C6C03">
      <w:pPr>
        <w:spacing w:line="480" w:lineRule="auto"/>
        <w:ind w:firstLine="720"/>
        <w:rPr>
          <w:sz w:val="24"/>
          <w:szCs w:val="24"/>
        </w:rPr>
      </w:pPr>
      <w:r w:rsidRPr="00B25CDC">
        <w:rPr>
          <w:sz w:val="24"/>
          <w:szCs w:val="24"/>
        </w:rPr>
        <w:t xml:space="preserve">At near-field stations 1001 and 1002, we observe </w:t>
      </w:r>
      <w:r w:rsidR="00823115">
        <w:rPr>
          <w:sz w:val="24"/>
          <w:szCs w:val="24"/>
        </w:rPr>
        <w:t xml:space="preserve">the North component </w:t>
      </w:r>
      <w:r w:rsidRPr="00B25CDC">
        <w:rPr>
          <w:sz w:val="24"/>
          <w:szCs w:val="24"/>
        </w:rPr>
        <w:t>average power spectrums with narrow peak low frequencies approximately at 0.37 Hz, 0.5 Hz</w:t>
      </w:r>
      <w:r>
        <w:rPr>
          <w:sz w:val="24"/>
          <w:szCs w:val="24"/>
        </w:rPr>
        <w:t>,</w:t>
      </w:r>
      <w:r w:rsidRPr="00B25CDC">
        <w:rPr>
          <w:sz w:val="24"/>
          <w:szCs w:val="24"/>
        </w:rPr>
        <w:t xml:space="preserve"> and 0.8 Hz shown in </w:t>
      </w:r>
      <w:r w:rsidRPr="00B25CDC">
        <w:rPr>
          <w:b/>
          <w:bCs/>
          <w:sz w:val="24"/>
          <w:szCs w:val="24"/>
        </w:rPr>
        <w:t>Figure 4.3</w:t>
      </w:r>
      <w:r w:rsidRPr="00B25CDC">
        <w:rPr>
          <w:sz w:val="24"/>
          <w:szCs w:val="24"/>
        </w:rPr>
        <w:t xml:space="preserve">. Overtones of these signals are observed as well at far-field stations starting at 0.87 Hz which are multiples of the narrow peak frequencies. Significant power spectrum peak amplitudes are observed on all stations at 2.607 Hz, 7.823 Hz, and 14.5 Hz. Secondary smaller </w:t>
      </w:r>
      <w:r w:rsidRPr="00B25CDC">
        <w:rPr>
          <w:sz w:val="24"/>
          <w:szCs w:val="24"/>
        </w:rPr>
        <w:lastRenderedPageBreak/>
        <w:t xml:space="preserve">peak amplitudes are observed in the range of 2 – 35 Hz as shown in the example power spectrum in </w:t>
      </w:r>
      <w:r w:rsidRPr="00B25CDC">
        <w:rPr>
          <w:b/>
          <w:bCs/>
          <w:sz w:val="24"/>
          <w:szCs w:val="24"/>
        </w:rPr>
        <w:t>Figure 4.2</w:t>
      </w:r>
      <w:r w:rsidRPr="00B25CDC">
        <w:rPr>
          <w:sz w:val="24"/>
          <w:szCs w:val="24"/>
        </w:rPr>
        <w:t xml:space="preserve">. The frequency band 0 Hz – 10 Hz is highlighted to show both lower frequency dependency and independence on wind energy. </w:t>
      </w:r>
    </w:p>
    <w:p w14:paraId="6BAA9369" w14:textId="77777777" w:rsidR="004C3823" w:rsidRPr="00B25CDC" w:rsidRDefault="004C3823" w:rsidP="001C6C03">
      <w:pPr>
        <w:spacing w:line="480" w:lineRule="auto"/>
        <w:ind w:firstLine="720"/>
        <w:rPr>
          <w:sz w:val="24"/>
          <w:szCs w:val="24"/>
        </w:rPr>
      </w:pPr>
      <w:r w:rsidRPr="00B25CDC">
        <w:rPr>
          <w:sz w:val="24"/>
          <w:szCs w:val="24"/>
        </w:rPr>
        <w:t xml:space="preserve">Seismic power compared with atmospheric conditions suggests a positive correlation between frequency and wind speed using data from Oklahoma </w:t>
      </w:r>
      <w:proofErr w:type="spellStart"/>
      <w:r w:rsidRPr="00B25CDC">
        <w:rPr>
          <w:sz w:val="24"/>
          <w:szCs w:val="24"/>
        </w:rPr>
        <w:t>Mesonet</w:t>
      </w:r>
      <w:proofErr w:type="spellEnd"/>
      <w:r w:rsidRPr="00B25CDC">
        <w:rPr>
          <w:sz w:val="24"/>
          <w:szCs w:val="24"/>
        </w:rPr>
        <w:t xml:space="preserve"> station MEDF in </w:t>
      </w:r>
      <w:r w:rsidRPr="00B25CDC">
        <w:rPr>
          <w:b/>
          <w:bCs/>
          <w:sz w:val="24"/>
          <w:szCs w:val="24"/>
        </w:rPr>
        <w:t>Figure 4.4</w:t>
      </w:r>
      <w:r w:rsidRPr="00B25CDC">
        <w:rPr>
          <w:sz w:val="24"/>
          <w:szCs w:val="24"/>
        </w:rPr>
        <w:t>. As highlighted before, wind speed, azimuthal direction, and temperature are recorded at 300 seconds sampling rate.  Wind speed, azimuthal direction</w:t>
      </w:r>
      <w:r>
        <w:rPr>
          <w:sz w:val="24"/>
          <w:szCs w:val="24"/>
        </w:rPr>
        <w:t>,</w:t>
      </w:r>
      <w:r w:rsidRPr="00B25CDC">
        <w:rPr>
          <w:sz w:val="24"/>
          <w:szCs w:val="24"/>
        </w:rPr>
        <w:t xml:space="preserve"> and temperature are compared with lower frequency bands in the power spectrum 0.32 – 0.64 Hz, 0.64 – 1.28 Hz, 1.28 – 2.56 Hz, and 2.56 – 5.12 Hz. No correlation is shown </w:t>
      </w:r>
      <w:r>
        <w:rPr>
          <w:sz w:val="24"/>
          <w:szCs w:val="24"/>
        </w:rPr>
        <w:t>between</w:t>
      </w:r>
      <w:r w:rsidRPr="00B25CDC">
        <w:rPr>
          <w:sz w:val="24"/>
          <w:szCs w:val="24"/>
        </w:rPr>
        <w:t xml:space="preserve"> temperature and noise power log amplitude. Wind azimuthal direction and strength shows varying positive correlation with the power spectrum </w:t>
      </w:r>
      <w:r>
        <w:rPr>
          <w:sz w:val="24"/>
          <w:szCs w:val="24"/>
        </w:rPr>
        <w:t>(</w:t>
      </w:r>
      <w:r w:rsidRPr="00B25CDC">
        <w:rPr>
          <w:b/>
          <w:bCs/>
          <w:sz w:val="24"/>
          <w:szCs w:val="24"/>
        </w:rPr>
        <w:t>Figure 4.3</w:t>
      </w:r>
      <w:r>
        <w:rPr>
          <w:sz w:val="24"/>
          <w:szCs w:val="24"/>
        </w:rPr>
        <w:t>)</w:t>
      </w:r>
      <w:r w:rsidRPr="00B25CDC">
        <w:rPr>
          <w:sz w:val="24"/>
          <w:szCs w:val="24"/>
        </w:rPr>
        <w:t xml:space="preserve">. Stable power log amplitudes are observed between 0.32Hz and 2.56Hz and power log amplitudes increase at </w:t>
      </w:r>
      <w:r>
        <w:rPr>
          <w:sz w:val="24"/>
          <w:szCs w:val="24"/>
        </w:rPr>
        <w:t xml:space="preserve">a </w:t>
      </w:r>
      <w:r w:rsidRPr="00B25CDC">
        <w:rPr>
          <w:sz w:val="24"/>
          <w:szCs w:val="24"/>
        </w:rPr>
        <w:t>higher frequency band of 2.56 Hz and 5.12 Hz. Contrary to other studies (Schofield</w:t>
      </w:r>
      <w:r>
        <w:rPr>
          <w:sz w:val="24"/>
          <w:szCs w:val="24"/>
        </w:rPr>
        <w:t>,</w:t>
      </w:r>
      <w:r w:rsidRPr="00B25CDC">
        <w:rPr>
          <w:sz w:val="24"/>
          <w:szCs w:val="24"/>
        </w:rPr>
        <w:t xml:space="preserve"> 2001) we do not observe a significant shift in frequency between windy and non-windy periods. We do observe stronger and weaker signals between the two conditions. Comparing Grant County’s waveform spectral to atmospheric patterns we see a correlation </w:t>
      </w:r>
      <w:r>
        <w:rPr>
          <w:sz w:val="24"/>
          <w:szCs w:val="24"/>
        </w:rPr>
        <w:t>between</w:t>
      </w:r>
      <w:r w:rsidRPr="00B25CDC">
        <w:rPr>
          <w:sz w:val="24"/>
          <w:szCs w:val="24"/>
        </w:rPr>
        <w:t xml:space="preserve"> windspeed and spectral amplitude with respect to time. We only see a correlation with windspeed while there appears to be a lack of correlation with other weather conditions (</w:t>
      </w:r>
      <w:r w:rsidRPr="00B25CDC">
        <w:rPr>
          <w:b/>
          <w:bCs/>
          <w:sz w:val="24"/>
          <w:szCs w:val="24"/>
        </w:rPr>
        <w:t>Figure 4.4</w:t>
      </w:r>
      <w:r w:rsidRPr="00B25CDC">
        <w:rPr>
          <w:sz w:val="24"/>
          <w:szCs w:val="24"/>
        </w:rPr>
        <w:t xml:space="preserve">). We average power spectrums based on a range of wind speeds and show the gradual increase in average noise spectral amplitudes with </w:t>
      </w:r>
      <w:r>
        <w:rPr>
          <w:sz w:val="24"/>
          <w:szCs w:val="24"/>
        </w:rPr>
        <w:t xml:space="preserve">an </w:t>
      </w:r>
      <w:r w:rsidRPr="00B25CDC">
        <w:rPr>
          <w:sz w:val="24"/>
          <w:szCs w:val="24"/>
        </w:rPr>
        <w:t xml:space="preserve">increase in wind speed. Median noise amplitude between stations at Grant County positioned at varying distances relative to wind turbine towers, </w:t>
      </w:r>
      <w:r w:rsidRPr="00B25CDC">
        <w:rPr>
          <w:b/>
          <w:bCs/>
          <w:sz w:val="24"/>
          <w:szCs w:val="24"/>
        </w:rPr>
        <w:t>Figure 4.6</w:t>
      </w:r>
      <w:r w:rsidRPr="00B25CDC">
        <w:rPr>
          <w:sz w:val="24"/>
          <w:szCs w:val="24"/>
        </w:rPr>
        <w:t>, shows the amplitude decay with distance from a wind turbine source fitting with a squared polynomial decay.</w:t>
      </w:r>
    </w:p>
    <w:p w14:paraId="09E60DC5" w14:textId="77777777" w:rsidR="004C3823" w:rsidRPr="00B25CDC" w:rsidRDefault="004C3823" w:rsidP="0076431A">
      <w:pPr>
        <w:spacing w:line="480" w:lineRule="auto"/>
        <w:ind w:firstLine="720"/>
        <w:rPr>
          <w:sz w:val="24"/>
          <w:szCs w:val="24"/>
        </w:rPr>
      </w:pPr>
      <w:r w:rsidRPr="00B25CDC">
        <w:rPr>
          <w:sz w:val="24"/>
          <w:szCs w:val="24"/>
        </w:rPr>
        <w:lastRenderedPageBreak/>
        <w:t xml:space="preserve">We observe the spectral curves and peak frequencies by applying the HVSR method in </w:t>
      </w:r>
      <w:proofErr w:type="spellStart"/>
      <w:r w:rsidRPr="00B25CDC">
        <w:rPr>
          <w:sz w:val="24"/>
          <w:szCs w:val="24"/>
        </w:rPr>
        <w:t>HVSRpy</w:t>
      </w:r>
      <w:proofErr w:type="spellEnd"/>
      <w:r>
        <w:rPr>
          <w:sz w:val="24"/>
          <w:szCs w:val="24"/>
        </w:rPr>
        <w:t>,</w:t>
      </w:r>
      <w:r w:rsidRPr="00B25CDC">
        <w:rPr>
          <w:sz w:val="24"/>
          <w:szCs w:val="24"/>
        </w:rPr>
        <w:t xml:space="preserve"> as </w:t>
      </w:r>
      <w:r>
        <w:rPr>
          <w:sz w:val="24"/>
          <w:szCs w:val="24"/>
        </w:rPr>
        <w:t>shown</w:t>
      </w:r>
      <w:r w:rsidRPr="00B25CDC">
        <w:rPr>
          <w:sz w:val="24"/>
          <w:szCs w:val="24"/>
        </w:rPr>
        <w:t xml:space="preserve"> in </w:t>
      </w:r>
      <w:r w:rsidRPr="00B25CDC">
        <w:rPr>
          <w:b/>
          <w:bCs/>
          <w:sz w:val="24"/>
          <w:szCs w:val="24"/>
        </w:rPr>
        <w:t>Figure 4.7</w:t>
      </w:r>
      <w:r w:rsidRPr="00B25CDC">
        <w:rPr>
          <w:sz w:val="24"/>
          <w:szCs w:val="24"/>
        </w:rPr>
        <w:t xml:space="preserve">. Fourier transform of the three component waveform data is used for </w:t>
      </w:r>
      <w:r w:rsidRPr="001C6C03">
        <w:rPr>
          <w:b/>
          <w:bCs/>
          <w:sz w:val="24"/>
          <w:szCs w:val="24"/>
        </w:rPr>
        <w:t xml:space="preserve">equation </w:t>
      </w:r>
      <w:r>
        <w:rPr>
          <w:b/>
          <w:bCs/>
          <w:sz w:val="24"/>
          <w:szCs w:val="24"/>
        </w:rPr>
        <w:t>4</w:t>
      </w:r>
      <w:r w:rsidRPr="001C6C03">
        <w:rPr>
          <w:b/>
          <w:bCs/>
          <w:sz w:val="24"/>
          <w:szCs w:val="24"/>
        </w:rPr>
        <w:t>.3</w:t>
      </w:r>
      <w:r w:rsidRPr="00B25CDC">
        <w:rPr>
          <w:sz w:val="24"/>
          <w:szCs w:val="24"/>
        </w:rPr>
        <w:t xml:space="preserve"> to generate HVSR curves which are then corrected through spectral curve rejection, based on unbiased spatial statistics, Voronoi tessellation (Cheng et al., 2021). Common HVSR peak frequencies are approximately 7</w:t>
      </w:r>
      <w:r>
        <w:rPr>
          <w:sz w:val="24"/>
          <w:szCs w:val="24"/>
        </w:rPr>
        <w:t xml:space="preserve"> </w:t>
      </w:r>
      <w:r w:rsidRPr="00B25CDC">
        <w:rPr>
          <w:sz w:val="24"/>
          <w:szCs w:val="24"/>
        </w:rPr>
        <w:t xml:space="preserve">Hz and 10.5 Hz. However, HVSR curves from stations near wind turbines appear to have a significant 10.5 Hz peak frequency when compared to other stations. The measurements show the HVSR method is successful in examining the ambient seismic background without being influenced by atmospheric conditions and local noise sources. As shown in </w:t>
      </w:r>
      <w:r w:rsidRPr="00B25CDC">
        <w:rPr>
          <w:b/>
          <w:bCs/>
          <w:sz w:val="24"/>
          <w:szCs w:val="24"/>
        </w:rPr>
        <w:t>Figure 4.8</w:t>
      </w:r>
      <w:r w:rsidRPr="00B25CDC">
        <w:rPr>
          <w:sz w:val="24"/>
          <w:szCs w:val="24"/>
        </w:rPr>
        <w:t xml:space="preserve">, at broad frequency bands, we observe energy propagation through the array location. west to east. We determine our array location’s wavefield source and sink directions by measuring station pair time lag from ambient noise cross coherence in </w:t>
      </w:r>
      <w:r w:rsidRPr="001C6C03">
        <w:rPr>
          <w:b/>
          <w:bCs/>
          <w:sz w:val="24"/>
          <w:szCs w:val="24"/>
        </w:rPr>
        <w:t>equation 4.4</w:t>
      </w:r>
      <w:r w:rsidRPr="00B25CDC">
        <w:rPr>
          <w:sz w:val="24"/>
          <w:szCs w:val="24"/>
        </w:rPr>
        <w:t>.</w:t>
      </w:r>
    </w:p>
    <w:p w14:paraId="59AB0453" w14:textId="77777777" w:rsidR="004C3823" w:rsidRPr="00B25CDC" w:rsidRDefault="004C3823" w:rsidP="0076431A">
      <w:pPr>
        <w:spacing w:line="480" w:lineRule="auto"/>
        <w:rPr>
          <w:b/>
          <w:sz w:val="24"/>
          <w:szCs w:val="24"/>
        </w:rPr>
      </w:pPr>
      <w:r w:rsidRPr="00B25CDC">
        <w:rPr>
          <w:b/>
          <w:sz w:val="24"/>
          <w:szCs w:val="24"/>
        </w:rPr>
        <w:t>4.</w:t>
      </w:r>
      <w:r>
        <w:rPr>
          <w:b/>
          <w:sz w:val="24"/>
          <w:szCs w:val="24"/>
        </w:rPr>
        <w:t>5</w:t>
      </w:r>
      <w:r w:rsidRPr="00B25CDC">
        <w:rPr>
          <w:b/>
          <w:sz w:val="24"/>
          <w:szCs w:val="24"/>
        </w:rPr>
        <w:t xml:space="preserve"> Discussion</w:t>
      </w:r>
    </w:p>
    <w:p w14:paraId="10D1C21E" w14:textId="77777777" w:rsidR="004C3823" w:rsidRPr="00B25CDC" w:rsidRDefault="004C3823" w:rsidP="001C6C03">
      <w:pPr>
        <w:spacing w:line="480" w:lineRule="auto"/>
        <w:ind w:firstLine="720"/>
        <w:rPr>
          <w:sz w:val="24"/>
          <w:szCs w:val="24"/>
        </w:rPr>
      </w:pPr>
      <w:r w:rsidRPr="00B25CDC">
        <w:rPr>
          <w:sz w:val="24"/>
          <w:szCs w:val="24"/>
        </w:rPr>
        <w:t>Wind</w:t>
      </w:r>
      <w:r>
        <w:rPr>
          <w:sz w:val="24"/>
          <w:szCs w:val="24"/>
        </w:rPr>
        <w:t>-</w:t>
      </w:r>
      <w:r w:rsidRPr="00B25CDC">
        <w:rPr>
          <w:sz w:val="24"/>
          <w:szCs w:val="24"/>
        </w:rPr>
        <w:t xml:space="preserve">dependent frequencies have the highest amplitude at stations 1001 and 1002 and decrease in relative amplitude with stations further away from the wind turbine as shown with the average power spectrum in </w:t>
      </w:r>
      <w:r w:rsidRPr="00B25CDC">
        <w:rPr>
          <w:b/>
          <w:bCs/>
          <w:sz w:val="24"/>
          <w:szCs w:val="24"/>
        </w:rPr>
        <w:t>Figure 4.3</w:t>
      </w:r>
      <w:r w:rsidRPr="00B25CDC">
        <w:rPr>
          <w:sz w:val="24"/>
          <w:szCs w:val="24"/>
        </w:rPr>
        <w:t xml:space="preserve">. As in </w:t>
      </w:r>
      <w:proofErr w:type="spellStart"/>
      <w:r w:rsidRPr="00B25CDC">
        <w:rPr>
          <w:sz w:val="24"/>
          <w:szCs w:val="24"/>
        </w:rPr>
        <w:t>Saccorotti</w:t>
      </w:r>
      <w:proofErr w:type="spellEnd"/>
      <w:r w:rsidRPr="00B25CDC">
        <w:rPr>
          <w:sz w:val="24"/>
          <w:szCs w:val="24"/>
        </w:rPr>
        <w:t xml:space="preserve"> et al. (2011) revealed frequency ranges between 1-5 Hz noise were increased in wind farm operations and wind speed</w:t>
      </w:r>
      <w:r>
        <w:rPr>
          <w:sz w:val="24"/>
          <w:szCs w:val="24"/>
        </w:rPr>
        <w:t>,</w:t>
      </w:r>
      <w:r w:rsidRPr="00B25CDC">
        <w:rPr>
          <w:sz w:val="24"/>
          <w:szCs w:val="24"/>
        </w:rPr>
        <w:t xml:space="preserve"> which is </w:t>
      </w:r>
      <w:proofErr w:type="gramStart"/>
      <w:r w:rsidRPr="00B25CDC">
        <w:rPr>
          <w:sz w:val="24"/>
          <w:szCs w:val="24"/>
        </w:rPr>
        <w:t>similar to</w:t>
      </w:r>
      <w:proofErr w:type="gramEnd"/>
      <w:r w:rsidRPr="00B25CDC">
        <w:rPr>
          <w:sz w:val="24"/>
          <w:szCs w:val="24"/>
        </w:rPr>
        <w:t xml:space="preserve"> our findings. Significant peaks seen in </w:t>
      </w:r>
      <w:r w:rsidRPr="00B25CDC">
        <w:rPr>
          <w:b/>
          <w:bCs/>
          <w:sz w:val="24"/>
          <w:szCs w:val="24"/>
        </w:rPr>
        <w:t>Figure 4.5</w:t>
      </w:r>
      <w:r w:rsidRPr="00B25CDC">
        <w:rPr>
          <w:sz w:val="24"/>
          <w:szCs w:val="24"/>
        </w:rPr>
        <w:t xml:space="preserve"> that show wind dependency are greatest in the range of frequencies from 1 Hz – 35 Hz. Station</w:t>
      </w:r>
      <w:r>
        <w:rPr>
          <w:sz w:val="24"/>
          <w:szCs w:val="24"/>
        </w:rPr>
        <w:t>s</w:t>
      </w:r>
      <w:r w:rsidRPr="00B25CDC">
        <w:rPr>
          <w:sz w:val="24"/>
          <w:szCs w:val="24"/>
        </w:rPr>
        <w:t xml:space="preserve"> 1001 and 1002 have an increase in relative noise level due to their proximity to the wind turbine tower compared with other far-field stations, </w:t>
      </w:r>
      <w:r w:rsidRPr="00B25CDC">
        <w:rPr>
          <w:b/>
          <w:bCs/>
          <w:sz w:val="24"/>
          <w:szCs w:val="24"/>
        </w:rPr>
        <w:t>Figure 4.6</w:t>
      </w:r>
      <w:r w:rsidRPr="00B25CDC">
        <w:rPr>
          <w:sz w:val="24"/>
          <w:szCs w:val="24"/>
        </w:rPr>
        <w:t xml:space="preserve">. Significant frequency peaks at 2.7 Hz, 7.8 Hz, 14.5 Hz, 24.83 Hz, and 27.82 Hz are </w:t>
      </w:r>
      <w:proofErr w:type="gramStart"/>
      <w:r w:rsidRPr="00B25CDC">
        <w:rPr>
          <w:sz w:val="24"/>
          <w:szCs w:val="24"/>
        </w:rPr>
        <w:t>observed</w:t>
      </w:r>
      <w:proofErr w:type="gramEnd"/>
      <w:r w:rsidRPr="00B25CDC">
        <w:rPr>
          <w:sz w:val="24"/>
          <w:szCs w:val="24"/>
        </w:rPr>
        <w:t xml:space="preserve"> strongest near</w:t>
      </w:r>
      <w:r>
        <w:rPr>
          <w:sz w:val="24"/>
          <w:szCs w:val="24"/>
        </w:rPr>
        <w:t>-</w:t>
      </w:r>
      <w:r w:rsidRPr="00B25CDC">
        <w:rPr>
          <w:sz w:val="24"/>
          <w:szCs w:val="24"/>
        </w:rPr>
        <w:t xml:space="preserve">field, next to a wind turbine, and observed on all stations.  </w:t>
      </w:r>
      <w:r w:rsidRPr="00B25CDC">
        <w:rPr>
          <w:sz w:val="24"/>
          <w:szCs w:val="24"/>
        </w:rPr>
        <w:lastRenderedPageBreak/>
        <w:t xml:space="preserve">Additional frequencies between 25 Hz and 30 Hz show a decrease in amplitude with an increase in station distance to the wind turbine tower and is attributed to the energy propagation of the wind turbine and wind coupling, </w:t>
      </w:r>
      <w:r w:rsidRPr="00B25CDC">
        <w:rPr>
          <w:b/>
          <w:bCs/>
          <w:sz w:val="24"/>
          <w:szCs w:val="24"/>
        </w:rPr>
        <w:t>Figure 4.6</w:t>
      </w:r>
      <w:r w:rsidRPr="00B25CDC">
        <w:rPr>
          <w:sz w:val="24"/>
          <w:szCs w:val="24"/>
        </w:rPr>
        <w:t xml:space="preserve">. We identify </w:t>
      </w:r>
      <w:r>
        <w:rPr>
          <w:sz w:val="24"/>
          <w:szCs w:val="24"/>
        </w:rPr>
        <w:t xml:space="preserve">a </w:t>
      </w:r>
      <w:r w:rsidRPr="00B25CDC">
        <w:rPr>
          <w:sz w:val="24"/>
          <w:szCs w:val="24"/>
        </w:rPr>
        <w:t>low</w:t>
      </w:r>
      <w:r>
        <w:rPr>
          <w:sz w:val="24"/>
          <w:szCs w:val="24"/>
        </w:rPr>
        <w:t>-</w:t>
      </w:r>
      <w:r w:rsidRPr="00B25CDC">
        <w:rPr>
          <w:sz w:val="24"/>
          <w:szCs w:val="24"/>
        </w:rPr>
        <w:t xml:space="preserve">frequency peak </w:t>
      </w:r>
      <w:r>
        <w:rPr>
          <w:sz w:val="24"/>
          <w:szCs w:val="24"/>
        </w:rPr>
        <w:t xml:space="preserve">of </w:t>
      </w:r>
      <w:r w:rsidRPr="00B25CDC">
        <w:rPr>
          <w:sz w:val="24"/>
          <w:szCs w:val="24"/>
        </w:rPr>
        <w:t>0.29 Hz in the power spectrum on near-field stations only and a strong 0.87 Hz frequency with higher order modes on all other stations with decreasing amplitude with distance. We attribute 0.29 Hz to the low-speed shaft axial rotation within the nacelle and the third harmonic 0.87 Hz to the wind turbine’s three</w:t>
      </w:r>
      <w:r>
        <w:rPr>
          <w:sz w:val="24"/>
          <w:szCs w:val="24"/>
        </w:rPr>
        <w:t>-</w:t>
      </w:r>
      <w:r w:rsidRPr="00B25CDC">
        <w:rPr>
          <w:sz w:val="24"/>
          <w:szCs w:val="24"/>
        </w:rPr>
        <w:t xml:space="preserve">bladed sweep signal at 12-14 rpm which translates to an approximately 0.2Hz blade sweep frequency. Based on the assumption of narrow sharp peaks in the power spectrum are attributed to mechanical wind turbine noise; we also consider 14.5 Hz, 24.83 Hz, and 27.82 Hz to be attributed to the multi-stage shaft revolution of the high-speed generator axle. </w:t>
      </w:r>
    </w:p>
    <w:p w14:paraId="5A10A3D5" w14:textId="77777777" w:rsidR="004C3823" w:rsidRPr="00B25CDC" w:rsidRDefault="004C3823" w:rsidP="001C6C03">
      <w:pPr>
        <w:spacing w:line="480" w:lineRule="auto"/>
        <w:ind w:firstLine="720"/>
        <w:rPr>
          <w:sz w:val="24"/>
          <w:szCs w:val="24"/>
        </w:rPr>
      </w:pPr>
      <w:r w:rsidRPr="00B25CDC">
        <w:rPr>
          <w:sz w:val="24"/>
          <w:szCs w:val="24"/>
        </w:rPr>
        <w:t xml:space="preserve">The HVSR results show no clear distinction between day and nighttime periods with some power offset between windy and non-windy periods in </w:t>
      </w:r>
      <w:r w:rsidRPr="00B25CDC">
        <w:rPr>
          <w:b/>
          <w:bCs/>
          <w:sz w:val="24"/>
          <w:szCs w:val="24"/>
        </w:rPr>
        <w:t>Figure 4.9</w:t>
      </w:r>
      <w:r w:rsidRPr="00B25CDC">
        <w:rPr>
          <w:sz w:val="24"/>
          <w:szCs w:val="24"/>
        </w:rPr>
        <w:t>. This suggests that the HVSR method is well</w:t>
      </w:r>
      <w:r>
        <w:rPr>
          <w:sz w:val="24"/>
          <w:szCs w:val="24"/>
        </w:rPr>
        <w:t>-</w:t>
      </w:r>
      <w:r w:rsidRPr="00B25CDC">
        <w:rPr>
          <w:sz w:val="24"/>
          <w:szCs w:val="24"/>
        </w:rPr>
        <w:t xml:space="preserve">suited for the analysis of the seismic background of both windy and non-windy periods. The HVSR curves are analyzed in accordance </w:t>
      </w:r>
      <w:r>
        <w:rPr>
          <w:sz w:val="24"/>
          <w:szCs w:val="24"/>
        </w:rPr>
        <w:t>with</w:t>
      </w:r>
      <w:r w:rsidRPr="00B25CDC">
        <w:rPr>
          <w:sz w:val="24"/>
          <w:szCs w:val="24"/>
        </w:rPr>
        <w:t xml:space="preserve"> the SESAME guidelines for ambient excitations where the spectral ratio curve is tested for reliability and clear peaks (Bard et al., 2005). All selected peaks pass the reliable curve criterion. However, some of the selected peaks fail the test for clear peaks due to insufficient amplitude difference in defining a peak. We attribute this to </w:t>
      </w:r>
      <w:proofErr w:type="gramStart"/>
      <w:r w:rsidRPr="00B25CDC">
        <w:rPr>
          <w:sz w:val="24"/>
          <w:szCs w:val="24"/>
        </w:rPr>
        <w:t>an</w:t>
      </w:r>
      <w:proofErr w:type="gramEnd"/>
      <w:r w:rsidRPr="00B25CDC">
        <w:rPr>
          <w:sz w:val="24"/>
          <w:szCs w:val="24"/>
        </w:rPr>
        <w:t xml:space="preserve"> excessively noisy environment of near</w:t>
      </w:r>
      <w:r>
        <w:rPr>
          <w:sz w:val="24"/>
          <w:szCs w:val="24"/>
        </w:rPr>
        <w:t>-</w:t>
      </w:r>
      <w:r w:rsidRPr="00B25CDC">
        <w:rPr>
          <w:sz w:val="24"/>
          <w:szCs w:val="24"/>
        </w:rPr>
        <w:t>field stations</w:t>
      </w:r>
      <w:r>
        <w:rPr>
          <w:sz w:val="24"/>
          <w:szCs w:val="24"/>
        </w:rPr>
        <w:t xml:space="preserve"> next</w:t>
      </w:r>
      <w:r w:rsidRPr="00B25CDC">
        <w:rPr>
          <w:sz w:val="24"/>
          <w:szCs w:val="24"/>
        </w:rPr>
        <w:t xml:space="preserve"> to a wind turbine tower. It is suggested in HVSR studies to avoid ambient vibrations in areas of heavy machinery and/or high anthropogenic noise sources to avoid including transient ground motion (Koller et al.</w:t>
      </w:r>
      <w:r>
        <w:rPr>
          <w:sz w:val="24"/>
          <w:szCs w:val="24"/>
        </w:rPr>
        <w:t>,</w:t>
      </w:r>
      <w:r w:rsidRPr="00B25CDC">
        <w:rPr>
          <w:sz w:val="24"/>
          <w:szCs w:val="24"/>
        </w:rPr>
        <w:t xml:space="preserve"> 2004). Therefore, we compare the HVSR curve results based on the recordings near wind turbines to the second array in Alfalfa County. We observe a clear </w:t>
      </w:r>
      <w:r>
        <w:rPr>
          <w:sz w:val="24"/>
          <w:szCs w:val="24"/>
        </w:rPr>
        <w:t xml:space="preserve">and </w:t>
      </w:r>
      <w:r w:rsidRPr="00B25CDC">
        <w:rPr>
          <w:sz w:val="24"/>
          <w:szCs w:val="24"/>
        </w:rPr>
        <w:t xml:space="preserve">distinct peak frequency </w:t>
      </w:r>
      <w:r w:rsidRPr="00B25CDC">
        <w:rPr>
          <w:sz w:val="24"/>
          <w:szCs w:val="24"/>
        </w:rPr>
        <w:lastRenderedPageBreak/>
        <w:t xml:space="preserve">common to all stations located in Alfalfa County in the frequency band 3 Hz – 5 Hz. Lesser amplitude and clear peaks are also visible </w:t>
      </w:r>
      <w:r>
        <w:rPr>
          <w:sz w:val="24"/>
          <w:szCs w:val="24"/>
        </w:rPr>
        <w:t xml:space="preserve">at </w:t>
      </w:r>
      <w:r w:rsidRPr="00B25CDC">
        <w:rPr>
          <w:sz w:val="24"/>
          <w:szCs w:val="24"/>
        </w:rPr>
        <w:t xml:space="preserve">10-12 Hz for some stations. Grant County stations show consistent frequencies at approximately 0.37 Hz, 0.8 Hz, 2.7 Hz, 5.1 Hz, 7.8 Hz, and 10.5 Hz. </w:t>
      </w:r>
    </w:p>
    <w:p w14:paraId="4B69FF4A" w14:textId="77777777" w:rsidR="004C3823" w:rsidRPr="00B25CDC" w:rsidRDefault="004C3823" w:rsidP="001C6C03">
      <w:pPr>
        <w:spacing w:line="480" w:lineRule="auto"/>
        <w:ind w:firstLine="720"/>
        <w:rPr>
          <w:sz w:val="24"/>
          <w:szCs w:val="24"/>
        </w:rPr>
      </w:pPr>
      <w:r w:rsidRPr="00B25CDC">
        <w:rPr>
          <w:sz w:val="24"/>
          <w:szCs w:val="24"/>
        </w:rPr>
        <w:t xml:space="preserve">For further investigation, we compare </w:t>
      </w:r>
      <w:r>
        <w:rPr>
          <w:sz w:val="24"/>
          <w:szCs w:val="24"/>
        </w:rPr>
        <w:t xml:space="preserve">the </w:t>
      </w:r>
      <w:r w:rsidRPr="00B25CDC">
        <w:rPr>
          <w:sz w:val="24"/>
          <w:szCs w:val="24"/>
        </w:rPr>
        <w:t xml:space="preserve">low wind environment power amplitude spectrum with HVSR and notice a stronger 0.51 Hz peak in the power spectrum. Higher modes of 0.51 Hz are also significant in non-windy conditions </w:t>
      </w:r>
      <w:proofErr w:type="gramStart"/>
      <w:r w:rsidRPr="00B25CDC">
        <w:rPr>
          <w:sz w:val="24"/>
          <w:szCs w:val="24"/>
        </w:rPr>
        <w:t>similar to</w:t>
      </w:r>
      <w:proofErr w:type="gramEnd"/>
      <w:r w:rsidRPr="00B25CDC">
        <w:rPr>
          <w:sz w:val="24"/>
          <w:szCs w:val="24"/>
        </w:rPr>
        <w:t xml:space="preserve"> higher modes of 0.8 Hz in windy conditions. We attribute 0.51 Hz to the corresponding speed of the wind turbine blade sweep. </w:t>
      </w:r>
    </w:p>
    <w:p w14:paraId="3C739CB7" w14:textId="77777777" w:rsidR="004C3823" w:rsidRPr="00B25CDC" w:rsidRDefault="004C3823" w:rsidP="001C6C03">
      <w:pPr>
        <w:spacing w:line="480" w:lineRule="auto"/>
        <w:ind w:firstLine="720"/>
        <w:rPr>
          <w:sz w:val="24"/>
          <w:szCs w:val="24"/>
        </w:rPr>
      </w:pPr>
      <w:r w:rsidRPr="00B25CDC">
        <w:rPr>
          <w:sz w:val="24"/>
          <w:szCs w:val="24"/>
        </w:rPr>
        <w:t>In the HVSR curve</w:t>
      </w:r>
      <w:r>
        <w:rPr>
          <w:sz w:val="24"/>
          <w:szCs w:val="24"/>
        </w:rPr>
        <w:t>,</w:t>
      </w:r>
      <w:r w:rsidRPr="00B25CDC">
        <w:rPr>
          <w:sz w:val="24"/>
          <w:szCs w:val="24"/>
        </w:rPr>
        <w:t xml:space="preserve"> we observe a broad frequency peak at 0.8 Hz. A simple approximation for potential building resonance (</w:t>
      </w:r>
      <w:proofErr w:type="spellStart"/>
      <w:r w:rsidRPr="00B25CDC">
        <w:rPr>
          <w:sz w:val="24"/>
          <w:szCs w:val="24"/>
        </w:rPr>
        <w:t>Taranath</w:t>
      </w:r>
      <w:proofErr w:type="spellEnd"/>
      <w:r w:rsidRPr="00B25CDC">
        <w:rPr>
          <w:sz w:val="24"/>
          <w:szCs w:val="24"/>
        </w:rPr>
        <w:t xml:space="preserve">, 2016) is provided by </w:t>
      </w:r>
      <w:r w:rsidRPr="00B25CDC">
        <w:rPr>
          <w:b/>
          <w:bCs/>
          <w:sz w:val="24"/>
          <w:szCs w:val="24"/>
        </w:rPr>
        <w:t xml:space="preserve">equation </w:t>
      </w:r>
      <w:proofErr w:type="gramStart"/>
      <w:r>
        <w:rPr>
          <w:b/>
          <w:bCs/>
          <w:sz w:val="24"/>
          <w:szCs w:val="24"/>
        </w:rPr>
        <w:t>4.</w:t>
      </w:r>
      <w:r w:rsidRPr="00B25CDC">
        <w:rPr>
          <w:b/>
          <w:bCs/>
          <w:sz w:val="24"/>
          <w:szCs w:val="24"/>
        </w:rPr>
        <w:t>5</w:t>
      </w:r>
      <w:proofErr w:type="gramEnd"/>
    </w:p>
    <w:p w14:paraId="3A4FE25C" w14:textId="77777777" w:rsidR="004C3823" w:rsidRPr="00B25CDC" w:rsidRDefault="00DF2C3F" w:rsidP="00C72344">
      <w:pPr>
        <w:spacing w:line="48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b</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10</m:t>
              </m:r>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stories</m:t>
                  </m:r>
                </m:sub>
              </m:sSub>
            </m:den>
          </m:f>
        </m:oMath>
      </m:oMathPara>
    </w:p>
    <w:p w14:paraId="25ABC102" w14:textId="77777777" w:rsidR="004C3823" w:rsidRPr="00B25CDC" w:rsidRDefault="004C3823" w:rsidP="001C6C03">
      <w:pPr>
        <w:spacing w:line="480" w:lineRule="auto"/>
        <w:jc w:val="right"/>
        <w:rPr>
          <w:sz w:val="24"/>
          <w:szCs w:val="24"/>
        </w:rPr>
      </w:pPr>
      <w:r>
        <w:rPr>
          <w:sz w:val="24"/>
          <w:szCs w:val="24"/>
        </w:rPr>
        <w:t>(4.</w:t>
      </w:r>
      <w:r w:rsidRPr="00B25CDC">
        <w:rPr>
          <w:sz w:val="24"/>
          <w:szCs w:val="24"/>
        </w:rPr>
        <w:t>5</w:t>
      </w:r>
      <w:r>
        <w:rPr>
          <w:sz w:val="24"/>
          <w:szCs w:val="24"/>
        </w:rPr>
        <w:t>)</w:t>
      </w:r>
    </w:p>
    <w:p w14:paraId="49183E8C" w14:textId="77777777" w:rsidR="004C3823" w:rsidRPr="00B25CDC" w:rsidRDefault="004C3823" w:rsidP="001C6C03">
      <w:pPr>
        <w:spacing w:line="480" w:lineRule="auto"/>
        <w:rPr>
          <w:sz w:val="24"/>
          <w:szCs w:val="24"/>
        </w:rPr>
      </w:pPr>
      <w:r w:rsidRPr="00B25CD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b</m:t>
            </m:r>
          </m:sub>
        </m:sSub>
      </m:oMath>
      <w:r w:rsidRPr="00B25CDC">
        <w:rPr>
          <w:sz w:val="24"/>
          <w:szCs w:val="24"/>
        </w:rPr>
        <w:t xml:space="preserve"> is the resonance frequency in hertz 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stories</m:t>
            </m:r>
          </m:sub>
        </m:sSub>
      </m:oMath>
      <w:r w:rsidRPr="00B25CDC">
        <w:rPr>
          <w:sz w:val="24"/>
          <w:szCs w:val="24"/>
        </w:rPr>
        <w:t xml:space="preserve"> is the height of the structure in uni</w:t>
      </w:r>
      <w:proofErr w:type="spellStart"/>
      <w:r w:rsidRPr="00B25CDC">
        <w:rPr>
          <w:sz w:val="24"/>
          <w:szCs w:val="24"/>
        </w:rPr>
        <w:t>ts</w:t>
      </w:r>
      <w:proofErr w:type="spellEnd"/>
      <w:r w:rsidRPr="00B25CDC">
        <w:rPr>
          <w:sz w:val="24"/>
          <w:szCs w:val="24"/>
        </w:rPr>
        <w:t xml:space="preserve"> of floors. We apply this approximation to estimate the 80-meter-tall wind turbine monopole tower resonance frequency to be 0.37 Hz. We observe the natural frequency of 0.37 Hz at all stations located near the wind turbine towers, except station 1008, </w:t>
      </w:r>
      <w:r>
        <w:rPr>
          <w:sz w:val="24"/>
          <w:szCs w:val="24"/>
        </w:rPr>
        <w:t>which</w:t>
      </w:r>
      <w:r w:rsidRPr="00B25CDC">
        <w:rPr>
          <w:sz w:val="24"/>
          <w:szCs w:val="24"/>
        </w:rPr>
        <w:t xml:space="preserve"> is independent of wind forces that we can consider as the wind turbine monopole tower resonance frequency. Back of the envelope calculation with the observed frequency</w:t>
      </w:r>
      <w:r>
        <w:rPr>
          <w:sz w:val="24"/>
          <w:szCs w:val="24"/>
        </w:rPr>
        <w:t>,</w:t>
      </w:r>
      <w:r w:rsidRPr="00B25CDC">
        <w:rPr>
          <w:sz w:val="24"/>
          <w:szCs w:val="24"/>
        </w:rPr>
        <w:t xml:space="preserve"> we estimate the tower height to </w:t>
      </w:r>
      <w:r w:rsidRPr="00B25CDC">
        <w:rPr>
          <w:sz w:val="24"/>
          <w:szCs w:val="24"/>
        </w:rPr>
        <w:lastRenderedPageBreak/>
        <w:t xml:space="preserve">be 84 meters, which is an adequate approximation given the significant figures that are overlooked in the conversion of stories to meters. </w:t>
      </w:r>
    </w:p>
    <w:p w14:paraId="0584F00D" w14:textId="0FBC49DD" w:rsidR="004C3823" w:rsidRPr="00B25CDC" w:rsidRDefault="004C3823" w:rsidP="004A2DF4">
      <w:pPr>
        <w:spacing w:line="480" w:lineRule="auto"/>
        <w:ind w:firstLine="720"/>
        <w:rPr>
          <w:sz w:val="24"/>
          <w:szCs w:val="24"/>
        </w:rPr>
      </w:pPr>
      <w:r w:rsidRPr="00B25CDC">
        <w:rPr>
          <w:sz w:val="24"/>
          <w:szCs w:val="24"/>
        </w:rPr>
        <w:t>From ambient noise correlation</w:t>
      </w:r>
      <w:r>
        <w:rPr>
          <w:sz w:val="24"/>
          <w:szCs w:val="24"/>
        </w:rPr>
        <w:t>,</w:t>
      </w:r>
      <w:r w:rsidRPr="00B25CDC">
        <w:rPr>
          <w:sz w:val="24"/>
          <w:szCs w:val="24"/>
        </w:rPr>
        <w:t xml:space="preserve"> we determine the propagation direction of seismic wave energy at specific frequency bands. Intuitively, it would be assumed that noise frequencies would show propagation away from stations positioned near a wind turbine tower which suggest</w:t>
      </w:r>
      <w:r>
        <w:rPr>
          <w:sz w:val="24"/>
          <w:szCs w:val="24"/>
        </w:rPr>
        <w:t>s</w:t>
      </w:r>
      <w:r w:rsidRPr="00B25CDC">
        <w:rPr>
          <w:sz w:val="24"/>
          <w:szCs w:val="24"/>
        </w:rPr>
        <w:t xml:space="preserve"> significant seismic noise caused by a direct effect of the wind turbine tower and wind interaction with the monopole. However, analysis of the noise coherence shows a general West to East trend for wave energy at all frequency bands. Wave energy propagating from West to East suggest</w:t>
      </w:r>
      <w:r>
        <w:rPr>
          <w:sz w:val="24"/>
          <w:szCs w:val="24"/>
        </w:rPr>
        <w:t>s</w:t>
      </w:r>
      <w:r w:rsidRPr="00B25CDC">
        <w:rPr>
          <w:sz w:val="24"/>
          <w:szCs w:val="24"/>
        </w:rPr>
        <w:t xml:space="preserve"> signals are independent of any immediate local effects of atmospheric conditions and structures. This analysis is not sensitive to the narrow band frequencies previously identified as wind turbine mechanical noise. One hypothesis is th</w:t>
      </w:r>
      <w:r>
        <w:rPr>
          <w:sz w:val="24"/>
          <w:szCs w:val="24"/>
        </w:rPr>
        <w:t>at the</w:t>
      </w:r>
      <w:r w:rsidRPr="00B25CDC">
        <w:rPr>
          <w:sz w:val="24"/>
          <w:szCs w:val="24"/>
        </w:rPr>
        <w:t xml:space="preserve"> low frequencies </w:t>
      </w:r>
      <w:r>
        <w:rPr>
          <w:sz w:val="24"/>
          <w:szCs w:val="24"/>
        </w:rPr>
        <w:t>are energy from</w:t>
      </w:r>
      <w:r w:rsidRPr="00B25CDC">
        <w:rPr>
          <w:sz w:val="24"/>
          <w:szCs w:val="24"/>
        </w:rPr>
        <w:t xml:space="preserve"> long</w:t>
      </w:r>
      <w:r>
        <w:rPr>
          <w:sz w:val="24"/>
          <w:szCs w:val="24"/>
        </w:rPr>
        <w:t>-</w:t>
      </w:r>
      <w:r w:rsidRPr="00B25CDC">
        <w:rPr>
          <w:sz w:val="24"/>
          <w:szCs w:val="24"/>
        </w:rPr>
        <w:t xml:space="preserve">period waves generated by severe winter storms along the Western coastline. However, continental stations in Bromirski et al. </w:t>
      </w:r>
      <w:r>
        <w:rPr>
          <w:sz w:val="24"/>
          <w:szCs w:val="24"/>
        </w:rPr>
        <w:t>(</w:t>
      </w:r>
      <w:r w:rsidRPr="00B25CDC">
        <w:rPr>
          <w:sz w:val="24"/>
          <w:szCs w:val="24"/>
        </w:rPr>
        <w:t>2005</w:t>
      </w:r>
      <w:r>
        <w:rPr>
          <w:sz w:val="24"/>
          <w:szCs w:val="24"/>
        </w:rPr>
        <w:t>)</w:t>
      </w:r>
      <w:r w:rsidRPr="00B25CDC">
        <w:rPr>
          <w:sz w:val="24"/>
          <w:szCs w:val="24"/>
        </w:rPr>
        <w:t xml:space="preserve"> did not observe any mid</w:t>
      </w:r>
      <w:r>
        <w:rPr>
          <w:sz w:val="24"/>
          <w:szCs w:val="24"/>
        </w:rPr>
        <w:t>-</w:t>
      </w:r>
      <w:r w:rsidRPr="00B25CDC">
        <w:rPr>
          <w:sz w:val="24"/>
          <w:szCs w:val="24"/>
        </w:rPr>
        <w:t>ocean double-frequency microseisms when observing mid-ocean storm swells. Low, broad peak frequencies could be attributed to a deep structure causing harmonic resonance since observations are consistent with the HVSR results. The West to East propagation trend could be attributed to a near</w:t>
      </w:r>
      <w:r>
        <w:rPr>
          <w:sz w:val="24"/>
          <w:szCs w:val="24"/>
        </w:rPr>
        <w:t>-</w:t>
      </w:r>
      <w:r w:rsidRPr="00B25CDC">
        <w:rPr>
          <w:sz w:val="24"/>
          <w:szCs w:val="24"/>
        </w:rPr>
        <w:t xml:space="preserve">surface broad frequency source such as the other wind turbines to the south-southwest of the array as shown in </w:t>
      </w:r>
      <w:r w:rsidRPr="00B25CDC">
        <w:rPr>
          <w:b/>
          <w:bCs/>
          <w:sz w:val="24"/>
          <w:szCs w:val="24"/>
        </w:rPr>
        <w:t xml:space="preserve">Figure </w:t>
      </w:r>
      <w:r>
        <w:rPr>
          <w:b/>
          <w:bCs/>
          <w:sz w:val="24"/>
          <w:szCs w:val="24"/>
        </w:rPr>
        <w:t>4.</w:t>
      </w:r>
      <w:r w:rsidRPr="00B25CDC">
        <w:rPr>
          <w:b/>
          <w:bCs/>
          <w:sz w:val="24"/>
          <w:szCs w:val="24"/>
        </w:rPr>
        <w:t>1</w:t>
      </w:r>
      <w:r w:rsidRPr="00B25CDC">
        <w:rPr>
          <w:sz w:val="24"/>
          <w:szCs w:val="24"/>
        </w:rPr>
        <w:t xml:space="preserve">. </w:t>
      </w:r>
      <w:r>
        <w:rPr>
          <w:sz w:val="24"/>
          <w:szCs w:val="24"/>
        </w:rPr>
        <w:t>Finally, the noise in this frequency band could have another underdetermined source relatively closer to the Alfalfa array.</w:t>
      </w:r>
    </w:p>
    <w:p w14:paraId="1A6FD572" w14:textId="77777777" w:rsidR="004A2DF4" w:rsidRDefault="004A2DF4" w:rsidP="0076431A">
      <w:pPr>
        <w:spacing w:line="480" w:lineRule="auto"/>
        <w:rPr>
          <w:b/>
          <w:sz w:val="24"/>
          <w:szCs w:val="24"/>
        </w:rPr>
      </w:pPr>
    </w:p>
    <w:p w14:paraId="21F2F122" w14:textId="77777777" w:rsidR="004A2DF4" w:rsidRDefault="004A2DF4" w:rsidP="0076431A">
      <w:pPr>
        <w:spacing w:line="480" w:lineRule="auto"/>
        <w:rPr>
          <w:b/>
          <w:sz w:val="24"/>
          <w:szCs w:val="24"/>
        </w:rPr>
      </w:pPr>
    </w:p>
    <w:p w14:paraId="57F9D7D8" w14:textId="4F5C45EA" w:rsidR="004C3823" w:rsidRPr="00B25CDC" w:rsidRDefault="004C3823" w:rsidP="0076431A">
      <w:pPr>
        <w:spacing w:line="480" w:lineRule="auto"/>
        <w:rPr>
          <w:b/>
          <w:sz w:val="24"/>
          <w:szCs w:val="24"/>
        </w:rPr>
      </w:pPr>
      <w:r w:rsidRPr="00B25CDC">
        <w:rPr>
          <w:b/>
          <w:sz w:val="24"/>
          <w:szCs w:val="24"/>
        </w:rPr>
        <w:lastRenderedPageBreak/>
        <w:t>4.</w:t>
      </w:r>
      <w:r>
        <w:rPr>
          <w:b/>
          <w:sz w:val="24"/>
          <w:szCs w:val="24"/>
        </w:rPr>
        <w:t>6</w:t>
      </w:r>
      <w:r w:rsidRPr="00B25CDC">
        <w:rPr>
          <w:b/>
          <w:sz w:val="24"/>
          <w:szCs w:val="24"/>
        </w:rPr>
        <w:t xml:space="preserve"> Conclusion</w:t>
      </w:r>
    </w:p>
    <w:p w14:paraId="26DA715B" w14:textId="77777777" w:rsidR="004C3823" w:rsidRPr="00B25CDC" w:rsidRDefault="004C3823" w:rsidP="001C6C03">
      <w:pPr>
        <w:spacing w:line="480" w:lineRule="auto"/>
        <w:ind w:firstLine="720"/>
        <w:rPr>
          <w:sz w:val="24"/>
          <w:szCs w:val="24"/>
        </w:rPr>
      </w:pPr>
      <w:r w:rsidRPr="00B25CDC">
        <w:rPr>
          <w:sz w:val="24"/>
          <w:szCs w:val="24"/>
        </w:rPr>
        <w:t xml:space="preserve">To improve our understanding of the ambient seismic field, the power density function is applied to the dataset recorded by the temporary array of 3 component sensors to highlight fundamental frequencies. Based on the results obtained from the power spectrum and </w:t>
      </w:r>
      <w:proofErr w:type="spellStart"/>
      <w:r w:rsidRPr="00B25CDC">
        <w:rPr>
          <w:sz w:val="24"/>
          <w:szCs w:val="24"/>
        </w:rPr>
        <w:t>Mesonet</w:t>
      </w:r>
      <w:proofErr w:type="spellEnd"/>
      <w:r w:rsidRPr="00B25CDC">
        <w:rPr>
          <w:sz w:val="24"/>
          <w:szCs w:val="24"/>
        </w:rPr>
        <w:t xml:space="preserve"> dataset comparison we can conclude the broad amplitude increase in power spectrum are likely due to the wind coupling with the ground based on power spectrum amplitude comparisons between stations and weather conditions, sharp narrow frequency peaks are due to the wind turbine mechanical noise coupling directly with the ground, and the wind turbine monopole natural frequency is 0.3 Hz. We assume that (1) the wind turbine tower radiates a constant amount of energy at each spin level, (2) All nearby wind turbines are always at the same spin level, (3) a simple laterally homogenous subsurface, and (4) wind turbine energy sums constructively. We conclude 0.3 Hz </w:t>
      </w:r>
      <w:r>
        <w:rPr>
          <w:sz w:val="24"/>
          <w:szCs w:val="24"/>
        </w:rPr>
        <w:t>is</w:t>
      </w:r>
      <w:r w:rsidRPr="00B25CDC">
        <w:rPr>
          <w:sz w:val="24"/>
          <w:szCs w:val="24"/>
        </w:rPr>
        <w:t xml:space="preserve"> related </w:t>
      </w:r>
      <w:r>
        <w:rPr>
          <w:sz w:val="24"/>
          <w:szCs w:val="24"/>
        </w:rPr>
        <w:t xml:space="preserve">to </w:t>
      </w:r>
      <w:r w:rsidRPr="00B25CDC">
        <w:rPr>
          <w:sz w:val="24"/>
          <w:szCs w:val="24"/>
        </w:rPr>
        <w:t xml:space="preserve">the low-speed shaft axial rotation within the nacelle of the wind turbine at two different speeds. The third harmonic of these two signals at 0.51 Hz and 0.87 Hz are related to the wind turbine blade beats at the different corresponding wind turbine operating speeds. High frequency and larger amplitude peaks </w:t>
      </w:r>
      <w:proofErr w:type="gramStart"/>
      <w:r w:rsidRPr="00B25CDC">
        <w:rPr>
          <w:sz w:val="24"/>
          <w:szCs w:val="24"/>
        </w:rPr>
        <w:t>are corresponding</w:t>
      </w:r>
      <w:proofErr w:type="gramEnd"/>
      <w:r w:rsidRPr="00B25CDC">
        <w:rPr>
          <w:sz w:val="24"/>
          <w:szCs w:val="24"/>
        </w:rPr>
        <w:t xml:space="preserve"> to the frequency band of the wind constructively summing with the preexisting frequencies related to the wind turbine. </w:t>
      </w:r>
    </w:p>
    <w:p w14:paraId="253B7B83" w14:textId="77777777" w:rsidR="004C3823" w:rsidRPr="00B25CDC" w:rsidRDefault="004C3823" w:rsidP="001C6C03">
      <w:pPr>
        <w:spacing w:line="480" w:lineRule="auto"/>
        <w:ind w:firstLine="720"/>
        <w:rPr>
          <w:sz w:val="24"/>
          <w:szCs w:val="24"/>
        </w:rPr>
      </w:pPr>
      <w:r w:rsidRPr="00B25CDC">
        <w:rPr>
          <w:sz w:val="24"/>
          <w:szCs w:val="24"/>
        </w:rPr>
        <w:t xml:space="preserve">Alfalfa </w:t>
      </w:r>
      <w:r>
        <w:rPr>
          <w:sz w:val="24"/>
          <w:szCs w:val="24"/>
        </w:rPr>
        <w:t>C</w:t>
      </w:r>
      <w:r w:rsidRPr="00B25CDC">
        <w:rPr>
          <w:sz w:val="24"/>
          <w:szCs w:val="24"/>
        </w:rPr>
        <w:t xml:space="preserve">ounty station HVSR results show both common peaks between all stations at 3 Hz – 5 Hz and varying spectral curve peaks over a short spatial distance. We averaged all station HVSR curves between each array to account for any variations in instrument and lateral heterogeneity in site effects. The average HVSR curves are both stable in different time windows as well as between all stations. Therefore, differences between Alfalfa County and Grant </w:t>
      </w:r>
      <w:r>
        <w:rPr>
          <w:sz w:val="24"/>
          <w:szCs w:val="24"/>
        </w:rPr>
        <w:lastRenderedPageBreak/>
        <w:t>C</w:t>
      </w:r>
      <w:r w:rsidRPr="00B25CDC">
        <w:rPr>
          <w:sz w:val="24"/>
          <w:szCs w:val="24"/>
        </w:rPr>
        <w:t xml:space="preserve">ounty’s HVSR curves can most likely be attributed to differences in site location where the obvious difference is the existence of wind turbines. It is perplexing as to how Alfalfa County exhibits a greater HVSR amplitude and significant peak whereas, </w:t>
      </w:r>
      <w:r>
        <w:rPr>
          <w:sz w:val="24"/>
          <w:szCs w:val="24"/>
        </w:rPr>
        <w:t xml:space="preserve">the </w:t>
      </w:r>
      <w:r w:rsidRPr="00B25CDC">
        <w:rPr>
          <w:sz w:val="24"/>
          <w:szCs w:val="24"/>
        </w:rPr>
        <w:t xml:space="preserve">Grant </w:t>
      </w:r>
      <w:r>
        <w:rPr>
          <w:sz w:val="24"/>
          <w:szCs w:val="24"/>
        </w:rPr>
        <w:t>C</w:t>
      </w:r>
      <w:r w:rsidRPr="00B25CDC">
        <w:rPr>
          <w:sz w:val="24"/>
          <w:szCs w:val="24"/>
        </w:rPr>
        <w:t>ounty HVSR curve</w:t>
      </w:r>
      <w:r>
        <w:rPr>
          <w:sz w:val="24"/>
          <w:szCs w:val="24"/>
        </w:rPr>
        <w:t>s</w:t>
      </w:r>
      <w:r w:rsidRPr="00B25CDC">
        <w:rPr>
          <w:sz w:val="24"/>
          <w:szCs w:val="24"/>
        </w:rPr>
        <w:t xml:space="preserve"> </w:t>
      </w:r>
      <w:r>
        <w:rPr>
          <w:sz w:val="24"/>
          <w:szCs w:val="24"/>
        </w:rPr>
        <w:t>are</w:t>
      </w:r>
      <w:r w:rsidRPr="00B25CDC">
        <w:rPr>
          <w:sz w:val="24"/>
          <w:szCs w:val="24"/>
        </w:rPr>
        <w:t xml:space="preserve"> relatively flat in comparison. HVSR interpretation is commonly used to </w:t>
      </w:r>
      <w:r>
        <w:rPr>
          <w:sz w:val="24"/>
          <w:szCs w:val="24"/>
        </w:rPr>
        <w:t>infer or otherwise deduce</w:t>
      </w:r>
      <w:r w:rsidRPr="00B25CDC">
        <w:rPr>
          <w:sz w:val="24"/>
          <w:szCs w:val="24"/>
        </w:rPr>
        <w:t xml:space="preserve"> a subsurface geologic layer of high impedance. Therefore, it may be likely </w:t>
      </w:r>
      <w:r>
        <w:rPr>
          <w:sz w:val="24"/>
          <w:szCs w:val="24"/>
        </w:rPr>
        <w:t xml:space="preserve">that </w:t>
      </w:r>
      <w:r w:rsidRPr="00B25CDC">
        <w:rPr>
          <w:sz w:val="24"/>
          <w:szCs w:val="24"/>
        </w:rPr>
        <w:t xml:space="preserve">the significant peak observed in Alfalfa County </w:t>
      </w:r>
      <w:r>
        <w:rPr>
          <w:sz w:val="24"/>
          <w:szCs w:val="24"/>
        </w:rPr>
        <w:t xml:space="preserve">could </w:t>
      </w:r>
      <w:r w:rsidRPr="00B25CDC">
        <w:rPr>
          <w:sz w:val="24"/>
          <w:szCs w:val="24"/>
        </w:rPr>
        <w:t xml:space="preserve">be caused by a very shallow subsurface layer, whereas </w:t>
      </w:r>
      <w:r>
        <w:rPr>
          <w:sz w:val="24"/>
          <w:szCs w:val="24"/>
        </w:rPr>
        <w:t xml:space="preserve">the </w:t>
      </w:r>
      <w:r w:rsidRPr="00B25CDC">
        <w:rPr>
          <w:sz w:val="24"/>
          <w:szCs w:val="24"/>
        </w:rPr>
        <w:t xml:space="preserve">Grant County </w:t>
      </w:r>
      <w:r>
        <w:rPr>
          <w:sz w:val="24"/>
          <w:szCs w:val="24"/>
        </w:rPr>
        <w:t xml:space="preserve">array </w:t>
      </w:r>
      <w:r w:rsidRPr="00B25CDC">
        <w:rPr>
          <w:sz w:val="24"/>
          <w:szCs w:val="24"/>
        </w:rPr>
        <w:t xml:space="preserve">exhibits a subsurface layer of lesser acoustic impedance. Certainly, the two locations exhibit drastically different subsurface features as highlighted by the HVSR results. </w:t>
      </w:r>
      <w:r>
        <w:rPr>
          <w:sz w:val="24"/>
          <w:szCs w:val="24"/>
        </w:rPr>
        <w:t>An alternative hypothesis is that other noise sources are not otherwise characterized by this study which is focused on wind turbine seismic noise. Nonetheless, t</w:t>
      </w:r>
      <w:r w:rsidRPr="00B25CDC">
        <w:rPr>
          <w:sz w:val="24"/>
          <w:szCs w:val="24"/>
        </w:rPr>
        <w:t xml:space="preserve">hese </w:t>
      </w:r>
      <w:r>
        <w:rPr>
          <w:sz w:val="24"/>
          <w:szCs w:val="24"/>
        </w:rPr>
        <w:t xml:space="preserve">observational </w:t>
      </w:r>
      <w:r w:rsidRPr="00B25CDC">
        <w:rPr>
          <w:sz w:val="24"/>
          <w:szCs w:val="24"/>
        </w:rPr>
        <w:t xml:space="preserve">differences further support the importance of </w:t>
      </w:r>
      <w:proofErr w:type="spellStart"/>
      <w:r w:rsidRPr="00B25CDC">
        <w:rPr>
          <w:sz w:val="24"/>
          <w:szCs w:val="24"/>
        </w:rPr>
        <w:t>microzonation</w:t>
      </w:r>
      <w:proofErr w:type="spellEnd"/>
      <w:r w:rsidRPr="00B25CDC">
        <w:rPr>
          <w:sz w:val="24"/>
          <w:szCs w:val="24"/>
        </w:rPr>
        <w:t xml:space="preserve"> studies. </w:t>
      </w:r>
    </w:p>
    <w:p w14:paraId="75FE270E" w14:textId="77777777" w:rsidR="004C3823" w:rsidRPr="00B25CDC" w:rsidRDefault="004C3823" w:rsidP="001C6C03">
      <w:pPr>
        <w:spacing w:line="480" w:lineRule="auto"/>
        <w:ind w:firstLine="720"/>
        <w:rPr>
          <w:sz w:val="24"/>
          <w:szCs w:val="24"/>
        </w:rPr>
      </w:pPr>
      <w:r>
        <w:rPr>
          <w:sz w:val="24"/>
          <w:szCs w:val="24"/>
        </w:rPr>
        <w:t>The d</w:t>
      </w:r>
      <w:r w:rsidRPr="00B25CDC">
        <w:rPr>
          <w:sz w:val="24"/>
          <w:szCs w:val="24"/>
        </w:rPr>
        <w:t xml:space="preserve">irectivity of seismic energy between stations is determined based on the cross-correlation approach where time lag indicates the energy transfer direction. </w:t>
      </w:r>
      <w:r>
        <w:rPr>
          <w:sz w:val="24"/>
          <w:szCs w:val="24"/>
        </w:rPr>
        <w:t>T</w:t>
      </w:r>
      <w:r w:rsidRPr="00B25CDC">
        <w:rPr>
          <w:sz w:val="24"/>
          <w:szCs w:val="24"/>
        </w:rPr>
        <w:t>here is directivity across all frequency bands. However, it is counter-</w:t>
      </w:r>
      <w:proofErr w:type="gramStart"/>
      <w:r w:rsidRPr="00B25CDC">
        <w:rPr>
          <w:sz w:val="24"/>
          <w:szCs w:val="24"/>
        </w:rPr>
        <w:t>intuitive</w:t>
      </w:r>
      <w:proofErr w:type="gramEnd"/>
      <w:r w:rsidRPr="00B25CDC">
        <w:rPr>
          <w:sz w:val="24"/>
          <w:szCs w:val="24"/>
        </w:rPr>
        <w:t xml:space="preserve"> the source of the noise is not coming from stations next to wind turbines. It may be likely that the primary noise for the region is the collective wind turbines for the wind farm. </w:t>
      </w:r>
    </w:p>
    <w:p w14:paraId="322D3574" w14:textId="77777777" w:rsidR="004C3823" w:rsidRPr="00B25CDC" w:rsidRDefault="004C3823" w:rsidP="0076431A">
      <w:pPr>
        <w:spacing w:line="480" w:lineRule="auto"/>
        <w:rPr>
          <w:b/>
          <w:sz w:val="24"/>
          <w:szCs w:val="24"/>
        </w:rPr>
      </w:pPr>
      <w:r w:rsidRPr="00B25CDC">
        <w:rPr>
          <w:b/>
          <w:sz w:val="24"/>
          <w:szCs w:val="24"/>
        </w:rPr>
        <w:t>4.</w:t>
      </w:r>
      <w:r>
        <w:rPr>
          <w:b/>
          <w:sz w:val="24"/>
          <w:szCs w:val="24"/>
        </w:rPr>
        <w:t>7</w:t>
      </w:r>
      <w:r w:rsidRPr="00B25CDC">
        <w:rPr>
          <w:b/>
          <w:sz w:val="24"/>
          <w:szCs w:val="24"/>
        </w:rPr>
        <w:t xml:space="preserve"> Acknowledgement</w:t>
      </w:r>
    </w:p>
    <w:p w14:paraId="0B68763D" w14:textId="77777777" w:rsidR="004C3823" w:rsidRDefault="004C3823" w:rsidP="001C6C03">
      <w:pPr>
        <w:spacing w:line="480" w:lineRule="auto"/>
        <w:ind w:firstLine="720"/>
        <w:rPr>
          <w:sz w:val="24"/>
          <w:szCs w:val="24"/>
        </w:rPr>
      </w:pPr>
      <w:r w:rsidRPr="00B25CDC">
        <w:rPr>
          <w:sz w:val="24"/>
          <w:szCs w:val="24"/>
        </w:rPr>
        <w:t xml:space="preserve">We would like to acknowledge the kind Oklahoma landowner who </w:t>
      </w:r>
      <w:r>
        <w:rPr>
          <w:sz w:val="24"/>
          <w:szCs w:val="24"/>
        </w:rPr>
        <w:t>permitted us</w:t>
      </w:r>
      <w:r w:rsidRPr="00B25CDC">
        <w:rPr>
          <w:sz w:val="24"/>
          <w:szCs w:val="24"/>
        </w:rPr>
        <w:t xml:space="preserve"> to access his field to deploy our sensors and fellow graduate students at the University of Oklahoma who participated in deployment and sensor retrieval. Without their help</w:t>
      </w:r>
      <w:r>
        <w:rPr>
          <w:sz w:val="24"/>
          <w:szCs w:val="24"/>
        </w:rPr>
        <w:t>,</w:t>
      </w:r>
      <w:r w:rsidRPr="00B25CDC">
        <w:rPr>
          <w:sz w:val="24"/>
          <w:szCs w:val="24"/>
        </w:rPr>
        <w:t xml:space="preserve"> this project </w:t>
      </w:r>
      <w:r w:rsidRPr="00B25CDC">
        <w:rPr>
          <w:sz w:val="24"/>
          <w:szCs w:val="24"/>
        </w:rPr>
        <w:lastRenderedPageBreak/>
        <w:t xml:space="preserve">would not have been able to be performed. </w:t>
      </w:r>
      <w:r w:rsidRPr="001142F3">
        <w:rPr>
          <w:sz w:val="24"/>
          <w:szCs w:val="24"/>
        </w:rPr>
        <w:t>To</w:t>
      </w:r>
      <w:r w:rsidRPr="00675E91">
        <w:rPr>
          <w:sz w:val="24"/>
          <w:szCs w:val="24"/>
        </w:rPr>
        <w:t xml:space="preserve"> OSCER</w:t>
      </w:r>
      <w:r w:rsidRPr="001142F3">
        <w:rPr>
          <w:sz w:val="24"/>
          <w:szCs w:val="24"/>
        </w:rPr>
        <w:t>, for their continued support and assistance in troubleshooting regarding supercomputing</w:t>
      </w:r>
      <w:r w:rsidRPr="00675E91">
        <w:rPr>
          <w:sz w:val="24"/>
          <w:szCs w:val="24"/>
        </w:rPr>
        <w:t>.</w:t>
      </w:r>
    </w:p>
    <w:p w14:paraId="6C1D58E3" w14:textId="77777777" w:rsidR="004A2DF4" w:rsidRDefault="004A2DF4" w:rsidP="001C6C03">
      <w:pPr>
        <w:spacing w:line="480" w:lineRule="auto"/>
        <w:ind w:firstLine="720"/>
        <w:rPr>
          <w:sz w:val="24"/>
          <w:szCs w:val="24"/>
        </w:rPr>
      </w:pPr>
    </w:p>
    <w:p w14:paraId="26CFF9CE" w14:textId="77777777" w:rsidR="004A2DF4" w:rsidRDefault="004A2DF4" w:rsidP="001C6C03">
      <w:pPr>
        <w:spacing w:line="480" w:lineRule="auto"/>
        <w:ind w:firstLine="720"/>
        <w:rPr>
          <w:sz w:val="24"/>
          <w:szCs w:val="24"/>
        </w:rPr>
      </w:pPr>
    </w:p>
    <w:p w14:paraId="40A94C57" w14:textId="77777777" w:rsidR="004A2DF4" w:rsidRPr="00B25CDC" w:rsidRDefault="004A2DF4" w:rsidP="001C6C03">
      <w:pPr>
        <w:spacing w:line="480" w:lineRule="auto"/>
        <w:ind w:firstLine="720"/>
        <w:rPr>
          <w:sz w:val="24"/>
          <w:szCs w:val="24"/>
        </w:rPr>
      </w:pPr>
    </w:p>
    <w:p w14:paraId="418CC67F" w14:textId="77777777" w:rsidR="004C3823" w:rsidRPr="00B25CDC" w:rsidRDefault="004C3823" w:rsidP="004D3CBF">
      <w:pPr>
        <w:jc w:val="both"/>
        <w:rPr>
          <w:sz w:val="24"/>
          <w:szCs w:val="24"/>
        </w:rPr>
      </w:pPr>
    </w:p>
    <w:p w14:paraId="50A7C2CA" w14:textId="77777777" w:rsidR="004C3823" w:rsidRPr="00B25CDC" w:rsidRDefault="004C3823" w:rsidP="00F803B3">
      <w:pPr>
        <w:keepNext/>
        <w:jc w:val="both"/>
        <w:rPr>
          <w:sz w:val="24"/>
          <w:szCs w:val="24"/>
        </w:rPr>
      </w:pPr>
      <w:r w:rsidRPr="00B25CDC">
        <w:rPr>
          <w:noProof/>
          <w:sz w:val="24"/>
          <w:szCs w:val="24"/>
        </w:rPr>
        <w:lastRenderedPageBreak/>
        <w:drawing>
          <wp:inline distT="0" distB="0" distL="0" distR="0" wp14:anchorId="285AF066" wp14:editId="43C53A3E">
            <wp:extent cx="5448300" cy="5405829"/>
            <wp:effectExtent l="0" t="0" r="0" b="4445"/>
            <wp:docPr id="1351308218" name="Picture 1351308218">
              <a:extLst xmlns:a="http://schemas.openxmlformats.org/drawingml/2006/main">
                <a:ext uri="{FF2B5EF4-FFF2-40B4-BE49-F238E27FC236}">
                  <a16:creationId xmlns:a16="http://schemas.microsoft.com/office/drawing/2014/main" id="{A69F4C43-AF69-4BDA-B742-174AEBFA83A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Content Placeholder 8">
                      <a:extLst>
                        <a:ext uri="{FF2B5EF4-FFF2-40B4-BE49-F238E27FC236}">
                          <a16:creationId xmlns:a16="http://schemas.microsoft.com/office/drawing/2014/main" id="{A69F4C43-AF69-4BDA-B742-174AEBFA83A5}"/>
                        </a:ext>
                      </a:extLst>
                    </pic:cNvPr>
                    <pic:cNvPicPr>
                      <a:picLocks noGrp="1"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451621" cy="5409124"/>
                    </a:xfrm>
                    <a:prstGeom prst="rect">
                      <a:avLst/>
                    </a:prstGeom>
                  </pic:spPr>
                </pic:pic>
              </a:graphicData>
            </a:graphic>
          </wp:inline>
        </w:drawing>
      </w:r>
    </w:p>
    <w:p w14:paraId="4EE89241" w14:textId="77777777" w:rsidR="004C3823" w:rsidRPr="005E2CD0" w:rsidRDefault="004C3823" w:rsidP="00F803B3">
      <w:pPr>
        <w:keepNext/>
        <w:jc w:val="both"/>
        <w:rPr>
          <w:sz w:val="24"/>
          <w:szCs w:val="24"/>
        </w:rPr>
      </w:pPr>
    </w:p>
    <w:p w14:paraId="4B3F9D68" w14:textId="48BAE2D0" w:rsidR="004C3823" w:rsidRPr="00B25CDC" w:rsidRDefault="004C3823" w:rsidP="004A2DF4">
      <w:pPr>
        <w:keepNext/>
        <w:spacing w:before="100" w:beforeAutospacing="1" w:after="100" w:afterAutospacing="1" w:line="360" w:lineRule="auto"/>
        <w:rPr>
          <w:sz w:val="24"/>
          <w:szCs w:val="24"/>
        </w:rPr>
      </w:pPr>
      <w:r w:rsidRPr="005E2CD0">
        <w:rPr>
          <w:sz w:val="24"/>
          <w:szCs w:val="24"/>
        </w:rPr>
        <w:t>Figure 4.</w:t>
      </w:r>
      <w:r w:rsidRPr="005E2CD0">
        <w:rPr>
          <w:rFonts w:cs="FreeSans"/>
          <w:noProof/>
          <w:sz w:val="24"/>
          <w:szCs w:val="24"/>
        </w:rPr>
        <w:fldChar w:fldCharType="begin"/>
      </w:r>
      <w:r w:rsidRPr="005E2CD0">
        <w:rPr>
          <w:noProof/>
          <w:sz w:val="24"/>
          <w:szCs w:val="24"/>
        </w:rPr>
        <w:instrText xml:space="preserve"> SEQ Figure \* ARABIC </w:instrText>
      </w:r>
      <w:r w:rsidRPr="005E2CD0">
        <w:rPr>
          <w:rFonts w:cs="FreeSans"/>
          <w:noProof/>
          <w:sz w:val="24"/>
          <w:szCs w:val="24"/>
        </w:rPr>
        <w:fldChar w:fldCharType="separate"/>
      </w:r>
      <w:r w:rsidR="00DF2C3F">
        <w:rPr>
          <w:noProof/>
          <w:sz w:val="24"/>
          <w:szCs w:val="24"/>
        </w:rPr>
        <w:t>11</w:t>
      </w:r>
      <w:r w:rsidRPr="005E2CD0">
        <w:rPr>
          <w:rFonts w:cs="FreeSans"/>
          <w:noProof/>
          <w:sz w:val="24"/>
          <w:szCs w:val="24"/>
        </w:rPr>
        <w:fldChar w:fldCharType="end"/>
      </w:r>
      <w:r w:rsidRPr="005E2CD0">
        <w:rPr>
          <w:rFonts w:cs="FreeSans"/>
          <w:noProof/>
          <w:sz w:val="24"/>
          <w:szCs w:val="24"/>
        </w:rPr>
        <w:t>:</w:t>
      </w:r>
      <w:r w:rsidRPr="005E2CD0">
        <w:rPr>
          <w:sz w:val="24"/>
          <w:szCs w:val="24"/>
        </w:rPr>
        <w:t xml:space="preserve"> Local map in Grant County Oklahoma, Alfalfa County, and overview map showing the area of interest. geometry and individual stations are with triangles, neighboring wind</w:t>
      </w:r>
      <w:r w:rsidRPr="00306476">
        <w:rPr>
          <w:sz w:val="24"/>
          <w:szCs w:val="24"/>
        </w:rPr>
        <w:t xml:space="preserve"> </w:t>
      </w:r>
      <w:r w:rsidRPr="00306476">
        <w:rPr>
          <w:sz w:val="24"/>
          <w:szCs w:val="24"/>
        </w:rPr>
        <w:lastRenderedPageBreak/>
        <w:t>turbine locations are depicted with red dots, and roads are shown in green lines.</w:t>
      </w:r>
      <w:r w:rsidRPr="00B25CDC">
        <w:rPr>
          <w:rFonts w:ascii="Times New Roman" w:eastAsia="Times New Roman" w:hAnsi="Times New Roman" w:cs="Times New Roman"/>
          <w:noProof/>
          <w:sz w:val="24"/>
          <w:szCs w:val="24"/>
          <w:lang w:eastAsia="ja-JP"/>
        </w:rPr>
        <w:drawing>
          <wp:inline distT="0" distB="0" distL="0" distR="0" wp14:anchorId="0058376A" wp14:editId="53529DA5">
            <wp:extent cx="5092796" cy="3762375"/>
            <wp:effectExtent l="0" t="0" r="0" b="0"/>
            <wp:docPr id="935599975" name="Picture 93559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092796" cy="3762375"/>
                    </a:xfrm>
                    <a:prstGeom prst="rect">
                      <a:avLst/>
                    </a:prstGeom>
                    <a:noFill/>
                    <a:ln>
                      <a:noFill/>
                    </a:ln>
                  </pic:spPr>
                </pic:pic>
              </a:graphicData>
            </a:graphic>
          </wp:inline>
        </w:drawing>
      </w:r>
    </w:p>
    <w:p w14:paraId="628677CB" w14:textId="3D5846E1" w:rsidR="004C3823" w:rsidRPr="004A2DF4" w:rsidRDefault="004C3823" w:rsidP="004A2DF4">
      <w:pPr>
        <w:pStyle w:val="Caption"/>
        <w:spacing w:line="360" w:lineRule="auto"/>
        <w:rPr>
          <w:rFonts w:ascii="Times New Roman" w:eastAsia="Times New Roman" w:hAnsi="Times New Roman" w:cs="Times New Roman"/>
          <w:i w:val="0"/>
          <w:iCs w:val="0"/>
          <w:color w:val="auto"/>
          <w:sz w:val="24"/>
          <w:szCs w:val="24"/>
          <w:lang w:eastAsia="ja-JP"/>
        </w:rPr>
      </w:pPr>
      <w:r w:rsidRPr="004A2DF4">
        <w:rPr>
          <w:i w:val="0"/>
          <w:iCs w:val="0"/>
          <w:color w:val="auto"/>
          <w:sz w:val="24"/>
          <w:szCs w:val="24"/>
        </w:rPr>
        <w:t>Figure 4.</w:t>
      </w:r>
      <w:r w:rsidRPr="004A2DF4">
        <w:rPr>
          <w:i w:val="0"/>
          <w:iCs w:val="0"/>
          <w:color w:val="auto"/>
          <w:sz w:val="24"/>
          <w:szCs w:val="24"/>
        </w:rPr>
        <w:fldChar w:fldCharType="begin"/>
      </w:r>
      <w:r w:rsidRPr="004A2DF4">
        <w:rPr>
          <w:i w:val="0"/>
          <w:iCs w:val="0"/>
          <w:color w:val="auto"/>
          <w:sz w:val="24"/>
          <w:szCs w:val="24"/>
        </w:rPr>
        <w:instrText xml:space="preserve"> SEQ Figure \* ARABIC </w:instrText>
      </w:r>
      <w:r w:rsidRPr="004A2DF4">
        <w:rPr>
          <w:i w:val="0"/>
          <w:iCs w:val="0"/>
          <w:color w:val="auto"/>
          <w:sz w:val="24"/>
          <w:szCs w:val="24"/>
        </w:rPr>
        <w:fldChar w:fldCharType="separate"/>
      </w:r>
      <w:r w:rsidR="00DF2C3F">
        <w:rPr>
          <w:i w:val="0"/>
          <w:iCs w:val="0"/>
          <w:noProof/>
          <w:color w:val="auto"/>
          <w:sz w:val="24"/>
          <w:szCs w:val="24"/>
        </w:rPr>
        <w:t>12</w:t>
      </w:r>
      <w:r w:rsidRPr="004A2DF4">
        <w:rPr>
          <w:i w:val="0"/>
          <w:iCs w:val="0"/>
          <w:noProof/>
          <w:color w:val="auto"/>
          <w:sz w:val="24"/>
          <w:szCs w:val="24"/>
        </w:rPr>
        <w:fldChar w:fldCharType="end"/>
      </w:r>
      <w:r w:rsidRPr="004A2DF4">
        <w:rPr>
          <w:i w:val="0"/>
          <w:iCs w:val="0"/>
          <w:noProof/>
          <w:color w:val="auto"/>
          <w:sz w:val="24"/>
          <w:szCs w:val="24"/>
        </w:rPr>
        <w:t>:</w:t>
      </w:r>
      <w:r w:rsidRPr="004A2DF4">
        <w:rPr>
          <w:i w:val="0"/>
          <w:iCs w:val="0"/>
          <w:color w:val="auto"/>
          <w:sz w:val="24"/>
          <w:szCs w:val="24"/>
        </w:rPr>
        <w:t xml:space="preserve"> A 10-second time series window of the Z component for Stations 1001 from the Grant County array and Station 2012 from the Alfalfa County array. Two time periods are shown where Day time hours start at 7 pm and nighttime starts at 2 am CST. Note the different y-axis in the bottom left figure.</w:t>
      </w:r>
    </w:p>
    <w:p w14:paraId="5BAE9EDB" w14:textId="77777777" w:rsidR="004C3823" w:rsidRPr="00B25CDC" w:rsidRDefault="004C3823" w:rsidP="001036D1">
      <w:pPr>
        <w:pStyle w:val="Caption"/>
      </w:pPr>
      <w:r w:rsidRPr="00B25CDC">
        <w:rPr>
          <w:rFonts w:ascii="Times New Roman" w:eastAsia="Times New Roman" w:hAnsi="Times New Roman" w:cs="Times New Roman"/>
          <w:noProof/>
          <w:lang w:eastAsia="ja-JP"/>
        </w:rPr>
        <w:lastRenderedPageBreak/>
        <w:drawing>
          <wp:inline distT="0" distB="0" distL="0" distR="0" wp14:anchorId="2376AF5E" wp14:editId="1B3264A5">
            <wp:extent cx="5334000" cy="4000500"/>
            <wp:effectExtent l="0" t="0" r="0" b="0"/>
            <wp:docPr id="915813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r w:rsidRPr="00B25CDC">
        <w:t xml:space="preserve"> </w:t>
      </w:r>
    </w:p>
    <w:p w14:paraId="551117EA" w14:textId="4804DD5D" w:rsidR="004C3823" w:rsidRPr="004A2DF4" w:rsidRDefault="004C3823" w:rsidP="004A2DF4">
      <w:pPr>
        <w:pStyle w:val="Caption"/>
        <w:spacing w:line="360" w:lineRule="auto"/>
        <w:rPr>
          <w:rFonts w:ascii="Times New Roman" w:eastAsia="Times New Roman" w:hAnsi="Times New Roman" w:cs="Times New Roman"/>
          <w:i w:val="0"/>
          <w:iCs w:val="0"/>
          <w:color w:val="auto"/>
          <w:sz w:val="24"/>
          <w:szCs w:val="24"/>
          <w:lang w:eastAsia="ja-JP"/>
        </w:rPr>
      </w:pPr>
      <w:r w:rsidRPr="004A2DF4">
        <w:rPr>
          <w:i w:val="0"/>
          <w:iCs w:val="0"/>
          <w:color w:val="auto"/>
          <w:sz w:val="24"/>
          <w:szCs w:val="24"/>
        </w:rPr>
        <w:t>Figure 4.</w:t>
      </w:r>
      <w:r w:rsidRPr="004A2DF4">
        <w:rPr>
          <w:i w:val="0"/>
          <w:iCs w:val="0"/>
          <w:color w:val="auto"/>
          <w:sz w:val="24"/>
          <w:szCs w:val="24"/>
        </w:rPr>
        <w:fldChar w:fldCharType="begin"/>
      </w:r>
      <w:r w:rsidRPr="004A2DF4">
        <w:rPr>
          <w:i w:val="0"/>
          <w:iCs w:val="0"/>
          <w:color w:val="auto"/>
          <w:sz w:val="24"/>
          <w:szCs w:val="24"/>
        </w:rPr>
        <w:instrText xml:space="preserve"> SEQ Figure \* ARABIC </w:instrText>
      </w:r>
      <w:r w:rsidRPr="004A2DF4">
        <w:rPr>
          <w:i w:val="0"/>
          <w:iCs w:val="0"/>
          <w:color w:val="auto"/>
          <w:sz w:val="24"/>
          <w:szCs w:val="24"/>
        </w:rPr>
        <w:fldChar w:fldCharType="separate"/>
      </w:r>
      <w:r w:rsidR="00DF2C3F">
        <w:rPr>
          <w:i w:val="0"/>
          <w:iCs w:val="0"/>
          <w:noProof/>
          <w:color w:val="auto"/>
          <w:sz w:val="24"/>
          <w:szCs w:val="24"/>
        </w:rPr>
        <w:t>13</w:t>
      </w:r>
      <w:r w:rsidRPr="004A2DF4">
        <w:rPr>
          <w:i w:val="0"/>
          <w:iCs w:val="0"/>
          <w:noProof/>
          <w:color w:val="auto"/>
          <w:sz w:val="24"/>
          <w:szCs w:val="24"/>
        </w:rPr>
        <w:fldChar w:fldCharType="end"/>
      </w:r>
      <w:r w:rsidRPr="004A2DF4">
        <w:rPr>
          <w:i w:val="0"/>
          <w:iCs w:val="0"/>
          <w:noProof/>
          <w:color w:val="auto"/>
          <w:sz w:val="24"/>
          <w:szCs w:val="24"/>
        </w:rPr>
        <w:t>:</w:t>
      </w:r>
      <w:r w:rsidRPr="004A2DF4">
        <w:rPr>
          <w:i w:val="0"/>
          <w:iCs w:val="0"/>
          <w:color w:val="auto"/>
          <w:sz w:val="24"/>
          <w:szCs w:val="24"/>
        </w:rPr>
        <w:t xml:space="preserve"> </w:t>
      </w:r>
      <w:r w:rsidR="00CC01A4">
        <w:rPr>
          <w:i w:val="0"/>
          <w:iCs w:val="0"/>
          <w:color w:val="auto"/>
          <w:sz w:val="24"/>
          <w:szCs w:val="24"/>
        </w:rPr>
        <w:t>North component p</w:t>
      </w:r>
      <w:r w:rsidRPr="004A2DF4">
        <w:rPr>
          <w:i w:val="0"/>
          <w:iCs w:val="0"/>
          <w:color w:val="auto"/>
          <w:sz w:val="24"/>
          <w:szCs w:val="24"/>
        </w:rPr>
        <w:t>ower spectrum of each nodal station in Grant County. Significant peak frequencies of interest are identified. Nodal station 1008 is furthest from the cluster of turbines.</w:t>
      </w:r>
    </w:p>
    <w:p w14:paraId="0BCF5C7B" w14:textId="77777777" w:rsidR="004C3823" w:rsidRPr="00B25CDC" w:rsidRDefault="004C3823" w:rsidP="001036D1">
      <w:pPr>
        <w:keepNext/>
        <w:jc w:val="both"/>
        <w:rPr>
          <w:sz w:val="24"/>
          <w:szCs w:val="24"/>
        </w:rPr>
      </w:pPr>
      <w:r w:rsidRPr="00B25CDC">
        <w:rPr>
          <w:noProof/>
          <w:sz w:val="24"/>
          <w:szCs w:val="24"/>
        </w:rPr>
        <w:lastRenderedPageBreak/>
        <w:drawing>
          <wp:inline distT="0" distB="0" distL="0" distR="0" wp14:anchorId="774BC9F5" wp14:editId="318FA8CD">
            <wp:extent cx="6254151" cy="4159003"/>
            <wp:effectExtent l="0" t="0" r="0" b="0"/>
            <wp:docPr id="90964198" name="Picture 9096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258174" cy="4161678"/>
                    </a:xfrm>
                    <a:prstGeom prst="rect">
                      <a:avLst/>
                    </a:prstGeom>
                    <a:noFill/>
                    <a:ln>
                      <a:noFill/>
                    </a:ln>
                  </pic:spPr>
                </pic:pic>
              </a:graphicData>
            </a:graphic>
          </wp:inline>
        </w:drawing>
      </w:r>
    </w:p>
    <w:p w14:paraId="2D1B8073" w14:textId="77777777" w:rsidR="004C3823" w:rsidRPr="004A2DF4" w:rsidRDefault="004C3823" w:rsidP="004A2DF4">
      <w:pPr>
        <w:pStyle w:val="Caption"/>
        <w:spacing w:line="360" w:lineRule="auto"/>
        <w:jc w:val="both"/>
        <w:rPr>
          <w:i w:val="0"/>
          <w:iCs w:val="0"/>
          <w:color w:val="auto"/>
          <w:sz w:val="24"/>
          <w:szCs w:val="24"/>
        </w:rPr>
      </w:pPr>
      <w:r w:rsidRPr="004A2DF4">
        <w:rPr>
          <w:i w:val="0"/>
          <w:iCs w:val="0"/>
          <w:color w:val="auto"/>
          <w:sz w:val="24"/>
          <w:szCs w:val="24"/>
        </w:rPr>
        <w:t>Figure 4.</w:t>
      </w:r>
      <w:r w:rsidRPr="004A2DF4">
        <w:rPr>
          <w:i w:val="0"/>
          <w:iCs w:val="0"/>
          <w:noProof/>
          <w:color w:val="auto"/>
          <w:sz w:val="24"/>
          <w:szCs w:val="24"/>
        </w:rPr>
        <w:t>4:</w:t>
      </w:r>
      <w:r w:rsidRPr="004A2DF4">
        <w:rPr>
          <w:i w:val="0"/>
          <w:iCs w:val="0"/>
          <w:color w:val="auto"/>
          <w:sz w:val="24"/>
          <w:szCs w:val="24"/>
        </w:rPr>
        <w:t xml:space="preserve"> Correlation plots of Station 1001 according to pass band frequencies expressed in power log amplitudes. </w:t>
      </w:r>
      <w:proofErr w:type="spellStart"/>
      <w:r w:rsidRPr="004A2DF4">
        <w:rPr>
          <w:i w:val="0"/>
          <w:iCs w:val="0"/>
          <w:color w:val="auto"/>
          <w:sz w:val="24"/>
          <w:szCs w:val="24"/>
        </w:rPr>
        <w:t>Mesonet</w:t>
      </w:r>
      <w:proofErr w:type="spellEnd"/>
      <w:r w:rsidRPr="004A2DF4">
        <w:rPr>
          <w:i w:val="0"/>
          <w:iCs w:val="0"/>
          <w:color w:val="auto"/>
          <w:sz w:val="24"/>
          <w:szCs w:val="24"/>
        </w:rPr>
        <w:t xml:space="preserve"> station MEDF temperature, wind direction, and wind speed data are used for this comparison. The top row is temperature, the center row is Wind direction with color showing wind speed, and the bottom row is wind speed with color showing wind direction. Color bars on the right show wind speed and wind direction.</w:t>
      </w:r>
    </w:p>
    <w:p w14:paraId="131B843C" w14:textId="77777777" w:rsidR="004C3823" w:rsidRPr="00B25CDC" w:rsidRDefault="004C3823">
      <w:pPr>
        <w:spacing w:before="100" w:beforeAutospacing="1" w:after="100" w:afterAutospacing="1" w:line="240" w:lineRule="auto"/>
        <w:rPr>
          <w:rFonts w:ascii="Times New Roman" w:eastAsia="Times New Roman" w:hAnsi="Times New Roman" w:cs="Times New Roman"/>
          <w:sz w:val="24"/>
          <w:szCs w:val="24"/>
          <w:lang w:eastAsia="ja-JP"/>
        </w:rPr>
      </w:pPr>
    </w:p>
    <w:p w14:paraId="21ACBE13" w14:textId="77777777" w:rsidR="004C3823" w:rsidRPr="00B25CDC" w:rsidRDefault="004C3823">
      <w:pPr>
        <w:spacing w:before="100" w:beforeAutospacing="1" w:after="100" w:afterAutospacing="1" w:line="240" w:lineRule="auto"/>
        <w:rPr>
          <w:rFonts w:ascii="Times New Roman" w:eastAsia="Times New Roman" w:hAnsi="Times New Roman" w:cs="Times New Roman"/>
          <w:sz w:val="24"/>
          <w:szCs w:val="24"/>
          <w:lang w:eastAsia="ja-JP"/>
        </w:rPr>
      </w:pPr>
    </w:p>
    <w:p w14:paraId="7B04B54B" w14:textId="77777777" w:rsidR="004C3823" w:rsidRPr="00B25CDC" w:rsidRDefault="004C3823">
      <w:pPr>
        <w:spacing w:before="100" w:beforeAutospacing="1" w:after="100" w:afterAutospacing="1" w:line="240" w:lineRule="auto"/>
        <w:rPr>
          <w:rFonts w:ascii="Times New Roman" w:eastAsia="Times New Roman" w:hAnsi="Times New Roman" w:cs="Times New Roman"/>
          <w:sz w:val="24"/>
          <w:szCs w:val="24"/>
          <w:lang w:eastAsia="ja-JP"/>
        </w:rPr>
      </w:pPr>
    </w:p>
    <w:p w14:paraId="7EABE8A4" w14:textId="77777777" w:rsidR="004C3823" w:rsidRPr="00B25CDC" w:rsidRDefault="004C3823" w:rsidP="003A2D66">
      <w:pPr>
        <w:keepNext/>
        <w:spacing w:before="100" w:beforeAutospacing="1" w:after="100" w:afterAutospacing="1" w:line="240" w:lineRule="auto"/>
        <w:rPr>
          <w:sz w:val="24"/>
          <w:szCs w:val="24"/>
        </w:rPr>
      </w:pPr>
      <w:r w:rsidRPr="00B25CDC">
        <w:rPr>
          <w:rFonts w:ascii="Times New Roman" w:eastAsia="Times New Roman" w:hAnsi="Times New Roman" w:cs="Times New Roman"/>
          <w:noProof/>
          <w:sz w:val="24"/>
          <w:szCs w:val="24"/>
          <w:lang w:eastAsia="ja-JP"/>
        </w:rPr>
        <w:lastRenderedPageBreak/>
        <w:drawing>
          <wp:inline distT="0" distB="0" distL="0" distR="0" wp14:anchorId="6F4B906B" wp14:editId="40F051CE">
            <wp:extent cx="6052198" cy="2213434"/>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052198" cy="2213434"/>
                    </a:xfrm>
                    <a:prstGeom prst="rect">
                      <a:avLst/>
                    </a:prstGeom>
                    <a:noFill/>
                    <a:ln>
                      <a:noFill/>
                    </a:ln>
                  </pic:spPr>
                </pic:pic>
              </a:graphicData>
            </a:graphic>
          </wp:inline>
        </w:drawing>
      </w:r>
    </w:p>
    <w:p w14:paraId="2408D916" w14:textId="77777777" w:rsidR="004C3823" w:rsidRPr="004A2DF4" w:rsidRDefault="004C3823" w:rsidP="004A2DF4">
      <w:pPr>
        <w:keepNext/>
        <w:spacing w:before="100" w:beforeAutospacing="1" w:after="100" w:afterAutospacing="1" w:line="360" w:lineRule="auto"/>
        <w:rPr>
          <w:sz w:val="24"/>
          <w:szCs w:val="24"/>
        </w:rPr>
      </w:pPr>
    </w:p>
    <w:p w14:paraId="027CDE10" w14:textId="77777777" w:rsidR="004C3823" w:rsidRPr="004A2DF4" w:rsidRDefault="004C3823" w:rsidP="004A2DF4">
      <w:pPr>
        <w:pStyle w:val="Caption"/>
        <w:spacing w:line="360" w:lineRule="auto"/>
        <w:rPr>
          <w:rFonts w:ascii="Times New Roman" w:eastAsia="Times New Roman" w:hAnsi="Times New Roman" w:cs="Times New Roman"/>
          <w:i w:val="0"/>
          <w:iCs w:val="0"/>
          <w:color w:val="auto"/>
          <w:sz w:val="24"/>
          <w:szCs w:val="24"/>
          <w:lang w:eastAsia="ja-JP"/>
        </w:rPr>
      </w:pPr>
      <w:r w:rsidRPr="004A2DF4">
        <w:rPr>
          <w:i w:val="0"/>
          <w:iCs w:val="0"/>
          <w:color w:val="auto"/>
          <w:sz w:val="24"/>
          <w:szCs w:val="24"/>
        </w:rPr>
        <w:t>Figure 4.5: Average power spectrum of each component for all stations in both arrays. Spectral curves show differences in day, night, windy, non-windy, and total average.</w:t>
      </w:r>
    </w:p>
    <w:p w14:paraId="0B5FC0B7" w14:textId="77777777" w:rsidR="004C3823" w:rsidRPr="00B25CDC" w:rsidRDefault="004C3823" w:rsidP="00F803B3">
      <w:pPr>
        <w:pStyle w:val="Caption"/>
        <w:jc w:val="both"/>
      </w:pPr>
    </w:p>
    <w:p w14:paraId="7370E919" w14:textId="77777777" w:rsidR="004C3823" w:rsidRPr="00B25CDC" w:rsidRDefault="004C3823">
      <w:pPr>
        <w:spacing w:before="100" w:beforeAutospacing="1" w:after="100" w:afterAutospacing="1" w:line="240" w:lineRule="auto"/>
        <w:rPr>
          <w:rFonts w:ascii="Times New Roman" w:eastAsia="Times New Roman" w:hAnsi="Times New Roman" w:cs="Times New Roman"/>
          <w:sz w:val="24"/>
          <w:szCs w:val="24"/>
          <w:lang w:eastAsia="ja-JP"/>
        </w:rPr>
      </w:pPr>
    </w:p>
    <w:p w14:paraId="4DAB52E4" w14:textId="77777777" w:rsidR="004C3823" w:rsidRPr="00B25CDC" w:rsidRDefault="004C3823" w:rsidP="00F803B3">
      <w:pPr>
        <w:keepNext/>
        <w:jc w:val="both"/>
        <w:rPr>
          <w:sz w:val="24"/>
          <w:szCs w:val="24"/>
        </w:rPr>
      </w:pPr>
    </w:p>
    <w:p w14:paraId="4097D842" w14:textId="77777777" w:rsidR="004C3823" w:rsidRPr="00B25CDC" w:rsidRDefault="004C3823" w:rsidP="00971F63">
      <w:pPr>
        <w:keepNext/>
        <w:jc w:val="both"/>
        <w:rPr>
          <w:sz w:val="24"/>
          <w:szCs w:val="24"/>
        </w:rPr>
      </w:pPr>
      <w:r w:rsidRPr="00B25CDC">
        <w:rPr>
          <w:rFonts w:ascii="Times New Roman" w:eastAsia="Times New Roman" w:hAnsi="Times New Roman" w:cs="Times New Roman"/>
          <w:noProof/>
          <w:sz w:val="24"/>
          <w:szCs w:val="24"/>
          <w:lang w:eastAsia="ja-JP"/>
        </w:rPr>
        <w:drawing>
          <wp:inline distT="0" distB="0" distL="0" distR="0" wp14:anchorId="5E7F2C44" wp14:editId="4FD22423">
            <wp:extent cx="5334000" cy="4000500"/>
            <wp:effectExtent l="0" t="0" r="0" b="0"/>
            <wp:docPr id="1158737093" name="Picture 115873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1C50373E" w14:textId="77777777" w:rsidR="004C3823" w:rsidRPr="004A2DF4" w:rsidRDefault="004C3823" w:rsidP="004A2DF4">
      <w:pPr>
        <w:pStyle w:val="Caption"/>
        <w:spacing w:line="360" w:lineRule="auto"/>
        <w:jc w:val="both"/>
        <w:rPr>
          <w:i w:val="0"/>
          <w:iCs w:val="0"/>
          <w:color w:val="auto"/>
          <w:sz w:val="24"/>
          <w:szCs w:val="24"/>
        </w:rPr>
      </w:pPr>
      <w:r w:rsidRPr="004A2DF4">
        <w:rPr>
          <w:i w:val="0"/>
          <w:iCs w:val="0"/>
          <w:color w:val="auto"/>
          <w:sz w:val="24"/>
          <w:szCs w:val="24"/>
        </w:rPr>
        <w:t xml:space="preserve">Figure 4.6: Amplitude spectrum median average noise per station listed by distance from the nearest wind turbine. A squared polynomial best-fit line is used to approximate </w:t>
      </w:r>
      <w:proofErr w:type="gramStart"/>
      <w:r w:rsidRPr="004A2DF4">
        <w:rPr>
          <w:i w:val="0"/>
          <w:iCs w:val="0"/>
          <w:color w:val="auto"/>
          <w:sz w:val="24"/>
          <w:szCs w:val="24"/>
        </w:rPr>
        <w:t>a spatial</w:t>
      </w:r>
      <w:proofErr w:type="gramEnd"/>
      <w:r w:rsidRPr="004A2DF4">
        <w:rPr>
          <w:i w:val="0"/>
          <w:iCs w:val="0"/>
          <w:color w:val="auto"/>
          <w:sz w:val="24"/>
          <w:szCs w:val="24"/>
        </w:rPr>
        <w:t xml:space="preserve"> signal strength decay. </w:t>
      </w:r>
    </w:p>
    <w:p w14:paraId="4C640224" w14:textId="77777777" w:rsidR="004C3823" w:rsidRPr="00B25CDC" w:rsidRDefault="004C3823">
      <w:pPr>
        <w:pStyle w:val="Caption"/>
        <w:jc w:val="both"/>
      </w:pPr>
    </w:p>
    <w:p w14:paraId="33B2F6E5" w14:textId="77777777" w:rsidR="004C3823" w:rsidRPr="00B25CDC" w:rsidRDefault="004C3823" w:rsidP="001036D1">
      <w:pPr>
        <w:keepNext/>
        <w:spacing w:before="100" w:beforeAutospacing="1" w:after="100" w:afterAutospacing="1" w:line="240" w:lineRule="auto"/>
        <w:rPr>
          <w:sz w:val="24"/>
          <w:szCs w:val="24"/>
        </w:rPr>
      </w:pPr>
      <w:r w:rsidRPr="00B25CDC">
        <w:rPr>
          <w:rFonts w:ascii="Times New Roman" w:eastAsia="Times New Roman" w:hAnsi="Times New Roman" w:cs="Times New Roman"/>
          <w:noProof/>
          <w:sz w:val="24"/>
          <w:szCs w:val="24"/>
          <w:lang w:eastAsia="ja-JP"/>
        </w:rPr>
        <w:lastRenderedPageBreak/>
        <w:drawing>
          <wp:inline distT="0" distB="0" distL="0" distR="0" wp14:anchorId="4BC14115" wp14:editId="4FEAB1D2">
            <wp:extent cx="5397500" cy="55263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397500" cy="5526309"/>
                    </a:xfrm>
                    <a:prstGeom prst="rect">
                      <a:avLst/>
                    </a:prstGeom>
                    <a:noFill/>
                    <a:ln>
                      <a:noFill/>
                    </a:ln>
                  </pic:spPr>
                </pic:pic>
              </a:graphicData>
            </a:graphic>
          </wp:inline>
        </w:drawing>
      </w:r>
    </w:p>
    <w:p w14:paraId="73B68488" w14:textId="4BEC9023" w:rsidR="004C3823" w:rsidRPr="004A2DF4" w:rsidRDefault="004C3823" w:rsidP="004A2DF4">
      <w:pPr>
        <w:pStyle w:val="Caption"/>
        <w:spacing w:line="360" w:lineRule="auto"/>
        <w:rPr>
          <w:b/>
          <w:bCs/>
          <w:i w:val="0"/>
          <w:iCs w:val="0"/>
          <w:color w:val="auto"/>
          <w:sz w:val="24"/>
          <w:szCs w:val="24"/>
        </w:rPr>
      </w:pPr>
      <w:r w:rsidRPr="004A2DF4">
        <w:rPr>
          <w:i w:val="0"/>
          <w:iCs w:val="0"/>
          <w:color w:val="auto"/>
          <w:sz w:val="24"/>
          <w:szCs w:val="24"/>
        </w:rPr>
        <w:t>Figure 4.</w:t>
      </w:r>
      <w:r w:rsidRPr="004A2DF4">
        <w:rPr>
          <w:i w:val="0"/>
          <w:iCs w:val="0"/>
          <w:color w:val="auto"/>
          <w:sz w:val="24"/>
          <w:szCs w:val="24"/>
        </w:rPr>
        <w:fldChar w:fldCharType="begin"/>
      </w:r>
      <w:r w:rsidRPr="004A2DF4">
        <w:rPr>
          <w:i w:val="0"/>
          <w:iCs w:val="0"/>
          <w:color w:val="auto"/>
          <w:sz w:val="24"/>
          <w:szCs w:val="24"/>
        </w:rPr>
        <w:instrText xml:space="preserve"> SEQ Figure \* ARABIC </w:instrText>
      </w:r>
      <w:r w:rsidRPr="004A2DF4">
        <w:rPr>
          <w:i w:val="0"/>
          <w:iCs w:val="0"/>
          <w:color w:val="auto"/>
          <w:sz w:val="24"/>
          <w:szCs w:val="24"/>
        </w:rPr>
        <w:fldChar w:fldCharType="separate"/>
      </w:r>
      <w:r w:rsidR="00DF2C3F">
        <w:rPr>
          <w:i w:val="0"/>
          <w:iCs w:val="0"/>
          <w:noProof/>
          <w:color w:val="auto"/>
          <w:sz w:val="24"/>
          <w:szCs w:val="24"/>
        </w:rPr>
        <w:t>14</w:t>
      </w:r>
      <w:r w:rsidRPr="004A2DF4">
        <w:rPr>
          <w:i w:val="0"/>
          <w:iCs w:val="0"/>
          <w:noProof/>
          <w:color w:val="auto"/>
          <w:sz w:val="24"/>
          <w:szCs w:val="24"/>
        </w:rPr>
        <w:fldChar w:fldCharType="end"/>
      </w:r>
      <w:r w:rsidRPr="004A2DF4">
        <w:rPr>
          <w:i w:val="0"/>
          <w:iCs w:val="0"/>
          <w:noProof/>
          <w:color w:val="auto"/>
          <w:sz w:val="24"/>
          <w:szCs w:val="24"/>
        </w:rPr>
        <w:t>:</w:t>
      </w:r>
      <w:r w:rsidRPr="004A2DF4">
        <w:rPr>
          <w:i w:val="0"/>
          <w:iCs w:val="0"/>
          <w:color w:val="auto"/>
          <w:sz w:val="24"/>
          <w:szCs w:val="24"/>
        </w:rPr>
        <w:t xml:space="preserve"> HVSR results for day 353 at hour 12 from using </w:t>
      </w:r>
      <w:proofErr w:type="spellStart"/>
      <w:r w:rsidRPr="004A2DF4">
        <w:rPr>
          <w:i w:val="0"/>
          <w:iCs w:val="0"/>
          <w:color w:val="auto"/>
          <w:sz w:val="24"/>
          <w:szCs w:val="24"/>
        </w:rPr>
        <w:t>HVSRpy</w:t>
      </w:r>
      <w:proofErr w:type="spellEnd"/>
      <w:r w:rsidRPr="004A2DF4">
        <w:rPr>
          <w:i w:val="0"/>
          <w:iCs w:val="0"/>
          <w:color w:val="auto"/>
          <w:sz w:val="24"/>
          <w:szCs w:val="24"/>
        </w:rPr>
        <w:t>. Spectral rejection is shown to improve HVSR peak frequency selection and standard deviation.</w:t>
      </w:r>
    </w:p>
    <w:p w14:paraId="3C075157" w14:textId="77777777" w:rsidR="004C3823" w:rsidRPr="00B25CDC" w:rsidRDefault="004C3823" w:rsidP="00F803B3">
      <w:pPr>
        <w:keepNext/>
        <w:jc w:val="both"/>
        <w:rPr>
          <w:sz w:val="24"/>
          <w:szCs w:val="24"/>
        </w:rPr>
      </w:pPr>
    </w:p>
    <w:p w14:paraId="7FC83ADD" w14:textId="77777777" w:rsidR="004C3823" w:rsidRPr="00B25CDC" w:rsidRDefault="004C3823" w:rsidP="00F803B3">
      <w:pPr>
        <w:keepNext/>
        <w:jc w:val="both"/>
        <w:rPr>
          <w:sz w:val="24"/>
          <w:szCs w:val="24"/>
        </w:rPr>
      </w:pPr>
      <w:r w:rsidRPr="00B25CDC">
        <w:rPr>
          <w:noProof/>
          <w:sz w:val="24"/>
          <w:szCs w:val="24"/>
        </w:rPr>
        <w:drawing>
          <wp:inline distT="0" distB="0" distL="0" distR="0" wp14:anchorId="79B4B468" wp14:editId="2479E1EF">
            <wp:extent cx="5743575" cy="5678531"/>
            <wp:effectExtent l="0" t="0" r="0" b="0"/>
            <wp:docPr id="1292336054" name="Picture 1292336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753407" cy="5688252"/>
                    </a:xfrm>
                    <a:prstGeom prst="rect">
                      <a:avLst/>
                    </a:prstGeom>
                    <a:noFill/>
                    <a:ln>
                      <a:noFill/>
                    </a:ln>
                  </pic:spPr>
                </pic:pic>
              </a:graphicData>
            </a:graphic>
          </wp:inline>
        </w:drawing>
      </w:r>
    </w:p>
    <w:p w14:paraId="3F871C55" w14:textId="77777777" w:rsidR="004C3823" w:rsidRPr="004A2DF4" w:rsidRDefault="004C3823" w:rsidP="004A2DF4">
      <w:pPr>
        <w:keepNext/>
        <w:spacing w:line="360" w:lineRule="auto"/>
        <w:jc w:val="both"/>
        <w:rPr>
          <w:sz w:val="24"/>
          <w:szCs w:val="24"/>
        </w:rPr>
      </w:pPr>
    </w:p>
    <w:p w14:paraId="3D56C005" w14:textId="77777777" w:rsidR="004C3823" w:rsidRPr="004A2DF4" w:rsidRDefault="004C3823" w:rsidP="004A2DF4">
      <w:pPr>
        <w:pStyle w:val="Caption"/>
        <w:spacing w:line="360" w:lineRule="auto"/>
        <w:jc w:val="both"/>
        <w:rPr>
          <w:b/>
          <w:i w:val="0"/>
          <w:iCs w:val="0"/>
          <w:color w:val="auto"/>
          <w:sz w:val="24"/>
          <w:szCs w:val="24"/>
        </w:rPr>
      </w:pPr>
      <w:r w:rsidRPr="004A2DF4">
        <w:rPr>
          <w:i w:val="0"/>
          <w:iCs w:val="0"/>
          <w:color w:val="auto"/>
          <w:sz w:val="24"/>
          <w:szCs w:val="24"/>
        </w:rPr>
        <w:t>Figure 4.</w:t>
      </w:r>
      <w:r w:rsidRPr="004A2DF4">
        <w:rPr>
          <w:i w:val="0"/>
          <w:iCs w:val="0"/>
          <w:noProof/>
          <w:color w:val="auto"/>
          <w:sz w:val="24"/>
          <w:szCs w:val="24"/>
        </w:rPr>
        <w:t>8:</w:t>
      </w:r>
      <w:r w:rsidRPr="004A2DF4">
        <w:rPr>
          <w:i w:val="0"/>
          <w:iCs w:val="0"/>
          <w:color w:val="auto"/>
          <w:sz w:val="24"/>
          <w:szCs w:val="24"/>
        </w:rPr>
        <w:t xml:space="preserve"> Ambient seismic wave propagation directivity from frequency bands within 0 - 50 Hz and broadband cross coherence for station pairs. The seismic wave source is shown in yellow compared to the direction of travel increasing in green tint.</w:t>
      </w:r>
    </w:p>
    <w:p w14:paraId="4411632C" w14:textId="77777777" w:rsidR="004C3823" w:rsidRPr="00B25CDC" w:rsidRDefault="004C3823">
      <w:pPr>
        <w:spacing w:before="100" w:beforeAutospacing="1" w:after="100" w:afterAutospacing="1" w:line="240" w:lineRule="auto"/>
        <w:rPr>
          <w:rFonts w:ascii="Times New Roman" w:eastAsia="Times New Roman" w:hAnsi="Times New Roman" w:cs="Times New Roman"/>
          <w:sz w:val="24"/>
          <w:szCs w:val="24"/>
          <w:lang w:eastAsia="ja-JP"/>
        </w:rPr>
      </w:pPr>
    </w:p>
    <w:p w14:paraId="6A166347" w14:textId="77777777" w:rsidR="004C3823" w:rsidRPr="00B25CDC" w:rsidRDefault="004C3823">
      <w:pPr>
        <w:spacing w:before="100" w:beforeAutospacing="1" w:after="100" w:afterAutospacing="1" w:line="240" w:lineRule="auto"/>
        <w:rPr>
          <w:rFonts w:ascii="Times New Roman" w:eastAsia="Times New Roman" w:hAnsi="Times New Roman" w:cs="Times New Roman"/>
          <w:sz w:val="24"/>
          <w:szCs w:val="24"/>
          <w:lang w:eastAsia="ja-JP"/>
        </w:rPr>
      </w:pPr>
    </w:p>
    <w:p w14:paraId="77EB81E4" w14:textId="77777777" w:rsidR="004C3823" w:rsidRPr="00B25CDC"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20E305A3" w14:textId="77777777" w:rsidR="004C3823" w:rsidRPr="00B25CDC" w:rsidRDefault="004C3823" w:rsidP="002D4320">
      <w:pPr>
        <w:pStyle w:val="Caption"/>
        <w:jc w:val="both"/>
      </w:pPr>
    </w:p>
    <w:p w14:paraId="405BF0CB" w14:textId="77777777" w:rsidR="004C3823" w:rsidRPr="00B25CDC" w:rsidRDefault="004C3823" w:rsidP="003A2D66">
      <w:pPr>
        <w:pStyle w:val="Caption"/>
        <w:keepNext/>
        <w:jc w:val="both"/>
      </w:pPr>
      <w:r w:rsidRPr="00B25CDC">
        <w:rPr>
          <w:noProof/>
        </w:rPr>
        <w:drawing>
          <wp:inline distT="0" distB="0" distL="0" distR="0" wp14:anchorId="72DD53E1" wp14:editId="2FE7D893">
            <wp:extent cx="5334000" cy="4000499"/>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334000" cy="4000499"/>
                    </a:xfrm>
                    <a:prstGeom prst="rect">
                      <a:avLst/>
                    </a:prstGeom>
                    <a:noFill/>
                    <a:ln>
                      <a:noFill/>
                    </a:ln>
                  </pic:spPr>
                </pic:pic>
              </a:graphicData>
            </a:graphic>
          </wp:inline>
        </w:drawing>
      </w:r>
    </w:p>
    <w:p w14:paraId="22316687" w14:textId="77777777" w:rsidR="004C3823" w:rsidRPr="004A2DF4" w:rsidRDefault="004C3823" w:rsidP="004A2DF4">
      <w:pPr>
        <w:pStyle w:val="Caption"/>
        <w:spacing w:line="360" w:lineRule="auto"/>
        <w:jc w:val="both"/>
        <w:rPr>
          <w:rFonts w:ascii="Times New Roman" w:eastAsia="Times New Roman" w:hAnsi="Times New Roman" w:cs="Times New Roman"/>
          <w:color w:val="auto"/>
          <w:sz w:val="24"/>
          <w:szCs w:val="24"/>
          <w:lang w:eastAsia="ja-JP"/>
        </w:rPr>
      </w:pPr>
      <w:r w:rsidRPr="004A2DF4">
        <w:rPr>
          <w:i w:val="0"/>
          <w:iCs w:val="0"/>
          <w:color w:val="auto"/>
          <w:sz w:val="24"/>
          <w:szCs w:val="24"/>
        </w:rPr>
        <w:t>Figure 4.9: Average HVSR spectral curve between both Grant County and Alfalfa County. Differences in day, night, low wind, and high wind periods are insignificant for the HVSR method.</w:t>
      </w:r>
    </w:p>
    <w:p w14:paraId="5C370728"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461A79A0"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00B8BEC7"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4A7B8EFE"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012970AF"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2DD49050"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4EB12361"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7CA72F2B"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34C96E92" w14:textId="77777777" w:rsidR="004C3823" w:rsidRDefault="004C3823" w:rsidP="004D3CBF">
      <w:pPr>
        <w:spacing w:before="100" w:beforeAutospacing="1" w:after="100" w:afterAutospacing="1" w:line="240" w:lineRule="auto"/>
        <w:rPr>
          <w:rFonts w:ascii="Times New Roman" w:eastAsia="Times New Roman" w:hAnsi="Times New Roman" w:cs="Times New Roman"/>
          <w:sz w:val="24"/>
          <w:szCs w:val="24"/>
          <w:lang w:eastAsia="ja-JP"/>
        </w:rPr>
      </w:pPr>
    </w:p>
    <w:p w14:paraId="2EA3AAE3" w14:textId="77777777" w:rsidR="004C3823" w:rsidRPr="00B25CDC" w:rsidRDefault="004C3823" w:rsidP="003A6D99">
      <w:pPr>
        <w:rPr>
          <w:b/>
          <w:sz w:val="24"/>
          <w:szCs w:val="24"/>
        </w:rPr>
      </w:pPr>
      <w:r w:rsidRPr="00B25CDC">
        <w:rPr>
          <w:b/>
          <w:sz w:val="24"/>
          <w:szCs w:val="24"/>
        </w:rPr>
        <w:t>References</w:t>
      </w:r>
      <w:r>
        <w:rPr>
          <w:b/>
          <w:sz w:val="24"/>
          <w:szCs w:val="24"/>
        </w:rPr>
        <w:t>:</w:t>
      </w:r>
    </w:p>
    <w:p w14:paraId="57DF83C1"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Bard, P.Y., </w:t>
      </w:r>
      <w:proofErr w:type="spellStart"/>
      <w:r w:rsidRPr="00B25CDC">
        <w:rPr>
          <w:rFonts w:cstheme="minorHAnsi"/>
          <w:sz w:val="24"/>
          <w:szCs w:val="24"/>
        </w:rPr>
        <w:t>Jongmans</w:t>
      </w:r>
      <w:proofErr w:type="spellEnd"/>
      <w:r w:rsidRPr="00B25CDC">
        <w:rPr>
          <w:rFonts w:cstheme="minorHAnsi"/>
          <w:sz w:val="24"/>
          <w:szCs w:val="24"/>
        </w:rPr>
        <w:t xml:space="preserve">, D., </w:t>
      </w:r>
      <w:proofErr w:type="spellStart"/>
      <w:r w:rsidRPr="00B25CDC">
        <w:rPr>
          <w:rFonts w:cstheme="minorHAnsi"/>
          <w:sz w:val="24"/>
          <w:szCs w:val="24"/>
        </w:rPr>
        <w:t>Ohrnberger</w:t>
      </w:r>
      <w:proofErr w:type="spellEnd"/>
      <w:r w:rsidRPr="00B25CDC">
        <w:rPr>
          <w:rFonts w:cstheme="minorHAnsi"/>
          <w:sz w:val="24"/>
          <w:szCs w:val="24"/>
        </w:rPr>
        <w:t xml:space="preserve">, M., &amp; Wathelet, M. (2005). Site effects assessment using ambient excitations (SESAME). </w:t>
      </w:r>
      <w:proofErr w:type="spellStart"/>
      <w:r w:rsidRPr="00B25CDC">
        <w:rPr>
          <w:rFonts w:cstheme="minorHAnsi"/>
          <w:sz w:val="24"/>
          <w:szCs w:val="24"/>
        </w:rPr>
        <w:t>Europeam</w:t>
      </w:r>
      <w:proofErr w:type="spellEnd"/>
      <w:r w:rsidRPr="00B25CDC">
        <w:rPr>
          <w:rFonts w:cstheme="minorHAnsi"/>
          <w:sz w:val="24"/>
          <w:szCs w:val="24"/>
        </w:rPr>
        <w:t xml:space="preserve"> Commission Research General Directorate, Final </w:t>
      </w:r>
      <w:proofErr w:type="gramStart"/>
      <w:r w:rsidRPr="00B25CDC">
        <w:rPr>
          <w:rFonts w:cstheme="minorHAnsi"/>
          <w:sz w:val="24"/>
          <w:szCs w:val="24"/>
        </w:rPr>
        <w:t>Repo(</w:t>
      </w:r>
      <w:proofErr w:type="gramEnd"/>
      <w:r w:rsidRPr="00B25CDC">
        <w:rPr>
          <w:rFonts w:cstheme="minorHAnsi"/>
          <w:sz w:val="24"/>
          <w:szCs w:val="24"/>
        </w:rPr>
        <w:t>Project No. EVG1-CT-2000-00026 SESAME).</w:t>
      </w:r>
    </w:p>
    <w:p w14:paraId="34CE7348"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Brock, F. V., K. C. Crawford, R. L. Elliott, G. W. Cuperus, S. J. Stadler, H. L. Johnson, and M. D. Eilts, (1995) The Oklahoma </w:t>
      </w:r>
      <w:proofErr w:type="spellStart"/>
      <w:r w:rsidRPr="00B25CDC">
        <w:rPr>
          <w:rFonts w:cstheme="minorHAnsi"/>
          <w:sz w:val="24"/>
          <w:szCs w:val="24"/>
        </w:rPr>
        <w:t>Mesonet</w:t>
      </w:r>
      <w:proofErr w:type="spellEnd"/>
      <w:r w:rsidRPr="00B25CDC">
        <w:rPr>
          <w:rFonts w:cstheme="minorHAnsi"/>
          <w:sz w:val="24"/>
          <w:szCs w:val="24"/>
        </w:rPr>
        <w:t xml:space="preserve">: A technical overview. J. Atmos. Oceanic Technol., 12, 5-19. </w:t>
      </w:r>
    </w:p>
    <w:p w14:paraId="6F2967C5"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Bromirski, P. D., </w:t>
      </w:r>
      <w:proofErr w:type="spellStart"/>
      <w:r w:rsidRPr="00B25CDC">
        <w:rPr>
          <w:rFonts w:cstheme="minorHAnsi"/>
          <w:sz w:val="24"/>
          <w:szCs w:val="24"/>
        </w:rPr>
        <w:t>Duennebier</w:t>
      </w:r>
      <w:proofErr w:type="spellEnd"/>
      <w:r w:rsidRPr="00B25CDC">
        <w:rPr>
          <w:rFonts w:cstheme="minorHAnsi"/>
          <w:sz w:val="24"/>
          <w:szCs w:val="24"/>
        </w:rPr>
        <w:t>, F. K., &amp; Stephen, R. A. (2005). Mid‐ocean microseisms. Geochemistry, Geophysics, Geosystems, 6(4).</w:t>
      </w:r>
    </w:p>
    <w:p w14:paraId="227EEFDF"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Chatelain, J. L., </w:t>
      </w:r>
      <w:proofErr w:type="spellStart"/>
      <w:r w:rsidRPr="00B25CDC">
        <w:rPr>
          <w:rFonts w:cstheme="minorHAnsi"/>
          <w:sz w:val="24"/>
          <w:szCs w:val="24"/>
        </w:rPr>
        <w:t>Guillier</w:t>
      </w:r>
      <w:proofErr w:type="spellEnd"/>
      <w:r w:rsidRPr="00B25CDC">
        <w:rPr>
          <w:rFonts w:cstheme="minorHAnsi"/>
          <w:sz w:val="24"/>
          <w:szCs w:val="24"/>
        </w:rPr>
        <w:t>, B., Cara, F., Duval, A. M., Atakan, K., Bard, P. Y., &amp; Wp02 Sesame Team. (2008). Evaluation of the influence of experimental conditions on H/V results from ambient noise recordings. Bulletin of Earthquake Engineering, 6, 33-74.</w:t>
      </w:r>
    </w:p>
    <w:p w14:paraId="7AC508DD"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Cheng, T., Hallal, M. M., Vantassel, J. P., &amp; Cox, B. R. (2021). Estimating unbiased statistics for fundamental site frequency using spatially distributed HVSR measurements and Voronoi tessellation. Journal of Geotechnical and </w:t>
      </w:r>
      <w:proofErr w:type="spellStart"/>
      <w:r w:rsidRPr="00B25CDC">
        <w:rPr>
          <w:rFonts w:cstheme="minorHAnsi"/>
          <w:sz w:val="24"/>
          <w:szCs w:val="24"/>
        </w:rPr>
        <w:t>Geoenvironmental</w:t>
      </w:r>
      <w:proofErr w:type="spellEnd"/>
      <w:r w:rsidRPr="00B25CDC">
        <w:rPr>
          <w:rFonts w:cstheme="minorHAnsi"/>
          <w:sz w:val="24"/>
          <w:szCs w:val="24"/>
        </w:rPr>
        <w:t xml:space="preserve"> Engineering, 147(8), 04021068.</w:t>
      </w:r>
    </w:p>
    <w:p w14:paraId="73F1F1BB" w14:textId="77777777" w:rsidR="004C3823" w:rsidRPr="00B25CDC" w:rsidRDefault="004C3823" w:rsidP="00D65CFB">
      <w:pPr>
        <w:ind w:left="720" w:hanging="720"/>
        <w:rPr>
          <w:rFonts w:cstheme="minorHAnsi"/>
          <w:sz w:val="24"/>
          <w:szCs w:val="24"/>
        </w:rPr>
      </w:pPr>
      <w:r w:rsidRPr="00B25CDC">
        <w:rPr>
          <w:rFonts w:cstheme="minorHAnsi"/>
          <w:sz w:val="24"/>
          <w:szCs w:val="24"/>
        </w:rPr>
        <w:t>Cooley, James W., and John W. Tukey (1965). "An algorithm for the machine calculation of complex Fourier series." Mathematics of computation 19.90, 297-301.</w:t>
      </w:r>
    </w:p>
    <w:p w14:paraId="23D37F0F" w14:textId="77777777" w:rsidR="004C3823" w:rsidRPr="00B25CDC" w:rsidRDefault="004C3823" w:rsidP="00D65CFB">
      <w:pPr>
        <w:ind w:left="720" w:hanging="720"/>
        <w:rPr>
          <w:rFonts w:cstheme="minorHAnsi"/>
          <w:sz w:val="24"/>
          <w:szCs w:val="24"/>
        </w:rPr>
      </w:pPr>
      <w:r w:rsidRPr="00B25CDC">
        <w:rPr>
          <w:rFonts w:cstheme="minorHAnsi"/>
          <w:sz w:val="24"/>
          <w:szCs w:val="24"/>
        </w:rPr>
        <w:t>Estrella, H. F., Korn, M., &amp; Alberts, K. (2017). Analysis of the Influence of Wind Turbine Noise on Seismic Recordings at Two Wind Parks in Germany. Journal of Geoscience and Environment Protection, 5(05), 76.</w:t>
      </w:r>
    </w:p>
    <w:p w14:paraId="03BE1A20"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European Wind Energy Association. (2012). Wind energy-the facts: a guide to the technology, </w:t>
      </w:r>
      <w:proofErr w:type="gramStart"/>
      <w:r w:rsidRPr="00B25CDC">
        <w:rPr>
          <w:rFonts w:cstheme="minorHAnsi"/>
          <w:sz w:val="24"/>
          <w:szCs w:val="24"/>
        </w:rPr>
        <w:t>economics</w:t>
      </w:r>
      <w:proofErr w:type="gramEnd"/>
      <w:r w:rsidRPr="00B25CDC">
        <w:rPr>
          <w:rFonts w:cstheme="minorHAnsi"/>
          <w:sz w:val="24"/>
          <w:szCs w:val="24"/>
        </w:rPr>
        <w:t xml:space="preserve"> and future of wind power. Routledge.</w:t>
      </w:r>
    </w:p>
    <w:p w14:paraId="2EFCEF87"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FEMA. 2018. “FEMA's </w:t>
      </w:r>
      <w:proofErr w:type="spellStart"/>
      <w:r w:rsidRPr="00B25CDC">
        <w:rPr>
          <w:rFonts w:cstheme="minorHAnsi"/>
          <w:sz w:val="24"/>
          <w:szCs w:val="24"/>
        </w:rPr>
        <w:t>Hazus</w:t>
      </w:r>
      <w:proofErr w:type="spellEnd"/>
      <w:r w:rsidRPr="00B25CDC">
        <w:rPr>
          <w:rFonts w:cstheme="minorHAnsi"/>
          <w:sz w:val="24"/>
          <w:szCs w:val="24"/>
        </w:rPr>
        <w:t xml:space="preserve"> program.” Federal Emergency Management Agency. Accessed August 18, 2018. https://www.fema.gov/hazus</w:t>
      </w:r>
    </w:p>
    <w:p w14:paraId="387DE6D5" w14:textId="77777777" w:rsidR="004C3823" w:rsidRPr="00B25CDC" w:rsidRDefault="004C3823" w:rsidP="00D65CFB">
      <w:pPr>
        <w:ind w:left="720" w:hanging="720"/>
        <w:rPr>
          <w:rFonts w:cstheme="minorHAnsi"/>
          <w:sz w:val="24"/>
          <w:szCs w:val="24"/>
        </w:rPr>
      </w:pPr>
      <w:proofErr w:type="spellStart"/>
      <w:r w:rsidRPr="00B25CDC">
        <w:rPr>
          <w:rFonts w:cstheme="minorHAnsi"/>
          <w:sz w:val="24"/>
          <w:szCs w:val="24"/>
        </w:rPr>
        <w:t>Giocoli</w:t>
      </w:r>
      <w:proofErr w:type="spellEnd"/>
      <w:r w:rsidRPr="00B25CDC">
        <w:rPr>
          <w:rFonts w:cstheme="minorHAnsi"/>
          <w:sz w:val="24"/>
          <w:szCs w:val="24"/>
        </w:rPr>
        <w:t xml:space="preserve">, A., Stabile, T. A., </w:t>
      </w:r>
      <w:proofErr w:type="spellStart"/>
      <w:r w:rsidRPr="00B25CDC">
        <w:rPr>
          <w:rFonts w:cstheme="minorHAnsi"/>
          <w:sz w:val="24"/>
          <w:szCs w:val="24"/>
        </w:rPr>
        <w:t>Adurno</w:t>
      </w:r>
      <w:proofErr w:type="spellEnd"/>
      <w:r w:rsidRPr="00B25CDC">
        <w:rPr>
          <w:rFonts w:cstheme="minorHAnsi"/>
          <w:sz w:val="24"/>
          <w:szCs w:val="24"/>
        </w:rPr>
        <w:t>, I., Perrone, A., Gallipoli, M. R., Gueguen, E., ... &amp; Piscitelli, S. (2015). Geological and geophysical characterization of the southeastern side of the High Agri Valley (southern Apennines, Italy). Natural Hazards and Earth System Sciences, 15(2), 315-323.</w:t>
      </w:r>
    </w:p>
    <w:p w14:paraId="510D5C95" w14:textId="77777777" w:rsidR="004C3823" w:rsidRPr="00B25CDC" w:rsidRDefault="004C3823" w:rsidP="00D65CFB">
      <w:pPr>
        <w:ind w:left="720" w:hanging="720"/>
        <w:rPr>
          <w:rFonts w:cstheme="minorHAnsi"/>
          <w:sz w:val="24"/>
          <w:szCs w:val="24"/>
        </w:rPr>
      </w:pPr>
      <w:proofErr w:type="spellStart"/>
      <w:r w:rsidRPr="00B25CDC">
        <w:rPr>
          <w:rFonts w:cstheme="minorHAnsi"/>
          <w:sz w:val="24"/>
          <w:szCs w:val="24"/>
        </w:rPr>
        <w:t>Hemami</w:t>
      </w:r>
      <w:proofErr w:type="spellEnd"/>
      <w:r w:rsidRPr="00B25CDC">
        <w:rPr>
          <w:rFonts w:cstheme="minorHAnsi"/>
          <w:sz w:val="24"/>
          <w:szCs w:val="24"/>
        </w:rPr>
        <w:t>, A. (2012). Wind turbine technology. Cengage Learning.</w:t>
      </w:r>
    </w:p>
    <w:p w14:paraId="08A5ACDB"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Kloesel, S. J. Stadler, A. D. Melvin, A.J. Sutherland, and H. Shrivastava, 2007: Statewide monitoring of the mesoscale environment: A technical update on the Oklahoma </w:t>
      </w:r>
      <w:proofErr w:type="spellStart"/>
      <w:r w:rsidRPr="00B25CDC">
        <w:rPr>
          <w:rFonts w:cstheme="minorHAnsi"/>
          <w:sz w:val="24"/>
          <w:szCs w:val="24"/>
        </w:rPr>
        <w:t>Mesonet</w:t>
      </w:r>
      <w:proofErr w:type="spellEnd"/>
      <w:r w:rsidRPr="00B25CDC">
        <w:rPr>
          <w:rFonts w:cstheme="minorHAnsi"/>
          <w:sz w:val="24"/>
          <w:szCs w:val="24"/>
        </w:rPr>
        <w:t xml:space="preserve">. J. Atmos. Oceanic Technol. 24, 301–321. </w:t>
      </w:r>
    </w:p>
    <w:p w14:paraId="56E4F02D" w14:textId="77777777" w:rsidR="004C3823" w:rsidRPr="00B25CDC" w:rsidRDefault="004C3823" w:rsidP="00D65CFB">
      <w:pPr>
        <w:ind w:left="720" w:hanging="720"/>
        <w:rPr>
          <w:rFonts w:cstheme="minorHAnsi"/>
          <w:sz w:val="24"/>
          <w:szCs w:val="24"/>
        </w:rPr>
      </w:pPr>
      <w:r w:rsidRPr="00B25CDC">
        <w:rPr>
          <w:rFonts w:cstheme="minorHAnsi"/>
          <w:sz w:val="24"/>
          <w:szCs w:val="24"/>
        </w:rPr>
        <w:lastRenderedPageBreak/>
        <w:t xml:space="preserve">Li, C., Li, Z., Peng, Z., Zhang, C., Nakata, N., &amp; Sickbert, T. (2018). Long‐period long‐duration events detected by the IRIS Community Wavefield Demonstration Experiment in Oklahoma: Tremor or train </w:t>
      </w:r>
      <w:proofErr w:type="gramStart"/>
      <w:r w:rsidRPr="00B25CDC">
        <w:rPr>
          <w:rFonts w:cstheme="minorHAnsi"/>
          <w:sz w:val="24"/>
          <w:szCs w:val="24"/>
        </w:rPr>
        <w:t>signals?.</w:t>
      </w:r>
      <w:proofErr w:type="gramEnd"/>
      <w:r w:rsidRPr="00B25CDC">
        <w:rPr>
          <w:rFonts w:cstheme="minorHAnsi"/>
          <w:sz w:val="24"/>
          <w:szCs w:val="24"/>
        </w:rPr>
        <w:t xml:space="preserve"> Seismological Research Letters, 89(5), 1652-1659.</w:t>
      </w:r>
    </w:p>
    <w:p w14:paraId="27DEC50B" w14:textId="77777777" w:rsidR="004C3823" w:rsidRPr="00B25CDC" w:rsidRDefault="004C3823" w:rsidP="00D65CFB">
      <w:pPr>
        <w:ind w:left="720" w:hanging="720"/>
        <w:rPr>
          <w:rFonts w:cstheme="minorHAnsi"/>
          <w:sz w:val="24"/>
          <w:szCs w:val="24"/>
        </w:rPr>
      </w:pPr>
      <w:r w:rsidRPr="00B25CDC">
        <w:rPr>
          <w:rFonts w:cstheme="minorHAnsi"/>
          <w:sz w:val="24"/>
          <w:szCs w:val="24"/>
        </w:rPr>
        <w:t>McNamara, D. E., &amp; Buland, R. P. (2004). Ambient noise levels in the continental United States. Bulletin of the seismological society of America, 94(4), 1517-1527.</w:t>
      </w:r>
    </w:p>
    <w:p w14:paraId="2839F08B" w14:textId="77777777" w:rsidR="004C3823" w:rsidRPr="00B25CDC" w:rsidRDefault="004C3823" w:rsidP="00D65CFB">
      <w:pPr>
        <w:ind w:left="720" w:hanging="720"/>
        <w:rPr>
          <w:rFonts w:cstheme="minorHAnsi"/>
          <w:sz w:val="24"/>
          <w:szCs w:val="24"/>
        </w:rPr>
      </w:pPr>
      <w:r w:rsidRPr="00B25CDC">
        <w:rPr>
          <w:rFonts w:cstheme="minorHAnsi"/>
          <w:sz w:val="24"/>
          <w:szCs w:val="24"/>
        </w:rPr>
        <w:t>Meng, H., &amp; Ben‐Zion, Y. (2018). Characteristics of airplanes and helicopters recorded by a dense seismic array near Anza California. Journal of Geophysical Research: Solid Earth.</w:t>
      </w:r>
    </w:p>
    <w:p w14:paraId="51CDCB27" w14:textId="77777777" w:rsidR="004C3823" w:rsidRPr="00B25CDC" w:rsidRDefault="004C3823" w:rsidP="00D65CFB">
      <w:pPr>
        <w:ind w:left="720" w:hanging="720"/>
        <w:rPr>
          <w:rFonts w:cstheme="minorHAnsi"/>
          <w:sz w:val="24"/>
          <w:szCs w:val="24"/>
        </w:rPr>
      </w:pPr>
      <w:proofErr w:type="spellStart"/>
      <w:r w:rsidRPr="00B25CDC">
        <w:rPr>
          <w:rFonts w:cstheme="minorHAnsi"/>
          <w:sz w:val="24"/>
          <w:szCs w:val="24"/>
        </w:rPr>
        <w:t>Meo</w:t>
      </w:r>
      <w:proofErr w:type="spellEnd"/>
      <w:r w:rsidRPr="00B25CDC">
        <w:rPr>
          <w:rFonts w:cstheme="minorHAnsi"/>
          <w:sz w:val="24"/>
          <w:szCs w:val="24"/>
        </w:rPr>
        <w:t xml:space="preserve">, M. (2006, January). The Oklahoma wind rush: A collaborative approach to sustainable energy development. In workshop on energy, environmental impacts, and sustainability, Manhattan, Kansas. http://www. </w:t>
      </w:r>
      <w:proofErr w:type="spellStart"/>
      <w:r w:rsidRPr="00B25CDC">
        <w:rPr>
          <w:rFonts w:cstheme="minorHAnsi"/>
          <w:sz w:val="24"/>
          <w:szCs w:val="24"/>
        </w:rPr>
        <w:t>engg</w:t>
      </w:r>
      <w:proofErr w:type="spellEnd"/>
      <w:r w:rsidRPr="00B25CDC">
        <w:rPr>
          <w:rFonts w:cstheme="minorHAnsi"/>
          <w:sz w:val="24"/>
          <w:szCs w:val="24"/>
        </w:rPr>
        <w:t xml:space="preserve">. </w:t>
      </w:r>
      <w:proofErr w:type="spellStart"/>
      <w:r w:rsidRPr="00B25CDC">
        <w:rPr>
          <w:rFonts w:cstheme="minorHAnsi"/>
          <w:sz w:val="24"/>
          <w:szCs w:val="24"/>
        </w:rPr>
        <w:t>ksu</w:t>
      </w:r>
      <w:proofErr w:type="spellEnd"/>
      <w:r w:rsidRPr="00B25CDC">
        <w:rPr>
          <w:rFonts w:cstheme="minorHAnsi"/>
          <w:sz w:val="24"/>
          <w:szCs w:val="24"/>
        </w:rPr>
        <w:t xml:space="preserve">. </w:t>
      </w:r>
      <w:proofErr w:type="spellStart"/>
      <w:r w:rsidRPr="00B25CDC">
        <w:rPr>
          <w:rFonts w:cstheme="minorHAnsi"/>
          <w:sz w:val="24"/>
          <w:szCs w:val="24"/>
        </w:rPr>
        <w:t>edu</w:t>
      </w:r>
      <w:proofErr w:type="spellEnd"/>
      <w:r w:rsidRPr="00B25CDC">
        <w:rPr>
          <w:rFonts w:cstheme="minorHAnsi"/>
          <w:sz w:val="24"/>
          <w:szCs w:val="24"/>
        </w:rPr>
        <w:t>/CHSR/events/che650/200601/docs/09Meopaper. pdf (accessed October 7, 2006</w:t>
      </w:r>
      <w:proofErr w:type="gramStart"/>
      <w:r w:rsidRPr="00B25CDC">
        <w:rPr>
          <w:rFonts w:cstheme="minorHAnsi"/>
          <w:sz w:val="24"/>
          <w:szCs w:val="24"/>
        </w:rPr>
        <w:t>).McPherson</w:t>
      </w:r>
      <w:proofErr w:type="gramEnd"/>
      <w:r w:rsidRPr="00B25CDC">
        <w:rPr>
          <w:rFonts w:cstheme="minorHAnsi"/>
          <w:sz w:val="24"/>
          <w:szCs w:val="24"/>
        </w:rPr>
        <w:t xml:space="preserve">, R. A., C. </w:t>
      </w:r>
      <w:proofErr w:type="spellStart"/>
      <w:r w:rsidRPr="00B25CDC">
        <w:rPr>
          <w:rFonts w:cstheme="minorHAnsi"/>
          <w:sz w:val="24"/>
          <w:szCs w:val="24"/>
        </w:rPr>
        <w:t>Fiebrich</w:t>
      </w:r>
      <w:proofErr w:type="spellEnd"/>
      <w:r w:rsidRPr="00B25CDC">
        <w:rPr>
          <w:rFonts w:cstheme="minorHAnsi"/>
          <w:sz w:val="24"/>
          <w:szCs w:val="24"/>
        </w:rPr>
        <w:t xml:space="preserve">, K. C. Crawford, R. L. Elliott, J. R. Kilby, D. L. Grimsley, J. E. Martinez, J. B. Basara, B. G. </w:t>
      </w:r>
      <w:proofErr w:type="spellStart"/>
      <w:r w:rsidRPr="00B25CDC">
        <w:rPr>
          <w:rFonts w:cstheme="minorHAnsi"/>
          <w:sz w:val="24"/>
          <w:szCs w:val="24"/>
        </w:rPr>
        <w:t>Illston</w:t>
      </w:r>
      <w:proofErr w:type="spellEnd"/>
      <w:r w:rsidRPr="00B25CDC">
        <w:rPr>
          <w:rFonts w:cstheme="minorHAnsi"/>
          <w:sz w:val="24"/>
          <w:szCs w:val="24"/>
        </w:rPr>
        <w:t xml:space="preserve">, D. A. Morris, K. A. </w:t>
      </w:r>
    </w:p>
    <w:p w14:paraId="5EF77C05" w14:textId="77777777" w:rsidR="004C3823" w:rsidRPr="00B25CDC" w:rsidRDefault="004C3823" w:rsidP="00D65CFB">
      <w:pPr>
        <w:ind w:left="720" w:hanging="720"/>
        <w:rPr>
          <w:rFonts w:cstheme="minorHAnsi"/>
          <w:sz w:val="24"/>
          <w:szCs w:val="24"/>
        </w:rPr>
      </w:pPr>
      <w:r w:rsidRPr="00B25CDC">
        <w:rPr>
          <w:rFonts w:cstheme="minorHAnsi"/>
          <w:sz w:val="24"/>
          <w:szCs w:val="24"/>
        </w:rPr>
        <w:t>O’Neal, R., Hellweg Jr, R. D., &amp; Lampeter, R. M. (2009). A Study of Low Frequency Noise and Infrasound from Wind Turbines. Epsilon Associates Inc, Maynard.</w:t>
      </w:r>
    </w:p>
    <w:p w14:paraId="575DB863" w14:textId="77777777" w:rsidR="004C3823" w:rsidRPr="00B25CDC" w:rsidRDefault="004C3823" w:rsidP="00D65CFB">
      <w:pPr>
        <w:ind w:left="720" w:hanging="720"/>
        <w:rPr>
          <w:rFonts w:cstheme="minorHAnsi"/>
          <w:sz w:val="24"/>
          <w:szCs w:val="24"/>
        </w:rPr>
      </w:pPr>
      <w:r w:rsidRPr="00B25CDC">
        <w:rPr>
          <w:rFonts w:cstheme="minorHAnsi"/>
          <w:sz w:val="24"/>
          <w:szCs w:val="24"/>
        </w:rPr>
        <w:t>OWRB. 2018. “Groundwater Wells, Standards, and Protection in Oklahoma.” Oklahoma Water Resources Board. Accessed August 18,2018. Https://www.owrb.maps.arcgis.com</w:t>
      </w:r>
    </w:p>
    <w:p w14:paraId="41778F5F" w14:textId="77777777" w:rsidR="004C3823" w:rsidRPr="00B25CDC" w:rsidRDefault="004C3823" w:rsidP="00D65CFB">
      <w:pPr>
        <w:ind w:left="720" w:hanging="720"/>
        <w:rPr>
          <w:rFonts w:cstheme="minorHAnsi"/>
          <w:sz w:val="24"/>
          <w:szCs w:val="24"/>
        </w:rPr>
      </w:pPr>
      <w:r w:rsidRPr="00B25CDC">
        <w:rPr>
          <w:rFonts w:cstheme="minorHAnsi"/>
          <w:sz w:val="24"/>
          <w:szCs w:val="24"/>
        </w:rPr>
        <w:t>Rial, J. A., Saltzman, N. G., &amp; Ling, H. (1992). Earthquake-induced resonance in sedimentary basins. American Scientist, 80(6), 566-578.</w:t>
      </w:r>
    </w:p>
    <w:p w14:paraId="22C40E73" w14:textId="77777777" w:rsidR="004C3823" w:rsidRPr="00B25CDC" w:rsidRDefault="004C3823" w:rsidP="00D65CFB">
      <w:pPr>
        <w:ind w:left="720" w:hanging="720"/>
        <w:rPr>
          <w:rFonts w:cstheme="minorHAnsi"/>
          <w:sz w:val="24"/>
          <w:szCs w:val="24"/>
        </w:rPr>
      </w:pPr>
      <w:r w:rsidRPr="00B25CDC">
        <w:rPr>
          <w:rFonts w:cstheme="minorHAnsi"/>
          <w:sz w:val="24"/>
          <w:szCs w:val="24"/>
        </w:rPr>
        <w:t>Righter R (1996) Wind energy in America: a history. University of Oklahoma, Norman</w:t>
      </w:r>
    </w:p>
    <w:p w14:paraId="566B0A92" w14:textId="77777777" w:rsidR="004C3823" w:rsidRPr="00B25CDC" w:rsidRDefault="004C3823" w:rsidP="00D65CFB">
      <w:pPr>
        <w:ind w:left="720" w:hanging="720"/>
        <w:rPr>
          <w:rFonts w:cstheme="minorHAnsi"/>
          <w:sz w:val="24"/>
          <w:szCs w:val="24"/>
        </w:rPr>
      </w:pPr>
      <w:proofErr w:type="spellStart"/>
      <w:r w:rsidRPr="00B25CDC">
        <w:rPr>
          <w:rFonts w:cstheme="minorHAnsi"/>
          <w:sz w:val="24"/>
          <w:szCs w:val="24"/>
        </w:rPr>
        <w:t>Sigurosson</w:t>
      </w:r>
      <w:proofErr w:type="spellEnd"/>
      <w:r w:rsidRPr="00B25CDC">
        <w:rPr>
          <w:rFonts w:cstheme="minorHAnsi"/>
          <w:sz w:val="24"/>
          <w:szCs w:val="24"/>
        </w:rPr>
        <w:t>, G. (2015). Seismic response of wind turbine structures in the near-fault region. University of Iceland.</w:t>
      </w:r>
    </w:p>
    <w:p w14:paraId="6381771A"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Schofield, R. (2001). Seismic measurements at the </w:t>
      </w:r>
      <w:proofErr w:type="spellStart"/>
      <w:r w:rsidRPr="00B25CDC">
        <w:rPr>
          <w:rFonts w:cstheme="minorHAnsi"/>
          <w:sz w:val="24"/>
          <w:szCs w:val="24"/>
        </w:rPr>
        <w:t>stateline</w:t>
      </w:r>
      <w:proofErr w:type="spellEnd"/>
      <w:r w:rsidRPr="00B25CDC">
        <w:rPr>
          <w:rFonts w:cstheme="minorHAnsi"/>
          <w:sz w:val="24"/>
          <w:szCs w:val="24"/>
        </w:rPr>
        <w:t xml:space="preserve"> wind project. </w:t>
      </w:r>
      <w:proofErr w:type="spellStart"/>
      <w:r w:rsidRPr="00B25CDC">
        <w:rPr>
          <w:rFonts w:cstheme="minorHAnsi"/>
          <w:sz w:val="24"/>
          <w:szCs w:val="24"/>
        </w:rPr>
        <w:t>Rept</w:t>
      </w:r>
      <w:proofErr w:type="spellEnd"/>
      <w:r w:rsidRPr="00B25CDC">
        <w:rPr>
          <w:rFonts w:cstheme="minorHAnsi"/>
          <w:sz w:val="24"/>
          <w:szCs w:val="24"/>
        </w:rPr>
        <w:t xml:space="preserve"> No LIGO T020104-00-/, Laser Interferometer Gravitational Wave Observatory available at http://www. </w:t>
      </w:r>
      <w:proofErr w:type="spellStart"/>
      <w:r w:rsidRPr="00B25CDC">
        <w:rPr>
          <w:rFonts w:cstheme="minorHAnsi"/>
          <w:sz w:val="24"/>
          <w:szCs w:val="24"/>
        </w:rPr>
        <w:t>ligo</w:t>
      </w:r>
      <w:proofErr w:type="spellEnd"/>
      <w:r w:rsidRPr="00B25CDC">
        <w:rPr>
          <w:rFonts w:cstheme="minorHAnsi"/>
          <w:sz w:val="24"/>
          <w:szCs w:val="24"/>
        </w:rPr>
        <w:t xml:space="preserve">. </w:t>
      </w:r>
      <w:proofErr w:type="spellStart"/>
      <w:r w:rsidRPr="00B25CDC">
        <w:rPr>
          <w:rFonts w:cstheme="minorHAnsi"/>
          <w:sz w:val="24"/>
          <w:szCs w:val="24"/>
        </w:rPr>
        <w:t>caltech</w:t>
      </w:r>
      <w:proofErr w:type="spellEnd"/>
      <w:r w:rsidRPr="00B25CDC">
        <w:rPr>
          <w:rFonts w:cstheme="minorHAnsi"/>
          <w:sz w:val="24"/>
          <w:szCs w:val="24"/>
        </w:rPr>
        <w:t xml:space="preserve">. </w:t>
      </w:r>
      <w:proofErr w:type="spellStart"/>
      <w:r w:rsidRPr="00B25CDC">
        <w:rPr>
          <w:rFonts w:cstheme="minorHAnsi"/>
          <w:sz w:val="24"/>
          <w:szCs w:val="24"/>
        </w:rPr>
        <w:t>edu</w:t>
      </w:r>
      <w:proofErr w:type="spellEnd"/>
      <w:r w:rsidRPr="00B25CDC">
        <w:rPr>
          <w:rFonts w:cstheme="minorHAnsi"/>
          <w:sz w:val="24"/>
          <w:szCs w:val="24"/>
        </w:rPr>
        <w:t>/docs.</w:t>
      </w:r>
    </w:p>
    <w:p w14:paraId="78C30825" w14:textId="77777777" w:rsidR="004C3823" w:rsidRPr="00B25CDC" w:rsidRDefault="004C3823" w:rsidP="00D65CFB">
      <w:pPr>
        <w:ind w:left="720" w:hanging="720"/>
        <w:rPr>
          <w:rFonts w:cstheme="minorHAnsi"/>
          <w:sz w:val="24"/>
          <w:szCs w:val="24"/>
        </w:rPr>
      </w:pPr>
      <w:proofErr w:type="spellStart"/>
      <w:r w:rsidRPr="00B25CDC">
        <w:rPr>
          <w:rFonts w:cstheme="minorHAnsi"/>
          <w:sz w:val="24"/>
          <w:szCs w:val="24"/>
        </w:rPr>
        <w:t>Saccorotti</w:t>
      </w:r>
      <w:proofErr w:type="spellEnd"/>
      <w:r w:rsidRPr="00B25CDC">
        <w:rPr>
          <w:rFonts w:cstheme="minorHAnsi"/>
          <w:sz w:val="24"/>
          <w:szCs w:val="24"/>
        </w:rPr>
        <w:t xml:space="preserve">, G., Piccinini, D., </w:t>
      </w:r>
      <w:proofErr w:type="spellStart"/>
      <w:r w:rsidRPr="00B25CDC">
        <w:rPr>
          <w:rFonts w:cstheme="minorHAnsi"/>
          <w:sz w:val="24"/>
          <w:szCs w:val="24"/>
        </w:rPr>
        <w:t>Cauchie</w:t>
      </w:r>
      <w:proofErr w:type="spellEnd"/>
      <w:r w:rsidRPr="00B25CDC">
        <w:rPr>
          <w:rFonts w:cstheme="minorHAnsi"/>
          <w:sz w:val="24"/>
          <w:szCs w:val="24"/>
        </w:rPr>
        <w:t>, L., &amp; Fiori, I. (2011). Seismic noise by wind farms: a case study from the Virgo Gravitational Wave Observatory, Italy. Bulletin of the Seismological Society of America, 101(2), 568-578.</w:t>
      </w:r>
    </w:p>
    <w:p w14:paraId="6D1C5C43" w14:textId="77777777" w:rsidR="004C3823" w:rsidRPr="00B25CDC" w:rsidRDefault="004C3823" w:rsidP="00D65CFB">
      <w:pPr>
        <w:ind w:left="720" w:hanging="720"/>
        <w:rPr>
          <w:rFonts w:cstheme="minorHAnsi"/>
          <w:sz w:val="24"/>
          <w:szCs w:val="24"/>
        </w:rPr>
      </w:pPr>
      <w:proofErr w:type="spellStart"/>
      <w:r w:rsidRPr="00B25CDC">
        <w:rPr>
          <w:rFonts w:cstheme="minorHAnsi"/>
          <w:sz w:val="24"/>
          <w:szCs w:val="24"/>
        </w:rPr>
        <w:t>Taranath</w:t>
      </w:r>
      <w:proofErr w:type="spellEnd"/>
      <w:r w:rsidRPr="00B25CDC">
        <w:rPr>
          <w:rFonts w:cstheme="minorHAnsi"/>
          <w:sz w:val="24"/>
          <w:szCs w:val="24"/>
        </w:rPr>
        <w:t>, B. S. (2016). Tall Building Design: Steel, Concrete, and Composite Systems. CRC press.</w:t>
      </w:r>
    </w:p>
    <w:p w14:paraId="740C7B09" w14:textId="77777777" w:rsidR="004C3823" w:rsidRPr="00B25CDC" w:rsidRDefault="004C3823" w:rsidP="00D65CFB">
      <w:pPr>
        <w:ind w:left="720" w:hanging="720"/>
        <w:rPr>
          <w:rFonts w:cstheme="minorHAnsi"/>
          <w:sz w:val="24"/>
          <w:szCs w:val="24"/>
        </w:rPr>
      </w:pPr>
      <w:r w:rsidRPr="00B25CDC">
        <w:rPr>
          <w:rFonts w:cstheme="minorHAnsi"/>
          <w:sz w:val="24"/>
          <w:szCs w:val="24"/>
        </w:rPr>
        <w:t xml:space="preserve">Vidale, J. E., Bonamassa, O., &amp; Houston, H. (1991). Directional site resonances observed from the 1 October 1987 Whittier Narrows, California, </w:t>
      </w:r>
      <w:proofErr w:type="gramStart"/>
      <w:r w:rsidRPr="00B25CDC">
        <w:rPr>
          <w:rFonts w:cstheme="minorHAnsi"/>
          <w:sz w:val="24"/>
          <w:szCs w:val="24"/>
        </w:rPr>
        <w:t>earthquake</w:t>
      </w:r>
      <w:proofErr w:type="gramEnd"/>
      <w:r w:rsidRPr="00B25CDC">
        <w:rPr>
          <w:rFonts w:cstheme="minorHAnsi"/>
          <w:sz w:val="24"/>
          <w:szCs w:val="24"/>
        </w:rPr>
        <w:t xml:space="preserve"> and the 4 October aftershock. Earthquake Spectra, 7(1), 107-125.</w:t>
      </w:r>
    </w:p>
    <w:p w14:paraId="1DD8FC7C" w14:textId="77777777" w:rsidR="004C3823" w:rsidRPr="004D3CBF" w:rsidRDefault="004C3823" w:rsidP="00D65CFB">
      <w:pPr>
        <w:spacing w:before="100" w:beforeAutospacing="1" w:after="100" w:afterAutospacing="1" w:line="240" w:lineRule="auto"/>
        <w:ind w:left="720" w:hanging="720"/>
        <w:rPr>
          <w:rFonts w:ascii="Times New Roman" w:eastAsia="Times New Roman" w:hAnsi="Times New Roman" w:cs="Times New Roman"/>
          <w:sz w:val="24"/>
          <w:szCs w:val="24"/>
          <w:lang w:eastAsia="ja-JP"/>
        </w:rPr>
      </w:pPr>
    </w:p>
    <w:p w14:paraId="2B05DC83" w14:textId="77777777" w:rsidR="004C3823" w:rsidRPr="004C23EA" w:rsidRDefault="004C3823" w:rsidP="004C23EA">
      <w:pPr>
        <w:spacing w:line="480" w:lineRule="auto"/>
        <w:jc w:val="center"/>
        <w:rPr>
          <w:b/>
          <w:bCs/>
          <w:sz w:val="72"/>
          <w:szCs w:val="72"/>
        </w:rPr>
      </w:pPr>
      <w:r w:rsidRPr="004C23EA">
        <w:rPr>
          <w:b/>
          <w:bCs/>
          <w:sz w:val="72"/>
          <w:szCs w:val="72"/>
        </w:rPr>
        <w:lastRenderedPageBreak/>
        <w:t>Chapter 5</w:t>
      </w:r>
      <w:r>
        <w:rPr>
          <w:b/>
          <w:bCs/>
          <w:sz w:val="72"/>
          <w:szCs w:val="72"/>
        </w:rPr>
        <w:t>:</w:t>
      </w:r>
    </w:p>
    <w:p w14:paraId="1AE95274" w14:textId="77777777" w:rsidR="004C3823" w:rsidRDefault="004C3823" w:rsidP="004C23EA">
      <w:pPr>
        <w:spacing w:line="480" w:lineRule="auto"/>
        <w:jc w:val="center"/>
        <w:rPr>
          <w:b/>
          <w:bCs/>
          <w:sz w:val="72"/>
          <w:szCs w:val="72"/>
        </w:rPr>
      </w:pPr>
      <w:r w:rsidRPr="004C23EA">
        <w:rPr>
          <w:b/>
          <w:bCs/>
          <w:sz w:val="72"/>
          <w:szCs w:val="72"/>
        </w:rPr>
        <w:t>Conclusion</w:t>
      </w:r>
    </w:p>
    <w:p w14:paraId="040CDCD9" w14:textId="77777777" w:rsidR="004C3823" w:rsidRDefault="004C3823" w:rsidP="004C23EA">
      <w:pPr>
        <w:spacing w:line="480" w:lineRule="auto"/>
        <w:jc w:val="center"/>
        <w:rPr>
          <w:b/>
          <w:bCs/>
          <w:sz w:val="72"/>
          <w:szCs w:val="72"/>
        </w:rPr>
      </w:pPr>
    </w:p>
    <w:p w14:paraId="7C8126DA" w14:textId="77777777" w:rsidR="004C3823" w:rsidRDefault="004C3823" w:rsidP="004C23EA">
      <w:pPr>
        <w:spacing w:line="480" w:lineRule="auto"/>
        <w:jc w:val="center"/>
        <w:rPr>
          <w:b/>
          <w:bCs/>
          <w:sz w:val="72"/>
          <w:szCs w:val="72"/>
        </w:rPr>
      </w:pPr>
    </w:p>
    <w:p w14:paraId="01BC77FA" w14:textId="77777777" w:rsidR="004C3823" w:rsidRDefault="004C3823" w:rsidP="004C23EA">
      <w:pPr>
        <w:spacing w:line="480" w:lineRule="auto"/>
        <w:jc w:val="center"/>
        <w:rPr>
          <w:b/>
          <w:bCs/>
          <w:sz w:val="72"/>
          <w:szCs w:val="72"/>
        </w:rPr>
      </w:pPr>
    </w:p>
    <w:p w14:paraId="3653722F" w14:textId="77777777" w:rsidR="004C3823" w:rsidRDefault="004C3823" w:rsidP="004C23EA">
      <w:pPr>
        <w:spacing w:line="480" w:lineRule="auto"/>
        <w:jc w:val="center"/>
        <w:rPr>
          <w:b/>
          <w:bCs/>
          <w:sz w:val="72"/>
          <w:szCs w:val="72"/>
        </w:rPr>
      </w:pPr>
    </w:p>
    <w:p w14:paraId="3A50500A" w14:textId="77777777" w:rsidR="004C3823" w:rsidRPr="004C23EA" w:rsidRDefault="004C3823" w:rsidP="004C23EA">
      <w:pPr>
        <w:spacing w:line="480" w:lineRule="auto"/>
        <w:jc w:val="center"/>
        <w:rPr>
          <w:b/>
          <w:bCs/>
          <w:sz w:val="72"/>
          <w:szCs w:val="72"/>
        </w:rPr>
      </w:pPr>
    </w:p>
    <w:p w14:paraId="361B6DBE" w14:textId="26766027" w:rsidR="004C3823" w:rsidRPr="00667E20" w:rsidRDefault="004C3823" w:rsidP="00667E20">
      <w:pPr>
        <w:spacing w:line="480" w:lineRule="auto"/>
        <w:ind w:firstLine="720"/>
        <w:rPr>
          <w:sz w:val="24"/>
          <w:szCs w:val="24"/>
        </w:rPr>
      </w:pPr>
      <w:r w:rsidRPr="00667E20">
        <w:rPr>
          <w:sz w:val="24"/>
          <w:szCs w:val="24"/>
        </w:rPr>
        <w:lastRenderedPageBreak/>
        <w:t>In the pursuit of expanding our understanding in the field of geosciences through investigating recorded waveform</w:t>
      </w:r>
      <w:r>
        <w:rPr>
          <w:sz w:val="24"/>
          <w:szCs w:val="24"/>
        </w:rPr>
        <w:t>s,</w:t>
      </w:r>
      <w:r w:rsidRPr="00667E20">
        <w:rPr>
          <w:sz w:val="24"/>
          <w:szCs w:val="24"/>
        </w:rPr>
        <w:t xml:space="preserve"> </w:t>
      </w:r>
      <w:r w:rsidR="00D04F36">
        <w:rPr>
          <w:sz w:val="24"/>
          <w:szCs w:val="24"/>
        </w:rPr>
        <w:t>I</w:t>
      </w:r>
      <w:r w:rsidRPr="00667E20">
        <w:rPr>
          <w:sz w:val="24"/>
          <w:szCs w:val="24"/>
        </w:rPr>
        <w:t xml:space="preserve"> can definitively state that there is much more to learn and uncover. Although it is quite popular to analyze large events when they happen due to the attention large</w:t>
      </w:r>
      <w:r>
        <w:rPr>
          <w:sz w:val="24"/>
          <w:szCs w:val="24"/>
        </w:rPr>
        <w:t>-</w:t>
      </w:r>
      <w:r w:rsidRPr="00667E20">
        <w:rPr>
          <w:sz w:val="24"/>
          <w:szCs w:val="24"/>
        </w:rPr>
        <w:t>magnitude earthquakes can attract, these events are infrequent. A substitution of small events and passive seismic ideal since they can provide a proxy for large events. Passive seismic methods techniques do not require an active source where timing and positioning are known. Economically, passive seismic analysis is low</w:t>
      </w:r>
      <w:r>
        <w:rPr>
          <w:sz w:val="24"/>
          <w:szCs w:val="24"/>
        </w:rPr>
        <w:t>-</w:t>
      </w:r>
      <w:r w:rsidRPr="00667E20">
        <w:rPr>
          <w:sz w:val="24"/>
          <w:szCs w:val="24"/>
        </w:rPr>
        <w:t>cost and simpler to logistically carry out.</w:t>
      </w:r>
    </w:p>
    <w:p w14:paraId="554DF142" w14:textId="76B187C0" w:rsidR="004C3823" w:rsidRPr="00667E20" w:rsidRDefault="00461416" w:rsidP="00667E20">
      <w:pPr>
        <w:spacing w:line="480" w:lineRule="auto"/>
        <w:ind w:firstLine="720"/>
        <w:rPr>
          <w:sz w:val="24"/>
          <w:szCs w:val="24"/>
        </w:rPr>
      </w:pPr>
      <w:r>
        <w:rPr>
          <w:sz w:val="24"/>
          <w:szCs w:val="24"/>
        </w:rPr>
        <w:t>I</w:t>
      </w:r>
      <w:r w:rsidR="004C3823" w:rsidRPr="00667E20">
        <w:rPr>
          <w:sz w:val="24"/>
          <w:szCs w:val="24"/>
        </w:rPr>
        <w:t xml:space="preserve"> have attempted to raise issues and address the shortcomings of traditional studies of large earthquakes. In one of our studies, </w:t>
      </w:r>
      <w:r w:rsidR="00D04F36">
        <w:rPr>
          <w:sz w:val="24"/>
          <w:szCs w:val="24"/>
        </w:rPr>
        <w:t>I</w:t>
      </w:r>
      <w:r w:rsidR="004C3823" w:rsidRPr="00667E20">
        <w:rPr>
          <w:sz w:val="24"/>
          <w:szCs w:val="24"/>
        </w:rPr>
        <w:t xml:space="preserve"> analyzed a limited dataset from a classical hydraulic fracturing experiment to improve magnitude estimations and quantify the </w:t>
      </w:r>
      <w:proofErr w:type="spellStart"/>
      <w:r w:rsidR="004C3823" w:rsidRPr="00667E20">
        <w:rPr>
          <w:sz w:val="24"/>
          <w:szCs w:val="24"/>
        </w:rPr>
        <w:t>seismogenic</w:t>
      </w:r>
      <w:proofErr w:type="spellEnd"/>
      <w:r w:rsidR="004C3823" w:rsidRPr="00667E20">
        <w:rPr>
          <w:sz w:val="24"/>
          <w:szCs w:val="24"/>
        </w:rPr>
        <w:t xml:space="preserve"> state. </w:t>
      </w:r>
      <w:r w:rsidR="00D04F36">
        <w:rPr>
          <w:sz w:val="24"/>
          <w:szCs w:val="24"/>
        </w:rPr>
        <w:t>I</w:t>
      </w:r>
      <w:r w:rsidR="004C3823" w:rsidRPr="00667E20">
        <w:rPr>
          <w:sz w:val="24"/>
          <w:szCs w:val="24"/>
        </w:rPr>
        <w:t xml:space="preserve"> found an improvement in magnitude estimation through waveform cross</w:t>
      </w:r>
      <w:r w:rsidR="004C3823">
        <w:rPr>
          <w:sz w:val="24"/>
          <w:szCs w:val="24"/>
        </w:rPr>
        <w:t>-</w:t>
      </w:r>
      <w:r w:rsidR="004C3823" w:rsidRPr="00667E20">
        <w:rPr>
          <w:sz w:val="24"/>
          <w:szCs w:val="24"/>
        </w:rPr>
        <w:t xml:space="preserve">correlation and subsequent </w:t>
      </w:r>
      <w:proofErr w:type="spellStart"/>
      <w:r w:rsidR="004C3823" w:rsidRPr="00667E20">
        <w:rPr>
          <w:sz w:val="24"/>
          <w:szCs w:val="24"/>
        </w:rPr>
        <w:t>seismogenic</w:t>
      </w:r>
      <w:proofErr w:type="spellEnd"/>
      <w:r w:rsidR="004C3823" w:rsidRPr="00667E20">
        <w:rPr>
          <w:sz w:val="24"/>
          <w:szCs w:val="24"/>
        </w:rPr>
        <w:t xml:space="preserve"> index. In addition, the improved magnitudes and </w:t>
      </w:r>
      <w:proofErr w:type="spellStart"/>
      <w:r w:rsidR="004C3823" w:rsidRPr="00667E20">
        <w:rPr>
          <w:sz w:val="24"/>
          <w:szCs w:val="24"/>
        </w:rPr>
        <w:t>seismogenic</w:t>
      </w:r>
      <w:proofErr w:type="spellEnd"/>
      <w:r w:rsidR="004C3823" w:rsidRPr="00667E20">
        <w:rPr>
          <w:sz w:val="24"/>
          <w:szCs w:val="24"/>
        </w:rPr>
        <w:t xml:space="preserve"> index revealed subclusters that are orientated in a way where they are more prone to failure. </w:t>
      </w:r>
    </w:p>
    <w:p w14:paraId="2A2D45A6" w14:textId="6A7C4F39" w:rsidR="004C3823" w:rsidRPr="00667E20" w:rsidRDefault="004C3823" w:rsidP="00667E20">
      <w:pPr>
        <w:spacing w:line="480" w:lineRule="auto"/>
        <w:ind w:firstLine="720"/>
        <w:rPr>
          <w:sz w:val="24"/>
          <w:szCs w:val="24"/>
        </w:rPr>
      </w:pPr>
      <w:r w:rsidRPr="00667E20">
        <w:rPr>
          <w:sz w:val="24"/>
          <w:szCs w:val="24"/>
        </w:rPr>
        <w:t xml:space="preserve">For our passive seismic experiments, </w:t>
      </w:r>
      <w:r w:rsidR="00004612">
        <w:rPr>
          <w:sz w:val="24"/>
          <w:szCs w:val="24"/>
        </w:rPr>
        <w:t>I</w:t>
      </w:r>
      <w:r w:rsidRPr="00667E20">
        <w:rPr>
          <w:sz w:val="24"/>
          <w:szCs w:val="24"/>
        </w:rPr>
        <w:t xml:space="preserve"> compared two newly developed seismic sensing instrument types and performed a local site analysis. DAS using dark fiber’s recent introduction to seismic sensing has generated significant interest in its capabilities especially when paired with nodal sensors. </w:t>
      </w:r>
      <w:r w:rsidR="00004612">
        <w:rPr>
          <w:sz w:val="24"/>
          <w:szCs w:val="24"/>
        </w:rPr>
        <w:t>I</w:t>
      </w:r>
      <w:r w:rsidRPr="00667E20">
        <w:rPr>
          <w:sz w:val="24"/>
          <w:szCs w:val="24"/>
        </w:rPr>
        <w:t xml:space="preserve"> examine the noise level differences between the two sensor types and follow up with a site characterization of the array length to estimate fundamental frequencies for shallow subsurface interpretation of geologic structures. </w:t>
      </w:r>
    </w:p>
    <w:p w14:paraId="25D5AE86" w14:textId="25A024F3" w:rsidR="004C3823" w:rsidRPr="00667E20" w:rsidRDefault="004C3823" w:rsidP="00667E20">
      <w:pPr>
        <w:spacing w:line="480" w:lineRule="auto"/>
        <w:ind w:firstLine="720"/>
        <w:rPr>
          <w:sz w:val="24"/>
          <w:szCs w:val="24"/>
        </w:rPr>
      </w:pPr>
      <w:r w:rsidRPr="00667E20">
        <w:rPr>
          <w:sz w:val="24"/>
          <w:szCs w:val="24"/>
        </w:rPr>
        <w:t xml:space="preserve">Finally, </w:t>
      </w:r>
      <w:r w:rsidR="00004612">
        <w:rPr>
          <w:sz w:val="24"/>
          <w:szCs w:val="24"/>
        </w:rPr>
        <w:t>I</w:t>
      </w:r>
      <w:r w:rsidRPr="00667E20">
        <w:rPr>
          <w:sz w:val="24"/>
          <w:szCs w:val="24"/>
        </w:rPr>
        <w:t xml:space="preserve"> compare what </w:t>
      </w:r>
      <w:proofErr w:type="gramStart"/>
      <w:r w:rsidRPr="00667E20">
        <w:rPr>
          <w:sz w:val="24"/>
          <w:szCs w:val="24"/>
        </w:rPr>
        <w:t xml:space="preserve">is considered </w:t>
      </w:r>
      <w:r>
        <w:rPr>
          <w:sz w:val="24"/>
          <w:szCs w:val="24"/>
        </w:rPr>
        <w:t>to be</w:t>
      </w:r>
      <w:proofErr w:type="gramEnd"/>
      <w:r w:rsidRPr="00667E20">
        <w:rPr>
          <w:sz w:val="24"/>
          <w:szCs w:val="24"/>
        </w:rPr>
        <w:t xml:space="preserve"> a high noise level environment with wind turbines to a low noise level environment without wind turbines and observe how seismic </w:t>
      </w:r>
      <w:r w:rsidRPr="00667E20">
        <w:rPr>
          <w:sz w:val="24"/>
          <w:szCs w:val="24"/>
        </w:rPr>
        <w:lastRenderedPageBreak/>
        <w:t xml:space="preserve">recordings are affected in nodal data. Intuitively, </w:t>
      </w:r>
      <w:r w:rsidR="00004612">
        <w:rPr>
          <w:sz w:val="24"/>
          <w:szCs w:val="24"/>
        </w:rPr>
        <w:t>I</w:t>
      </w:r>
      <w:r w:rsidRPr="00667E20">
        <w:rPr>
          <w:sz w:val="24"/>
          <w:szCs w:val="24"/>
        </w:rPr>
        <w:t xml:space="preserve"> observe noise levels drop exponentially further away from a wind turbine. However, </w:t>
      </w:r>
      <w:r>
        <w:rPr>
          <w:sz w:val="24"/>
          <w:szCs w:val="24"/>
        </w:rPr>
        <w:t xml:space="preserve">the </w:t>
      </w:r>
      <w:r w:rsidRPr="00667E20">
        <w:rPr>
          <w:sz w:val="24"/>
          <w:szCs w:val="24"/>
        </w:rPr>
        <w:t>cross</w:t>
      </w:r>
      <w:r>
        <w:rPr>
          <w:sz w:val="24"/>
          <w:szCs w:val="24"/>
        </w:rPr>
        <w:t>-</w:t>
      </w:r>
      <w:r w:rsidRPr="00667E20">
        <w:rPr>
          <w:sz w:val="24"/>
          <w:szCs w:val="24"/>
        </w:rPr>
        <w:t>coherence of station pairs show</w:t>
      </w:r>
      <w:r>
        <w:rPr>
          <w:sz w:val="24"/>
          <w:szCs w:val="24"/>
        </w:rPr>
        <w:t>s</w:t>
      </w:r>
      <w:r w:rsidRPr="00667E20">
        <w:rPr>
          <w:sz w:val="24"/>
          <w:szCs w:val="24"/>
        </w:rPr>
        <w:t xml:space="preserve"> a general West to East wave propagation direction. </w:t>
      </w:r>
    </w:p>
    <w:p w14:paraId="11950D85" w14:textId="77777777" w:rsidR="004C3823" w:rsidRPr="00667E20" w:rsidRDefault="004C3823" w:rsidP="00667E20">
      <w:pPr>
        <w:spacing w:line="480" w:lineRule="auto"/>
        <w:rPr>
          <w:b/>
          <w:bCs/>
          <w:sz w:val="24"/>
          <w:szCs w:val="24"/>
        </w:rPr>
      </w:pPr>
      <w:r w:rsidRPr="00667E20">
        <w:rPr>
          <w:b/>
          <w:bCs/>
          <w:sz w:val="24"/>
          <w:szCs w:val="24"/>
        </w:rPr>
        <w:t>5.1 Summary of Results</w:t>
      </w:r>
    </w:p>
    <w:p w14:paraId="1E345BB2" w14:textId="77777777" w:rsidR="004C3823" w:rsidRPr="00667E20" w:rsidRDefault="004C3823" w:rsidP="00667E20">
      <w:pPr>
        <w:spacing w:line="480" w:lineRule="auto"/>
        <w:rPr>
          <w:sz w:val="24"/>
          <w:szCs w:val="24"/>
        </w:rPr>
      </w:pPr>
      <w:r w:rsidRPr="00667E20">
        <w:rPr>
          <w:sz w:val="24"/>
          <w:szCs w:val="24"/>
        </w:rPr>
        <w:t>Some key results are as follows:</w:t>
      </w:r>
    </w:p>
    <w:p w14:paraId="59AE6DDD" w14:textId="6D5988D4" w:rsidR="004C3823" w:rsidRPr="00667E20" w:rsidRDefault="00004612" w:rsidP="004C3823">
      <w:pPr>
        <w:pStyle w:val="ListParagraph"/>
        <w:numPr>
          <w:ilvl w:val="0"/>
          <w:numId w:val="19"/>
        </w:numPr>
        <w:spacing w:line="480" w:lineRule="auto"/>
        <w:rPr>
          <w:sz w:val="24"/>
          <w:szCs w:val="24"/>
        </w:rPr>
      </w:pPr>
      <w:r>
        <w:rPr>
          <w:sz w:val="24"/>
          <w:szCs w:val="24"/>
        </w:rPr>
        <w:t>I</w:t>
      </w:r>
      <w:r w:rsidR="004C3823" w:rsidRPr="00667E20">
        <w:rPr>
          <w:sz w:val="24"/>
          <w:szCs w:val="24"/>
        </w:rPr>
        <w:t xml:space="preserve"> use waveform cross-correlation to identify different fracture sets for b-value estimates and subsequent </w:t>
      </w:r>
      <w:proofErr w:type="spellStart"/>
      <w:r w:rsidR="004C3823" w:rsidRPr="00667E20">
        <w:rPr>
          <w:sz w:val="24"/>
          <w:szCs w:val="24"/>
        </w:rPr>
        <w:t>seismogenic</w:t>
      </w:r>
      <w:proofErr w:type="spellEnd"/>
      <w:r w:rsidR="004C3823" w:rsidRPr="00667E20">
        <w:rPr>
          <w:sz w:val="24"/>
          <w:szCs w:val="24"/>
        </w:rPr>
        <w:t xml:space="preserve"> index calculation. </w:t>
      </w:r>
    </w:p>
    <w:p w14:paraId="13B9ABF4" w14:textId="3A7848F2" w:rsidR="004C3823" w:rsidRPr="00667E20" w:rsidRDefault="004C3823" w:rsidP="004C3823">
      <w:pPr>
        <w:pStyle w:val="ListParagraph"/>
        <w:numPr>
          <w:ilvl w:val="0"/>
          <w:numId w:val="19"/>
        </w:numPr>
        <w:spacing w:line="480" w:lineRule="auto"/>
        <w:rPr>
          <w:sz w:val="24"/>
          <w:szCs w:val="24"/>
        </w:rPr>
      </w:pPr>
      <w:r w:rsidRPr="00667E20">
        <w:rPr>
          <w:sz w:val="24"/>
          <w:szCs w:val="24"/>
        </w:rPr>
        <w:t xml:space="preserve">In Enid (Oklahoma, US) I use both DAS and nodal array to investigate a long (20km) east-west transect. Recordings for both instruments are compared, and site response is estimated using the nodal data. Using a velocity model, </w:t>
      </w:r>
      <w:r w:rsidR="00004612">
        <w:rPr>
          <w:sz w:val="24"/>
          <w:szCs w:val="24"/>
        </w:rPr>
        <w:t>I</w:t>
      </w:r>
      <w:r w:rsidRPr="00667E20">
        <w:rPr>
          <w:sz w:val="24"/>
          <w:szCs w:val="24"/>
        </w:rPr>
        <w:t xml:space="preserve"> estimate the resonant subsurface layer.</w:t>
      </w:r>
    </w:p>
    <w:p w14:paraId="55065BFF" w14:textId="008AE40F" w:rsidR="004C3823" w:rsidRPr="00667E20" w:rsidRDefault="004C3823" w:rsidP="004C3823">
      <w:pPr>
        <w:pStyle w:val="ListParagraph"/>
        <w:numPr>
          <w:ilvl w:val="0"/>
          <w:numId w:val="19"/>
        </w:numPr>
        <w:spacing w:line="480" w:lineRule="auto"/>
        <w:rPr>
          <w:sz w:val="24"/>
          <w:szCs w:val="24"/>
        </w:rPr>
      </w:pPr>
      <w:r w:rsidRPr="00667E20">
        <w:rPr>
          <w:sz w:val="24"/>
          <w:szCs w:val="24"/>
        </w:rPr>
        <w:t xml:space="preserve">In </w:t>
      </w:r>
      <w:r w:rsidR="00004612">
        <w:rPr>
          <w:sz w:val="24"/>
          <w:szCs w:val="24"/>
        </w:rPr>
        <w:t>my</w:t>
      </w:r>
      <w:r w:rsidRPr="00667E20">
        <w:rPr>
          <w:sz w:val="24"/>
          <w:szCs w:val="24"/>
        </w:rPr>
        <w:t xml:space="preserve"> wind turbine analysis, </w:t>
      </w:r>
      <w:r w:rsidR="00004612">
        <w:rPr>
          <w:sz w:val="24"/>
          <w:szCs w:val="24"/>
        </w:rPr>
        <w:t>I</w:t>
      </w:r>
      <w:r w:rsidRPr="00667E20">
        <w:rPr>
          <w:sz w:val="24"/>
          <w:szCs w:val="24"/>
        </w:rPr>
        <w:t xml:space="preserve"> compare nodal data with wind speed data to analyze the influence a wind turbine generator may have on the acoustic seismic field. </w:t>
      </w:r>
    </w:p>
    <w:p w14:paraId="700433DB" w14:textId="77777777" w:rsidR="004C3823" w:rsidRPr="00667E20" w:rsidRDefault="004C3823" w:rsidP="00667E20">
      <w:pPr>
        <w:spacing w:line="480" w:lineRule="auto"/>
        <w:rPr>
          <w:b/>
          <w:bCs/>
          <w:sz w:val="24"/>
          <w:szCs w:val="24"/>
        </w:rPr>
      </w:pPr>
      <w:r w:rsidRPr="00667E20">
        <w:rPr>
          <w:b/>
          <w:bCs/>
          <w:sz w:val="24"/>
          <w:szCs w:val="24"/>
        </w:rPr>
        <w:t>5.2 Future work</w:t>
      </w:r>
    </w:p>
    <w:p w14:paraId="6C4639D0" w14:textId="77777777" w:rsidR="004C3823" w:rsidRPr="00667E20" w:rsidRDefault="004C3823" w:rsidP="00667E20">
      <w:pPr>
        <w:spacing w:line="480" w:lineRule="auto"/>
        <w:ind w:firstLine="720"/>
        <w:rPr>
          <w:sz w:val="24"/>
          <w:szCs w:val="24"/>
        </w:rPr>
      </w:pPr>
      <w:r w:rsidRPr="00667E20">
        <w:rPr>
          <w:sz w:val="24"/>
          <w:szCs w:val="24"/>
        </w:rPr>
        <w:t xml:space="preserve">The feasibility of microseismic and passive seismic analysis is described here for the small case studies in Oklahoma. However, the application and possibilities reach beyond the scope of this dissertation. The magnitude calibration and subsequent </w:t>
      </w:r>
      <w:proofErr w:type="spellStart"/>
      <w:r w:rsidRPr="00667E20">
        <w:rPr>
          <w:sz w:val="24"/>
          <w:szCs w:val="24"/>
        </w:rPr>
        <w:t>seismogenic</w:t>
      </w:r>
      <w:proofErr w:type="spellEnd"/>
      <w:r w:rsidRPr="00667E20">
        <w:rPr>
          <w:sz w:val="24"/>
          <w:szCs w:val="24"/>
        </w:rPr>
        <w:t xml:space="preserve"> index approximation may have applications in other cases outside of hydraulic fracturing. Current research in the space of carbon sequestration and geothermal energy may be dependent on accurately tracking fracture networks to facilitate proper operation without the risk of an </w:t>
      </w:r>
      <w:r w:rsidRPr="00667E20">
        <w:rPr>
          <w:sz w:val="24"/>
          <w:szCs w:val="24"/>
        </w:rPr>
        <w:lastRenderedPageBreak/>
        <w:t xml:space="preserve">anomalous fracture network that may have a negative impact. Extrapolation of our novel approach in microseismicity analysis can improve fracture monitoring. </w:t>
      </w:r>
    </w:p>
    <w:p w14:paraId="5D24D812" w14:textId="31866A34" w:rsidR="004C3823" w:rsidRPr="00667E20" w:rsidRDefault="004C3823" w:rsidP="00667E20">
      <w:pPr>
        <w:spacing w:line="480" w:lineRule="auto"/>
        <w:ind w:firstLine="720"/>
        <w:rPr>
          <w:sz w:val="24"/>
          <w:szCs w:val="24"/>
        </w:rPr>
      </w:pPr>
      <w:r w:rsidRPr="00667E20">
        <w:rPr>
          <w:sz w:val="24"/>
          <w:szCs w:val="24"/>
        </w:rPr>
        <w:t xml:space="preserve">DAS is developing into an interesting monitoring system capable of being successful in many environments. It has evolved significantly since its early applications in boreholes and ocean bottoms. However, noisy environments such as within cities or roadside still pose a challenge to DAS. One of the biggest challenges that became apparent with this study is the coupling of the fiber optic cable when using a dark fiber array. One way </w:t>
      </w:r>
      <w:r w:rsidR="00004612">
        <w:rPr>
          <w:sz w:val="24"/>
          <w:szCs w:val="24"/>
        </w:rPr>
        <w:t>I</w:t>
      </w:r>
      <w:r w:rsidRPr="00667E20">
        <w:rPr>
          <w:sz w:val="24"/>
          <w:szCs w:val="24"/>
        </w:rPr>
        <w:t xml:space="preserve"> attempted to overcome this is by normalizing the noise level for each channel.  </w:t>
      </w:r>
    </w:p>
    <w:p w14:paraId="4B6262F8" w14:textId="77777777" w:rsidR="004C3823" w:rsidRPr="00945EE1" w:rsidRDefault="004C3823" w:rsidP="004E04DF">
      <w:pPr>
        <w:jc w:val="center"/>
        <w:rPr>
          <w:sz w:val="24"/>
          <w:szCs w:val="24"/>
        </w:rPr>
      </w:pPr>
    </w:p>
    <w:sectPr w:rsidR="004C3823" w:rsidRPr="00945EE1" w:rsidSect="00F45D8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08C1D" w14:textId="77777777" w:rsidR="009D256D" w:rsidRDefault="009D256D" w:rsidP="00B65FB3">
      <w:pPr>
        <w:spacing w:after="0" w:line="240" w:lineRule="auto"/>
      </w:pPr>
      <w:r>
        <w:separator/>
      </w:r>
    </w:p>
  </w:endnote>
  <w:endnote w:type="continuationSeparator" w:id="0">
    <w:p w14:paraId="4C87E700" w14:textId="77777777" w:rsidR="009D256D" w:rsidRDefault="009D256D" w:rsidP="00B65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beration Sans">
    <w:altName w:val="Arial"/>
    <w:charset w:val="01"/>
    <w:family w:val="swiss"/>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87822"/>
      <w:docPartObj>
        <w:docPartGallery w:val="Page Numbers (Bottom of Page)"/>
        <w:docPartUnique/>
      </w:docPartObj>
    </w:sdtPr>
    <w:sdtEndPr>
      <w:rPr>
        <w:noProof/>
      </w:rPr>
    </w:sdtEndPr>
    <w:sdtContent>
      <w:p w14:paraId="318E925E" w14:textId="68C562DB" w:rsidR="003E27C1" w:rsidRDefault="003E27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D9258E" w14:textId="77777777" w:rsidR="00F45D8F" w:rsidRDefault="00F45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12D7" w14:textId="77777777" w:rsidR="009D256D" w:rsidRDefault="009D256D" w:rsidP="00B65FB3">
      <w:pPr>
        <w:spacing w:after="0" w:line="240" w:lineRule="auto"/>
      </w:pPr>
      <w:r>
        <w:separator/>
      </w:r>
    </w:p>
  </w:footnote>
  <w:footnote w:type="continuationSeparator" w:id="0">
    <w:p w14:paraId="0E72F4D0" w14:textId="77777777" w:rsidR="009D256D" w:rsidRDefault="009D256D" w:rsidP="00B65F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FC2"/>
    <w:multiLevelType w:val="multilevel"/>
    <w:tmpl w:val="5088DA1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691107"/>
    <w:multiLevelType w:val="hybridMultilevel"/>
    <w:tmpl w:val="BF26A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8548A"/>
    <w:multiLevelType w:val="hybridMultilevel"/>
    <w:tmpl w:val="DE0AB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46A5A"/>
    <w:multiLevelType w:val="hybridMultilevel"/>
    <w:tmpl w:val="3C223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E0ADE"/>
    <w:multiLevelType w:val="hybridMultilevel"/>
    <w:tmpl w:val="6354F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FF3495"/>
    <w:multiLevelType w:val="hybridMultilevel"/>
    <w:tmpl w:val="2F3EAF8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F7B06"/>
    <w:multiLevelType w:val="multilevel"/>
    <w:tmpl w:val="81E22342"/>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338E0BCE"/>
    <w:multiLevelType w:val="hybridMultilevel"/>
    <w:tmpl w:val="24BC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AB4920"/>
    <w:multiLevelType w:val="hybridMultilevel"/>
    <w:tmpl w:val="9CB2E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C0776A"/>
    <w:multiLevelType w:val="hybridMultilevel"/>
    <w:tmpl w:val="10DAC2C2"/>
    <w:lvl w:ilvl="0" w:tplc="91E440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F0308"/>
    <w:multiLevelType w:val="hybridMultilevel"/>
    <w:tmpl w:val="3C2233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626E87"/>
    <w:multiLevelType w:val="hybridMultilevel"/>
    <w:tmpl w:val="302A1E8A"/>
    <w:lvl w:ilvl="0" w:tplc="7EEEFB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C23C2"/>
    <w:multiLevelType w:val="hybridMultilevel"/>
    <w:tmpl w:val="FD02C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F948F2"/>
    <w:multiLevelType w:val="hybridMultilevel"/>
    <w:tmpl w:val="9DC86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586BD7"/>
    <w:multiLevelType w:val="hybridMultilevel"/>
    <w:tmpl w:val="2356E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C86768"/>
    <w:multiLevelType w:val="hybridMultilevel"/>
    <w:tmpl w:val="3C2233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DC47DB"/>
    <w:multiLevelType w:val="hybridMultilevel"/>
    <w:tmpl w:val="CB007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0656DA"/>
    <w:multiLevelType w:val="hybridMultilevel"/>
    <w:tmpl w:val="577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F231DF"/>
    <w:multiLevelType w:val="hybridMultilevel"/>
    <w:tmpl w:val="E85CCF0A"/>
    <w:lvl w:ilvl="0" w:tplc="4E7667D2">
      <w:start w:val="156"/>
      <w:numFmt w:val="decimal"/>
      <w:lvlText w:val="%1"/>
      <w:lvlJc w:val="left"/>
      <w:pPr>
        <w:ind w:left="1075"/>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1" w:tplc="5FE0A78A">
      <w:start w:val="1"/>
      <w:numFmt w:val="lowerLetter"/>
      <w:lvlText w:val="%2"/>
      <w:lvlJc w:val="left"/>
      <w:pPr>
        <w:ind w:left="108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2" w:tplc="CFA44812">
      <w:start w:val="1"/>
      <w:numFmt w:val="lowerRoman"/>
      <w:lvlText w:val="%3"/>
      <w:lvlJc w:val="left"/>
      <w:pPr>
        <w:ind w:left="180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3" w:tplc="4EE40250">
      <w:start w:val="1"/>
      <w:numFmt w:val="decimal"/>
      <w:lvlText w:val="%4"/>
      <w:lvlJc w:val="left"/>
      <w:pPr>
        <w:ind w:left="252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4" w:tplc="350089BE">
      <w:start w:val="1"/>
      <w:numFmt w:val="lowerLetter"/>
      <w:lvlText w:val="%5"/>
      <w:lvlJc w:val="left"/>
      <w:pPr>
        <w:ind w:left="324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5" w:tplc="CD9C864A">
      <w:start w:val="1"/>
      <w:numFmt w:val="lowerRoman"/>
      <w:lvlText w:val="%6"/>
      <w:lvlJc w:val="left"/>
      <w:pPr>
        <w:ind w:left="396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6" w:tplc="448E7D2A">
      <w:start w:val="1"/>
      <w:numFmt w:val="decimal"/>
      <w:lvlText w:val="%7"/>
      <w:lvlJc w:val="left"/>
      <w:pPr>
        <w:ind w:left="468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7" w:tplc="215E7BDA">
      <w:start w:val="1"/>
      <w:numFmt w:val="lowerLetter"/>
      <w:lvlText w:val="%8"/>
      <w:lvlJc w:val="left"/>
      <w:pPr>
        <w:ind w:left="540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lvl w:ilvl="8" w:tplc="DC5A1246">
      <w:start w:val="1"/>
      <w:numFmt w:val="lowerRoman"/>
      <w:lvlText w:val="%9"/>
      <w:lvlJc w:val="left"/>
      <w:pPr>
        <w:ind w:left="6120"/>
      </w:pPr>
      <w:rPr>
        <w:rFonts w:ascii="Calibri" w:eastAsia="Calibri" w:hAnsi="Calibri" w:cs="Calibri"/>
        <w:b w:val="0"/>
        <w:i w:val="0"/>
        <w:strike w:val="0"/>
        <w:dstrike w:val="0"/>
        <w:color w:val="000000"/>
        <w:sz w:val="10"/>
        <w:szCs w:val="10"/>
        <w:u w:val="none" w:color="000000"/>
        <w:bdr w:val="none" w:sz="0" w:space="0" w:color="auto"/>
        <w:shd w:val="clear" w:color="auto" w:fill="auto"/>
        <w:vertAlign w:val="baseline"/>
      </w:rPr>
    </w:lvl>
  </w:abstractNum>
  <w:num w:numId="1" w16cid:durableId="1005326577">
    <w:abstractNumId w:val="17"/>
  </w:num>
  <w:num w:numId="2" w16cid:durableId="1866553150">
    <w:abstractNumId w:val="7"/>
  </w:num>
  <w:num w:numId="3" w16cid:durableId="736977646">
    <w:abstractNumId w:val="1"/>
  </w:num>
  <w:num w:numId="4" w16cid:durableId="9650255">
    <w:abstractNumId w:val="13"/>
  </w:num>
  <w:num w:numId="5" w16cid:durableId="1603801373">
    <w:abstractNumId w:val="12"/>
  </w:num>
  <w:num w:numId="6" w16cid:durableId="1128402650">
    <w:abstractNumId w:val="3"/>
  </w:num>
  <w:num w:numId="7" w16cid:durableId="2028209411">
    <w:abstractNumId w:val="16"/>
  </w:num>
  <w:num w:numId="8" w16cid:durableId="1920210460">
    <w:abstractNumId w:val="15"/>
  </w:num>
  <w:num w:numId="9" w16cid:durableId="1378581729">
    <w:abstractNumId w:val="10"/>
  </w:num>
  <w:num w:numId="10" w16cid:durableId="337122060">
    <w:abstractNumId w:val="2"/>
  </w:num>
  <w:num w:numId="11" w16cid:durableId="2062946028">
    <w:abstractNumId w:val="18"/>
  </w:num>
  <w:num w:numId="12" w16cid:durableId="486944355">
    <w:abstractNumId w:val="11"/>
  </w:num>
  <w:num w:numId="13" w16cid:durableId="1287273511">
    <w:abstractNumId w:val="5"/>
  </w:num>
  <w:num w:numId="14" w16cid:durableId="1810659560">
    <w:abstractNumId w:val="6"/>
  </w:num>
  <w:num w:numId="15" w16cid:durableId="872839694">
    <w:abstractNumId w:val="0"/>
  </w:num>
  <w:num w:numId="16" w16cid:durableId="995496265">
    <w:abstractNumId w:val="4"/>
  </w:num>
  <w:num w:numId="17" w16cid:durableId="1678072896">
    <w:abstractNumId w:val="8"/>
  </w:num>
  <w:num w:numId="18" w16cid:durableId="1531183451">
    <w:abstractNumId w:val="14"/>
  </w:num>
  <w:num w:numId="19" w16cid:durableId="3358909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24"/>
    <w:rsid w:val="00004612"/>
    <w:rsid w:val="001059EF"/>
    <w:rsid w:val="001353AE"/>
    <w:rsid w:val="002065CC"/>
    <w:rsid w:val="00216C93"/>
    <w:rsid w:val="00256650"/>
    <w:rsid w:val="00286B0D"/>
    <w:rsid w:val="00293059"/>
    <w:rsid w:val="00293238"/>
    <w:rsid w:val="002B78EF"/>
    <w:rsid w:val="002C685B"/>
    <w:rsid w:val="002C741F"/>
    <w:rsid w:val="002D7B7D"/>
    <w:rsid w:val="002E020D"/>
    <w:rsid w:val="00316679"/>
    <w:rsid w:val="00323257"/>
    <w:rsid w:val="00337FF9"/>
    <w:rsid w:val="003D02A9"/>
    <w:rsid w:val="003D073F"/>
    <w:rsid w:val="003E27C1"/>
    <w:rsid w:val="00400A0F"/>
    <w:rsid w:val="00461416"/>
    <w:rsid w:val="004715EB"/>
    <w:rsid w:val="004A2DF4"/>
    <w:rsid w:val="004A7922"/>
    <w:rsid w:val="004C3823"/>
    <w:rsid w:val="004D134E"/>
    <w:rsid w:val="004E04DF"/>
    <w:rsid w:val="004E4317"/>
    <w:rsid w:val="00536E3D"/>
    <w:rsid w:val="00552D04"/>
    <w:rsid w:val="005703C9"/>
    <w:rsid w:val="006128B4"/>
    <w:rsid w:val="00623D48"/>
    <w:rsid w:val="00635053"/>
    <w:rsid w:val="00675D05"/>
    <w:rsid w:val="006A5034"/>
    <w:rsid w:val="006B3E38"/>
    <w:rsid w:val="006C5F6E"/>
    <w:rsid w:val="006E7FE1"/>
    <w:rsid w:val="00742541"/>
    <w:rsid w:val="007C4943"/>
    <w:rsid w:val="007F0DE4"/>
    <w:rsid w:val="00823115"/>
    <w:rsid w:val="00826C77"/>
    <w:rsid w:val="00877E4B"/>
    <w:rsid w:val="00881811"/>
    <w:rsid w:val="008C603F"/>
    <w:rsid w:val="008D4464"/>
    <w:rsid w:val="008F3219"/>
    <w:rsid w:val="008F3506"/>
    <w:rsid w:val="00905954"/>
    <w:rsid w:val="00927FAE"/>
    <w:rsid w:val="00936D7C"/>
    <w:rsid w:val="00945EE1"/>
    <w:rsid w:val="00957536"/>
    <w:rsid w:val="009642E0"/>
    <w:rsid w:val="00992182"/>
    <w:rsid w:val="00994ADC"/>
    <w:rsid w:val="009D256D"/>
    <w:rsid w:val="009E67C3"/>
    <w:rsid w:val="009F5855"/>
    <w:rsid w:val="00A02534"/>
    <w:rsid w:val="00A601F4"/>
    <w:rsid w:val="00A72893"/>
    <w:rsid w:val="00AB50FA"/>
    <w:rsid w:val="00B21005"/>
    <w:rsid w:val="00B65FB3"/>
    <w:rsid w:val="00B818B8"/>
    <w:rsid w:val="00B923FF"/>
    <w:rsid w:val="00BF5968"/>
    <w:rsid w:val="00C32386"/>
    <w:rsid w:val="00C35324"/>
    <w:rsid w:val="00C55ACE"/>
    <w:rsid w:val="00C7369F"/>
    <w:rsid w:val="00CA6251"/>
    <w:rsid w:val="00CC01A4"/>
    <w:rsid w:val="00CC33E5"/>
    <w:rsid w:val="00CE1D36"/>
    <w:rsid w:val="00D01D5A"/>
    <w:rsid w:val="00D04F36"/>
    <w:rsid w:val="00D13C48"/>
    <w:rsid w:val="00D33600"/>
    <w:rsid w:val="00D555F0"/>
    <w:rsid w:val="00D831B7"/>
    <w:rsid w:val="00DC37DB"/>
    <w:rsid w:val="00DF2C3F"/>
    <w:rsid w:val="00E13A80"/>
    <w:rsid w:val="00E200D7"/>
    <w:rsid w:val="00E25A06"/>
    <w:rsid w:val="00E4453D"/>
    <w:rsid w:val="00E81CB9"/>
    <w:rsid w:val="00EB70C9"/>
    <w:rsid w:val="00EE162A"/>
    <w:rsid w:val="00EF7703"/>
    <w:rsid w:val="00F2370E"/>
    <w:rsid w:val="00F45D8F"/>
    <w:rsid w:val="00F5625F"/>
    <w:rsid w:val="00F87941"/>
    <w:rsid w:val="00FB1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C6DB2"/>
  <w15:chartTrackingRefBased/>
  <w15:docId w15:val="{34945081-9E2F-492A-AE13-2E2CD757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7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5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FB3"/>
  </w:style>
  <w:style w:type="paragraph" w:styleId="Footer">
    <w:name w:val="footer"/>
    <w:basedOn w:val="Normal"/>
    <w:link w:val="FooterChar"/>
    <w:uiPriority w:val="99"/>
    <w:unhideWhenUsed/>
    <w:rsid w:val="00B65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FB3"/>
  </w:style>
  <w:style w:type="paragraph" w:styleId="Caption">
    <w:name w:val="caption"/>
    <w:basedOn w:val="Normal"/>
    <w:next w:val="Normal"/>
    <w:unhideWhenUsed/>
    <w:qFormat/>
    <w:rsid w:val="004E04DF"/>
    <w:pPr>
      <w:spacing w:after="200" w:line="240" w:lineRule="auto"/>
    </w:pPr>
    <w:rPr>
      <w:i/>
      <w:iCs/>
      <w:color w:val="44546A" w:themeColor="text2"/>
      <w:kern w:val="0"/>
      <w:sz w:val="18"/>
      <w:szCs w:val="18"/>
      <w14:ligatures w14:val="none"/>
    </w:rPr>
  </w:style>
  <w:style w:type="paragraph" w:styleId="ListParagraph">
    <w:name w:val="List Paragraph"/>
    <w:basedOn w:val="Normal"/>
    <w:uiPriority w:val="34"/>
    <w:qFormat/>
    <w:rsid w:val="004C3823"/>
    <w:pPr>
      <w:ind w:left="720"/>
      <w:contextualSpacing/>
    </w:pPr>
  </w:style>
  <w:style w:type="character" w:styleId="Hyperlink">
    <w:name w:val="Hyperlink"/>
    <w:basedOn w:val="DefaultParagraphFont"/>
    <w:uiPriority w:val="99"/>
    <w:unhideWhenUsed/>
    <w:rsid w:val="004C3823"/>
    <w:rPr>
      <w:color w:val="0563C1" w:themeColor="hyperlink"/>
      <w:u w:val="single"/>
    </w:rPr>
  </w:style>
  <w:style w:type="character" w:styleId="UnresolvedMention">
    <w:name w:val="Unresolved Mention"/>
    <w:basedOn w:val="DefaultParagraphFont"/>
    <w:uiPriority w:val="99"/>
    <w:semiHidden/>
    <w:unhideWhenUsed/>
    <w:rsid w:val="004C3823"/>
    <w:rPr>
      <w:color w:val="605E5C"/>
      <w:shd w:val="clear" w:color="auto" w:fill="E1DFDD"/>
    </w:rPr>
  </w:style>
  <w:style w:type="character" w:styleId="PlaceholderText">
    <w:name w:val="Placeholder Text"/>
    <w:basedOn w:val="DefaultParagraphFont"/>
    <w:uiPriority w:val="99"/>
    <w:semiHidden/>
    <w:rsid w:val="004C3823"/>
    <w:rPr>
      <w:color w:val="808080"/>
    </w:rPr>
  </w:style>
  <w:style w:type="paragraph" w:styleId="BodyText">
    <w:name w:val="Body Text"/>
    <w:basedOn w:val="Normal"/>
    <w:link w:val="BodyTextChar"/>
    <w:qFormat/>
    <w:rsid w:val="004C3823"/>
    <w:pPr>
      <w:widowControl w:val="0"/>
      <w:autoSpaceDE w:val="0"/>
      <w:autoSpaceDN w:val="0"/>
      <w:spacing w:before="11" w:after="0" w:line="240" w:lineRule="auto"/>
    </w:pPr>
    <w:rPr>
      <w:rFonts w:ascii="Book Antiqua" w:eastAsia="Book Antiqua" w:hAnsi="Book Antiqua" w:cs="Book Antiqua"/>
      <w:kern w:val="0"/>
      <w:sz w:val="20"/>
      <w:szCs w:val="20"/>
      <w14:ligatures w14:val="none"/>
    </w:rPr>
  </w:style>
  <w:style w:type="character" w:customStyle="1" w:styleId="BodyTextChar">
    <w:name w:val="Body Text Char"/>
    <w:basedOn w:val="DefaultParagraphFont"/>
    <w:link w:val="BodyText"/>
    <w:uiPriority w:val="1"/>
    <w:rsid w:val="004C3823"/>
    <w:rPr>
      <w:rFonts w:ascii="Book Antiqua" w:eastAsia="Book Antiqua" w:hAnsi="Book Antiqua" w:cs="Book Antiqua"/>
      <w:kern w:val="0"/>
      <w:sz w:val="20"/>
      <w:szCs w:val="20"/>
      <w14:ligatures w14:val="none"/>
    </w:rPr>
  </w:style>
  <w:style w:type="paragraph" w:styleId="Revision">
    <w:name w:val="Revision"/>
    <w:hidden/>
    <w:uiPriority w:val="99"/>
    <w:semiHidden/>
    <w:rsid w:val="004C3823"/>
    <w:pPr>
      <w:spacing w:after="0" w:line="240" w:lineRule="auto"/>
    </w:pPr>
    <w:rPr>
      <w:rFonts w:eastAsiaTheme="minorEastAsia"/>
    </w:rPr>
  </w:style>
  <w:style w:type="character" w:styleId="CommentReference">
    <w:name w:val="annotation reference"/>
    <w:basedOn w:val="DefaultParagraphFont"/>
    <w:uiPriority w:val="99"/>
    <w:semiHidden/>
    <w:unhideWhenUsed/>
    <w:rsid w:val="004C3823"/>
    <w:rPr>
      <w:sz w:val="16"/>
      <w:szCs w:val="16"/>
    </w:rPr>
  </w:style>
  <w:style w:type="paragraph" w:styleId="CommentText">
    <w:name w:val="annotation text"/>
    <w:basedOn w:val="Normal"/>
    <w:link w:val="CommentTextChar"/>
    <w:uiPriority w:val="99"/>
    <w:unhideWhenUsed/>
    <w:rsid w:val="004C3823"/>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4C382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C3823"/>
    <w:rPr>
      <w:b/>
      <w:bCs/>
    </w:rPr>
  </w:style>
  <w:style w:type="character" w:customStyle="1" w:styleId="CommentSubjectChar">
    <w:name w:val="Comment Subject Char"/>
    <w:basedOn w:val="CommentTextChar"/>
    <w:link w:val="CommentSubject"/>
    <w:uiPriority w:val="99"/>
    <w:semiHidden/>
    <w:rsid w:val="004C3823"/>
    <w:rPr>
      <w:rFonts w:eastAsiaTheme="minorEastAsia"/>
      <w:b/>
      <w:bCs/>
      <w:sz w:val="20"/>
      <w:szCs w:val="20"/>
    </w:rPr>
  </w:style>
  <w:style w:type="character" w:styleId="LineNumber">
    <w:name w:val="line number"/>
    <w:basedOn w:val="DefaultParagraphFont"/>
    <w:uiPriority w:val="99"/>
    <w:semiHidden/>
    <w:unhideWhenUsed/>
    <w:rsid w:val="004C3823"/>
  </w:style>
  <w:style w:type="paragraph" w:customStyle="1" w:styleId="Heading">
    <w:name w:val="Heading"/>
    <w:basedOn w:val="Normal"/>
    <w:next w:val="BodyText"/>
    <w:qFormat/>
    <w:rsid w:val="004C3823"/>
    <w:pPr>
      <w:keepNext/>
      <w:spacing w:before="240" w:after="120" w:line="276" w:lineRule="auto"/>
    </w:pPr>
    <w:rPr>
      <w:rFonts w:ascii="Liberation Sans" w:eastAsia="Noto Sans CJK SC Regular" w:hAnsi="Liberation Sans" w:cs="FreeSans"/>
      <w:kern w:val="0"/>
      <w:sz w:val="28"/>
      <w:szCs w:val="28"/>
      <w14:ligatures w14:val="none"/>
    </w:rPr>
  </w:style>
  <w:style w:type="paragraph" w:styleId="List">
    <w:name w:val="List"/>
    <w:basedOn w:val="BodyText"/>
    <w:rsid w:val="004C3823"/>
    <w:pPr>
      <w:widowControl/>
      <w:autoSpaceDE/>
      <w:autoSpaceDN/>
      <w:spacing w:before="0" w:after="140" w:line="288" w:lineRule="auto"/>
    </w:pPr>
    <w:rPr>
      <w:rFonts w:asciiTheme="minorHAnsi" w:eastAsia="MS Mincho" w:hAnsiTheme="minorHAnsi" w:cs="FreeSans"/>
      <w:sz w:val="22"/>
      <w:szCs w:val="22"/>
    </w:rPr>
  </w:style>
  <w:style w:type="paragraph" w:customStyle="1" w:styleId="Index">
    <w:name w:val="Index"/>
    <w:basedOn w:val="Normal"/>
    <w:qFormat/>
    <w:rsid w:val="004C3823"/>
    <w:pPr>
      <w:suppressLineNumbers/>
      <w:spacing w:after="200" w:line="276" w:lineRule="auto"/>
    </w:pPr>
    <w:rPr>
      <w:rFonts w:eastAsia="MS Mincho" w:cs="FreeSans"/>
      <w:kern w:val="0"/>
      <w14:ligatures w14:val="none"/>
    </w:rPr>
  </w:style>
  <w:style w:type="paragraph" w:styleId="NormalWeb">
    <w:name w:val="Normal (Web)"/>
    <w:basedOn w:val="Normal"/>
    <w:uiPriority w:val="99"/>
    <w:semiHidden/>
    <w:unhideWhenUsed/>
    <w:rsid w:val="004C382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4C3823"/>
    <w:pPr>
      <w:spacing w:after="0" w:line="240" w:lineRule="auto"/>
    </w:pPr>
    <w:rPr>
      <w:rFonts w:ascii="Times New Roman" w:eastAsia="MS Mincho" w:hAnsi="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4C3823"/>
    <w:rPr>
      <w:rFonts w:ascii="Times New Roman" w:eastAsia="MS Mincho"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4448A-7D83-4504-8E49-3C12F258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139</Pages>
  <Words>26428</Words>
  <Characters>150644</Characters>
  <Application>Microsoft Office Word</Application>
  <DocSecurity>0</DocSecurity>
  <Lines>1255</Lines>
  <Paragraphs>353</Paragraphs>
  <ScaleCrop>false</ScaleCrop>
  <Company/>
  <LinksUpToDate>false</LinksUpToDate>
  <CharactersWithSpaces>176719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Raymond</dc:creator>
  <cp:keywords/>
  <dc:description/>
  <cp:lastModifiedBy>raymond ng</cp:lastModifiedBy>
  <cp:revision>2</cp:revision>
  <cp:lastPrinted>2023-08-30T00:48:00Z</cp:lastPrinted>
  <dcterms:created xsi:type="dcterms:W3CDTF">2023-08-30T00:53:00Z</dcterms:created>
  <dcterms:modified xsi:type="dcterms:W3CDTF">2023-08-30T00:53:00Z</dcterms:modified>
</cp:coreProperties>
</file>